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19875">
      <w:pPr>
        <w:spacing w:line="287" w:lineRule="exact"/>
        <w:rPr>
          <w:rFonts w:ascii="Times New Roman" w:hAnsi="Times New Roman" w:eastAsia="Times New Roman"/>
          <w:color w:val="auto"/>
          <w:sz w:val="24"/>
          <w:highlight w:val="none"/>
        </w:rPr>
      </w:pPr>
    </w:p>
    <w:p w14:paraId="78863A58">
      <w:pPr>
        <w:spacing w:line="272" w:lineRule="auto"/>
        <w:rPr>
          <w:color w:val="auto"/>
          <w:highlight w:val="none"/>
        </w:rPr>
      </w:pPr>
    </w:p>
    <w:p w14:paraId="7E825593">
      <w:pPr>
        <w:spacing w:line="273" w:lineRule="auto"/>
        <w:rPr>
          <w:color w:val="auto"/>
          <w:highlight w:val="none"/>
        </w:rPr>
      </w:pPr>
    </w:p>
    <w:p w14:paraId="30B2D6E2">
      <w:pPr>
        <w:spacing w:line="273" w:lineRule="auto"/>
        <w:rPr>
          <w:color w:val="auto"/>
          <w:highlight w:val="none"/>
        </w:rPr>
      </w:pPr>
    </w:p>
    <w:p w14:paraId="7616D6BC">
      <w:pPr>
        <w:spacing w:line="273" w:lineRule="auto"/>
        <w:jc w:val="center"/>
        <w:rPr>
          <w:rFonts w:hint="eastAsia" w:ascii="仿宋" w:hAnsi="仿宋" w:eastAsia="仿宋"/>
          <w:color w:val="auto"/>
          <w:sz w:val="52"/>
          <w:szCs w:val="52"/>
          <w:highlight w:val="none"/>
          <w:u w:val="single"/>
        </w:rPr>
      </w:pPr>
    </w:p>
    <w:p w14:paraId="530698B3">
      <w:pPr>
        <w:spacing w:line="269" w:lineRule="auto"/>
        <w:jc w:val="center"/>
        <w:rPr>
          <w:rFonts w:hint="eastAsia" w:ascii="仿宋" w:hAnsi="仿宋" w:eastAsia="仿宋"/>
          <w:b/>
          <w:color w:val="auto"/>
          <w:sz w:val="52"/>
          <w:szCs w:val="52"/>
          <w:highlight w:val="none"/>
        </w:rPr>
      </w:pPr>
      <w:r>
        <w:rPr>
          <w:rFonts w:hint="eastAsia" w:ascii="仿宋" w:hAnsi="仿宋" w:eastAsia="仿宋"/>
          <w:b/>
          <w:color w:val="auto"/>
          <w:sz w:val="52"/>
          <w:szCs w:val="52"/>
          <w:highlight w:val="none"/>
        </w:rPr>
        <w:t>广州番禺万博西片区大石防洪设施改建项目勘察设计</w:t>
      </w:r>
    </w:p>
    <w:p w14:paraId="3E79EA14">
      <w:pPr>
        <w:spacing w:line="269" w:lineRule="auto"/>
        <w:rPr>
          <w:color w:val="auto"/>
          <w:highlight w:val="none"/>
        </w:rPr>
      </w:pPr>
    </w:p>
    <w:p w14:paraId="431A1303">
      <w:pPr>
        <w:spacing w:line="269" w:lineRule="auto"/>
        <w:rPr>
          <w:color w:val="auto"/>
          <w:highlight w:val="none"/>
        </w:rPr>
      </w:pPr>
    </w:p>
    <w:p w14:paraId="52671FC9">
      <w:pPr>
        <w:spacing w:line="270" w:lineRule="auto"/>
        <w:rPr>
          <w:color w:val="auto"/>
          <w:highlight w:val="none"/>
        </w:rPr>
      </w:pPr>
    </w:p>
    <w:p w14:paraId="68F19BF4">
      <w:pPr>
        <w:pStyle w:val="46"/>
        <w:rPr>
          <w:rFonts w:ascii="Arial"/>
          <w:color w:val="auto"/>
          <w:sz w:val="21"/>
          <w:highlight w:val="none"/>
        </w:rPr>
      </w:pPr>
    </w:p>
    <w:p w14:paraId="5B9D0409">
      <w:pPr>
        <w:pStyle w:val="47"/>
        <w:rPr>
          <w:rFonts w:ascii="Arial"/>
          <w:color w:val="auto"/>
          <w:highlight w:val="none"/>
        </w:rPr>
      </w:pPr>
    </w:p>
    <w:p w14:paraId="09F6809C">
      <w:pPr>
        <w:pStyle w:val="48"/>
        <w:ind w:firstLine="420"/>
        <w:rPr>
          <w:color w:val="auto"/>
          <w:sz w:val="21"/>
          <w:highlight w:val="none"/>
        </w:rPr>
      </w:pPr>
    </w:p>
    <w:p w14:paraId="76D6F8D4">
      <w:pPr>
        <w:rPr>
          <w:color w:val="auto"/>
          <w:highlight w:val="none"/>
        </w:rPr>
      </w:pPr>
    </w:p>
    <w:p w14:paraId="1E872BE2">
      <w:pPr>
        <w:spacing w:line="270" w:lineRule="auto"/>
        <w:rPr>
          <w:color w:val="auto"/>
          <w:highlight w:val="none"/>
        </w:rPr>
      </w:pPr>
    </w:p>
    <w:p w14:paraId="2E692D85">
      <w:pPr>
        <w:spacing w:before="140" w:line="226" w:lineRule="auto"/>
        <w:jc w:val="center"/>
        <w:rPr>
          <w:rFonts w:hint="eastAsia" w:ascii="黑体" w:hAnsi="黑体" w:eastAsia="黑体"/>
          <w:color w:val="auto"/>
          <w:sz w:val="84"/>
          <w:szCs w:val="84"/>
          <w:highlight w:val="none"/>
        </w:rPr>
      </w:pPr>
      <w:r>
        <w:rPr>
          <w:rFonts w:ascii="黑体" w:hAnsi="黑体" w:eastAsia="黑体"/>
          <w:color w:val="auto"/>
          <w:sz w:val="84"/>
          <w:szCs w:val="84"/>
          <w:highlight w:val="none"/>
        </w:rPr>
        <w:t>招标文件</w:t>
      </w:r>
    </w:p>
    <w:p w14:paraId="2C1B79F3">
      <w:pPr>
        <w:spacing w:line="250" w:lineRule="auto"/>
        <w:ind w:left="-105" w:leftChars="-50" w:right="-105" w:rightChars="-50"/>
        <w:rPr>
          <w:color w:val="auto"/>
          <w:highlight w:val="none"/>
        </w:rPr>
      </w:pPr>
    </w:p>
    <w:p w14:paraId="0BBC77FE">
      <w:pPr>
        <w:spacing w:line="250" w:lineRule="auto"/>
        <w:rPr>
          <w:color w:val="auto"/>
          <w:highlight w:val="none"/>
        </w:rPr>
      </w:pPr>
    </w:p>
    <w:p w14:paraId="729F0F57">
      <w:pPr>
        <w:spacing w:line="250" w:lineRule="auto"/>
        <w:rPr>
          <w:color w:val="auto"/>
          <w:highlight w:val="none"/>
        </w:rPr>
      </w:pPr>
    </w:p>
    <w:p w14:paraId="30C3223E">
      <w:pPr>
        <w:spacing w:line="250" w:lineRule="auto"/>
        <w:rPr>
          <w:color w:val="auto"/>
          <w:highlight w:val="none"/>
        </w:rPr>
      </w:pPr>
    </w:p>
    <w:p w14:paraId="0B886B37">
      <w:pPr>
        <w:spacing w:line="250" w:lineRule="auto"/>
        <w:rPr>
          <w:color w:val="auto"/>
          <w:highlight w:val="none"/>
        </w:rPr>
      </w:pPr>
    </w:p>
    <w:p w14:paraId="49C5B86D">
      <w:pPr>
        <w:spacing w:line="250" w:lineRule="auto"/>
        <w:rPr>
          <w:color w:val="auto"/>
          <w:highlight w:val="none"/>
        </w:rPr>
      </w:pPr>
    </w:p>
    <w:p w14:paraId="2F24028F">
      <w:pPr>
        <w:spacing w:line="250" w:lineRule="auto"/>
        <w:rPr>
          <w:color w:val="auto"/>
          <w:highlight w:val="none"/>
        </w:rPr>
      </w:pPr>
    </w:p>
    <w:p w14:paraId="662C9500">
      <w:pPr>
        <w:spacing w:line="250" w:lineRule="auto"/>
        <w:rPr>
          <w:color w:val="auto"/>
          <w:highlight w:val="none"/>
        </w:rPr>
      </w:pPr>
    </w:p>
    <w:p w14:paraId="125DB93D">
      <w:pPr>
        <w:spacing w:line="250" w:lineRule="auto"/>
        <w:rPr>
          <w:color w:val="auto"/>
          <w:highlight w:val="none"/>
        </w:rPr>
      </w:pPr>
    </w:p>
    <w:p w14:paraId="2A0689D4">
      <w:pPr>
        <w:spacing w:line="250" w:lineRule="auto"/>
        <w:rPr>
          <w:color w:val="auto"/>
          <w:highlight w:val="none"/>
        </w:rPr>
      </w:pPr>
    </w:p>
    <w:p w14:paraId="6FB74CE0">
      <w:pPr>
        <w:spacing w:line="250" w:lineRule="auto"/>
        <w:rPr>
          <w:color w:val="auto"/>
          <w:highlight w:val="none"/>
        </w:rPr>
      </w:pPr>
    </w:p>
    <w:p w14:paraId="523180B7">
      <w:pPr>
        <w:spacing w:line="250" w:lineRule="auto"/>
        <w:rPr>
          <w:color w:val="auto"/>
          <w:highlight w:val="none"/>
        </w:rPr>
      </w:pPr>
    </w:p>
    <w:p w14:paraId="7EDE1D75">
      <w:pPr>
        <w:spacing w:line="250" w:lineRule="auto"/>
        <w:rPr>
          <w:color w:val="auto"/>
          <w:highlight w:val="none"/>
        </w:rPr>
      </w:pPr>
    </w:p>
    <w:p w14:paraId="29267719">
      <w:pPr>
        <w:spacing w:line="250" w:lineRule="auto"/>
        <w:rPr>
          <w:color w:val="auto"/>
          <w:highlight w:val="none"/>
        </w:rPr>
      </w:pPr>
    </w:p>
    <w:p w14:paraId="47C9692E">
      <w:pPr>
        <w:spacing w:line="250" w:lineRule="auto"/>
        <w:rPr>
          <w:color w:val="auto"/>
          <w:highlight w:val="none"/>
        </w:rPr>
      </w:pPr>
    </w:p>
    <w:p w14:paraId="25D0EF86">
      <w:pPr>
        <w:spacing w:line="250" w:lineRule="auto"/>
        <w:rPr>
          <w:color w:val="auto"/>
          <w:highlight w:val="none"/>
        </w:rPr>
      </w:pPr>
    </w:p>
    <w:p w14:paraId="3E63FD8C">
      <w:pPr>
        <w:spacing w:line="250" w:lineRule="auto"/>
        <w:rPr>
          <w:color w:val="auto"/>
          <w:highlight w:val="none"/>
        </w:rPr>
      </w:pPr>
    </w:p>
    <w:p w14:paraId="7452B5A3">
      <w:pPr>
        <w:spacing w:line="250" w:lineRule="auto"/>
        <w:rPr>
          <w:color w:val="auto"/>
          <w:highlight w:val="none"/>
        </w:rPr>
      </w:pPr>
    </w:p>
    <w:p w14:paraId="4668B7A4">
      <w:pPr>
        <w:spacing w:line="250" w:lineRule="auto"/>
        <w:rPr>
          <w:color w:val="auto"/>
          <w:highlight w:val="none"/>
        </w:rPr>
      </w:pPr>
    </w:p>
    <w:p w14:paraId="1F90AC99">
      <w:pPr>
        <w:spacing w:line="250" w:lineRule="auto"/>
        <w:rPr>
          <w:rFonts w:eastAsia="宋体"/>
          <w:color w:val="auto"/>
          <w:highlight w:val="none"/>
        </w:rPr>
      </w:pPr>
      <w:r>
        <w:rPr>
          <w:rFonts w:hint="eastAsia" w:eastAsia="宋体"/>
          <w:color w:val="auto"/>
          <w:highlight w:val="none"/>
        </w:rPr>
        <w:t xml:space="preserve"> </w:t>
      </w:r>
    </w:p>
    <w:p w14:paraId="45B49E48">
      <w:pPr>
        <w:spacing w:before="88" w:line="468" w:lineRule="auto"/>
        <w:jc w:val="center"/>
        <w:rPr>
          <w:rFonts w:hint="eastAsia" w:ascii="黑体" w:hAnsi="黑体" w:eastAsia="黑体"/>
          <w:b/>
          <w:bCs/>
          <w:color w:val="auto"/>
          <w:spacing w:val="-4"/>
          <w:sz w:val="27"/>
          <w:szCs w:val="27"/>
          <w:highlight w:val="none"/>
        </w:rPr>
      </w:pPr>
      <w:r>
        <w:rPr>
          <w:rFonts w:ascii="黑体" w:hAnsi="黑体" w:eastAsia="黑体"/>
          <w:b/>
          <w:bCs/>
          <w:color w:val="auto"/>
          <w:spacing w:val="-4"/>
          <w:sz w:val="27"/>
          <w:szCs w:val="27"/>
          <w:highlight w:val="none"/>
        </w:rPr>
        <w:t>招</w:t>
      </w:r>
      <w:r>
        <w:rPr>
          <w:rFonts w:hint="eastAsia" w:ascii="黑体" w:hAnsi="黑体" w:eastAsia="黑体"/>
          <w:b/>
          <w:bCs/>
          <w:color w:val="auto"/>
          <w:spacing w:val="-4"/>
          <w:sz w:val="27"/>
          <w:szCs w:val="27"/>
          <w:highlight w:val="none"/>
        </w:rPr>
        <w:t>标人：</w:t>
      </w:r>
      <w:r>
        <w:rPr>
          <w:rFonts w:hint="eastAsia" w:ascii="黑体" w:hAnsi="黑体" w:eastAsia="黑体"/>
          <w:b/>
          <w:bCs/>
          <w:color w:val="auto"/>
          <w:spacing w:val="-4"/>
          <w:sz w:val="27"/>
          <w:szCs w:val="27"/>
          <w:highlight w:val="none"/>
          <w:u w:val="single"/>
        </w:rPr>
        <w:t>广州市番禺区人民政府大石街道办事处(盖单位章)</w:t>
      </w:r>
    </w:p>
    <w:p w14:paraId="7149ED4B">
      <w:pPr>
        <w:spacing w:before="88" w:line="468" w:lineRule="auto"/>
        <w:jc w:val="center"/>
        <w:rPr>
          <w:rFonts w:hint="eastAsia" w:ascii="黑体" w:hAnsi="黑体" w:eastAsia="黑体"/>
          <w:b/>
          <w:bCs/>
          <w:color w:val="auto"/>
          <w:spacing w:val="-4"/>
          <w:sz w:val="27"/>
          <w:szCs w:val="27"/>
          <w:highlight w:val="none"/>
          <w:u w:val="single"/>
        </w:rPr>
      </w:pPr>
      <w:r>
        <w:rPr>
          <w:rFonts w:hint="eastAsia" w:ascii="黑体" w:hAnsi="黑体" w:eastAsia="黑体"/>
          <w:b/>
          <w:bCs/>
          <w:color w:val="auto"/>
          <w:spacing w:val="-4"/>
          <w:sz w:val="27"/>
          <w:szCs w:val="27"/>
          <w:highlight w:val="none"/>
        </w:rPr>
        <w:t>招标代理：</w:t>
      </w:r>
      <w:r>
        <w:rPr>
          <w:rFonts w:hint="eastAsia" w:ascii="黑体" w:hAnsi="黑体" w:eastAsia="黑体"/>
          <w:b/>
          <w:bCs/>
          <w:color w:val="auto"/>
          <w:spacing w:val="-4"/>
          <w:sz w:val="27"/>
          <w:szCs w:val="27"/>
          <w:highlight w:val="none"/>
          <w:u w:val="single"/>
        </w:rPr>
        <w:t>广州桥润招采造价咨询有限公司</w:t>
      </w:r>
    </w:p>
    <w:p w14:paraId="4145A3C0">
      <w:pPr>
        <w:tabs>
          <w:tab w:val="left" w:pos="3507"/>
        </w:tabs>
        <w:spacing w:before="1" w:line="229" w:lineRule="auto"/>
        <w:ind w:left="2761"/>
        <w:rPr>
          <w:rFonts w:hint="eastAsia" w:ascii="黑体" w:hAnsi="黑体" w:eastAsia="黑体"/>
          <w:color w:val="auto"/>
          <w:sz w:val="27"/>
          <w:szCs w:val="27"/>
          <w:highlight w:val="none"/>
          <w:u w:val="single"/>
        </w:rPr>
      </w:pPr>
      <w:r>
        <w:rPr>
          <w:rFonts w:hint="eastAsia" w:ascii="黑体" w:hAnsi="黑体" w:eastAsia="黑体"/>
          <w:color w:val="auto"/>
          <w:sz w:val="27"/>
          <w:szCs w:val="27"/>
          <w:highlight w:val="none"/>
          <w:u w:val="single"/>
        </w:rPr>
        <w:t>2025</w:t>
      </w:r>
      <w:r>
        <w:rPr>
          <w:rFonts w:ascii="黑体" w:hAnsi="黑体" w:eastAsia="黑体"/>
          <w:color w:val="auto"/>
          <w:spacing w:val="6"/>
          <w:sz w:val="27"/>
          <w:szCs w:val="27"/>
          <w:highlight w:val="none"/>
        </w:rPr>
        <w:t>年</w:t>
      </w:r>
      <w:r>
        <w:rPr>
          <w:rFonts w:hint="eastAsia" w:ascii="黑体" w:hAnsi="黑体" w:eastAsia="黑体"/>
          <w:color w:val="auto"/>
          <w:spacing w:val="6"/>
          <w:sz w:val="27"/>
          <w:szCs w:val="27"/>
          <w:highlight w:val="none"/>
          <w:u w:val="single"/>
          <w:lang w:val="en-US" w:eastAsia="zh-CN"/>
        </w:rPr>
        <w:t>6</w:t>
      </w:r>
      <w:r>
        <w:rPr>
          <w:rFonts w:ascii="黑体" w:hAnsi="黑体" w:eastAsia="黑体"/>
          <w:color w:val="auto"/>
          <w:spacing w:val="3"/>
          <w:sz w:val="27"/>
          <w:szCs w:val="27"/>
          <w:highlight w:val="none"/>
        </w:rPr>
        <w:t>月</w:t>
      </w:r>
    </w:p>
    <w:p w14:paraId="50DA6C1D">
      <w:pPr>
        <w:rPr>
          <w:color w:val="auto"/>
          <w:highlight w:val="none"/>
        </w:rPr>
        <w:sectPr>
          <w:footerReference r:id="rId3" w:type="default"/>
          <w:pgSz w:w="11906" w:h="16838"/>
          <w:pgMar w:top="1346" w:right="1836" w:bottom="0" w:left="1836" w:header="0" w:footer="941" w:gutter="0"/>
          <w:cols w:space="720" w:num="1"/>
        </w:sectPr>
      </w:pPr>
    </w:p>
    <w:p w14:paraId="0FF6175D">
      <w:pPr>
        <w:jc w:val="center"/>
        <w:rPr>
          <w:rFonts w:hint="eastAsia" w:ascii="宋体" w:hAnsi="宋体" w:eastAsia="宋体"/>
          <w:b/>
          <w:bCs/>
          <w:caps/>
          <w:color w:val="auto"/>
          <w:kern w:val="2"/>
          <w:sz w:val="36"/>
          <w:szCs w:val="36"/>
          <w:highlight w:val="none"/>
        </w:rPr>
      </w:pPr>
      <w:r>
        <w:rPr>
          <w:rFonts w:hint="eastAsia" w:ascii="宋体" w:hAnsi="宋体" w:eastAsia="宋体"/>
          <w:b/>
          <w:bCs/>
          <w:caps/>
          <w:color w:val="auto"/>
          <w:kern w:val="2"/>
          <w:sz w:val="36"/>
          <w:szCs w:val="36"/>
          <w:highlight w:val="none"/>
        </w:rPr>
        <w:t>目 录</w:t>
      </w:r>
    </w:p>
    <w:p w14:paraId="160C455F">
      <w:pPr>
        <w:pStyle w:val="14"/>
        <w:tabs>
          <w:tab w:val="right" w:leader="dot" w:pos="8224"/>
        </w:tabs>
        <w:rPr>
          <w:rFonts w:asciiTheme="minorHAnsi" w:hAnsiTheme="minorHAnsi" w:eastAsiaTheme="minorEastAsia" w:cstheme="minorBidi"/>
          <w:color w:val="auto"/>
          <w:kern w:val="2"/>
          <w:szCs w:val="22"/>
          <w:highlight w:val="none"/>
          <w14:ligatures w14:val="standardContextual"/>
        </w:rPr>
      </w:pPr>
      <w:r>
        <w:rPr>
          <w:rFonts w:hint="eastAsia" w:ascii="宋体" w:hAnsi="宋体" w:eastAsia="宋体"/>
          <w:color w:val="auto"/>
          <w:sz w:val="24"/>
          <w:szCs w:val="24"/>
          <w:highlight w:val="none"/>
        </w:rPr>
        <w:fldChar w:fldCharType="begin"/>
      </w:r>
      <w:r>
        <w:rPr>
          <w:rFonts w:hint="eastAsia" w:ascii="宋体" w:hAnsi="宋体" w:eastAsia="宋体"/>
          <w:color w:val="auto"/>
          <w:sz w:val="24"/>
          <w:szCs w:val="24"/>
          <w:highlight w:val="none"/>
        </w:rPr>
        <w:instrText xml:space="preserve">TOC \o "1-3" \h \u </w:instrText>
      </w:r>
      <w:r>
        <w:rPr>
          <w:rFonts w:hint="eastAsia" w:ascii="宋体" w:hAnsi="宋体" w:eastAsia="宋体"/>
          <w:color w:val="auto"/>
          <w:sz w:val="24"/>
          <w:szCs w:val="24"/>
          <w:highlight w:val="none"/>
        </w:rPr>
        <w:fldChar w:fldCharType="separate"/>
      </w:r>
      <w:r>
        <w:rPr>
          <w:highlight w:val="none"/>
        </w:rPr>
        <w:fldChar w:fldCharType="begin"/>
      </w:r>
      <w:r>
        <w:rPr>
          <w:highlight w:val="none"/>
        </w:rPr>
        <w:instrText xml:space="preserve"> HYPERLINK \l "_Toc183207160" </w:instrText>
      </w:r>
      <w:r>
        <w:rPr>
          <w:highlight w:val="none"/>
        </w:rPr>
        <w:fldChar w:fldCharType="separate"/>
      </w:r>
      <w:r>
        <w:rPr>
          <w:rStyle w:val="21"/>
          <w:rFonts w:hint="eastAsia" w:ascii="宋体" w:hAnsi="宋体" w:eastAsia="宋体" w:cs="宋体"/>
          <w:color w:val="auto"/>
          <w:spacing w:val="7"/>
          <w:highlight w:val="none"/>
        </w:rPr>
        <w:t>第</w:t>
      </w:r>
      <w:r>
        <w:rPr>
          <w:rStyle w:val="21"/>
          <w:rFonts w:hint="eastAsia" w:ascii="宋体" w:hAnsi="宋体" w:eastAsia="宋体" w:cs="宋体"/>
          <w:color w:val="auto"/>
          <w:spacing w:val="5"/>
          <w:highlight w:val="none"/>
        </w:rPr>
        <w:t>一卷</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_Toc183207160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3</w:t>
      </w:r>
      <w:r>
        <w:rPr>
          <w:rFonts w:hint="eastAsia"/>
          <w:color w:val="auto"/>
          <w:highlight w:val="none"/>
        </w:rPr>
        <w:fldChar w:fldCharType="end"/>
      </w:r>
      <w:r>
        <w:rPr>
          <w:rFonts w:hint="eastAsia"/>
          <w:color w:val="auto"/>
          <w:highlight w:val="none"/>
        </w:rPr>
        <w:fldChar w:fldCharType="end"/>
      </w:r>
    </w:p>
    <w:p w14:paraId="5082A5A1">
      <w:pPr>
        <w:pStyle w:val="17"/>
        <w:tabs>
          <w:tab w:val="right" w:leader="dot" w:pos="8224"/>
        </w:tabs>
        <w:rPr>
          <w:rFonts w:asciiTheme="minorHAnsi" w:hAnsiTheme="minorHAnsi" w:eastAsiaTheme="minorEastAsia" w:cstheme="minorBidi"/>
          <w:color w:val="auto"/>
          <w:kern w:val="2"/>
          <w:szCs w:val="22"/>
          <w:highlight w:val="none"/>
          <w14:ligatures w14:val="standardContextual"/>
        </w:rPr>
      </w:pPr>
      <w:r>
        <w:rPr>
          <w:highlight w:val="none"/>
        </w:rPr>
        <w:fldChar w:fldCharType="begin"/>
      </w:r>
      <w:r>
        <w:rPr>
          <w:highlight w:val="none"/>
        </w:rPr>
        <w:instrText xml:space="preserve"> HYPERLINK \l "_Toc183207161" </w:instrText>
      </w:r>
      <w:r>
        <w:rPr>
          <w:highlight w:val="none"/>
        </w:rPr>
        <w:fldChar w:fldCharType="separate"/>
      </w:r>
      <w:r>
        <w:rPr>
          <w:rStyle w:val="21"/>
          <w:rFonts w:hint="eastAsia" w:ascii="宋体" w:hAnsi="宋体" w:eastAsia="宋体" w:cs="宋体"/>
          <w:color w:val="auto"/>
          <w:spacing w:val="24"/>
          <w:highlight w:val="none"/>
        </w:rPr>
        <w:t>第</w:t>
      </w:r>
      <w:r>
        <w:rPr>
          <w:rStyle w:val="21"/>
          <w:rFonts w:hint="eastAsia" w:ascii="宋体" w:hAnsi="宋体" w:eastAsia="宋体" w:cs="宋体"/>
          <w:color w:val="auto"/>
          <w:spacing w:val="22"/>
          <w:highlight w:val="none"/>
        </w:rPr>
        <w:t>一章</w:t>
      </w:r>
      <w:r>
        <w:rPr>
          <w:rStyle w:val="21"/>
          <w:rFonts w:hint="eastAsia" w:ascii="宋体" w:hAnsi="宋体"/>
          <w:color w:val="auto"/>
          <w:spacing w:val="22"/>
          <w:highlight w:val="none"/>
        </w:rPr>
        <w:t xml:space="preserve"> </w:t>
      </w:r>
      <w:r>
        <w:rPr>
          <w:rStyle w:val="21"/>
          <w:rFonts w:hint="eastAsia" w:ascii="宋体" w:hAnsi="宋体" w:eastAsia="宋体" w:cs="宋体"/>
          <w:color w:val="auto"/>
          <w:spacing w:val="22"/>
          <w:highlight w:val="none"/>
        </w:rPr>
        <w:t>招标公告</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_Toc183207161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4</w:t>
      </w:r>
      <w:r>
        <w:rPr>
          <w:rFonts w:hint="eastAsia"/>
          <w:color w:val="auto"/>
          <w:highlight w:val="none"/>
        </w:rPr>
        <w:fldChar w:fldCharType="end"/>
      </w:r>
      <w:r>
        <w:rPr>
          <w:rFonts w:hint="eastAsia"/>
          <w:color w:val="auto"/>
          <w:highlight w:val="none"/>
        </w:rPr>
        <w:fldChar w:fldCharType="end"/>
      </w:r>
    </w:p>
    <w:p w14:paraId="655B47CC">
      <w:pPr>
        <w:pStyle w:val="17"/>
        <w:tabs>
          <w:tab w:val="right" w:leader="dot" w:pos="8224"/>
        </w:tabs>
        <w:rPr>
          <w:rFonts w:asciiTheme="minorHAnsi" w:hAnsiTheme="minorHAnsi" w:eastAsiaTheme="minorEastAsia" w:cstheme="minorBidi"/>
          <w:color w:val="auto"/>
          <w:kern w:val="2"/>
          <w:szCs w:val="22"/>
          <w:highlight w:val="none"/>
          <w14:ligatures w14:val="standardContextual"/>
        </w:rPr>
      </w:pPr>
      <w:r>
        <w:rPr>
          <w:highlight w:val="none"/>
        </w:rPr>
        <w:fldChar w:fldCharType="begin"/>
      </w:r>
      <w:r>
        <w:rPr>
          <w:highlight w:val="none"/>
        </w:rPr>
        <w:instrText xml:space="preserve"> HYPERLINK \l "_Toc183207162" </w:instrText>
      </w:r>
      <w:r>
        <w:rPr>
          <w:highlight w:val="none"/>
        </w:rPr>
        <w:fldChar w:fldCharType="separate"/>
      </w:r>
      <w:r>
        <w:rPr>
          <w:rStyle w:val="21"/>
          <w:rFonts w:hint="eastAsia" w:ascii="宋体" w:hAnsi="宋体" w:eastAsia="宋体" w:cs="宋体"/>
          <w:color w:val="auto"/>
          <w:spacing w:val="14"/>
          <w:highlight w:val="none"/>
        </w:rPr>
        <w:t>第</w:t>
      </w:r>
      <w:r>
        <w:rPr>
          <w:rStyle w:val="21"/>
          <w:rFonts w:hint="eastAsia" w:ascii="宋体" w:hAnsi="宋体" w:eastAsia="宋体" w:cs="宋体"/>
          <w:color w:val="auto"/>
          <w:spacing w:val="9"/>
          <w:highlight w:val="none"/>
        </w:rPr>
        <w:t>二章 投标人须知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_Toc183207162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5</w:t>
      </w:r>
      <w:r>
        <w:rPr>
          <w:rFonts w:hint="eastAsia"/>
          <w:color w:val="auto"/>
          <w:highlight w:val="none"/>
        </w:rPr>
        <w:fldChar w:fldCharType="end"/>
      </w:r>
      <w:r>
        <w:rPr>
          <w:rFonts w:hint="eastAsia"/>
          <w:color w:val="auto"/>
          <w:highlight w:val="none"/>
        </w:rPr>
        <w:fldChar w:fldCharType="end"/>
      </w:r>
    </w:p>
    <w:p w14:paraId="60148C77">
      <w:pPr>
        <w:pStyle w:val="17"/>
        <w:tabs>
          <w:tab w:val="right" w:leader="dot" w:pos="8224"/>
        </w:tabs>
        <w:rPr>
          <w:rFonts w:asciiTheme="minorHAnsi" w:hAnsiTheme="minorHAnsi" w:eastAsiaTheme="minorEastAsia" w:cstheme="minorBidi"/>
          <w:color w:val="auto"/>
          <w:kern w:val="2"/>
          <w:szCs w:val="22"/>
          <w:highlight w:val="none"/>
          <w14:ligatures w14:val="standardContextual"/>
        </w:rPr>
      </w:pPr>
      <w:r>
        <w:rPr>
          <w:highlight w:val="none"/>
        </w:rPr>
        <w:fldChar w:fldCharType="begin"/>
      </w:r>
      <w:r>
        <w:rPr>
          <w:highlight w:val="none"/>
        </w:rPr>
        <w:instrText xml:space="preserve"> HYPERLINK \l "_Toc183207163" </w:instrText>
      </w:r>
      <w:r>
        <w:rPr>
          <w:highlight w:val="none"/>
        </w:rPr>
        <w:fldChar w:fldCharType="separate"/>
      </w:r>
      <w:r>
        <w:rPr>
          <w:rStyle w:val="21"/>
          <w:rFonts w:hint="eastAsia" w:ascii="宋体" w:hAnsi="宋体" w:eastAsia="宋体" w:cs="宋体"/>
          <w:color w:val="auto"/>
          <w:spacing w:val="30"/>
          <w:highlight w:val="none"/>
        </w:rPr>
        <w:t>第</w:t>
      </w:r>
      <w:r>
        <w:rPr>
          <w:rStyle w:val="21"/>
          <w:rFonts w:hint="eastAsia" w:ascii="宋体" w:hAnsi="宋体" w:eastAsia="宋体" w:cs="宋体"/>
          <w:color w:val="auto"/>
          <w:spacing w:val="23"/>
          <w:highlight w:val="none"/>
        </w:rPr>
        <w:t>三章 评标办法</w:t>
      </w:r>
      <w:r>
        <w:rPr>
          <w:rStyle w:val="21"/>
          <w:rFonts w:hint="eastAsia" w:ascii="宋体" w:hAnsi="宋体"/>
          <w:color w:val="auto"/>
          <w:spacing w:val="23"/>
          <w:highlight w:val="none"/>
        </w:rPr>
        <w:t>(</w:t>
      </w:r>
      <w:r>
        <w:rPr>
          <w:rStyle w:val="21"/>
          <w:rFonts w:hint="eastAsia" w:ascii="宋体" w:hAnsi="宋体" w:eastAsia="宋体" w:cs="宋体"/>
          <w:color w:val="auto"/>
          <w:spacing w:val="23"/>
          <w:highlight w:val="none"/>
        </w:rPr>
        <w:t>综合评估法</w:t>
      </w:r>
      <w:r>
        <w:rPr>
          <w:rStyle w:val="21"/>
          <w:rFonts w:hint="eastAsia" w:ascii="宋体" w:hAnsi="宋体"/>
          <w:color w:val="auto"/>
          <w:spacing w:val="23"/>
          <w:highlight w:val="none"/>
        </w:rPr>
        <w:t>)</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_Toc183207163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34</w:t>
      </w:r>
      <w:r>
        <w:rPr>
          <w:rFonts w:hint="eastAsia"/>
          <w:color w:val="auto"/>
          <w:highlight w:val="none"/>
        </w:rPr>
        <w:fldChar w:fldCharType="end"/>
      </w:r>
      <w:r>
        <w:rPr>
          <w:rFonts w:hint="eastAsia"/>
          <w:color w:val="auto"/>
          <w:highlight w:val="none"/>
        </w:rPr>
        <w:fldChar w:fldCharType="end"/>
      </w:r>
    </w:p>
    <w:p w14:paraId="038BF7D8">
      <w:pPr>
        <w:pStyle w:val="17"/>
        <w:tabs>
          <w:tab w:val="right" w:leader="dot" w:pos="8224"/>
        </w:tabs>
        <w:rPr>
          <w:rFonts w:asciiTheme="minorHAnsi" w:hAnsiTheme="minorHAnsi" w:eastAsiaTheme="minorEastAsia" w:cstheme="minorBidi"/>
          <w:color w:val="auto"/>
          <w:kern w:val="2"/>
          <w:szCs w:val="22"/>
          <w:highlight w:val="none"/>
          <w14:ligatures w14:val="standardContextual"/>
        </w:rPr>
      </w:pPr>
      <w:r>
        <w:rPr>
          <w:highlight w:val="none"/>
        </w:rPr>
        <w:fldChar w:fldCharType="begin"/>
      </w:r>
      <w:r>
        <w:rPr>
          <w:highlight w:val="none"/>
        </w:rPr>
        <w:instrText xml:space="preserve"> HYPERLINK \l "_Toc183207164" </w:instrText>
      </w:r>
      <w:r>
        <w:rPr>
          <w:highlight w:val="none"/>
        </w:rPr>
        <w:fldChar w:fldCharType="separate"/>
      </w:r>
      <w:r>
        <w:rPr>
          <w:rStyle w:val="21"/>
          <w:rFonts w:hint="eastAsia" w:ascii="宋体" w:hAnsi="宋体" w:eastAsia="宋体" w:cs="宋体"/>
          <w:color w:val="auto"/>
          <w:spacing w:val="11"/>
          <w:highlight w:val="none"/>
        </w:rPr>
        <w:t>第</w:t>
      </w:r>
      <w:r>
        <w:rPr>
          <w:rStyle w:val="21"/>
          <w:rFonts w:hint="eastAsia" w:ascii="宋体" w:hAnsi="宋体" w:eastAsia="宋体" w:cs="宋体"/>
          <w:color w:val="auto"/>
          <w:spacing w:val="10"/>
          <w:highlight w:val="none"/>
        </w:rPr>
        <w:t>四章 合同条款及格式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_Toc183207164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46</w:t>
      </w:r>
      <w:r>
        <w:rPr>
          <w:rFonts w:hint="eastAsia"/>
          <w:color w:val="auto"/>
          <w:highlight w:val="none"/>
        </w:rPr>
        <w:fldChar w:fldCharType="end"/>
      </w:r>
      <w:r>
        <w:rPr>
          <w:rFonts w:hint="eastAsia"/>
          <w:color w:val="auto"/>
          <w:highlight w:val="none"/>
        </w:rPr>
        <w:fldChar w:fldCharType="end"/>
      </w:r>
    </w:p>
    <w:p w14:paraId="5B383F66">
      <w:pPr>
        <w:pStyle w:val="14"/>
        <w:tabs>
          <w:tab w:val="right" w:leader="dot" w:pos="8224"/>
        </w:tabs>
        <w:rPr>
          <w:rFonts w:asciiTheme="minorHAnsi" w:hAnsiTheme="minorHAnsi" w:eastAsiaTheme="minorEastAsia" w:cstheme="minorBidi"/>
          <w:color w:val="auto"/>
          <w:kern w:val="2"/>
          <w:szCs w:val="22"/>
          <w:highlight w:val="none"/>
          <w14:ligatures w14:val="standardContextual"/>
        </w:rPr>
      </w:pPr>
      <w:r>
        <w:rPr>
          <w:highlight w:val="none"/>
        </w:rPr>
        <w:fldChar w:fldCharType="begin"/>
      </w:r>
      <w:r>
        <w:rPr>
          <w:highlight w:val="none"/>
        </w:rPr>
        <w:instrText xml:space="preserve"> HYPERLINK \l "_Toc183207165" </w:instrText>
      </w:r>
      <w:r>
        <w:rPr>
          <w:highlight w:val="none"/>
        </w:rPr>
        <w:fldChar w:fldCharType="separate"/>
      </w:r>
      <w:r>
        <w:rPr>
          <w:rStyle w:val="21"/>
          <w:rFonts w:hint="eastAsia" w:ascii="宋体" w:hAnsi="宋体" w:eastAsia="宋体" w:cs="宋体"/>
          <w:color w:val="auto"/>
          <w:spacing w:val="5"/>
          <w:highlight w:val="none"/>
        </w:rPr>
        <w:t>第二卷</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_Toc183207165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47</w:t>
      </w:r>
      <w:r>
        <w:rPr>
          <w:rFonts w:hint="eastAsia"/>
          <w:color w:val="auto"/>
          <w:highlight w:val="none"/>
        </w:rPr>
        <w:fldChar w:fldCharType="end"/>
      </w:r>
      <w:r>
        <w:rPr>
          <w:rFonts w:hint="eastAsia"/>
          <w:color w:val="auto"/>
          <w:highlight w:val="none"/>
        </w:rPr>
        <w:fldChar w:fldCharType="end"/>
      </w:r>
    </w:p>
    <w:p w14:paraId="09827808">
      <w:pPr>
        <w:pStyle w:val="14"/>
        <w:tabs>
          <w:tab w:val="right" w:leader="dot" w:pos="8224"/>
        </w:tabs>
        <w:ind w:firstLine="420" w:firstLineChars="200"/>
        <w:rPr>
          <w:rFonts w:asciiTheme="minorHAnsi" w:hAnsiTheme="minorHAnsi" w:eastAsiaTheme="minorEastAsia" w:cstheme="minorBidi"/>
          <w:color w:val="auto"/>
          <w:kern w:val="2"/>
          <w:szCs w:val="22"/>
          <w:highlight w:val="none"/>
          <w14:ligatures w14:val="standardContextual"/>
        </w:rPr>
      </w:pPr>
      <w:r>
        <w:rPr>
          <w:highlight w:val="none"/>
        </w:rPr>
        <w:fldChar w:fldCharType="begin"/>
      </w:r>
      <w:r>
        <w:rPr>
          <w:highlight w:val="none"/>
        </w:rPr>
        <w:instrText xml:space="preserve"> HYPERLINK \l "_Toc183207166" </w:instrText>
      </w:r>
      <w:r>
        <w:rPr>
          <w:highlight w:val="none"/>
        </w:rPr>
        <w:fldChar w:fldCharType="separate"/>
      </w:r>
      <w:r>
        <w:rPr>
          <w:rStyle w:val="21"/>
          <w:rFonts w:hint="eastAsia" w:ascii="宋体" w:hAnsi="宋体" w:eastAsia="宋体"/>
          <w:color w:val="auto"/>
          <w:spacing w:val="14"/>
          <w:highlight w:val="none"/>
        </w:rPr>
        <w:t>第</w:t>
      </w:r>
      <w:r>
        <w:rPr>
          <w:rStyle w:val="21"/>
          <w:rFonts w:hint="eastAsia" w:ascii="宋体" w:hAnsi="宋体" w:eastAsia="宋体"/>
          <w:color w:val="auto"/>
          <w:spacing w:val="9"/>
          <w:highlight w:val="none"/>
        </w:rPr>
        <w:t>五章 发包人要求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_Toc183207166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48</w:t>
      </w:r>
      <w:r>
        <w:rPr>
          <w:rFonts w:hint="eastAsia"/>
          <w:color w:val="auto"/>
          <w:highlight w:val="none"/>
        </w:rPr>
        <w:fldChar w:fldCharType="end"/>
      </w:r>
      <w:r>
        <w:rPr>
          <w:rFonts w:hint="eastAsia"/>
          <w:color w:val="auto"/>
          <w:highlight w:val="none"/>
        </w:rPr>
        <w:fldChar w:fldCharType="end"/>
      </w:r>
    </w:p>
    <w:p w14:paraId="0629BD7B">
      <w:pPr>
        <w:pStyle w:val="14"/>
        <w:tabs>
          <w:tab w:val="right" w:leader="dot" w:pos="8224"/>
        </w:tabs>
        <w:rPr>
          <w:rFonts w:asciiTheme="minorHAnsi" w:hAnsiTheme="minorHAnsi" w:eastAsiaTheme="minorEastAsia" w:cstheme="minorBidi"/>
          <w:color w:val="auto"/>
          <w:kern w:val="2"/>
          <w:szCs w:val="22"/>
          <w:highlight w:val="none"/>
          <w14:ligatures w14:val="standardContextual"/>
        </w:rPr>
      </w:pPr>
      <w:r>
        <w:rPr>
          <w:highlight w:val="none"/>
        </w:rPr>
        <w:fldChar w:fldCharType="begin"/>
      </w:r>
      <w:r>
        <w:rPr>
          <w:highlight w:val="none"/>
        </w:rPr>
        <w:instrText xml:space="preserve"> HYPERLINK \l "_Toc183207167" </w:instrText>
      </w:r>
      <w:r>
        <w:rPr>
          <w:highlight w:val="none"/>
        </w:rPr>
        <w:fldChar w:fldCharType="separate"/>
      </w:r>
      <w:r>
        <w:rPr>
          <w:rStyle w:val="21"/>
          <w:rFonts w:hint="eastAsia" w:ascii="宋体" w:hAnsi="宋体" w:eastAsia="宋体" w:cs="宋体"/>
          <w:color w:val="auto"/>
          <w:spacing w:val="5"/>
          <w:highlight w:val="none"/>
        </w:rPr>
        <w:t>第三卷</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_Toc183207167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49</w:t>
      </w:r>
      <w:r>
        <w:rPr>
          <w:rFonts w:hint="eastAsia"/>
          <w:color w:val="auto"/>
          <w:highlight w:val="none"/>
        </w:rPr>
        <w:fldChar w:fldCharType="end"/>
      </w:r>
      <w:r>
        <w:rPr>
          <w:rFonts w:hint="eastAsia"/>
          <w:color w:val="auto"/>
          <w:highlight w:val="none"/>
        </w:rPr>
        <w:fldChar w:fldCharType="end"/>
      </w:r>
    </w:p>
    <w:p w14:paraId="32342B2D">
      <w:pPr>
        <w:pStyle w:val="17"/>
        <w:tabs>
          <w:tab w:val="right" w:leader="dot" w:pos="8224"/>
        </w:tabs>
        <w:rPr>
          <w:rFonts w:asciiTheme="minorHAnsi" w:hAnsiTheme="minorHAnsi" w:eastAsiaTheme="minorEastAsia" w:cstheme="minorBidi"/>
          <w:color w:val="auto"/>
          <w:kern w:val="2"/>
          <w:szCs w:val="22"/>
          <w:highlight w:val="none"/>
          <w14:ligatures w14:val="standardContextual"/>
        </w:rPr>
      </w:pPr>
      <w:r>
        <w:rPr>
          <w:highlight w:val="none"/>
        </w:rPr>
        <w:fldChar w:fldCharType="begin"/>
      </w:r>
      <w:r>
        <w:rPr>
          <w:highlight w:val="none"/>
        </w:rPr>
        <w:instrText xml:space="preserve"> HYPERLINK \l "_Toc183207168" </w:instrText>
      </w:r>
      <w:r>
        <w:rPr>
          <w:highlight w:val="none"/>
        </w:rPr>
        <w:fldChar w:fldCharType="separate"/>
      </w:r>
      <w:r>
        <w:rPr>
          <w:rStyle w:val="21"/>
          <w:rFonts w:hint="eastAsia" w:ascii="宋体" w:hAnsi="宋体" w:eastAsia="宋体" w:cs="宋体"/>
          <w:color w:val="auto"/>
          <w:spacing w:val="10"/>
          <w:highlight w:val="none"/>
        </w:rPr>
        <w:t>第六章 投标文件格</w:t>
      </w:r>
      <w:r>
        <w:rPr>
          <w:rStyle w:val="21"/>
          <w:rFonts w:hint="eastAsia" w:ascii="宋体" w:hAnsi="宋体" w:eastAsia="宋体" w:cs="宋体"/>
          <w:color w:val="auto"/>
          <w:spacing w:val="8"/>
          <w:highlight w:val="none"/>
        </w:rPr>
        <w:t>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_Toc183207168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50</w:t>
      </w:r>
      <w:r>
        <w:rPr>
          <w:rFonts w:hint="eastAsia"/>
          <w:color w:val="auto"/>
          <w:highlight w:val="none"/>
        </w:rPr>
        <w:fldChar w:fldCharType="end"/>
      </w:r>
      <w:r>
        <w:rPr>
          <w:rFonts w:hint="eastAsia"/>
          <w:color w:val="auto"/>
          <w:highlight w:val="none"/>
        </w:rPr>
        <w:fldChar w:fldCharType="end"/>
      </w:r>
    </w:p>
    <w:p w14:paraId="05F22F4B">
      <w:pPr>
        <w:pStyle w:val="17"/>
        <w:tabs>
          <w:tab w:val="right" w:leader="dot" w:pos="8224"/>
        </w:tabs>
        <w:rPr>
          <w:rFonts w:asciiTheme="minorHAnsi" w:hAnsiTheme="minorHAnsi" w:eastAsiaTheme="minorEastAsia" w:cstheme="minorBidi"/>
          <w:color w:val="auto"/>
          <w:kern w:val="2"/>
          <w:szCs w:val="22"/>
          <w:highlight w:val="none"/>
          <w14:ligatures w14:val="standardContextual"/>
        </w:rPr>
      </w:pPr>
      <w:r>
        <w:rPr>
          <w:highlight w:val="none"/>
        </w:rPr>
        <w:fldChar w:fldCharType="begin"/>
      </w:r>
      <w:r>
        <w:rPr>
          <w:highlight w:val="none"/>
        </w:rPr>
        <w:instrText xml:space="preserve"> HYPERLINK \l "_Toc183207169" </w:instrText>
      </w:r>
      <w:r>
        <w:rPr>
          <w:highlight w:val="none"/>
        </w:rPr>
        <w:fldChar w:fldCharType="separate"/>
      </w:r>
      <w:r>
        <w:rPr>
          <w:rStyle w:val="21"/>
          <w:rFonts w:hint="eastAsia" w:ascii="宋体" w:hAnsi="宋体" w:eastAsia="宋体" w:cs="宋体"/>
          <w:color w:val="auto"/>
          <w:highlight w:val="none"/>
        </w:rPr>
        <w:t>第七章 否决性条款汇总</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_Toc183207169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75</w:t>
      </w:r>
      <w:r>
        <w:rPr>
          <w:rFonts w:hint="eastAsia"/>
          <w:color w:val="auto"/>
          <w:highlight w:val="none"/>
        </w:rPr>
        <w:fldChar w:fldCharType="end"/>
      </w:r>
      <w:r>
        <w:rPr>
          <w:rFonts w:hint="eastAsia"/>
          <w:color w:val="auto"/>
          <w:highlight w:val="none"/>
        </w:rPr>
        <w:fldChar w:fldCharType="end"/>
      </w:r>
    </w:p>
    <w:p w14:paraId="0FB2CE88">
      <w:pPr>
        <w:spacing w:line="360" w:lineRule="auto"/>
        <w:outlineLvl w:val="2"/>
        <w:rPr>
          <w:rFonts w:hint="eastAsia" w:ascii="宋体" w:hAnsi="宋体" w:eastAsia="宋体"/>
          <w:color w:val="auto"/>
          <w:sz w:val="24"/>
          <w:szCs w:val="24"/>
          <w:highlight w:val="none"/>
        </w:rPr>
        <w:sectPr>
          <w:headerReference r:id="rId4" w:type="default"/>
          <w:footerReference r:id="rId5" w:type="default"/>
          <w:pgSz w:w="11906" w:h="16838"/>
          <w:pgMar w:top="1346" w:right="1836" w:bottom="1103" w:left="1836" w:header="0" w:footer="941" w:gutter="0"/>
          <w:cols w:space="720" w:num="1"/>
        </w:sectPr>
      </w:pPr>
      <w:r>
        <w:rPr>
          <w:rFonts w:hint="eastAsia" w:ascii="宋体" w:hAnsi="宋体" w:eastAsia="宋体"/>
          <w:color w:val="auto"/>
          <w:sz w:val="24"/>
          <w:szCs w:val="24"/>
          <w:highlight w:val="none"/>
        </w:rPr>
        <w:fldChar w:fldCharType="end"/>
      </w:r>
    </w:p>
    <w:p w14:paraId="513FD0B5">
      <w:pPr>
        <w:pStyle w:val="24"/>
        <w:spacing w:before="5280"/>
        <w:rPr>
          <w:rFonts w:hint="eastAsia" w:ascii="宋体" w:hAnsi="宋体"/>
          <w:color w:val="auto"/>
          <w:spacing w:val="7"/>
          <w:sz w:val="52"/>
          <w:szCs w:val="52"/>
          <w:highlight w:val="none"/>
        </w:rPr>
      </w:pPr>
      <w:bookmarkStart w:id="0" w:name="_Toc183207160"/>
      <w:r>
        <w:rPr>
          <w:rFonts w:ascii="宋体" w:hAnsi="宋体"/>
          <w:color w:val="auto"/>
          <w:spacing w:val="7"/>
          <w:sz w:val="52"/>
          <w:szCs w:val="52"/>
          <w:highlight w:val="none"/>
        </w:rPr>
        <w:t>第</w:t>
      </w:r>
      <w:r>
        <w:rPr>
          <w:rFonts w:ascii="宋体" w:hAnsi="宋体"/>
          <w:color w:val="auto"/>
          <w:spacing w:val="5"/>
          <w:sz w:val="52"/>
          <w:szCs w:val="52"/>
          <w:highlight w:val="none"/>
        </w:rPr>
        <w:t>一卷</w:t>
      </w:r>
      <w:bookmarkEnd w:id="0"/>
    </w:p>
    <w:p w14:paraId="5B10D219">
      <w:pPr>
        <w:spacing w:before="5280"/>
        <w:rPr>
          <w:color w:val="auto"/>
          <w:highlight w:val="none"/>
        </w:rPr>
        <w:sectPr>
          <w:pgSz w:w="11906" w:h="16838"/>
          <w:pgMar w:top="1346" w:right="1836" w:bottom="1103" w:left="1836" w:header="0" w:footer="941" w:gutter="0"/>
          <w:cols w:space="720" w:num="1"/>
        </w:sectPr>
      </w:pPr>
    </w:p>
    <w:p w14:paraId="3F492B50">
      <w:pPr>
        <w:pStyle w:val="25"/>
        <w:rPr>
          <w:rFonts w:hint="eastAsia" w:ascii="宋体" w:hAnsi="宋体" w:eastAsia="宋体"/>
          <w:color w:val="auto"/>
          <w:spacing w:val="24"/>
          <w:szCs w:val="44"/>
          <w:highlight w:val="none"/>
          <w:lang w:eastAsia="zh-CN"/>
        </w:rPr>
      </w:pPr>
      <w:bookmarkStart w:id="1" w:name="_Toc3097"/>
      <w:bookmarkStart w:id="2" w:name="_Toc10294"/>
      <w:bookmarkStart w:id="3" w:name="_Toc183207161"/>
      <w:bookmarkStart w:id="4" w:name="_Toc7900"/>
      <w:r>
        <w:rPr>
          <w:rFonts w:ascii="宋体" w:hAnsi="宋体"/>
          <w:color w:val="auto"/>
          <w:spacing w:val="24"/>
          <w:szCs w:val="44"/>
          <w:highlight w:val="none"/>
        </w:rPr>
        <w:t>第</w:t>
      </w:r>
      <w:r>
        <w:rPr>
          <w:rFonts w:ascii="宋体" w:hAnsi="宋体"/>
          <w:color w:val="auto"/>
          <w:spacing w:val="22"/>
          <w:szCs w:val="44"/>
          <w:highlight w:val="none"/>
        </w:rPr>
        <w:t>一章</w:t>
      </w:r>
      <w:r>
        <w:rPr>
          <w:rFonts w:hint="eastAsia" w:ascii="宋体" w:hAnsi="宋体"/>
          <w:color w:val="auto"/>
          <w:spacing w:val="22"/>
          <w:szCs w:val="44"/>
          <w:highlight w:val="none"/>
        </w:rPr>
        <w:t xml:space="preserve"> </w:t>
      </w:r>
      <w:r>
        <w:rPr>
          <w:rFonts w:ascii="宋体" w:hAnsi="宋体"/>
          <w:color w:val="auto"/>
          <w:spacing w:val="22"/>
          <w:szCs w:val="44"/>
          <w:highlight w:val="none"/>
        </w:rPr>
        <w:t>招标公告</w:t>
      </w:r>
      <w:bookmarkEnd w:id="1"/>
      <w:bookmarkEnd w:id="2"/>
      <w:bookmarkEnd w:id="3"/>
      <w:bookmarkEnd w:id="4"/>
      <w:r>
        <w:rPr>
          <w:rFonts w:hint="eastAsia" w:ascii="宋体" w:hAnsi="宋体"/>
          <w:color w:val="auto"/>
          <w:spacing w:val="22"/>
          <w:szCs w:val="44"/>
          <w:highlight w:val="none"/>
          <w:lang w:eastAsia="zh-CN"/>
        </w:rPr>
        <w:t>（</w:t>
      </w:r>
      <w:r>
        <w:rPr>
          <w:rFonts w:hint="eastAsia" w:ascii="宋体" w:hAnsi="宋体"/>
          <w:color w:val="auto"/>
          <w:spacing w:val="22"/>
          <w:szCs w:val="44"/>
          <w:highlight w:val="none"/>
          <w:lang w:val="en-US" w:eastAsia="zh-CN"/>
        </w:rPr>
        <w:t>另册</w:t>
      </w:r>
      <w:r>
        <w:rPr>
          <w:rFonts w:hint="eastAsia" w:ascii="宋体" w:hAnsi="宋体"/>
          <w:color w:val="auto"/>
          <w:spacing w:val="22"/>
          <w:szCs w:val="44"/>
          <w:highlight w:val="none"/>
          <w:lang w:eastAsia="zh-CN"/>
        </w:rPr>
        <w:t>）</w:t>
      </w:r>
    </w:p>
    <w:p w14:paraId="528026EB">
      <w:pPr>
        <w:rPr>
          <w:rFonts w:ascii="宋体" w:hAnsi="宋体"/>
          <w:color w:val="auto"/>
          <w:spacing w:val="14"/>
          <w:sz w:val="43"/>
          <w:szCs w:val="43"/>
          <w:highlight w:val="none"/>
        </w:rPr>
      </w:pPr>
      <w:bookmarkStart w:id="5" w:name="_Toc183207162"/>
      <w:bookmarkStart w:id="6" w:name="_Toc23846"/>
      <w:bookmarkStart w:id="7" w:name="_Toc18831"/>
      <w:bookmarkStart w:id="8" w:name="_Toc799"/>
      <w:r>
        <w:rPr>
          <w:rFonts w:ascii="宋体" w:hAnsi="宋体"/>
          <w:color w:val="auto"/>
          <w:spacing w:val="14"/>
          <w:sz w:val="43"/>
          <w:szCs w:val="43"/>
          <w:highlight w:val="none"/>
        </w:rPr>
        <w:br w:type="page"/>
      </w:r>
    </w:p>
    <w:p w14:paraId="5EB679CF">
      <w:pPr>
        <w:pStyle w:val="25"/>
        <w:rPr>
          <w:rFonts w:hint="eastAsia" w:ascii="宋体" w:hAnsi="宋体"/>
          <w:color w:val="auto"/>
          <w:spacing w:val="14"/>
          <w:sz w:val="43"/>
          <w:szCs w:val="43"/>
          <w:highlight w:val="none"/>
        </w:rPr>
      </w:pPr>
      <w:r>
        <w:rPr>
          <w:rFonts w:ascii="宋体" w:hAnsi="宋体"/>
          <w:color w:val="auto"/>
          <w:spacing w:val="14"/>
          <w:sz w:val="43"/>
          <w:szCs w:val="43"/>
          <w:highlight w:val="none"/>
        </w:rPr>
        <w:t>第</w:t>
      </w:r>
      <w:r>
        <w:rPr>
          <w:rFonts w:ascii="宋体" w:hAnsi="宋体"/>
          <w:color w:val="auto"/>
          <w:spacing w:val="9"/>
          <w:sz w:val="43"/>
          <w:szCs w:val="43"/>
          <w:highlight w:val="none"/>
        </w:rPr>
        <w:t>二章投标人须知</w:t>
      </w:r>
      <w:bookmarkEnd w:id="5"/>
      <w:bookmarkEnd w:id="6"/>
      <w:bookmarkEnd w:id="7"/>
      <w:bookmarkEnd w:id="8"/>
    </w:p>
    <w:p w14:paraId="7CC8C22C">
      <w:pPr>
        <w:spacing w:line="263" w:lineRule="auto"/>
        <w:rPr>
          <w:color w:val="auto"/>
          <w:highlight w:val="none"/>
        </w:rPr>
      </w:pPr>
    </w:p>
    <w:p w14:paraId="5E3417B3">
      <w:pPr>
        <w:jc w:val="center"/>
        <w:rPr>
          <w:rFonts w:hint="eastAsia" w:ascii="黑体" w:hAnsi="黑体" w:eastAsia="黑体"/>
          <w:color w:val="auto"/>
          <w:spacing w:val="10"/>
          <w:sz w:val="31"/>
          <w:szCs w:val="31"/>
          <w:highlight w:val="none"/>
        </w:rPr>
      </w:pPr>
      <w:bookmarkStart w:id="9" w:name="_Toc22370"/>
      <w:bookmarkStart w:id="10" w:name="_Toc22800"/>
      <w:bookmarkStart w:id="11" w:name="_Toc13454"/>
      <w:bookmarkStart w:id="12" w:name="_Toc22412"/>
      <w:bookmarkStart w:id="13" w:name="_Toc30811"/>
      <w:bookmarkStart w:id="14" w:name="_Toc29587"/>
      <w:r>
        <w:rPr>
          <w:rFonts w:ascii="黑体" w:hAnsi="黑体" w:eastAsia="黑体"/>
          <w:color w:val="auto"/>
          <w:spacing w:val="10"/>
          <w:sz w:val="31"/>
          <w:szCs w:val="31"/>
          <w:highlight w:val="none"/>
        </w:rPr>
        <w:t>投标人须知前附表</w:t>
      </w:r>
      <w:bookmarkEnd w:id="9"/>
      <w:bookmarkEnd w:id="10"/>
      <w:bookmarkEnd w:id="11"/>
      <w:bookmarkEnd w:id="12"/>
      <w:bookmarkEnd w:id="13"/>
      <w:bookmarkEnd w:id="14"/>
    </w:p>
    <w:p w14:paraId="101CE945">
      <w:pPr>
        <w:rPr>
          <w:color w:val="auto"/>
          <w:highlight w:val="none"/>
        </w:rPr>
      </w:pPr>
    </w:p>
    <w:p w14:paraId="2D025D85">
      <w:pPr>
        <w:rPr>
          <w:color w:val="auto"/>
          <w:highlight w:val="none"/>
        </w:rPr>
      </w:pPr>
    </w:p>
    <w:p w14:paraId="7F29A1A0">
      <w:pPr>
        <w:spacing w:line="62" w:lineRule="exact"/>
        <w:rPr>
          <w:color w:val="auto"/>
          <w:highlight w:val="none"/>
        </w:rPr>
      </w:pPr>
    </w:p>
    <w:tbl>
      <w:tblPr>
        <w:tblStyle w:val="19"/>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9"/>
        <w:gridCol w:w="3547"/>
        <w:gridCol w:w="4610"/>
      </w:tblGrid>
      <w:tr w14:paraId="698CE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blHeader/>
        </w:trPr>
        <w:tc>
          <w:tcPr>
            <w:tcW w:w="1169" w:type="dxa"/>
          </w:tcPr>
          <w:p w14:paraId="0DB62D36">
            <w:pPr>
              <w:spacing w:before="174" w:line="220" w:lineRule="auto"/>
              <w:ind w:left="276"/>
              <w:rPr>
                <w:rFonts w:hint="eastAsia" w:ascii="宋体" w:hAnsi="宋体" w:eastAsia="宋体"/>
                <w:color w:val="auto"/>
                <w:spacing w:val="-3"/>
                <w:highlight w:val="none"/>
              </w:rPr>
            </w:pPr>
            <w:r>
              <w:rPr>
                <w:rFonts w:ascii="宋体" w:hAnsi="宋体" w:eastAsia="宋体"/>
                <w:color w:val="auto"/>
                <w:spacing w:val="-3"/>
                <w:highlight w:val="none"/>
              </w:rPr>
              <w:t>条款号</w:t>
            </w:r>
          </w:p>
        </w:tc>
        <w:tc>
          <w:tcPr>
            <w:tcW w:w="3547" w:type="dxa"/>
          </w:tcPr>
          <w:p w14:paraId="7C49FB76">
            <w:pPr>
              <w:spacing w:before="174" w:line="220" w:lineRule="auto"/>
              <w:ind w:left="1537"/>
              <w:rPr>
                <w:rFonts w:hint="eastAsia" w:ascii="宋体" w:hAnsi="宋体" w:eastAsia="宋体"/>
                <w:color w:val="auto"/>
                <w:spacing w:val="-2"/>
                <w:highlight w:val="none"/>
              </w:rPr>
            </w:pPr>
            <w:r>
              <w:rPr>
                <w:rFonts w:ascii="宋体" w:hAnsi="宋体" w:eastAsia="宋体"/>
                <w:color w:val="auto"/>
                <w:spacing w:val="-2"/>
                <w:highlight w:val="none"/>
              </w:rPr>
              <w:t>条款名称</w:t>
            </w:r>
          </w:p>
        </w:tc>
        <w:tc>
          <w:tcPr>
            <w:tcW w:w="4610" w:type="dxa"/>
          </w:tcPr>
          <w:p w14:paraId="6F8BE6C1">
            <w:pPr>
              <w:spacing w:before="174" w:line="220" w:lineRule="auto"/>
              <w:ind w:left="1712"/>
              <w:rPr>
                <w:rFonts w:hint="eastAsia" w:ascii="宋体" w:hAnsi="宋体" w:eastAsia="宋体"/>
                <w:color w:val="auto"/>
                <w:spacing w:val="-2"/>
                <w:highlight w:val="none"/>
              </w:rPr>
            </w:pPr>
            <w:r>
              <w:rPr>
                <w:rFonts w:ascii="宋体" w:hAnsi="宋体" w:eastAsia="宋体"/>
                <w:color w:val="auto"/>
                <w:spacing w:val="-2"/>
                <w:highlight w:val="none"/>
              </w:rPr>
              <w:t>编列内容</w:t>
            </w:r>
          </w:p>
        </w:tc>
      </w:tr>
      <w:tr w14:paraId="184CF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169" w:type="dxa"/>
          </w:tcPr>
          <w:p w14:paraId="1FF405EB">
            <w:pPr>
              <w:spacing w:line="267" w:lineRule="auto"/>
              <w:rPr>
                <w:color w:val="auto"/>
                <w:highlight w:val="none"/>
              </w:rPr>
            </w:pPr>
          </w:p>
          <w:p w14:paraId="3363261C">
            <w:pPr>
              <w:spacing w:line="268" w:lineRule="auto"/>
              <w:rPr>
                <w:color w:val="auto"/>
                <w:highlight w:val="none"/>
              </w:rPr>
            </w:pPr>
          </w:p>
          <w:p w14:paraId="41CCB782">
            <w:pPr>
              <w:spacing w:line="268" w:lineRule="auto"/>
              <w:rPr>
                <w:color w:val="auto"/>
                <w:highlight w:val="none"/>
              </w:rPr>
            </w:pPr>
          </w:p>
          <w:p w14:paraId="0EDBC631">
            <w:pPr>
              <w:spacing w:before="61" w:line="186"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.1.2</w:t>
            </w:r>
          </w:p>
        </w:tc>
        <w:tc>
          <w:tcPr>
            <w:tcW w:w="3547" w:type="dxa"/>
          </w:tcPr>
          <w:p w14:paraId="3297D20C">
            <w:pPr>
              <w:spacing w:line="252" w:lineRule="auto"/>
              <w:rPr>
                <w:color w:val="auto"/>
                <w:highlight w:val="none"/>
              </w:rPr>
            </w:pPr>
          </w:p>
          <w:p w14:paraId="0E1D2727">
            <w:pPr>
              <w:spacing w:line="252" w:lineRule="auto"/>
              <w:rPr>
                <w:color w:val="auto"/>
                <w:highlight w:val="none"/>
              </w:rPr>
            </w:pPr>
          </w:p>
          <w:p w14:paraId="69B7FEF1">
            <w:pPr>
              <w:spacing w:line="253" w:lineRule="auto"/>
              <w:rPr>
                <w:color w:val="auto"/>
                <w:highlight w:val="none"/>
              </w:rPr>
            </w:pPr>
          </w:p>
          <w:p w14:paraId="275AABCD">
            <w:pPr>
              <w:spacing w:before="68" w:line="221" w:lineRule="auto"/>
              <w:ind w:left="1641"/>
              <w:rPr>
                <w:rFonts w:hint="eastAsia" w:ascii="宋体" w:hAnsi="宋体" w:eastAsia="宋体"/>
                <w:color w:val="auto"/>
                <w:spacing w:val="-3"/>
                <w:highlight w:val="none"/>
              </w:rPr>
            </w:pPr>
            <w:r>
              <w:rPr>
                <w:rFonts w:ascii="宋体" w:hAnsi="宋体" w:eastAsia="宋体"/>
                <w:color w:val="auto"/>
                <w:spacing w:val="-3"/>
                <w:highlight w:val="none"/>
              </w:rPr>
              <w:t>招</w:t>
            </w:r>
            <w:r>
              <w:rPr>
                <w:rFonts w:ascii="宋体" w:hAnsi="宋体" w:eastAsia="宋体"/>
                <w:color w:val="auto"/>
                <w:spacing w:val="-2"/>
                <w:highlight w:val="none"/>
              </w:rPr>
              <w:t>标人</w:t>
            </w:r>
          </w:p>
        </w:tc>
        <w:tc>
          <w:tcPr>
            <w:tcW w:w="4610" w:type="dxa"/>
          </w:tcPr>
          <w:p w14:paraId="09F558C8">
            <w:pPr>
              <w:spacing w:before="170" w:line="440" w:lineRule="exact"/>
              <w:ind w:left="105" w:leftChars="50" w:right="105" w:rightChars="50"/>
              <w:rPr>
                <w:rFonts w:hint="eastAsia" w:ascii="宋体" w:hAnsi="宋体" w:eastAsia="宋体"/>
                <w:color w:val="auto"/>
                <w:spacing w:val="-14"/>
                <w:position w:val="17"/>
                <w:highlight w:val="none"/>
              </w:rPr>
            </w:pPr>
            <w:r>
              <w:rPr>
                <w:rFonts w:ascii="宋体" w:hAnsi="宋体" w:eastAsia="宋体"/>
                <w:color w:val="auto"/>
                <w:spacing w:val="-14"/>
                <w:position w:val="17"/>
                <w:highlight w:val="none"/>
              </w:rPr>
              <w:t>名</w:t>
            </w:r>
            <w:r>
              <w:rPr>
                <w:rFonts w:ascii="宋体" w:hAnsi="宋体" w:eastAsia="宋体"/>
                <w:color w:val="auto"/>
                <w:spacing w:val="-13"/>
                <w:position w:val="17"/>
                <w:highlight w:val="none"/>
              </w:rPr>
              <w:t>称：</w:t>
            </w:r>
            <w:r>
              <w:rPr>
                <w:rFonts w:hint="eastAsia" w:ascii="宋体" w:hAnsi="宋体" w:eastAsia="宋体"/>
                <w:color w:val="auto"/>
                <w:spacing w:val="-13"/>
                <w:position w:val="17"/>
                <w:highlight w:val="none"/>
              </w:rPr>
              <w:t xml:space="preserve">广州市番禺区人民政府大石街道办事处 </w:t>
            </w:r>
          </w:p>
          <w:p w14:paraId="1D8DBFF8">
            <w:pPr>
              <w:spacing w:line="229" w:lineRule="auto"/>
              <w:ind w:left="105" w:leftChars="50" w:right="105" w:rightChars="50"/>
              <w:rPr>
                <w:rFonts w:hint="eastAsia" w:ascii="宋体" w:hAnsi="宋体" w:eastAsia="宋体"/>
                <w:color w:val="auto"/>
                <w:spacing w:val="-14"/>
                <w:highlight w:val="none"/>
              </w:rPr>
            </w:pPr>
            <w:r>
              <w:rPr>
                <w:rFonts w:ascii="宋体" w:hAnsi="宋体" w:eastAsia="宋体"/>
                <w:color w:val="auto"/>
                <w:spacing w:val="-14"/>
                <w:highlight w:val="none"/>
              </w:rPr>
              <w:t>地</w:t>
            </w:r>
            <w:r>
              <w:rPr>
                <w:rFonts w:ascii="宋体" w:hAnsi="宋体" w:eastAsia="宋体"/>
                <w:color w:val="auto"/>
                <w:spacing w:val="-12"/>
                <w:highlight w:val="none"/>
              </w:rPr>
              <w:t>址：</w:t>
            </w:r>
            <w:r>
              <w:rPr>
                <w:rFonts w:hint="eastAsia" w:ascii="宋体" w:hAnsi="宋体" w:eastAsia="宋体"/>
                <w:color w:val="auto"/>
                <w:spacing w:val="-12"/>
                <w:highlight w:val="none"/>
                <w:u w:val="single"/>
              </w:rPr>
              <w:t>广州市番禺区朝阳西路51号</w:t>
            </w:r>
          </w:p>
          <w:p w14:paraId="777026B8">
            <w:pPr>
              <w:spacing w:before="178" w:line="222" w:lineRule="auto"/>
              <w:ind w:left="105" w:leftChars="50" w:right="105" w:rightChars="50"/>
              <w:rPr>
                <w:rFonts w:hint="eastAsia" w:ascii="宋体" w:hAnsi="宋体" w:eastAsia="宋体"/>
                <w:color w:val="auto"/>
                <w:spacing w:val="-13"/>
                <w:highlight w:val="none"/>
              </w:rPr>
            </w:pPr>
            <w:r>
              <w:rPr>
                <w:rFonts w:ascii="宋体" w:hAnsi="宋体" w:eastAsia="宋体"/>
                <w:color w:val="auto"/>
                <w:spacing w:val="-13"/>
                <w:highlight w:val="none"/>
              </w:rPr>
              <w:t>联</w:t>
            </w:r>
            <w:r>
              <w:rPr>
                <w:rFonts w:ascii="宋体" w:hAnsi="宋体" w:eastAsia="宋体"/>
                <w:color w:val="auto"/>
                <w:spacing w:val="-10"/>
                <w:highlight w:val="none"/>
              </w:rPr>
              <w:t>系人：</w:t>
            </w:r>
            <w:r>
              <w:rPr>
                <w:rFonts w:hint="eastAsia" w:ascii="宋体" w:hAnsi="宋体" w:eastAsia="宋体"/>
                <w:color w:val="auto"/>
                <w:spacing w:val="-12"/>
                <w:highlight w:val="none"/>
                <w:u w:val="single"/>
              </w:rPr>
              <w:t xml:space="preserve"> 陈工      </w:t>
            </w:r>
          </w:p>
          <w:p w14:paraId="30A09E01">
            <w:pPr>
              <w:spacing w:before="188" w:line="222" w:lineRule="auto"/>
              <w:ind w:left="105" w:leftChars="50" w:right="105" w:rightChars="50"/>
              <w:rPr>
                <w:rFonts w:hint="eastAsia" w:ascii="宋体" w:hAnsi="宋体" w:eastAsia="宋体"/>
                <w:color w:val="auto"/>
                <w:spacing w:val="-19"/>
                <w:highlight w:val="none"/>
              </w:rPr>
            </w:pPr>
            <w:r>
              <w:rPr>
                <w:rFonts w:ascii="宋体" w:hAnsi="宋体" w:eastAsia="宋体"/>
                <w:color w:val="auto"/>
                <w:spacing w:val="-19"/>
                <w:highlight w:val="none"/>
              </w:rPr>
              <w:t>电</w:t>
            </w:r>
            <w:r>
              <w:rPr>
                <w:rFonts w:ascii="宋体" w:hAnsi="宋体" w:eastAsia="宋体"/>
                <w:color w:val="auto"/>
                <w:spacing w:val="-18"/>
                <w:highlight w:val="none"/>
              </w:rPr>
              <w:t>话：</w:t>
            </w:r>
            <w:r>
              <w:rPr>
                <w:rFonts w:hint="eastAsia" w:ascii="宋体" w:hAnsi="宋体" w:eastAsia="宋体"/>
                <w:color w:val="auto"/>
                <w:spacing w:val="-12"/>
                <w:highlight w:val="none"/>
                <w:u w:val="single"/>
              </w:rPr>
              <w:t xml:space="preserve">  020-31564595   </w:t>
            </w:r>
          </w:p>
        </w:tc>
      </w:tr>
      <w:tr w14:paraId="51872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169" w:type="dxa"/>
          </w:tcPr>
          <w:p w14:paraId="148B8241">
            <w:pPr>
              <w:spacing w:line="268" w:lineRule="auto"/>
              <w:rPr>
                <w:color w:val="auto"/>
                <w:highlight w:val="none"/>
              </w:rPr>
            </w:pPr>
          </w:p>
          <w:p w14:paraId="5FEABB8E">
            <w:pPr>
              <w:spacing w:line="268" w:lineRule="auto"/>
              <w:rPr>
                <w:color w:val="auto"/>
                <w:highlight w:val="none"/>
              </w:rPr>
            </w:pPr>
          </w:p>
          <w:p w14:paraId="109708EF">
            <w:pPr>
              <w:spacing w:line="268" w:lineRule="auto"/>
              <w:rPr>
                <w:color w:val="auto"/>
                <w:highlight w:val="none"/>
              </w:rPr>
            </w:pPr>
          </w:p>
          <w:p w14:paraId="07D10629">
            <w:pPr>
              <w:spacing w:before="61" w:line="186"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.1.3</w:t>
            </w:r>
          </w:p>
        </w:tc>
        <w:tc>
          <w:tcPr>
            <w:tcW w:w="3547" w:type="dxa"/>
          </w:tcPr>
          <w:p w14:paraId="3613537F">
            <w:pPr>
              <w:spacing w:line="252" w:lineRule="auto"/>
              <w:rPr>
                <w:color w:val="auto"/>
                <w:highlight w:val="none"/>
              </w:rPr>
            </w:pPr>
          </w:p>
          <w:p w14:paraId="51121955">
            <w:pPr>
              <w:spacing w:line="253" w:lineRule="auto"/>
              <w:rPr>
                <w:color w:val="auto"/>
                <w:highlight w:val="none"/>
              </w:rPr>
            </w:pPr>
          </w:p>
          <w:p w14:paraId="0752367B">
            <w:pPr>
              <w:spacing w:line="253" w:lineRule="auto"/>
              <w:rPr>
                <w:color w:val="auto"/>
                <w:highlight w:val="none"/>
              </w:rPr>
            </w:pPr>
          </w:p>
          <w:p w14:paraId="20FA46B3">
            <w:pPr>
              <w:spacing w:before="68" w:line="219" w:lineRule="auto"/>
              <w:ind w:left="1326"/>
              <w:rPr>
                <w:rFonts w:hint="eastAsia" w:ascii="宋体" w:hAnsi="宋体" w:eastAsia="宋体"/>
                <w:color w:val="auto"/>
                <w:spacing w:val="-2"/>
                <w:highlight w:val="none"/>
              </w:rPr>
            </w:pPr>
            <w:r>
              <w:rPr>
                <w:rFonts w:ascii="宋体" w:hAnsi="宋体" w:eastAsia="宋体"/>
                <w:color w:val="auto"/>
                <w:spacing w:val="-2"/>
                <w:highlight w:val="none"/>
              </w:rPr>
              <w:t>招标</w:t>
            </w:r>
            <w:r>
              <w:rPr>
                <w:rFonts w:ascii="宋体" w:hAnsi="宋体" w:eastAsia="宋体"/>
                <w:color w:val="auto"/>
                <w:spacing w:val="-1"/>
                <w:highlight w:val="none"/>
              </w:rPr>
              <w:t>代理机构</w:t>
            </w:r>
          </w:p>
        </w:tc>
        <w:tc>
          <w:tcPr>
            <w:tcW w:w="4610" w:type="dxa"/>
          </w:tcPr>
          <w:p w14:paraId="6AED7CFF">
            <w:pPr>
              <w:spacing w:before="171" w:line="440" w:lineRule="exact"/>
              <w:ind w:left="105" w:leftChars="50" w:right="105" w:rightChars="50"/>
              <w:rPr>
                <w:rFonts w:hint="eastAsia" w:ascii="宋体" w:hAnsi="宋体" w:eastAsia="宋体"/>
                <w:color w:val="auto"/>
                <w:spacing w:val="-14"/>
                <w:position w:val="17"/>
                <w:highlight w:val="none"/>
              </w:rPr>
            </w:pPr>
            <w:r>
              <w:rPr>
                <w:rFonts w:ascii="宋体" w:hAnsi="宋体" w:eastAsia="宋体"/>
                <w:color w:val="auto"/>
                <w:spacing w:val="-14"/>
                <w:position w:val="17"/>
                <w:highlight w:val="none"/>
              </w:rPr>
              <w:t>名</w:t>
            </w:r>
            <w:r>
              <w:rPr>
                <w:rFonts w:ascii="宋体" w:hAnsi="宋体" w:eastAsia="宋体"/>
                <w:color w:val="auto"/>
                <w:spacing w:val="-13"/>
                <w:position w:val="17"/>
                <w:highlight w:val="none"/>
              </w:rPr>
              <w:t>称：</w:t>
            </w:r>
            <w:r>
              <w:rPr>
                <w:rFonts w:hint="eastAsia" w:ascii="宋体" w:hAnsi="宋体" w:eastAsia="宋体"/>
                <w:color w:val="auto"/>
                <w:spacing w:val="-13"/>
                <w:position w:val="17"/>
                <w:highlight w:val="none"/>
                <w:u w:val="single"/>
              </w:rPr>
              <w:t>广州桥润招采造价咨询有限公司</w:t>
            </w:r>
          </w:p>
          <w:p w14:paraId="5ACC8F8C">
            <w:pPr>
              <w:spacing w:line="229" w:lineRule="auto"/>
              <w:ind w:left="105" w:leftChars="50" w:right="105" w:rightChars="50"/>
              <w:rPr>
                <w:rFonts w:hint="eastAsia" w:ascii="宋体" w:hAnsi="宋体" w:eastAsia="宋体"/>
                <w:color w:val="auto"/>
                <w:spacing w:val="-14"/>
                <w:highlight w:val="none"/>
              </w:rPr>
            </w:pPr>
            <w:r>
              <w:rPr>
                <w:rFonts w:ascii="宋体" w:hAnsi="宋体" w:eastAsia="宋体"/>
                <w:color w:val="auto"/>
                <w:spacing w:val="-14"/>
                <w:highlight w:val="none"/>
              </w:rPr>
              <w:t>地</w:t>
            </w:r>
            <w:r>
              <w:rPr>
                <w:rFonts w:ascii="宋体" w:hAnsi="宋体" w:eastAsia="宋体"/>
                <w:color w:val="auto"/>
                <w:spacing w:val="-12"/>
                <w:highlight w:val="none"/>
              </w:rPr>
              <w:t>址：</w:t>
            </w:r>
            <w:r>
              <w:rPr>
                <w:rFonts w:hint="eastAsia" w:ascii="宋体" w:hAnsi="宋体" w:eastAsia="宋体"/>
                <w:color w:val="auto"/>
                <w:spacing w:val="-12"/>
                <w:highlight w:val="none"/>
                <w:u w:val="single"/>
              </w:rPr>
              <w:t>广州市番禺区天保路5号</w:t>
            </w:r>
          </w:p>
          <w:p w14:paraId="6FE981E2">
            <w:pPr>
              <w:spacing w:before="178" w:line="222" w:lineRule="auto"/>
              <w:ind w:left="105" w:leftChars="50" w:right="105" w:rightChars="50"/>
              <w:rPr>
                <w:rFonts w:hint="eastAsia" w:ascii="宋体" w:hAnsi="宋体" w:eastAsia="宋体"/>
                <w:color w:val="auto"/>
                <w:spacing w:val="-13"/>
                <w:highlight w:val="none"/>
              </w:rPr>
            </w:pPr>
            <w:r>
              <w:rPr>
                <w:rFonts w:ascii="宋体" w:hAnsi="宋体" w:eastAsia="宋体"/>
                <w:color w:val="auto"/>
                <w:spacing w:val="-13"/>
                <w:highlight w:val="none"/>
              </w:rPr>
              <w:t>联</w:t>
            </w:r>
            <w:r>
              <w:rPr>
                <w:rFonts w:ascii="宋体" w:hAnsi="宋体" w:eastAsia="宋体"/>
                <w:color w:val="auto"/>
                <w:spacing w:val="-10"/>
                <w:highlight w:val="none"/>
              </w:rPr>
              <w:t>系人：</w:t>
            </w:r>
            <w:r>
              <w:rPr>
                <w:rFonts w:hint="eastAsia" w:ascii="宋体" w:hAnsi="宋体" w:eastAsia="宋体"/>
                <w:color w:val="auto"/>
                <w:spacing w:val="-12"/>
                <w:highlight w:val="none"/>
                <w:u w:val="single"/>
              </w:rPr>
              <w:t xml:space="preserve"> 彭工    </w:t>
            </w:r>
          </w:p>
          <w:p w14:paraId="4EC5CDEC">
            <w:pPr>
              <w:spacing w:before="188" w:line="222" w:lineRule="auto"/>
              <w:ind w:left="105" w:leftChars="50" w:right="105" w:rightChars="50"/>
              <w:rPr>
                <w:rFonts w:hint="eastAsia" w:ascii="宋体" w:hAnsi="宋体" w:eastAsia="宋体"/>
                <w:color w:val="auto"/>
                <w:spacing w:val="-19"/>
                <w:highlight w:val="none"/>
              </w:rPr>
            </w:pPr>
            <w:r>
              <w:rPr>
                <w:rFonts w:ascii="宋体" w:hAnsi="宋体" w:eastAsia="宋体"/>
                <w:color w:val="auto"/>
                <w:spacing w:val="-19"/>
                <w:highlight w:val="none"/>
              </w:rPr>
              <w:t>电</w:t>
            </w:r>
            <w:r>
              <w:rPr>
                <w:rFonts w:ascii="宋体" w:hAnsi="宋体" w:eastAsia="宋体"/>
                <w:color w:val="auto"/>
                <w:spacing w:val="-18"/>
                <w:highlight w:val="none"/>
              </w:rPr>
              <w:t>话：</w:t>
            </w:r>
            <w:r>
              <w:rPr>
                <w:rFonts w:hint="eastAsia" w:ascii="宋体" w:hAnsi="宋体" w:eastAsia="宋体"/>
                <w:color w:val="auto"/>
                <w:spacing w:val="-12"/>
                <w:highlight w:val="none"/>
                <w:u w:val="single"/>
              </w:rPr>
              <w:t xml:space="preserve">020-84880027  </w:t>
            </w:r>
          </w:p>
        </w:tc>
      </w:tr>
      <w:tr w14:paraId="18CED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69" w:type="dxa"/>
          </w:tcPr>
          <w:p w14:paraId="3104FB67">
            <w:pPr>
              <w:spacing w:before="211" w:line="186"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.1.4</w:t>
            </w:r>
          </w:p>
        </w:tc>
        <w:tc>
          <w:tcPr>
            <w:tcW w:w="3547" w:type="dxa"/>
          </w:tcPr>
          <w:p w14:paraId="51A7231C">
            <w:pPr>
              <w:spacing w:before="172" w:line="220" w:lineRule="auto"/>
              <w:ind w:left="1326"/>
              <w:rPr>
                <w:rFonts w:hint="eastAsia" w:ascii="宋体" w:hAnsi="宋体" w:eastAsia="宋体"/>
                <w:color w:val="auto"/>
                <w:spacing w:val="-2"/>
                <w:highlight w:val="none"/>
              </w:rPr>
            </w:pPr>
            <w:r>
              <w:rPr>
                <w:rFonts w:ascii="宋体" w:hAnsi="宋体" w:eastAsia="宋体"/>
                <w:color w:val="auto"/>
                <w:spacing w:val="-2"/>
                <w:highlight w:val="none"/>
              </w:rPr>
              <w:t>招标</w:t>
            </w:r>
            <w:r>
              <w:rPr>
                <w:rFonts w:ascii="宋体" w:hAnsi="宋体" w:eastAsia="宋体"/>
                <w:color w:val="auto"/>
                <w:spacing w:val="-1"/>
                <w:highlight w:val="none"/>
              </w:rPr>
              <w:t>项目名称</w:t>
            </w:r>
          </w:p>
        </w:tc>
        <w:tc>
          <w:tcPr>
            <w:tcW w:w="4610" w:type="dxa"/>
            <w:vAlign w:val="center"/>
          </w:tcPr>
          <w:p w14:paraId="40F75878">
            <w:pPr>
              <w:ind w:left="105" w:leftChars="50" w:right="105" w:rightChars="50"/>
              <w:rPr>
                <w:color w:val="auto"/>
                <w:highlight w:val="none"/>
              </w:rPr>
            </w:pPr>
            <w:r>
              <w:rPr>
                <w:rFonts w:hint="eastAsia" w:eastAsia="宋体"/>
                <w:color w:val="auto"/>
                <w:highlight w:val="none"/>
              </w:rPr>
              <w:t>广州番禺万博西片区大石防洪设施改建项目</w:t>
            </w:r>
            <w:r>
              <w:rPr>
                <w:rFonts w:hint="eastAsia"/>
                <w:color w:val="auto"/>
                <w:highlight w:val="none"/>
              </w:rPr>
              <w:t>勘察设计</w:t>
            </w:r>
          </w:p>
        </w:tc>
      </w:tr>
      <w:tr w14:paraId="6931E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69" w:type="dxa"/>
          </w:tcPr>
          <w:p w14:paraId="02D770EF">
            <w:pPr>
              <w:spacing w:before="212" w:line="186"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.1.5</w:t>
            </w:r>
          </w:p>
        </w:tc>
        <w:tc>
          <w:tcPr>
            <w:tcW w:w="3547" w:type="dxa"/>
          </w:tcPr>
          <w:p w14:paraId="598937C6">
            <w:pPr>
              <w:spacing w:before="173" w:line="220" w:lineRule="auto"/>
              <w:ind w:left="1328"/>
              <w:rPr>
                <w:rFonts w:hint="eastAsia" w:ascii="宋体" w:hAnsi="宋体" w:eastAsia="宋体"/>
                <w:color w:val="auto"/>
                <w:spacing w:val="-2"/>
                <w:highlight w:val="none"/>
              </w:rPr>
            </w:pPr>
            <w:r>
              <w:rPr>
                <w:rFonts w:ascii="宋体" w:hAnsi="宋体" w:eastAsia="宋体"/>
                <w:color w:val="auto"/>
                <w:spacing w:val="-2"/>
                <w:highlight w:val="none"/>
              </w:rPr>
              <w:t>项目建设</w:t>
            </w:r>
            <w:r>
              <w:rPr>
                <w:rFonts w:ascii="宋体" w:hAnsi="宋体" w:eastAsia="宋体"/>
                <w:color w:val="auto"/>
                <w:spacing w:val="-1"/>
                <w:highlight w:val="none"/>
              </w:rPr>
              <w:t>地点</w:t>
            </w:r>
          </w:p>
        </w:tc>
        <w:tc>
          <w:tcPr>
            <w:tcW w:w="4610" w:type="dxa"/>
            <w:vAlign w:val="center"/>
          </w:tcPr>
          <w:p w14:paraId="5B251535">
            <w:pPr>
              <w:ind w:left="105" w:leftChars="50" w:right="105" w:rightChars="50"/>
              <w:jc w:val="both"/>
              <w:rPr>
                <w:color w:val="auto"/>
                <w:highlight w:val="none"/>
              </w:rPr>
            </w:pPr>
            <w:r>
              <w:rPr>
                <w:rFonts w:hint="eastAsia"/>
                <w:color w:val="auto"/>
                <w:highlight w:val="none"/>
              </w:rPr>
              <w:t>详见招标公告</w:t>
            </w:r>
          </w:p>
        </w:tc>
      </w:tr>
      <w:tr w14:paraId="3B0CA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169" w:type="dxa"/>
          </w:tcPr>
          <w:p w14:paraId="651901E8">
            <w:pPr>
              <w:spacing w:before="212" w:line="186"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.1.6</w:t>
            </w:r>
          </w:p>
        </w:tc>
        <w:tc>
          <w:tcPr>
            <w:tcW w:w="3547" w:type="dxa"/>
          </w:tcPr>
          <w:p w14:paraId="02187727">
            <w:pPr>
              <w:spacing w:before="173" w:line="220" w:lineRule="auto"/>
              <w:ind w:left="1328"/>
              <w:rPr>
                <w:rFonts w:hint="eastAsia" w:ascii="宋体" w:hAnsi="宋体" w:eastAsia="宋体"/>
                <w:color w:val="auto"/>
                <w:spacing w:val="-2"/>
                <w:highlight w:val="none"/>
              </w:rPr>
            </w:pPr>
            <w:r>
              <w:rPr>
                <w:rFonts w:ascii="宋体" w:hAnsi="宋体" w:eastAsia="宋体"/>
                <w:color w:val="auto"/>
                <w:spacing w:val="-2"/>
                <w:highlight w:val="none"/>
              </w:rPr>
              <w:t>项目建设</w:t>
            </w:r>
            <w:r>
              <w:rPr>
                <w:rFonts w:ascii="宋体" w:hAnsi="宋体" w:eastAsia="宋体"/>
                <w:color w:val="auto"/>
                <w:spacing w:val="-1"/>
                <w:highlight w:val="none"/>
              </w:rPr>
              <w:t>规模</w:t>
            </w:r>
          </w:p>
        </w:tc>
        <w:tc>
          <w:tcPr>
            <w:tcW w:w="4610" w:type="dxa"/>
            <w:vAlign w:val="center"/>
          </w:tcPr>
          <w:p w14:paraId="01603A0F">
            <w:pPr>
              <w:ind w:left="105" w:leftChars="50" w:right="105" w:rightChars="50"/>
              <w:jc w:val="both"/>
              <w:rPr>
                <w:color w:val="auto"/>
                <w:highlight w:val="none"/>
              </w:rPr>
            </w:pPr>
            <w:r>
              <w:rPr>
                <w:rFonts w:hint="eastAsia"/>
                <w:color w:val="auto"/>
                <w:highlight w:val="none"/>
              </w:rPr>
              <w:t>详见招标公告</w:t>
            </w:r>
          </w:p>
        </w:tc>
      </w:tr>
      <w:tr w14:paraId="33434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tcPr>
          <w:p w14:paraId="2E052888">
            <w:pPr>
              <w:spacing w:before="212" w:line="186"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.1.7</w:t>
            </w:r>
          </w:p>
        </w:tc>
        <w:tc>
          <w:tcPr>
            <w:tcW w:w="3547" w:type="dxa"/>
          </w:tcPr>
          <w:p w14:paraId="6023973D">
            <w:pPr>
              <w:spacing w:before="173" w:line="219" w:lineRule="auto"/>
              <w:ind w:left="1328"/>
              <w:rPr>
                <w:rFonts w:hint="eastAsia" w:ascii="宋体" w:hAnsi="宋体" w:eastAsia="宋体"/>
                <w:color w:val="auto"/>
                <w:spacing w:val="-2"/>
                <w:highlight w:val="none"/>
              </w:rPr>
            </w:pPr>
            <w:r>
              <w:rPr>
                <w:rFonts w:ascii="宋体" w:hAnsi="宋体" w:eastAsia="宋体"/>
                <w:color w:val="auto"/>
                <w:spacing w:val="-2"/>
                <w:highlight w:val="none"/>
              </w:rPr>
              <w:t>项目投资</w:t>
            </w:r>
            <w:r>
              <w:rPr>
                <w:rFonts w:ascii="宋体" w:hAnsi="宋体" w:eastAsia="宋体"/>
                <w:color w:val="auto"/>
                <w:spacing w:val="-1"/>
                <w:highlight w:val="none"/>
              </w:rPr>
              <w:t>估算</w:t>
            </w:r>
          </w:p>
        </w:tc>
        <w:tc>
          <w:tcPr>
            <w:tcW w:w="4610" w:type="dxa"/>
            <w:vAlign w:val="center"/>
          </w:tcPr>
          <w:p w14:paraId="6208DEBF">
            <w:pPr>
              <w:ind w:left="105" w:leftChars="50" w:right="105" w:rightChars="50"/>
              <w:jc w:val="both"/>
              <w:rPr>
                <w:rFonts w:ascii="宋体" w:hAnsi="宋体"/>
                <w:color w:val="auto"/>
                <w:highlight w:val="none"/>
              </w:rPr>
            </w:pPr>
            <w:r>
              <w:rPr>
                <w:rFonts w:hint="eastAsia" w:ascii="宋体" w:hAnsi="宋体"/>
                <w:color w:val="auto"/>
                <w:highlight w:val="none"/>
              </w:rPr>
              <w:t>总投资</w:t>
            </w:r>
            <w:r>
              <w:rPr>
                <w:rFonts w:hint="default" w:ascii="宋体" w:hAnsi="宋体" w:eastAsia="宋体"/>
                <w:color w:val="auto"/>
                <w:highlight w:val="none"/>
                <w:u w:val="single"/>
              </w:rPr>
              <w:t>12016.13</w:t>
            </w:r>
            <w:r>
              <w:rPr>
                <w:rFonts w:hint="eastAsia" w:ascii="宋体" w:hAnsi="宋体"/>
                <w:color w:val="auto"/>
                <w:highlight w:val="none"/>
              </w:rPr>
              <w:t>万元。</w:t>
            </w:r>
          </w:p>
        </w:tc>
      </w:tr>
      <w:tr w14:paraId="0F908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tcPr>
          <w:p w14:paraId="0D172DDC">
            <w:pPr>
              <w:spacing w:before="212" w:line="186"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.2.1</w:t>
            </w:r>
          </w:p>
        </w:tc>
        <w:tc>
          <w:tcPr>
            <w:tcW w:w="3547" w:type="dxa"/>
          </w:tcPr>
          <w:p w14:paraId="05F60F26">
            <w:pPr>
              <w:spacing w:before="173" w:line="219" w:lineRule="auto"/>
              <w:ind w:left="1230"/>
              <w:rPr>
                <w:rFonts w:hint="eastAsia" w:ascii="宋体" w:hAnsi="宋体" w:eastAsia="宋体"/>
                <w:color w:val="auto"/>
                <w:spacing w:val="-3"/>
                <w:highlight w:val="none"/>
              </w:rPr>
            </w:pPr>
            <w:r>
              <w:rPr>
                <w:rFonts w:ascii="宋体" w:hAnsi="宋体" w:eastAsia="宋体"/>
                <w:color w:val="auto"/>
                <w:spacing w:val="-3"/>
                <w:highlight w:val="none"/>
              </w:rPr>
              <w:t>资</w:t>
            </w:r>
            <w:r>
              <w:rPr>
                <w:rFonts w:ascii="宋体" w:hAnsi="宋体" w:eastAsia="宋体"/>
                <w:color w:val="auto"/>
                <w:spacing w:val="-2"/>
                <w:highlight w:val="none"/>
              </w:rPr>
              <w:t>金来源及比例</w:t>
            </w:r>
          </w:p>
        </w:tc>
        <w:tc>
          <w:tcPr>
            <w:tcW w:w="4610" w:type="dxa"/>
            <w:vAlign w:val="center"/>
          </w:tcPr>
          <w:p w14:paraId="16BB3285">
            <w:pPr>
              <w:ind w:left="105" w:leftChars="50" w:right="105" w:rightChars="50"/>
              <w:jc w:val="both"/>
              <w:rPr>
                <w:color w:val="auto"/>
                <w:highlight w:val="none"/>
              </w:rPr>
            </w:pPr>
            <w:r>
              <w:rPr>
                <w:rFonts w:hint="eastAsia"/>
                <w:color w:val="auto"/>
                <w:highlight w:val="none"/>
              </w:rPr>
              <w:t>详见招标公告</w:t>
            </w:r>
          </w:p>
        </w:tc>
      </w:tr>
      <w:tr w14:paraId="202DF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69" w:type="dxa"/>
          </w:tcPr>
          <w:p w14:paraId="5B94AB33">
            <w:pPr>
              <w:spacing w:before="212" w:line="186"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.2.2</w:t>
            </w:r>
          </w:p>
        </w:tc>
        <w:tc>
          <w:tcPr>
            <w:tcW w:w="3547" w:type="dxa"/>
          </w:tcPr>
          <w:p w14:paraId="7D1FFD24">
            <w:pPr>
              <w:spacing w:before="173" w:line="217" w:lineRule="auto"/>
              <w:ind w:left="1334"/>
              <w:rPr>
                <w:rFonts w:hint="eastAsia" w:ascii="宋体" w:hAnsi="宋体" w:eastAsia="宋体"/>
                <w:color w:val="auto"/>
                <w:spacing w:val="-4"/>
                <w:highlight w:val="none"/>
              </w:rPr>
            </w:pPr>
            <w:r>
              <w:rPr>
                <w:rFonts w:ascii="宋体" w:hAnsi="宋体" w:eastAsia="宋体"/>
                <w:color w:val="auto"/>
                <w:spacing w:val="-4"/>
                <w:highlight w:val="none"/>
              </w:rPr>
              <w:t>资</w:t>
            </w:r>
            <w:r>
              <w:rPr>
                <w:rFonts w:ascii="宋体" w:hAnsi="宋体" w:eastAsia="宋体"/>
                <w:color w:val="auto"/>
                <w:spacing w:val="-3"/>
                <w:highlight w:val="none"/>
              </w:rPr>
              <w:t>金</w:t>
            </w:r>
            <w:r>
              <w:rPr>
                <w:rFonts w:ascii="宋体" w:hAnsi="宋体" w:eastAsia="宋体"/>
                <w:color w:val="auto"/>
                <w:spacing w:val="-2"/>
                <w:highlight w:val="none"/>
              </w:rPr>
              <w:t>落实情况</w:t>
            </w:r>
          </w:p>
        </w:tc>
        <w:tc>
          <w:tcPr>
            <w:tcW w:w="4610" w:type="dxa"/>
            <w:vAlign w:val="center"/>
          </w:tcPr>
          <w:p w14:paraId="00B6BE42">
            <w:pPr>
              <w:ind w:left="105" w:leftChars="50" w:right="105" w:rightChars="50"/>
              <w:jc w:val="both"/>
              <w:rPr>
                <w:color w:val="auto"/>
                <w:highlight w:val="none"/>
              </w:rPr>
            </w:pPr>
            <w:r>
              <w:rPr>
                <w:rFonts w:hint="eastAsia"/>
                <w:color w:val="auto"/>
                <w:highlight w:val="none"/>
              </w:rPr>
              <w:t>已落实</w:t>
            </w:r>
          </w:p>
        </w:tc>
      </w:tr>
      <w:tr w14:paraId="7A2EF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69" w:type="dxa"/>
          </w:tcPr>
          <w:p w14:paraId="79A1FB6F">
            <w:pPr>
              <w:spacing w:before="213" w:line="186"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.3.1</w:t>
            </w:r>
          </w:p>
        </w:tc>
        <w:tc>
          <w:tcPr>
            <w:tcW w:w="3547" w:type="dxa"/>
          </w:tcPr>
          <w:p w14:paraId="6E6BBD21">
            <w:pPr>
              <w:spacing w:before="174" w:line="221" w:lineRule="auto"/>
              <w:ind w:left="1536"/>
              <w:rPr>
                <w:rFonts w:hint="eastAsia" w:ascii="宋体" w:hAnsi="宋体" w:eastAsia="宋体"/>
                <w:color w:val="auto"/>
                <w:spacing w:val="-2"/>
                <w:highlight w:val="none"/>
              </w:rPr>
            </w:pPr>
            <w:r>
              <w:rPr>
                <w:rFonts w:ascii="宋体" w:hAnsi="宋体" w:eastAsia="宋体"/>
                <w:color w:val="auto"/>
                <w:spacing w:val="-2"/>
                <w:highlight w:val="none"/>
              </w:rPr>
              <w:t>招标范</w:t>
            </w:r>
            <w:r>
              <w:rPr>
                <w:rFonts w:ascii="宋体" w:hAnsi="宋体" w:eastAsia="宋体"/>
                <w:color w:val="auto"/>
                <w:spacing w:val="-1"/>
                <w:highlight w:val="none"/>
              </w:rPr>
              <w:t>围</w:t>
            </w:r>
          </w:p>
        </w:tc>
        <w:tc>
          <w:tcPr>
            <w:tcW w:w="4610" w:type="dxa"/>
            <w:vAlign w:val="center"/>
          </w:tcPr>
          <w:p w14:paraId="354E845F">
            <w:pPr>
              <w:ind w:left="105" w:leftChars="50" w:right="105" w:rightChars="50"/>
              <w:jc w:val="both"/>
              <w:rPr>
                <w:color w:val="auto"/>
                <w:highlight w:val="none"/>
              </w:rPr>
            </w:pPr>
            <w:r>
              <w:rPr>
                <w:rFonts w:hint="eastAsia"/>
                <w:color w:val="auto"/>
                <w:highlight w:val="none"/>
              </w:rPr>
              <w:t>详见招标公告</w:t>
            </w:r>
          </w:p>
        </w:tc>
      </w:tr>
      <w:tr w14:paraId="25C1E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169" w:type="dxa"/>
          </w:tcPr>
          <w:p w14:paraId="131EDEED">
            <w:pPr>
              <w:spacing w:before="213" w:line="186"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.3.2</w:t>
            </w:r>
          </w:p>
        </w:tc>
        <w:tc>
          <w:tcPr>
            <w:tcW w:w="3547" w:type="dxa"/>
          </w:tcPr>
          <w:p w14:paraId="77A51F4E">
            <w:pPr>
              <w:spacing w:before="174" w:line="220" w:lineRule="auto"/>
              <w:ind w:left="1328"/>
              <w:rPr>
                <w:rFonts w:hint="eastAsia" w:ascii="宋体" w:hAnsi="宋体" w:eastAsia="宋体"/>
                <w:color w:val="auto"/>
                <w:spacing w:val="-1"/>
                <w:highlight w:val="none"/>
              </w:rPr>
            </w:pPr>
            <w:r>
              <w:rPr>
                <w:rFonts w:ascii="宋体" w:hAnsi="宋体" w:eastAsia="宋体"/>
                <w:color w:val="auto"/>
                <w:spacing w:val="-1"/>
                <w:highlight w:val="none"/>
              </w:rPr>
              <w:t>勘察</w:t>
            </w:r>
            <w:r>
              <w:rPr>
                <w:rFonts w:hint="eastAsia" w:ascii="宋体" w:hAnsi="宋体" w:eastAsia="宋体"/>
                <w:color w:val="auto"/>
                <w:spacing w:val="-1"/>
                <w:highlight w:val="none"/>
              </w:rPr>
              <w:t>设计</w:t>
            </w:r>
            <w:r>
              <w:rPr>
                <w:rFonts w:ascii="宋体" w:hAnsi="宋体" w:eastAsia="宋体"/>
                <w:color w:val="auto"/>
                <w:spacing w:val="-1"/>
                <w:highlight w:val="none"/>
              </w:rPr>
              <w:t>服务</w:t>
            </w:r>
            <w:r>
              <w:rPr>
                <w:rFonts w:ascii="宋体" w:hAnsi="宋体" w:eastAsia="宋体"/>
                <w:color w:val="auto"/>
                <w:highlight w:val="none"/>
              </w:rPr>
              <w:t>期限</w:t>
            </w:r>
          </w:p>
        </w:tc>
        <w:tc>
          <w:tcPr>
            <w:tcW w:w="4610" w:type="dxa"/>
            <w:vAlign w:val="center"/>
          </w:tcPr>
          <w:p w14:paraId="52ED5C1D">
            <w:pPr>
              <w:ind w:left="105" w:leftChars="50" w:right="105" w:rightChars="50"/>
              <w:jc w:val="both"/>
              <w:rPr>
                <w:color w:val="auto"/>
                <w:highlight w:val="none"/>
              </w:rPr>
            </w:pPr>
            <w:r>
              <w:rPr>
                <w:rFonts w:hint="eastAsia"/>
                <w:color w:val="auto"/>
                <w:highlight w:val="none"/>
              </w:rPr>
              <w:t>详见招标公告</w:t>
            </w:r>
          </w:p>
        </w:tc>
      </w:tr>
      <w:tr w14:paraId="20742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tcPr>
          <w:p w14:paraId="566F5179">
            <w:pPr>
              <w:spacing w:before="213" w:line="186"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.3.3</w:t>
            </w:r>
          </w:p>
        </w:tc>
        <w:tc>
          <w:tcPr>
            <w:tcW w:w="3547" w:type="dxa"/>
          </w:tcPr>
          <w:p w14:paraId="06F75959">
            <w:pPr>
              <w:spacing w:before="174" w:line="221" w:lineRule="auto"/>
              <w:ind w:left="1536"/>
              <w:rPr>
                <w:rFonts w:hint="eastAsia" w:ascii="宋体" w:hAnsi="宋体" w:eastAsia="宋体"/>
                <w:color w:val="auto"/>
                <w:spacing w:val="-2"/>
                <w:highlight w:val="none"/>
              </w:rPr>
            </w:pPr>
            <w:r>
              <w:rPr>
                <w:rFonts w:ascii="宋体" w:hAnsi="宋体" w:eastAsia="宋体"/>
                <w:color w:val="auto"/>
                <w:spacing w:val="-2"/>
                <w:highlight w:val="none"/>
              </w:rPr>
              <w:t>质量标</w:t>
            </w:r>
            <w:r>
              <w:rPr>
                <w:rFonts w:ascii="宋体" w:hAnsi="宋体" w:eastAsia="宋体"/>
                <w:color w:val="auto"/>
                <w:spacing w:val="-1"/>
                <w:highlight w:val="none"/>
              </w:rPr>
              <w:t>准</w:t>
            </w:r>
          </w:p>
        </w:tc>
        <w:tc>
          <w:tcPr>
            <w:tcW w:w="4610" w:type="dxa"/>
            <w:vAlign w:val="center"/>
          </w:tcPr>
          <w:p w14:paraId="5E5E594A">
            <w:pPr>
              <w:ind w:left="105" w:leftChars="50" w:right="105" w:rightChars="50"/>
              <w:jc w:val="both"/>
              <w:rPr>
                <w:rFonts w:eastAsia="宋体"/>
                <w:color w:val="auto"/>
                <w:highlight w:val="none"/>
              </w:rPr>
            </w:pPr>
            <w:r>
              <w:rPr>
                <w:rFonts w:hint="eastAsia" w:eastAsia="宋体"/>
                <w:color w:val="auto"/>
                <w:highlight w:val="none"/>
              </w:rPr>
              <w:t>须满足国家相关规范及合同要求</w:t>
            </w:r>
          </w:p>
        </w:tc>
      </w:tr>
      <w:tr w14:paraId="42475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169" w:type="dxa"/>
          </w:tcPr>
          <w:p w14:paraId="6A8FDE4D">
            <w:pPr>
              <w:spacing w:before="213" w:line="186"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.4.1</w:t>
            </w:r>
          </w:p>
        </w:tc>
        <w:tc>
          <w:tcPr>
            <w:tcW w:w="3547" w:type="dxa"/>
          </w:tcPr>
          <w:p w14:paraId="526BA9E6">
            <w:pPr>
              <w:spacing w:before="174"/>
              <w:jc w:val="center"/>
              <w:rPr>
                <w:rFonts w:hint="eastAsia" w:ascii="宋体" w:hAnsi="宋体" w:eastAsia="宋体"/>
                <w:color w:val="auto"/>
                <w:spacing w:val="-1"/>
                <w:highlight w:val="none"/>
              </w:rPr>
            </w:pPr>
            <w:r>
              <w:rPr>
                <w:rFonts w:ascii="宋体" w:hAnsi="宋体" w:eastAsia="宋体"/>
                <w:color w:val="auto"/>
                <w:spacing w:val="-1"/>
                <w:highlight w:val="none"/>
              </w:rPr>
              <w:t>投标人资质条件、能力</w:t>
            </w:r>
            <w:r>
              <w:rPr>
                <w:rFonts w:ascii="宋体" w:hAnsi="宋体" w:eastAsia="宋体"/>
                <w:color w:val="auto"/>
                <w:highlight w:val="none"/>
              </w:rPr>
              <w:t>、信誉</w:t>
            </w:r>
          </w:p>
        </w:tc>
        <w:tc>
          <w:tcPr>
            <w:tcW w:w="4610" w:type="dxa"/>
            <w:vAlign w:val="center"/>
          </w:tcPr>
          <w:p w14:paraId="0F066244">
            <w:pPr>
              <w:ind w:left="105" w:leftChars="50" w:right="105" w:rightChars="50"/>
              <w:jc w:val="both"/>
              <w:rPr>
                <w:color w:val="auto"/>
                <w:highlight w:val="none"/>
              </w:rPr>
            </w:pPr>
            <w:r>
              <w:rPr>
                <w:rFonts w:hint="eastAsia"/>
                <w:color w:val="auto"/>
                <w:highlight w:val="none"/>
              </w:rPr>
              <w:t>详</w:t>
            </w:r>
            <w:bookmarkStart w:id="15" w:name="_Toc221950015"/>
            <w:r>
              <w:rPr>
                <w:rFonts w:hint="eastAsia"/>
                <w:color w:val="auto"/>
                <w:highlight w:val="none"/>
              </w:rPr>
              <w:t>见本项目招</w:t>
            </w:r>
            <w:bookmarkEnd w:id="15"/>
            <w:r>
              <w:rPr>
                <w:rFonts w:hint="eastAsia"/>
                <w:color w:val="auto"/>
                <w:highlight w:val="none"/>
              </w:rPr>
              <w:t>标公告</w:t>
            </w:r>
          </w:p>
        </w:tc>
      </w:tr>
      <w:tr w14:paraId="696DF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169" w:type="dxa"/>
          </w:tcPr>
          <w:p w14:paraId="0D4DC8F7">
            <w:pPr>
              <w:spacing w:line="366" w:lineRule="auto"/>
              <w:rPr>
                <w:color w:val="auto"/>
                <w:highlight w:val="none"/>
              </w:rPr>
            </w:pPr>
          </w:p>
          <w:p w14:paraId="0044F5CF">
            <w:pPr>
              <w:spacing w:before="61" w:line="186" w:lineRule="auto"/>
              <w:ind w:left="396"/>
              <w:rPr>
                <w:rFonts w:ascii="Times New Roman" w:hAnsi="Times New Roman" w:eastAsia="Times New Roman"/>
                <w:color w:val="auto"/>
                <w:spacing w:val="-7"/>
                <w:highlight w:val="none"/>
              </w:rPr>
            </w:pPr>
            <w:r>
              <w:rPr>
                <w:rFonts w:ascii="Times New Roman" w:hAnsi="Times New Roman" w:eastAsia="Times New Roman"/>
                <w:color w:val="auto"/>
                <w:spacing w:val="-7"/>
                <w:highlight w:val="none"/>
              </w:rPr>
              <w:t>1</w:t>
            </w:r>
            <w:r>
              <w:rPr>
                <w:rFonts w:ascii="Times New Roman" w:hAnsi="Times New Roman" w:eastAsia="Times New Roman"/>
                <w:color w:val="auto"/>
                <w:spacing w:val="-4"/>
                <w:highlight w:val="none"/>
              </w:rPr>
              <w:t>.4.2</w:t>
            </w:r>
          </w:p>
        </w:tc>
        <w:tc>
          <w:tcPr>
            <w:tcW w:w="3547" w:type="dxa"/>
            <w:vAlign w:val="center"/>
          </w:tcPr>
          <w:p w14:paraId="2979D7D7">
            <w:pPr>
              <w:spacing w:before="68" w:line="220" w:lineRule="auto"/>
              <w:ind w:left="1014"/>
              <w:jc w:val="both"/>
              <w:rPr>
                <w:rFonts w:hint="eastAsia" w:ascii="宋体" w:hAnsi="宋体" w:eastAsia="宋体"/>
                <w:color w:val="auto"/>
                <w:spacing w:val="-2"/>
                <w:highlight w:val="none"/>
              </w:rPr>
            </w:pPr>
            <w:r>
              <w:rPr>
                <w:rFonts w:ascii="宋体" w:hAnsi="宋体" w:eastAsia="宋体"/>
                <w:color w:val="auto"/>
                <w:spacing w:val="-2"/>
                <w:highlight w:val="none"/>
              </w:rPr>
              <w:t>是否</w:t>
            </w:r>
            <w:r>
              <w:rPr>
                <w:rFonts w:ascii="宋体" w:hAnsi="宋体" w:eastAsia="宋体"/>
                <w:color w:val="auto"/>
                <w:spacing w:val="-1"/>
                <w:highlight w:val="none"/>
              </w:rPr>
              <w:t>接受联合体投标</w:t>
            </w:r>
          </w:p>
        </w:tc>
        <w:tc>
          <w:tcPr>
            <w:tcW w:w="4610" w:type="dxa"/>
          </w:tcPr>
          <w:p w14:paraId="53E0B208">
            <w:pPr>
              <w:spacing w:before="171"/>
              <w:ind w:left="105" w:leftChars="50" w:right="105" w:rightChars="50"/>
              <w:rPr>
                <w:color w:val="auto"/>
                <w:highlight w:val="none"/>
              </w:rPr>
            </w:pPr>
            <w:r>
              <w:rPr>
                <w:color w:val="auto"/>
                <w:highlight w:val="none"/>
              </w:rPr>
              <w:t>□不接受</w:t>
            </w:r>
          </w:p>
          <w:p w14:paraId="033B7D9B">
            <w:pPr>
              <w:spacing w:before="183"/>
              <w:ind w:left="105" w:leftChars="50" w:right="105" w:rightChars="50"/>
              <w:rPr>
                <w:color w:val="auto"/>
                <w:highlight w:val="none"/>
              </w:rPr>
            </w:pPr>
            <w:r>
              <w:rPr>
                <w:color w:val="auto"/>
                <w:highlight w:val="none"/>
              </w:rPr>
              <w:sym w:font="Wingdings 2" w:char="F052"/>
            </w:r>
            <w:r>
              <w:rPr>
                <w:color w:val="auto"/>
                <w:highlight w:val="none"/>
              </w:rPr>
              <w:t>接受，应满足下列要求：</w:t>
            </w:r>
            <w:r>
              <w:rPr>
                <w:rFonts w:hint="eastAsia" w:asciiTheme="minorEastAsia" w:hAnsiTheme="minorEastAsia" w:eastAsiaTheme="minorEastAsia" w:cstheme="minorEastAsia"/>
                <w:color w:val="auto"/>
                <w:highlight w:val="none"/>
                <w:u w:val="single"/>
              </w:rPr>
              <w:t>见招标公告。</w:t>
            </w:r>
          </w:p>
        </w:tc>
      </w:tr>
      <w:tr w14:paraId="30BB5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tcPr>
          <w:p w14:paraId="369B338A">
            <w:pPr>
              <w:spacing w:before="211" w:line="186"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.4.3</w:t>
            </w:r>
          </w:p>
        </w:tc>
        <w:tc>
          <w:tcPr>
            <w:tcW w:w="3547" w:type="dxa"/>
          </w:tcPr>
          <w:p w14:paraId="01F200CA">
            <w:pPr>
              <w:spacing w:before="160" w:line="218" w:lineRule="auto"/>
              <w:ind w:left="697"/>
              <w:rPr>
                <w:rFonts w:hint="eastAsia" w:ascii="宋体" w:hAnsi="宋体" w:eastAsia="宋体"/>
                <w:color w:val="auto"/>
                <w:spacing w:val="-1"/>
                <w:highlight w:val="none"/>
              </w:rPr>
            </w:pPr>
            <w:r>
              <w:rPr>
                <w:rFonts w:ascii="宋体" w:hAnsi="宋体" w:eastAsia="宋体"/>
                <w:color w:val="auto"/>
                <w:spacing w:val="-1"/>
                <w:highlight w:val="none"/>
              </w:rPr>
              <w:t>投标人不得存在的其他</w:t>
            </w:r>
            <w:r>
              <w:rPr>
                <w:rFonts w:ascii="宋体" w:hAnsi="宋体" w:eastAsia="宋体"/>
                <w:color w:val="auto"/>
                <w:highlight w:val="none"/>
              </w:rPr>
              <w:t>情形</w:t>
            </w:r>
          </w:p>
        </w:tc>
        <w:tc>
          <w:tcPr>
            <w:tcW w:w="4610" w:type="dxa"/>
            <w:vAlign w:val="center"/>
          </w:tcPr>
          <w:p w14:paraId="73DEBF3E">
            <w:pPr>
              <w:ind w:left="105" w:leftChars="50" w:right="105" w:rightChars="50"/>
              <w:rPr>
                <w:rFonts w:eastAsia="宋体"/>
                <w:color w:val="auto"/>
                <w:highlight w:val="none"/>
              </w:rPr>
            </w:pPr>
            <w:r>
              <w:rPr>
                <w:rFonts w:hint="eastAsia" w:eastAsia="宋体"/>
                <w:color w:val="auto"/>
                <w:highlight w:val="none"/>
              </w:rPr>
              <w:t>无</w:t>
            </w:r>
          </w:p>
        </w:tc>
      </w:tr>
      <w:tr w14:paraId="75DD1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0" w:hRule="atLeast"/>
        </w:trPr>
        <w:tc>
          <w:tcPr>
            <w:tcW w:w="1169" w:type="dxa"/>
          </w:tcPr>
          <w:p w14:paraId="4F99BEA4">
            <w:pPr>
              <w:spacing w:line="263" w:lineRule="auto"/>
              <w:rPr>
                <w:color w:val="auto"/>
                <w:highlight w:val="none"/>
              </w:rPr>
            </w:pPr>
          </w:p>
          <w:p w14:paraId="6DCCD83C">
            <w:pPr>
              <w:spacing w:line="263" w:lineRule="auto"/>
              <w:rPr>
                <w:color w:val="auto"/>
                <w:highlight w:val="none"/>
              </w:rPr>
            </w:pPr>
          </w:p>
          <w:p w14:paraId="45F19E66">
            <w:pPr>
              <w:spacing w:before="61" w:line="186"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.9.1</w:t>
            </w:r>
          </w:p>
        </w:tc>
        <w:tc>
          <w:tcPr>
            <w:tcW w:w="3547" w:type="dxa"/>
          </w:tcPr>
          <w:p w14:paraId="18D5BDC7">
            <w:pPr>
              <w:spacing w:line="423" w:lineRule="auto"/>
              <w:rPr>
                <w:color w:val="auto"/>
                <w:highlight w:val="none"/>
              </w:rPr>
            </w:pPr>
          </w:p>
          <w:p w14:paraId="5E819B0A">
            <w:pPr>
              <w:spacing w:before="69" w:line="220" w:lineRule="auto"/>
              <w:ind w:left="1536"/>
              <w:rPr>
                <w:rFonts w:hint="eastAsia" w:ascii="宋体" w:hAnsi="宋体" w:eastAsia="宋体"/>
                <w:color w:val="auto"/>
                <w:spacing w:val="-2"/>
                <w:highlight w:val="none"/>
              </w:rPr>
            </w:pPr>
            <w:r>
              <w:rPr>
                <w:rFonts w:ascii="宋体" w:hAnsi="宋体" w:eastAsia="宋体"/>
                <w:color w:val="auto"/>
                <w:spacing w:val="-2"/>
                <w:highlight w:val="none"/>
              </w:rPr>
              <w:t>踏勘现</w:t>
            </w:r>
            <w:r>
              <w:rPr>
                <w:rFonts w:ascii="宋体" w:hAnsi="宋体" w:eastAsia="宋体"/>
                <w:color w:val="auto"/>
                <w:spacing w:val="-1"/>
                <w:highlight w:val="none"/>
              </w:rPr>
              <w:t>场</w:t>
            </w:r>
          </w:p>
        </w:tc>
        <w:tc>
          <w:tcPr>
            <w:tcW w:w="4610" w:type="dxa"/>
          </w:tcPr>
          <w:p w14:paraId="50F69059">
            <w:pPr>
              <w:ind w:left="105" w:leftChars="50" w:right="105" w:rightChars="50"/>
              <w:rPr>
                <w:color w:val="auto"/>
                <w:highlight w:val="none"/>
              </w:rPr>
            </w:pPr>
            <w:r>
              <w:rPr>
                <w:rFonts w:hint="eastAsia"/>
                <w:color w:val="auto"/>
                <w:highlight w:val="none"/>
              </w:rPr>
              <w:t>招标人不集中组织，由投标人自行踏勘；</w:t>
            </w:r>
          </w:p>
          <w:p w14:paraId="563033F7">
            <w:pPr>
              <w:ind w:left="105" w:leftChars="50" w:right="105" w:rightChars="50"/>
              <w:rPr>
                <w:color w:val="auto"/>
                <w:highlight w:val="none"/>
              </w:rPr>
            </w:pPr>
            <w:r>
              <w:rPr>
                <w:rFonts w:hint="eastAsia"/>
                <w:color w:val="auto"/>
                <w:highlight w:val="none"/>
              </w:rPr>
              <w:t>时间</w:t>
            </w:r>
            <w:bookmarkStart w:id="16" w:name="_Toc221950042"/>
            <w:r>
              <w:rPr>
                <w:rFonts w:hint="eastAsia"/>
                <w:color w:val="auto"/>
                <w:highlight w:val="none"/>
              </w:rPr>
              <w:t>：自</w:t>
            </w:r>
            <w:r>
              <w:rPr>
                <w:rFonts w:hint="eastAsia" w:eastAsia="宋体"/>
                <w:color w:val="auto"/>
                <w:highlight w:val="none"/>
              </w:rPr>
              <w:t>/</w:t>
            </w:r>
            <w:r>
              <w:rPr>
                <w:rFonts w:hint="eastAsia"/>
                <w:color w:val="auto"/>
                <w:highlight w:val="none"/>
              </w:rPr>
              <w:t>年</w:t>
            </w:r>
            <w:r>
              <w:rPr>
                <w:rFonts w:hint="eastAsia" w:eastAsia="宋体"/>
                <w:color w:val="auto"/>
                <w:highlight w:val="none"/>
                <w:u w:val="single"/>
              </w:rPr>
              <w:t>/</w:t>
            </w:r>
            <w:r>
              <w:rPr>
                <w:rFonts w:hint="eastAsia"/>
                <w:color w:val="auto"/>
                <w:highlight w:val="none"/>
              </w:rPr>
              <w:t>月</w:t>
            </w:r>
            <w:r>
              <w:rPr>
                <w:rFonts w:hint="eastAsia" w:eastAsia="宋体"/>
                <w:color w:val="auto"/>
                <w:highlight w:val="none"/>
              </w:rPr>
              <w:t>/</w:t>
            </w:r>
            <w:r>
              <w:rPr>
                <w:rFonts w:hint="eastAsia"/>
                <w:color w:val="auto"/>
                <w:highlight w:val="none"/>
              </w:rPr>
              <w:t>日起具备现场踏勘条</w:t>
            </w:r>
            <w:bookmarkEnd w:id="16"/>
            <w:r>
              <w:rPr>
                <w:rFonts w:hint="eastAsia"/>
                <w:color w:val="auto"/>
                <w:highlight w:val="none"/>
              </w:rPr>
              <w:t>件；</w:t>
            </w:r>
          </w:p>
          <w:p w14:paraId="24CEC968">
            <w:pPr>
              <w:spacing w:before="144"/>
              <w:ind w:left="105" w:leftChars="50" w:right="105" w:rightChars="50"/>
              <w:rPr>
                <w:color w:val="auto"/>
                <w:highlight w:val="none"/>
              </w:rPr>
            </w:pPr>
            <w:r>
              <w:rPr>
                <w:rFonts w:hint="eastAsia"/>
                <w:color w:val="auto"/>
                <w:highlight w:val="none"/>
              </w:rPr>
              <w:t>现场详细地</w:t>
            </w:r>
            <w:bookmarkStart w:id="17" w:name="_Toc221950044"/>
            <w:r>
              <w:rPr>
                <w:rFonts w:hint="eastAsia"/>
                <w:color w:val="auto"/>
                <w:highlight w:val="none"/>
              </w:rPr>
              <w:t>点：</w:t>
            </w:r>
            <w:r>
              <w:rPr>
                <w:rFonts w:hint="eastAsia" w:eastAsia="宋体"/>
                <w:color w:val="auto"/>
                <w:highlight w:val="none"/>
                <w:u w:val="single"/>
              </w:rPr>
              <w:t xml:space="preserve"> </w:t>
            </w:r>
            <w:bookmarkEnd w:id="17"/>
            <w:r>
              <w:rPr>
                <w:rFonts w:hint="eastAsia" w:eastAsia="宋体"/>
                <w:color w:val="auto"/>
                <w:highlight w:val="none"/>
                <w:u w:val="single"/>
              </w:rPr>
              <w:t xml:space="preserve"> /  </w:t>
            </w:r>
            <w:r>
              <w:rPr>
                <w:rFonts w:hint="eastAsia"/>
                <w:color w:val="auto"/>
                <w:highlight w:val="none"/>
              </w:rPr>
              <w:t>；</w:t>
            </w:r>
          </w:p>
        </w:tc>
      </w:tr>
      <w:tr w14:paraId="2D89C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1169" w:type="dxa"/>
          </w:tcPr>
          <w:p w14:paraId="2113904E">
            <w:pPr>
              <w:spacing w:line="283" w:lineRule="auto"/>
              <w:rPr>
                <w:color w:val="auto"/>
                <w:highlight w:val="none"/>
              </w:rPr>
            </w:pPr>
          </w:p>
          <w:p w14:paraId="3D8823E5">
            <w:pPr>
              <w:spacing w:line="284" w:lineRule="auto"/>
              <w:rPr>
                <w:color w:val="auto"/>
                <w:highlight w:val="none"/>
              </w:rPr>
            </w:pPr>
          </w:p>
          <w:p w14:paraId="630DA680">
            <w:pPr>
              <w:spacing w:before="60" w:line="186" w:lineRule="auto"/>
              <w:ind w:left="343"/>
              <w:rPr>
                <w:rFonts w:ascii="Times New Roman" w:hAnsi="Times New Roman" w:eastAsia="Times New Roman"/>
                <w:color w:val="auto"/>
                <w:spacing w:val="-5"/>
                <w:highlight w:val="none"/>
              </w:rPr>
            </w:pPr>
            <w:r>
              <w:rPr>
                <w:rFonts w:ascii="Times New Roman" w:hAnsi="Times New Roman" w:eastAsia="Times New Roman"/>
                <w:color w:val="auto"/>
                <w:spacing w:val="-5"/>
                <w:highlight w:val="none"/>
              </w:rPr>
              <w:t>1</w:t>
            </w:r>
            <w:r>
              <w:rPr>
                <w:rFonts w:ascii="Times New Roman" w:hAnsi="Times New Roman" w:eastAsia="Times New Roman"/>
                <w:color w:val="auto"/>
                <w:spacing w:val="-4"/>
                <w:highlight w:val="none"/>
              </w:rPr>
              <w:t>.10.1</w:t>
            </w:r>
          </w:p>
        </w:tc>
        <w:tc>
          <w:tcPr>
            <w:tcW w:w="3547" w:type="dxa"/>
          </w:tcPr>
          <w:p w14:paraId="1C469ED4">
            <w:pPr>
              <w:spacing w:line="260" w:lineRule="auto"/>
              <w:rPr>
                <w:color w:val="auto"/>
                <w:highlight w:val="none"/>
              </w:rPr>
            </w:pPr>
          </w:p>
          <w:p w14:paraId="502B45AE">
            <w:pPr>
              <w:spacing w:line="260" w:lineRule="auto"/>
              <w:rPr>
                <w:color w:val="auto"/>
                <w:highlight w:val="none"/>
              </w:rPr>
            </w:pPr>
          </w:p>
          <w:p w14:paraId="47891843">
            <w:pPr>
              <w:spacing w:before="68" w:line="217" w:lineRule="auto"/>
              <w:ind w:left="1433"/>
              <w:rPr>
                <w:rFonts w:hint="eastAsia" w:ascii="宋体" w:hAnsi="宋体" w:eastAsia="宋体"/>
                <w:color w:val="auto"/>
                <w:spacing w:val="-2"/>
                <w:highlight w:val="none"/>
              </w:rPr>
            </w:pPr>
            <w:r>
              <w:rPr>
                <w:rFonts w:ascii="宋体" w:hAnsi="宋体" w:eastAsia="宋体"/>
                <w:color w:val="auto"/>
                <w:spacing w:val="-2"/>
                <w:highlight w:val="none"/>
              </w:rPr>
              <w:t>投标预备</w:t>
            </w:r>
            <w:r>
              <w:rPr>
                <w:rFonts w:ascii="宋体" w:hAnsi="宋体" w:eastAsia="宋体"/>
                <w:color w:val="auto"/>
                <w:spacing w:val="-1"/>
                <w:highlight w:val="none"/>
              </w:rPr>
              <w:t>会</w:t>
            </w:r>
          </w:p>
        </w:tc>
        <w:tc>
          <w:tcPr>
            <w:tcW w:w="4610" w:type="dxa"/>
          </w:tcPr>
          <w:p w14:paraId="2A29E1E1">
            <w:pPr>
              <w:pStyle w:val="33"/>
              <w:spacing w:before="48" w:after="48"/>
              <w:ind w:left="105" w:leftChars="50" w:right="105" w:rightChars="50"/>
              <w:rPr>
                <w:rFonts w:hint="eastAsia" w:ascii="宋体" w:hAnsi="宋体" w:eastAsia="宋体"/>
                <w:sz w:val="21"/>
                <w:szCs w:val="21"/>
                <w:highlight w:val="none"/>
              </w:rPr>
            </w:pPr>
            <w:r>
              <w:rPr>
                <w:rFonts w:hint="eastAsia" w:ascii="宋体" w:hAnsi="宋体" w:eastAsia="宋体"/>
                <w:sz w:val="21"/>
                <w:szCs w:val="21"/>
                <w:highlight w:val="none"/>
              </w:rPr>
              <w:t>☑不召开</w:t>
            </w:r>
          </w:p>
          <w:p w14:paraId="71D3CE85">
            <w:pPr>
              <w:spacing w:before="48" w:after="48"/>
              <w:ind w:left="105" w:leftChars="50" w:right="105" w:rightChars="50"/>
              <w:rPr>
                <w:rFonts w:ascii="宋体" w:hAnsi="宋体"/>
                <w:color w:val="auto"/>
                <w:highlight w:val="none"/>
              </w:rPr>
            </w:pPr>
            <w:r>
              <w:rPr>
                <w:rFonts w:hint="eastAsia" w:ascii="宋体" w:hAnsi="宋体"/>
                <w:color w:val="auto"/>
                <w:highlight w:val="none"/>
              </w:rPr>
              <w:sym w:font="Wingdings 2" w:char="F0A3"/>
            </w:r>
            <w:r>
              <w:rPr>
                <w:rFonts w:hint="eastAsia" w:ascii="宋体" w:hAnsi="宋体"/>
                <w:color w:val="auto"/>
                <w:highlight w:val="none"/>
              </w:rPr>
              <w:t>召开，召开时间：</w:t>
            </w:r>
          </w:p>
          <w:p w14:paraId="6A5776EB">
            <w:pPr>
              <w:spacing w:before="173"/>
              <w:ind w:left="105" w:leftChars="50" w:right="105" w:rightChars="50" w:firstLine="840" w:firstLineChars="400"/>
              <w:rPr>
                <w:rFonts w:ascii="宋体" w:hAnsi="宋体"/>
                <w:color w:val="auto"/>
                <w:highlight w:val="none"/>
              </w:rPr>
            </w:pPr>
            <w:r>
              <w:rPr>
                <w:rFonts w:hint="eastAsia" w:ascii="宋体" w:hAnsi="宋体"/>
                <w:color w:val="auto"/>
                <w:highlight w:val="none"/>
              </w:rPr>
              <w:t>召开地点：</w:t>
            </w:r>
          </w:p>
        </w:tc>
      </w:tr>
      <w:tr w14:paraId="70F02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69" w:type="dxa"/>
            <w:vMerge w:val="restart"/>
            <w:vAlign w:val="center"/>
          </w:tcPr>
          <w:p w14:paraId="3F6FB340">
            <w:pPr>
              <w:spacing w:before="60" w:line="186" w:lineRule="auto"/>
              <w:jc w:val="center"/>
              <w:rPr>
                <w:rFonts w:ascii="Times New Roman" w:hAnsi="Times New Roman" w:eastAsia="Times New Roman"/>
                <w:color w:val="auto"/>
                <w:spacing w:val="-5"/>
                <w:highlight w:val="none"/>
              </w:rPr>
            </w:pPr>
            <w:r>
              <w:rPr>
                <w:rFonts w:hint="eastAsia" w:ascii="Times New Roman" w:hAnsi="Times New Roman" w:eastAsia="Times New Roman"/>
                <w:color w:val="auto"/>
                <w:spacing w:val="-5"/>
                <w:highlight w:val="none"/>
              </w:rPr>
              <w:t>1.10.2</w:t>
            </w:r>
          </w:p>
        </w:tc>
        <w:tc>
          <w:tcPr>
            <w:tcW w:w="3547" w:type="dxa"/>
            <w:vMerge w:val="restart"/>
            <w:vAlign w:val="center"/>
          </w:tcPr>
          <w:p w14:paraId="71D48A7F">
            <w:pPr>
              <w:spacing w:before="68" w:line="217" w:lineRule="auto"/>
              <w:ind w:left="220"/>
              <w:jc w:val="center"/>
              <w:rPr>
                <w:rFonts w:ascii="宋体" w:hAnsi="宋体"/>
                <w:color w:val="auto"/>
                <w:highlight w:val="none"/>
              </w:rPr>
            </w:pPr>
            <w:r>
              <w:rPr>
                <w:rFonts w:hint="eastAsia" w:ascii="宋体" w:hAnsi="宋体"/>
                <w:color w:val="auto"/>
                <w:highlight w:val="none"/>
              </w:rPr>
              <w:t>投标人在投标预备会前提出问题</w:t>
            </w:r>
          </w:p>
        </w:tc>
        <w:tc>
          <w:tcPr>
            <w:tcW w:w="4610" w:type="dxa"/>
            <w:vAlign w:val="center"/>
          </w:tcPr>
          <w:p w14:paraId="10DF8C60">
            <w:pPr>
              <w:widowControl w:val="0"/>
              <w:kinsoku/>
              <w:autoSpaceDE/>
              <w:autoSpaceDN/>
              <w:snapToGrid/>
              <w:spacing w:before="48" w:after="48"/>
              <w:ind w:left="105" w:leftChars="50" w:right="105" w:rightChars="50"/>
              <w:rPr>
                <w:rFonts w:hint="eastAsia" w:ascii="宋体" w:hAnsi="宋体" w:eastAsia="宋体"/>
                <w:color w:val="auto"/>
                <w:highlight w:val="none"/>
              </w:rPr>
            </w:pPr>
            <w:r>
              <w:rPr>
                <w:rFonts w:hint="eastAsia" w:ascii="宋体" w:hAnsi="宋体" w:eastAsia="宋体"/>
                <w:color w:val="auto"/>
                <w:highlight w:val="none"/>
              </w:rPr>
              <w:t>时间： /</w:t>
            </w:r>
          </w:p>
        </w:tc>
      </w:tr>
      <w:tr w14:paraId="6C7BA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169" w:type="dxa"/>
            <w:vMerge w:val="continue"/>
          </w:tcPr>
          <w:p w14:paraId="450F3B99">
            <w:pPr>
              <w:spacing w:before="60" w:line="186" w:lineRule="auto"/>
              <w:ind w:left="343"/>
              <w:rPr>
                <w:rFonts w:ascii="Times New Roman" w:hAnsi="Times New Roman" w:eastAsia="Times New Roman"/>
                <w:color w:val="auto"/>
                <w:spacing w:val="-5"/>
                <w:highlight w:val="none"/>
              </w:rPr>
            </w:pPr>
          </w:p>
        </w:tc>
        <w:tc>
          <w:tcPr>
            <w:tcW w:w="3547" w:type="dxa"/>
            <w:vMerge w:val="continue"/>
          </w:tcPr>
          <w:p w14:paraId="0D68302E">
            <w:pPr>
              <w:spacing w:before="68" w:line="217" w:lineRule="auto"/>
              <w:ind w:left="1433"/>
              <w:rPr>
                <w:rFonts w:hint="eastAsia" w:ascii="宋体" w:hAnsi="宋体" w:eastAsia="宋体"/>
                <w:color w:val="auto"/>
                <w:spacing w:val="-2"/>
                <w:highlight w:val="none"/>
              </w:rPr>
            </w:pPr>
          </w:p>
        </w:tc>
        <w:tc>
          <w:tcPr>
            <w:tcW w:w="4610" w:type="dxa"/>
            <w:vAlign w:val="center"/>
          </w:tcPr>
          <w:p w14:paraId="1EB1F076">
            <w:pPr>
              <w:widowControl w:val="0"/>
              <w:kinsoku/>
              <w:autoSpaceDE/>
              <w:autoSpaceDN/>
              <w:snapToGrid/>
              <w:spacing w:before="48" w:after="48"/>
              <w:ind w:left="105" w:leftChars="50" w:right="105" w:rightChars="50"/>
              <w:rPr>
                <w:rFonts w:hint="eastAsia" w:ascii="宋体" w:hAnsi="宋体" w:eastAsia="宋体"/>
                <w:color w:val="auto"/>
                <w:highlight w:val="none"/>
              </w:rPr>
            </w:pPr>
            <w:r>
              <w:rPr>
                <w:rFonts w:hint="eastAsia" w:ascii="宋体" w:hAnsi="宋体" w:eastAsia="宋体"/>
                <w:color w:val="auto"/>
                <w:highlight w:val="none"/>
              </w:rPr>
              <w:t>形式： /</w:t>
            </w:r>
          </w:p>
        </w:tc>
      </w:tr>
      <w:tr w14:paraId="74B04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169" w:type="dxa"/>
            <w:vAlign w:val="center"/>
          </w:tcPr>
          <w:p w14:paraId="0C00900D">
            <w:pPr>
              <w:spacing w:before="48" w:after="48"/>
              <w:ind w:left="42" w:leftChars="20" w:right="42" w:rightChars="20"/>
              <w:jc w:val="center"/>
              <w:rPr>
                <w:rFonts w:ascii="Times New Roman" w:hAnsi="Times New Roman" w:eastAsia="Times New Roman"/>
                <w:color w:val="auto"/>
                <w:spacing w:val="-5"/>
                <w:highlight w:val="none"/>
              </w:rPr>
            </w:pPr>
            <w:r>
              <w:rPr>
                <w:rFonts w:hint="eastAsia" w:ascii="Times New Roman" w:hAnsi="Times New Roman" w:eastAsia="Times New Roman"/>
                <w:color w:val="auto"/>
                <w:spacing w:val="-5"/>
                <w:highlight w:val="none"/>
              </w:rPr>
              <w:t>1.10.3</w:t>
            </w:r>
          </w:p>
        </w:tc>
        <w:tc>
          <w:tcPr>
            <w:tcW w:w="3547" w:type="dxa"/>
            <w:vAlign w:val="center"/>
          </w:tcPr>
          <w:p w14:paraId="3F8F4D99">
            <w:pPr>
              <w:spacing w:before="48" w:after="48"/>
              <w:ind w:left="42" w:leftChars="20" w:right="42" w:rightChars="20"/>
              <w:jc w:val="center"/>
              <w:rPr>
                <w:rFonts w:ascii="宋体" w:hAnsi="宋体"/>
                <w:color w:val="auto"/>
                <w:highlight w:val="none"/>
              </w:rPr>
            </w:pPr>
            <w:r>
              <w:rPr>
                <w:rFonts w:hint="eastAsia" w:ascii="宋体" w:hAnsi="宋体"/>
                <w:color w:val="auto"/>
                <w:highlight w:val="none"/>
              </w:rPr>
              <w:t>招标文件澄清发出的形式</w:t>
            </w:r>
          </w:p>
        </w:tc>
        <w:tc>
          <w:tcPr>
            <w:tcW w:w="4610" w:type="dxa"/>
            <w:vAlign w:val="center"/>
          </w:tcPr>
          <w:p w14:paraId="5E29A30C">
            <w:pPr>
              <w:widowControl w:val="0"/>
              <w:kinsoku/>
              <w:autoSpaceDE/>
              <w:autoSpaceDN/>
              <w:snapToGrid/>
              <w:ind w:left="105" w:leftChars="50" w:right="105" w:rightChars="50"/>
              <w:rPr>
                <w:rFonts w:hint="eastAsia" w:ascii="宋体" w:hAnsi="宋体" w:eastAsia="宋体"/>
                <w:color w:val="auto"/>
                <w:highlight w:val="none"/>
                <w:u w:val="single"/>
              </w:rPr>
            </w:pPr>
            <w:r>
              <w:rPr>
                <w:rFonts w:hint="eastAsia" w:ascii="宋体" w:hAnsi="宋体" w:eastAsia="宋体"/>
                <w:color w:val="auto"/>
                <w:highlight w:val="none"/>
                <w:u w:val="single"/>
              </w:rPr>
              <w:t>招标人应在投标截止时间15日前解答和澄清投标人对招标文件提出的疑问，形成答疑纪要（或招标文件澄清文件），并在广州公共资源交易中心网站通过项目答疑专区网上公开发布。</w:t>
            </w:r>
          </w:p>
        </w:tc>
      </w:tr>
      <w:tr w14:paraId="61900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169" w:type="dxa"/>
          </w:tcPr>
          <w:p w14:paraId="47F3398E">
            <w:pPr>
              <w:spacing w:line="268" w:lineRule="auto"/>
              <w:rPr>
                <w:color w:val="auto"/>
                <w:highlight w:val="none"/>
              </w:rPr>
            </w:pPr>
          </w:p>
          <w:p w14:paraId="446A3B60">
            <w:pPr>
              <w:spacing w:line="269" w:lineRule="auto"/>
              <w:rPr>
                <w:color w:val="auto"/>
                <w:highlight w:val="none"/>
              </w:rPr>
            </w:pPr>
          </w:p>
          <w:p w14:paraId="44235F3C">
            <w:pPr>
              <w:spacing w:line="269" w:lineRule="auto"/>
              <w:rPr>
                <w:color w:val="auto"/>
                <w:highlight w:val="none"/>
              </w:rPr>
            </w:pPr>
          </w:p>
          <w:p w14:paraId="6DC773C9">
            <w:pPr>
              <w:spacing w:before="60" w:line="186" w:lineRule="auto"/>
              <w:ind w:left="348"/>
              <w:rPr>
                <w:rFonts w:ascii="Times New Roman" w:hAnsi="Times New Roman" w:eastAsia="Times New Roman"/>
                <w:color w:val="auto"/>
                <w:spacing w:val="-7"/>
                <w:highlight w:val="none"/>
              </w:rPr>
            </w:pPr>
            <w:r>
              <w:rPr>
                <w:rFonts w:ascii="Times New Roman" w:hAnsi="Times New Roman" w:eastAsia="Times New Roman"/>
                <w:color w:val="auto"/>
                <w:spacing w:val="-7"/>
                <w:highlight w:val="none"/>
              </w:rPr>
              <w:t>1</w:t>
            </w:r>
            <w:r>
              <w:rPr>
                <w:rFonts w:ascii="Times New Roman" w:hAnsi="Times New Roman" w:eastAsia="Times New Roman"/>
                <w:color w:val="auto"/>
                <w:spacing w:val="-5"/>
                <w:highlight w:val="none"/>
              </w:rPr>
              <w:t>.11.1</w:t>
            </w:r>
          </w:p>
        </w:tc>
        <w:tc>
          <w:tcPr>
            <w:tcW w:w="3547" w:type="dxa"/>
          </w:tcPr>
          <w:p w14:paraId="630BA15A">
            <w:pPr>
              <w:spacing w:line="253" w:lineRule="auto"/>
              <w:rPr>
                <w:color w:val="auto"/>
                <w:highlight w:val="none"/>
              </w:rPr>
            </w:pPr>
          </w:p>
          <w:p w14:paraId="5DFC4105">
            <w:pPr>
              <w:spacing w:line="253" w:lineRule="auto"/>
              <w:rPr>
                <w:color w:val="auto"/>
                <w:highlight w:val="none"/>
              </w:rPr>
            </w:pPr>
          </w:p>
          <w:p w14:paraId="3032B76E">
            <w:pPr>
              <w:spacing w:line="254" w:lineRule="auto"/>
              <w:rPr>
                <w:color w:val="auto"/>
                <w:highlight w:val="none"/>
              </w:rPr>
            </w:pPr>
          </w:p>
          <w:p w14:paraId="23989A5A">
            <w:pPr>
              <w:spacing w:before="68" w:line="221" w:lineRule="auto"/>
              <w:ind w:left="1747"/>
              <w:rPr>
                <w:rFonts w:hint="eastAsia" w:ascii="宋体" w:hAnsi="宋体" w:eastAsia="宋体"/>
                <w:color w:val="auto"/>
                <w:spacing w:val="-4"/>
                <w:highlight w:val="none"/>
              </w:rPr>
            </w:pPr>
            <w:r>
              <w:rPr>
                <w:rFonts w:ascii="宋体" w:hAnsi="宋体" w:eastAsia="宋体"/>
                <w:color w:val="auto"/>
                <w:spacing w:val="-4"/>
                <w:highlight w:val="none"/>
              </w:rPr>
              <w:t>分</w:t>
            </w:r>
            <w:r>
              <w:rPr>
                <w:rFonts w:ascii="宋体" w:hAnsi="宋体" w:eastAsia="宋体"/>
                <w:color w:val="auto"/>
                <w:spacing w:val="-2"/>
                <w:highlight w:val="none"/>
              </w:rPr>
              <w:t>包</w:t>
            </w:r>
          </w:p>
        </w:tc>
        <w:tc>
          <w:tcPr>
            <w:tcW w:w="4610" w:type="dxa"/>
          </w:tcPr>
          <w:p w14:paraId="44CB92C5">
            <w:pPr>
              <w:spacing w:before="0" w:line="240" w:lineRule="auto"/>
              <w:ind w:left="0" w:right="185" w:rightChars="88"/>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3"/>
                <w:sz w:val="21"/>
                <w:szCs w:val="21"/>
                <w:highlight w:val="none"/>
              </w:rPr>
              <w:t>不允许</w:t>
            </w:r>
          </w:p>
          <w:p w14:paraId="4DDF15A2">
            <w:pPr>
              <w:spacing w:before="0" w:line="240" w:lineRule="auto"/>
              <w:ind w:left="0" w:right="185" w:rightChars="88" w:firstLine="0" w:firstLineChars="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pacing w:val="-6"/>
                <w:sz w:val="21"/>
                <w:szCs w:val="21"/>
                <w:highlight w:val="none"/>
              </w:rPr>
              <w:t>允许，分包内容要求：</w:t>
            </w:r>
            <w:r>
              <w:rPr>
                <w:rFonts w:hint="eastAsia" w:ascii="宋体" w:hAnsi="宋体" w:eastAsia="宋体" w:cs="宋体"/>
                <w:color w:val="auto"/>
                <w:sz w:val="21"/>
                <w:szCs w:val="21"/>
                <w:highlight w:val="none"/>
                <w:u w:val="single"/>
              </w:rPr>
              <w:t>按照合同约定并经招标人同意。</w:t>
            </w:r>
            <w:r>
              <w:rPr>
                <w:rFonts w:hint="eastAsia" w:ascii="宋体" w:hAnsi="宋体" w:eastAsia="宋体" w:cs="宋体"/>
                <w:color w:val="auto"/>
                <w:sz w:val="21"/>
                <w:szCs w:val="21"/>
                <w:highlight w:val="none"/>
              </w:rPr>
              <w:t xml:space="preserve"> </w:t>
            </w:r>
          </w:p>
          <w:p w14:paraId="23A1DEEE">
            <w:pPr>
              <w:spacing w:before="184"/>
              <w:ind w:left="105" w:leftChars="50" w:right="105" w:rightChars="50" w:firstLine="13" w:firstLineChars="7"/>
              <w:rPr>
                <w:rFonts w:hint="eastAsia" w:ascii="宋体" w:hAnsi="宋体" w:eastAsia="宋体"/>
                <w:color w:val="auto"/>
                <w:spacing w:val="-6"/>
                <w:highlight w:val="none"/>
              </w:rPr>
            </w:pPr>
            <w:r>
              <w:rPr>
                <w:rFonts w:hint="eastAsia" w:ascii="宋体" w:hAnsi="宋体" w:eastAsia="宋体" w:cs="宋体"/>
                <w:color w:val="auto"/>
                <w:spacing w:val="-12"/>
                <w:sz w:val="21"/>
                <w:szCs w:val="21"/>
                <w:highlight w:val="none"/>
              </w:rPr>
              <w:t>分</w:t>
            </w:r>
            <w:r>
              <w:rPr>
                <w:rFonts w:hint="eastAsia" w:ascii="宋体" w:hAnsi="宋体" w:eastAsia="宋体" w:cs="宋体"/>
                <w:color w:val="auto"/>
                <w:spacing w:val="-8"/>
                <w:sz w:val="21"/>
                <w:szCs w:val="21"/>
                <w:highlight w:val="none"/>
              </w:rPr>
              <w:t>包金额要求：</w:t>
            </w:r>
            <w:r>
              <w:rPr>
                <w:rFonts w:hint="eastAsia" w:ascii="宋体" w:hAnsi="宋体" w:eastAsia="宋体" w:cs="宋体"/>
                <w:color w:val="auto"/>
                <w:sz w:val="21"/>
                <w:szCs w:val="21"/>
                <w:highlight w:val="none"/>
                <w:u w:val="single"/>
              </w:rPr>
              <w:t>按照合同约定并经招标人同意。</w:t>
            </w:r>
            <w:r>
              <w:rPr>
                <w:rFonts w:hint="eastAsia" w:ascii="宋体" w:hAnsi="宋体" w:eastAsia="宋体" w:cs="宋体"/>
                <w:color w:val="auto"/>
                <w:spacing w:val="-6"/>
                <w:sz w:val="21"/>
                <w:szCs w:val="21"/>
                <w:highlight w:val="none"/>
              </w:rPr>
              <w:t>对</w:t>
            </w:r>
            <w:r>
              <w:rPr>
                <w:rFonts w:hint="eastAsia" w:ascii="宋体" w:hAnsi="宋体" w:eastAsia="宋体" w:cs="宋体"/>
                <w:color w:val="auto"/>
                <w:spacing w:val="-5"/>
                <w:sz w:val="21"/>
                <w:szCs w:val="21"/>
                <w:highlight w:val="none"/>
              </w:rPr>
              <w:t>分包人的资质要求：</w:t>
            </w:r>
            <w:r>
              <w:rPr>
                <w:rFonts w:hint="eastAsia" w:ascii="宋体" w:hAnsi="宋体" w:eastAsia="宋体" w:cs="宋体"/>
                <w:color w:val="auto"/>
                <w:sz w:val="21"/>
                <w:szCs w:val="21"/>
                <w:highlight w:val="none"/>
                <w:u w:val="single"/>
              </w:rPr>
              <w:t>按国家规定。</w:t>
            </w:r>
          </w:p>
        </w:tc>
      </w:tr>
      <w:tr w14:paraId="390B2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69" w:type="dxa"/>
            <w:vAlign w:val="center"/>
          </w:tcPr>
          <w:p w14:paraId="63E15115">
            <w:pPr>
              <w:spacing w:before="48" w:after="48"/>
              <w:ind w:left="42" w:leftChars="20" w:right="42" w:rightChars="20"/>
              <w:jc w:val="center"/>
              <w:rPr>
                <w:rFonts w:ascii="Times New Roman" w:hAnsi="Times New Roman" w:eastAsia="Times New Roman"/>
                <w:color w:val="auto"/>
                <w:spacing w:val="-7"/>
                <w:highlight w:val="none"/>
              </w:rPr>
            </w:pPr>
            <w:r>
              <w:rPr>
                <w:rFonts w:hint="eastAsia" w:ascii="Times New Roman" w:hAnsi="Times New Roman" w:eastAsia="Times New Roman"/>
                <w:color w:val="auto"/>
                <w:spacing w:val="-7"/>
                <w:highlight w:val="none"/>
              </w:rPr>
              <w:t>1.12.1</w:t>
            </w:r>
          </w:p>
        </w:tc>
        <w:tc>
          <w:tcPr>
            <w:tcW w:w="3547" w:type="dxa"/>
            <w:vAlign w:val="center"/>
          </w:tcPr>
          <w:p w14:paraId="7681C297">
            <w:pPr>
              <w:spacing w:before="48" w:after="48"/>
              <w:ind w:left="42" w:leftChars="20" w:right="42" w:rightChars="20"/>
              <w:jc w:val="center"/>
              <w:rPr>
                <w:rFonts w:ascii="宋体" w:hAnsi="宋体"/>
                <w:color w:val="auto"/>
                <w:highlight w:val="none"/>
              </w:rPr>
            </w:pPr>
            <w:r>
              <w:rPr>
                <w:rFonts w:hint="eastAsia" w:ascii="宋体" w:hAnsi="宋体"/>
                <w:color w:val="auto"/>
                <w:highlight w:val="none"/>
              </w:rPr>
              <w:t>实质性要求和条件</w:t>
            </w:r>
          </w:p>
        </w:tc>
        <w:tc>
          <w:tcPr>
            <w:tcW w:w="4610" w:type="dxa"/>
          </w:tcPr>
          <w:p w14:paraId="44FC1869">
            <w:pPr>
              <w:spacing w:before="184"/>
              <w:ind w:left="105" w:leftChars="50" w:right="105" w:rightChars="50" w:firstLine="14" w:firstLineChars="7"/>
              <w:rPr>
                <w:rFonts w:hint="eastAsia" w:ascii="宋体" w:hAnsi="宋体" w:eastAsia="宋体"/>
                <w:color w:val="auto"/>
                <w:highlight w:val="none"/>
              </w:rPr>
            </w:pPr>
            <w:r>
              <w:rPr>
                <w:rFonts w:hint="eastAsia" w:ascii="宋体" w:hAnsi="宋体" w:eastAsia="宋体"/>
                <w:color w:val="auto"/>
                <w:highlight w:val="none"/>
              </w:rPr>
              <w:t>/</w:t>
            </w:r>
          </w:p>
        </w:tc>
      </w:tr>
      <w:tr w14:paraId="77994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1169" w:type="dxa"/>
          </w:tcPr>
          <w:p w14:paraId="4475C92D">
            <w:pPr>
              <w:spacing w:line="274" w:lineRule="auto"/>
              <w:rPr>
                <w:color w:val="auto"/>
                <w:highlight w:val="none"/>
              </w:rPr>
            </w:pPr>
          </w:p>
          <w:p w14:paraId="5D6FF36A">
            <w:pPr>
              <w:spacing w:line="274" w:lineRule="auto"/>
              <w:rPr>
                <w:color w:val="auto"/>
                <w:highlight w:val="none"/>
              </w:rPr>
            </w:pPr>
          </w:p>
          <w:p w14:paraId="1F53DDA9">
            <w:pPr>
              <w:spacing w:before="61" w:line="186" w:lineRule="auto"/>
              <w:ind w:left="343"/>
              <w:rPr>
                <w:rFonts w:ascii="Times New Roman" w:hAnsi="Times New Roman" w:eastAsia="Times New Roman"/>
                <w:color w:val="auto"/>
                <w:spacing w:val="-6"/>
                <w:highlight w:val="none"/>
              </w:rPr>
            </w:pPr>
            <w:r>
              <w:rPr>
                <w:rFonts w:ascii="Times New Roman" w:hAnsi="Times New Roman" w:eastAsia="Times New Roman"/>
                <w:color w:val="auto"/>
                <w:spacing w:val="-6"/>
                <w:highlight w:val="none"/>
              </w:rPr>
              <w:t>1</w:t>
            </w:r>
            <w:r>
              <w:rPr>
                <w:rFonts w:ascii="Times New Roman" w:hAnsi="Times New Roman" w:eastAsia="Times New Roman"/>
                <w:color w:val="auto"/>
                <w:spacing w:val="-5"/>
                <w:highlight w:val="none"/>
              </w:rPr>
              <w:t>.</w:t>
            </w:r>
            <w:r>
              <w:rPr>
                <w:rFonts w:ascii="Times New Roman" w:hAnsi="Times New Roman" w:eastAsia="Times New Roman"/>
                <w:color w:val="auto"/>
                <w:spacing w:val="-3"/>
                <w:highlight w:val="none"/>
              </w:rPr>
              <w:t>12.3</w:t>
            </w:r>
          </w:p>
        </w:tc>
        <w:tc>
          <w:tcPr>
            <w:tcW w:w="3547" w:type="dxa"/>
          </w:tcPr>
          <w:p w14:paraId="499A145F">
            <w:pPr>
              <w:spacing w:line="251" w:lineRule="auto"/>
              <w:rPr>
                <w:color w:val="auto"/>
                <w:highlight w:val="none"/>
              </w:rPr>
            </w:pPr>
          </w:p>
          <w:p w14:paraId="16612C6E">
            <w:pPr>
              <w:spacing w:line="251" w:lineRule="auto"/>
              <w:rPr>
                <w:color w:val="auto"/>
                <w:highlight w:val="none"/>
              </w:rPr>
            </w:pPr>
          </w:p>
          <w:p w14:paraId="005B31EE">
            <w:pPr>
              <w:spacing w:before="69" w:line="220" w:lineRule="auto"/>
              <w:ind w:left="1745"/>
              <w:rPr>
                <w:rFonts w:hint="eastAsia" w:ascii="宋体" w:hAnsi="宋体" w:eastAsia="宋体"/>
                <w:color w:val="auto"/>
                <w:spacing w:val="-3"/>
                <w:highlight w:val="none"/>
              </w:rPr>
            </w:pPr>
            <w:r>
              <w:rPr>
                <w:rFonts w:ascii="宋体" w:hAnsi="宋体" w:eastAsia="宋体"/>
                <w:color w:val="auto"/>
                <w:spacing w:val="-3"/>
                <w:highlight w:val="none"/>
              </w:rPr>
              <w:t>偏</w:t>
            </w:r>
            <w:r>
              <w:rPr>
                <w:rFonts w:ascii="宋体" w:hAnsi="宋体" w:eastAsia="宋体"/>
                <w:color w:val="auto"/>
                <w:spacing w:val="-2"/>
                <w:highlight w:val="none"/>
              </w:rPr>
              <w:t>差</w:t>
            </w:r>
          </w:p>
        </w:tc>
        <w:tc>
          <w:tcPr>
            <w:tcW w:w="4610" w:type="dxa"/>
          </w:tcPr>
          <w:p w14:paraId="7690DDF0">
            <w:pPr>
              <w:spacing w:before="174" w:line="173" w:lineRule="auto"/>
              <w:ind w:left="105" w:leftChars="50" w:right="105" w:rightChars="50"/>
              <w:rPr>
                <w:rFonts w:ascii="Times New Roman" w:hAnsi="Times New Roman" w:eastAsia="Times New Roman"/>
                <w:color w:val="auto"/>
                <w:spacing w:val="-6"/>
                <w:sz w:val="31"/>
                <w:szCs w:val="31"/>
                <w:highlight w:val="none"/>
              </w:rPr>
            </w:pPr>
            <w:r>
              <w:rPr>
                <w:rFonts w:ascii="Times New Roman" w:hAnsi="Times New Roman" w:eastAsia="Times New Roman"/>
                <w:color w:val="auto"/>
                <w:spacing w:val="-6"/>
                <w:sz w:val="31"/>
                <w:szCs w:val="31"/>
                <w:highlight w:val="none"/>
              </w:rPr>
              <w:sym w:font="Wingdings 2" w:char="F052"/>
            </w:r>
            <w:r>
              <w:rPr>
                <w:rFonts w:ascii="宋体" w:hAnsi="宋体" w:eastAsia="宋体"/>
                <w:color w:val="auto"/>
                <w:spacing w:val="-3"/>
                <w:highlight w:val="none"/>
              </w:rPr>
              <w:t>不允许</w:t>
            </w:r>
          </w:p>
          <w:p w14:paraId="1FCC255E">
            <w:pPr>
              <w:spacing w:before="125" w:line="256" w:lineRule="auto"/>
              <w:ind w:left="1034" w:leftChars="50" w:right="105" w:rightChars="50" w:hanging="929"/>
              <w:rPr>
                <w:rFonts w:ascii="Times New Roman" w:hAnsi="Times New Roman" w:eastAsia="Times New Roman"/>
                <w:color w:val="auto"/>
                <w:spacing w:val="-24"/>
                <w:sz w:val="31"/>
                <w:szCs w:val="31"/>
                <w:highlight w:val="none"/>
              </w:rPr>
            </w:pPr>
            <w:r>
              <w:rPr>
                <w:rFonts w:ascii="Times New Roman" w:hAnsi="Times New Roman" w:eastAsia="Times New Roman"/>
                <w:color w:val="auto"/>
                <w:spacing w:val="-24"/>
                <w:sz w:val="31"/>
                <w:szCs w:val="31"/>
                <w:highlight w:val="none"/>
              </w:rPr>
              <w:t xml:space="preserve">□ </w:t>
            </w:r>
            <w:r>
              <w:rPr>
                <w:rFonts w:ascii="宋体" w:hAnsi="宋体" w:eastAsia="宋体"/>
                <w:color w:val="auto"/>
                <w:spacing w:val="-24"/>
                <w:sz w:val="24"/>
                <w:szCs w:val="24"/>
                <w:highlight w:val="none"/>
              </w:rPr>
              <w:t>允许，</w:t>
            </w:r>
            <w:r>
              <w:rPr>
                <w:rFonts w:hint="eastAsia" w:ascii="宋体" w:hAnsi="宋体" w:eastAsia="宋体"/>
                <w:color w:val="auto"/>
                <w:spacing w:val="-24"/>
                <w:sz w:val="24"/>
                <w:szCs w:val="24"/>
                <w:highlight w:val="none"/>
              </w:rPr>
              <w:t xml:space="preserve"> </w:t>
            </w:r>
            <w:r>
              <w:rPr>
                <w:rFonts w:ascii="宋体" w:hAnsi="宋体" w:eastAsia="宋体"/>
                <w:color w:val="auto"/>
                <w:spacing w:val="-24"/>
                <w:highlight w:val="none"/>
              </w:rPr>
              <w:t>偏差范围：</w:t>
            </w:r>
            <w:r>
              <w:rPr>
                <w:rFonts w:ascii="宋体" w:hAnsi="宋体" w:eastAsia="宋体"/>
                <w:color w:val="auto"/>
                <w:highlight w:val="none"/>
              </w:rPr>
              <w:t xml:space="preserve"> </w:t>
            </w:r>
          </w:p>
          <w:p w14:paraId="0726F65A">
            <w:pPr>
              <w:spacing w:before="125" w:line="256" w:lineRule="auto"/>
              <w:ind w:left="105" w:leftChars="50" w:right="105" w:rightChars="50" w:firstLine="1104" w:firstLineChars="600"/>
              <w:rPr>
                <w:rFonts w:hint="eastAsia" w:ascii="宋体" w:hAnsi="宋体" w:eastAsia="宋体"/>
                <w:color w:val="auto"/>
                <w:spacing w:val="-13"/>
                <w:highlight w:val="none"/>
              </w:rPr>
            </w:pPr>
            <w:r>
              <w:rPr>
                <w:rFonts w:ascii="宋体" w:hAnsi="宋体" w:eastAsia="宋体"/>
                <w:color w:val="auto"/>
                <w:spacing w:val="-13"/>
                <w:highlight w:val="none"/>
              </w:rPr>
              <w:t>偏</w:t>
            </w:r>
            <w:r>
              <w:rPr>
                <w:rFonts w:ascii="宋体" w:hAnsi="宋体" w:eastAsia="宋体"/>
                <w:color w:val="auto"/>
                <w:spacing w:val="-11"/>
                <w:highlight w:val="none"/>
              </w:rPr>
              <w:t>差幅度：</w:t>
            </w:r>
          </w:p>
        </w:tc>
      </w:tr>
      <w:tr w14:paraId="7C164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169" w:type="dxa"/>
            <w:vAlign w:val="center"/>
          </w:tcPr>
          <w:p w14:paraId="0512C250">
            <w:pPr>
              <w:pStyle w:val="61"/>
              <w:overflowPunct w:val="0"/>
              <w:jc w:val="center"/>
              <w:rPr>
                <w:rFonts w:ascii="Times New Roman" w:hAnsi="Times New Roman" w:eastAsia="Times New Roman"/>
                <w:color w:val="auto"/>
                <w:sz w:val="21"/>
                <w:szCs w:val="21"/>
                <w:highlight w:val="none"/>
              </w:rPr>
            </w:pPr>
            <w:r>
              <w:rPr>
                <w:rFonts w:hint="eastAsia" w:ascii="Times New Roman" w:hAnsi="Times New Roman" w:eastAsia="Times New Roman"/>
                <w:color w:val="auto"/>
                <w:sz w:val="21"/>
                <w:szCs w:val="21"/>
                <w:highlight w:val="none"/>
              </w:rPr>
              <w:t>2.1</w:t>
            </w:r>
          </w:p>
        </w:tc>
        <w:tc>
          <w:tcPr>
            <w:tcW w:w="3547" w:type="dxa"/>
            <w:vAlign w:val="center"/>
          </w:tcPr>
          <w:p w14:paraId="62ED7C4C">
            <w:pPr>
              <w:pStyle w:val="61"/>
              <w:overflowPunct w:val="0"/>
              <w:jc w:val="center"/>
              <w:rPr>
                <w:rFonts w:hint="eastAsia" w:ascii="宋体" w:hAnsi="宋体" w:eastAsia="宋体"/>
                <w:color w:val="auto"/>
                <w:sz w:val="21"/>
                <w:szCs w:val="21"/>
                <w:highlight w:val="none"/>
              </w:rPr>
            </w:pPr>
            <w:r>
              <w:rPr>
                <w:rFonts w:ascii="宋体" w:hAnsi="宋体" w:eastAsia="宋体"/>
                <w:color w:val="auto"/>
                <w:sz w:val="21"/>
                <w:szCs w:val="21"/>
                <w:highlight w:val="none"/>
              </w:rPr>
              <w:t>构成招标文件的其他资料</w:t>
            </w:r>
          </w:p>
        </w:tc>
        <w:tc>
          <w:tcPr>
            <w:tcW w:w="4610" w:type="dxa"/>
          </w:tcPr>
          <w:p w14:paraId="3B8D3DEA">
            <w:pPr>
              <w:spacing w:before="125" w:line="256" w:lineRule="auto"/>
              <w:ind w:left="105" w:leftChars="50" w:right="105" w:rightChars="50" w:firstLine="920" w:firstLineChars="500"/>
              <w:rPr>
                <w:rFonts w:hint="eastAsia" w:ascii="宋体" w:hAnsi="宋体" w:eastAsia="宋体"/>
                <w:color w:val="auto"/>
                <w:spacing w:val="-13"/>
                <w:highlight w:val="none"/>
              </w:rPr>
            </w:pPr>
            <w:r>
              <w:rPr>
                <w:rFonts w:hint="eastAsia" w:ascii="宋体" w:hAnsi="宋体" w:eastAsia="宋体"/>
                <w:color w:val="auto"/>
                <w:spacing w:val="-13"/>
                <w:highlight w:val="none"/>
              </w:rPr>
              <w:t>/</w:t>
            </w:r>
          </w:p>
        </w:tc>
      </w:tr>
      <w:tr w14:paraId="18F78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169" w:type="dxa"/>
            <w:vAlign w:val="center"/>
          </w:tcPr>
          <w:p w14:paraId="12A58D6B">
            <w:pPr>
              <w:spacing w:before="60" w:line="186" w:lineRule="auto"/>
              <w:jc w:val="center"/>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2.2</w:t>
            </w:r>
          </w:p>
        </w:tc>
        <w:tc>
          <w:tcPr>
            <w:tcW w:w="3547" w:type="dxa"/>
            <w:vAlign w:val="center"/>
          </w:tcPr>
          <w:p w14:paraId="0C5773CF">
            <w:pPr>
              <w:spacing w:line="272" w:lineRule="auto"/>
              <w:jc w:val="center"/>
              <w:rPr>
                <w:color w:val="auto"/>
                <w:highlight w:val="none"/>
              </w:rPr>
            </w:pPr>
          </w:p>
          <w:p w14:paraId="3FC1D008">
            <w:pPr>
              <w:spacing w:before="69" w:line="220" w:lineRule="auto"/>
              <w:jc w:val="center"/>
              <w:rPr>
                <w:color w:val="auto"/>
                <w:highlight w:val="none"/>
              </w:rPr>
            </w:pPr>
            <w:r>
              <w:rPr>
                <w:rFonts w:hint="eastAsia"/>
                <w:color w:val="auto"/>
                <w:highlight w:val="none"/>
              </w:rPr>
              <w:t>招标答疑</w:t>
            </w:r>
          </w:p>
          <w:p w14:paraId="65B832C9">
            <w:pPr>
              <w:jc w:val="center"/>
              <w:rPr>
                <w:color w:val="auto"/>
                <w:highlight w:val="none"/>
              </w:rPr>
            </w:pPr>
          </w:p>
          <w:p w14:paraId="0A6A16B7">
            <w:pPr>
              <w:tabs>
                <w:tab w:val="left" w:pos="1103"/>
              </w:tabs>
              <w:jc w:val="center"/>
              <w:rPr>
                <w:color w:val="auto"/>
                <w:highlight w:val="none"/>
              </w:rPr>
            </w:pPr>
          </w:p>
        </w:tc>
        <w:tc>
          <w:tcPr>
            <w:tcW w:w="4610" w:type="dxa"/>
          </w:tcPr>
          <w:p w14:paraId="602896E9">
            <w:pPr>
              <w:spacing w:before="120" w:line="360" w:lineRule="auto"/>
              <w:ind w:left="105" w:leftChars="50" w:right="105" w:rightChars="50"/>
              <w:contextualSpacing/>
              <w:rPr>
                <w:rFonts w:hint="eastAsia" w:ascii="宋体" w:hAnsi="宋体" w:eastAsia="宋体"/>
                <w:color w:val="auto"/>
                <w:highlight w:val="none"/>
              </w:rPr>
            </w:pPr>
            <w:r>
              <w:rPr>
                <w:rFonts w:hint="eastAsia" w:ascii="宋体" w:hAnsi="宋体" w:eastAsia="宋体"/>
                <w:color w:val="auto"/>
                <w:highlight w:val="none"/>
              </w:rPr>
              <w:t>疑问提交时间：</w:t>
            </w:r>
            <w:r>
              <w:rPr>
                <w:rFonts w:hint="eastAsia" w:ascii="宋体" w:hAnsi="宋体" w:eastAsia="宋体"/>
                <w:color w:val="auto"/>
                <w:highlight w:val="none"/>
                <w:u w:val="single"/>
              </w:rPr>
              <w:t xml:space="preserve">    </w:t>
            </w:r>
            <w:r>
              <w:rPr>
                <w:rFonts w:hint="eastAsia" w:ascii="宋体" w:hAnsi="宋体" w:eastAsia="宋体"/>
                <w:color w:val="auto"/>
                <w:highlight w:val="none"/>
              </w:rPr>
              <w:t>年</w:t>
            </w:r>
            <w:r>
              <w:rPr>
                <w:rFonts w:hint="eastAsia" w:ascii="宋体" w:hAnsi="宋体" w:eastAsia="宋体"/>
                <w:color w:val="auto"/>
                <w:highlight w:val="none"/>
                <w:u w:val="single"/>
              </w:rPr>
              <w:t xml:space="preserve">   </w:t>
            </w:r>
            <w:r>
              <w:rPr>
                <w:rFonts w:hint="eastAsia" w:ascii="宋体" w:hAnsi="宋体" w:eastAsia="宋体"/>
                <w:color w:val="auto"/>
                <w:highlight w:val="none"/>
              </w:rPr>
              <w:t>月</w:t>
            </w:r>
            <w:r>
              <w:rPr>
                <w:rFonts w:hint="eastAsia" w:ascii="宋体" w:hAnsi="宋体" w:eastAsia="宋体"/>
                <w:color w:val="auto"/>
                <w:highlight w:val="none"/>
                <w:u w:val="single"/>
              </w:rPr>
              <w:t xml:space="preserve">   </w:t>
            </w:r>
            <w:r>
              <w:rPr>
                <w:rFonts w:hint="eastAsia" w:ascii="宋体" w:hAnsi="宋体" w:eastAsia="宋体"/>
                <w:color w:val="auto"/>
                <w:highlight w:val="none"/>
              </w:rPr>
              <w:t>日</w:t>
            </w:r>
            <w:r>
              <w:rPr>
                <w:rFonts w:hint="eastAsia" w:ascii="宋体" w:hAnsi="宋体" w:eastAsia="宋体"/>
                <w:color w:val="auto"/>
                <w:highlight w:val="none"/>
                <w:u w:val="single"/>
              </w:rPr>
              <w:t xml:space="preserve">   </w:t>
            </w:r>
            <w:r>
              <w:rPr>
                <w:rFonts w:hint="eastAsia" w:ascii="宋体" w:hAnsi="宋体" w:eastAsia="宋体"/>
                <w:color w:val="auto"/>
                <w:highlight w:val="none"/>
              </w:rPr>
              <w:t>时前；</w:t>
            </w:r>
          </w:p>
          <w:p w14:paraId="780AEE30">
            <w:pPr>
              <w:spacing w:before="120" w:line="360" w:lineRule="auto"/>
              <w:ind w:left="105" w:leftChars="50" w:right="105" w:rightChars="50"/>
              <w:contextualSpacing/>
              <w:rPr>
                <w:rFonts w:hint="eastAsia" w:ascii="宋体" w:hAnsi="宋体" w:eastAsia="宋体"/>
                <w:color w:val="auto"/>
                <w:highlight w:val="none"/>
              </w:rPr>
            </w:pPr>
            <w:r>
              <w:rPr>
                <w:rFonts w:hint="eastAsia" w:ascii="宋体" w:hAnsi="宋体" w:eastAsia="宋体"/>
                <w:color w:val="auto"/>
                <w:highlight w:val="none"/>
              </w:rPr>
              <w:t>形式：投标人的疑问通过广州交易集团有限公司（广州公共资源交易中心）网站提交。</w:t>
            </w:r>
          </w:p>
          <w:p w14:paraId="010237DA">
            <w:pPr>
              <w:spacing w:before="120" w:line="360" w:lineRule="auto"/>
              <w:ind w:left="105" w:leftChars="50" w:right="105" w:rightChars="50"/>
              <w:contextualSpacing/>
              <w:rPr>
                <w:rFonts w:hint="eastAsia" w:ascii="宋体" w:hAnsi="宋体" w:eastAsia="宋体"/>
                <w:color w:val="auto"/>
                <w:highlight w:val="none"/>
              </w:rPr>
            </w:pPr>
            <w:r>
              <w:rPr>
                <w:rFonts w:hint="eastAsia" w:ascii="宋体" w:hAnsi="宋体" w:eastAsia="宋体"/>
                <w:color w:val="auto"/>
                <w:highlight w:val="none"/>
              </w:rPr>
              <w:t>具体要求：按照广州交易集团有限公司（广州公共资源交易中心）网站关于全流程电子化项目的相关指南进行操作，提问一律不得署名。</w:t>
            </w:r>
          </w:p>
        </w:tc>
      </w:tr>
      <w:tr w14:paraId="267F9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169" w:type="dxa"/>
            <w:vAlign w:val="center"/>
          </w:tcPr>
          <w:p w14:paraId="2C04B9D3">
            <w:pPr>
              <w:spacing w:before="209" w:line="186" w:lineRule="auto"/>
              <w:jc w:val="center"/>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2.3</w:t>
            </w:r>
          </w:p>
        </w:tc>
        <w:tc>
          <w:tcPr>
            <w:tcW w:w="3547" w:type="dxa"/>
            <w:vAlign w:val="center"/>
          </w:tcPr>
          <w:p w14:paraId="1049934E">
            <w:pPr>
              <w:spacing w:before="170" w:line="220" w:lineRule="auto"/>
              <w:jc w:val="center"/>
              <w:rPr>
                <w:rFonts w:hint="eastAsia" w:ascii="宋体" w:hAnsi="宋体" w:eastAsia="宋体"/>
                <w:color w:val="auto"/>
                <w:spacing w:val="-1"/>
                <w:highlight w:val="none"/>
              </w:rPr>
            </w:pPr>
            <w:r>
              <w:rPr>
                <w:rFonts w:ascii="宋体" w:hAnsi="宋体" w:eastAsia="宋体"/>
                <w:color w:val="auto"/>
                <w:spacing w:val="-1"/>
                <w:highlight w:val="none"/>
              </w:rPr>
              <w:t>招标文件</w:t>
            </w:r>
            <w:r>
              <w:rPr>
                <w:rFonts w:hint="eastAsia" w:ascii="宋体" w:hAnsi="宋体" w:eastAsia="宋体"/>
                <w:color w:val="auto"/>
                <w:spacing w:val="-1"/>
                <w:highlight w:val="none"/>
              </w:rPr>
              <w:t>的澄清和</w:t>
            </w:r>
            <w:r>
              <w:rPr>
                <w:rFonts w:ascii="宋体" w:hAnsi="宋体" w:eastAsia="宋体"/>
                <w:color w:val="auto"/>
                <w:spacing w:val="-1"/>
                <w:highlight w:val="none"/>
              </w:rPr>
              <w:t>修改</w:t>
            </w:r>
          </w:p>
        </w:tc>
        <w:tc>
          <w:tcPr>
            <w:tcW w:w="4610" w:type="dxa"/>
            <w:vAlign w:val="center"/>
          </w:tcPr>
          <w:p w14:paraId="2C66196D">
            <w:pPr>
              <w:ind w:left="105" w:leftChars="50" w:right="105" w:rightChars="50"/>
              <w:jc w:val="both"/>
              <w:rPr>
                <w:rFonts w:ascii="宋体" w:hAnsi="宋体"/>
                <w:color w:val="auto"/>
                <w:highlight w:val="none"/>
              </w:rPr>
            </w:pPr>
            <w:r>
              <w:rPr>
                <w:rFonts w:hint="eastAsia" w:ascii="宋体" w:hAnsi="宋体"/>
                <w:color w:val="auto"/>
                <w:highlight w:val="none"/>
              </w:rPr>
              <w:t>招标文件的修改期限：在投标截止时间</w:t>
            </w:r>
            <w:r>
              <w:rPr>
                <w:rFonts w:hint="eastAsia" w:ascii="宋体" w:hAnsi="宋体"/>
                <w:color w:val="auto"/>
                <w:highlight w:val="none"/>
                <w:u w:val="single"/>
              </w:rPr>
              <w:t xml:space="preserve"> 15 </w:t>
            </w:r>
            <w:r>
              <w:rPr>
                <w:rFonts w:hint="eastAsia" w:ascii="宋体" w:hAnsi="宋体"/>
                <w:color w:val="auto"/>
                <w:highlight w:val="none"/>
              </w:rPr>
              <w:t>天前</w:t>
            </w:r>
          </w:p>
        </w:tc>
      </w:tr>
      <w:tr w14:paraId="37986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169" w:type="dxa"/>
            <w:vAlign w:val="center"/>
          </w:tcPr>
          <w:p w14:paraId="2CC8881F">
            <w:pPr>
              <w:pStyle w:val="61"/>
              <w:overflowPunct w:val="0"/>
              <w:jc w:val="center"/>
              <w:rPr>
                <w:rFonts w:hint="eastAsia" w:ascii="宋体" w:hAnsi="宋体" w:eastAsia="宋体"/>
                <w:color w:val="auto"/>
                <w:spacing w:val="-1"/>
                <w:sz w:val="21"/>
                <w:szCs w:val="21"/>
                <w:highlight w:val="none"/>
              </w:rPr>
            </w:pPr>
            <w:r>
              <w:rPr>
                <w:rFonts w:hint="eastAsia" w:ascii="宋体" w:hAnsi="宋体" w:eastAsia="宋体"/>
                <w:color w:val="auto"/>
                <w:spacing w:val="-1"/>
                <w:sz w:val="21"/>
                <w:szCs w:val="21"/>
                <w:highlight w:val="none"/>
              </w:rPr>
              <w:t>3.1.1</w:t>
            </w:r>
          </w:p>
        </w:tc>
        <w:tc>
          <w:tcPr>
            <w:tcW w:w="3547" w:type="dxa"/>
            <w:vAlign w:val="center"/>
          </w:tcPr>
          <w:p w14:paraId="73C8E9AE">
            <w:pPr>
              <w:pStyle w:val="61"/>
              <w:overflowPunct w:val="0"/>
              <w:jc w:val="center"/>
              <w:rPr>
                <w:rFonts w:hint="eastAsia" w:ascii="宋体" w:hAnsi="宋体" w:eastAsia="宋体"/>
                <w:color w:val="auto"/>
                <w:spacing w:val="-1"/>
                <w:sz w:val="21"/>
                <w:szCs w:val="21"/>
                <w:highlight w:val="none"/>
              </w:rPr>
            </w:pPr>
            <w:r>
              <w:rPr>
                <w:rFonts w:ascii="宋体" w:hAnsi="宋体" w:eastAsia="宋体"/>
                <w:color w:val="auto"/>
                <w:spacing w:val="-1"/>
                <w:sz w:val="21"/>
                <w:szCs w:val="21"/>
                <w:highlight w:val="none"/>
              </w:rPr>
              <w:t>构成投标文件的其他资料</w:t>
            </w:r>
          </w:p>
        </w:tc>
        <w:tc>
          <w:tcPr>
            <w:tcW w:w="4610" w:type="dxa"/>
            <w:vAlign w:val="center"/>
          </w:tcPr>
          <w:p w14:paraId="374AA785">
            <w:pPr>
              <w:ind w:left="105" w:leftChars="50" w:right="105" w:rightChars="50"/>
              <w:jc w:val="both"/>
              <w:rPr>
                <w:rFonts w:hint="eastAsia" w:ascii="宋体" w:hAnsi="宋体" w:eastAsia="宋体"/>
                <w:color w:val="auto"/>
                <w:spacing w:val="-1"/>
                <w:highlight w:val="none"/>
              </w:rPr>
            </w:pPr>
            <w:r>
              <w:rPr>
                <w:rFonts w:hint="eastAsia" w:ascii="宋体" w:hAnsi="宋体" w:eastAsia="宋体"/>
                <w:color w:val="auto"/>
                <w:spacing w:val="-1"/>
                <w:highlight w:val="none"/>
              </w:rPr>
              <w:t>满足本项目评审要求的其他资料。</w:t>
            </w:r>
          </w:p>
        </w:tc>
      </w:tr>
      <w:tr w14:paraId="303CD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tcPr>
          <w:p w14:paraId="380E6F50">
            <w:pPr>
              <w:spacing w:before="209" w:line="186" w:lineRule="auto"/>
              <w:ind w:left="380"/>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3.2.</w:t>
            </w:r>
            <w:r>
              <w:rPr>
                <w:rFonts w:ascii="Times New Roman" w:hAnsi="Times New Roman" w:eastAsia="Times New Roman"/>
                <w:color w:val="auto"/>
                <w:spacing w:val="-1"/>
                <w:highlight w:val="none"/>
              </w:rPr>
              <w:t>1</w:t>
            </w:r>
          </w:p>
        </w:tc>
        <w:tc>
          <w:tcPr>
            <w:tcW w:w="3547" w:type="dxa"/>
          </w:tcPr>
          <w:p w14:paraId="39E30775">
            <w:pPr>
              <w:spacing w:before="170" w:line="220" w:lineRule="auto"/>
              <w:ind w:left="906"/>
              <w:rPr>
                <w:rFonts w:hint="eastAsia" w:ascii="宋体" w:hAnsi="宋体" w:eastAsia="宋体"/>
                <w:color w:val="auto"/>
                <w:spacing w:val="-1"/>
                <w:highlight w:val="none"/>
              </w:rPr>
            </w:pPr>
            <w:r>
              <w:rPr>
                <w:rFonts w:ascii="宋体" w:hAnsi="宋体" w:eastAsia="宋体"/>
                <w:color w:val="auto"/>
                <w:spacing w:val="-1"/>
                <w:highlight w:val="none"/>
              </w:rPr>
              <w:t>增值税税金的计算方</w:t>
            </w:r>
            <w:r>
              <w:rPr>
                <w:rFonts w:ascii="宋体" w:hAnsi="宋体" w:eastAsia="宋体"/>
                <w:color w:val="auto"/>
                <w:highlight w:val="none"/>
              </w:rPr>
              <w:t>法</w:t>
            </w:r>
          </w:p>
        </w:tc>
        <w:tc>
          <w:tcPr>
            <w:tcW w:w="4610" w:type="dxa"/>
            <w:vAlign w:val="center"/>
          </w:tcPr>
          <w:p w14:paraId="4ECF7D88">
            <w:pPr>
              <w:ind w:left="105" w:leftChars="50" w:right="105" w:rightChars="50" w:firstLine="420" w:firstLineChars="200"/>
              <w:jc w:val="both"/>
              <w:rPr>
                <w:rFonts w:eastAsia="宋体"/>
                <w:color w:val="auto"/>
                <w:highlight w:val="none"/>
              </w:rPr>
            </w:pPr>
            <w:r>
              <w:rPr>
                <w:rFonts w:hint="eastAsia" w:eastAsia="宋体"/>
                <w:color w:val="auto"/>
                <w:highlight w:val="none"/>
              </w:rPr>
              <w:t>/</w:t>
            </w:r>
          </w:p>
        </w:tc>
      </w:tr>
      <w:tr w14:paraId="77B33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tcPr>
          <w:p w14:paraId="25239697">
            <w:pPr>
              <w:spacing w:before="209" w:line="186" w:lineRule="auto"/>
              <w:ind w:left="380"/>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3.2.</w:t>
            </w:r>
            <w:r>
              <w:rPr>
                <w:rFonts w:ascii="Times New Roman" w:hAnsi="Times New Roman" w:eastAsia="Times New Roman"/>
                <w:color w:val="auto"/>
                <w:spacing w:val="-1"/>
                <w:highlight w:val="none"/>
              </w:rPr>
              <w:t>3</w:t>
            </w:r>
          </w:p>
        </w:tc>
        <w:tc>
          <w:tcPr>
            <w:tcW w:w="3547" w:type="dxa"/>
          </w:tcPr>
          <w:p w14:paraId="4F9B3EC5">
            <w:pPr>
              <w:spacing w:before="170" w:line="219" w:lineRule="auto"/>
              <w:ind w:left="1533"/>
              <w:rPr>
                <w:rFonts w:hint="eastAsia" w:ascii="宋体" w:hAnsi="宋体" w:eastAsia="宋体"/>
                <w:color w:val="auto"/>
                <w:spacing w:val="-2"/>
                <w:highlight w:val="none"/>
              </w:rPr>
            </w:pPr>
            <w:r>
              <w:rPr>
                <w:rFonts w:ascii="宋体" w:hAnsi="宋体" w:eastAsia="宋体"/>
                <w:color w:val="auto"/>
                <w:spacing w:val="-2"/>
                <w:highlight w:val="none"/>
              </w:rPr>
              <w:t>报</w:t>
            </w:r>
            <w:r>
              <w:rPr>
                <w:rFonts w:ascii="宋体" w:hAnsi="宋体" w:eastAsia="宋体"/>
                <w:color w:val="auto"/>
                <w:spacing w:val="-1"/>
                <w:highlight w:val="none"/>
              </w:rPr>
              <w:t>价方式</w:t>
            </w:r>
          </w:p>
        </w:tc>
        <w:tc>
          <w:tcPr>
            <w:tcW w:w="4610" w:type="dxa"/>
            <w:vAlign w:val="center"/>
          </w:tcPr>
          <w:p w14:paraId="1024F55E">
            <w:pPr>
              <w:ind w:left="105" w:leftChars="50" w:right="105" w:rightChars="50"/>
              <w:jc w:val="both"/>
              <w:rPr>
                <w:rFonts w:ascii="宋体" w:hAnsi="宋体"/>
                <w:color w:val="auto"/>
                <w:highlight w:val="none"/>
                <w:u w:val="single"/>
              </w:rPr>
            </w:pPr>
            <w:r>
              <w:rPr>
                <w:rFonts w:hint="eastAsia" w:ascii="宋体" w:hAnsi="宋体"/>
                <w:color w:val="auto"/>
                <w:highlight w:val="none"/>
                <w:u w:val="single"/>
              </w:rPr>
              <w:t>投标人根据企业自身情况进行报价，报价不得超过本项目最高投标限价，超过的投标将被否决。在评标过程中，评标委员会发现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64B7A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1" w:hRule="atLeast"/>
        </w:trPr>
        <w:tc>
          <w:tcPr>
            <w:tcW w:w="1169" w:type="dxa"/>
          </w:tcPr>
          <w:p w14:paraId="5D72B9E4">
            <w:pPr>
              <w:spacing w:line="366" w:lineRule="auto"/>
              <w:rPr>
                <w:color w:val="auto"/>
                <w:highlight w:val="none"/>
              </w:rPr>
            </w:pPr>
          </w:p>
          <w:p w14:paraId="0C978552">
            <w:pPr>
              <w:spacing w:before="60" w:line="186" w:lineRule="auto"/>
              <w:ind w:left="380"/>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3.2.</w:t>
            </w:r>
            <w:r>
              <w:rPr>
                <w:rFonts w:ascii="Times New Roman" w:hAnsi="Times New Roman" w:eastAsia="Times New Roman"/>
                <w:color w:val="auto"/>
                <w:spacing w:val="-1"/>
                <w:highlight w:val="none"/>
              </w:rPr>
              <w:t>4</w:t>
            </w:r>
          </w:p>
        </w:tc>
        <w:tc>
          <w:tcPr>
            <w:tcW w:w="3547" w:type="dxa"/>
            <w:vAlign w:val="center"/>
          </w:tcPr>
          <w:p w14:paraId="7B473FCE">
            <w:pPr>
              <w:spacing w:before="69" w:line="219" w:lineRule="auto"/>
              <w:jc w:val="center"/>
              <w:rPr>
                <w:rFonts w:hint="eastAsia" w:ascii="宋体" w:hAnsi="宋体" w:eastAsia="宋体"/>
                <w:color w:val="auto"/>
                <w:spacing w:val="-2"/>
                <w:highlight w:val="none"/>
              </w:rPr>
            </w:pPr>
            <w:r>
              <w:rPr>
                <w:rFonts w:ascii="宋体" w:hAnsi="宋体" w:eastAsia="宋体"/>
                <w:color w:val="auto"/>
                <w:spacing w:val="-2"/>
                <w:highlight w:val="none"/>
              </w:rPr>
              <w:t>最高投</w:t>
            </w:r>
            <w:r>
              <w:rPr>
                <w:rFonts w:ascii="宋体" w:hAnsi="宋体" w:eastAsia="宋体"/>
                <w:color w:val="auto"/>
                <w:spacing w:val="-1"/>
                <w:highlight w:val="none"/>
              </w:rPr>
              <w:t>标限价</w:t>
            </w:r>
          </w:p>
        </w:tc>
        <w:tc>
          <w:tcPr>
            <w:tcW w:w="4610" w:type="dxa"/>
          </w:tcPr>
          <w:p w14:paraId="549B0BCC">
            <w:pPr>
              <w:spacing w:before="171" w:line="173" w:lineRule="auto"/>
              <w:ind w:left="105" w:leftChars="50" w:right="105" w:rightChars="50"/>
              <w:rPr>
                <w:rFonts w:ascii="Times New Roman" w:hAnsi="Times New Roman" w:eastAsia="宋体"/>
                <w:color w:val="auto"/>
                <w:spacing w:val="-9"/>
                <w:sz w:val="31"/>
                <w:szCs w:val="31"/>
                <w:highlight w:val="none"/>
              </w:rPr>
            </w:pPr>
            <w:r>
              <w:rPr>
                <w:rFonts w:hint="eastAsia" w:ascii="Times New Roman" w:hAnsi="Times New Roman" w:eastAsia="宋体"/>
                <w:color w:val="auto"/>
                <w:spacing w:val="-9"/>
                <w:sz w:val="31"/>
                <w:szCs w:val="31"/>
                <w:highlight w:val="none"/>
              </w:rPr>
              <w:t>□</w:t>
            </w:r>
            <w:r>
              <w:rPr>
                <w:rFonts w:ascii="宋体" w:hAnsi="宋体" w:eastAsia="宋体"/>
                <w:color w:val="auto"/>
                <w:spacing w:val="-8"/>
                <w:highlight w:val="none"/>
              </w:rPr>
              <w:t>无</w:t>
            </w:r>
          </w:p>
          <w:p w14:paraId="4035DD25">
            <w:pPr>
              <w:ind w:left="401" w:leftChars="50" w:right="105" w:rightChars="50" w:hanging="296" w:hangingChars="100"/>
              <w:rPr>
                <w:rFonts w:ascii="Times New Roman" w:hAnsi="Times New Roman" w:eastAsia="Times New Roman"/>
                <w:color w:val="auto"/>
                <w:spacing w:val="-7"/>
                <w:sz w:val="31"/>
                <w:szCs w:val="31"/>
                <w:highlight w:val="none"/>
              </w:rPr>
            </w:pPr>
            <w:r>
              <w:rPr>
                <w:rFonts w:ascii="Times New Roman" w:hAnsi="Times New Roman" w:eastAsia="Times New Roman"/>
                <w:color w:val="auto"/>
                <w:spacing w:val="-7"/>
                <w:sz w:val="31"/>
                <w:szCs w:val="31"/>
                <w:highlight w:val="none"/>
              </w:rPr>
              <w:sym w:font="Wingdings 2" w:char="F052"/>
            </w:r>
            <w:r>
              <w:rPr>
                <w:rFonts w:ascii="宋体" w:hAnsi="宋体" w:eastAsia="宋体"/>
                <w:color w:val="auto"/>
                <w:spacing w:val="-6"/>
                <w:highlight w:val="none"/>
              </w:rPr>
              <w:t>有，最高投标限价：</w:t>
            </w:r>
          </w:p>
          <w:p w14:paraId="3CA597C8">
            <w:pPr>
              <w:ind w:left="105" w:leftChars="50" w:right="105" w:rightChars="50"/>
              <w:rPr>
                <w:rFonts w:hint="eastAsia" w:ascii="宋体" w:hAnsi="宋体" w:eastAsiaTheme="minorEastAsia"/>
                <w:color w:val="auto"/>
                <w:highlight w:val="none"/>
              </w:rPr>
            </w:pPr>
            <w:r>
              <w:rPr>
                <w:rFonts w:hint="eastAsia" w:ascii="宋体" w:hAnsi="宋体"/>
                <w:color w:val="auto"/>
                <w:highlight w:val="none"/>
              </w:rPr>
              <w:t>本次招标</w:t>
            </w:r>
            <w:r>
              <w:rPr>
                <w:rFonts w:ascii="宋体" w:hAnsi="宋体"/>
                <w:color w:val="auto"/>
                <w:highlight w:val="none"/>
              </w:rPr>
              <w:t>最高投标限价</w:t>
            </w:r>
            <w:r>
              <w:rPr>
                <w:rFonts w:hint="eastAsia" w:ascii="宋体" w:hAnsi="宋体"/>
                <w:color w:val="auto"/>
                <w:highlight w:val="none"/>
              </w:rPr>
              <w:t>为</w:t>
            </w:r>
            <w:r>
              <w:rPr>
                <w:rFonts w:hint="eastAsia" w:ascii="宋体" w:hAnsi="宋体" w:eastAsia="宋体"/>
                <w:color w:val="auto"/>
                <w:highlight w:val="none"/>
                <w:u w:val="single"/>
                <w:lang w:eastAsia="zh-CN"/>
              </w:rPr>
              <w:t>593.3</w:t>
            </w:r>
            <w:r>
              <w:rPr>
                <w:rFonts w:hint="eastAsia" w:ascii="宋体" w:hAnsi="宋体" w:eastAsia="宋体"/>
                <w:color w:val="auto"/>
                <w:highlight w:val="none"/>
              </w:rPr>
              <w:t>万</w:t>
            </w:r>
            <w:r>
              <w:rPr>
                <w:rFonts w:hint="eastAsia" w:ascii="宋体" w:hAnsi="宋体"/>
                <w:color w:val="auto"/>
                <w:highlight w:val="none"/>
              </w:rPr>
              <w:t>元，其中：勘察费最高投标限价为</w:t>
            </w:r>
            <w:r>
              <w:rPr>
                <w:rFonts w:hint="eastAsia" w:ascii="宋体" w:hAnsi="宋体" w:eastAsia="宋体"/>
                <w:color w:val="auto"/>
                <w:highlight w:val="none"/>
                <w:u w:val="single"/>
              </w:rPr>
              <w:t>318.7</w:t>
            </w:r>
            <w:r>
              <w:rPr>
                <w:rFonts w:hint="eastAsia" w:ascii="宋体" w:hAnsi="宋体" w:eastAsia="宋体"/>
                <w:color w:val="auto"/>
                <w:highlight w:val="none"/>
              </w:rPr>
              <w:t>万</w:t>
            </w:r>
            <w:r>
              <w:rPr>
                <w:rFonts w:hint="eastAsia" w:ascii="宋体" w:hAnsi="宋体"/>
                <w:color w:val="auto"/>
                <w:highlight w:val="none"/>
              </w:rPr>
              <w:t>元；设计费最高投标限价为</w:t>
            </w:r>
            <w:r>
              <w:rPr>
                <w:rFonts w:hint="eastAsia" w:ascii="宋体" w:hAnsi="宋体" w:eastAsia="宋体"/>
                <w:color w:val="auto"/>
                <w:highlight w:val="none"/>
                <w:u w:val="single"/>
                <w:lang w:eastAsia="zh-CN"/>
              </w:rPr>
              <w:t>274.6</w:t>
            </w:r>
            <w:r>
              <w:rPr>
                <w:rFonts w:hint="eastAsia" w:ascii="宋体" w:hAnsi="宋体" w:eastAsia="宋体"/>
                <w:color w:val="auto"/>
                <w:highlight w:val="none"/>
              </w:rPr>
              <w:t>万</w:t>
            </w:r>
            <w:r>
              <w:rPr>
                <w:rFonts w:hint="eastAsia" w:ascii="宋体" w:hAnsi="宋体"/>
                <w:color w:val="auto"/>
                <w:highlight w:val="none"/>
              </w:rPr>
              <w:t>元。</w:t>
            </w:r>
          </w:p>
        </w:tc>
      </w:tr>
      <w:tr w14:paraId="22CB5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tcPr>
          <w:p w14:paraId="347FD8AA">
            <w:pPr>
              <w:spacing w:before="210" w:line="186" w:lineRule="auto"/>
              <w:ind w:left="380"/>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3.2.</w:t>
            </w:r>
            <w:r>
              <w:rPr>
                <w:rFonts w:ascii="Times New Roman" w:hAnsi="Times New Roman" w:eastAsia="Times New Roman"/>
                <w:color w:val="auto"/>
                <w:spacing w:val="-1"/>
                <w:highlight w:val="none"/>
              </w:rPr>
              <w:t>5</w:t>
            </w:r>
          </w:p>
        </w:tc>
        <w:tc>
          <w:tcPr>
            <w:tcW w:w="3547" w:type="dxa"/>
            <w:vAlign w:val="center"/>
          </w:tcPr>
          <w:p w14:paraId="48A66EDC">
            <w:pPr>
              <w:spacing w:before="172" w:line="218" w:lineRule="auto"/>
              <w:jc w:val="center"/>
              <w:rPr>
                <w:rFonts w:hint="eastAsia" w:ascii="宋体" w:hAnsi="宋体" w:eastAsia="宋体"/>
                <w:color w:val="auto"/>
                <w:spacing w:val="-2"/>
                <w:highlight w:val="none"/>
              </w:rPr>
            </w:pPr>
            <w:r>
              <w:rPr>
                <w:rFonts w:ascii="宋体" w:hAnsi="宋体" w:eastAsia="宋体"/>
                <w:color w:val="auto"/>
                <w:spacing w:val="-2"/>
                <w:highlight w:val="none"/>
              </w:rPr>
              <w:t>投</w:t>
            </w:r>
            <w:r>
              <w:rPr>
                <w:rFonts w:ascii="宋体" w:hAnsi="宋体" w:eastAsia="宋体"/>
                <w:color w:val="auto"/>
                <w:spacing w:val="-1"/>
                <w:highlight w:val="none"/>
              </w:rPr>
              <w:t>标报价的其他要求</w:t>
            </w:r>
          </w:p>
        </w:tc>
        <w:tc>
          <w:tcPr>
            <w:tcW w:w="4610" w:type="dxa"/>
          </w:tcPr>
          <w:p w14:paraId="3D8E2746">
            <w:pPr>
              <w:ind w:left="105" w:leftChars="50" w:right="105" w:rightChars="50"/>
              <w:rPr>
                <w:rFonts w:eastAsiaTheme="minorEastAsia"/>
                <w:color w:val="auto"/>
                <w:highlight w:val="none"/>
                <w:u w:val="single"/>
              </w:rPr>
            </w:pPr>
            <w:r>
              <w:rPr>
                <w:rFonts w:hint="eastAsia"/>
                <w:color w:val="auto"/>
                <w:highlight w:val="none"/>
                <w:u w:val="single"/>
              </w:rPr>
              <w:t>投标人必须详细审阅全部招标文件，充分考虑职责和义务，全面地理解招标文件对投标报价的要求，并按招标人提出的条件及内容进行报价。</w:t>
            </w:r>
          </w:p>
        </w:tc>
      </w:tr>
      <w:tr w14:paraId="0033A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169" w:type="dxa"/>
          </w:tcPr>
          <w:p w14:paraId="11DC8363">
            <w:pPr>
              <w:spacing w:before="210" w:line="186" w:lineRule="auto"/>
              <w:ind w:left="380"/>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3.3.</w:t>
            </w:r>
            <w:r>
              <w:rPr>
                <w:rFonts w:ascii="Times New Roman" w:hAnsi="Times New Roman" w:eastAsia="Times New Roman"/>
                <w:color w:val="auto"/>
                <w:spacing w:val="-1"/>
                <w:highlight w:val="none"/>
              </w:rPr>
              <w:t>1</w:t>
            </w:r>
          </w:p>
        </w:tc>
        <w:tc>
          <w:tcPr>
            <w:tcW w:w="3547" w:type="dxa"/>
          </w:tcPr>
          <w:p w14:paraId="1DD29CC2">
            <w:pPr>
              <w:spacing w:before="172" w:line="221" w:lineRule="auto"/>
              <w:ind w:left="1433"/>
              <w:rPr>
                <w:rFonts w:hint="eastAsia" w:ascii="宋体" w:hAnsi="宋体" w:eastAsia="宋体"/>
                <w:color w:val="auto"/>
                <w:spacing w:val="-2"/>
                <w:highlight w:val="none"/>
              </w:rPr>
            </w:pPr>
            <w:r>
              <w:rPr>
                <w:rFonts w:ascii="宋体" w:hAnsi="宋体" w:eastAsia="宋体"/>
                <w:color w:val="auto"/>
                <w:spacing w:val="-2"/>
                <w:highlight w:val="none"/>
              </w:rPr>
              <w:t>投标有效</w:t>
            </w:r>
            <w:r>
              <w:rPr>
                <w:rFonts w:ascii="宋体" w:hAnsi="宋体" w:eastAsia="宋体"/>
                <w:color w:val="auto"/>
                <w:spacing w:val="-1"/>
                <w:highlight w:val="none"/>
              </w:rPr>
              <w:t>期</w:t>
            </w:r>
          </w:p>
        </w:tc>
        <w:tc>
          <w:tcPr>
            <w:tcW w:w="4610" w:type="dxa"/>
            <w:vAlign w:val="center"/>
          </w:tcPr>
          <w:p w14:paraId="47097221">
            <w:pPr>
              <w:ind w:left="105" w:leftChars="50" w:right="105" w:rightChars="50"/>
              <w:jc w:val="both"/>
              <w:rPr>
                <w:rFonts w:eastAsia="宋体"/>
                <w:color w:val="auto"/>
                <w:highlight w:val="none"/>
                <w:u w:val="single"/>
              </w:rPr>
            </w:pPr>
            <w:r>
              <w:rPr>
                <w:rFonts w:hint="eastAsia" w:eastAsia="宋体"/>
                <w:color w:val="auto"/>
                <w:highlight w:val="none"/>
                <w:u w:val="single"/>
              </w:rPr>
              <w:t>90</w:t>
            </w:r>
            <w:r>
              <w:rPr>
                <w:rFonts w:hint="eastAsia"/>
                <w:color w:val="auto"/>
                <w:highlight w:val="none"/>
              </w:rPr>
              <w:t>日历天（从投标截止之日计起）</w:t>
            </w:r>
          </w:p>
        </w:tc>
      </w:tr>
      <w:tr w14:paraId="5C13C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169" w:type="dxa"/>
          </w:tcPr>
          <w:p w14:paraId="68B4DDF7">
            <w:pPr>
              <w:spacing w:line="241" w:lineRule="auto"/>
              <w:rPr>
                <w:color w:val="auto"/>
                <w:highlight w:val="none"/>
              </w:rPr>
            </w:pPr>
          </w:p>
          <w:p w14:paraId="13038A00">
            <w:pPr>
              <w:spacing w:line="242" w:lineRule="auto"/>
              <w:rPr>
                <w:color w:val="auto"/>
                <w:highlight w:val="none"/>
              </w:rPr>
            </w:pPr>
          </w:p>
          <w:p w14:paraId="6C3A5BED">
            <w:pPr>
              <w:spacing w:line="242" w:lineRule="auto"/>
              <w:rPr>
                <w:color w:val="auto"/>
                <w:highlight w:val="none"/>
              </w:rPr>
            </w:pPr>
          </w:p>
          <w:p w14:paraId="266A9C94">
            <w:pPr>
              <w:spacing w:before="60" w:line="186" w:lineRule="auto"/>
              <w:ind w:left="380"/>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3.4.</w:t>
            </w:r>
            <w:r>
              <w:rPr>
                <w:rFonts w:ascii="Times New Roman" w:hAnsi="Times New Roman" w:eastAsia="Times New Roman"/>
                <w:color w:val="auto"/>
                <w:spacing w:val="-1"/>
                <w:highlight w:val="none"/>
              </w:rPr>
              <w:t>1</w:t>
            </w:r>
          </w:p>
        </w:tc>
        <w:tc>
          <w:tcPr>
            <w:tcW w:w="3547" w:type="dxa"/>
          </w:tcPr>
          <w:p w14:paraId="29F9B2EA">
            <w:pPr>
              <w:spacing w:line="339" w:lineRule="auto"/>
              <w:rPr>
                <w:color w:val="auto"/>
                <w:highlight w:val="none"/>
              </w:rPr>
            </w:pPr>
          </w:p>
          <w:p w14:paraId="4321AE13">
            <w:pPr>
              <w:spacing w:line="340" w:lineRule="auto"/>
              <w:rPr>
                <w:color w:val="auto"/>
                <w:highlight w:val="none"/>
              </w:rPr>
            </w:pPr>
          </w:p>
          <w:p w14:paraId="4E17778D">
            <w:pPr>
              <w:spacing w:before="68" w:line="221" w:lineRule="auto"/>
              <w:ind w:left="1433"/>
              <w:rPr>
                <w:rFonts w:hint="eastAsia" w:ascii="宋体" w:hAnsi="宋体" w:eastAsia="宋体"/>
                <w:color w:val="auto"/>
                <w:spacing w:val="-2"/>
                <w:highlight w:val="none"/>
              </w:rPr>
            </w:pPr>
            <w:r>
              <w:rPr>
                <w:rFonts w:ascii="宋体" w:hAnsi="宋体" w:eastAsia="宋体"/>
                <w:color w:val="auto"/>
                <w:spacing w:val="-2"/>
                <w:highlight w:val="none"/>
              </w:rPr>
              <w:t>投标保证</w:t>
            </w:r>
            <w:r>
              <w:rPr>
                <w:rFonts w:ascii="宋体" w:hAnsi="宋体" w:eastAsia="宋体"/>
                <w:color w:val="auto"/>
                <w:spacing w:val="-1"/>
                <w:highlight w:val="none"/>
              </w:rPr>
              <w:t>金</w:t>
            </w:r>
          </w:p>
        </w:tc>
        <w:tc>
          <w:tcPr>
            <w:tcW w:w="4610" w:type="dxa"/>
          </w:tcPr>
          <w:p w14:paraId="14B35C86">
            <w:pPr>
              <w:spacing w:before="139" w:line="221" w:lineRule="auto"/>
              <w:ind w:left="105" w:leftChars="50" w:right="105" w:rightChars="50"/>
              <w:rPr>
                <w:rFonts w:hint="eastAsia" w:ascii="宋体" w:hAnsi="宋体" w:eastAsia="宋体"/>
                <w:color w:val="auto"/>
                <w:spacing w:val="-6"/>
                <w:highlight w:val="none"/>
              </w:rPr>
            </w:pPr>
            <w:r>
              <w:rPr>
                <w:rFonts w:ascii="宋体" w:hAnsi="宋体" w:eastAsia="宋体"/>
                <w:color w:val="auto"/>
                <w:spacing w:val="-6"/>
                <w:highlight w:val="none"/>
              </w:rPr>
              <w:t>是否要</w:t>
            </w:r>
            <w:r>
              <w:rPr>
                <w:rFonts w:ascii="宋体" w:hAnsi="宋体" w:eastAsia="宋体"/>
                <w:color w:val="auto"/>
                <w:spacing w:val="-5"/>
                <w:highlight w:val="none"/>
              </w:rPr>
              <w:t>求</w:t>
            </w:r>
            <w:r>
              <w:rPr>
                <w:rFonts w:ascii="宋体" w:hAnsi="宋体" w:eastAsia="宋体"/>
                <w:color w:val="auto"/>
                <w:spacing w:val="-3"/>
                <w:highlight w:val="none"/>
              </w:rPr>
              <w:t>投标人递交投标保证金：</w:t>
            </w:r>
          </w:p>
          <w:p w14:paraId="3F33F317">
            <w:pPr>
              <w:spacing w:before="151" w:line="173" w:lineRule="auto"/>
              <w:ind w:left="105" w:leftChars="50" w:right="105" w:rightChars="50"/>
              <w:rPr>
                <w:rFonts w:ascii="Times New Roman" w:hAnsi="Times New Roman" w:eastAsia="Times New Roman"/>
                <w:color w:val="auto"/>
                <w:spacing w:val="-6"/>
                <w:sz w:val="31"/>
                <w:szCs w:val="31"/>
                <w:highlight w:val="none"/>
              </w:rPr>
            </w:pPr>
            <w:r>
              <w:rPr>
                <w:rFonts w:ascii="Times New Roman" w:hAnsi="Times New Roman" w:eastAsia="Times New Roman"/>
                <w:color w:val="auto"/>
                <w:spacing w:val="-6"/>
                <w:sz w:val="31"/>
                <w:szCs w:val="31"/>
                <w:highlight w:val="none"/>
              </w:rPr>
              <w:sym w:font="Wingdings 2" w:char="F052"/>
            </w:r>
            <w:r>
              <w:rPr>
                <w:rFonts w:ascii="宋体" w:hAnsi="宋体" w:eastAsia="宋体"/>
                <w:color w:val="auto"/>
                <w:spacing w:val="-3"/>
                <w:highlight w:val="none"/>
              </w:rPr>
              <w:t>不要求</w:t>
            </w:r>
          </w:p>
          <w:p w14:paraId="3A1552D1">
            <w:pPr>
              <w:spacing w:before="147" w:line="248" w:lineRule="auto"/>
              <w:ind w:left="932" w:leftChars="50" w:right="105" w:rightChars="50" w:hanging="827"/>
              <w:rPr>
                <w:rFonts w:ascii="Times New Roman" w:hAnsi="Times New Roman" w:eastAsia="宋体"/>
                <w:color w:val="auto"/>
                <w:spacing w:val="-7"/>
                <w:sz w:val="31"/>
                <w:szCs w:val="31"/>
                <w:highlight w:val="none"/>
              </w:rPr>
            </w:pPr>
            <w:r>
              <w:rPr>
                <w:rFonts w:hint="eastAsia" w:ascii="Times New Roman" w:hAnsi="Times New Roman" w:eastAsia="宋体"/>
                <w:color w:val="auto"/>
                <w:spacing w:val="-7"/>
                <w:sz w:val="31"/>
                <w:szCs w:val="31"/>
                <w:highlight w:val="none"/>
              </w:rPr>
              <w:t>□</w:t>
            </w:r>
            <w:r>
              <w:rPr>
                <w:rFonts w:ascii="宋体" w:hAnsi="宋体" w:eastAsia="宋体"/>
                <w:color w:val="auto"/>
                <w:spacing w:val="-5"/>
                <w:highlight w:val="none"/>
              </w:rPr>
              <w:t>要求，投标保证金的形式：</w:t>
            </w:r>
            <w:r>
              <w:rPr>
                <w:rFonts w:ascii="宋体" w:hAnsi="宋体" w:eastAsia="宋体"/>
                <w:color w:val="auto"/>
                <w:highlight w:val="none"/>
              </w:rPr>
              <w:t xml:space="preserve"> </w:t>
            </w:r>
          </w:p>
          <w:p w14:paraId="4E7B4773">
            <w:pPr>
              <w:ind w:left="105" w:leftChars="50" w:right="105" w:rightChars="50"/>
              <w:rPr>
                <w:rFonts w:hint="eastAsia" w:ascii="宋体" w:hAnsi="宋体" w:eastAsia="宋体"/>
                <w:color w:val="auto"/>
                <w:spacing w:val="-12"/>
                <w:highlight w:val="none"/>
              </w:rPr>
            </w:pPr>
            <w:r>
              <w:rPr>
                <w:rFonts w:ascii="宋体" w:hAnsi="宋体" w:eastAsia="宋体"/>
                <w:color w:val="auto"/>
                <w:spacing w:val="-12"/>
                <w:highlight w:val="none"/>
              </w:rPr>
              <w:t>投</w:t>
            </w:r>
            <w:r>
              <w:rPr>
                <w:rFonts w:ascii="宋体" w:hAnsi="宋体" w:eastAsia="宋体"/>
                <w:color w:val="auto"/>
                <w:spacing w:val="-6"/>
                <w:highlight w:val="none"/>
              </w:rPr>
              <w:t>标保证金的金额：</w:t>
            </w:r>
          </w:p>
          <w:p w14:paraId="707E521E">
            <w:pPr>
              <w:pStyle w:val="38"/>
              <w:widowControl w:val="0"/>
              <w:kinsoku/>
              <w:autoSpaceDE/>
              <w:autoSpaceDN/>
              <w:snapToGrid/>
              <w:ind w:left="105" w:leftChars="50" w:right="105" w:rightChars="50"/>
              <w:jc w:val="both"/>
              <w:rPr>
                <w:rFonts w:hint="eastAsia" w:hAnsi="宋体" w:eastAsia="宋体"/>
                <w:color w:val="auto"/>
                <w:szCs w:val="21"/>
                <w:highlight w:val="none"/>
              </w:rPr>
            </w:pPr>
            <w:r>
              <w:rPr>
                <w:rFonts w:hint="eastAsia" w:hAnsi="宋体" w:eastAsia="宋体"/>
                <w:color w:val="auto"/>
                <w:szCs w:val="21"/>
                <w:highlight w:val="none"/>
              </w:rPr>
              <w:t>注：1、投标保证金不得超过招标项目勘察设计估算费用的2%。投标保证金有效期应当与投标有效期一致。（投标保证金金额根据①《中华人民共和国招标投标法实施条例》第二十六条和《工程建设项目勘察设计招标投标办法》（2013年修订）第二十四条（注：给排水项目选择此项）。或②《中华人民共和国招标投标法实施条例》第二十六条、《工程建设项目勘察设计招标投标办法》（2013年修订）第二十四条和《水利工程建设项目招标投标管理规定》(水利部第14号令)第二十五条（注：水利项目选择此项）。）</w:t>
            </w:r>
          </w:p>
          <w:p w14:paraId="2DFE2141">
            <w:pPr>
              <w:pStyle w:val="38"/>
              <w:widowControl w:val="0"/>
              <w:numPr>
                <w:ilvl w:val="0"/>
                <w:numId w:val="1"/>
              </w:numPr>
              <w:kinsoku/>
              <w:autoSpaceDE/>
              <w:autoSpaceDN/>
              <w:snapToGrid/>
              <w:ind w:left="105" w:leftChars="50" w:right="105" w:rightChars="50"/>
              <w:jc w:val="both"/>
              <w:rPr>
                <w:rFonts w:hint="eastAsia" w:hAnsi="宋体" w:eastAsia="宋体"/>
                <w:color w:val="auto"/>
                <w:szCs w:val="21"/>
                <w:highlight w:val="none"/>
              </w:rPr>
            </w:pPr>
            <w:r>
              <w:rPr>
                <w:rFonts w:hint="eastAsia" w:hAnsi="宋体" w:eastAsia="宋体"/>
                <w:color w:val="auto"/>
                <w:szCs w:val="21"/>
                <w:highlight w:val="none"/>
              </w:rPr>
              <w:t>按照广东省发展改革委等7部门《关于规范招投标领域工程建设保证金收取有关工作的通知》（粤发改法规函〔2022〕1178号）、《广东省发展和改革委员会等部门转发关于完善招标投标交易担保制度进一步降低招标投标交易成本的通知》（粤发改法规函〔2023〕460号）、《广东省政府采购促进中小企业发展实施细则（试行）》（粤财采购〔2022〕10号）、《广州市人民政府办公厅关于印发广州市建设国际一流营商环境标杆城市助力产业高质量发展行动方案的通知》（穗府办函〔2023〕37号）等相关文件要求，规范涉企保证金收取和清退工作，全面推行保函替代现金保证金，免收政府投资项目投标保证金，鼓励政府投资项目以外的招标项目减免投标保证金。</w:t>
            </w:r>
          </w:p>
          <w:p w14:paraId="50573D40">
            <w:pPr>
              <w:pStyle w:val="38"/>
              <w:widowControl w:val="0"/>
              <w:numPr>
                <w:ilvl w:val="0"/>
                <w:numId w:val="1"/>
              </w:numPr>
              <w:kinsoku/>
              <w:autoSpaceDE/>
              <w:autoSpaceDN/>
              <w:snapToGrid/>
              <w:ind w:left="105" w:leftChars="50" w:right="105" w:rightChars="50"/>
              <w:jc w:val="both"/>
              <w:rPr>
                <w:rFonts w:hint="eastAsia" w:hAnsi="宋体" w:eastAsia="宋体"/>
                <w:color w:val="auto"/>
                <w:szCs w:val="21"/>
                <w:highlight w:val="none"/>
              </w:rPr>
            </w:pPr>
            <w:r>
              <w:rPr>
                <w:rFonts w:hint="eastAsia" w:hAnsi="宋体" w:eastAsia="宋体" w:cs="宋体"/>
                <w:color w:val="auto"/>
                <w:szCs w:val="21"/>
                <w:highlight w:val="none"/>
                <w:shd w:val="clear" w:color="auto" w:fill="FFFFFF"/>
              </w:rPr>
              <w:t>招标人在免收投标保证金的同时，应约定免交投标保证金的投标人存在3.4.3条款所列情形的后续处理措施，包括但不限于向投标人索赔等情形。</w:t>
            </w:r>
          </w:p>
        </w:tc>
      </w:tr>
      <w:tr w14:paraId="23B38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1169" w:type="dxa"/>
          </w:tcPr>
          <w:p w14:paraId="30BAC764">
            <w:pPr>
              <w:spacing w:line="382" w:lineRule="auto"/>
              <w:rPr>
                <w:color w:val="auto"/>
                <w:highlight w:val="none"/>
              </w:rPr>
            </w:pPr>
          </w:p>
          <w:p w14:paraId="69743279">
            <w:pPr>
              <w:spacing w:before="60" w:line="186" w:lineRule="auto"/>
              <w:ind w:left="458"/>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3.</w:t>
            </w:r>
            <w:r>
              <w:rPr>
                <w:rFonts w:ascii="Times New Roman" w:hAnsi="Times New Roman" w:eastAsia="Times New Roman"/>
                <w:color w:val="auto"/>
                <w:spacing w:val="-1"/>
                <w:highlight w:val="none"/>
              </w:rPr>
              <w:t>5</w:t>
            </w:r>
          </w:p>
        </w:tc>
        <w:tc>
          <w:tcPr>
            <w:tcW w:w="3547" w:type="dxa"/>
          </w:tcPr>
          <w:p w14:paraId="4F1FBA66">
            <w:pPr>
              <w:spacing w:line="336" w:lineRule="auto"/>
              <w:rPr>
                <w:color w:val="auto"/>
                <w:highlight w:val="none"/>
              </w:rPr>
            </w:pPr>
          </w:p>
          <w:p w14:paraId="32B45D61">
            <w:pPr>
              <w:spacing w:before="68" w:line="219" w:lineRule="auto"/>
              <w:ind w:left="810"/>
              <w:rPr>
                <w:rFonts w:hint="eastAsia" w:ascii="宋体" w:hAnsi="宋体" w:eastAsia="宋体"/>
                <w:color w:val="auto"/>
                <w:spacing w:val="-2"/>
                <w:highlight w:val="none"/>
              </w:rPr>
            </w:pPr>
            <w:r>
              <w:rPr>
                <w:rFonts w:ascii="宋体" w:hAnsi="宋体" w:eastAsia="宋体"/>
                <w:color w:val="auto"/>
                <w:spacing w:val="-2"/>
                <w:highlight w:val="none"/>
              </w:rPr>
              <w:t>资格审查资</w:t>
            </w:r>
            <w:r>
              <w:rPr>
                <w:rFonts w:ascii="宋体" w:hAnsi="宋体" w:eastAsia="宋体"/>
                <w:color w:val="auto"/>
                <w:spacing w:val="-1"/>
                <w:highlight w:val="none"/>
              </w:rPr>
              <w:t>料的特殊要求</w:t>
            </w:r>
          </w:p>
        </w:tc>
        <w:tc>
          <w:tcPr>
            <w:tcW w:w="4610" w:type="dxa"/>
          </w:tcPr>
          <w:p w14:paraId="1F17CF51">
            <w:pPr>
              <w:spacing w:before="194" w:line="173" w:lineRule="auto"/>
              <w:ind w:left="105" w:leftChars="50" w:right="105" w:rightChars="50"/>
              <w:rPr>
                <w:rFonts w:ascii="Times New Roman" w:hAnsi="Times New Roman" w:eastAsia="Times New Roman"/>
                <w:color w:val="auto"/>
                <w:spacing w:val="-9"/>
                <w:sz w:val="31"/>
                <w:szCs w:val="31"/>
                <w:highlight w:val="none"/>
              </w:rPr>
            </w:pPr>
            <w:r>
              <w:rPr>
                <w:rFonts w:ascii="Times New Roman" w:hAnsi="Times New Roman" w:eastAsia="Times New Roman"/>
                <w:color w:val="auto"/>
                <w:spacing w:val="-9"/>
                <w:sz w:val="31"/>
                <w:szCs w:val="31"/>
                <w:highlight w:val="none"/>
              </w:rPr>
              <w:sym w:font="Wingdings 2" w:char="F052"/>
            </w:r>
            <w:r>
              <w:rPr>
                <w:rFonts w:ascii="宋体" w:hAnsi="宋体" w:eastAsia="宋体"/>
                <w:color w:val="auto"/>
                <w:spacing w:val="-8"/>
                <w:highlight w:val="none"/>
              </w:rPr>
              <w:t>无</w:t>
            </w:r>
          </w:p>
          <w:p w14:paraId="491018CF">
            <w:pPr>
              <w:spacing w:before="143" w:line="171" w:lineRule="auto"/>
              <w:ind w:left="105" w:leftChars="50" w:right="105" w:rightChars="50"/>
              <w:rPr>
                <w:rFonts w:ascii="Times New Roman" w:hAnsi="Times New Roman" w:eastAsia="Times New Roman"/>
                <w:color w:val="auto"/>
                <w:spacing w:val="-11"/>
                <w:sz w:val="31"/>
                <w:szCs w:val="31"/>
                <w:highlight w:val="none"/>
              </w:rPr>
            </w:pPr>
            <w:r>
              <w:rPr>
                <w:rFonts w:ascii="Times New Roman" w:hAnsi="Times New Roman" w:eastAsia="Times New Roman"/>
                <w:color w:val="auto"/>
                <w:spacing w:val="-11"/>
                <w:sz w:val="31"/>
                <w:szCs w:val="31"/>
                <w:highlight w:val="none"/>
              </w:rPr>
              <w:t>□</w:t>
            </w:r>
            <w:r>
              <w:rPr>
                <w:rFonts w:ascii="宋体" w:hAnsi="宋体" w:eastAsia="宋体"/>
                <w:color w:val="auto"/>
                <w:spacing w:val="-7"/>
                <w:highlight w:val="none"/>
              </w:rPr>
              <w:t>有，具体要求：</w:t>
            </w:r>
          </w:p>
        </w:tc>
      </w:tr>
      <w:tr w14:paraId="677E9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169" w:type="dxa"/>
            <w:vAlign w:val="center"/>
          </w:tcPr>
          <w:p w14:paraId="4FC9AB6E">
            <w:pPr>
              <w:pStyle w:val="61"/>
              <w:overflowPunct w:val="0"/>
              <w:jc w:val="center"/>
              <w:rPr>
                <w:rFonts w:ascii="Times New Roman" w:hAnsi="Times New Roman" w:eastAsia="Times New Roman"/>
                <w:color w:val="auto"/>
                <w:sz w:val="21"/>
                <w:szCs w:val="21"/>
                <w:highlight w:val="none"/>
              </w:rPr>
            </w:pPr>
            <w:r>
              <w:rPr>
                <w:rFonts w:hint="eastAsia" w:ascii="Times New Roman" w:hAnsi="Times New Roman" w:eastAsia="Times New Roman"/>
                <w:color w:val="auto"/>
                <w:sz w:val="21"/>
                <w:szCs w:val="21"/>
                <w:highlight w:val="none"/>
              </w:rPr>
              <w:t>3.5.</w:t>
            </w:r>
            <w:r>
              <w:rPr>
                <w:rFonts w:hint="eastAsia" w:ascii="Times New Roman" w:hAnsi="Times New Roman" w:eastAsia="宋体"/>
                <w:color w:val="auto"/>
                <w:sz w:val="21"/>
                <w:szCs w:val="21"/>
                <w:highlight w:val="none"/>
              </w:rPr>
              <w:t>2</w:t>
            </w:r>
          </w:p>
        </w:tc>
        <w:tc>
          <w:tcPr>
            <w:tcW w:w="3547" w:type="dxa"/>
            <w:vAlign w:val="center"/>
          </w:tcPr>
          <w:p w14:paraId="3FB86735">
            <w:pPr>
              <w:pStyle w:val="61"/>
              <w:overflowPunct w:val="0"/>
              <w:jc w:val="both"/>
              <w:rPr>
                <w:rFonts w:hint="eastAsia" w:ascii="宋体" w:hAnsi="宋体" w:eastAsia="宋体"/>
                <w:color w:val="auto"/>
                <w:sz w:val="21"/>
                <w:szCs w:val="21"/>
                <w:highlight w:val="none"/>
              </w:rPr>
            </w:pPr>
            <w:r>
              <w:rPr>
                <w:rFonts w:ascii="宋体" w:hAnsi="宋体" w:eastAsia="宋体"/>
                <w:color w:val="auto"/>
                <w:sz w:val="21"/>
                <w:szCs w:val="21"/>
                <w:highlight w:val="none"/>
              </w:rPr>
              <w:t>近年完成的类似项目情况的时间要求</w:t>
            </w:r>
          </w:p>
        </w:tc>
        <w:tc>
          <w:tcPr>
            <w:tcW w:w="4610" w:type="dxa"/>
            <w:vAlign w:val="center"/>
          </w:tcPr>
          <w:p w14:paraId="6F227C78">
            <w:pPr>
              <w:pStyle w:val="61"/>
              <w:tabs>
                <w:tab w:val="left" w:pos="799"/>
                <w:tab w:val="left" w:pos="1569"/>
                <w:tab w:val="left" w:pos="2340"/>
              </w:tabs>
              <w:overflowPunct w:val="0"/>
              <w:ind w:left="105" w:leftChars="50" w:right="105" w:rightChars="50"/>
              <w:jc w:val="both"/>
              <w:rPr>
                <w:rFonts w:ascii="Times New Roman" w:hAnsi="Times New Roman" w:eastAsia="Times New Roman"/>
                <w:color w:val="auto"/>
                <w:sz w:val="21"/>
                <w:szCs w:val="21"/>
                <w:highlight w:val="none"/>
                <w:u w:val="single"/>
              </w:rPr>
            </w:pPr>
            <w:r>
              <w:rPr>
                <w:rFonts w:hint="eastAsia" w:ascii="Times New Roman" w:hAnsi="Times New Roman" w:eastAsia="宋体"/>
                <w:color w:val="auto"/>
                <w:sz w:val="21"/>
                <w:szCs w:val="21"/>
                <w:highlight w:val="none"/>
                <w:u w:val="single"/>
              </w:rPr>
              <w:t>/</w:t>
            </w:r>
            <w:r>
              <w:rPr>
                <w:rFonts w:ascii="宋体" w:hAnsi="宋体" w:eastAsia="宋体"/>
                <w:color w:val="auto"/>
                <w:sz w:val="21"/>
                <w:szCs w:val="21"/>
                <w:highlight w:val="none"/>
              </w:rPr>
              <w:t>年</w:t>
            </w:r>
            <w:r>
              <w:rPr>
                <w:rFonts w:hint="eastAsia" w:ascii="Times New Roman" w:hAnsi="Times New Roman" w:eastAsia="宋体"/>
                <w:color w:val="auto"/>
                <w:sz w:val="21"/>
                <w:szCs w:val="21"/>
                <w:highlight w:val="none"/>
                <w:u w:val="single"/>
              </w:rPr>
              <w:t>/</w:t>
            </w:r>
            <w:r>
              <w:rPr>
                <w:rFonts w:ascii="宋体" w:hAnsi="宋体" w:eastAsia="宋体"/>
                <w:color w:val="auto"/>
                <w:sz w:val="21"/>
                <w:szCs w:val="21"/>
                <w:highlight w:val="none"/>
              </w:rPr>
              <w:t>月</w:t>
            </w:r>
            <w:r>
              <w:rPr>
                <w:rFonts w:hint="eastAsia" w:ascii="Times New Roman" w:hAnsi="Times New Roman" w:eastAsia="宋体"/>
                <w:color w:val="auto"/>
                <w:sz w:val="21"/>
                <w:szCs w:val="21"/>
                <w:highlight w:val="none"/>
                <w:u w:val="single"/>
              </w:rPr>
              <w:t>/</w:t>
            </w:r>
            <w:r>
              <w:rPr>
                <w:rFonts w:ascii="宋体" w:hAnsi="宋体" w:eastAsia="宋体"/>
                <w:color w:val="auto"/>
                <w:sz w:val="21"/>
                <w:szCs w:val="21"/>
                <w:highlight w:val="none"/>
              </w:rPr>
              <w:t>日至</w:t>
            </w:r>
            <w:r>
              <w:rPr>
                <w:rFonts w:hint="eastAsia" w:ascii="Times New Roman" w:hAnsi="Times New Roman" w:eastAsia="宋体"/>
                <w:color w:val="auto"/>
                <w:sz w:val="21"/>
                <w:szCs w:val="21"/>
                <w:highlight w:val="none"/>
              </w:rPr>
              <w:t>今</w:t>
            </w:r>
          </w:p>
        </w:tc>
      </w:tr>
      <w:tr w14:paraId="49150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169" w:type="dxa"/>
          </w:tcPr>
          <w:p w14:paraId="16BDDBF1">
            <w:pPr>
              <w:spacing w:line="380" w:lineRule="auto"/>
              <w:rPr>
                <w:color w:val="auto"/>
                <w:highlight w:val="none"/>
              </w:rPr>
            </w:pPr>
          </w:p>
          <w:p w14:paraId="11B27B81">
            <w:pPr>
              <w:spacing w:before="60" w:line="186" w:lineRule="auto"/>
              <w:ind w:left="380"/>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3.6.</w:t>
            </w:r>
            <w:r>
              <w:rPr>
                <w:rFonts w:ascii="Times New Roman" w:hAnsi="Times New Roman" w:eastAsia="Times New Roman"/>
                <w:color w:val="auto"/>
                <w:spacing w:val="-1"/>
                <w:highlight w:val="none"/>
              </w:rPr>
              <w:t>1</w:t>
            </w:r>
          </w:p>
        </w:tc>
        <w:tc>
          <w:tcPr>
            <w:tcW w:w="3547" w:type="dxa"/>
          </w:tcPr>
          <w:p w14:paraId="49CCC736">
            <w:pPr>
              <w:spacing w:line="334" w:lineRule="auto"/>
              <w:rPr>
                <w:color w:val="auto"/>
                <w:highlight w:val="none"/>
              </w:rPr>
            </w:pPr>
          </w:p>
          <w:p w14:paraId="0938D50E">
            <w:pPr>
              <w:spacing w:before="68" w:line="220" w:lineRule="auto"/>
              <w:ind w:left="698"/>
              <w:rPr>
                <w:rFonts w:hint="eastAsia" w:ascii="宋体" w:hAnsi="宋体" w:eastAsia="宋体"/>
                <w:color w:val="auto"/>
                <w:spacing w:val="-1"/>
                <w:highlight w:val="none"/>
              </w:rPr>
            </w:pPr>
            <w:r>
              <w:rPr>
                <w:rFonts w:ascii="宋体" w:hAnsi="宋体" w:eastAsia="宋体"/>
                <w:color w:val="auto"/>
                <w:spacing w:val="-1"/>
                <w:highlight w:val="none"/>
              </w:rPr>
              <w:t>是否允许递交备选投标方</w:t>
            </w:r>
            <w:r>
              <w:rPr>
                <w:rFonts w:ascii="宋体" w:hAnsi="宋体" w:eastAsia="宋体"/>
                <w:color w:val="auto"/>
                <w:highlight w:val="none"/>
              </w:rPr>
              <w:t>案</w:t>
            </w:r>
          </w:p>
        </w:tc>
        <w:tc>
          <w:tcPr>
            <w:tcW w:w="4610" w:type="dxa"/>
          </w:tcPr>
          <w:p w14:paraId="5B66E311">
            <w:pPr>
              <w:spacing w:before="172" w:line="173" w:lineRule="auto"/>
              <w:ind w:left="105" w:leftChars="50" w:right="105" w:rightChars="50"/>
              <w:rPr>
                <w:rFonts w:ascii="Times New Roman" w:hAnsi="Times New Roman" w:eastAsia="Times New Roman"/>
                <w:color w:val="auto"/>
                <w:spacing w:val="-6"/>
                <w:sz w:val="31"/>
                <w:szCs w:val="31"/>
                <w:highlight w:val="none"/>
              </w:rPr>
            </w:pPr>
            <w:r>
              <w:rPr>
                <w:rFonts w:ascii="Times New Roman" w:hAnsi="Times New Roman" w:eastAsia="Times New Roman"/>
                <w:color w:val="auto"/>
                <w:spacing w:val="-6"/>
                <w:sz w:val="31"/>
                <w:szCs w:val="31"/>
                <w:highlight w:val="none"/>
              </w:rPr>
              <w:sym w:font="Wingdings 2" w:char="F052"/>
            </w:r>
            <w:r>
              <w:rPr>
                <w:rFonts w:ascii="宋体" w:hAnsi="宋体" w:eastAsia="宋体"/>
                <w:color w:val="auto"/>
                <w:spacing w:val="-3"/>
                <w:highlight w:val="none"/>
              </w:rPr>
              <w:t>不允许</w:t>
            </w:r>
          </w:p>
          <w:p w14:paraId="1743F758">
            <w:pPr>
              <w:spacing w:before="175" w:line="173" w:lineRule="auto"/>
              <w:ind w:left="105" w:leftChars="50" w:right="105" w:rightChars="50"/>
              <w:rPr>
                <w:rFonts w:ascii="Times New Roman" w:hAnsi="Times New Roman" w:eastAsia="Times New Roman"/>
                <w:color w:val="auto"/>
                <w:spacing w:val="-5"/>
                <w:sz w:val="31"/>
                <w:szCs w:val="31"/>
                <w:highlight w:val="none"/>
              </w:rPr>
            </w:pPr>
            <w:r>
              <w:rPr>
                <w:rFonts w:ascii="Times New Roman" w:hAnsi="Times New Roman" w:eastAsia="Times New Roman"/>
                <w:color w:val="auto"/>
                <w:spacing w:val="-5"/>
                <w:sz w:val="31"/>
                <w:szCs w:val="31"/>
                <w:highlight w:val="none"/>
              </w:rPr>
              <w:t>□</w:t>
            </w:r>
            <w:r>
              <w:rPr>
                <w:rFonts w:ascii="宋体" w:hAnsi="宋体" w:eastAsia="宋体"/>
                <w:color w:val="auto"/>
                <w:spacing w:val="-3"/>
                <w:highlight w:val="none"/>
              </w:rPr>
              <w:t>允许</w:t>
            </w:r>
          </w:p>
        </w:tc>
      </w:tr>
      <w:tr w14:paraId="5A4E0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1169" w:type="dxa"/>
            <w:vAlign w:val="center"/>
          </w:tcPr>
          <w:p w14:paraId="2344E21A">
            <w:pPr>
              <w:spacing w:before="173" w:line="223" w:lineRule="auto"/>
              <w:ind w:left="116"/>
              <w:jc w:val="center"/>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3.7.3</w:t>
            </w:r>
          </w:p>
        </w:tc>
        <w:tc>
          <w:tcPr>
            <w:tcW w:w="3547" w:type="dxa"/>
            <w:vAlign w:val="center"/>
          </w:tcPr>
          <w:p w14:paraId="68DAA0CD">
            <w:pPr>
              <w:spacing w:before="161" w:line="220" w:lineRule="auto"/>
              <w:ind w:left="803"/>
              <w:jc w:val="both"/>
              <w:rPr>
                <w:rFonts w:hint="eastAsia" w:ascii="宋体" w:hAnsi="宋体" w:eastAsia="宋体"/>
                <w:color w:val="auto"/>
                <w:spacing w:val="-1"/>
                <w:highlight w:val="none"/>
              </w:rPr>
            </w:pPr>
            <w:r>
              <w:rPr>
                <w:rFonts w:ascii="宋体" w:hAnsi="宋体" w:eastAsia="宋体"/>
                <w:color w:val="auto"/>
                <w:spacing w:val="-1"/>
                <w:highlight w:val="none"/>
              </w:rPr>
              <w:t>投标文件签字或盖章要</w:t>
            </w:r>
            <w:r>
              <w:rPr>
                <w:rFonts w:ascii="宋体" w:hAnsi="宋体" w:eastAsia="宋体"/>
                <w:color w:val="auto"/>
                <w:highlight w:val="none"/>
              </w:rPr>
              <w:t>求</w:t>
            </w:r>
          </w:p>
        </w:tc>
        <w:tc>
          <w:tcPr>
            <w:tcW w:w="4610" w:type="dxa"/>
            <w:vAlign w:val="center"/>
          </w:tcPr>
          <w:p w14:paraId="6601B66E">
            <w:pPr>
              <w:ind w:left="105" w:leftChars="50" w:right="105" w:rightChars="50"/>
              <w:jc w:val="both"/>
              <w:rPr>
                <w:rFonts w:ascii="宋体" w:hAnsi="宋体"/>
                <w:color w:val="auto"/>
                <w:highlight w:val="none"/>
              </w:rPr>
            </w:pPr>
            <w:r>
              <w:rPr>
                <w:rFonts w:hint="eastAsia" w:ascii="宋体" w:hAnsi="宋体"/>
                <w:color w:val="auto"/>
                <w:highlight w:val="none"/>
              </w:rPr>
              <w:t>投标文件格式规定需个人签字的，应签字或签章后扫描上传（</w:t>
            </w:r>
            <w:r>
              <w:rPr>
                <w:rFonts w:ascii="Calibri" w:hAnsi="Calibri" w:eastAsia="宋体"/>
                <w:color w:val="auto"/>
                <w:kern w:val="2"/>
                <w:szCs w:val="24"/>
                <w:highlight w:val="none"/>
              </w:rPr>
              <w:t>可靠的电子签名与手写签名或者盖章具有同等的法律效力</w:t>
            </w:r>
            <w:r>
              <w:rPr>
                <w:rFonts w:hint="eastAsia" w:ascii="宋体" w:hAnsi="宋体"/>
                <w:color w:val="auto"/>
                <w:highlight w:val="none"/>
              </w:rPr>
              <w:t>）。投标文件格式规定盖单位公章的页面必须盖单位公章（公章与电子公章具有相同法律效力）</w:t>
            </w:r>
          </w:p>
        </w:tc>
      </w:tr>
      <w:tr w14:paraId="7CD2A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169" w:type="dxa"/>
            <w:vAlign w:val="center"/>
          </w:tcPr>
          <w:p w14:paraId="1506A289">
            <w:pPr>
              <w:spacing w:before="231" w:line="186" w:lineRule="auto"/>
              <w:ind w:left="375"/>
              <w:jc w:val="both"/>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4.2</w:t>
            </w:r>
            <w:r>
              <w:rPr>
                <w:rFonts w:ascii="Times New Roman" w:hAnsi="Times New Roman" w:eastAsia="Times New Roman"/>
                <w:color w:val="auto"/>
                <w:highlight w:val="none"/>
              </w:rPr>
              <w:t>.1</w:t>
            </w:r>
          </w:p>
        </w:tc>
        <w:tc>
          <w:tcPr>
            <w:tcW w:w="3547" w:type="dxa"/>
            <w:vAlign w:val="center"/>
          </w:tcPr>
          <w:p w14:paraId="48B4E8FB">
            <w:pPr>
              <w:spacing w:before="193" w:line="221" w:lineRule="auto"/>
              <w:ind w:left="1327"/>
              <w:jc w:val="both"/>
              <w:rPr>
                <w:rFonts w:hint="eastAsia" w:ascii="宋体" w:hAnsi="宋体" w:eastAsia="宋体"/>
                <w:color w:val="auto"/>
                <w:spacing w:val="-2"/>
                <w:highlight w:val="none"/>
              </w:rPr>
            </w:pPr>
            <w:r>
              <w:rPr>
                <w:rFonts w:ascii="宋体" w:hAnsi="宋体" w:eastAsia="宋体"/>
                <w:color w:val="auto"/>
                <w:spacing w:val="-2"/>
                <w:highlight w:val="none"/>
              </w:rPr>
              <w:t>投标截</w:t>
            </w:r>
            <w:r>
              <w:rPr>
                <w:rFonts w:ascii="宋体" w:hAnsi="宋体" w:eastAsia="宋体"/>
                <w:color w:val="auto"/>
                <w:spacing w:val="-1"/>
                <w:highlight w:val="none"/>
              </w:rPr>
              <w:t>止时间</w:t>
            </w:r>
          </w:p>
        </w:tc>
        <w:tc>
          <w:tcPr>
            <w:tcW w:w="4610" w:type="dxa"/>
            <w:vAlign w:val="center"/>
          </w:tcPr>
          <w:p w14:paraId="4210FFD2">
            <w:pPr>
              <w:ind w:left="105" w:leftChars="50" w:right="105" w:rightChars="50"/>
              <w:jc w:val="both"/>
              <w:rPr>
                <w:rFonts w:eastAsia="宋体"/>
                <w:color w:val="auto"/>
                <w:highlight w:val="none"/>
              </w:rPr>
            </w:pPr>
            <w:r>
              <w:rPr>
                <w:rFonts w:hint="eastAsia" w:eastAsia="宋体"/>
                <w:color w:val="auto"/>
                <w:highlight w:val="none"/>
              </w:rPr>
              <w:t>投标截止时间：</w:t>
            </w:r>
            <w:r>
              <w:rPr>
                <w:rFonts w:hint="eastAsia" w:eastAsia="宋体"/>
                <w:color w:val="auto"/>
                <w:highlight w:val="none"/>
                <w:u w:val="single"/>
              </w:rPr>
              <w:t xml:space="preserve">  年  月   日   时 分</w:t>
            </w:r>
            <w:r>
              <w:rPr>
                <w:rFonts w:hint="eastAsia" w:eastAsia="宋体"/>
                <w:color w:val="auto"/>
                <w:highlight w:val="none"/>
              </w:rPr>
              <w:t>（北京时间）</w:t>
            </w:r>
          </w:p>
        </w:tc>
      </w:tr>
      <w:tr w14:paraId="5099C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trPr>
        <w:tc>
          <w:tcPr>
            <w:tcW w:w="1169" w:type="dxa"/>
            <w:vAlign w:val="center"/>
          </w:tcPr>
          <w:p w14:paraId="1F3A5D8A">
            <w:pPr>
              <w:spacing w:before="69" w:line="223" w:lineRule="auto"/>
              <w:ind w:left="175"/>
              <w:jc w:val="center"/>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5.1</w:t>
            </w:r>
          </w:p>
        </w:tc>
        <w:tc>
          <w:tcPr>
            <w:tcW w:w="3547" w:type="dxa"/>
            <w:vAlign w:val="center"/>
          </w:tcPr>
          <w:p w14:paraId="21BC0A01">
            <w:pPr>
              <w:spacing w:before="68" w:line="221" w:lineRule="auto"/>
              <w:ind w:left="1221"/>
              <w:jc w:val="both"/>
              <w:rPr>
                <w:rFonts w:hint="eastAsia" w:ascii="宋体" w:hAnsi="宋体" w:eastAsia="宋体"/>
                <w:color w:val="auto"/>
                <w:spacing w:val="-2"/>
                <w:highlight w:val="none"/>
              </w:rPr>
            </w:pPr>
            <w:r>
              <w:rPr>
                <w:rFonts w:ascii="宋体" w:hAnsi="宋体" w:eastAsia="宋体"/>
                <w:color w:val="auto"/>
                <w:spacing w:val="-2"/>
                <w:highlight w:val="none"/>
              </w:rPr>
              <w:t>开</w:t>
            </w:r>
            <w:r>
              <w:rPr>
                <w:rFonts w:ascii="宋体" w:hAnsi="宋体" w:eastAsia="宋体"/>
                <w:color w:val="auto"/>
                <w:spacing w:val="-1"/>
                <w:highlight w:val="none"/>
              </w:rPr>
              <w:t>标时间和地点</w:t>
            </w:r>
          </w:p>
        </w:tc>
        <w:tc>
          <w:tcPr>
            <w:tcW w:w="4610" w:type="dxa"/>
          </w:tcPr>
          <w:p w14:paraId="202A15C9">
            <w:pPr>
              <w:spacing w:before="174"/>
              <w:ind w:left="105" w:leftChars="50" w:right="105" w:rightChars="50"/>
              <w:rPr>
                <w:rFonts w:hint="eastAsia" w:ascii="宋体" w:hAnsi="宋体" w:eastAsia="宋体"/>
                <w:color w:val="auto"/>
                <w:spacing w:val="-1"/>
                <w:position w:val="17"/>
                <w:highlight w:val="none"/>
              </w:rPr>
            </w:pPr>
            <w:r>
              <w:rPr>
                <w:rFonts w:hint="eastAsia" w:ascii="宋体" w:hAnsi="宋体" w:eastAsia="宋体"/>
                <w:color w:val="auto"/>
                <w:spacing w:val="-1"/>
                <w:position w:val="17"/>
                <w:highlight w:val="none"/>
              </w:rPr>
              <w:t>1、</w:t>
            </w:r>
            <w:r>
              <w:rPr>
                <w:rFonts w:ascii="宋体" w:hAnsi="宋体" w:eastAsia="宋体"/>
                <w:color w:val="auto"/>
                <w:spacing w:val="-1"/>
                <w:position w:val="17"/>
                <w:highlight w:val="none"/>
              </w:rPr>
              <w:t>开标时间：同投标截</w:t>
            </w:r>
            <w:r>
              <w:rPr>
                <w:rFonts w:ascii="宋体" w:hAnsi="宋体" w:eastAsia="宋体"/>
                <w:color w:val="auto"/>
                <w:position w:val="17"/>
                <w:highlight w:val="none"/>
              </w:rPr>
              <w:t>止时间</w:t>
            </w:r>
          </w:p>
          <w:p w14:paraId="79932DC8">
            <w:pPr>
              <w:spacing w:before="174"/>
              <w:ind w:left="105" w:leftChars="50" w:right="105" w:rightChars="50"/>
              <w:rPr>
                <w:rFonts w:hint="eastAsia" w:ascii="宋体" w:hAnsi="宋体" w:eastAsia="宋体"/>
                <w:color w:val="auto"/>
                <w:highlight w:val="none"/>
              </w:rPr>
            </w:pPr>
            <w:r>
              <w:rPr>
                <w:rFonts w:hint="eastAsia" w:ascii="宋体" w:hAnsi="宋体" w:eastAsia="宋体"/>
                <w:color w:val="auto"/>
                <w:highlight w:val="none"/>
              </w:rPr>
              <w:t>2、开标</w:t>
            </w:r>
            <w:r>
              <w:rPr>
                <w:rFonts w:hint="eastAsia" w:ascii="宋体" w:hAnsi="宋体"/>
                <w:color w:val="auto"/>
                <w:highlight w:val="none"/>
              </w:rPr>
              <w:t>地点：</w:t>
            </w:r>
            <w:r>
              <w:rPr>
                <w:rFonts w:hint="eastAsia" w:ascii="宋体" w:hAnsi="宋体" w:eastAsia="宋体"/>
                <w:color w:val="auto"/>
                <w:highlight w:val="none"/>
              </w:rPr>
              <w:t>广州交易集团有限公司（广州公共资源交易中心）</w:t>
            </w:r>
            <w:r>
              <w:rPr>
                <w:rFonts w:hint="eastAsia" w:ascii="宋体" w:hAnsi="宋体"/>
                <w:color w:val="auto"/>
                <w:highlight w:val="none"/>
                <w:u w:val="single"/>
              </w:rPr>
              <w:t xml:space="preserve">  </w:t>
            </w:r>
            <w:r>
              <w:rPr>
                <w:rFonts w:hint="eastAsia" w:ascii="宋体" w:hAnsi="宋体" w:eastAsia="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开标室</w:t>
            </w:r>
          </w:p>
          <w:p w14:paraId="2AAF40E2">
            <w:pPr>
              <w:spacing w:before="120" w:line="360" w:lineRule="auto"/>
              <w:ind w:left="105" w:leftChars="50" w:right="105" w:rightChars="50"/>
              <w:contextualSpacing/>
              <w:rPr>
                <w:rFonts w:eastAsia="宋体"/>
                <w:color w:val="auto"/>
                <w:szCs w:val="18"/>
                <w:highlight w:val="none"/>
              </w:rPr>
            </w:pPr>
            <w:r>
              <w:rPr>
                <w:rFonts w:hint="eastAsia" w:eastAsia="宋体"/>
                <w:color w:val="auto"/>
                <w:szCs w:val="18"/>
                <w:highlight w:val="none"/>
              </w:rPr>
              <w:t xml:space="preserve">  </w:t>
            </w:r>
            <w:r>
              <w:rPr>
                <w:rFonts w:hint="eastAsia"/>
                <w:color w:val="auto"/>
                <w:szCs w:val="18"/>
                <w:highlight w:val="none"/>
              </w:rPr>
              <w:t>3、递交投标文件备用光盘时间：____年____月____日____时____分至____年____月____日____时____分；递交地点：</w:t>
            </w:r>
            <w:r>
              <w:rPr>
                <w:rFonts w:hint="eastAsia" w:eastAsia="宋体"/>
                <w:color w:val="auto"/>
                <w:szCs w:val="18"/>
                <w:highlight w:val="none"/>
                <w:u w:val="single"/>
              </w:rPr>
              <w:t>同开标地点</w:t>
            </w:r>
            <w:r>
              <w:rPr>
                <w:rFonts w:hint="eastAsia"/>
                <w:color w:val="auto"/>
                <w:szCs w:val="18"/>
                <w:highlight w:val="none"/>
              </w:rPr>
              <w:t>。(投标文件截止时间前 15 分钟至投标文件截止时间）</w:t>
            </w:r>
          </w:p>
          <w:p w14:paraId="3A8EA1B0">
            <w:pPr>
              <w:spacing w:before="120" w:line="360" w:lineRule="auto"/>
              <w:ind w:left="105" w:leftChars="50" w:right="105" w:rightChars="50"/>
              <w:contextualSpacing/>
              <w:rPr>
                <w:rFonts w:ascii="宋体" w:hAnsi="宋体"/>
                <w:color w:val="auto"/>
                <w:highlight w:val="none"/>
              </w:rPr>
            </w:pPr>
            <w:r>
              <w:rPr>
                <w:rFonts w:hint="eastAsia" w:ascii="宋体" w:hAnsi="宋体"/>
                <w:color w:val="auto"/>
                <w:highlight w:val="none"/>
              </w:rPr>
              <w:t>4、提交投标文件光盘备用</w:t>
            </w:r>
          </w:p>
          <w:p w14:paraId="0E37AB80">
            <w:pPr>
              <w:spacing w:before="120" w:line="360" w:lineRule="auto"/>
              <w:ind w:left="105" w:leftChars="50" w:right="105" w:rightChars="50"/>
              <w:contextualSpacing/>
              <w:rPr>
                <w:rFonts w:ascii="宋体" w:hAnsi="宋体"/>
                <w:color w:val="auto"/>
                <w:highlight w:val="none"/>
              </w:rPr>
            </w:pPr>
            <w:r>
              <w:rPr>
                <w:rFonts w:hint="eastAsia" w:ascii="宋体" w:hAnsi="宋体"/>
                <w:color w:val="auto"/>
                <w:highlight w:val="none"/>
              </w:rPr>
              <w:t>投标人可制作非加密的电子投标文件（PDF 格式）刻入光盘（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009086C4">
            <w:pPr>
              <w:spacing w:before="120" w:line="360" w:lineRule="auto"/>
              <w:ind w:left="105" w:leftChars="50" w:right="105" w:rightChars="50"/>
              <w:contextualSpacing/>
              <w:rPr>
                <w:rFonts w:ascii="宋体" w:hAnsi="宋体"/>
                <w:color w:val="auto"/>
                <w:highlight w:val="none"/>
              </w:rPr>
            </w:pPr>
            <w:r>
              <w:rPr>
                <w:rFonts w:hint="eastAsia" w:ascii="宋体" w:hAnsi="宋体"/>
                <w:color w:val="auto"/>
                <w:highlight w:val="none"/>
              </w:rPr>
              <w:t>5、补救方案</w:t>
            </w:r>
          </w:p>
          <w:p w14:paraId="4F764681">
            <w:pPr>
              <w:spacing w:before="120" w:line="360" w:lineRule="auto"/>
              <w:ind w:left="105" w:leftChars="50" w:right="105" w:rightChars="50"/>
              <w:contextualSpacing/>
              <w:rPr>
                <w:rFonts w:ascii="宋体" w:hAnsi="宋体"/>
                <w:color w:val="auto"/>
                <w:highlight w:val="none"/>
              </w:rPr>
            </w:pPr>
            <w:r>
              <w:rPr>
                <w:rFonts w:hint="eastAsia" w:ascii="宋体" w:hAnsi="宋体"/>
                <w:color w:val="auto"/>
                <w:highlight w:val="none"/>
              </w:rPr>
              <w:t>（1）投标文件解密失败的补救方案：</w:t>
            </w:r>
          </w:p>
          <w:p w14:paraId="320C5B2F">
            <w:pPr>
              <w:spacing w:before="120" w:line="360" w:lineRule="auto"/>
              <w:ind w:left="105" w:leftChars="50" w:right="105" w:rightChars="50"/>
              <w:contextualSpacing/>
              <w:rPr>
                <w:rFonts w:ascii="宋体" w:hAnsi="宋体"/>
                <w:color w:val="auto"/>
                <w:highlight w:val="none"/>
              </w:rPr>
            </w:pPr>
            <w:r>
              <w:rPr>
                <w:rFonts w:hint="eastAsia" w:ascii="宋体" w:hAnsi="宋体"/>
                <w:color w:val="auto"/>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14CC9EAE">
            <w:pPr>
              <w:spacing w:before="120" w:line="360" w:lineRule="auto"/>
              <w:ind w:left="105" w:leftChars="50" w:right="105" w:rightChars="50"/>
              <w:contextualSpacing/>
              <w:rPr>
                <w:rFonts w:ascii="宋体" w:hAnsi="宋体"/>
                <w:color w:val="auto"/>
                <w:highlight w:val="none"/>
              </w:rPr>
            </w:pPr>
            <w:r>
              <w:rPr>
                <w:rFonts w:hint="eastAsia" w:ascii="宋体" w:hAnsi="宋体"/>
                <w:color w:val="auto"/>
                <w:highlight w:val="none"/>
              </w:rPr>
              <w:t>（2）评标时突发情况的补救方案</w:t>
            </w:r>
          </w:p>
          <w:p w14:paraId="32409CCB">
            <w:pPr>
              <w:spacing w:before="120" w:line="360" w:lineRule="auto"/>
              <w:ind w:left="105" w:leftChars="50" w:right="105" w:rightChars="50"/>
              <w:contextualSpacing/>
              <w:rPr>
                <w:rFonts w:ascii="宋体" w:hAnsi="宋体"/>
                <w:color w:val="auto"/>
                <w:highlight w:val="none"/>
              </w:rPr>
            </w:pPr>
            <w:r>
              <w:rPr>
                <w:rFonts w:hint="eastAsia" w:ascii="宋体" w:hAnsi="宋体"/>
                <w:color w:val="auto"/>
                <w:highlight w:val="none"/>
              </w:rPr>
              <w:t>若遇不可抗力发生（指网络瘫痪、服务器损坏、交易系统故障短期无法恢复等因素），由评标委员会开启投标人递交的全部投标文件光盘，并按光盘内容进行评审。</w:t>
            </w:r>
          </w:p>
          <w:p w14:paraId="22DFC3D1">
            <w:pPr>
              <w:spacing w:before="120" w:line="360" w:lineRule="auto"/>
              <w:ind w:left="105" w:leftChars="50" w:right="105" w:rightChars="50"/>
              <w:contextualSpacing/>
              <w:rPr>
                <w:rFonts w:ascii="宋体" w:hAnsi="宋体"/>
                <w:color w:val="auto"/>
                <w:highlight w:val="none"/>
              </w:rPr>
            </w:pPr>
            <w:r>
              <w:rPr>
                <w:rFonts w:hint="eastAsia" w:ascii="宋体" w:hAnsi="宋体"/>
                <w:color w:val="auto"/>
                <w:highlight w:val="none"/>
              </w:rPr>
              <w:t>（3）除发生上述情况外，开标评标均以投标人通过交易平台网上递交的电子投标文件为准。</w:t>
            </w:r>
          </w:p>
          <w:p w14:paraId="011F9634">
            <w:pPr>
              <w:spacing w:before="120" w:line="360" w:lineRule="auto"/>
              <w:ind w:left="105" w:leftChars="50" w:right="105" w:rightChars="50"/>
              <w:contextualSpacing/>
              <w:rPr>
                <w:rFonts w:ascii="宋体" w:hAnsi="宋体"/>
                <w:color w:val="auto"/>
                <w:highlight w:val="none"/>
              </w:rPr>
            </w:pPr>
            <w:r>
              <w:rPr>
                <w:rFonts w:hint="eastAsia" w:ascii="宋体" w:hAnsi="宋体" w:eastAsia="宋体" w:cs="宋体"/>
                <w:color w:val="auto"/>
                <w:highlight w:val="none"/>
              </w:rPr>
              <w:t>开标时，投标人代表有权参加现场开标或在线开标，也可以自主决定不参加开标，投标人选择参加在线开标的，具体按照交易平台相关指南进行操作。</w:t>
            </w:r>
          </w:p>
          <w:p w14:paraId="10326E55">
            <w:pPr>
              <w:spacing w:before="120" w:line="360" w:lineRule="auto"/>
              <w:ind w:left="105" w:leftChars="50" w:right="105" w:rightChars="50"/>
              <w:contextualSpacing/>
              <w:rPr>
                <w:rFonts w:hint="eastAsia" w:ascii="宋体" w:hAnsi="宋体" w:eastAsia="宋体"/>
                <w:color w:val="auto"/>
                <w:highlight w:val="none"/>
              </w:rPr>
            </w:pPr>
            <w:r>
              <w:rPr>
                <w:rFonts w:hint="eastAsia" w:ascii="宋体" w:hAnsi="宋体" w:eastAsia="宋体" w:cs="宋体"/>
                <w:color w:val="auto"/>
                <w:highlight w:val="none"/>
              </w:rPr>
              <w:t>6、上述时间及地点是否有改变，请密切留意补充公告或招标答疑纪要的相关信息。</w:t>
            </w:r>
          </w:p>
        </w:tc>
      </w:tr>
      <w:tr w14:paraId="32B90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0" w:hRule="atLeast"/>
        </w:trPr>
        <w:tc>
          <w:tcPr>
            <w:tcW w:w="1169" w:type="dxa"/>
          </w:tcPr>
          <w:p w14:paraId="4A05DA7A">
            <w:pPr>
              <w:spacing w:line="294" w:lineRule="auto"/>
              <w:rPr>
                <w:color w:val="auto"/>
                <w:highlight w:val="none"/>
              </w:rPr>
            </w:pPr>
          </w:p>
          <w:p w14:paraId="06243A7C">
            <w:pPr>
              <w:spacing w:line="295" w:lineRule="auto"/>
              <w:rPr>
                <w:color w:val="auto"/>
                <w:highlight w:val="none"/>
              </w:rPr>
            </w:pPr>
          </w:p>
          <w:p w14:paraId="6FA8675A">
            <w:pPr>
              <w:spacing w:before="60" w:line="186" w:lineRule="auto"/>
              <w:ind w:left="380"/>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6.1.</w:t>
            </w:r>
            <w:r>
              <w:rPr>
                <w:rFonts w:ascii="Times New Roman" w:hAnsi="Times New Roman" w:eastAsia="Times New Roman"/>
                <w:color w:val="auto"/>
                <w:spacing w:val="-1"/>
                <w:highlight w:val="none"/>
              </w:rPr>
              <w:t>1</w:t>
            </w:r>
          </w:p>
        </w:tc>
        <w:tc>
          <w:tcPr>
            <w:tcW w:w="3547" w:type="dxa"/>
          </w:tcPr>
          <w:p w14:paraId="72303AE0">
            <w:pPr>
              <w:spacing w:line="271" w:lineRule="auto"/>
              <w:rPr>
                <w:color w:val="auto"/>
                <w:highlight w:val="none"/>
              </w:rPr>
            </w:pPr>
          </w:p>
          <w:p w14:paraId="68135C48">
            <w:pPr>
              <w:spacing w:line="272" w:lineRule="auto"/>
              <w:rPr>
                <w:color w:val="auto"/>
                <w:highlight w:val="none"/>
              </w:rPr>
            </w:pPr>
          </w:p>
          <w:p w14:paraId="7B99CA9F">
            <w:pPr>
              <w:spacing w:before="68" w:line="217" w:lineRule="auto"/>
              <w:ind w:left="1114"/>
              <w:rPr>
                <w:rFonts w:hint="eastAsia" w:ascii="宋体" w:hAnsi="宋体" w:eastAsia="宋体"/>
                <w:color w:val="auto"/>
                <w:spacing w:val="-1"/>
                <w:highlight w:val="none"/>
              </w:rPr>
            </w:pPr>
            <w:r>
              <w:rPr>
                <w:rFonts w:ascii="宋体" w:hAnsi="宋体" w:eastAsia="宋体"/>
                <w:color w:val="auto"/>
                <w:spacing w:val="-1"/>
                <w:highlight w:val="none"/>
              </w:rPr>
              <w:t>评标委员会的组</w:t>
            </w:r>
            <w:r>
              <w:rPr>
                <w:rFonts w:ascii="宋体" w:hAnsi="宋体" w:eastAsia="宋体"/>
                <w:color w:val="auto"/>
                <w:highlight w:val="none"/>
              </w:rPr>
              <w:t>建</w:t>
            </w:r>
          </w:p>
        </w:tc>
        <w:tc>
          <w:tcPr>
            <w:tcW w:w="4610" w:type="dxa"/>
            <w:vAlign w:val="center"/>
          </w:tcPr>
          <w:p w14:paraId="24E810D5">
            <w:pPr>
              <w:spacing w:line="218" w:lineRule="auto"/>
              <w:ind w:left="105" w:leftChars="50" w:right="105" w:rightChars="50"/>
              <w:jc w:val="both"/>
              <w:rPr>
                <w:rFonts w:ascii="宋体" w:hAnsi="宋体"/>
                <w:color w:val="auto"/>
                <w:highlight w:val="none"/>
              </w:rPr>
            </w:pPr>
            <w:r>
              <w:rPr>
                <w:rFonts w:hint="eastAsia" w:ascii="宋体" w:hAnsi="宋体"/>
                <w:color w:val="auto"/>
                <w:highlight w:val="none"/>
              </w:rPr>
              <w:t>评标委员会由招标人依法组建</w:t>
            </w:r>
            <w:r>
              <w:rPr>
                <w:rFonts w:hint="eastAsia" w:ascii="宋体" w:hAnsi="宋体" w:eastAsia="宋体"/>
                <w:color w:val="auto"/>
                <w:highlight w:val="none"/>
              </w:rPr>
              <w:t>一共</w:t>
            </w:r>
            <w:r>
              <w:rPr>
                <w:rFonts w:hint="eastAsia" w:ascii="宋体" w:hAnsi="宋体" w:eastAsia="宋体"/>
                <w:color w:val="auto"/>
                <w:highlight w:val="none"/>
                <w:lang w:val="en-US" w:eastAsia="zh-CN"/>
              </w:rPr>
              <w:t>7</w:t>
            </w:r>
            <w:r>
              <w:rPr>
                <w:rFonts w:hint="eastAsia" w:ascii="宋体" w:hAnsi="宋体" w:eastAsia="宋体"/>
                <w:color w:val="auto"/>
                <w:highlight w:val="none"/>
              </w:rPr>
              <w:t>名</w:t>
            </w:r>
            <w:r>
              <w:rPr>
                <w:rFonts w:hint="eastAsia" w:ascii="宋体" w:hAnsi="宋体"/>
                <w:color w:val="auto"/>
                <w:highlight w:val="none"/>
              </w:rPr>
              <w:t>。</w:t>
            </w:r>
          </w:p>
          <w:p w14:paraId="160B4C05">
            <w:pPr>
              <w:spacing w:line="218" w:lineRule="auto"/>
              <w:ind w:left="105" w:leftChars="50" w:right="105" w:rightChars="50"/>
              <w:jc w:val="both"/>
              <w:rPr>
                <w:rFonts w:hint="eastAsia" w:ascii="宋体" w:hAnsi="宋体" w:eastAsia="宋体"/>
                <w:color w:val="auto"/>
                <w:highlight w:val="none"/>
              </w:rPr>
            </w:pPr>
            <w:r>
              <w:rPr>
                <w:rFonts w:hint="eastAsia" w:ascii="宋体" w:hAnsi="宋体" w:eastAsia="宋体"/>
                <w:color w:val="auto"/>
                <w:highlight w:val="none"/>
              </w:rPr>
              <w:t>评标专家确定方式：</w:t>
            </w:r>
            <w:r>
              <w:rPr>
                <w:rFonts w:hint="eastAsia" w:ascii="宋体" w:hAnsi="宋体" w:eastAsia="宋体"/>
                <w:color w:val="auto"/>
                <w:highlight w:val="none"/>
                <w:u w:val="single"/>
              </w:rPr>
              <w:t xml:space="preserve"> </w:t>
            </w:r>
            <w:r>
              <w:rPr>
                <w:rFonts w:hint="eastAsia" w:ascii="宋体" w:hAnsi="宋体" w:eastAsia="宋体"/>
                <w:color w:val="auto"/>
                <w:highlight w:val="none"/>
                <w:u w:val="single"/>
                <w:lang w:val="en-US" w:eastAsia="zh-CN"/>
              </w:rPr>
              <w:t>2</w:t>
            </w:r>
            <w:r>
              <w:rPr>
                <w:rFonts w:hint="eastAsia" w:ascii="宋体" w:hAnsi="宋体" w:eastAsia="宋体"/>
                <w:color w:val="auto"/>
                <w:highlight w:val="none"/>
              </w:rPr>
              <w:t>名业主代表，其他</w:t>
            </w:r>
            <w:r>
              <w:rPr>
                <w:rFonts w:hint="eastAsia" w:ascii="宋体" w:hAnsi="宋体" w:eastAsia="宋体"/>
                <w:color w:val="auto"/>
                <w:highlight w:val="none"/>
                <w:u w:val="single"/>
              </w:rPr>
              <w:t xml:space="preserve"> </w:t>
            </w:r>
            <w:r>
              <w:rPr>
                <w:rFonts w:hint="eastAsia" w:ascii="宋体" w:hAnsi="宋体" w:eastAsia="宋体"/>
                <w:color w:val="auto"/>
                <w:highlight w:val="none"/>
                <w:u w:val="single"/>
                <w:lang w:val="en-US" w:eastAsia="zh-CN"/>
              </w:rPr>
              <w:t>5</w:t>
            </w:r>
            <w:r>
              <w:rPr>
                <w:rFonts w:hint="eastAsia" w:ascii="宋体" w:hAnsi="宋体" w:eastAsia="宋体"/>
                <w:color w:val="auto"/>
                <w:highlight w:val="none"/>
                <w:u w:val="single"/>
              </w:rPr>
              <w:t xml:space="preserve"> </w:t>
            </w:r>
            <w:r>
              <w:rPr>
                <w:rFonts w:hint="eastAsia" w:ascii="宋体" w:hAnsi="宋体" w:eastAsia="宋体"/>
                <w:color w:val="auto"/>
                <w:highlight w:val="none"/>
              </w:rPr>
              <w:t>名专家从</w:t>
            </w:r>
            <w:r>
              <w:rPr>
                <w:rFonts w:hint="eastAsia" w:ascii="宋体" w:hAnsi="宋体" w:eastAsia="宋体"/>
                <w:color w:val="auto"/>
                <w:highlight w:val="none"/>
                <w:u w:val="single"/>
              </w:rPr>
              <w:t>广东省综合评标评审专家库</w:t>
            </w:r>
            <w:r>
              <w:rPr>
                <w:rFonts w:hint="eastAsia" w:ascii="宋体" w:hAnsi="宋体" w:eastAsia="宋体"/>
                <w:color w:val="auto"/>
                <w:highlight w:val="none"/>
              </w:rPr>
              <w:t>中抽取</w:t>
            </w:r>
          </w:p>
        </w:tc>
      </w:tr>
      <w:tr w14:paraId="7B2AC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169" w:type="dxa"/>
          </w:tcPr>
          <w:p w14:paraId="21BB41C0">
            <w:pPr>
              <w:spacing w:line="370" w:lineRule="auto"/>
              <w:rPr>
                <w:color w:val="auto"/>
                <w:highlight w:val="none"/>
              </w:rPr>
            </w:pPr>
          </w:p>
          <w:p w14:paraId="6EF06FA0">
            <w:pPr>
              <w:spacing w:before="61" w:line="186" w:lineRule="auto"/>
              <w:ind w:left="380"/>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6.3.</w:t>
            </w:r>
            <w:r>
              <w:rPr>
                <w:rFonts w:ascii="Times New Roman" w:hAnsi="Times New Roman" w:eastAsia="Times New Roman"/>
                <w:color w:val="auto"/>
                <w:spacing w:val="-1"/>
                <w:highlight w:val="none"/>
              </w:rPr>
              <w:t>2</w:t>
            </w:r>
          </w:p>
        </w:tc>
        <w:tc>
          <w:tcPr>
            <w:tcW w:w="3547" w:type="dxa"/>
            <w:vAlign w:val="center"/>
          </w:tcPr>
          <w:p w14:paraId="228B7311">
            <w:pPr>
              <w:spacing w:before="68" w:line="217" w:lineRule="auto"/>
              <w:jc w:val="center"/>
              <w:rPr>
                <w:rFonts w:hint="eastAsia" w:ascii="宋体" w:hAnsi="宋体" w:eastAsia="宋体"/>
                <w:color w:val="auto"/>
                <w:spacing w:val="-1"/>
                <w:highlight w:val="none"/>
              </w:rPr>
            </w:pPr>
            <w:r>
              <w:rPr>
                <w:rFonts w:ascii="宋体" w:hAnsi="宋体" w:eastAsia="宋体"/>
                <w:color w:val="auto"/>
                <w:spacing w:val="-1"/>
                <w:highlight w:val="none"/>
              </w:rPr>
              <w:t>评标委员会推荐</w:t>
            </w:r>
            <w:r>
              <w:rPr>
                <w:rFonts w:ascii="宋体" w:hAnsi="宋体" w:eastAsia="宋体"/>
                <w:color w:val="auto"/>
                <w:highlight w:val="none"/>
              </w:rPr>
              <w:t>中标候选人的人数</w:t>
            </w:r>
          </w:p>
        </w:tc>
        <w:tc>
          <w:tcPr>
            <w:tcW w:w="4610" w:type="dxa"/>
            <w:vAlign w:val="center"/>
          </w:tcPr>
          <w:p w14:paraId="5E4C2A26">
            <w:pPr>
              <w:ind w:left="105" w:leftChars="50" w:right="105" w:rightChars="50"/>
              <w:jc w:val="both"/>
              <w:rPr>
                <w:rFonts w:ascii="宋体" w:hAnsi="宋体"/>
                <w:color w:val="auto"/>
                <w:highlight w:val="none"/>
              </w:rPr>
            </w:pPr>
            <w:r>
              <w:rPr>
                <w:rFonts w:hint="eastAsia" w:ascii="宋体" w:hAnsi="宋体"/>
                <w:color w:val="auto"/>
                <w:highlight w:val="none"/>
              </w:rPr>
              <w:t>推荐中标候选人：</w:t>
            </w:r>
            <w:r>
              <w:rPr>
                <w:rFonts w:hint="eastAsia" w:ascii="宋体" w:hAnsi="宋体"/>
                <w:color w:val="auto"/>
                <w:highlight w:val="none"/>
                <w:u w:val="single"/>
              </w:rPr>
              <w:t>3</w:t>
            </w:r>
            <w:r>
              <w:rPr>
                <w:rFonts w:hint="eastAsia" w:ascii="宋体" w:hAnsi="宋体"/>
                <w:color w:val="auto"/>
                <w:highlight w:val="none"/>
              </w:rPr>
              <w:t>名。</w:t>
            </w:r>
          </w:p>
        </w:tc>
      </w:tr>
      <w:tr w14:paraId="28BFA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69" w:type="dxa"/>
          </w:tcPr>
          <w:p w14:paraId="367553FB">
            <w:pPr>
              <w:spacing w:line="367" w:lineRule="auto"/>
              <w:rPr>
                <w:color w:val="auto"/>
                <w:highlight w:val="none"/>
              </w:rPr>
            </w:pPr>
          </w:p>
          <w:p w14:paraId="187D463C">
            <w:pPr>
              <w:spacing w:before="60" w:line="186" w:lineRule="auto"/>
              <w:ind w:left="457"/>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7.</w:t>
            </w:r>
            <w:r>
              <w:rPr>
                <w:rFonts w:ascii="Times New Roman" w:hAnsi="Times New Roman" w:eastAsia="Times New Roman"/>
                <w:color w:val="auto"/>
                <w:spacing w:val="-1"/>
                <w:highlight w:val="none"/>
              </w:rPr>
              <w:t>1</w:t>
            </w:r>
          </w:p>
        </w:tc>
        <w:tc>
          <w:tcPr>
            <w:tcW w:w="3547" w:type="dxa"/>
          </w:tcPr>
          <w:p w14:paraId="3B99B745">
            <w:pPr>
              <w:spacing w:line="308" w:lineRule="auto"/>
              <w:rPr>
                <w:color w:val="auto"/>
                <w:highlight w:val="none"/>
              </w:rPr>
            </w:pPr>
          </w:p>
          <w:p w14:paraId="0462C808">
            <w:pPr>
              <w:spacing w:before="68" w:line="220" w:lineRule="auto"/>
              <w:ind w:left="715"/>
              <w:rPr>
                <w:rFonts w:hint="eastAsia" w:ascii="宋体" w:hAnsi="宋体" w:eastAsia="宋体"/>
                <w:color w:val="auto"/>
                <w:spacing w:val="-4"/>
                <w:highlight w:val="none"/>
              </w:rPr>
            </w:pPr>
            <w:r>
              <w:rPr>
                <w:rFonts w:ascii="宋体" w:hAnsi="宋体" w:eastAsia="宋体"/>
                <w:color w:val="auto"/>
                <w:spacing w:val="-4"/>
                <w:highlight w:val="none"/>
              </w:rPr>
              <w:t>中</w:t>
            </w:r>
            <w:r>
              <w:rPr>
                <w:rFonts w:ascii="宋体" w:hAnsi="宋体" w:eastAsia="宋体"/>
                <w:color w:val="auto"/>
                <w:spacing w:val="-2"/>
                <w:highlight w:val="none"/>
              </w:rPr>
              <w:t>标候选人公示媒介及期限</w:t>
            </w:r>
          </w:p>
        </w:tc>
        <w:tc>
          <w:tcPr>
            <w:tcW w:w="4610" w:type="dxa"/>
          </w:tcPr>
          <w:p w14:paraId="307DEA0D">
            <w:pPr>
              <w:spacing w:before="171" w:line="220" w:lineRule="auto"/>
              <w:ind w:left="105" w:leftChars="50" w:right="105" w:rightChars="50"/>
              <w:rPr>
                <w:rFonts w:hint="eastAsia" w:ascii="宋体" w:hAnsi="宋体" w:eastAsia="宋体"/>
                <w:color w:val="auto"/>
                <w:spacing w:val="-11"/>
                <w:highlight w:val="none"/>
              </w:rPr>
            </w:pPr>
            <w:r>
              <w:rPr>
                <w:rFonts w:ascii="宋体" w:hAnsi="宋体" w:eastAsia="宋体"/>
                <w:color w:val="auto"/>
                <w:spacing w:val="-11"/>
                <w:highlight w:val="none"/>
              </w:rPr>
              <w:t>公</w:t>
            </w:r>
            <w:r>
              <w:rPr>
                <w:rFonts w:ascii="宋体" w:hAnsi="宋体" w:eastAsia="宋体"/>
                <w:color w:val="auto"/>
                <w:spacing w:val="-10"/>
                <w:highlight w:val="none"/>
              </w:rPr>
              <w:t>示媒介：</w:t>
            </w:r>
            <w:r>
              <w:rPr>
                <w:rFonts w:hint="eastAsia" w:ascii="宋体" w:hAnsi="宋体"/>
                <w:color w:val="auto"/>
                <w:highlight w:val="none"/>
                <w:lang w:val="zh-CN"/>
              </w:rPr>
              <w:t>广州交易集团有限公司（广州公共资源交易中心）网和广东省招标投标监管网、中国招标投标公共服务平台</w:t>
            </w:r>
          </w:p>
          <w:p w14:paraId="27CA75B9">
            <w:pPr>
              <w:spacing w:before="171" w:line="220" w:lineRule="auto"/>
              <w:ind w:left="105" w:leftChars="50" w:right="105" w:rightChars="50"/>
              <w:rPr>
                <w:rFonts w:hint="eastAsia" w:ascii="宋体" w:hAnsi="宋体" w:eastAsia="宋体"/>
                <w:color w:val="auto"/>
                <w:spacing w:val="-8"/>
                <w:highlight w:val="none"/>
              </w:rPr>
            </w:pPr>
            <w:r>
              <w:rPr>
                <w:rFonts w:ascii="宋体" w:hAnsi="宋体" w:eastAsia="宋体"/>
                <w:color w:val="auto"/>
                <w:spacing w:val="-8"/>
                <w:highlight w:val="none"/>
              </w:rPr>
              <w:t>公示期</w:t>
            </w:r>
            <w:r>
              <w:rPr>
                <w:rFonts w:ascii="宋体" w:hAnsi="宋体" w:eastAsia="宋体"/>
                <w:color w:val="auto"/>
                <w:spacing w:val="-4"/>
                <w:highlight w:val="none"/>
              </w:rPr>
              <w:t>限：</w:t>
            </w:r>
            <w:r>
              <w:rPr>
                <w:rFonts w:hint="eastAsia" w:ascii="宋体" w:hAnsi="宋体" w:eastAsia="宋体"/>
                <w:color w:val="auto"/>
                <w:spacing w:val="-4"/>
                <w:highlight w:val="none"/>
                <w:u w:val="single"/>
              </w:rPr>
              <w:t>不少于3</w:t>
            </w:r>
            <w:r>
              <w:rPr>
                <w:rFonts w:ascii="宋体" w:hAnsi="宋体" w:eastAsia="宋体"/>
                <w:color w:val="auto"/>
                <w:spacing w:val="-4"/>
                <w:highlight w:val="none"/>
              </w:rPr>
              <w:t>日</w:t>
            </w:r>
            <w:r>
              <w:rPr>
                <w:rFonts w:hint="eastAsia" w:ascii="宋体" w:hAnsi="宋体" w:eastAsia="宋体"/>
                <w:color w:val="auto"/>
                <w:spacing w:val="-5"/>
                <w:highlight w:val="none"/>
              </w:rPr>
              <w:t>（最后一天应为工作日）</w:t>
            </w:r>
          </w:p>
        </w:tc>
      </w:tr>
      <w:tr w14:paraId="4CA4E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69" w:type="dxa"/>
          </w:tcPr>
          <w:p w14:paraId="567A9FE9">
            <w:pPr>
              <w:spacing w:line="367" w:lineRule="auto"/>
              <w:rPr>
                <w:color w:val="auto"/>
                <w:highlight w:val="none"/>
              </w:rPr>
            </w:pPr>
          </w:p>
          <w:p w14:paraId="22ED5CA4">
            <w:pPr>
              <w:spacing w:before="61" w:line="186" w:lineRule="auto"/>
              <w:ind w:left="457"/>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7.</w:t>
            </w:r>
            <w:r>
              <w:rPr>
                <w:rFonts w:ascii="Times New Roman" w:hAnsi="Times New Roman" w:eastAsia="Times New Roman"/>
                <w:color w:val="auto"/>
                <w:spacing w:val="-1"/>
                <w:highlight w:val="none"/>
              </w:rPr>
              <w:t>4</w:t>
            </w:r>
          </w:p>
        </w:tc>
        <w:tc>
          <w:tcPr>
            <w:tcW w:w="3547" w:type="dxa"/>
          </w:tcPr>
          <w:p w14:paraId="64635363">
            <w:pPr>
              <w:spacing w:line="321" w:lineRule="auto"/>
              <w:rPr>
                <w:color w:val="auto"/>
                <w:highlight w:val="none"/>
              </w:rPr>
            </w:pPr>
          </w:p>
          <w:p w14:paraId="16FE3476">
            <w:pPr>
              <w:spacing w:before="68" w:line="217" w:lineRule="auto"/>
              <w:ind w:left="488"/>
              <w:rPr>
                <w:rFonts w:hint="eastAsia" w:ascii="宋体" w:hAnsi="宋体" w:eastAsia="宋体"/>
                <w:color w:val="auto"/>
                <w:spacing w:val="-1"/>
                <w:highlight w:val="none"/>
              </w:rPr>
            </w:pPr>
            <w:r>
              <w:rPr>
                <w:rFonts w:ascii="宋体" w:hAnsi="宋体" w:eastAsia="宋体"/>
                <w:color w:val="auto"/>
                <w:spacing w:val="-1"/>
                <w:highlight w:val="none"/>
              </w:rPr>
              <w:t>是否授权评标委员会确定</w:t>
            </w:r>
            <w:r>
              <w:rPr>
                <w:rFonts w:ascii="宋体" w:hAnsi="宋体" w:eastAsia="宋体"/>
                <w:color w:val="auto"/>
                <w:highlight w:val="none"/>
              </w:rPr>
              <w:t>中标人</w:t>
            </w:r>
          </w:p>
        </w:tc>
        <w:tc>
          <w:tcPr>
            <w:tcW w:w="4610" w:type="dxa"/>
          </w:tcPr>
          <w:p w14:paraId="2C54DBD9">
            <w:pPr>
              <w:spacing w:before="170" w:line="176" w:lineRule="auto"/>
              <w:ind w:left="105" w:leftChars="50" w:right="105" w:rightChars="50"/>
              <w:rPr>
                <w:rFonts w:ascii="Times New Roman" w:hAnsi="Times New Roman" w:eastAsia="Times New Roman"/>
                <w:color w:val="auto"/>
                <w:spacing w:val="-4"/>
                <w:sz w:val="31"/>
                <w:szCs w:val="31"/>
                <w:highlight w:val="none"/>
              </w:rPr>
            </w:pPr>
            <w:r>
              <w:rPr>
                <w:rFonts w:hint="eastAsia" w:ascii="Times New Roman" w:hAnsi="Times New Roman" w:eastAsia="宋体"/>
                <w:color w:val="auto"/>
                <w:spacing w:val="-4"/>
                <w:sz w:val="31"/>
                <w:szCs w:val="31"/>
                <w:highlight w:val="none"/>
              </w:rPr>
              <w:t>☑</w:t>
            </w:r>
            <w:r>
              <w:rPr>
                <w:rFonts w:ascii="宋体" w:hAnsi="宋体" w:eastAsia="宋体"/>
                <w:color w:val="auto"/>
                <w:spacing w:val="-3"/>
                <w:highlight w:val="none"/>
              </w:rPr>
              <w:t>是</w:t>
            </w:r>
          </w:p>
          <w:p w14:paraId="10D8E2A6">
            <w:pPr>
              <w:spacing w:before="180" w:line="173" w:lineRule="auto"/>
              <w:ind w:left="105" w:leftChars="50" w:right="105" w:rightChars="50"/>
              <w:rPr>
                <w:rFonts w:ascii="Times New Roman" w:hAnsi="Times New Roman" w:eastAsia="Times New Roman"/>
                <w:color w:val="auto"/>
                <w:spacing w:val="-2"/>
                <w:sz w:val="31"/>
                <w:szCs w:val="31"/>
                <w:highlight w:val="none"/>
              </w:rPr>
            </w:pPr>
            <w:r>
              <w:rPr>
                <w:rFonts w:ascii="Times New Roman" w:hAnsi="Times New Roman" w:eastAsia="Times New Roman"/>
                <w:color w:val="auto"/>
                <w:spacing w:val="-2"/>
                <w:sz w:val="31"/>
                <w:szCs w:val="31"/>
                <w:highlight w:val="none"/>
              </w:rPr>
              <w:sym w:font="Wingdings 2" w:char="00A3"/>
            </w:r>
            <w:r>
              <w:rPr>
                <w:rFonts w:ascii="宋体" w:hAnsi="宋体" w:eastAsia="宋体"/>
                <w:color w:val="auto"/>
                <w:spacing w:val="-2"/>
                <w:highlight w:val="none"/>
              </w:rPr>
              <w:t>否</w:t>
            </w:r>
          </w:p>
        </w:tc>
      </w:tr>
      <w:tr w14:paraId="140C1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1169" w:type="dxa"/>
          </w:tcPr>
          <w:p w14:paraId="42AE70F2">
            <w:pPr>
              <w:spacing w:line="366" w:lineRule="auto"/>
              <w:rPr>
                <w:color w:val="auto"/>
                <w:highlight w:val="none"/>
              </w:rPr>
            </w:pPr>
          </w:p>
          <w:p w14:paraId="50DBD08F">
            <w:pPr>
              <w:spacing w:before="61" w:line="186" w:lineRule="auto"/>
              <w:ind w:left="457"/>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7.</w:t>
            </w:r>
            <w:r>
              <w:rPr>
                <w:rFonts w:ascii="Times New Roman" w:hAnsi="Times New Roman" w:eastAsia="Times New Roman"/>
                <w:color w:val="auto"/>
                <w:spacing w:val="-1"/>
                <w:highlight w:val="none"/>
              </w:rPr>
              <w:t>6</w:t>
            </w:r>
          </w:p>
        </w:tc>
        <w:tc>
          <w:tcPr>
            <w:tcW w:w="3547" w:type="dxa"/>
          </w:tcPr>
          <w:p w14:paraId="05796D8B">
            <w:pPr>
              <w:spacing w:line="321" w:lineRule="auto"/>
              <w:rPr>
                <w:color w:val="auto"/>
                <w:highlight w:val="none"/>
              </w:rPr>
            </w:pPr>
          </w:p>
          <w:p w14:paraId="7434FF46">
            <w:pPr>
              <w:spacing w:before="68" w:line="220" w:lineRule="auto"/>
              <w:ind w:left="1116"/>
              <w:rPr>
                <w:rFonts w:hint="eastAsia" w:ascii="宋体" w:hAnsi="宋体" w:eastAsia="宋体"/>
                <w:color w:val="auto"/>
                <w:spacing w:val="-1"/>
                <w:highlight w:val="none"/>
              </w:rPr>
            </w:pPr>
            <w:r>
              <w:rPr>
                <w:rFonts w:ascii="宋体" w:hAnsi="宋体" w:eastAsia="宋体"/>
                <w:color w:val="auto"/>
                <w:spacing w:val="-1"/>
                <w:highlight w:val="none"/>
              </w:rPr>
              <w:t>技术成果经济补偿</w:t>
            </w:r>
          </w:p>
        </w:tc>
        <w:tc>
          <w:tcPr>
            <w:tcW w:w="4610" w:type="dxa"/>
          </w:tcPr>
          <w:p w14:paraId="2B56DA8D">
            <w:pPr>
              <w:spacing w:before="153" w:line="173" w:lineRule="auto"/>
              <w:ind w:left="105" w:leftChars="50" w:right="105" w:rightChars="50"/>
              <w:rPr>
                <w:rFonts w:ascii="Times New Roman" w:hAnsi="Times New Roman" w:eastAsia="Times New Roman"/>
                <w:color w:val="auto"/>
                <w:spacing w:val="-6"/>
                <w:sz w:val="31"/>
                <w:szCs w:val="31"/>
                <w:highlight w:val="none"/>
              </w:rPr>
            </w:pPr>
            <w:r>
              <w:rPr>
                <w:rFonts w:ascii="Times New Roman" w:hAnsi="Times New Roman" w:eastAsia="Times New Roman"/>
                <w:color w:val="auto"/>
                <w:spacing w:val="-6"/>
                <w:sz w:val="31"/>
                <w:szCs w:val="31"/>
                <w:highlight w:val="none"/>
              </w:rPr>
              <w:sym w:font="Wingdings 2" w:char="F052"/>
            </w:r>
            <w:r>
              <w:rPr>
                <w:rFonts w:ascii="宋体" w:hAnsi="宋体" w:eastAsia="宋体"/>
                <w:color w:val="auto"/>
                <w:spacing w:val="-3"/>
                <w:highlight w:val="none"/>
              </w:rPr>
              <w:t>不补偿</w:t>
            </w:r>
          </w:p>
          <w:p w14:paraId="555AD3E0">
            <w:pPr>
              <w:spacing w:before="164" w:line="173" w:lineRule="auto"/>
              <w:ind w:left="105" w:leftChars="50" w:right="105" w:rightChars="50"/>
              <w:rPr>
                <w:rFonts w:ascii="Times New Roman" w:hAnsi="Times New Roman" w:eastAsia="Times New Roman"/>
                <w:color w:val="auto"/>
                <w:spacing w:val="-12"/>
                <w:sz w:val="31"/>
                <w:szCs w:val="31"/>
                <w:highlight w:val="none"/>
              </w:rPr>
            </w:pPr>
            <w:r>
              <w:rPr>
                <w:rFonts w:ascii="Times New Roman" w:hAnsi="Times New Roman" w:eastAsia="Times New Roman"/>
                <w:color w:val="auto"/>
                <w:spacing w:val="-12"/>
                <w:sz w:val="31"/>
                <w:szCs w:val="31"/>
                <w:highlight w:val="none"/>
              </w:rPr>
              <w:t>□</w:t>
            </w:r>
            <w:r>
              <w:rPr>
                <w:rFonts w:ascii="宋体" w:hAnsi="宋体" w:eastAsia="宋体"/>
                <w:color w:val="auto"/>
                <w:spacing w:val="-7"/>
                <w:highlight w:val="none"/>
              </w:rPr>
              <w:t>补</w:t>
            </w:r>
            <w:r>
              <w:rPr>
                <w:rFonts w:ascii="宋体" w:hAnsi="宋体" w:eastAsia="宋体"/>
                <w:color w:val="auto"/>
                <w:spacing w:val="-6"/>
                <w:highlight w:val="none"/>
              </w:rPr>
              <w:t>偿，补偿标准：</w:t>
            </w:r>
          </w:p>
        </w:tc>
      </w:tr>
      <w:tr w14:paraId="6287B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1169" w:type="dxa"/>
          </w:tcPr>
          <w:p w14:paraId="5B1F1929">
            <w:pPr>
              <w:spacing w:line="249" w:lineRule="auto"/>
              <w:rPr>
                <w:color w:val="auto"/>
                <w:highlight w:val="none"/>
              </w:rPr>
            </w:pPr>
          </w:p>
          <w:p w14:paraId="74030B7B">
            <w:pPr>
              <w:spacing w:line="249" w:lineRule="auto"/>
              <w:rPr>
                <w:color w:val="auto"/>
                <w:highlight w:val="none"/>
              </w:rPr>
            </w:pPr>
          </w:p>
          <w:p w14:paraId="5F38E5F4">
            <w:pPr>
              <w:spacing w:line="249" w:lineRule="auto"/>
              <w:rPr>
                <w:color w:val="auto"/>
                <w:highlight w:val="none"/>
              </w:rPr>
            </w:pPr>
          </w:p>
          <w:p w14:paraId="072A948E">
            <w:pPr>
              <w:spacing w:before="60" w:line="186" w:lineRule="auto"/>
              <w:ind w:left="379"/>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7.</w:t>
            </w:r>
            <w:r>
              <w:rPr>
                <w:rFonts w:ascii="Times New Roman" w:hAnsi="Times New Roman" w:eastAsia="Times New Roman"/>
                <w:color w:val="auto"/>
                <w:spacing w:val="-1"/>
                <w:highlight w:val="none"/>
              </w:rPr>
              <w:t>7.1</w:t>
            </w:r>
          </w:p>
        </w:tc>
        <w:tc>
          <w:tcPr>
            <w:tcW w:w="3547" w:type="dxa"/>
          </w:tcPr>
          <w:p w14:paraId="419AF307">
            <w:pPr>
              <w:spacing w:line="350" w:lineRule="auto"/>
              <w:rPr>
                <w:color w:val="auto"/>
                <w:highlight w:val="none"/>
              </w:rPr>
            </w:pPr>
          </w:p>
          <w:p w14:paraId="41B297BD">
            <w:pPr>
              <w:spacing w:line="351" w:lineRule="auto"/>
              <w:rPr>
                <w:color w:val="auto"/>
                <w:highlight w:val="none"/>
              </w:rPr>
            </w:pPr>
          </w:p>
          <w:p w14:paraId="1545EAC8">
            <w:pPr>
              <w:spacing w:before="68" w:line="221" w:lineRule="auto"/>
              <w:ind w:left="1434"/>
              <w:rPr>
                <w:rFonts w:hint="eastAsia" w:ascii="宋体" w:hAnsi="宋体" w:eastAsia="宋体"/>
                <w:color w:val="auto"/>
                <w:spacing w:val="-2"/>
                <w:highlight w:val="none"/>
              </w:rPr>
            </w:pPr>
            <w:r>
              <w:rPr>
                <w:rFonts w:ascii="宋体" w:hAnsi="宋体" w:eastAsia="宋体"/>
                <w:color w:val="auto"/>
                <w:spacing w:val="-2"/>
                <w:highlight w:val="none"/>
              </w:rPr>
              <w:t>履约保证金</w:t>
            </w:r>
          </w:p>
        </w:tc>
        <w:tc>
          <w:tcPr>
            <w:tcW w:w="4610" w:type="dxa"/>
          </w:tcPr>
          <w:p w14:paraId="738E62F8">
            <w:pPr>
              <w:spacing w:before="141" w:line="221" w:lineRule="auto"/>
              <w:ind w:left="105" w:leftChars="50" w:right="105" w:rightChars="50"/>
              <w:rPr>
                <w:rFonts w:hint="eastAsia" w:ascii="宋体" w:hAnsi="宋体" w:eastAsia="宋体"/>
                <w:color w:val="auto"/>
                <w:spacing w:val="-6"/>
                <w:highlight w:val="none"/>
              </w:rPr>
            </w:pPr>
            <w:r>
              <w:rPr>
                <w:rFonts w:ascii="宋体" w:hAnsi="宋体" w:eastAsia="宋体"/>
                <w:color w:val="auto"/>
                <w:spacing w:val="-6"/>
                <w:highlight w:val="none"/>
              </w:rPr>
              <w:t>是否要</w:t>
            </w:r>
            <w:r>
              <w:rPr>
                <w:rFonts w:ascii="宋体" w:hAnsi="宋体" w:eastAsia="宋体"/>
                <w:color w:val="auto"/>
                <w:spacing w:val="-5"/>
                <w:highlight w:val="none"/>
              </w:rPr>
              <w:t>求</w:t>
            </w:r>
            <w:r>
              <w:rPr>
                <w:rFonts w:ascii="宋体" w:hAnsi="宋体" w:eastAsia="宋体"/>
                <w:color w:val="auto"/>
                <w:spacing w:val="-3"/>
                <w:highlight w:val="none"/>
              </w:rPr>
              <w:t>中标人提交履约保证金：</w:t>
            </w:r>
          </w:p>
          <w:p w14:paraId="418412D5">
            <w:pPr>
              <w:spacing w:before="147" w:line="260" w:lineRule="auto"/>
              <w:ind w:left="105" w:leftChars="50" w:right="105" w:rightChars="50" w:firstLine="17" w:firstLineChars="6"/>
              <w:rPr>
                <w:rFonts w:ascii="Times New Roman" w:hAnsi="Times New Roman" w:eastAsia="Times New Roman"/>
                <w:color w:val="auto"/>
                <w:spacing w:val="-7"/>
                <w:sz w:val="31"/>
                <w:szCs w:val="31"/>
                <w:highlight w:val="none"/>
              </w:rPr>
            </w:pPr>
            <w:r>
              <w:rPr>
                <w:rFonts w:hint="eastAsia" w:ascii="Times New Roman" w:hAnsi="Times New Roman" w:eastAsia="宋体"/>
                <w:color w:val="auto"/>
                <w:spacing w:val="-7"/>
                <w:sz w:val="31"/>
                <w:szCs w:val="31"/>
                <w:highlight w:val="none"/>
              </w:rPr>
              <w:t>☑</w:t>
            </w:r>
            <w:r>
              <w:rPr>
                <w:rFonts w:ascii="宋体" w:hAnsi="宋体" w:eastAsia="宋体"/>
                <w:color w:val="auto"/>
                <w:spacing w:val="-5"/>
                <w:highlight w:val="none"/>
              </w:rPr>
              <w:t>要求，履约保证金的形式：</w:t>
            </w:r>
            <w:r>
              <w:rPr>
                <w:rFonts w:hint="eastAsia"/>
                <w:highlight w:val="none"/>
                <w:u w:val="single"/>
              </w:rPr>
              <w:t>可以以现金转账、银行保函形式或履约保证保险等有效方式向招标人递交履约担保；如果中标人的履约担保是以银行保函的形式提供，则该银行保函应由在中国注册的银行开具。</w:t>
            </w:r>
          </w:p>
          <w:p w14:paraId="7CF2909C">
            <w:pPr>
              <w:spacing w:before="147" w:line="260" w:lineRule="auto"/>
              <w:ind w:left="105" w:leftChars="50" w:right="105" w:rightChars="50" w:firstLine="11" w:firstLineChars="6"/>
              <w:rPr>
                <w:rFonts w:hint="eastAsia" w:ascii="宋体" w:hAnsi="宋体" w:eastAsia="宋体"/>
                <w:color w:val="auto"/>
                <w:spacing w:val="-12"/>
                <w:highlight w:val="none"/>
              </w:rPr>
            </w:pPr>
            <w:r>
              <w:rPr>
                <w:rFonts w:ascii="宋体" w:hAnsi="宋体" w:eastAsia="宋体"/>
                <w:color w:val="auto"/>
                <w:spacing w:val="-12"/>
                <w:highlight w:val="none"/>
              </w:rPr>
              <w:t>履</w:t>
            </w:r>
            <w:r>
              <w:rPr>
                <w:rFonts w:ascii="宋体" w:hAnsi="宋体" w:eastAsia="宋体"/>
                <w:color w:val="auto"/>
                <w:spacing w:val="-6"/>
                <w:highlight w:val="none"/>
              </w:rPr>
              <w:t>约保证金的金额：</w:t>
            </w:r>
            <w:r>
              <w:rPr>
                <w:rFonts w:hint="eastAsia" w:ascii="宋体" w:hAnsi="宋体" w:eastAsia="宋体" w:cs="宋体"/>
                <w:color w:val="auto"/>
                <w:highlight w:val="none"/>
                <w:u w:val="single"/>
              </w:rPr>
              <w:t>中标价款（人民币）10%。</w:t>
            </w:r>
          </w:p>
          <w:p w14:paraId="70FF8984">
            <w:pPr>
              <w:spacing w:before="159" w:line="173" w:lineRule="auto"/>
              <w:ind w:left="105" w:leftChars="50" w:right="105" w:rightChars="50"/>
              <w:rPr>
                <w:rFonts w:ascii="Times New Roman" w:hAnsi="Times New Roman" w:eastAsia="Times New Roman"/>
                <w:color w:val="auto"/>
                <w:spacing w:val="-6"/>
                <w:sz w:val="31"/>
                <w:szCs w:val="31"/>
                <w:highlight w:val="none"/>
              </w:rPr>
            </w:pPr>
            <w:r>
              <w:rPr>
                <w:rFonts w:ascii="Times New Roman" w:hAnsi="Times New Roman" w:eastAsia="Times New Roman"/>
                <w:color w:val="auto"/>
                <w:spacing w:val="-6"/>
                <w:sz w:val="31"/>
                <w:szCs w:val="31"/>
                <w:highlight w:val="none"/>
              </w:rPr>
              <w:sym w:font="Wingdings 2" w:char="00A3"/>
            </w:r>
            <w:r>
              <w:rPr>
                <w:rFonts w:ascii="宋体" w:hAnsi="宋体" w:eastAsia="宋体"/>
                <w:color w:val="auto"/>
                <w:spacing w:val="-3"/>
                <w:highlight w:val="none"/>
              </w:rPr>
              <w:t>不要求</w:t>
            </w:r>
          </w:p>
        </w:tc>
      </w:tr>
      <w:tr w14:paraId="5D957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169" w:type="dxa"/>
          </w:tcPr>
          <w:p w14:paraId="6D9D177B">
            <w:pPr>
              <w:spacing w:line="370" w:lineRule="auto"/>
              <w:rPr>
                <w:color w:val="auto"/>
                <w:highlight w:val="none"/>
              </w:rPr>
            </w:pPr>
          </w:p>
          <w:p w14:paraId="18C47D1B">
            <w:pPr>
              <w:spacing w:before="61" w:line="186" w:lineRule="auto"/>
              <w:ind w:left="500"/>
              <w:rPr>
                <w:rFonts w:ascii="Times New Roman" w:hAnsi="Times New Roman" w:eastAsia="Times New Roman"/>
                <w:color w:val="auto"/>
                <w:spacing w:val="-7"/>
                <w:highlight w:val="none"/>
              </w:rPr>
            </w:pPr>
            <w:r>
              <w:rPr>
                <w:rFonts w:ascii="Times New Roman" w:hAnsi="Times New Roman" w:eastAsia="Times New Roman"/>
                <w:color w:val="auto"/>
                <w:spacing w:val="-7"/>
                <w:highlight w:val="none"/>
              </w:rPr>
              <w:t>1</w:t>
            </w:r>
            <w:r>
              <w:rPr>
                <w:rFonts w:hint="eastAsia" w:ascii="Times New Roman" w:hAnsi="Times New Roman" w:eastAsia="宋体"/>
                <w:color w:val="auto"/>
                <w:spacing w:val="-5"/>
                <w:highlight w:val="none"/>
              </w:rPr>
              <w:t>1</w:t>
            </w:r>
          </w:p>
        </w:tc>
        <w:tc>
          <w:tcPr>
            <w:tcW w:w="3547" w:type="dxa"/>
            <w:vAlign w:val="center"/>
          </w:tcPr>
          <w:p w14:paraId="50DB9002">
            <w:pPr>
              <w:spacing w:before="68" w:line="218" w:lineRule="auto"/>
              <w:jc w:val="center"/>
              <w:rPr>
                <w:rFonts w:hint="eastAsia" w:ascii="宋体" w:hAnsi="宋体" w:eastAsia="宋体"/>
                <w:color w:val="auto"/>
                <w:spacing w:val="-2"/>
                <w:highlight w:val="none"/>
              </w:rPr>
            </w:pPr>
            <w:r>
              <w:rPr>
                <w:rFonts w:ascii="宋体" w:hAnsi="宋体" w:eastAsia="宋体"/>
                <w:color w:val="auto"/>
                <w:spacing w:val="-2"/>
                <w:highlight w:val="none"/>
              </w:rPr>
              <w:t>需要补充的其他内</w:t>
            </w:r>
            <w:r>
              <w:rPr>
                <w:rFonts w:ascii="宋体" w:hAnsi="宋体" w:eastAsia="宋体"/>
                <w:color w:val="auto"/>
                <w:spacing w:val="-1"/>
                <w:highlight w:val="none"/>
              </w:rPr>
              <w:t>容</w:t>
            </w:r>
          </w:p>
        </w:tc>
        <w:tc>
          <w:tcPr>
            <w:tcW w:w="4610" w:type="dxa"/>
            <w:vAlign w:val="center"/>
          </w:tcPr>
          <w:p w14:paraId="34ED6F5E">
            <w:pPr>
              <w:ind w:left="105" w:leftChars="50" w:right="105" w:rightChars="50" w:firstLine="1050" w:firstLineChars="500"/>
              <w:jc w:val="both"/>
              <w:rPr>
                <w:rFonts w:eastAsia="宋体"/>
                <w:color w:val="auto"/>
                <w:highlight w:val="none"/>
              </w:rPr>
            </w:pPr>
            <w:r>
              <w:rPr>
                <w:rFonts w:hint="eastAsia" w:eastAsia="宋体"/>
                <w:color w:val="auto"/>
                <w:highlight w:val="none"/>
              </w:rPr>
              <w:t>/</w:t>
            </w:r>
          </w:p>
        </w:tc>
      </w:tr>
      <w:tr w14:paraId="02338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169" w:type="dxa"/>
            <w:vAlign w:val="center"/>
          </w:tcPr>
          <w:p w14:paraId="63DF71B1">
            <w:pPr>
              <w:spacing w:line="360" w:lineRule="auto"/>
              <w:jc w:val="center"/>
              <w:rPr>
                <w:rFonts w:ascii="Times New Roman" w:hAnsi="Times New Roman" w:eastAsia="宋体"/>
                <w:color w:val="auto"/>
                <w:spacing w:val="-7"/>
                <w:highlight w:val="none"/>
              </w:rPr>
            </w:pPr>
            <w:r>
              <w:rPr>
                <w:rFonts w:hint="eastAsia" w:ascii="Times New Roman" w:hAnsi="Times New Roman" w:eastAsia="宋体"/>
                <w:color w:val="auto"/>
                <w:spacing w:val="-7"/>
                <w:highlight w:val="none"/>
              </w:rPr>
              <w:t>11.1</w:t>
            </w:r>
          </w:p>
        </w:tc>
        <w:tc>
          <w:tcPr>
            <w:tcW w:w="3547" w:type="dxa"/>
            <w:vAlign w:val="center"/>
          </w:tcPr>
          <w:p w14:paraId="721E2A91">
            <w:pPr>
              <w:spacing w:line="360" w:lineRule="auto"/>
              <w:jc w:val="center"/>
              <w:rPr>
                <w:rFonts w:ascii="宋体" w:hAnsi="宋体"/>
                <w:color w:val="auto"/>
                <w:highlight w:val="none"/>
              </w:rPr>
            </w:pPr>
            <w:r>
              <w:rPr>
                <w:rFonts w:hint="eastAsia" w:ascii="宋体" w:hAnsi="宋体"/>
                <w:color w:val="auto"/>
                <w:highlight w:val="none"/>
              </w:rPr>
              <w:t>交易服务费</w:t>
            </w:r>
          </w:p>
        </w:tc>
        <w:tc>
          <w:tcPr>
            <w:tcW w:w="4610" w:type="dxa"/>
            <w:vAlign w:val="center"/>
          </w:tcPr>
          <w:p w14:paraId="22E1DDAC">
            <w:pPr>
              <w:spacing w:line="360" w:lineRule="auto"/>
              <w:ind w:left="105" w:leftChars="50" w:right="105" w:rightChars="50"/>
              <w:rPr>
                <w:rFonts w:ascii="宋体" w:hAnsi="宋体"/>
                <w:color w:val="auto"/>
                <w:highlight w:val="none"/>
              </w:rPr>
            </w:pPr>
            <w:r>
              <w:rPr>
                <w:rFonts w:hint="eastAsia" w:ascii="宋体" w:hAnsi="宋体"/>
                <w:color w:val="auto"/>
                <w:highlight w:val="none"/>
              </w:rPr>
              <w:t>交易服务费：中标人代缴广州公共资源交易中心交易服务费，其费用包含在中标人报价中，由广州公共资源交易中心向中标人开具发票。</w:t>
            </w:r>
          </w:p>
        </w:tc>
      </w:tr>
      <w:tr w14:paraId="2D715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169" w:type="dxa"/>
            <w:vAlign w:val="center"/>
          </w:tcPr>
          <w:p w14:paraId="183549C7">
            <w:pPr>
              <w:spacing w:line="360" w:lineRule="auto"/>
              <w:jc w:val="center"/>
              <w:rPr>
                <w:rFonts w:hint="eastAsia" w:ascii="Times New Roman" w:hAnsi="Times New Roman" w:eastAsia="宋体"/>
                <w:color w:val="auto"/>
                <w:spacing w:val="-7"/>
                <w:highlight w:val="none"/>
                <w:lang w:eastAsia="zh-CN"/>
              </w:rPr>
            </w:pPr>
            <w:r>
              <w:rPr>
                <w:rFonts w:hint="eastAsia" w:ascii="Times New Roman" w:hAnsi="Times New Roman" w:eastAsia="宋体"/>
                <w:color w:val="auto"/>
                <w:spacing w:val="-7"/>
                <w:highlight w:val="none"/>
              </w:rPr>
              <w:t>11.</w:t>
            </w:r>
            <w:r>
              <w:rPr>
                <w:rFonts w:hint="eastAsia" w:ascii="Times New Roman" w:hAnsi="Times New Roman" w:eastAsia="宋体"/>
                <w:color w:val="auto"/>
                <w:spacing w:val="-7"/>
                <w:highlight w:val="none"/>
                <w:lang w:val="en-US" w:eastAsia="zh-CN"/>
              </w:rPr>
              <w:t>2</w:t>
            </w:r>
          </w:p>
        </w:tc>
        <w:tc>
          <w:tcPr>
            <w:tcW w:w="3547" w:type="dxa"/>
            <w:vAlign w:val="center"/>
          </w:tcPr>
          <w:p w14:paraId="612EF6B5">
            <w:pPr>
              <w:spacing w:line="360" w:lineRule="auto"/>
              <w:jc w:val="center"/>
              <w:rPr>
                <w:rFonts w:ascii="宋体" w:hAnsi="宋体"/>
                <w:color w:val="auto"/>
                <w:highlight w:val="none"/>
              </w:rPr>
            </w:pPr>
            <w:r>
              <w:rPr>
                <w:rFonts w:hint="eastAsia" w:ascii="宋体" w:hAnsi="宋体"/>
                <w:color w:val="auto"/>
                <w:highlight w:val="none"/>
              </w:rPr>
              <w:t>招标失败的情形</w:t>
            </w:r>
          </w:p>
        </w:tc>
        <w:tc>
          <w:tcPr>
            <w:tcW w:w="4610" w:type="dxa"/>
            <w:vAlign w:val="center"/>
          </w:tcPr>
          <w:p w14:paraId="1E33EFF8">
            <w:pPr>
              <w:spacing w:line="360" w:lineRule="auto"/>
              <w:ind w:left="105" w:leftChars="50" w:right="105" w:rightChars="50"/>
              <w:rPr>
                <w:rFonts w:ascii="宋体" w:hAnsi="宋体"/>
                <w:color w:val="auto"/>
                <w:highlight w:val="none"/>
              </w:rPr>
            </w:pPr>
            <w:r>
              <w:rPr>
                <w:rFonts w:hint="eastAsia" w:ascii="宋体" w:hAnsi="宋体"/>
                <w:color w:val="auto"/>
                <w:highlight w:val="none"/>
              </w:rPr>
              <w:t>本项目采用资格后审方式，满足资格审查合格条件或通过初步评审的投标申请人不足3名时为招标失败。招标人分析招标失败原因，修正招标方案，报有关管理部门核准后，重新组织招标。</w:t>
            </w:r>
          </w:p>
        </w:tc>
      </w:tr>
      <w:tr w14:paraId="314C0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169" w:type="dxa"/>
            <w:vAlign w:val="center"/>
          </w:tcPr>
          <w:p w14:paraId="2DC9500D">
            <w:pPr>
              <w:spacing w:line="360" w:lineRule="auto"/>
              <w:jc w:val="center"/>
              <w:rPr>
                <w:rFonts w:hint="eastAsia" w:ascii="Times New Roman" w:hAnsi="Times New Roman" w:eastAsia="宋体"/>
                <w:color w:val="auto"/>
                <w:spacing w:val="-7"/>
                <w:highlight w:val="none"/>
                <w:lang w:eastAsia="zh-CN"/>
              </w:rPr>
            </w:pPr>
            <w:r>
              <w:rPr>
                <w:rFonts w:hint="eastAsia" w:ascii="Times New Roman" w:hAnsi="Times New Roman" w:eastAsia="宋体"/>
                <w:color w:val="auto"/>
                <w:spacing w:val="-7"/>
                <w:highlight w:val="none"/>
              </w:rPr>
              <w:t>11.</w:t>
            </w:r>
            <w:r>
              <w:rPr>
                <w:rFonts w:hint="eastAsia" w:ascii="Times New Roman" w:hAnsi="Times New Roman" w:eastAsia="宋体"/>
                <w:color w:val="auto"/>
                <w:spacing w:val="-7"/>
                <w:highlight w:val="none"/>
                <w:lang w:val="en-US" w:eastAsia="zh-CN"/>
              </w:rPr>
              <w:t>3</w:t>
            </w:r>
          </w:p>
        </w:tc>
        <w:tc>
          <w:tcPr>
            <w:tcW w:w="3547" w:type="dxa"/>
            <w:vAlign w:val="center"/>
          </w:tcPr>
          <w:p w14:paraId="2703AA60">
            <w:pPr>
              <w:spacing w:line="360" w:lineRule="auto"/>
              <w:jc w:val="center"/>
              <w:rPr>
                <w:rFonts w:ascii="宋体" w:hAnsi="宋体"/>
                <w:color w:val="auto"/>
                <w:highlight w:val="none"/>
              </w:rPr>
            </w:pPr>
            <w:r>
              <w:rPr>
                <w:rFonts w:hint="eastAsia" w:ascii="宋体" w:hAnsi="宋体"/>
                <w:color w:val="auto"/>
                <w:highlight w:val="none"/>
              </w:rPr>
              <w:t>补交纸质投标文件</w:t>
            </w:r>
          </w:p>
        </w:tc>
        <w:tc>
          <w:tcPr>
            <w:tcW w:w="4610" w:type="dxa"/>
            <w:vAlign w:val="center"/>
          </w:tcPr>
          <w:p w14:paraId="1F136B02">
            <w:pPr>
              <w:spacing w:line="360" w:lineRule="auto"/>
              <w:ind w:left="105" w:leftChars="50" w:right="105" w:rightChars="50"/>
              <w:rPr>
                <w:rFonts w:ascii="宋体" w:hAnsi="宋体"/>
                <w:color w:val="auto"/>
                <w:highlight w:val="none"/>
                <w:u w:val="single"/>
              </w:rPr>
            </w:pPr>
            <w:r>
              <w:rPr>
                <w:rFonts w:hint="eastAsia" w:ascii="宋体" w:hAnsi="宋体"/>
                <w:color w:val="auto"/>
                <w:highlight w:val="none"/>
                <w:u w:val="single"/>
              </w:rPr>
              <w:t>中标单位领取中标通知书前，中标人需向招标人提交与上传至广州公共资源中心交易平台的电子投标文件内容一致的纸质文件（1正</w:t>
            </w:r>
            <w:r>
              <w:rPr>
                <w:rFonts w:hint="eastAsia" w:ascii="宋体" w:hAnsi="宋体" w:eastAsia="宋体"/>
                <w:color w:val="auto"/>
                <w:highlight w:val="none"/>
                <w:u w:val="single"/>
              </w:rPr>
              <w:t>2</w:t>
            </w:r>
            <w:r>
              <w:rPr>
                <w:rFonts w:hint="eastAsia" w:ascii="宋体" w:hAnsi="宋体"/>
                <w:color w:val="auto"/>
                <w:highlight w:val="none"/>
                <w:u w:val="single"/>
              </w:rPr>
              <w:t>副）及电子光盘</w:t>
            </w:r>
            <w:r>
              <w:rPr>
                <w:rFonts w:hint="eastAsia" w:ascii="宋体" w:hAnsi="宋体" w:eastAsia="宋体"/>
                <w:color w:val="auto"/>
                <w:highlight w:val="none"/>
                <w:u w:val="single"/>
              </w:rPr>
              <w:t>1</w:t>
            </w:r>
            <w:r>
              <w:rPr>
                <w:rFonts w:hint="eastAsia" w:ascii="宋体" w:hAnsi="宋体"/>
                <w:color w:val="auto"/>
                <w:highlight w:val="none"/>
                <w:u w:val="single"/>
              </w:rPr>
              <w:t>张（提交传至广州公共资源中心交易平台的电子</w:t>
            </w:r>
            <w:r>
              <w:rPr>
                <w:rFonts w:hint="eastAsia" w:ascii="宋体" w:hAnsi="宋体" w:eastAsia="宋体"/>
                <w:color w:val="auto"/>
                <w:highlight w:val="none"/>
                <w:u w:val="single"/>
              </w:rPr>
              <w:t>文件一致的文件</w:t>
            </w:r>
            <w:r>
              <w:rPr>
                <w:rFonts w:hint="eastAsia" w:ascii="宋体" w:hAnsi="宋体"/>
                <w:color w:val="auto"/>
                <w:highlight w:val="none"/>
                <w:u w:val="single"/>
              </w:rPr>
              <w:t>）。</w:t>
            </w:r>
          </w:p>
        </w:tc>
      </w:tr>
      <w:tr w14:paraId="16144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169" w:type="dxa"/>
            <w:shd w:val="clear" w:color="auto" w:fill="auto"/>
            <w:vAlign w:val="center"/>
          </w:tcPr>
          <w:p w14:paraId="32E8F30E">
            <w:pPr>
              <w:spacing w:before="0" w:line="240" w:lineRule="auto"/>
              <w:ind w:left="0" w:leftChars="0"/>
              <w:jc w:val="center"/>
              <w:rPr>
                <w:rFonts w:hint="eastAsia" w:ascii="Times New Roman" w:hAnsi="Times New Roman" w:eastAsia="Times New Roman" w:cs="Times New Roman"/>
                <w:color w:val="auto"/>
                <w:spacing w:val="-7"/>
                <w:sz w:val="21"/>
                <w:szCs w:val="21"/>
                <w:highlight w:val="none"/>
                <w:lang w:val="en-US" w:eastAsia="zh-CN" w:bidi="ar-SA"/>
              </w:rPr>
            </w:pPr>
            <w:r>
              <w:rPr>
                <w:rFonts w:hint="default" w:ascii="Times New Roman" w:hAnsi="Times New Roman" w:eastAsia="Arial" w:cs="Times New Roman"/>
                <w:color w:val="auto"/>
                <w:spacing w:val="0"/>
                <w:sz w:val="21"/>
                <w:szCs w:val="21"/>
                <w:highlight w:val="none"/>
                <w:u w:val="single"/>
                <w:lang w:val="en-US" w:eastAsia="zh-CN"/>
              </w:rPr>
              <w:t>1</w:t>
            </w:r>
            <w:r>
              <w:rPr>
                <w:rFonts w:hint="eastAsia" w:ascii="Times New Roman" w:hAnsi="Times New Roman" w:cs="Times New Roman"/>
                <w:color w:val="auto"/>
                <w:spacing w:val="0"/>
                <w:sz w:val="21"/>
                <w:szCs w:val="21"/>
                <w:highlight w:val="none"/>
                <w:u w:val="single"/>
                <w:lang w:val="en-US" w:eastAsia="zh-CN"/>
              </w:rPr>
              <w:t>1</w:t>
            </w:r>
            <w:r>
              <w:rPr>
                <w:rFonts w:hint="default" w:ascii="Times New Roman" w:hAnsi="Times New Roman" w:eastAsia="Arial" w:cs="Times New Roman"/>
                <w:color w:val="auto"/>
                <w:spacing w:val="0"/>
                <w:sz w:val="21"/>
                <w:szCs w:val="21"/>
                <w:highlight w:val="none"/>
                <w:u w:val="single"/>
                <w:lang w:val="en-US" w:eastAsia="zh-CN"/>
              </w:rPr>
              <w:t>.</w:t>
            </w:r>
            <w:r>
              <w:rPr>
                <w:rFonts w:hint="eastAsia" w:ascii="Times New Roman" w:hAnsi="Times New Roman" w:cs="Times New Roman"/>
                <w:color w:val="auto"/>
                <w:spacing w:val="0"/>
                <w:sz w:val="21"/>
                <w:szCs w:val="21"/>
                <w:highlight w:val="none"/>
                <w:u w:val="single"/>
                <w:lang w:val="en-US" w:eastAsia="zh-CN"/>
              </w:rPr>
              <w:t>4</w:t>
            </w:r>
          </w:p>
        </w:tc>
        <w:tc>
          <w:tcPr>
            <w:tcW w:w="3547" w:type="dxa"/>
            <w:shd w:val="clear" w:color="auto" w:fill="auto"/>
            <w:vAlign w:val="center"/>
          </w:tcPr>
          <w:p w14:paraId="3F593F62">
            <w:pPr>
              <w:pStyle w:val="75"/>
              <w:jc w:val="center"/>
              <w:rPr>
                <w:rFonts w:hint="eastAsia" w:ascii="宋体" w:hAnsi="宋体" w:eastAsia="宋体" w:cs="宋体"/>
                <w:b w:val="0"/>
                <w:bCs w:val="0"/>
                <w:color w:val="auto"/>
                <w:spacing w:val="-2"/>
                <w:sz w:val="21"/>
                <w:szCs w:val="21"/>
                <w:highlight w:val="none"/>
                <w:lang w:val="en-US" w:eastAsia="zh-Hans"/>
              </w:rPr>
            </w:pPr>
            <w:r>
              <w:rPr>
                <w:rFonts w:asciiTheme="minorEastAsia" w:hAnsiTheme="minorEastAsia" w:eastAsiaTheme="minorEastAsia" w:cstheme="minorEastAsia"/>
                <w:b w:val="0"/>
                <w:bCs w:val="0"/>
                <w:color w:val="000000" w:themeColor="text1"/>
                <w:kern w:val="2"/>
                <w:sz w:val="21"/>
                <w:szCs w:val="21"/>
                <w:highlight w:val="none"/>
                <w:lang w:eastAsia="zh-CN" w:bidi="ar-SA"/>
                <w14:textFill>
                  <w14:solidFill>
                    <w14:schemeClr w14:val="tx1"/>
                  </w14:solidFill>
                </w14:textFill>
              </w:rPr>
              <w:t>关于中小微企业</w:t>
            </w:r>
            <w:r>
              <w:rPr>
                <w:rFonts w:hint="eastAsia" w:asciiTheme="minorEastAsia" w:hAnsiTheme="minorEastAsia" w:eastAsiaTheme="minorEastAsia" w:cstheme="minorEastAsia"/>
                <w:b w:val="0"/>
                <w:bCs w:val="0"/>
                <w:color w:val="000000" w:themeColor="text1"/>
                <w:kern w:val="2"/>
                <w:sz w:val="21"/>
                <w:szCs w:val="21"/>
                <w:highlight w:val="none"/>
                <w:lang w:val="en-US" w:eastAsia="zh-CN" w:bidi="ar-SA"/>
                <w14:textFill>
                  <w14:solidFill>
                    <w14:schemeClr w14:val="tx1"/>
                  </w14:solidFill>
                </w14:textFill>
              </w:rPr>
              <w:t>说明</w:t>
            </w:r>
          </w:p>
        </w:tc>
        <w:tc>
          <w:tcPr>
            <w:tcW w:w="4610" w:type="dxa"/>
            <w:shd w:val="clear" w:color="auto" w:fill="auto"/>
            <w:vAlign w:val="center"/>
          </w:tcPr>
          <w:p w14:paraId="47C6C677">
            <w:pPr>
              <w:autoSpaceDE w:val="0"/>
              <w:autoSpaceDN w:val="0"/>
              <w:adjustRightInd w:val="0"/>
              <w:spacing w:line="240" w:lineRule="auto"/>
              <w:jc w:val="left"/>
              <w:rPr>
                <w:rFonts w:hint="eastAsia" w:asciiTheme="minorEastAsia" w:hAnsiTheme="minorEastAsia" w:cstheme="minorEastAsia"/>
                <w:b w:val="0"/>
                <w:bCs w:val="0"/>
                <w:color w:val="000000" w:themeColor="text1"/>
                <w:kern w:val="2"/>
                <w:sz w:val="21"/>
                <w:szCs w:val="21"/>
                <w:highlight w:val="none"/>
                <w:u w:val="single"/>
                <w:lang w:eastAsia="zh-CN" w:bidi="ar-SA"/>
                <w14:textFill>
                  <w14:solidFill>
                    <w14:schemeClr w14:val="tx1"/>
                  </w14:solidFill>
                </w14:textFill>
              </w:rPr>
            </w:pPr>
            <w:r>
              <w:rPr>
                <w:rFonts w:hint="eastAsia" w:asciiTheme="minorEastAsia" w:hAnsiTheme="minorEastAsia" w:cstheme="minorEastAsia"/>
                <w:b w:val="0"/>
                <w:bCs w:val="0"/>
                <w:color w:val="000000" w:themeColor="text1"/>
                <w:kern w:val="2"/>
                <w:sz w:val="21"/>
                <w:szCs w:val="21"/>
                <w:highlight w:val="none"/>
                <w:u w:val="single"/>
                <w:lang w:eastAsia="zh-CN" w:bidi="ar-SA"/>
                <w14:textFill>
                  <w14:solidFill>
                    <w14:schemeClr w14:val="tx1"/>
                  </w14:solidFill>
                </w14:textFill>
              </w:rPr>
              <w:t>本招标项目属于</w:t>
            </w:r>
            <w:r>
              <w:rPr>
                <w:rFonts w:hint="eastAsia" w:asciiTheme="minorEastAsia" w:hAnsiTheme="minorEastAsia" w:cstheme="minorEastAsia"/>
                <w:b w:val="0"/>
                <w:bCs w:val="0"/>
                <w:color w:val="000000" w:themeColor="text1"/>
                <w:kern w:val="2"/>
                <w:sz w:val="21"/>
                <w:szCs w:val="21"/>
                <w:highlight w:val="none"/>
                <w:u w:val="single"/>
                <w:lang w:val="en-US" w:eastAsia="zh-CN" w:bidi="ar-SA"/>
                <w14:textFill>
                  <w14:solidFill>
                    <w14:schemeClr w14:val="tx1"/>
                  </w14:solidFill>
                </w14:textFill>
              </w:rPr>
              <w:t>其他未列明行业</w:t>
            </w:r>
            <w:r>
              <w:rPr>
                <w:rFonts w:hint="eastAsia" w:asciiTheme="minorEastAsia" w:hAnsiTheme="minorEastAsia" w:cstheme="minorEastAsia"/>
                <w:b w:val="0"/>
                <w:bCs w:val="0"/>
                <w:color w:val="000000" w:themeColor="text1"/>
                <w:kern w:val="2"/>
                <w:sz w:val="21"/>
                <w:szCs w:val="21"/>
                <w:highlight w:val="none"/>
                <w:u w:val="single"/>
                <w:lang w:eastAsia="zh-CN" w:bidi="ar-SA"/>
                <w14:textFill>
                  <w14:solidFill>
                    <w14:schemeClr w14:val="tx1"/>
                  </w14:solidFill>
                </w14:textFill>
              </w:rPr>
              <w:t>。</w:t>
            </w:r>
          </w:p>
          <w:p w14:paraId="60477A7A">
            <w:pPr>
              <w:autoSpaceDE w:val="0"/>
              <w:autoSpaceDN w:val="0"/>
              <w:adjustRightInd w:val="0"/>
              <w:spacing w:line="240" w:lineRule="auto"/>
              <w:jc w:val="left"/>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u w:val="single"/>
                <w:lang w:val="en-US" w:eastAsia="zh-CN"/>
              </w:rPr>
              <w:t>投标报价</w:t>
            </w:r>
            <w:r>
              <w:rPr>
                <w:rFonts w:hint="eastAsia" w:ascii="宋体" w:hAnsi="宋体" w:eastAsia="宋体" w:cs="宋体"/>
                <w:b w:val="0"/>
                <w:bCs w:val="0"/>
                <w:color w:val="auto"/>
                <w:sz w:val="21"/>
                <w:szCs w:val="21"/>
                <w:highlight w:val="none"/>
                <w:u w:val="single"/>
                <w:lang w:val="en-US"/>
              </w:rPr>
              <w:t>评审优惠政策</w:t>
            </w:r>
          </w:p>
          <w:p w14:paraId="2E8EE594">
            <w:pPr>
              <w:autoSpaceDE w:val="0"/>
              <w:autoSpaceDN w:val="0"/>
              <w:adjustRightInd w:val="0"/>
              <w:spacing w:line="240" w:lineRule="auto"/>
              <w:ind w:firstLine="0" w:firstLineChars="0"/>
              <w:jc w:val="left"/>
              <w:rPr>
                <w:rFonts w:hint="eastAsia" w:ascii="宋体" w:hAnsi="宋体" w:eastAsia="宋体" w:cs="宋体"/>
                <w:b w:val="0"/>
                <w:bCs w:val="0"/>
                <w:color w:val="auto"/>
                <w:sz w:val="21"/>
                <w:szCs w:val="21"/>
                <w:highlight w:val="none"/>
                <w:u w:val="single"/>
                <w:lang w:val="en-US" w:eastAsia="zh-CN"/>
              </w:rPr>
            </w:pPr>
            <w:r>
              <w:rPr>
                <w:rFonts w:hint="eastAsia" w:asciiTheme="minorEastAsia" w:hAnsiTheme="minorEastAsia" w:eastAsiaTheme="minorEastAsia" w:cstheme="minorEastAsia"/>
                <w:color w:val="auto"/>
                <w:spacing w:val="-12"/>
                <w:sz w:val="31"/>
                <w:szCs w:val="31"/>
                <w:highlight w:val="none"/>
                <w:lang w:eastAsia="zh-CN"/>
              </w:rPr>
              <w:t>□</w:t>
            </w:r>
            <w:r>
              <w:rPr>
                <w:rFonts w:hint="eastAsia" w:ascii="宋体" w:hAnsi="宋体" w:eastAsia="宋体" w:cs="宋体"/>
                <w:b w:val="0"/>
                <w:bCs w:val="0"/>
                <w:color w:val="auto"/>
                <w:sz w:val="21"/>
                <w:szCs w:val="21"/>
                <w:highlight w:val="none"/>
                <w:u w:val="single"/>
                <w:lang w:val="en-US"/>
              </w:rPr>
              <w:t>本招标项目不执行投标报价评审优惠政策</w:t>
            </w:r>
          </w:p>
          <w:p w14:paraId="13461D6B">
            <w:pPr>
              <w:autoSpaceDE w:val="0"/>
              <w:autoSpaceDN w:val="0"/>
              <w:adjustRightInd w:val="0"/>
              <w:spacing w:line="240" w:lineRule="auto"/>
              <w:ind w:firstLine="0" w:firstLineChars="0"/>
              <w:jc w:val="left"/>
              <w:rPr>
                <w:rFonts w:hint="eastAsia" w:ascii="宋体" w:hAnsi="宋体" w:eastAsia="宋体" w:cs="宋体"/>
                <w:b w:val="0"/>
                <w:bCs w:val="0"/>
                <w:color w:val="auto"/>
                <w:sz w:val="21"/>
                <w:szCs w:val="21"/>
                <w:highlight w:val="none"/>
                <w:u w:val="single"/>
                <w:lang w:val="en-US"/>
              </w:rPr>
            </w:pPr>
            <w:r>
              <w:rPr>
                <w:rFonts w:hint="eastAsia" w:ascii="仿宋" w:hAnsi="仿宋" w:eastAsia="仿宋" w:cs="仿宋"/>
                <w:b/>
                <w:color w:val="auto"/>
                <w:sz w:val="28"/>
                <w:szCs w:val="21"/>
                <w:highlight w:val="none"/>
              </w:rPr>
              <w:t>■</w:t>
            </w:r>
            <w:r>
              <w:rPr>
                <w:rFonts w:hint="eastAsia" w:ascii="宋体" w:hAnsi="宋体" w:eastAsia="宋体" w:cs="宋体"/>
                <w:b w:val="0"/>
                <w:bCs w:val="0"/>
                <w:color w:val="auto"/>
                <w:sz w:val="21"/>
                <w:szCs w:val="21"/>
                <w:highlight w:val="none"/>
                <w:u w:val="single"/>
                <w:lang w:val="en-US"/>
              </w:rPr>
              <w:t>本招标项目执行投标报价评审优惠政策</w:t>
            </w:r>
          </w:p>
          <w:p w14:paraId="433F6F97">
            <w:pPr>
              <w:autoSpaceDE w:val="0"/>
              <w:autoSpaceDN w:val="0"/>
              <w:adjustRightInd w:val="0"/>
              <w:spacing w:line="240" w:lineRule="auto"/>
              <w:ind w:firstLine="0" w:firstLineChars="0"/>
              <w:jc w:val="left"/>
              <w:rPr>
                <w:rFonts w:hint="eastAsia" w:ascii="宋体" w:hAnsi="宋体" w:eastAsia="宋体" w:cs="宋体"/>
                <w:b w:val="0"/>
                <w:bCs w:val="0"/>
                <w:color w:val="auto"/>
                <w:sz w:val="21"/>
                <w:szCs w:val="21"/>
                <w:highlight w:val="none"/>
                <w:u w:val="single"/>
                <w:lang w:val="en-US"/>
              </w:rPr>
            </w:pPr>
            <w:r>
              <w:rPr>
                <w:rFonts w:hint="eastAsia" w:ascii="宋体" w:hAnsi="宋体" w:eastAsia="宋体" w:cs="宋体"/>
                <w:b w:val="0"/>
                <w:bCs w:val="0"/>
                <w:color w:val="auto"/>
                <w:sz w:val="21"/>
                <w:szCs w:val="21"/>
                <w:highlight w:val="none"/>
                <w:u w:val="single"/>
                <w:lang w:val="en-US"/>
              </w:rPr>
              <w:t>注：</w:t>
            </w:r>
            <w:r>
              <w:rPr>
                <w:rFonts w:hint="eastAsia" w:ascii="宋体" w:hAnsi="宋体" w:eastAsia="宋体" w:cs="宋体"/>
                <w:b w:val="0"/>
                <w:bCs w:val="0"/>
                <w:color w:val="auto"/>
                <w:sz w:val="21"/>
                <w:szCs w:val="21"/>
                <w:highlight w:val="none"/>
                <w:u w:val="single"/>
                <w:lang w:val="en-US" w:eastAsia="zh-CN"/>
              </w:rPr>
              <w:t>（1）</w:t>
            </w:r>
            <w:r>
              <w:rPr>
                <w:rFonts w:hint="eastAsia" w:ascii="宋体" w:hAnsi="宋体" w:eastAsia="宋体" w:cs="宋体"/>
                <w:b w:val="0"/>
                <w:bCs w:val="0"/>
                <w:color w:val="auto"/>
                <w:sz w:val="21"/>
                <w:szCs w:val="21"/>
                <w:highlight w:val="none"/>
                <w:u w:val="single"/>
                <w:lang w:val="en-US"/>
              </w:rPr>
              <w:t>符合投标报价评审优惠政策条件的，应当执行该政策；不符合投标报价评审优惠政策条件的，不得执行该政策。</w:t>
            </w:r>
          </w:p>
          <w:p w14:paraId="29929F62">
            <w:pPr>
              <w:autoSpaceDE w:val="0"/>
              <w:autoSpaceDN w:val="0"/>
              <w:adjustRightInd w:val="0"/>
              <w:spacing w:line="240" w:lineRule="auto"/>
              <w:ind w:firstLine="0" w:firstLineChars="0"/>
              <w:jc w:val="left"/>
              <w:rPr>
                <w:rFonts w:hint="eastAsia" w:ascii="宋体" w:hAnsi="宋体" w:eastAsia="宋体" w:cs="宋体"/>
                <w:b w:val="0"/>
                <w:bCs w:val="0"/>
                <w:color w:val="auto"/>
                <w:sz w:val="21"/>
                <w:szCs w:val="21"/>
                <w:highlight w:val="none"/>
                <w:u w:val="single"/>
                <w:lang w:val="en-US"/>
              </w:rPr>
            </w:pPr>
            <w:r>
              <w:rPr>
                <w:rFonts w:hint="eastAsia" w:ascii="宋体" w:hAnsi="宋体" w:eastAsia="宋体" w:cs="宋体"/>
                <w:b w:val="0"/>
                <w:bCs w:val="0"/>
                <w:color w:val="auto"/>
                <w:sz w:val="21"/>
                <w:szCs w:val="21"/>
                <w:highlight w:val="none"/>
                <w:u w:val="single"/>
                <w:lang w:val="en-US" w:eastAsia="zh-CN"/>
              </w:rPr>
              <w:t>（2）</w:t>
            </w:r>
            <w:r>
              <w:rPr>
                <w:rFonts w:hint="eastAsia" w:ascii="宋体" w:hAnsi="宋体" w:eastAsia="宋体" w:cs="宋体"/>
                <w:b w:val="0"/>
                <w:bCs w:val="0"/>
                <w:color w:val="auto"/>
                <w:sz w:val="21"/>
                <w:szCs w:val="21"/>
                <w:highlight w:val="none"/>
                <w:u w:val="single"/>
                <w:lang w:val="en-US"/>
              </w:rPr>
              <w:t>财政性资金是指纳入预算管理的资金，以财政性资金作为还款来源的借贷资金，视同财政性资金。</w:t>
            </w:r>
          </w:p>
          <w:p w14:paraId="4CFDB735">
            <w:pPr>
              <w:autoSpaceDE w:val="0"/>
              <w:autoSpaceDN w:val="0"/>
              <w:adjustRightInd w:val="0"/>
              <w:spacing w:line="240" w:lineRule="auto"/>
              <w:ind w:firstLine="0" w:firstLineChars="0"/>
              <w:jc w:val="left"/>
              <w:rPr>
                <w:rFonts w:hint="eastAsia" w:ascii="宋体" w:hAnsi="宋体" w:eastAsia="宋体" w:cs="宋体"/>
                <w:b w:val="0"/>
                <w:bCs w:val="0"/>
                <w:strike w:val="0"/>
                <w:color w:val="auto"/>
                <w:sz w:val="21"/>
                <w:szCs w:val="21"/>
                <w:highlight w:val="none"/>
                <w:u w:val="single"/>
                <w:lang w:val="en-US"/>
              </w:rPr>
            </w:pPr>
            <w:r>
              <w:rPr>
                <w:rFonts w:hint="eastAsia" w:ascii="宋体" w:hAnsi="宋体" w:eastAsia="宋体" w:cs="宋体"/>
                <w:b w:val="0"/>
                <w:bCs w:val="0"/>
                <w:strike w:val="0"/>
                <w:color w:val="auto"/>
                <w:sz w:val="21"/>
                <w:szCs w:val="21"/>
                <w:highlight w:val="none"/>
                <w:u w:val="single"/>
                <w:lang w:val="en-US" w:eastAsia="zh-CN"/>
              </w:rPr>
              <w:t>（3）</w:t>
            </w:r>
            <w:r>
              <w:rPr>
                <w:rFonts w:hint="eastAsia" w:ascii="宋体" w:hAnsi="宋体" w:eastAsia="宋体" w:cs="宋体"/>
                <w:b w:val="0"/>
                <w:bCs w:val="0"/>
                <w:strike w:val="0"/>
                <w:color w:val="auto"/>
                <w:sz w:val="21"/>
                <w:szCs w:val="21"/>
                <w:highlight w:val="none"/>
                <w:u w:val="single"/>
                <w:lang w:val="en-US"/>
              </w:rPr>
              <w:t>若本招标项目执行投标报价评审优惠政策，当投标人为大中型企业与小微企业组成联合体，联合协议约定小微企业的合同份额占到合同总金额30%以上，应附联合</w:t>
            </w:r>
            <w:r>
              <w:rPr>
                <w:rFonts w:hint="eastAsia" w:ascii="宋体" w:hAnsi="宋体" w:eastAsia="宋体" w:cs="宋体"/>
                <w:b w:val="0"/>
                <w:bCs w:val="0"/>
                <w:strike w:val="0"/>
                <w:color w:val="auto"/>
                <w:sz w:val="21"/>
                <w:szCs w:val="21"/>
                <w:highlight w:val="none"/>
                <w:u w:val="single"/>
                <w:lang w:val="en-US" w:eastAsia="zh-CN"/>
              </w:rPr>
              <w:t>体</w:t>
            </w:r>
            <w:r>
              <w:rPr>
                <w:rFonts w:hint="eastAsia" w:ascii="宋体" w:hAnsi="宋体" w:eastAsia="宋体" w:cs="宋体"/>
                <w:b w:val="0"/>
                <w:bCs w:val="0"/>
                <w:strike w:val="0"/>
                <w:color w:val="auto"/>
                <w:sz w:val="21"/>
                <w:szCs w:val="21"/>
                <w:highlight w:val="none"/>
                <w:u w:val="single"/>
                <w:lang w:val="en-US"/>
              </w:rPr>
              <w:t>协议书</w:t>
            </w:r>
            <w:r>
              <w:rPr>
                <w:rFonts w:hint="eastAsia" w:ascii="宋体" w:hAnsi="宋体" w:eastAsia="宋体" w:cs="宋体"/>
                <w:b w:val="0"/>
                <w:bCs w:val="0"/>
                <w:color w:val="auto"/>
                <w:sz w:val="21"/>
                <w:szCs w:val="21"/>
                <w:highlight w:val="none"/>
                <w:u w:val="single"/>
                <w:lang w:val="en-US"/>
              </w:rPr>
              <w:t>（格式详见投标文件格式）</w:t>
            </w:r>
            <w:r>
              <w:rPr>
                <w:rFonts w:hint="eastAsia" w:ascii="宋体" w:hAnsi="宋体" w:eastAsia="宋体" w:cs="宋体"/>
                <w:b w:val="0"/>
                <w:bCs w:val="0"/>
                <w:strike w:val="0"/>
                <w:color w:val="auto"/>
                <w:sz w:val="21"/>
                <w:szCs w:val="21"/>
                <w:highlight w:val="none"/>
                <w:u w:val="single"/>
                <w:lang w:val="en-US"/>
              </w:rPr>
              <w:t>对该内容进行明确。</w:t>
            </w:r>
          </w:p>
          <w:p w14:paraId="239B6939">
            <w:pPr>
              <w:autoSpaceDE w:val="0"/>
              <w:autoSpaceDN w:val="0"/>
              <w:adjustRightInd w:val="0"/>
              <w:spacing w:line="240" w:lineRule="auto"/>
              <w:ind w:firstLine="0" w:firstLineChars="0"/>
              <w:jc w:val="left"/>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sz w:val="21"/>
                <w:szCs w:val="21"/>
                <w:highlight w:val="none"/>
                <w:u w:val="single"/>
                <w:lang w:val="en-US" w:eastAsia="zh-CN"/>
              </w:rPr>
              <w:t>☑若</w:t>
            </w:r>
            <w:r>
              <w:rPr>
                <w:rFonts w:hint="eastAsia" w:ascii="宋体" w:hAnsi="宋体" w:eastAsia="宋体" w:cs="宋体"/>
                <w:b w:val="0"/>
                <w:bCs w:val="0"/>
                <w:color w:val="auto"/>
                <w:sz w:val="21"/>
                <w:szCs w:val="21"/>
                <w:highlight w:val="none"/>
                <w:u w:val="single"/>
                <w:lang w:val="en-US"/>
              </w:rPr>
              <w:t>本招标项目执行投标报价评审优惠政策，</w:t>
            </w:r>
            <w:r>
              <w:rPr>
                <w:rFonts w:hint="eastAsia" w:ascii="宋体" w:hAnsi="宋体" w:eastAsia="宋体" w:cs="宋体"/>
                <w:b w:val="0"/>
                <w:bCs w:val="0"/>
                <w:color w:val="auto"/>
                <w:sz w:val="21"/>
                <w:szCs w:val="21"/>
                <w:highlight w:val="none"/>
                <w:u w:val="single"/>
                <w:lang w:val="en-US" w:eastAsia="zh-CN"/>
              </w:rPr>
              <w:t>当</w:t>
            </w:r>
            <w:r>
              <w:rPr>
                <w:rFonts w:hint="eastAsia" w:ascii="宋体" w:hAnsi="宋体" w:eastAsia="宋体" w:cs="宋体"/>
                <w:b w:val="0"/>
                <w:bCs w:val="0"/>
                <w:color w:val="auto"/>
                <w:sz w:val="21"/>
                <w:szCs w:val="21"/>
                <w:highlight w:val="none"/>
                <w:u w:val="single"/>
                <w:lang w:val="en-US"/>
              </w:rPr>
              <w:t>允许大中型企业向一家或者多家小微企业分包，且分包承诺小微企业的合同份额占到合同总金额30%以上的，应附分包意向协议（格式详见投标文件格式）对该内容进行明确。</w:t>
            </w:r>
          </w:p>
          <w:p w14:paraId="66253217">
            <w:pPr>
              <w:autoSpaceDE w:val="0"/>
              <w:autoSpaceDN w:val="0"/>
              <w:adjustRightInd w:val="0"/>
              <w:spacing w:line="240" w:lineRule="auto"/>
              <w:ind w:firstLine="0" w:firstLineChars="0"/>
              <w:jc w:val="left"/>
              <w:rPr>
                <w:rFonts w:hint="eastAsia" w:ascii="宋体" w:hAnsi="宋体" w:eastAsia="宋体" w:cs="宋体"/>
                <w:b w:val="0"/>
                <w:bCs w:val="0"/>
                <w:color w:val="auto"/>
                <w:kern w:val="2"/>
                <w:sz w:val="21"/>
                <w:szCs w:val="21"/>
                <w:highlight w:val="none"/>
                <w:u w:val="single"/>
                <w:lang w:val="en-US" w:eastAsia="zh-CN" w:bidi="ar-SA"/>
              </w:rPr>
            </w:pPr>
          </w:p>
          <w:p w14:paraId="3FAB5409">
            <w:pPr>
              <w:autoSpaceDE w:val="0"/>
              <w:autoSpaceDN w:val="0"/>
              <w:adjustRightInd w:val="0"/>
              <w:spacing w:line="240" w:lineRule="auto"/>
              <w:ind w:firstLine="0" w:firstLineChars="0"/>
              <w:jc w:val="left"/>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kern w:val="2"/>
                <w:sz w:val="21"/>
                <w:szCs w:val="21"/>
                <w:highlight w:val="none"/>
                <w:u w:val="single"/>
                <w:lang w:val="en-US" w:eastAsia="zh-CN" w:bidi="ar-SA"/>
              </w:rPr>
              <w:t>1、根据《广东省政府采购促进中小企业发展实施细则（试行）》（粤财采购〔2022〕10号）、广州市财政局 广州市工业和信息化局转发广东省财政厅 广东省发展和改革委员会 广东省工业和信息化厅 广东省地方金融监督管理局关于印发《广东省政府采购促进中小企业发展实施细则（试行）》的通知穗财采〔2023〕8号要求，对符合《政府采购促进中小企业发展管理办法》（财库〔2020〕46号）的投标人，给予相应的价格评审优惠。</w:t>
            </w:r>
          </w:p>
          <w:p w14:paraId="515A1717">
            <w:pPr>
              <w:autoSpaceDE w:val="0"/>
              <w:autoSpaceDN w:val="0"/>
              <w:adjustRightInd w:val="0"/>
              <w:spacing w:line="240" w:lineRule="auto"/>
              <w:ind w:firstLine="0" w:firstLineChars="0"/>
              <w:jc w:val="left"/>
              <w:rPr>
                <w:rFonts w:hint="eastAsia" w:ascii="宋体" w:hAnsi="宋体" w:eastAsia="宋体" w:cs="宋体"/>
                <w:b w:val="0"/>
                <w:bCs w:val="0"/>
                <w:color w:val="auto"/>
                <w:highlight w:val="none"/>
                <w:u w:val="single"/>
                <w:lang w:val="en-US" w:eastAsia="zh-CN"/>
              </w:rPr>
            </w:pPr>
            <w:r>
              <w:rPr>
                <w:rFonts w:hint="eastAsia" w:ascii="宋体" w:hAnsi="宋体" w:eastAsia="宋体" w:cs="宋体"/>
                <w:b w:val="0"/>
                <w:bCs w:val="0"/>
                <w:color w:val="auto"/>
                <w:kern w:val="2"/>
                <w:sz w:val="21"/>
                <w:szCs w:val="21"/>
                <w:highlight w:val="none"/>
                <w:u w:val="single"/>
                <w:lang w:val="en-US" w:eastAsia="zh-CN" w:bidi="ar-SA"/>
              </w:rPr>
              <w:t>2、本招标项目评标计算投标报价得分时，对小微企业投标的，在采用原报价进行评分的基础上增加其价格得分的5%作为其投标报价得分；</w:t>
            </w:r>
            <w:r>
              <w:rPr>
                <w:rFonts w:hint="eastAsia" w:ascii="宋体" w:hAnsi="宋体" w:eastAsia="宋体" w:cs="宋体"/>
                <w:b w:val="0"/>
                <w:bCs w:val="0"/>
                <w:strike w:val="0"/>
                <w:color w:val="auto"/>
                <w:kern w:val="2"/>
                <w:sz w:val="21"/>
                <w:szCs w:val="21"/>
                <w:highlight w:val="none"/>
                <w:u w:val="single"/>
                <w:lang w:val="en-US" w:eastAsia="zh-CN" w:bidi="ar-SA"/>
              </w:rPr>
              <w:t>对大中型企业与小微企业组成联合体或者允许大中型企业向一家或者多家小微企业分包（联合协议或者分包意向协议约定小微企业的合同份额占到合同总金额30%以上）的，在采用原报价进行评分的基础上增加其价格得分的2</w:t>
            </w:r>
            <w:r>
              <w:rPr>
                <w:rFonts w:hint="eastAsia" w:ascii="宋体" w:hAnsi="宋体" w:eastAsia="宋体" w:cs="宋体"/>
                <w:b w:val="0"/>
                <w:bCs w:val="0"/>
                <w:color w:val="auto"/>
                <w:kern w:val="2"/>
                <w:sz w:val="21"/>
                <w:szCs w:val="21"/>
                <w:highlight w:val="none"/>
                <w:u w:val="single"/>
                <w:lang w:val="en-US" w:eastAsia="zh-CN" w:bidi="ar-SA"/>
              </w:rPr>
              <w:t>%作为其投标报价得分。</w:t>
            </w:r>
            <w:r>
              <w:rPr>
                <w:rFonts w:hint="eastAsia" w:ascii="宋体" w:hAnsi="宋体" w:eastAsia="宋体" w:cs="宋体"/>
                <w:b w:val="0"/>
                <w:bCs w:val="0"/>
                <w:color w:val="auto"/>
                <w:highlight w:val="none"/>
                <w:u w:val="single"/>
                <w:lang w:val="zh-CN" w:eastAsia="zh-CN"/>
              </w:rPr>
              <w:t>若原报价已满分，仍可突破满分上限继续享受加分优惠，以实际计算结果作为最终</w:t>
            </w:r>
            <w:r>
              <w:rPr>
                <w:rFonts w:hint="eastAsia" w:ascii="宋体" w:hAnsi="宋体" w:eastAsia="宋体" w:cs="宋体"/>
                <w:b w:val="0"/>
                <w:bCs w:val="0"/>
                <w:color w:val="auto"/>
                <w:highlight w:val="none"/>
                <w:u w:val="single"/>
                <w:lang w:val="en-US" w:eastAsia="zh-CN"/>
              </w:rPr>
              <w:t>投标报价得</w:t>
            </w:r>
            <w:r>
              <w:rPr>
                <w:rFonts w:hint="eastAsia" w:ascii="宋体" w:hAnsi="宋体" w:eastAsia="宋体" w:cs="宋体"/>
                <w:b w:val="0"/>
                <w:bCs w:val="0"/>
                <w:color w:val="auto"/>
                <w:highlight w:val="none"/>
                <w:u w:val="single"/>
                <w:lang w:val="zh-CN" w:eastAsia="zh-CN"/>
              </w:rPr>
              <w:t>分</w:t>
            </w:r>
            <w:r>
              <w:rPr>
                <w:rFonts w:hint="eastAsia" w:ascii="宋体" w:hAnsi="宋体" w:eastAsia="宋体" w:cs="宋体"/>
                <w:b w:val="0"/>
                <w:bCs w:val="0"/>
                <w:color w:val="auto"/>
                <w:highlight w:val="none"/>
                <w:u w:val="single"/>
                <w:lang w:val="en-US" w:eastAsia="zh-CN"/>
              </w:rPr>
              <w:t>。</w:t>
            </w:r>
          </w:p>
          <w:p w14:paraId="5B6ADAA4">
            <w:pPr>
              <w:autoSpaceDE w:val="0"/>
              <w:autoSpaceDN w:val="0"/>
              <w:adjustRightInd w:val="0"/>
              <w:spacing w:line="240" w:lineRule="auto"/>
              <w:ind w:firstLine="0" w:firstLineChars="0"/>
              <w:jc w:val="left"/>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kern w:val="2"/>
                <w:sz w:val="21"/>
                <w:szCs w:val="21"/>
                <w:highlight w:val="none"/>
                <w:u w:val="single"/>
                <w:lang w:val="en-US" w:eastAsia="zh-CN" w:bidi="ar-SA"/>
              </w:rPr>
              <w:t>3、投标人应按《政府采购促进中小企业发展管理办法》（财库〔2020〕46号）规定出具《中小企业声明函》、《分包意向协议》（格式详见第四章投标文件格式），否则不得享受相关价格评审优惠。投标人填写《中小企业声明函》、《分包意向协议》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19C625DB">
            <w:pPr>
              <w:autoSpaceDE w:val="0"/>
              <w:autoSpaceDN w:val="0"/>
              <w:adjustRightInd w:val="0"/>
              <w:jc w:val="left"/>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kern w:val="2"/>
                <w:sz w:val="21"/>
                <w:szCs w:val="21"/>
                <w:highlight w:val="none"/>
                <w:u w:val="single"/>
                <w:lang w:val="en-US" w:eastAsia="zh-CN" w:bidi="ar-SA"/>
              </w:rPr>
              <w:t>4、小微企业划分标准按照《工业和信息化部 国家统计局 国家发展和改革委员会 财政部关于印发中小企业划型标准规定的通知》（工信部联企业〔2011〕300号）执行。</w:t>
            </w:r>
          </w:p>
          <w:p w14:paraId="5FBC40F4">
            <w:pPr>
              <w:autoSpaceDE w:val="0"/>
              <w:autoSpaceDN w:val="0"/>
              <w:adjustRightInd w:val="0"/>
              <w:spacing w:line="240" w:lineRule="auto"/>
              <w:ind w:firstLine="0" w:firstLineChars="0"/>
              <w:jc w:val="left"/>
              <w:rPr>
                <w:rFonts w:hint="eastAsia" w:ascii="宋体" w:hAnsi="宋体" w:eastAsia="宋体" w:cs="宋体"/>
                <w:b w:val="0"/>
                <w:bCs w:val="0"/>
                <w:strike w:val="0"/>
                <w:color w:val="auto"/>
                <w:kern w:val="2"/>
                <w:sz w:val="21"/>
                <w:szCs w:val="21"/>
                <w:highlight w:val="none"/>
                <w:u w:val="single"/>
                <w:lang w:val="en-US" w:eastAsia="zh-CN" w:bidi="ar-SA"/>
              </w:rPr>
            </w:pPr>
            <w:r>
              <w:rPr>
                <w:rFonts w:hint="eastAsia" w:ascii="宋体" w:hAnsi="宋体" w:eastAsia="宋体" w:cs="宋体"/>
                <w:b w:val="0"/>
                <w:bCs w:val="0"/>
                <w:strike w:val="0"/>
                <w:color w:val="auto"/>
                <w:kern w:val="2"/>
                <w:sz w:val="21"/>
                <w:szCs w:val="21"/>
                <w:highlight w:val="none"/>
                <w:u w:val="single"/>
                <w:lang w:val="en-US" w:eastAsia="zh-CN" w:bidi="ar-SA"/>
              </w:rPr>
              <w:t>注：（1）小微企业，是指在中华人民共和国境内依法设立，依据国务院批准的中小企业划分标准确定的小型企业和微型企业，但与大企业的负责人为同一人，或者与大企业存在直接控股、管理关系的除外。以联合体形式参与投标的，联合体各方均为小微企业的，联合体视同小微企业。</w:t>
            </w:r>
            <w:r>
              <w:rPr>
                <w:rFonts w:hint="eastAsia" w:ascii="宋体" w:hAnsi="宋体" w:eastAsia="宋体" w:cs="宋体"/>
                <w:b w:val="0"/>
                <w:bCs w:val="0"/>
                <w:color w:val="auto"/>
                <w:sz w:val="21"/>
                <w:szCs w:val="21"/>
                <w:highlight w:val="none"/>
                <w:u w:val="single"/>
                <w:lang w:val="en-US" w:eastAsia="zh-CN"/>
              </w:rPr>
              <w:t>以联合体形式参加投标活动的，联合体中有大型企业参与，不能将联合体视同中小微企业。</w:t>
            </w:r>
          </w:p>
          <w:p w14:paraId="7521A089">
            <w:pPr>
              <w:autoSpaceDE w:val="0"/>
              <w:autoSpaceDN w:val="0"/>
              <w:adjustRightInd w:val="0"/>
              <w:spacing w:line="240" w:lineRule="auto"/>
              <w:ind w:firstLine="0" w:firstLineChars="0"/>
              <w:jc w:val="left"/>
              <w:rPr>
                <w:rFonts w:hint="eastAsia" w:ascii="宋体" w:hAnsi="宋体" w:eastAsia="宋体" w:cs="宋体"/>
                <w:b w:val="0"/>
                <w:bCs w:val="0"/>
                <w:strike w:val="0"/>
                <w:color w:val="auto"/>
                <w:kern w:val="2"/>
                <w:sz w:val="21"/>
                <w:szCs w:val="21"/>
                <w:highlight w:val="none"/>
                <w:u w:val="single"/>
                <w:lang w:val="en-US" w:eastAsia="zh-CN" w:bidi="ar-SA"/>
              </w:rPr>
            </w:pPr>
            <w:r>
              <w:rPr>
                <w:rFonts w:hint="eastAsia" w:ascii="宋体" w:hAnsi="宋体" w:eastAsia="宋体" w:cs="宋体"/>
                <w:b w:val="0"/>
                <w:bCs w:val="0"/>
                <w:strike w:val="0"/>
                <w:color w:val="auto"/>
                <w:kern w:val="2"/>
                <w:sz w:val="21"/>
                <w:szCs w:val="21"/>
                <w:highlight w:val="none"/>
                <w:u w:val="single"/>
                <w:lang w:val="en-US" w:eastAsia="zh-CN" w:bidi="ar-SA"/>
              </w:rPr>
              <w:t>（2）组成联合体或者接受分包合同的小微企业与联合体内其他企业、分包企业之间存在直接控股、管理关系的，不享受价格评分优惠。</w:t>
            </w:r>
          </w:p>
          <w:p w14:paraId="20407B35">
            <w:pPr>
              <w:autoSpaceDE w:val="0"/>
              <w:autoSpaceDN w:val="0"/>
              <w:adjustRightInd w:val="0"/>
              <w:spacing w:line="240" w:lineRule="auto"/>
              <w:ind w:firstLine="0" w:firstLineChars="0"/>
              <w:jc w:val="left"/>
              <w:rPr>
                <w:rFonts w:hint="eastAsia" w:ascii="宋体" w:hAnsi="宋体" w:eastAsia="宋体" w:cs="宋体"/>
                <w:b w:val="0"/>
                <w:bCs w:val="0"/>
                <w:strike w:val="0"/>
                <w:color w:val="auto"/>
                <w:kern w:val="2"/>
                <w:sz w:val="21"/>
                <w:szCs w:val="21"/>
                <w:highlight w:val="none"/>
                <w:u w:val="single"/>
                <w:lang w:val="en-US" w:eastAsia="zh-CN" w:bidi="ar-SA"/>
              </w:rPr>
            </w:pPr>
            <w:r>
              <w:rPr>
                <w:rFonts w:hint="eastAsia" w:ascii="宋体" w:hAnsi="宋体" w:eastAsia="宋体" w:cs="宋体"/>
                <w:b w:val="0"/>
                <w:bCs w:val="0"/>
                <w:strike w:val="0"/>
                <w:color w:val="auto"/>
                <w:kern w:val="2"/>
                <w:sz w:val="21"/>
                <w:szCs w:val="21"/>
                <w:highlight w:val="none"/>
                <w:u w:val="single"/>
                <w:lang w:val="en-US" w:eastAsia="zh-CN" w:bidi="ar-SA"/>
              </w:rPr>
              <w:t>（3）公示期间如有异议、投诉的，被异议、投诉单位需提供注册登记所在地的县级以上人民政府中小企业主管部门认定函。</w:t>
            </w:r>
          </w:p>
          <w:p w14:paraId="31F9612A">
            <w:pPr>
              <w:autoSpaceDE w:val="0"/>
              <w:autoSpaceDN w:val="0"/>
              <w:adjustRightInd w:val="0"/>
              <w:spacing w:line="240" w:lineRule="auto"/>
              <w:ind w:firstLine="0" w:firstLineChars="0"/>
              <w:jc w:val="left"/>
              <w:rPr>
                <w:rFonts w:hint="eastAsia" w:ascii="宋体" w:hAnsi="宋体" w:eastAsia="宋体" w:cs="宋体"/>
                <w:b w:val="0"/>
                <w:bCs w:val="0"/>
                <w:strike w:val="0"/>
                <w:color w:val="auto"/>
                <w:kern w:val="2"/>
                <w:sz w:val="21"/>
                <w:szCs w:val="21"/>
                <w:highlight w:val="none"/>
                <w:u w:val="single"/>
                <w:lang w:val="en-US" w:eastAsia="zh-CN" w:bidi="ar-SA"/>
              </w:rPr>
            </w:pPr>
            <w:r>
              <w:rPr>
                <w:rFonts w:hint="eastAsia" w:ascii="宋体" w:hAnsi="宋体" w:eastAsia="宋体" w:cs="宋体"/>
                <w:b w:val="0"/>
                <w:bCs w:val="0"/>
                <w:strike w:val="0"/>
                <w:color w:val="auto"/>
                <w:highlight w:val="none"/>
                <w:u w:val="single"/>
                <w:lang w:val="zh-CN" w:eastAsia="zh-CN"/>
              </w:rPr>
              <w:t>（</w:t>
            </w:r>
            <w:r>
              <w:rPr>
                <w:rFonts w:hint="eastAsia" w:ascii="宋体" w:hAnsi="宋体" w:eastAsia="宋体" w:cs="宋体"/>
                <w:b w:val="0"/>
                <w:bCs w:val="0"/>
                <w:strike w:val="0"/>
                <w:color w:val="auto"/>
                <w:highlight w:val="none"/>
                <w:u w:val="single"/>
                <w:lang w:val="en-US" w:eastAsia="zh-CN"/>
              </w:rPr>
              <w:t>4</w:t>
            </w:r>
            <w:r>
              <w:rPr>
                <w:rFonts w:hint="eastAsia" w:ascii="宋体" w:hAnsi="宋体" w:eastAsia="宋体" w:cs="宋体"/>
                <w:b w:val="0"/>
                <w:bCs w:val="0"/>
                <w:strike w:val="0"/>
                <w:color w:val="auto"/>
                <w:highlight w:val="none"/>
                <w:u w:val="single"/>
                <w:lang w:val="zh-CN" w:eastAsia="zh-CN"/>
              </w:rPr>
              <w:t>）规定享受扶持政策获得</w:t>
            </w:r>
            <w:r>
              <w:rPr>
                <w:rFonts w:hint="eastAsia" w:ascii="宋体" w:hAnsi="宋体" w:eastAsia="宋体" w:cs="宋体"/>
                <w:b w:val="0"/>
                <w:bCs w:val="0"/>
                <w:strike w:val="0"/>
                <w:color w:val="auto"/>
                <w:highlight w:val="none"/>
                <w:u w:val="single"/>
                <w:lang w:val="en-US" w:eastAsia="zh-CN"/>
              </w:rPr>
              <w:t>承包</w:t>
            </w:r>
            <w:r>
              <w:rPr>
                <w:rFonts w:hint="eastAsia" w:ascii="宋体" w:hAnsi="宋体" w:eastAsia="宋体" w:cs="宋体"/>
                <w:b w:val="0"/>
                <w:bCs w:val="0"/>
                <w:strike w:val="0"/>
                <w:color w:val="auto"/>
                <w:highlight w:val="none"/>
                <w:u w:val="single"/>
                <w:lang w:val="zh-CN" w:eastAsia="zh-CN"/>
              </w:rPr>
              <w:t>合同的，小微企业不得将合同分包给大中型企业，中型企业不得将合同分包给大型企业。</w:t>
            </w:r>
          </w:p>
          <w:p w14:paraId="60B03D61">
            <w:pPr>
              <w:pStyle w:val="75"/>
              <w:ind w:firstLine="0" w:firstLineChars="0"/>
              <w:jc w:val="both"/>
              <w:rPr>
                <w:rFonts w:hint="eastAsia" w:ascii="Arial" w:hAnsiTheme="minorHAnsi" w:eastAsiaTheme="minorEastAsia" w:cstheme="minorBidi"/>
                <w:b w:val="0"/>
                <w:bCs w:val="0"/>
                <w:color w:val="auto"/>
                <w:sz w:val="21"/>
                <w:highlight w:val="none"/>
                <w:lang w:val="en-US" w:eastAsia="zh-Hans"/>
              </w:rPr>
            </w:pPr>
            <w:r>
              <w:rPr>
                <w:rFonts w:hint="eastAsia" w:ascii="宋体" w:hAnsi="宋体" w:eastAsia="宋体" w:cs="宋体"/>
                <w:b w:val="0"/>
                <w:bCs w:val="0"/>
                <w:strike w:val="0"/>
                <w:color w:val="auto"/>
                <w:kern w:val="2"/>
                <w:sz w:val="21"/>
                <w:szCs w:val="21"/>
                <w:highlight w:val="none"/>
                <w:u w:val="single"/>
                <w:lang w:val="en-US" w:eastAsia="zh-CN" w:bidi="ar-SA"/>
              </w:rPr>
              <w:t>（5）根据《财政部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四章投标文件格式），经评审满足要求后，可享受上述加分优惠，否则不得享受上述加分优惠。监狱企业、残疾人福利性单位属于小型、微型企业的，不重复享受政策。</w:t>
            </w:r>
          </w:p>
        </w:tc>
      </w:tr>
    </w:tbl>
    <w:p w14:paraId="4E14CCB5">
      <w:pPr>
        <w:rPr>
          <w:color w:val="auto"/>
          <w:highlight w:val="none"/>
        </w:rPr>
      </w:pPr>
    </w:p>
    <w:p w14:paraId="4781B9BB">
      <w:pPr>
        <w:rPr>
          <w:color w:val="auto"/>
          <w:sz w:val="32"/>
          <w:highlight w:val="none"/>
        </w:rPr>
      </w:pPr>
      <w:bookmarkStart w:id="18" w:name="_Toc25180"/>
      <w:bookmarkStart w:id="19" w:name="_Toc17451101"/>
      <w:bookmarkStart w:id="20" w:name="_Toc29819"/>
      <w:bookmarkStart w:id="21" w:name="_Toc23544"/>
      <w:bookmarkStart w:id="22" w:name="_Toc17451623"/>
      <w:bookmarkStart w:id="23" w:name="_Toc17556931"/>
      <w:bookmarkStart w:id="24" w:name="_Toc17454871"/>
      <w:bookmarkStart w:id="25" w:name="_Toc26969"/>
      <w:bookmarkStart w:id="26" w:name="_Toc262229161"/>
      <w:bookmarkStart w:id="27" w:name="_Toc17452664"/>
      <w:bookmarkStart w:id="28" w:name="_Toc17556876"/>
      <w:bookmarkStart w:id="29" w:name="_Toc17451578"/>
      <w:bookmarkStart w:id="30" w:name="_Toc17454922"/>
      <w:bookmarkStart w:id="31" w:name="_Toc1363"/>
      <w:r>
        <w:rPr>
          <w:color w:val="auto"/>
          <w:sz w:val="32"/>
          <w:highlight w:val="none"/>
        </w:rPr>
        <w:br w:type="page"/>
      </w:r>
    </w:p>
    <w:p w14:paraId="43D5CA78">
      <w:pPr>
        <w:pStyle w:val="26"/>
        <w:spacing w:before="120" w:after="120"/>
        <w:jc w:val="center"/>
        <w:outlineLvl w:val="9"/>
        <w:rPr>
          <w:rFonts w:hint="eastAsia"/>
          <w:color w:val="auto"/>
          <w:sz w:val="32"/>
          <w:highlight w:val="none"/>
        </w:rPr>
      </w:pPr>
      <w:r>
        <w:rPr>
          <w:color w:val="auto"/>
          <w:sz w:val="32"/>
          <w:highlight w:val="none"/>
        </w:rPr>
        <w:t>投标须知修改表</w:t>
      </w:r>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0399A19C">
      <w:pPr>
        <w:pStyle w:val="46"/>
        <w:spacing w:line="360" w:lineRule="auto"/>
        <w:rPr>
          <w:rFonts w:hint="eastAsia" w:ascii="宋体" w:hAnsi="宋体" w:eastAsia="宋体"/>
          <w:b/>
          <w:color w:val="auto"/>
          <w:sz w:val="24"/>
          <w:szCs w:val="24"/>
          <w:highlight w:val="none"/>
        </w:rPr>
      </w:pPr>
      <w:r>
        <w:rPr>
          <w:rFonts w:ascii="宋体" w:hAnsi="宋体" w:eastAsia="宋体"/>
          <w:b/>
          <w:color w:val="auto"/>
          <w:sz w:val="24"/>
          <w:szCs w:val="24"/>
          <w:highlight w:val="none"/>
        </w:rPr>
        <w:t>本投标须知使用</w:t>
      </w:r>
      <w:r>
        <w:rPr>
          <w:rFonts w:hint="eastAsia" w:ascii="宋体" w:hAnsi="宋体" w:eastAsia="宋体"/>
          <w:b/>
          <w:color w:val="auto"/>
          <w:sz w:val="24"/>
          <w:szCs w:val="24"/>
          <w:highlight w:val="none"/>
        </w:rPr>
        <w:t>SWZB2024-11</w:t>
      </w:r>
      <w:r>
        <w:rPr>
          <w:rFonts w:ascii="宋体" w:hAnsi="宋体" w:eastAsia="宋体"/>
          <w:b/>
          <w:color w:val="auto"/>
          <w:sz w:val="24"/>
          <w:szCs w:val="24"/>
          <w:highlight w:val="none"/>
        </w:rPr>
        <w:t>招标文件范本的投标须知通用条款，与该通用条款不同之处，均在本表中列明，并以现文为准，原文不再有效。</w:t>
      </w:r>
    </w:p>
    <w:p w14:paraId="72445009">
      <w:pPr>
        <w:spacing w:line="480" w:lineRule="auto"/>
        <w:ind w:firstLine="540" w:firstLineChars="224"/>
        <w:rPr>
          <w:rFonts w:hint="eastAsia"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：3.</w:t>
      </w:r>
      <w:r>
        <w:rPr>
          <w:rFonts w:hint="eastAsia" w:ascii="宋体" w:hAnsi="宋体" w:eastAsia="宋体"/>
          <w:color w:val="auto"/>
          <w:sz w:val="24"/>
          <w:szCs w:val="24"/>
          <w:highlight w:val="none"/>
        </w:rPr>
        <w:t>5.2</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修改类型：删除</w:t>
      </w:r>
    </w:p>
    <w:p w14:paraId="4051050D">
      <w:pPr>
        <w:spacing w:before="1" w:line="351" w:lineRule="auto"/>
        <w:ind w:left="4" w:right="2" w:firstLine="355"/>
        <w:rPr>
          <w:rFonts w:hint="eastAsia" w:ascii="宋体" w:hAnsi="宋体" w:eastAsia="宋体"/>
          <w:color w:val="auto"/>
          <w:spacing w:val="-5"/>
          <w:highlight w:val="none"/>
        </w:rPr>
      </w:pPr>
      <w:r>
        <w:rPr>
          <w:rFonts w:ascii="宋体" w:hAnsi="宋体" w:eastAsia="宋体"/>
          <w:color w:val="auto"/>
          <w:spacing w:val="-5"/>
          <w:highlight w:val="none"/>
        </w:rPr>
        <w:t>3.5.2 “近年完成的类似设计或勘察设计项目情况表”应附中标通知书和(或)合同协议书、发包人出具的证明文件；具体时间要求见投标人须知前附表，每张表格只填写一个项目，并标明序号。</w:t>
      </w:r>
    </w:p>
    <w:p w14:paraId="0D19C5A8">
      <w:pPr>
        <w:spacing w:line="360" w:lineRule="auto"/>
        <w:ind w:firstLine="482" w:firstLineChars="200"/>
        <w:rPr>
          <w:rFonts w:hint="eastAsia"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1.4.1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rPr>
        <w:t>修改</w:t>
      </w:r>
    </w:p>
    <w:p w14:paraId="5FA20BBD">
      <w:pPr>
        <w:spacing w:before="69" w:line="218" w:lineRule="auto"/>
        <w:ind w:left="435"/>
        <w:rPr>
          <w:rFonts w:hint="eastAsia" w:ascii="宋体" w:hAnsi="宋体" w:eastAsia="宋体"/>
          <w:b/>
          <w:bCs/>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b/>
          <w:bCs/>
          <w:color w:val="auto"/>
          <w:sz w:val="24"/>
          <w:szCs w:val="24"/>
          <w:highlight w:val="none"/>
        </w:rPr>
        <w:t>：</w:t>
      </w:r>
      <w:r>
        <w:rPr>
          <w:rFonts w:ascii="Times New Roman" w:hAnsi="Times New Roman" w:eastAsia="Times New Roman"/>
          <w:color w:val="auto"/>
          <w:spacing w:val="-4"/>
          <w:highlight w:val="none"/>
        </w:rPr>
        <w:t>1.4.1</w:t>
      </w:r>
      <w:r>
        <w:rPr>
          <w:rFonts w:ascii="Times New Roman" w:hAnsi="Times New Roman" w:eastAsia="Times New Roman"/>
          <w:color w:val="auto"/>
          <w:spacing w:val="-2"/>
          <w:highlight w:val="none"/>
        </w:rPr>
        <w:t xml:space="preserve">  </w:t>
      </w:r>
      <w:r>
        <w:rPr>
          <w:rFonts w:ascii="宋体" w:hAnsi="宋体" w:eastAsia="宋体"/>
          <w:color w:val="auto"/>
          <w:spacing w:val="-2"/>
          <w:highlight w:val="none"/>
        </w:rPr>
        <w:t>投标人应具备承担本招标项目资质条件、能力和信誉：</w:t>
      </w:r>
    </w:p>
    <w:p w14:paraId="5BA29D4D">
      <w:pPr>
        <w:spacing w:before="151" w:line="219" w:lineRule="auto"/>
        <w:ind w:left="319"/>
        <w:rPr>
          <w:rFonts w:hint="eastAsia" w:ascii="宋体" w:hAnsi="宋体" w:eastAsia="宋体"/>
          <w:color w:val="auto"/>
          <w:spacing w:val="12"/>
          <w:highlight w:val="none"/>
        </w:rPr>
      </w:pPr>
      <w:r>
        <w:rPr>
          <w:rFonts w:ascii="宋体" w:hAnsi="宋体" w:eastAsia="宋体"/>
          <w:color w:val="auto"/>
          <w:spacing w:val="12"/>
          <w:highlight w:val="none"/>
        </w:rPr>
        <w:t>(</w:t>
      </w:r>
      <w:r>
        <w:rPr>
          <w:rFonts w:ascii="Times New Roman" w:hAnsi="Times New Roman" w:eastAsia="Times New Roman"/>
          <w:color w:val="auto"/>
          <w:spacing w:val="8"/>
          <w:highlight w:val="none"/>
        </w:rPr>
        <w:t>1</w:t>
      </w:r>
      <w:r>
        <w:rPr>
          <w:rFonts w:ascii="宋体" w:hAnsi="宋体" w:eastAsia="宋体"/>
          <w:color w:val="auto"/>
          <w:spacing w:val="8"/>
          <w:highlight w:val="none"/>
        </w:rPr>
        <w:t>)资质要求：见投标人须知前附表；</w:t>
      </w:r>
    </w:p>
    <w:p w14:paraId="46703E6F">
      <w:pPr>
        <w:spacing w:before="151" w:line="220" w:lineRule="auto"/>
        <w:ind w:left="319"/>
        <w:rPr>
          <w:rFonts w:hint="eastAsia" w:ascii="宋体" w:hAnsi="宋体" w:eastAsia="宋体"/>
          <w:color w:val="auto"/>
          <w:spacing w:val="12"/>
          <w:highlight w:val="none"/>
        </w:rPr>
      </w:pPr>
      <w:r>
        <w:rPr>
          <w:rFonts w:ascii="宋体" w:hAnsi="宋体" w:eastAsia="宋体"/>
          <w:color w:val="auto"/>
          <w:spacing w:val="12"/>
          <w:highlight w:val="none"/>
        </w:rPr>
        <w:t>(</w:t>
      </w:r>
      <w:r>
        <w:rPr>
          <w:rFonts w:ascii="Times New Roman" w:hAnsi="Times New Roman" w:eastAsia="Times New Roman"/>
          <w:color w:val="auto"/>
          <w:spacing w:val="8"/>
          <w:highlight w:val="none"/>
        </w:rPr>
        <w:t>2</w:t>
      </w:r>
      <w:r>
        <w:rPr>
          <w:rFonts w:ascii="宋体" w:hAnsi="宋体" w:eastAsia="宋体"/>
          <w:color w:val="auto"/>
          <w:spacing w:val="8"/>
          <w:highlight w:val="none"/>
        </w:rPr>
        <w:t>)财务要求：见投标人须知前附表；</w:t>
      </w:r>
    </w:p>
    <w:p w14:paraId="04C6C2E1">
      <w:pPr>
        <w:spacing w:before="151" w:line="217" w:lineRule="auto"/>
        <w:ind w:left="319"/>
        <w:rPr>
          <w:rFonts w:hint="eastAsia" w:ascii="宋体" w:hAnsi="宋体" w:eastAsia="宋体"/>
          <w:color w:val="auto"/>
          <w:spacing w:val="12"/>
          <w:highlight w:val="none"/>
        </w:rPr>
      </w:pPr>
      <w:r>
        <w:rPr>
          <w:rFonts w:ascii="宋体" w:hAnsi="宋体" w:eastAsia="宋体"/>
          <w:color w:val="auto"/>
          <w:spacing w:val="12"/>
          <w:highlight w:val="none"/>
        </w:rPr>
        <w:t>(</w:t>
      </w:r>
      <w:r>
        <w:rPr>
          <w:rFonts w:ascii="Times New Roman" w:hAnsi="Times New Roman" w:eastAsia="Times New Roman"/>
          <w:color w:val="auto"/>
          <w:spacing w:val="8"/>
          <w:highlight w:val="none"/>
        </w:rPr>
        <w:t>3</w:t>
      </w:r>
      <w:r>
        <w:rPr>
          <w:rFonts w:ascii="宋体" w:hAnsi="宋体" w:eastAsia="宋体"/>
          <w:color w:val="auto"/>
          <w:spacing w:val="8"/>
          <w:highlight w:val="none"/>
        </w:rPr>
        <w:t>)业绩要求：见投标人须知前附表；</w:t>
      </w:r>
    </w:p>
    <w:p w14:paraId="256737C2">
      <w:pPr>
        <w:spacing w:before="152" w:line="220" w:lineRule="auto"/>
        <w:ind w:left="319"/>
        <w:rPr>
          <w:rFonts w:hint="eastAsia" w:ascii="宋体" w:hAnsi="宋体" w:eastAsia="宋体"/>
          <w:color w:val="auto"/>
          <w:spacing w:val="12"/>
          <w:highlight w:val="none"/>
        </w:rPr>
      </w:pPr>
      <w:r>
        <w:rPr>
          <w:rFonts w:ascii="宋体" w:hAnsi="宋体" w:eastAsia="宋体"/>
          <w:color w:val="auto"/>
          <w:spacing w:val="12"/>
          <w:highlight w:val="none"/>
        </w:rPr>
        <w:t>(</w:t>
      </w:r>
      <w:r>
        <w:rPr>
          <w:rFonts w:ascii="Times New Roman" w:hAnsi="Times New Roman" w:eastAsia="Times New Roman"/>
          <w:color w:val="auto"/>
          <w:spacing w:val="8"/>
          <w:highlight w:val="none"/>
        </w:rPr>
        <w:t>4</w:t>
      </w:r>
      <w:r>
        <w:rPr>
          <w:rFonts w:ascii="宋体" w:hAnsi="宋体" w:eastAsia="宋体"/>
          <w:color w:val="auto"/>
          <w:spacing w:val="8"/>
          <w:highlight w:val="none"/>
        </w:rPr>
        <w:t>)信誉要求：见投标人须知前附表；</w:t>
      </w:r>
    </w:p>
    <w:p w14:paraId="20C299D7">
      <w:pPr>
        <w:spacing w:before="150" w:line="361" w:lineRule="auto"/>
        <w:ind w:right="2" w:firstLine="318"/>
        <w:rPr>
          <w:rFonts w:hint="eastAsia" w:ascii="宋体" w:hAnsi="宋体" w:eastAsia="宋体"/>
          <w:color w:val="auto"/>
          <w:spacing w:val="1"/>
          <w:highlight w:val="none"/>
        </w:rPr>
      </w:pPr>
      <w:r>
        <w:rPr>
          <w:rFonts w:ascii="宋体" w:hAnsi="宋体" w:eastAsia="宋体"/>
          <w:color w:val="auto"/>
          <w:spacing w:val="1"/>
          <w:highlight w:val="none"/>
        </w:rPr>
        <w:t>(</w:t>
      </w:r>
      <w:r>
        <w:rPr>
          <w:rFonts w:ascii="Times New Roman" w:hAnsi="Times New Roman" w:eastAsia="Times New Roman"/>
          <w:color w:val="auto"/>
          <w:spacing w:val="1"/>
          <w:highlight w:val="none"/>
        </w:rPr>
        <w:t>5</w:t>
      </w:r>
      <w:r>
        <w:rPr>
          <w:rFonts w:ascii="宋体" w:hAnsi="宋体" w:eastAsia="宋体"/>
          <w:color w:val="auto"/>
          <w:spacing w:val="1"/>
          <w:highlight w:val="none"/>
        </w:rPr>
        <w:t xml:space="preserve">) 项目负责人的资格要求： </w:t>
      </w:r>
      <w:r>
        <w:rPr>
          <w:rFonts w:ascii="宋体" w:hAnsi="宋体" w:eastAsia="宋体"/>
          <w:color w:val="auto"/>
          <w:highlight w:val="none"/>
        </w:rPr>
        <w:t xml:space="preserve">应当具备工程设计类注册执业资格(如有)，具体要求见投标 </w:t>
      </w:r>
      <w:r>
        <w:rPr>
          <w:rFonts w:ascii="宋体" w:hAnsi="宋体" w:eastAsia="宋体"/>
          <w:color w:val="auto"/>
          <w:spacing w:val="-8"/>
          <w:highlight w:val="none"/>
        </w:rPr>
        <w:t>人</w:t>
      </w:r>
      <w:r>
        <w:rPr>
          <w:rFonts w:ascii="宋体" w:hAnsi="宋体" w:eastAsia="宋体"/>
          <w:color w:val="auto"/>
          <w:spacing w:val="-7"/>
          <w:highlight w:val="none"/>
        </w:rPr>
        <w:t>须知前附表；</w:t>
      </w:r>
    </w:p>
    <w:p w14:paraId="6F06019D">
      <w:pPr>
        <w:spacing w:before="232" w:line="400" w:lineRule="exact"/>
        <w:ind w:left="320"/>
        <w:rPr>
          <w:rFonts w:hint="eastAsia" w:ascii="宋体" w:hAnsi="宋体" w:eastAsia="宋体"/>
          <w:color w:val="auto"/>
          <w:spacing w:val="14"/>
          <w:position w:val="14"/>
          <w:highlight w:val="none"/>
        </w:rPr>
      </w:pPr>
      <w:r>
        <w:rPr>
          <w:rFonts w:ascii="宋体" w:hAnsi="宋体" w:eastAsia="宋体"/>
          <w:color w:val="auto"/>
          <w:spacing w:val="14"/>
          <w:position w:val="14"/>
          <w:highlight w:val="none"/>
        </w:rPr>
        <w:t>(</w:t>
      </w:r>
      <w:r>
        <w:rPr>
          <w:rFonts w:ascii="Times New Roman" w:hAnsi="Times New Roman" w:eastAsia="Times New Roman"/>
          <w:color w:val="auto"/>
          <w:spacing w:val="13"/>
          <w:position w:val="14"/>
          <w:highlight w:val="none"/>
        </w:rPr>
        <w:t>6</w:t>
      </w:r>
      <w:r>
        <w:rPr>
          <w:rFonts w:ascii="宋体" w:hAnsi="宋体" w:eastAsia="宋体"/>
          <w:color w:val="auto"/>
          <w:spacing w:val="7"/>
          <w:position w:val="14"/>
          <w:highlight w:val="none"/>
        </w:rPr>
        <w:t>)其他主要人员要求：见投标人须知前附表。</w:t>
      </w:r>
    </w:p>
    <w:p w14:paraId="242CDE8D">
      <w:pPr>
        <w:spacing w:line="218" w:lineRule="auto"/>
        <w:ind w:left="320"/>
        <w:rPr>
          <w:rFonts w:hint="eastAsia" w:ascii="宋体" w:hAnsi="宋体" w:eastAsia="宋体"/>
          <w:color w:val="auto"/>
          <w:spacing w:val="14"/>
          <w:highlight w:val="none"/>
        </w:rPr>
      </w:pPr>
      <w:r>
        <w:rPr>
          <w:rFonts w:ascii="宋体" w:hAnsi="宋体" w:eastAsia="宋体"/>
          <w:color w:val="auto"/>
          <w:spacing w:val="14"/>
          <w:highlight w:val="none"/>
        </w:rPr>
        <w:t>(</w:t>
      </w:r>
      <w:r>
        <w:rPr>
          <w:rFonts w:ascii="Times New Roman" w:hAnsi="Times New Roman" w:eastAsia="Times New Roman"/>
          <w:color w:val="auto"/>
          <w:spacing w:val="9"/>
          <w:highlight w:val="none"/>
        </w:rPr>
        <w:t>7</w:t>
      </w:r>
      <w:r>
        <w:rPr>
          <w:rFonts w:ascii="宋体" w:hAnsi="宋体" w:eastAsia="宋体"/>
          <w:color w:val="auto"/>
          <w:spacing w:val="9"/>
          <w:highlight w:val="none"/>
        </w:rPr>
        <w:t>)其他要求：见投标人须知前附表。</w:t>
      </w:r>
    </w:p>
    <w:p w14:paraId="1834604E">
      <w:pPr>
        <w:spacing w:before="150" w:line="220" w:lineRule="auto"/>
        <w:ind w:left="430"/>
        <w:rPr>
          <w:rFonts w:hint="eastAsia" w:ascii="宋体" w:hAnsi="宋体" w:eastAsia="宋体"/>
          <w:color w:val="auto"/>
          <w:spacing w:val="-6"/>
          <w:highlight w:val="none"/>
        </w:rPr>
      </w:pPr>
      <w:r>
        <w:rPr>
          <w:rFonts w:ascii="宋体" w:hAnsi="宋体" w:eastAsia="宋体"/>
          <w:color w:val="auto"/>
          <w:spacing w:val="-6"/>
          <w:highlight w:val="none"/>
        </w:rPr>
        <w:t>需要提交的相</w:t>
      </w:r>
      <w:r>
        <w:rPr>
          <w:rFonts w:ascii="宋体" w:hAnsi="宋体" w:eastAsia="宋体"/>
          <w:color w:val="auto"/>
          <w:spacing w:val="-3"/>
          <w:highlight w:val="none"/>
        </w:rPr>
        <w:t xml:space="preserve">关证明材料见本章第 </w:t>
      </w:r>
      <w:r>
        <w:rPr>
          <w:rFonts w:ascii="Times New Roman" w:hAnsi="Times New Roman" w:eastAsia="Times New Roman"/>
          <w:color w:val="auto"/>
          <w:spacing w:val="-3"/>
          <w:highlight w:val="none"/>
        </w:rPr>
        <w:t xml:space="preserve">3.5 </w:t>
      </w:r>
      <w:r>
        <w:rPr>
          <w:rFonts w:ascii="宋体" w:hAnsi="宋体" w:eastAsia="宋体"/>
          <w:color w:val="auto"/>
          <w:spacing w:val="-3"/>
          <w:highlight w:val="none"/>
        </w:rPr>
        <w:t>款的规定。</w:t>
      </w:r>
    </w:p>
    <w:p w14:paraId="584E2092">
      <w:pPr>
        <w:spacing w:before="69" w:line="218" w:lineRule="auto"/>
        <w:ind w:left="435"/>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现文：</w:t>
      </w:r>
      <w:r>
        <w:rPr>
          <w:rFonts w:ascii="Times New Roman" w:hAnsi="Times New Roman" w:eastAsia="Times New Roman"/>
          <w:color w:val="auto"/>
          <w:spacing w:val="-4"/>
          <w:highlight w:val="none"/>
        </w:rPr>
        <w:t>1.4.1</w:t>
      </w:r>
      <w:r>
        <w:rPr>
          <w:rFonts w:ascii="Times New Roman" w:hAnsi="Times New Roman" w:eastAsia="Times New Roman"/>
          <w:color w:val="auto"/>
          <w:spacing w:val="-2"/>
          <w:highlight w:val="none"/>
        </w:rPr>
        <w:t xml:space="preserve">  </w:t>
      </w:r>
      <w:r>
        <w:rPr>
          <w:rFonts w:ascii="宋体" w:hAnsi="宋体" w:eastAsia="宋体"/>
          <w:color w:val="auto"/>
          <w:spacing w:val="-2"/>
          <w:highlight w:val="none"/>
        </w:rPr>
        <w:t>投标人应具备承担本招标项目资质条件、能力和信誉：</w:t>
      </w:r>
    </w:p>
    <w:p w14:paraId="127D3E4B">
      <w:pPr>
        <w:spacing w:before="151" w:line="220" w:lineRule="auto"/>
        <w:ind w:left="319"/>
        <w:rPr>
          <w:rFonts w:hint="eastAsia" w:ascii="宋体" w:hAnsi="宋体" w:eastAsia="宋体"/>
          <w:color w:val="auto"/>
          <w:spacing w:val="8"/>
          <w:highlight w:val="none"/>
        </w:rPr>
      </w:pPr>
      <w:r>
        <w:rPr>
          <w:rFonts w:ascii="宋体" w:hAnsi="宋体" w:eastAsia="宋体"/>
          <w:color w:val="auto"/>
          <w:spacing w:val="8"/>
          <w:highlight w:val="none"/>
        </w:rPr>
        <w:t>(1)资质要求：见投标人须知前附表；</w:t>
      </w:r>
    </w:p>
    <w:p w14:paraId="2A58D13D">
      <w:pPr>
        <w:spacing w:before="151" w:line="220" w:lineRule="auto"/>
        <w:ind w:left="319"/>
        <w:rPr>
          <w:rFonts w:hint="eastAsia" w:ascii="宋体" w:hAnsi="宋体" w:eastAsia="宋体"/>
          <w:color w:val="auto"/>
          <w:spacing w:val="8"/>
          <w:highlight w:val="none"/>
        </w:rPr>
      </w:pPr>
      <w:r>
        <w:rPr>
          <w:rFonts w:ascii="宋体" w:hAnsi="宋体" w:eastAsia="宋体"/>
          <w:color w:val="auto"/>
          <w:spacing w:val="8"/>
          <w:highlight w:val="none"/>
        </w:rPr>
        <w:t>(2)财务要求：见投标人须知前附表；</w:t>
      </w:r>
    </w:p>
    <w:p w14:paraId="3F5FBA56">
      <w:pPr>
        <w:spacing w:before="151" w:line="220" w:lineRule="auto"/>
        <w:ind w:left="319"/>
        <w:rPr>
          <w:rFonts w:hint="eastAsia" w:ascii="宋体" w:hAnsi="宋体" w:eastAsia="宋体"/>
          <w:color w:val="auto"/>
          <w:spacing w:val="8"/>
          <w:highlight w:val="none"/>
        </w:rPr>
      </w:pPr>
      <w:r>
        <w:rPr>
          <w:rFonts w:ascii="宋体" w:hAnsi="宋体" w:eastAsia="宋体"/>
          <w:color w:val="auto"/>
          <w:spacing w:val="8"/>
          <w:highlight w:val="none"/>
        </w:rPr>
        <w:t>(3)业绩要求：见投标人须知前附表；</w:t>
      </w:r>
    </w:p>
    <w:p w14:paraId="68019B98">
      <w:pPr>
        <w:spacing w:before="151" w:line="220" w:lineRule="auto"/>
        <w:ind w:left="319"/>
        <w:rPr>
          <w:rFonts w:hint="eastAsia" w:ascii="宋体" w:hAnsi="宋体" w:eastAsia="宋体"/>
          <w:color w:val="auto"/>
          <w:spacing w:val="8"/>
          <w:highlight w:val="none"/>
        </w:rPr>
      </w:pPr>
      <w:r>
        <w:rPr>
          <w:rFonts w:ascii="宋体" w:hAnsi="宋体" w:eastAsia="宋体"/>
          <w:color w:val="auto"/>
          <w:spacing w:val="8"/>
          <w:highlight w:val="none"/>
        </w:rPr>
        <w:t>(4)信誉要求：见投标人须知前附表；</w:t>
      </w:r>
    </w:p>
    <w:p w14:paraId="04FCD713">
      <w:pPr>
        <w:spacing w:before="151" w:line="220" w:lineRule="auto"/>
        <w:ind w:left="319"/>
        <w:rPr>
          <w:rFonts w:hint="eastAsia" w:ascii="宋体" w:hAnsi="宋体" w:eastAsia="宋体"/>
          <w:color w:val="auto"/>
          <w:spacing w:val="8"/>
          <w:highlight w:val="none"/>
        </w:rPr>
      </w:pPr>
      <w:r>
        <w:rPr>
          <w:rFonts w:ascii="宋体" w:hAnsi="宋体" w:eastAsia="宋体"/>
          <w:color w:val="auto"/>
          <w:spacing w:val="8"/>
          <w:highlight w:val="none"/>
        </w:rPr>
        <w:t>(5) 项目负责人的资格要求：</w:t>
      </w:r>
      <w:r>
        <w:rPr>
          <w:rFonts w:hint="eastAsia" w:ascii="宋体" w:hAnsi="宋体" w:eastAsia="宋体"/>
          <w:color w:val="auto"/>
          <w:spacing w:val="8"/>
          <w:highlight w:val="none"/>
          <w:u w:val="single"/>
        </w:rPr>
        <w:t>详</w:t>
      </w:r>
      <w:r>
        <w:rPr>
          <w:rFonts w:ascii="宋体" w:hAnsi="宋体" w:eastAsia="宋体"/>
          <w:color w:val="auto"/>
          <w:spacing w:val="8"/>
          <w:highlight w:val="none"/>
          <w:u w:val="single"/>
        </w:rPr>
        <w:t>见</w:t>
      </w:r>
      <w:r>
        <w:rPr>
          <w:rFonts w:hint="eastAsia" w:ascii="宋体" w:hAnsi="宋体" w:eastAsia="宋体"/>
          <w:color w:val="auto"/>
          <w:spacing w:val="8"/>
          <w:highlight w:val="none"/>
          <w:u w:val="single"/>
        </w:rPr>
        <w:t>招标公告</w:t>
      </w:r>
      <w:r>
        <w:rPr>
          <w:rFonts w:ascii="宋体" w:hAnsi="宋体" w:eastAsia="宋体"/>
          <w:color w:val="auto"/>
          <w:spacing w:val="8"/>
          <w:highlight w:val="none"/>
        </w:rPr>
        <w:t>；</w:t>
      </w:r>
    </w:p>
    <w:p w14:paraId="6F76752C">
      <w:pPr>
        <w:spacing w:before="151" w:line="220" w:lineRule="auto"/>
        <w:ind w:left="319"/>
        <w:rPr>
          <w:rFonts w:hint="eastAsia" w:ascii="宋体" w:hAnsi="宋体" w:eastAsia="宋体"/>
          <w:color w:val="auto"/>
          <w:spacing w:val="8"/>
          <w:highlight w:val="none"/>
        </w:rPr>
      </w:pPr>
      <w:r>
        <w:rPr>
          <w:rFonts w:ascii="宋体" w:hAnsi="宋体" w:eastAsia="宋体"/>
          <w:color w:val="auto"/>
          <w:spacing w:val="8"/>
          <w:highlight w:val="none"/>
        </w:rPr>
        <w:t>(6)其他主要人员要求：</w:t>
      </w:r>
      <w:r>
        <w:rPr>
          <w:rFonts w:hint="eastAsia" w:ascii="宋体" w:hAnsi="宋体" w:eastAsia="宋体"/>
          <w:color w:val="auto"/>
          <w:spacing w:val="8"/>
          <w:highlight w:val="none"/>
          <w:u w:val="single"/>
        </w:rPr>
        <w:t>详</w:t>
      </w:r>
      <w:r>
        <w:rPr>
          <w:rFonts w:ascii="宋体" w:hAnsi="宋体" w:eastAsia="宋体"/>
          <w:color w:val="auto"/>
          <w:spacing w:val="8"/>
          <w:highlight w:val="none"/>
          <w:u w:val="single"/>
        </w:rPr>
        <w:t>见</w:t>
      </w:r>
      <w:r>
        <w:rPr>
          <w:rFonts w:hint="eastAsia" w:ascii="宋体" w:hAnsi="宋体" w:eastAsia="宋体"/>
          <w:color w:val="auto"/>
          <w:spacing w:val="8"/>
          <w:highlight w:val="none"/>
          <w:u w:val="single"/>
        </w:rPr>
        <w:t>招标公告</w:t>
      </w:r>
      <w:r>
        <w:rPr>
          <w:rFonts w:ascii="宋体" w:hAnsi="宋体" w:eastAsia="宋体"/>
          <w:color w:val="auto"/>
          <w:spacing w:val="8"/>
          <w:highlight w:val="none"/>
        </w:rPr>
        <w:t>；</w:t>
      </w:r>
    </w:p>
    <w:p w14:paraId="0757F839">
      <w:pPr>
        <w:spacing w:before="151" w:line="220" w:lineRule="auto"/>
        <w:ind w:left="319"/>
        <w:rPr>
          <w:rFonts w:hint="eastAsia" w:ascii="宋体" w:hAnsi="宋体" w:eastAsia="宋体"/>
          <w:color w:val="auto"/>
          <w:spacing w:val="8"/>
          <w:highlight w:val="none"/>
        </w:rPr>
      </w:pPr>
      <w:r>
        <w:rPr>
          <w:rFonts w:ascii="宋体" w:hAnsi="宋体" w:eastAsia="宋体"/>
          <w:color w:val="auto"/>
          <w:spacing w:val="8"/>
          <w:highlight w:val="none"/>
        </w:rPr>
        <w:t>(7)其他要求：见投标人须知前附表。</w:t>
      </w:r>
    </w:p>
    <w:p w14:paraId="57609FDB">
      <w:pPr>
        <w:spacing w:before="151" w:line="220" w:lineRule="auto"/>
        <w:ind w:left="319"/>
        <w:rPr>
          <w:rFonts w:hint="eastAsia" w:ascii="宋体" w:hAnsi="宋体" w:eastAsia="宋体"/>
          <w:color w:val="auto"/>
          <w:spacing w:val="8"/>
          <w:highlight w:val="none"/>
        </w:rPr>
      </w:pPr>
      <w:r>
        <w:rPr>
          <w:rFonts w:ascii="宋体" w:hAnsi="宋体" w:eastAsia="宋体"/>
          <w:color w:val="auto"/>
          <w:spacing w:val="8"/>
          <w:highlight w:val="none"/>
        </w:rPr>
        <w:t>需要提交的相关证明材料见本章第 3.5 款的规定。</w:t>
      </w:r>
    </w:p>
    <w:p w14:paraId="5D04E7D2">
      <w:pPr>
        <w:pStyle w:val="46"/>
        <w:rPr>
          <w:color w:val="auto"/>
          <w:highlight w:val="none"/>
        </w:rPr>
      </w:pPr>
    </w:p>
    <w:p w14:paraId="44483F86">
      <w:pPr>
        <w:pStyle w:val="46"/>
        <w:rPr>
          <w:rFonts w:hint="eastAsia"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1.9.1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rPr>
        <w:t>修改</w:t>
      </w:r>
    </w:p>
    <w:p w14:paraId="2476E6A1">
      <w:pPr>
        <w:spacing w:before="68" w:line="352" w:lineRule="auto"/>
        <w:ind w:left="8" w:firstLine="429"/>
        <w:rPr>
          <w:rFonts w:hint="eastAsia" w:ascii="宋体" w:hAnsi="宋体" w:eastAsia="宋体"/>
          <w:b/>
          <w:bCs/>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b/>
          <w:bCs/>
          <w:color w:val="auto"/>
          <w:sz w:val="24"/>
          <w:szCs w:val="24"/>
          <w:highlight w:val="none"/>
        </w:rPr>
        <w:t>：</w:t>
      </w:r>
      <w:r>
        <w:rPr>
          <w:rFonts w:ascii="Times New Roman" w:hAnsi="Times New Roman" w:eastAsia="Times New Roman"/>
          <w:color w:val="auto"/>
          <w:spacing w:val="-4"/>
          <w:highlight w:val="none"/>
        </w:rPr>
        <w:t>1.9.1</w:t>
      </w:r>
      <w:r>
        <w:rPr>
          <w:rFonts w:ascii="Times New Roman" w:hAnsi="Times New Roman" w:eastAsia="Times New Roman"/>
          <w:color w:val="auto"/>
          <w:spacing w:val="-3"/>
          <w:highlight w:val="none"/>
        </w:rPr>
        <w:t xml:space="preserve"> </w:t>
      </w:r>
      <w:r>
        <w:rPr>
          <w:rFonts w:ascii="Times New Roman" w:hAnsi="Times New Roman" w:eastAsia="Times New Roman"/>
          <w:color w:val="auto"/>
          <w:spacing w:val="-2"/>
          <w:highlight w:val="none"/>
        </w:rPr>
        <w:t xml:space="preserve"> </w:t>
      </w:r>
      <w:r>
        <w:rPr>
          <w:rFonts w:ascii="宋体" w:hAnsi="宋体" w:eastAsia="宋体"/>
          <w:color w:val="auto"/>
          <w:spacing w:val="-2"/>
          <w:highlight w:val="none"/>
        </w:rPr>
        <w:t>投标人须知前附表规定组织踏勘现场的，招标人按投标人须知前附表规定的时间、地</w:t>
      </w:r>
      <w:r>
        <w:rPr>
          <w:rFonts w:ascii="宋体" w:hAnsi="宋体" w:eastAsia="宋体"/>
          <w:color w:val="auto"/>
          <w:highlight w:val="none"/>
        </w:rPr>
        <w:t xml:space="preserve"> </w:t>
      </w:r>
      <w:r>
        <w:rPr>
          <w:rFonts w:ascii="宋体" w:hAnsi="宋体" w:eastAsia="宋体"/>
          <w:color w:val="auto"/>
          <w:spacing w:val="-10"/>
          <w:highlight w:val="none"/>
        </w:rPr>
        <w:t>点组</w:t>
      </w:r>
      <w:r>
        <w:rPr>
          <w:rFonts w:ascii="宋体" w:hAnsi="宋体" w:eastAsia="宋体"/>
          <w:color w:val="auto"/>
          <w:spacing w:val="-6"/>
          <w:highlight w:val="none"/>
        </w:rPr>
        <w:t>织</w:t>
      </w:r>
      <w:r>
        <w:rPr>
          <w:rFonts w:ascii="宋体" w:hAnsi="宋体" w:eastAsia="宋体"/>
          <w:color w:val="auto"/>
          <w:spacing w:val="-5"/>
          <w:highlight w:val="none"/>
        </w:rPr>
        <w:t>投标人踏勘项目现场。部分投标人未按时参加踏勘现场的， 不影响踏勘现场的正常进行。</w:t>
      </w:r>
    </w:p>
    <w:p w14:paraId="13AAA7F6">
      <w:pPr>
        <w:spacing w:before="68" w:line="352" w:lineRule="auto"/>
        <w:ind w:left="8" w:firstLine="429"/>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现文：</w:t>
      </w:r>
      <w:r>
        <w:rPr>
          <w:rFonts w:ascii="Times New Roman" w:hAnsi="Times New Roman" w:eastAsia="Times New Roman"/>
          <w:color w:val="auto"/>
          <w:spacing w:val="-4"/>
          <w:highlight w:val="none"/>
        </w:rPr>
        <w:t>1.9.1</w:t>
      </w:r>
      <w:r>
        <w:rPr>
          <w:rFonts w:ascii="Times New Roman" w:hAnsi="Times New Roman" w:eastAsia="Times New Roman"/>
          <w:color w:val="auto"/>
          <w:spacing w:val="-3"/>
          <w:highlight w:val="none"/>
        </w:rPr>
        <w:t xml:space="preserve"> </w:t>
      </w:r>
      <w:r>
        <w:rPr>
          <w:rFonts w:ascii="Times New Roman" w:hAnsi="Times New Roman" w:eastAsia="Times New Roman"/>
          <w:color w:val="auto"/>
          <w:spacing w:val="-2"/>
          <w:highlight w:val="none"/>
        </w:rPr>
        <w:t xml:space="preserve"> </w:t>
      </w:r>
      <w:r>
        <w:rPr>
          <w:rFonts w:hint="eastAsia"/>
          <w:color w:val="auto"/>
          <w:highlight w:val="none"/>
          <w:u w:val="single"/>
        </w:rPr>
        <w:t>招标人不集中组织，由投标人自行踏勘</w:t>
      </w:r>
      <w:r>
        <w:rPr>
          <w:rFonts w:ascii="宋体" w:hAnsi="宋体" w:eastAsia="宋体"/>
          <w:color w:val="auto"/>
          <w:spacing w:val="-5"/>
          <w:highlight w:val="none"/>
          <w:u w:val="single"/>
        </w:rPr>
        <w:t>。</w:t>
      </w:r>
    </w:p>
    <w:p w14:paraId="1AFB18E4">
      <w:pPr>
        <w:pStyle w:val="46"/>
        <w:rPr>
          <w:rFonts w:hint="eastAsia"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：3.</w:t>
      </w:r>
      <w:r>
        <w:rPr>
          <w:rFonts w:hint="eastAsia" w:ascii="宋体" w:hAnsi="宋体" w:eastAsia="宋体"/>
          <w:color w:val="auto"/>
          <w:sz w:val="24"/>
          <w:szCs w:val="24"/>
          <w:highlight w:val="none"/>
        </w:rPr>
        <w:t xml:space="preserve">1.1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rPr>
        <w:t>修改</w:t>
      </w:r>
    </w:p>
    <w:p w14:paraId="2BD58518">
      <w:pPr>
        <w:spacing w:line="360" w:lineRule="auto"/>
        <w:ind w:firstLine="482" w:firstLineChars="200"/>
        <w:rPr>
          <w:rFonts w:hint="eastAsia" w:ascii="宋体" w:hAnsi="宋体" w:eastAsia="宋体"/>
          <w:b/>
          <w:bCs/>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b/>
          <w:bCs/>
          <w:color w:val="auto"/>
          <w:sz w:val="24"/>
          <w:szCs w:val="24"/>
          <w:highlight w:val="none"/>
        </w:rPr>
        <w:t>：</w:t>
      </w:r>
      <w:r>
        <w:rPr>
          <w:rFonts w:hint="eastAsia" w:ascii="宋体" w:hAnsi="宋体" w:eastAsia="宋体"/>
          <w:color w:val="auto"/>
          <w:spacing w:val="14"/>
          <w:highlight w:val="none"/>
        </w:rPr>
        <w:t>3.1.1 商务文件（含资格审查文件）由下列资料组成：</w:t>
      </w:r>
    </w:p>
    <w:p w14:paraId="15DAA202">
      <w:pPr>
        <w:spacing w:line="360" w:lineRule="auto"/>
        <w:ind w:firstLine="480" w:firstLineChars="200"/>
        <w:rPr>
          <w:rFonts w:hint="eastAsia" w:ascii="宋体" w:hAnsi="宋体" w:eastAsia="宋体"/>
          <w:color w:val="auto"/>
          <w:spacing w:val="15"/>
          <w:highlight w:val="none"/>
        </w:rPr>
      </w:pPr>
      <w:r>
        <w:rPr>
          <w:rFonts w:ascii="宋体" w:hAnsi="宋体" w:eastAsia="宋体"/>
          <w:color w:val="auto"/>
          <w:spacing w:val="15"/>
          <w:highlight w:val="none"/>
        </w:rPr>
        <w:t>(1)</w:t>
      </w:r>
      <w:r>
        <w:rPr>
          <w:rFonts w:hint="eastAsia" w:ascii="宋体" w:hAnsi="宋体" w:eastAsia="宋体"/>
          <w:color w:val="auto"/>
          <w:spacing w:val="15"/>
          <w:highlight w:val="none"/>
        </w:rPr>
        <w:t>投标函及投标函附录；</w:t>
      </w:r>
    </w:p>
    <w:p w14:paraId="4178E8A9">
      <w:pPr>
        <w:spacing w:line="360" w:lineRule="auto"/>
        <w:ind w:firstLine="480" w:firstLineChars="200"/>
        <w:rPr>
          <w:rFonts w:hint="eastAsia" w:ascii="宋体" w:hAnsi="宋体" w:eastAsia="宋体"/>
          <w:color w:val="auto"/>
          <w:spacing w:val="15"/>
          <w:highlight w:val="none"/>
        </w:rPr>
      </w:pPr>
      <w:r>
        <w:rPr>
          <w:rFonts w:ascii="宋体" w:hAnsi="宋体" w:eastAsia="宋体"/>
          <w:color w:val="auto"/>
          <w:spacing w:val="15"/>
          <w:highlight w:val="none"/>
        </w:rPr>
        <w:t>(2)</w:t>
      </w:r>
      <w:r>
        <w:rPr>
          <w:rFonts w:hint="eastAsia" w:ascii="宋体" w:hAnsi="宋体" w:eastAsia="宋体"/>
          <w:color w:val="auto"/>
          <w:spacing w:val="15"/>
          <w:highlight w:val="none"/>
        </w:rPr>
        <w:t>法定代表人身份证明及授权委托书；</w:t>
      </w:r>
    </w:p>
    <w:p w14:paraId="57CCA25D">
      <w:pPr>
        <w:spacing w:line="360" w:lineRule="auto"/>
        <w:ind w:firstLine="480" w:firstLineChars="200"/>
        <w:rPr>
          <w:rFonts w:hint="eastAsia" w:ascii="宋体" w:hAnsi="宋体" w:eastAsia="宋体"/>
          <w:color w:val="auto"/>
          <w:spacing w:val="15"/>
          <w:highlight w:val="none"/>
        </w:rPr>
      </w:pPr>
      <w:r>
        <w:rPr>
          <w:rFonts w:ascii="宋体" w:hAnsi="宋体" w:eastAsia="宋体"/>
          <w:color w:val="auto"/>
          <w:spacing w:val="15"/>
          <w:highlight w:val="none"/>
        </w:rPr>
        <w:t>(3)</w:t>
      </w:r>
      <w:r>
        <w:rPr>
          <w:rFonts w:hint="eastAsia" w:ascii="宋体" w:hAnsi="宋体" w:eastAsia="宋体"/>
          <w:color w:val="auto"/>
          <w:spacing w:val="15"/>
          <w:highlight w:val="none"/>
        </w:rPr>
        <w:t>联合体协议书；</w:t>
      </w:r>
    </w:p>
    <w:p w14:paraId="2C435F04">
      <w:pPr>
        <w:spacing w:line="360" w:lineRule="auto"/>
        <w:ind w:firstLine="480" w:firstLineChars="200"/>
        <w:rPr>
          <w:rFonts w:hint="eastAsia" w:ascii="宋体" w:hAnsi="宋体" w:eastAsia="宋体"/>
          <w:color w:val="auto"/>
          <w:spacing w:val="15"/>
          <w:highlight w:val="none"/>
        </w:rPr>
      </w:pPr>
      <w:r>
        <w:rPr>
          <w:rFonts w:ascii="宋体" w:hAnsi="宋体" w:eastAsia="宋体"/>
          <w:color w:val="auto"/>
          <w:spacing w:val="15"/>
          <w:highlight w:val="none"/>
        </w:rPr>
        <w:t>(4)</w:t>
      </w:r>
      <w:r>
        <w:rPr>
          <w:rFonts w:hint="eastAsia" w:ascii="宋体" w:hAnsi="宋体" w:eastAsia="宋体"/>
          <w:color w:val="auto"/>
          <w:spacing w:val="15"/>
          <w:highlight w:val="none"/>
        </w:rPr>
        <w:t>投标保证金；</w:t>
      </w:r>
    </w:p>
    <w:p w14:paraId="04E496B0">
      <w:pPr>
        <w:spacing w:line="360" w:lineRule="auto"/>
        <w:ind w:firstLine="480" w:firstLineChars="200"/>
        <w:rPr>
          <w:rFonts w:hint="eastAsia" w:ascii="宋体" w:hAnsi="宋体" w:eastAsia="宋体"/>
          <w:color w:val="auto"/>
          <w:spacing w:val="15"/>
          <w:highlight w:val="none"/>
        </w:rPr>
      </w:pPr>
      <w:r>
        <w:rPr>
          <w:rFonts w:ascii="宋体" w:hAnsi="宋体" w:eastAsia="宋体"/>
          <w:color w:val="auto"/>
          <w:spacing w:val="15"/>
          <w:highlight w:val="none"/>
        </w:rPr>
        <w:t>(5)</w:t>
      </w:r>
      <w:r>
        <w:rPr>
          <w:rFonts w:hint="eastAsia" w:ascii="宋体" w:hAnsi="宋体" w:eastAsia="宋体"/>
          <w:color w:val="auto"/>
          <w:spacing w:val="15"/>
          <w:highlight w:val="none"/>
        </w:rPr>
        <w:t>勘察设计费报价表；</w:t>
      </w:r>
    </w:p>
    <w:p w14:paraId="76FEF204">
      <w:pPr>
        <w:spacing w:line="360" w:lineRule="auto"/>
        <w:ind w:firstLine="480" w:firstLineChars="200"/>
        <w:rPr>
          <w:rFonts w:hint="eastAsia" w:ascii="宋体" w:hAnsi="宋体" w:eastAsia="宋体"/>
          <w:color w:val="auto"/>
          <w:spacing w:val="15"/>
          <w:highlight w:val="none"/>
        </w:rPr>
      </w:pPr>
      <w:r>
        <w:rPr>
          <w:rFonts w:ascii="宋体" w:hAnsi="宋体" w:eastAsia="宋体"/>
          <w:color w:val="auto"/>
          <w:spacing w:val="15"/>
          <w:highlight w:val="none"/>
        </w:rPr>
        <w:t>(6)</w:t>
      </w:r>
      <w:r>
        <w:rPr>
          <w:rFonts w:hint="eastAsia" w:ascii="宋体" w:hAnsi="宋体" w:eastAsia="宋体"/>
          <w:color w:val="auto"/>
          <w:spacing w:val="15"/>
          <w:highlight w:val="none"/>
        </w:rPr>
        <w:t>资格审查资料；</w:t>
      </w:r>
    </w:p>
    <w:p w14:paraId="7B93334B">
      <w:pPr>
        <w:spacing w:line="360" w:lineRule="auto"/>
        <w:ind w:firstLine="480" w:firstLineChars="200"/>
        <w:rPr>
          <w:rFonts w:hint="eastAsia" w:ascii="宋体" w:hAnsi="宋体" w:eastAsia="宋体"/>
          <w:color w:val="auto"/>
          <w:spacing w:val="15"/>
          <w:highlight w:val="none"/>
        </w:rPr>
      </w:pPr>
      <w:r>
        <w:rPr>
          <w:rFonts w:ascii="宋体" w:hAnsi="宋体" w:eastAsia="宋体"/>
          <w:color w:val="auto"/>
          <w:spacing w:val="15"/>
          <w:highlight w:val="none"/>
        </w:rPr>
        <w:t>(7)</w:t>
      </w:r>
      <w:r>
        <w:rPr>
          <w:rFonts w:hint="eastAsia" w:ascii="宋体" w:hAnsi="宋体" w:eastAsia="宋体"/>
          <w:color w:val="auto"/>
          <w:spacing w:val="15"/>
          <w:highlight w:val="none"/>
        </w:rPr>
        <w:t>勘察设计方案；</w:t>
      </w:r>
    </w:p>
    <w:p w14:paraId="0AA24FC8">
      <w:pPr>
        <w:spacing w:line="360" w:lineRule="auto"/>
        <w:ind w:firstLine="480" w:firstLineChars="200"/>
        <w:rPr>
          <w:rFonts w:hint="eastAsia" w:ascii="宋体" w:hAnsi="宋体" w:eastAsia="宋体"/>
          <w:color w:val="auto"/>
          <w:spacing w:val="15"/>
          <w:highlight w:val="none"/>
        </w:rPr>
      </w:pPr>
      <w:r>
        <w:rPr>
          <w:rFonts w:ascii="宋体" w:hAnsi="宋体" w:eastAsia="宋体"/>
          <w:color w:val="auto"/>
          <w:spacing w:val="15"/>
          <w:highlight w:val="none"/>
        </w:rPr>
        <w:t>(8)</w:t>
      </w:r>
      <w:r>
        <w:rPr>
          <w:rFonts w:hint="eastAsia" w:ascii="宋体" w:hAnsi="宋体" w:eastAsia="宋体"/>
          <w:color w:val="auto"/>
          <w:spacing w:val="15"/>
          <w:highlight w:val="none"/>
        </w:rPr>
        <w:t>投标人须知前附表规定的其他资料。</w:t>
      </w:r>
    </w:p>
    <w:p w14:paraId="56C4D2FC">
      <w:pPr>
        <w:spacing w:line="360" w:lineRule="auto"/>
        <w:ind w:firstLine="454" w:firstLineChars="200"/>
        <w:rPr>
          <w:rFonts w:hint="eastAsia" w:ascii="宋体" w:hAnsi="宋体" w:eastAsia="宋体"/>
          <w:b/>
          <w:bCs/>
          <w:color w:val="auto"/>
          <w:spacing w:val="8"/>
          <w:highlight w:val="none"/>
        </w:rPr>
      </w:pPr>
      <w:r>
        <w:rPr>
          <w:rFonts w:hint="eastAsia" w:ascii="宋体" w:hAnsi="宋体" w:eastAsia="宋体"/>
          <w:b/>
          <w:bCs/>
          <w:color w:val="auto"/>
          <w:spacing w:val="8"/>
          <w:highlight w:val="none"/>
        </w:rPr>
        <w:t>现文：</w:t>
      </w:r>
      <w:r>
        <w:rPr>
          <w:rFonts w:hint="eastAsia" w:ascii="宋体" w:hAnsi="宋体" w:eastAsia="宋体"/>
          <w:color w:val="auto"/>
          <w:spacing w:val="14"/>
          <w:highlight w:val="none"/>
        </w:rPr>
        <w:t>3.1.1 商务文件（含资格审查文件）由下列资料组成：</w:t>
      </w:r>
    </w:p>
    <w:p w14:paraId="4124CA65">
      <w:pPr>
        <w:pStyle w:val="46"/>
        <w:rPr>
          <w:rFonts w:hint="eastAsia" w:ascii="宋体" w:hAnsi="宋体" w:eastAsia="宋体"/>
          <w:color w:val="auto"/>
          <w:spacing w:val="15"/>
          <w:sz w:val="21"/>
          <w:szCs w:val="21"/>
          <w:highlight w:val="none"/>
        </w:rPr>
      </w:pPr>
      <w:r>
        <w:rPr>
          <w:rFonts w:ascii="宋体" w:hAnsi="宋体" w:eastAsia="宋体"/>
          <w:color w:val="auto"/>
          <w:spacing w:val="15"/>
          <w:sz w:val="21"/>
          <w:szCs w:val="21"/>
          <w:highlight w:val="none"/>
        </w:rPr>
        <w:t>(1)</w:t>
      </w:r>
      <w:r>
        <w:rPr>
          <w:rFonts w:hint="eastAsia" w:ascii="宋体" w:hAnsi="宋体" w:eastAsia="宋体"/>
          <w:color w:val="auto"/>
          <w:spacing w:val="15"/>
          <w:sz w:val="21"/>
          <w:szCs w:val="21"/>
          <w:highlight w:val="none"/>
        </w:rPr>
        <w:t>投标函及投标函附录；</w:t>
      </w:r>
    </w:p>
    <w:p w14:paraId="41C7A978">
      <w:pPr>
        <w:pStyle w:val="46"/>
        <w:rPr>
          <w:rFonts w:hint="eastAsia" w:ascii="宋体" w:hAnsi="宋体" w:eastAsia="宋体"/>
          <w:color w:val="auto"/>
          <w:spacing w:val="15"/>
          <w:sz w:val="21"/>
          <w:szCs w:val="21"/>
          <w:highlight w:val="none"/>
        </w:rPr>
      </w:pPr>
      <w:r>
        <w:rPr>
          <w:rFonts w:ascii="宋体" w:hAnsi="宋体" w:eastAsia="宋体"/>
          <w:color w:val="auto"/>
          <w:spacing w:val="15"/>
          <w:sz w:val="21"/>
          <w:szCs w:val="21"/>
          <w:highlight w:val="none"/>
        </w:rPr>
        <w:t>(2)</w:t>
      </w:r>
      <w:r>
        <w:rPr>
          <w:rFonts w:hint="eastAsia" w:ascii="宋体" w:hAnsi="宋体" w:eastAsia="宋体"/>
          <w:color w:val="auto"/>
          <w:spacing w:val="15"/>
          <w:sz w:val="21"/>
          <w:szCs w:val="21"/>
          <w:highlight w:val="none"/>
        </w:rPr>
        <w:t>法定代表人身份证明及授权委托书；</w:t>
      </w:r>
    </w:p>
    <w:p w14:paraId="6BB2FD93">
      <w:pPr>
        <w:pStyle w:val="46"/>
        <w:rPr>
          <w:rFonts w:hint="eastAsia" w:ascii="宋体" w:hAnsi="宋体" w:eastAsia="宋体"/>
          <w:color w:val="auto"/>
          <w:spacing w:val="15"/>
          <w:sz w:val="21"/>
          <w:szCs w:val="21"/>
          <w:highlight w:val="none"/>
        </w:rPr>
      </w:pPr>
      <w:r>
        <w:rPr>
          <w:rFonts w:ascii="宋体" w:hAnsi="宋体" w:eastAsia="宋体"/>
          <w:color w:val="auto"/>
          <w:spacing w:val="15"/>
          <w:sz w:val="21"/>
          <w:szCs w:val="21"/>
          <w:highlight w:val="none"/>
        </w:rPr>
        <w:t>(3)</w:t>
      </w:r>
      <w:r>
        <w:rPr>
          <w:rFonts w:hint="eastAsia" w:ascii="宋体" w:hAnsi="宋体" w:eastAsia="宋体"/>
          <w:color w:val="auto"/>
          <w:spacing w:val="15"/>
          <w:sz w:val="21"/>
          <w:szCs w:val="21"/>
          <w:highlight w:val="none"/>
        </w:rPr>
        <w:t>联合体协议书；</w:t>
      </w:r>
    </w:p>
    <w:p w14:paraId="0EB38CDD">
      <w:pPr>
        <w:pStyle w:val="46"/>
        <w:rPr>
          <w:rFonts w:hint="eastAsia" w:ascii="宋体" w:hAnsi="宋体" w:eastAsia="宋体"/>
          <w:strike/>
          <w:color w:val="auto"/>
          <w:spacing w:val="15"/>
          <w:sz w:val="21"/>
          <w:szCs w:val="21"/>
          <w:highlight w:val="none"/>
        </w:rPr>
      </w:pPr>
      <w:r>
        <w:rPr>
          <w:rFonts w:ascii="宋体" w:hAnsi="宋体" w:eastAsia="宋体"/>
          <w:strike/>
          <w:color w:val="auto"/>
          <w:spacing w:val="15"/>
          <w:sz w:val="21"/>
          <w:szCs w:val="21"/>
          <w:highlight w:val="none"/>
        </w:rPr>
        <w:t>(4)</w:t>
      </w:r>
      <w:r>
        <w:rPr>
          <w:rFonts w:hint="eastAsia" w:ascii="宋体" w:hAnsi="宋体" w:eastAsia="宋体"/>
          <w:strike/>
          <w:color w:val="auto"/>
          <w:spacing w:val="15"/>
          <w:sz w:val="21"/>
          <w:szCs w:val="21"/>
          <w:highlight w:val="none"/>
        </w:rPr>
        <w:t>投标保证金；</w:t>
      </w:r>
    </w:p>
    <w:p w14:paraId="2BD3C768">
      <w:pPr>
        <w:pStyle w:val="46"/>
        <w:rPr>
          <w:rFonts w:hint="eastAsia" w:ascii="宋体" w:hAnsi="宋体" w:eastAsia="宋体"/>
          <w:color w:val="auto"/>
          <w:spacing w:val="15"/>
          <w:sz w:val="21"/>
          <w:szCs w:val="21"/>
          <w:highlight w:val="none"/>
        </w:rPr>
      </w:pPr>
      <w:r>
        <w:rPr>
          <w:rFonts w:ascii="宋体" w:hAnsi="宋体" w:eastAsia="宋体"/>
          <w:color w:val="auto"/>
          <w:spacing w:val="15"/>
          <w:sz w:val="21"/>
          <w:szCs w:val="21"/>
          <w:highlight w:val="none"/>
        </w:rPr>
        <w:t>(5)</w:t>
      </w:r>
      <w:r>
        <w:rPr>
          <w:rFonts w:hint="eastAsia" w:ascii="宋体" w:hAnsi="宋体" w:eastAsia="宋体"/>
          <w:color w:val="auto"/>
          <w:spacing w:val="15"/>
          <w:sz w:val="21"/>
          <w:szCs w:val="21"/>
          <w:highlight w:val="none"/>
        </w:rPr>
        <w:t>勘察设计费报价表；</w:t>
      </w:r>
    </w:p>
    <w:p w14:paraId="7E9AD7CD">
      <w:pPr>
        <w:pStyle w:val="46"/>
        <w:rPr>
          <w:rFonts w:hint="eastAsia" w:ascii="宋体" w:hAnsi="宋体" w:eastAsia="宋体"/>
          <w:color w:val="auto"/>
          <w:spacing w:val="15"/>
          <w:sz w:val="21"/>
          <w:szCs w:val="21"/>
          <w:highlight w:val="none"/>
        </w:rPr>
      </w:pPr>
      <w:r>
        <w:rPr>
          <w:rFonts w:ascii="宋体" w:hAnsi="宋体" w:eastAsia="宋体"/>
          <w:color w:val="auto"/>
          <w:spacing w:val="15"/>
          <w:sz w:val="21"/>
          <w:szCs w:val="21"/>
          <w:highlight w:val="none"/>
        </w:rPr>
        <w:t>(6)</w:t>
      </w:r>
      <w:r>
        <w:rPr>
          <w:rFonts w:hint="eastAsia" w:ascii="宋体" w:hAnsi="宋体" w:eastAsia="宋体"/>
          <w:color w:val="auto"/>
          <w:spacing w:val="15"/>
          <w:sz w:val="21"/>
          <w:szCs w:val="21"/>
          <w:highlight w:val="none"/>
        </w:rPr>
        <w:t>资格审查资料；</w:t>
      </w:r>
    </w:p>
    <w:p w14:paraId="7E68A9A7">
      <w:pPr>
        <w:pStyle w:val="46"/>
        <w:rPr>
          <w:rFonts w:hint="eastAsia" w:ascii="宋体" w:hAnsi="宋体" w:eastAsia="宋体"/>
          <w:color w:val="auto"/>
          <w:spacing w:val="15"/>
          <w:sz w:val="21"/>
          <w:szCs w:val="21"/>
          <w:highlight w:val="none"/>
        </w:rPr>
      </w:pPr>
      <w:r>
        <w:rPr>
          <w:rFonts w:ascii="宋体" w:hAnsi="宋体" w:eastAsia="宋体"/>
          <w:color w:val="auto"/>
          <w:spacing w:val="15"/>
          <w:sz w:val="21"/>
          <w:szCs w:val="21"/>
          <w:highlight w:val="none"/>
        </w:rPr>
        <w:t>(7)</w:t>
      </w:r>
      <w:r>
        <w:rPr>
          <w:rFonts w:hint="eastAsia" w:ascii="宋体" w:hAnsi="宋体" w:eastAsia="宋体"/>
          <w:color w:val="auto"/>
          <w:spacing w:val="15"/>
          <w:sz w:val="21"/>
          <w:szCs w:val="21"/>
          <w:highlight w:val="none"/>
        </w:rPr>
        <w:t>勘察设计方案；</w:t>
      </w:r>
    </w:p>
    <w:p w14:paraId="623FE1DA">
      <w:pPr>
        <w:pStyle w:val="46"/>
        <w:rPr>
          <w:color w:val="auto"/>
          <w:highlight w:val="none"/>
        </w:rPr>
      </w:pPr>
      <w:r>
        <w:rPr>
          <w:rFonts w:ascii="宋体" w:hAnsi="宋体" w:eastAsia="宋体"/>
          <w:color w:val="auto"/>
          <w:spacing w:val="15"/>
          <w:sz w:val="21"/>
          <w:szCs w:val="21"/>
          <w:highlight w:val="none"/>
        </w:rPr>
        <w:t>(8)</w:t>
      </w:r>
      <w:r>
        <w:rPr>
          <w:rFonts w:hint="eastAsia" w:ascii="宋体" w:hAnsi="宋体" w:eastAsia="宋体"/>
          <w:color w:val="auto"/>
          <w:spacing w:val="15"/>
          <w:sz w:val="21"/>
          <w:szCs w:val="21"/>
          <w:highlight w:val="none"/>
        </w:rPr>
        <w:t>投标人须知前附表规定的其他资料。</w:t>
      </w:r>
    </w:p>
    <w:p w14:paraId="5D36194F">
      <w:pPr>
        <w:spacing w:line="360" w:lineRule="auto"/>
        <w:ind w:firstLine="482" w:firstLineChars="200"/>
        <w:rPr>
          <w:rFonts w:hint="eastAsia" w:ascii="宋体" w:hAnsi="宋体" w:eastAsia="宋体"/>
          <w:b/>
          <w:bCs/>
          <w:color w:val="auto"/>
          <w:sz w:val="24"/>
          <w:szCs w:val="24"/>
          <w:highlight w:val="none"/>
        </w:rPr>
      </w:pPr>
    </w:p>
    <w:p w14:paraId="61A5C87F">
      <w:pPr>
        <w:spacing w:line="360" w:lineRule="auto"/>
        <w:ind w:firstLine="482" w:firstLineChars="200"/>
        <w:rPr>
          <w:rFonts w:hint="eastAsia"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：3.</w:t>
      </w:r>
      <w:r>
        <w:rPr>
          <w:rFonts w:hint="eastAsia" w:ascii="宋体" w:hAnsi="宋体" w:eastAsia="宋体"/>
          <w:color w:val="auto"/>
          <w:sz w:val="24"/>
          <w:szCs w:val="24"/>
          <w:highlight w:val="none"/>
        </w:rPr>
        <w:t xml:space="preserve">3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rPr>
        <w:t>修改</w:t>
      </w:r>
    </w:p>
    <w:p w14:paraId="469B2F72">
      <w:pPr>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原文：</w:t>
      </w:r>
      <w:r>
        <w:rPr>
          <w:rFonts w:ascii="宋体" w:hAnsi="宋体" w:eastAsia="宋体"/>
          <w:color w:val="auto"/>
          <w:spacing w:val="-2"/>
          <w:highlight w:val="none"/>
        </w:rPr>
        <w:t>3.3  投标有效期</w:t>
      </w:r>
    </w:p>
    <w:p w14:paraId="466F8969">
      <w:pPr>
        <w:spacing w:before="69" w:line="220" w:lineRule="auto"/>
        <w:ind w:left="421"/>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3</w:t>
      </w:r>
      <w:r>
        <w:rPr>
          <w:rFonts w:ascii="Times New Roman" w:hAnsi="Times New Roman" w:eastAsia="Times New Roman"/>
          <w:color w:val="auto"/>
          <w:spacing w:val="-2"/>
          <w:highlight w:val="none"/>
        </w:rPr>
        <w:t xml:space="preserve">.3.1  </w:t>
      </w:r>
      <w:r>
        <w:rPr>
          <w:rFonts w:ascii="宋体" w:hAnsi="宋体" w:eastAsia="宋体"/>
          <w:color w:val="auto"/>
          <w:spacing w:val="-2"/>
          <w:highlight w:val="none"/>
        </w:rPr>
        <w:t xml:space="preserve">除投标人须知前附表另有规定外，投标有效期为 </w:t>
      </w:r>
      <w:r>
        <w:rPr>
          <w:rFonts w:ascii="Times New Roman" w:hAnsi="Times New Roman" w:eastAsia="Times New Roman"/>
          <w:color w:val="auto"/>
          <w:spacing w:val="-2"/>
          <w:highlight w:val="none"/>
        </w:rPr>
        <w:t xml:space="preserve">90 </w:t>
      </w:r>
      <w:r>
        <w:rPr>
          <w:rFonts w:ascii="宋体" w:hAnsi="宋体" w:eastAsia="宋体"/>
          <w:color w:val="auto"/>
          <w:spacing w:val="-2"/>
          <w:highlight w:val="none"/>
        </w:rPr>
        <w:t>天。</w:t>
      </w:r>
    </w:p>
    <w:p w14:paraId="517B3167">
      <w:pPr>
        <w:spacing w:before="151" w:line="217" w:lineRule="auto"/>
        <w:ind w:left="421"/>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3.3.2  </w:t>
      </w:r>
      <w:r>
        <w:rPr>
          <w:rFonts w:ascii="宋体" w:hAnsi="宋体" w:eastAsia="宋体"/>
          <w:color w:val="auto"/>
          <w:spacing w:val="-1"/>
          <w:highlight w:val="none"/>
        </w:rPr>
        <w:t>在投标有效期内，投标人撤销投标文件的，应承担招标文件和法律规定</w:t>
      </w:r>
      <w:r>
        <w:rPr>
          <w:rFonts w:ascii="宋体" w:hAnsi="宋体" w:eastAsia="宋体"/>
          <w:color w:val="auto"/>
          <w:highlight w:val="none"/>
        </w:rPr>
        <w:t>的责任。</w:t>
      </w:r>
    </w:p>
    <w:p w14:paraId="4FFE1AE4">
      <w:pPr>
        <w:spacing w:before="153" w:line="356" w:lineRule="auto"/>
        <w:ind w:right="2" w:firstLine="421"/>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3.</w:t>
      </w:r>
      <w:r>
        <w:rPr>
          <w:rFonts w:ascii="Times New Roman" w:hAnsi="Times New Roman" w:eastAsia="Times New Roman"/>
          <w:color w:val="auto"/>
          <w:spacing w:val="-5"/>
          <w:highlight w:val="none"/>
        </w:rPr>
        <w:t>3</w:t>
      </w:r>
      <w:r>
        <w:rPr>
          <w:rFonts w:ascii="Times New Roman" w:hAnsi="Times New Roman" w:eastAsia="Times New Roman"/>
          <w:color w:val="auto"/>
          <w:spacing w:val="-4"/>
          <w:highlight w:val="none"/>
        </w:rPr>
        <w:t xml:space="preserve">.3  </w:t>
      </w:r>
      <w:r>
        <w:rPr>
          <w:rFonts w:ascii="宋体" w:hAnsi="宋体" w:eastAsia="宋体"/>
          <w:color w:val="auto"/>
          <w:spacing w:val="-4"/>
          <w:highlight w:val="none"/>
        </w:rPr>
        <w:t>出现特殊情况需要延长投标有效期的，招标人以书面形式通知所有投标人延长投标有</w:t>
      </w:r>
      <w:r>
        <w:rPr>
          <w:rFonts w:ascii="宋体" w:hAnsi="宋体" w:eastAsia="宋体"/>
          <w:color w:val="auto"/>
          <w:highlight w:val="none"/>
        </w:rPr>
        <w:t xml:space="preserve"> </w:t>
      </w:r>
      <w:r>
        <w:rPr>
          <w:rFonts w:ascii="宋体" w:hAnsi="宋体" w:eastAsia="宋体"/>
          <w:color w:val="auto"/>
          <w:spacing w:val="1"/>
          <w:highlight w:val="none"/>
        </w:rPr>
        <w:t>效期。投标人应予以书面答复，同意</w:t>
      </w:r>
      <w:r>
        <w:rPr>
          <w:rFonts w:ascii="宋体" w:hAnsi="宋体" w:eastAsia="宋体"/>
          <w:color w:val="auto"/>
          <w:highlight w:val="none"/>
        </w:rPr>
        <w:t>延长的</w:t>
      </w:r>
      <w:r>
        <w:rPr>
          <w:rFonts w:hint="eastAsia" w:ascii="宋体" w:hAnsi="宋体" w:eastAsia="宋体"/>
          <w:color w:val="auto"/>
          <w:highlight w:val="none"/>
        </w:rPr>
        <w:t>，</w:t>
      </w:r>
      <w:r>
        <w:rPr>
          <w:rFonts w:ascii="宋体" w:hAnsi="宋体" w:eastAsia="宋体"/>
          <w:color w:val="auto"/>
          <w:highlight w:val="none"/>
        </w:rPr>
        <w:t>应相应延长其投标保证金的有效期</w:t>
      </w:r>
      <w:r>
        <w:rPr>
          <w:rFonts w:hint="eastAsia" w:ascii="宋体" w:hAnsi="宋体" w:eastAsia="宋体"/>
          <w:color w:val="auto"/>
          <w:highlight w:val="none"/>
        </w:rPr>
        <w:t>，</w:t>
      </w:r>
      <w:r>
        <w:rPr>
          <w:rFonts w:ascii="宋体" w:hAnsi="宋体" w:eastAsia="宋体"/>
          <w:color w:val="auto"/>
          <w:highlight w:val="none"/>
        </w:rPr>
        <w:t xml:space="preserve">但不得要求 </w:t>
      </w:r>
      <w:r>
        <w:rPr>
          <w:rFonts w:ascii="宋体" w:hAnsi="宋体" w:eastAsia="宋体"/>
          <w:color w:val="auto"/>
          <w:spacing w:val="1"/>
          <w:highlight w:val="none"/>
        </w:rPr>
        <w:t>或被允许修改其投标文件；投标人拒绝延长的</w:t>
      </w:r>
      <w:r>
        <w:rPr>
          <w:rFonts w:ascii="宋体" w:hAnsi="宋体" w:eastAsia="宋体"/>
          <w:color w:val="auto"/>
          <w:highlight w:val="none"/>
        </w:rPr>
        <w:t>，其投标失效</w:t>
      </w:r>
      <w:r>
        <w:rPr>
          <w:rFonts w:hint="eastAsia" w:ascii="宋体" w:hAnsi="宋体" w:eastAsia="宋体"/>
          <w:color w:val="auto"/>
          <w:highlight w:val="none"/>
        </w:rPr>
        <w:t>，</w:t>
      </w:r>
      <w:r>
        <w:rPr>
          <w:rFonts w:ascii="宋体" w:hAnsi="宋体" w:eastAsia="宋体"/>
          <w:color w:val="auto"/>
          <w:highlight w:val="none"/>
        </w:rPr>
        <w:t>但投标人有权收回其投标保证金</w:t>
      </w:r>
      <w:r>
        <w:rPr>
          <w:rFonts w:hint="eastAsia" w:ascii="宋体" w:hAnsi="宋体" w:eastAsia="宋体"/>
          <w:color w:val="auto"/>
          <w:highlight w:val="none"/>
        </w:rPr>
        <w:t>。</w:t>
      </w:r>
    </w:p>
    <w:p w14:paraId="68579EFD">
      <w:pPr>
        <w:rPr>
          <w:rFonts w:ascii="Times New Roman" w:hAnsi="Times New Roman" w:eastAsia="宋体"/>
          <w:b/>
          <w:bCs/>
          <w:color w:val="auto"/>
          <w:spacing w:val="10"/>
          <w:sz w:val="27"/>
          <w:szCs w:val="27"/>
          <w:highlight w:val="none"/>
        </w:rPr>
      </w:pPr>
      <w:r>
        <w:rPr>
          <w:rFonts w:hint="eastAsia" w:ascii="Times New Roman" w:hAnsi="Times New Roman" w:eastAsia="宋体"/>
          <w:b/>
          <w:bCs/>
          <w:color w:val="auto"/>
          <w:spacing w:val="10"/>
          <w:sz w:val="27"/>
          <w:szCs w:val="27"/>
          <w:highlight w:val="none"/>
        </w:rPr>
        <w:t>现文：</w:t>
      </w:r>
      <w:r>
        <w:rPr>
          <w:rFonts w:ascii="宋体" w:hAnsi="宋体" w:eastAsia="宋体"/>
          <w:color w:val="auto"/>
          <w:spacing w:val="-2"/>
          <w:highlight w:val="none"/>
        </w:rPr>
        <w:t>3.3  投标有效期</w:t>
      </w:r>
    </w:p>
    <w:p w14:paraId="1ECD0071">
      <w:pPr>
        <w:spacing w:before="69" w:line="220" w:lineRule="auto"/>
        <w:ind w:left="421"/>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3</w:t>
      </w:r>
      <w:r>
        <w:rPr>
          <w:rFonts w:ascii="Times New Roman" w:hAnsi="Times New Roman" w:eastAsia="Times New Roman"/>
          <w:color w:val="auto"/>
          <w:spacing w:val="-2"/>
          <w:highlight w:val="none"/>
        </w:rPr>
        <w:t xml:space="preserve">.3.1  </w:t>
      </w:r>
      <w:r>
        <w:rPr>
          <w:rFonts w:ascii="宋体" w:hAnsi="宋体" w:eastAsia="宋体"/>
          <w:color w:val="auto"/>
          <w:spacing w:val="-2"/>
          <w:highlight w:val="none"/>
        </w:rPr>
        <w:t xml:space="preserve">除投标人须知前附表另有规定外，投标有效期为 </w:t>
      </w:r>
      <w:r>
        <w:rPr>
          <w:rFonts w:ascii="Times New Roman" w:hAnsi="Times New Roman" w:eastAsia="Times New Roman"/>
          <w:color w:val="auto"/>
          <w:spacing w:val="-2"/>
          <w:highlight w:val="none"/>
        </w:rPr>
        <w:t xml:space="preserve">90 </w:t>
      </w:r>
      <w:r>
        <w:rPr>
          <w:rFonts w:ascii="宋体" w:hAnsi="宋体" w:eastAsia="宋体"/>
          <w:color w:val="auto"/>
          <w:spacing w:val="-2"/>
          <w:highlight w:val="none"/>
        </w:rPr>
        <w:t>天。</w:t>
      </w:r>
    </w:p>
    <w:p w14:paraId="6CE5AD81">
      <w:pPr>
        <w:spacing w:before="151" w:line="217" w:lineRule="auto"/>
        <w:ind w:left="421"/>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3.3.2  </w:t>
      </w:r>
      <w:r>
        <w:rPr>
          <w:rFonts w:ascii="宋体" w:hAnsi="宋体" w:eastAsia="宋体"/>
          <w:color w:val="auto"/>
          <w:spacing w:val="-1"/>
          <w:highlight w:val="none"/>
        </w:rPr>
        <w:t>在投标有效期内，投标人撤销投标文件的，应承担招标文件和法律规定</w:t>
      </w:r>
      <w:r>
        <w:rPr>
          <w:rFonts w:ascii="宋体" w:hAnsi="宋体" w:eastAsia="宋体"/>
          <w:color w:val="auto"/>
          <w:highlight w:val="none"/>
        </w:rPr>
        <w:t>的责任。</w:t>
      </w:r>
    </w:p>
    <w:p w14:paraId="759B7434">
      <w:pPr>
        <w:spacing w:before="153" w:line="356" w:lineRule="auto"/>
        <w:ind w:right="2" w:firstLine="421"/>
        <w:rPr>
          <w:rFonts w:hint="eastAsia" w:ascii="宋体" w:hAnsi="宋体" w:eastAsia="宋体"/>
          <w:color w:val="auto"/>
          <w:highlight w:val="none"/>
        </w:rPr>
      </w:pPr>
      <w:r>
        <w:rPr>
          <w:rFonts w:ascii="Times New Roman" w:hAnsi="Times New Roman" w:eastAsia="Times New Roman"/>
          <w:color w:val="auto"/>
          <w:spacing w:val="-8"/>
          <w:highlight w:val="none"/>
        </w:rPr>
        <w:t>3.</w:t>
      </w:r>
      <w:r>
        <w:rPr>
          <w:rFonts w:ascii="Times New Roman" w:hAnsi="Times New Roman" w:eastAsia="Times New Roman"/>
          <w:color w:val="auto"/>
          <w:spacing w:val="-5"/>
          <w:highlight w:val="none"/>
        </w:rPr>
        <w:t>3</w:t>
      </w:r>
      <w:r>
        <w:rPr>
          <w:rFonts w:ascii="Times New Roman" w:hAnsi="Times New Roman" w:eastAsia="Times New Roman"/>
          <w:color w:val="auto"/>
          <w:spacing w:val="-4"/>
          <w:highlight w:val="none"/>
        </w:rPr>
        <w:t xml:space="preserve">.3  </w:t>
      </w:r>
      <w:r>
        <w:rPr>
          <w:rFonts w:ascii="宋体" w:hAnsi="宋体" w:eastAsia="宋体"/>
          <w:color w:val="auto"/>
          <w:spacing w:val="-4"/>
          <w:highlight w:val="none"/>
        </w:rPr>
        <w:t>出现特殊情况需要延长投标有效期的，招标人以书面形式通知所有投标人延长投标有</w:t>
      </w:r>
      <w:r>
        <w:rPr>
          <w:rFonts w:ascii="宋体" w:hAnsi="宋体" w:eastAsia="宋体"/>
          <w:color w:val="auto"/>
          <w:highlight w:val="none"/>
        </w:rPr>
        <w:t xml:space="preserve"> </w:t>
      </w:r>
      <w:r>
        <w:rPr>
          <w:rFonts w:ascii="宋体" w:hAnsi="宋体" w:eastAsia="宋体"/>
          <w:color w:val="auto"/>
          <w:spacing w:val="1"/>
          <w:highlight w:val="none"/>
        </w:rPr>
        <w:t>效期。投标人应予以书面答复，同意</w:t>
      </w:r>
      <w:r>
        <w:rPr>
          <w:rFonts w:ascii="宋体" w:hAnsi="宋体" w:eastAsia="宋体"/>
          <w:color w:val="auto"/>
          <w:highlight w:val="none"/>
        </w:rPr>
        <w:t>延长的</w:t>
      </w:r>
      <w:r>
        <w:rPr>
          <w:rFonts w:hint="eastAsia" w:ascii="宋体" w:hAnsi="宋体" w:eastAsia="宋体"/>
          <w:color w:val="auto"/>
          <w:highlight w:val="none"/>
        </w:rPr>
        <w:t>，</w:t>
      </w:r>
      <w:r>
        <w:rPr>
          <w:rFonts w:ascii="宋体" w:hAnsi="宋体" w:eastAsia="宋体"/>
          <w:color w:val="auto"/>
          <w:highlight w:val="none"/>
        </w:rPr>
        <w:t>应相应延长其</w:t>
      </w:r>
      <w:r>
        <w:rPr>
          <w:rFonts w:ascii="宋体" w:hAnsi="宋体" w:eastAsia="宋体"/>
          <w:strike/>
          <w:color w:val="auto"/>
          <w:highlight w:val="none"/>
        </w:rPr>
        <w:t>投标保证金</w:t>
      </w:r>
      <w:r>
        <w:rPr>
          <w:rFonts w:ascii="宋体" w:hAnsi="宋体" w:eastAsia="宋体"/>
          <w:color w:val="auto"/>
          <w:highlight w:val="none"/>
        </w:rPr>
        <w:t>的有效期</w:t>
      </w:r>
      <w:r>
        <w:rPr>
          <w:rFonts w:hint="eastAsia" w:ascii="宋体" w:hAnsi="宋体" w:eastAsia="宋体"/>
          <w:color w:val="auto"/>
          <w:highlight w:val="none"/>
        </w:rPr>
        <w:t>，</w:t>
      </w:r>
      <w:r>
        <w:rPr>
          <w:rFonts w:ascii="宋体" w:hAnsi="宋体" w:eastAsia="宋体"/>
          <w:color w:val="auto"/>
          <w:highlight w:val="none"/>
        </w:rPr>
        <w:t xml:space="preserve">但不得要求 </w:t>
      </w:r>
      <w:r>
        <w:rPr>
          <w:rFonts w:ascii="宋体" w:hAnsi="宋体" w:eastAsia="宋体"/>
          <w:color w:val="auto"/>
          <w:spacing w:val="1"/>
          <w:highlight w:val="none"/>
        </w:rPr>
        <w:t>或被允许修改其投标文件；投标人拒绝延长的</w:t>
      </w:r>
      <w:r>
        <w:rPr>
          <w:rFonts w:ascii="宋体" w:hAnsi="宋体" w:eastAsia="宋体"/>
          <w:color w:val="auto"/>
          <w:highlight w:val="none"/>
        </w:rPr>
        <w:t>，其投标失效</w:t>
      </w:r>
      <w:r>
        <w:rPr>
          <w:rFonts w:hint="eastAsia" w:ascii="宋体" w:hAnsi="宋体" w:eastAsia="宋体"/>
          <w:color w:val="auto"/>
          <w:highlight w:val="none"/>
        </w:rPr>
        <w:t>，</w:t>
      </w:r>
      <w:r>
        <w:rPr>
          <w:rFonts w:ascii="宋体" w:hAnsi="宋体" w:eastAsia="宋体"/>
          <w:strike/>
          <w:color w:val="auto"/>
          <w:highlight w:val="none"/>
        </w:rPr>
        <w:t>但投标人有权收回其投标保证金</w:t>
      </w:r>
      <w:r>
        <w:rPr>
          <w:rFonts w:hint="eastAsia" w:ascii="宋体" w:hAnsi="宋体" w:eastAsia="宋体"/>
          <w:color w:val="auto"/>
          <w:highlight w:val="none"/>
        </w:rPr>
        <w:t>。</w:t>
      </w:r>
    </w:p>
    <w:p w14:paraId="532B88E1">
      <w:pPr>
        <w:spacing w:line="480" w:lineRule="auto"/>
        <w:ind w:firstLine="540" w:firstLineChars="224"/>
        <w:rPr>
          <w:rFonts w:hint="eastAsia"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：3.</w:t>
      </w:r>
      <w:r>
        <w:rPr>
          <w:rFonts w:hint="eastAsia" w:ascii="宋体" w:hAnsi="宋体" w:eastAsia="宋体"/>
          <w:color w:val="auto"/>
          <w:sz w:val="24"/>
          <w:szCs w:val="24"/>
          <w:highlight w:val="none"/>
        </w:rPr>
        <w:t xml:space="preserve">4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rPr>
        <w:t>修改</w:t>
      </w:r>
    </w:p>
    <w:p w14:paraId="78D851DF">
      <w:pPr>
        <w:rPr>
          <w:rFonts w:ascii="Times New Roman" w:hAnsi="Times New Roman" w:eastAsia="Times New Roman"/>
          <w:color w:val="auto"/>
          <w:spacing w:val="10"/>
          <w:sz w:val="27"/>
          <w:szCs w:val="27"/>
          <w:highlight w:val="none"/>
        </w:rPr>
      </w:pPr>
      <w:r>
        <w:rPr>
          <w:rFonts w:hint="eastAsia" w:ascii="宋体" w:hAnsi="宋体" w:eastAsia="宋体"/>
          <w:b/>
          <w:bCs/>
          <w:color w:val="auto"/>
          <w:sz w:val="24"/>
          <w:szCs w:val="24"/>
          <w:highlight w:val="none"/>
        </w:rPr>
        <w:t>原文：</w:t>
      </w:r>
      <w:r>
        <w:rPr>
          <w:rFonts w:ascii="Times New Roman" w:hAnsi="Times New Roman" w:eastAsia="Times New Roman"/>
          <w:color w:val="auto"/>
          <w:spacing w:val="10"/>
          <w:sz w:val="27"/>
          <w:szCs w:val="27"/>
          <w:highlight w:val="none"/>
        </w:rPr>
        <w:t>3</w:t>
      </w:r>
      <w:r>
        <w:rPr>
          <w:rFonts w:ascii="Times New Roman" w:hAnsi="Times New Roman" w:eastAsia="Times New Roman"/>
          <w:color w:val="auto"/>
          <w:spacing w:val="6"/>
          <w:sz w:val="27"/>
          <w:szCs w:val="27"/>
          <w:highlight w:val="none"/>
        </w:rPr>
        <w:t>.</w:t>
      </w:r>
      <w:r>
        <w:rPr>
          <w:rFonts w:ascii="Times New Roman" w:hAnsi="Times New Roman" w:eastAsia="Times New Roman"/>
          <w:color w:val="auto"/>
          <w:spacing w:val="5"/>
          <w:sz w:val="27"/>
          <w:szCs w:val="27"/>
          <w:highlight w:val="none"/>
        </w:rPr>
        <w:t xml:space="preserve">4  </w:t>
      </w:r>
      <w:r>
        <w:rPr>
          <w:rFonts w:ascii="宋体" w:hAnsi="宋体" w:eastAsia="宋体"/>
          <w:color w:val="auto"/>
          <w:spacing w:val="-2"/>
          <w:highlight w:val="none"/>
        </w:rPr>
        <w:t>投标保证金</w:t>
      </w:r>
    </w:p>
    <w:p w14:paraId="2B761B2C">
      <w:pPr>
        <w:spacing w:before="69" w:line="360" w:lineRule="auto"/>
        <w:ind w:firstLine="418" w:firstLineChars="207"/>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 xml:space="preserve">3.4.1  </w:t>
      </w:r>
      <w:r>
        <w:rPr>
          <w:rFonts w:hint="eastAsia" w:ascii="Times New Roman" w:hAnsi="Times New Roman" w:eastAsia="Times New Roman"/>
          <w:color w:val="auto"/>
          <w:spacing w:val="-4"/>
          <w:highlight w:val="none"/>
        </w:rPr>
        <w:t>投标人应按投标须知前附表规定的金额和时间递交投标保证金。招标人应当允许投标人自主选择现金、银行保函、保证保险、专业工程担保公司担保等方式缴纳投标保证金。</w:t>
      </w:r>
      <w:r>
        <w:rPr>
          <w:rFonts w:hint="eastAsia" w:ascii="Times New Roman" w:hAnsi="Times New Roman" w:eastAsia="宋体"/>
          <w:color w:val="auto"/>
          <w:spacing w:val="-4"/>
          <w:highlight w:val="none"/>
        </w:rPr>
        <w:t>采用现金或者支票形式提交的，投标保证金须从投标人的银行基本账户转出。</w:t>
      </w:r>
      <w:r>
        <w:rPr>
          <w:rFonts w:hint="eastAsia" w:ascii="Times New Roman" w:hAnsi="Times New Roman" w:eastAsia="Times New Roman"/>
          <w:color w:val="auto"/>
          <w:spacing w:val="-4"/>
          <w:highlight w:val="none"/>
        </w:rPr>
        <w:t>联合体投标的，其投标保证金可以由</w:t>
      </w:r>
      <w:r>
        <w:rPr>
          <w:rFonts w:hint="eastAsia" w:ascii="Times New Roman" w:hAnsi="Times New Roman" w:eastAsia="宋体"/>
          <w:color w:val="auto"/>
          <w:spacing w:val="-4"/>
          <w:highlight w:val="none"/>
        </w:rPr>
        <w:t>主办方</w:t>
      </w:r>
      <w:r>
        <w:rPr>
          <w:rFonts w:hint="eastAsia" w:ascii="Times New Roman" w:hAnsi="Times New Roman" w:eastAsia="Times New Roman"/>
          <w:color w:val="auto"/>
          <w:spacing w:val="-4"/>
          <w:highlight w:val="none"/>
        </w:rPr>
        <w:t>递交，并应符合投标人须知前附表的规定。</w:t>
      </w:r>
    </w:p>
    <w:p w14:paraId="2D146533">
      <w:pPr>
        <w:spacing w:before="69" w:line="360" w:lineRule="auto"/>
        <w:ind w:firstLine="418" w:firstLineChars="207"/>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 xml:space="preserve">3.4.2  </w:t>
      </w:r>
      <w:r>
        <w:rPr>
          <w:rFonts w:hint="eastAsia" w:ascii="Times New Roman" w:hAnsi="Times New Roman" w:eastAsia="宋体"/>
          <w:color w:val="auto"/>
          <w:spacing w:val="-4"/>
          <w:highlight w:val="none"/>
        </w:rPr>
        <w:t>开标时投标人没有按</w:t>
      </w:r>
      <w:r>
        <w:rPr>
          <w:rFonts w:ascii="Times New Roman" w:hAnsi="Times New Roman" w:eastAsia="Times New Roman"/>
          <w:color w:val="auto"/>
          <w:spacing w:val="-4"/>
          <w:highlight w:val="none"/>
        </w:rPr>
        <w:t>要求提交投标保证金的，</w:t>
      </w:r>
      <w:r>
        <w:rPr>
          <w:rFonts w:hint="eastAsia" w:ascii="Times New Roman" w:hAnsi="Times New Roman" w:eastAsia="宋体"/>
          <w:color w:val="auto"/>
          <w:spacing w:val="-4"/>
          <w:highlight w:val="none"/>
        </w:rPr>
        <w:t>其投标文件将被否决</w:t>
      </w:r>
      <w:r>
        <w:rPr>
          <w:rFonts w:ascii="Times New Roman" w:hAnsi="Times New Roman" w:eastAsia="Times New Roman"/>
          <w:color w:val="auto"/>
          <w:spacing w:val="-4"/>
          <w:highlight w:val="none"/>
        </w:rPr>
        <w:t>。</w:t>
      </w:r>
    </w:p>
    <w:p w14:paraId="57EB2B4F">
      <w:pPr>
        <w:spacing w:before="69" w:line="360" w:lineRule="auto"/>
        <w:ind w:firstLine="418" w:firstLineChars="207"/>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 xml:space="preserve">3.4.3  </w:t>
      </w:r>
      <w:r>
        <w:rPr>
          <w:rFonts w:hint="eastAsia" w:ascii="Times New Roman" w:hAnsi="Times New Roman" w:eastAsia="Times New Roman"/>
          <w:color w:val="auto"/>
          <w:spacing w:val="-4"/>
          <w:highlight w:val="none"/>
        </w:rPr>
        <w:t>中标候选人以外的投标人的投标保证金将尽快退还，最迟不超过中标通知书发出之日起五日内；中标人和其他中标候选人的投标保证金，在书面合同订立之日起五日内予以退还</w:t>
      </w:r>
      <w:r>
        <w:rPr>
          <w:rFonts w:ascii="Times New Roman" w:hAnsi="Times New Roman" w:eastAsia="Times New Roman"/>
          <w:color w:val="auto"/>
          <w:spacing w:val="-4"/>
          <w:highlight w:val="none"/>
        </w:rPr>
        <w:t>。</w:t>
      </w:r>
    </w:p>
    <w:p w14:paraId="003FFB75">
      <w:pPr>
        <w:spacing w:before="69" w:line="360" w:lineRule="auto"/>
        <w:ind w:firstLine="418" w:firstLineChars="207"/>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3.4.4  有下列情形之一的，投标保证金将不予退还：</w:t>
      </w:r>
    </w:p>
    <w:p w14:paraId="5F04850B">
      <w:pPr>
        <w:spacing w:before="69" w:line="360" w:lineRule="auto"/>
        <w:ind w:firstLine="418" w:firstLineChars="207"/>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w:t>
      </w:r>
      <w:r>
        <w:rPr>
          <w:rFonts w:hint="eastAsia" w:ascii="Times New Roman" w:hAnsi="Times New Roman" w:eastAsia="宋体"/>
          <w:color w:val="auto"/>
          <w:spacing w:val="-4"/>
          <w:highlight w:val="none"/>
        </w:rPr>
        <w:t>1</w:t>
      </w:r>
      <w:r>
        <w:rPr>
          <w:rFonts w:ascii="Times New Roman" w:hAnsi="Times New Roman" w:eastAsia="Times New Roman"/>
          <w:color w:val="auto"/>
          <w:spacing w:val="-4"/>
          <w:highlight w:val="none"/>
        </w:rPr>
        <w:t>)</w:t>
      </w:r>
      <w:r>
        <w:rPr>
          <w:rFonts w:hint="eastAsia" w:ascii="Times New Roman" w:hAnsi="Times New Roman" w:eastAsia="宋体"/>
          <w:color w:val="auto"/>
          <w:spacing w:val="-4"/>
          <w:highlight w:val="none"/>
        </w:rPr>
        <w:t xml:space="preserve">  </w:t>
      </w:r>
      <w:r>
        <w:rPr>
          <w:rFonts w:hint="eastAsia" w:ascii="Times New Roman" w:hAnsi="Times New Roman" w:eastAsia="Times New Roman"/>
          <w:color w:val="auto"/>
          <w:spacing w:val="-4"/>
          <w:highlight w:val="none"/>
        </w:rPr>
        <w:t>投标人在规定的投标有效期内撤销其投标文件；</w:t>
      </w:r>
    </w:p>
    <w:p w14:paraId="501F4374">
      <w:pPr>
        <w:spacing w:before="69" w:line="360" w:lineRule="auto"/>
        <w:ind w:firstLine="418" w:firstLineChars="207"/>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w:t>
      </w:r>
      <w:r>
        <w:rPr>
          <w:rFonts w:hint="eastAsia" w:ascii="Times New Roman" w:hAnsi="Times New Roman" w:eastAsia="宋体"/>
          <w:color w:val="auto"/>
          <w:spacing w:val="-4"/>
          <w:highlight w:val="none"/>
        </w:rPr>
        <w:t>2</w:t>
      </w:r>
      <w:r>
        <w:rPr>
          <w:rFonts w:ascii="Times New Roman" w:hAnsi="Times New Roman" w:eastAsia="Times New Roman"/>
          <w:color w:val="auto"/>
          <w:spacing w:val="-4"/>
          <w:highlight w:val="none"/>
        </w:rPr>
        <w:t>)</w:t>
      </w:r>
      <w:r>
        <w:rPr>
          <w:rFonts w:hint="eastAsia" w:ascii="Times New Roman" w:hAnsi="Times New Roman" w:eastAsia="宋体"/>
          <w:color w:val="auto"/>
          <w:spacing w:val="-4"/>
          <w:highlight w:val="none"/>
        </w:rPr>
        <w:t xml:space="preserve">  </w:t>
      </w:r>
      <w:r>
        <w:rPr>
          <w:rFonts w:ascii="Times New Roman" w:hAnsi="Times New Roman" w:eastAsia="Times New Roman"/>
          <w:color w:val="auto"/>
          <w:spacing w:val="-4"/>
          <w:highlight w:val="none"/>
        </w:rPr>
        <w:t>中标人在收到中标通知书后，无正当理由不与招标人订立合同，在签订合同时向招标 人提出附加条件，或者不按照招标文件要求提交履约保证金</w:t>
      </w:r>
      <w:r>
        <w:rPr>
          <w:rFonts w:hint="eastAsia" w:ascii="Times New Roman" w:hAnsi="Times New Roman" w:eastAsia="宋体"/>
          <w:color w:val="auto"/>
          <w:spacing w:val="-4"/>
          <w:highlight w:val="none"/>
        </w:rPr>
        <w:t>。</w:t>
      </w:r>
    </w:p>
    <w:p w14:paraId="1077A0CE">
      <w:pPr>
        <w:spacing w:before="69" w:line="360" w:lineRule="auto"/>
        <w:ind w:firstLine="418" w:firstLineChars="207"/>
        <w:rPr>
          <w:rFonts w:ascii="Times New Roman" w:hAnsi="Times New Roman" w:eastAsiaTheme="minorEastAsia"/>
          <w:color w:val="auto"/>
          <w:spacing w:val="-4"/>
          <w:highlight w:val="none"/>
        </w:rPr>
      </w:pPr>
      <w:r>
        <w:rPr>
          <w:rFonts w:ascii="Times New Roman" w:hAnsi="Times New Roman" w:eastAsia="Times New Roman"/>
          <w:color w:val="auto"/>
          <w:spacing w:val="-4"/>
          <w:highlight w:val="none"/>
        </w:rPr>
        <w:t>3.4.5在提交投标文件截止时间后到招标文件规定的投标有效期终止之前，投标人不得撤销其投标文件，否则招标人可以不退还投标保证金。</w:t>
      </w:r>
    </w:p>
    <w:p w14:paraId="04D3E298">
      <w:pPr>
        <w:spacing w:before="1" w:line="351" w:lineRule="auto"/>
        <w:ind w:left="4" w:right="2" w:firstLine="355"/>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现文：</w:t>
      </w:r>
      <w:r>
        <w:rPr>
          <w:rFonts w:ascii="Times New Roman" w:hAnsi="Times New Roman" w:eastAsia="Times New Roman"/>
          <w:color w:val="auto"/>
          <w:spacing w:val="6"/>
          <w:sz w:val="27"/>
          <w:szCs w:val="27"/>
          <w:highlight w:val="none"/>
        </w:rPr>
        <w:t xml:space="preserve">3.4  </w:t>
      </w:r>
      <w:r>
        <w:rPr>
          <w:rFonts w:hint="eastAsia" w:ascii="宋体" w:hAnsi="宋体" w:eastAsia="宋体" w:cs="宋体"/>
          <w:color w:val="auto"/>
          <w:spacing w:val="6"/>
          <w:sz w:val="27"/>
          <w:szCs w:val="27"/>
          <w:highlight w:val="none"/>
        </w:rPr>
        <w:t>投标保证金</w:t>
      </w:r>
      <w:r>
        <w:rPr>
          <w:rFonts w:hint="eastAsia" w:ascii="宋体" w:hAnsi="宋体" w:eastAsia="宋体" w:cs="宋体"/>
          <w:color w:val="auto"/>
          <w:spacing w:val="6"/>
          <w:sz w:val="27"/>
          <w:szCs w:val="27"/>
          <w:highlight w:val="none"/>
          <w:lang w:val="en-US" w:eastAsia="zh-CN"/>
        </w:rPr>
        <w:t xml:space="preserve">    </w:t>
      </w:r>
    </w:p>
    <w:p w14:paraId="50A82E26">
      <w:pPr>
        <w:spacing w:before="69" w:line="360" w:lineRule="auto"/>
        <w:ind w:firstLine="418" w:firstLineChars="207"/>
        <w:rPr>
          <w:rFonts w:hint="default" w:ascii="Times New Roman" w:hAnsi="Times New Roman" w:eastAsia="Times New Roman" w:cs="Times New Roman"/>
          <w:color w:val="auto"/>
          <w:spacing w:val="-4"/>
          <w:highlight w:val="none"/>
        </w:rPr>
      </w:pPr>
      <w:r>
        <w:rPr>
          <w:rFonts w:hint="default" w:ascii="Times New Roman" w:hAnsi="Times New Roman" w:eastAsia="Times New Roman" w:cs="Times New Roman"/>
          <w:color w:val="auto"/>
          <w:spacing w:val="-4"/>
          <w:highlight w:val="none"/>
        </w:rPr>
        <w:t>3.4.1  本项目免收投标保证金，投标人需提供《关于投标保证金的承诺》（详见投标文件格式）。</w:t>
      </w:r>
    </w:p>
    <w:p w14:paraId="608D7F07">
      <w:pPr>
        <w:spacing w:before="69" w:line="360" w:lineRule="auto"/>
        <w:ind w:firstLine="418" w:firstLineChars="207"/>
        <w:rPr>
          <w:rFonts w:hint="default" w:ascii="Times New Roman" w:hAnsi="Times New Roman" w:eastAsia="Times New Roman" w:cs="Times New Roman"/>
          <w:color w:val="auto"/>
          <w:spacing w:val="-4"/>
          <w:highlight w:val="none"/>
        </w:rPr>
      </w:pPr>
      <w:r>
        <w:rPr>
          <w:rFonts w:hint="default" w:ascii="Times New Roman" w:hAnsi="Times New Roman" w:eastAsia="Times New Roman" w:cs="Times New Roman"/>
          <w:color w:val="auto"/>
          <w:spacing w:val="-4"/>
          <w:highlight w:val="none"/>
        </w:rPr>
        <w:t>3.4.2  若投标人存在3.4.3条款所列不予退还投标保证金情形的，需按照招标人的要求，在发现存在3.4.3条款所列情形之日起5个工作日内向招标人足额补交投标保证金。</w:t>
      </w:r>
    </w:p>
    <w:p w14:paraId="7525CB66">
      <w:pPr>
        <w:spacing w:before="69" w:line="360" w:lineRule="auto"/>
        <w:ind w:firstLine="418" w:firstLineChars="207"/>
        <w:rPr>
          <w:rFonts w:hint="default" w:ascii="Times New Roman" w:hAnsi="Times New Roman" w:eastAsia="Times New Roman" w:cs="Times New Roman"/>
          <w:color w:val="auto"/>
          <w:spacing w:val="-4"/>
          <w:highlight w:val="none"/>
        </w:rPr>
      </w:pPr>
      <w:r>
        <w:rPr>
          <w:rFonts w:hint="default" w:ascii="Times New Roman" w:hAnsi="Times New Roman" w:eastAsia="Times New Roman" w:cs="Times New Roman"/>
          <w:color w:val="auto"/>
          <w:spacing w:val="-4"/>
          <w:highlight w:val="none"/>
        </w:rPr>
        <w:t>3.4.3  有下列情形之一的，投标保证金将不予退还：</w:t>
      </w:r>
    </w:p>
    <w:p w14:paraId="6F9E377B">
      <w:pPr>
        <w:spacing w:before="69" w:line="360" w:lineRule="auto"/>
        <w:ind w:firstLine="418" w:firstLineChars="207"/>
        <w:rPr>
          <w:rFonts w:hint="default" w:ascii="Times New Roman" w:hAnsi="Times New Roman" w:eastAsia="Times New Roman" w:cs="Times New Roman"/>
          <w:color w:val="auto"/>
          <w:spacing w:val="-4"/>
          <w:highlight w:val="none"/>
        </w:rPr>
      </w:pPr>
      <w:r>
        <w:rPr>
          <w:rFonts w:hint="default" w:ascii="Times New Roman" w:hAnsi="Times New Roman" w:eastAsia="Times New Roman" w:cs="Times New Roman"/>
          <w:color w:val="auto"/>
          <w:spacing w:val="-4"/>
          <w:highlight w:val="none"/>
        </w:rPr>
        <w:t>(1)  投标人在规定的投标有效期内撤销其投标文件；</w:t>
      </w:r>
    </w:p>
    <w:p w14:paraId="0ED77656">
      <w:pPr>
        <w:spacing w:before="69" w:line="360" w:lineRule="auto"/>
        <w:ind w:firstLine="418" w:firstLineChars="207"/>
        <w:rPr>
          <w:rFonts w:hint="default" w:ascii="Times New Roman" w:hAnsi="Times New Roman" w:eastAsia="Times New Roman" w:cs="Times New Roman"/>
          <w:color w:val="auto"/>
          <w:spacing w:val="-4"/>
          <w:highlight w:val="none"/>
        </w:rPr>
      </w:pPr>
      <w:r>
        <w:rPr>
          <w:rFonts w:hint="default" w:ascii="Times New Roman" w:hAnsi="Times New Roman" w:eastAsia="Times New Roman" w:cs="Times New Roman"/>
          <w:color w:val="auto"/>
          <w:spacing w:val="-4"/>
          <w:highlight w:val="none"/>
        </w:rPr>
        <w:t>(2)  中标人在收到中标通知书后，无正当理由不与招标人订立合同，在签订合同时向招标 人提出附加条件，或者不按照招标文件要求提交履约保证金。</w:t>
      </w:r>
    </w:p>
    <w:p w14:paraId="296D66C3">
      <w:pPr>
        <w:pStyle w:val="46"/>
        <w:rPr>
          <w:color w:val="auto"/>
          <w:highlight w:val="none"/>
        </w:rPr>
      </w:pPr>
    </w:p>
    <w:p w14:paraId="687DA35C">
      <w:pPr>
        <w:spacing w:line="480" w:lineRule="auto"/>
        <w:ind w:firstLine="540" w:firstLineChars="224"/>
        <w:rPr>
          <w:rFonts w:hint="eastAsia"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：3.</w:t>
      </w:r>
      <w:r>
        <w:rPr>
          <w:rFonts w:hint="eastAsia" w:ascii="宋体" w:hAnsi="宋体" w:eastAsia="宋体"/>
          <w:color w:val="auto"/>
          <w:sz w:val="24"/>
          <w:szCs w:val="24"/>
          <w:highlight w:val="none"/>
        </w:rPr>
        <w:t>5</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rPr>
        <w:t>修改</w:t>
      </w:r>
    </w:p>
    <w:p w14:paraId="1978DB5F">
      <w:pPr>
        <w:spacing w:before="69" w:line="360" w:lineRule="auto"/>
        <w:ind w:firstLine="499" w:firstLineChars="207"/>
        <w:rPr>
          <w:rFonts w:ascii="宋体" w:hAnsi="宋体" w:eastAsia="宋体"/>
          <w:color w:val="auto"/>
          <w:sz w:val="24"/>
          <w:szCs w:val="24"/>
          <w:highlight w:val="none"/>
        </w:rPr>
      </w:pPr>
      <w:r>
        <w:rPr>
          <w:rFonts w:ascii="宋体" w:hAnsi="宋体" w:eastAsia="宋体"/>
          <w:b/>
          <w:bCs/>
          <w:color w:val="auto"/>
          <w:sz w:val="24"/>
          <w:szCs w:val="24"/>
          <w:highlight w:val="none"/>
        </w:rPr>
        <w:t>原文</w:t>
      </w:r>
      <w:r>
        <w:rPr>
          <w:rFonts w:ascii="宋体" w:hAnsi="宋体" w:eastAsia="宋体"/>
          <w:color w:val="auto"/>
          <w:sz w:val="24"/>
          <w:szCs w:val="24"/>
          <w:highlight w:val="none"/>
        </w:rPr>
        <w:t>：</w:t>
      </w:r>
    </w:p>
    <w:p w14:paraId="05B4DD8A">
      <w:pPr>
        <w:spacing w:before="1" w:line="351" w:lineRule="auto"/>
        <w:ind w:left="4" w:right="2" w:firstLine="355"/>
        <w:rPr>
          <w:rFonts w:hint="default" w:ascii="宋体" w:hAnsi="宋体" w:cs="Times New Roman"/>
          <w:color w:val="auto"/>
          <w:highlight w:val="none"/>
        </w:rPr>
      </w:pPr>
      <w:r>
        <w:rPr>
          <w:rFonts w:hint="default" w:ascii="宋体" w:hAnsi="宋体" w:cs="Times New Roman"/>
          <w:color w:val="auto"/>
          <w:highlight w:val="none"/>
        </w:rPr>
        <w:t>除投标人须知前附表另有规定外，投标人应按下列规定提供资格审查资料， 以证明其满足 本章第 1.4 款规定的资质、财务、业绩、信誉等要求。</w:t>
      </w:r>
    </w:p>
    <w:p w14:paraId="6DBF5C8A">
      <w:pPr>
        <w:spacing w:before="1" w:line="351" w:lineRule="auto"/>
        <w:ind w:left="4" w:right="2" w:firstLine="355"/>
        <w:rPr>
          <w:rFonts w:hint="default" w:ascii="宋体" w:hAnsi="宋体" w:cs="Times New Roman"/>
          <w:color w:val="auto"/>
          <w:highlight w:val="none"/>
        </w:rPr>
      </w:pPr>
      <w:r>
        <w:rPr>
          <w:rFonts w:hint="default" w:ascii="宋体" w:hAnsi="宋体" w:cs="Times New Roman"/>
          <w:color w:val="auto"/>
          <w:highlight w:val="none"/>
        </w:rPr>
        <w:t>3.5.1 “投标人基本情况表”应附投标人营业执照、投标人勘察、设计资质证书副本等材料的扫描件。</w:t>
      </w:r>
    </w:p>
    <w:p w14:paraId="451A7057">
      <w:pPr>
        <w:spacing w:before="1" w:line="351" w:lineRule="auto"/>
        <w:ind w:left="4" w:right="2" w:firstLine="355"/>
        <w:rPr>
          <w:rFonts w:hint="default" w:ascii="宋体" w:hAnsi="宋体" w:cs="Times New Roman"/>
          <w:color w:val="auto"/>
          <w:highlight w:val="none"/>
        </w:rPr>
      </w:pPr>
      <w:r>
        <w:rPr>
          <w:rFonts w:hint="default" w:ascii="宋体" w:hAnsi="宋体" w:cs="Times New Roman"/>
          <w:color w:val="auto"/>
          <w:highlight w:val="none"/>
        </w:rPr>
        <w:t>3.5.2 “近年完成的类似设计或勘察设计项目情况表”应附中标通知书和(或)合同协议书、发包人出具的证明文件；具体时间要求见投标人须知前附表，每张表格只填写一个项目，并标明序号。</w:t>
      </w:r>
    </w:p>
    <w:p w14:paraId="7485E22C">
      <w:pPr>
        <w:spacing w:before="1" w:line="351" w:lineRule="auto"/>
        <w:ind w:left="4" w:right="2" w:firstLine="355"/>
        <w:rPr>
          <w:rFonts w:hint="default" w:ascii="宋体" w:hAnsi="宋体" w:cs="Times New Roman"/>
          <w:color w:val="auto"/>
          <w:highlight w:val="none"/>
        </w:rPr>
      </w:pPr>
      <w:r>
        <w:rPr>
          <w:rFonts w:hint="default" w:ascii="宋体" w:hAnsi="宋体" w:cs="Times New Roman"/>
          <w:color w:val="auto"/>
          <w:highlight w:val="none"/>
        </w:rPr>
        <w:t>3.5.3“拟委任的主要人员汇总表”应填报满足本章第 1.4.1 项规定的项目负责人和其他主要 人员的相关信息。“主要人员简历表”中项目负责人应附身份证、学历证、职称证、执业资格证书和社保缴费证明，管理过的项目业绩须附合同协议书（若有）；其他主要人员应附身份证、学历证、职称证、有关证书和社保缴费证明（若有）。（注：以上人员社保要求：具有离投标截止时间最近的至少1个月在本单位缴纳的社保证明文件。）</w:t>
      </w:r>
    </w:p>
    <w:p w14:paraId="469B49D2">
      <w:pPr>
        <w:spacing w:before="1" w:line="351" w:lineRule="auto"/>
        <w:ind w:left="4" w:right="2" w:firstLine="355"/>
        <w:rPr>
          <w:rFonts w:hint="default" w:ascii="宋体" w:hAnsi="宋体" w:cs="Times New Roman"/>
          <w:color w:val="auto"/>
          <w:highlight w:val="none"/>
        </w:rPr>
      </w:pPr>
      <w:r>
        <w:rPr>
          <w:rFonts w:hint="default" w:ascii="宋体" w:hAnsi="宋体" w:cs="Times New Roman"/>
          <w:color w:val="auto"/>
          <w:highlight w:val="none"/>
        </w:rPr>
        <w:t>3.5.4  投标人须知前附表规定接受联合体投标的，本章第 3.5.1 项至第 3.5.3项规定的表格和 资料应包括联合体各方相关情况。</w:t>
      </w:r>
    </w:p>
    <w:p w14:paraId="4828AAC3">
      <w:pPr>
        <w:pStyle w:val="46"/>
        <w:rPr>
          <w:rFonts w:hint="eastAsia" w:ascii="宋体" w:hAnsi="宋体" w:eastAsia="宋体"/>
          <w:color w:val="auto"/>
          <w:sz w:val="24"/>
          <w:szCs w:val="24"/>
          <w:highlight w:val="none"/>
        </w:rPr>
      </w:pPr>
    </w:p>
    <w:p w14:paraId="1917BF4B">
      <w:pPr>
        <w:spacing w:before="1" w:line="351" w:lineRule="auto"/>
        <w:ind w:left="4" w:right="2" w:firstLine="355"/>
        <w:rPr>
          <w:rFonts w:hint="eastAsia" w:ascii="宋体" w:hAnsi="宋体"/>
          <w:color w:val="auto"/>
          <w:sz w:val="24"/>
          <w:szCs w:val="24"/>
          <w:highlight w:val="none"/>
        </w:rPr>
      </w:pPr>
      <w:r>
        <w:rPr>
          <w:rFonts w:hint="eastAsia" w:ascii="宋体" w:hAnsi="宋体"/>
          <w:b/>
          <w:bCs/>
          <w:color w:val="auto"/>
          <w:sz w:val="24"/>
          <w:szCs w:val="24"/>
          <w:highlight w:val="none"/>
        </w:rPr>
        <w:t>现文</w:t>
      </w:r>
      <w:r>
        <w:rPr>
          <w:rFonts w:hint="eastAsia" w:ascii="宋体" w:hAnsi="宋体"/>
          <w:color w:val="auto"/>
          <w:sz w:val="24"/>
          <w:szCs w:val="24"/>
          <w:highlight w:val="none"/>
        </w:rPr>
        <w:t>：</w:t>
      </w:r>
    </w:p>
    <w:p w14:paraId="52B10A09">
      <w:pPr>
        <w:spacing w:before="1" w:line="351" w:lineRule="auto"/>
        <w:ind w:left="4" w:right="2" w:firstLine="355"/>
        <w:rPr>
          <w:rFonts w:hint="default" w:ascii="宋体" w:hAnsi="宋体" w:cs="Times New Roman"/>
          <w:color w:val="auto"/>
          <w:highlight w:val="none"/>
        </w:rPr>
      </w:pPr>
      <w:r>
        <w:rPr>
          <w:rFonts w:hint="default" w:ascii="宋体" w:hAnsi="宋体" w:cs="Times New Roman"/>
          <w:color w:val="auto"/>
          <w:highlight w:val="none"/>
        </w:rPr>
        <w:t>除投标人须知前附表另有规定外，投标人应按下列规定提供资格审查资料， 以证明其满足 本章第 1.4 款规定的资质、财务、业绩、信誉等要求。</w:t>
      </w:r>
    </w:p>
    <w:p w14:paraId="34DE697A">
      <w:pPr>
        <w:spacing w:before="1" w:line="351" w:lineRule="auto"/>
        <w:ind w:left="4" w:right="2" w:firstLine="355"/>
        <w:rPr>
          <w:rFonts w:hint="default" w:ascii="宋体" w:hAnsi="宋体" w:cs="Times New Roman"/>
          <w:color w:val="auto"/>
          <w:highlight w:val="none"/>
        </w:rPr>
      </w:pPr>
      <w:r>
        <w:rPr>
          <w:rFonts w:hint="default" w:ascii="宋体" w:hAnsi="宋体" w:cs="Times New Roman"/>
          <w:color w:val="auto"/>
          <w:highlight w:val="none"/>
        </w:rPr>
        <w:t>3.5.1本项目采用电子化资格后审，由评标委员会负责对投标人的资格进行审查，评标时只对通过资格审查的投标人进行下一阶段的评审。</w:t>
      </w:r>
    </w:p>
    <w:p w14:paraId="6ACFD484">
      <w:pPr>
        <w:spacing w:before="1" w:line="351" w:lineRule="auto"/>
        <w:ind w:left="4" w:right="2" w:firstLine="355"/>
        <w:rPr>
          <w:rFonts w:hint="default" w:ascii="宋体" w:hAnsi="宋体" w:cs="Times New Roman"/>
          <w:color w:val="auto"/>
          <w:highlight w:val="none"/>
        </w:rPr>
      </w:pPr>
      <w:r>
        <w:rPr>
          <w:rFonts w:hint="default" w:ascii="宋体" w:hAnsi="宋体" w:cs="Times New Roman"/>
          <w:color w:val="auto"/>
          <w:highlight w:val="none"/>
        </w:rPr>
        <w:t>资审合格后，投标人的资格发生变化而不满足投标人合格条件，在发出中标通知书前，资格问题仍未解决的，招标人将取消其中标资格。</w:t>
      </w:r>
    </w:p>
    <w:p w14:paraId="0F3D9547">
      <w:pPr>
        <w:pStyle w:val="2"/>
        <w:rPr>
          <w:highlight w:val="none"/>
        </w:rPr>
      </w:pPr>
    </w:p>
    <w:p w14:paraId="11B716C3">
      <w:pPr>
        <w:pStyle w:val="46"/>
        <w:rPr>
          <w:rFonts w:hint="eastAsia"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w:t>
      </w:r>
      <w:r>
        <w:rPr>
          <w:rFonts w:hint="eastAsia" w:ascii="宋体" w:hAnsi="宋体" w:eastAsia="宋体"/>
          <w:color w:val="auto"/>
          <w:sz w:val="24"/>
          <w:szCs w:val="24"/>
          <w:highlight w:val="none"/>
        </w:rPr>
        <w:t>3.6</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w:t>
      </w:r>
      <w:r>
        <w:rPr>
          <w:rFonts w:hint="eastAsia" w:ascii="宋体" w:hAnsi="宋体" w:eastAsia="宋体"/>
          <w:b/>
          <w:bCs/>
          <w:color w:val="auto"/>
          <w:sz w:val="24"/>
          <w:szCs w:val="24"/>
          <w:highlight w:val="none"/>
        </w:rPr>
        <w:t xml:space="preserve">  </w:t>
      </w:r>
      <w:r>
        <w:rPr>
          <w:rFonts w:ascii="宋体" w:hAnsi="宋体" w:eastAsia="宋体"/>
          <w:b/>
          <w:bCs/>
          <w:color w:val="auto"/>
          <w:sz w:val="24"/>
          <w:szCs w:val="24"/>
          <w:highlight w:val="none"/>
        </w:rPr>
        <w:t>修改类型：</w:t>
      </w:r>
      <w:r>
        <w:rPr>
          <w:rFonts w:hint="eastAsia" w:ascii="宋体" w:hAnsi="宋体" w:eastAsia="宋体"/>
          <w:b/>
          <w:bCs/>
          <w:color w:val="auto"/>
          <w:sz w:val="24"/>
          <w:szCs w:val="24"/>
          <w:highlight w:val="none"/>
        </w:rPr>
        <w:t>修改</w:t>
      </w:r>
    </w:p>
    <w:p w14:paraId="0FA26237">
      <w:pPr>
        <w:spacing w:before="1" w:line="351" w:lineRule="auto"/>
        <w:ind w:left="4" w:right="2" w:firstLine="355"/>
        <w:rPr>
          <w:rFonts w:ascii="宋体" w:hAnsi="宋体"/>
          <w:color w:val="auto"/>
          <w:highlight w:val="none"/>
        </w:rPr>
      </w:pPr>
      <w:r>
        <w:rPr>
          <w:rFonts w:hint="eastAsia" w:ascii="宋体" w:hAnsi="宋体" w:eastAsia="宋体" w:cs="宋体"/>
          <w:b/>
          <w:bCs/>
          <w:color w:val="auto"/>
          <w:sz w:val="24"/>
          <w:szCs w:val="24"/>
          <w:highlight w:val="none"/>
        </w:rPr>
        <w:t>原文：</w:t>
      </w:r>
      <w:r>
        <w:rPr>
          <w:rFonts w:ascii="宋体" w:hAnsi="宋体"/>
          <w:color w:val="auto"/>
          <w:highlight w:val="none"/>
        </w:rPr>
        <w:t xml:space="preserve">3.6.1  </w:t>
      </w:r>
      <w:r>
        <w:rPr>
          <w:rFonts w:hint="eastAsia" w:ascii="宋体" w:hAnsi="宋体" w:eastAsia="宋体" w:cs="宋体"/>
          <w:color w:val="auto"/>
          <w:highlight w:val="none"/>
        </w:rPr>
        <w:t>除投标人须知前附表规定允许外，投标人不得递交备选投标方案，否则其投标将被否决。</w:t>
      </w:r>
    </w:p>
    <w:p w14:paraId="6A51A759">
      <w:pPr>
        <w:spacing w:before="1" w:line="351" w:lineRule="auto"/>
        <w:ind w:left="4" w:right="2" w:firstLine="355"/>
        <w:rPr>
          <w:rFonts w:ascii="宋体" w:hAnsi="宋体"/>
          <w:color w:val="auto"/>
          <w:highlight w:val="none"/>
        </w:rPr>
      </w:pPr>
      <w:r>
        <w:rPr>
          <w:rFonts w:ascii="宋体" w:hAnsi="宋体"/>
          <w:color w:val="auto"/>
          <w:highlight w:val="none"/>
        </w:rPr>
        <w:t xml:space="preserve">3.6.2  </w:t>
      </w:r>
      <w:r>
        <w:rPr>
          <w:rFonts w:hint="eastAsia" w:ascii="宋体" w:hAnsi="宋体" w:eastAsia="宋体" w:cs="宋体"/>
          <w:color w:val="auto"/>
          <w:highlight w:val="none"/>
        </w:rPr>
        <w:t>允许投标人递交备选投标方案的，只有中标人所递交的备选投标方案方可予以考虑。评标委员会认为中标人的备选投标方案优于其按照招标文件要求编制的投标方案的，招标人可</w:t>
      </w:r>
      <w:r>
        <w:rPr>
          <w:rFonts w:ascii="宋体" w:hAnsi="宋体"/>
          <w:color w:val="auto"/>
          <w:highlight w:val="none"/>
        </w:rPr>
        <w:t xml:space="preserve"> </w:t>
      </w:r>
      <w:r>
        <w:rPr>
          <w:rFonts w:hint="eastAsia" w:ascii="宋体" w:hAnsi="宋体" w:eastAsia="宋体" w:cs="宋体"/>
          <w:color w:val="auto"/>
          <w:highlight w:val="none"/>
        </w:rPr>
        <w:t>以接受该备选投标方案。</w:t>
      </w:r>
    </w:p>
    <w:p w14:paraId="620A02B2">
      <w:pPr>
        <w:spacing w:before="1" w:line="351" w:lineRule="auto"/>
        <w:ind w:left="4" w:right="2" w:firstLine="355"/>
        <w:rPr>
          <w:rFonts w:hint="eastAsia" w:ascii="宋体" w:hAnsi="宋体" w:eastAsia="宋体" w:cs="宋体"/>
          <w:color w:val="auto"/>
          <w:highlight w:val="none"/>
        </w:rPr>
      </w:pPr>
      <w:r>
        <w:rPr>
          <w:rFonts w:ascii="宋体" w:hAnsi="宋体"/>
          <w:color w:val="auto"/>
          <w:highlight w:val="none"/>
        </w:rPr>
        <w:t xml:space="preserve">3.6.3  </w:t>
      </w:r>
      <w:r>
        <w:rPr>
          <w:rFonts w:hint="eastAsia" w:ascii="宋体" w:hAnsi="宋体" w:eastAsia="宋体" w:cs="宋体"/>
          <w:color w:val="auto"/>
          <w:highlight w:val="none"/>
        </w:rPr>
        <w:t>投标人提供两个或两个以上投标报价，或者在投标文件中提供一个报价，但同时提供</w:t>
      </w:r>
      <w:r>
        <w:rPr>
          <w:rFonts w:ascii="宋体" w:hAnsi="宋体"/>
          <w:color w:val="auto"/>
          <w:highlight w:val="none"/>
        </w:rPr>
        <w:t xml:space="preserve"> </w:t>
      </w:r>
      <w:r>
        <w:rPr>
          <w:rFonts w:hint="eastAsia" w:ascii="宋体" w:hAnsi="宋体" w:eastAsia="宋体" w:cs="宋体"/>
          <w:color w:val="auto"/>
          <w:highlight w:val="none"/>
        </w:rPr>
        <w:t>两个或两个以上勘察设计方案的，视为提供备选方案。</w:t>
      </w:r>
    </w:p>
    <w:p w14:paraId="58C96C67">
      <w:pPr>
        <w:spacing w:before="1" w:line="351" w:lineRule="auto"/>
        <w:ind w:left="4" w:right="2" w:firstLine="35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现文：</w:t>
      </w:r>
    </w:p>
    <w:p w14:paraId="69112B8B">
      <w:pPr>
        <w:spacing w:before="1" w:line="351" w:lineRule="auto"/>
        <w:ind w:left="4" w:right="2" w:firstLine="355"/>
        <w:rPr>
          <w:rFonts w:hint="eastAsia" w:ascii="宋体" w:hAnsi="宋体" w:eastAsia="宋体" w:cs="宋体"/>
          <w:color w:val="auto"/>
          <w:highlight w:val="none"/>
        </w:rPr>
      </w:pPr>
      <w:r>
        <w:rPr>
          <w:rFonts w:ascii="宋体" w:hAnsi="宋体" w:eastAsia="宋体" w:cs="宋体"/>
          <w:color w:val="auto"/>
          <w:highlight w:val="none"/>
        </w:rPr>
        <w:t xml:space="preserve">3.6.1  </w:t>
      </w:r>
      <w:r>
        <w:rPr>
          <w:rFonts w:hint="eastAsia" w:ascii="宋体" w:hAnsi="宋体" w:eastAsia="宋体" w:cs="宋体"/>
          <w:color w:val="auto"/>
          <w:highlight w:val="none"/>
        </w:rPr>
        <w:t>除投标人须知前附表规定允许外，投标人不得递交备选投标方案，否则其投标将被否决。</w:t>
      </w:r>
    </w:p>
    <w:p w14:paraId="3389F557">
      <w:pPr>
        <w:spacing w:before="1" w:line="351" w:lineRule="auto"/>
        <w:ind w:left="4" w:right="2" w:firstLine="355"/>
        <w:rPr>
          <w:rFonts w:hint="eastAsia" w:ascii="宋体" w:hAnsi="宋体" w:eastAsia="宋体" w:cs="宋体"/>
          <w:strike/>
          <w:color w:val="auto"/>
          <w:highlight w:val="none"/>
        </w:rPr>
      </w:pPr>
      <w:r>
        <w:rPr>
          <w:rFonts w:ascii="宋体" w:hAnsi="宋体" w:eastAsia="宋体" w:cs="宋体"/>
          <w:strike/>
          <w:color w:val="auto"/>
          <w:highlight w:val="none"/>
        </w:rPr>
        <w:t xml:space="preserve">3.6.2  </w:t>
      </w:r>
      <w:r>
        <w:rPr>
          <w:rFonts w:hint="eastAsia" w:ascii="宋体" w:hAnsi="宋体" w:eastAsia="宋体" w:cs="宋体"/>
          <w:strike/>
          <w:color w:val="auto"/>
          <w:highlight w:val="none"/>
        </w:rPr>
        <w:t>允许投标人递交备选投标方案的，只有中标人所递交的备选投标方案方可予以考虑。评标委员会认为中标人的备选投标方案优于其按照招标文件要求编制的投标方案的，招标人可</w:t>
      </w:r>
      <w:r>
        <w:rPr>
          <w:rFonts w:ascii="宋体" w:hAnsi="宋体" w:eastAsia="宋体" w:cs="宋体"/>
          <w:strike/>
          <w:color w:val="auto"/>
          <w:highlight w:val="none"/>
        </w:rPr>
        <w:t xml:space="preserve"> </w:t>
      </w:r>
      <w:r>
        <w:rPr>
          <w:rFonts w:hint="eastAsia" w:ascii="宋体" w:hAnsi="宋体" w:eastAsia="宋体" w:cs="宋体"/>
          <w:strike/>
          <w:color w:val="auto"/>
          <w:highlight w:val="none"/>
        </w:rPr>
        <w:t>以接受该备选投标方案。</w:t>
      </w:r>
    </w:p>
    <w:p w14:paraId="575E4B30">
      <w:pPr>
        <w:spacing w:before="1" w:line="351" w:lineRule="auto"/>
        <w:ind w:left="4" w:right="2" w:firstLine="355"/>
        <w:rPr>
          <w:rFonts w:hint="eastAsia" w:ascii="宋体" w:hAnsi="宋体" w:eastAsia="宋体" w:cs="宋体"/>
          <w:strike/>
          <w:color w:val="auto"/>
          <w:highlight w:val="none"/>
        </w:rPr>
      </w:pPr>
      <w:r>
        <w:rPr>
          <w:rFonts w:ascii="宋体" w:hAnsi="宋体" w:eastAsia="宋体" w:cs="宋体"/>
          <w:strike/>
          <w:color w:val="auto"/>
          <w:highlight w:val="none"/>
        </w:rPr>
        <w:t xml:space="preserve">3.6.3  </w:t>
      </w:r>
      <w:r>
        <w:rPr>
          <w:rFonts w:hint="eastAsia" w:ascii="宋体" w:hAnsi="宋体" w:eastAsia="宋体" w:cs="宋体"/>
          <w:strike/>
          <w:color w:val="auto"/>
          <w:highlight w:val="none"/>
        </w:rPr>
        <w:t>投标人提供两个或两个以上投标报价，或者在投标文件中提供一个报价，但同时提供</w:t>
      </w:r>
      <w:r>
        <w:rPr>
          <w:rFonts w:ascii="宋体" w:hAnsi="宋体" w:eastAsia="宋体" w:cs="宋体"/>
          <w:strike/>
          <w:color w:val="auto"/>
          <w:highlight w:val="none"/>
        </w:rPr>
        <w:t xml:space="preserve"> </w:t>
      </w:r>
      <w:r>
        <w:rPr>
          <w:rFonts w:hint="eastAsia" w:ascii="宋体" w:hAnsi="宋体" w:eastAsia="宋体" w:cs="宋体"/>
          <w:strike/>
          <w:color w:val="auto"/>
          <w:highlight w:val="none"/>
        </w:rPr>
        <w:t>两个或两个以上勘察设计方案的，视为提供备选方案。</w:t>
      </w:r>
    </w:p>
    <w:p w14:paraId="44D03420">
      <w:pPr>
        <w:pStyle w:val="46"/>
        <w:rPr>
          <w:rFonts w:hint="eastAsia"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w:t>
      </w:r>
      <w:r>
        <w:rPr>
          <w:rFonts w:hint="eastAsia" w:ascii="宋体" w:hAnsi="宋体" w:eastAsia="宋体"/>
          <w:color w:val="auto"/>
          <w:sz w:val="24"/>
          <w:szCs w:val="24"/>
          <w:highlight w:val="none"/>
        </w:rPr>
        <w:t>5.2.1</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rPr>
        <w:t>修改</w:t>
      </w:r>
    </w:p>
    <w:p w14:paraId="7FC8CA10">
      <w:pPr>
        <w:pStyle w:val="47"/>
        <w:ind w:left="0" w:leftChars="0" w:firstLine="422"/>
        <w:rPr>
          <w:b/>
          <w:bCs/>
          <w:color w:val="auto"/>
          <w:highlight w:val="none"/>
        </w:rPr>
      </w:pPr>
      <w:r>
        <w:rPr>
          <w:rFonts w:hint="eastAsia"/>
          <w:b/>
          <w:bCs/>
          <w:color w:val="auto"/>
          <w:highlight w:val="none"/>
        </w:rPr>
        <w:t>原文：</w:t>
      </w:r>
      <w:r>
        <w:rPr>
          <w:rFonts w:hint="eastAsia" w:ascii="Times New Roman" w:hAnsi="Times New Roman" w:eastAsia="Times New Roman"/>
          <w:color w:val="auto"/>
          <w:szCs w:val="21"/>
          <w:highlight w:val="none"/>
        </w:rPr>
        <w:t>5.2.1</w:t>
      </w:r>
    </w:p>
    <w:p w14:paraId="7DD34483">
      <w:pPr>
        <w:spacing w:before="1" w:line="351" w:lineRule="auto"/>
        <w:ind w:left="4" w:right="2" w:firstLine="355"/>
        <w:rPr>
          <w:rFonts w:ascii="Times New Roman" w:hAnsi="Times New Roman" w:eastAsia="Times New Roman"/>
          <w:color w:val="auto"/>
          <w:highlight w:val="none"/>
        </w:rPr>
      </w:pPr>
      <w:r>
        <w:rPr>
          <w:rFonts w:hint="eastAsia" w:ascii="Times New Roman" w:hAnsi="Times New Roman" w:eastAsia="Times New Roman"/>
          <w:color w:val="auto"/>
          <w:highlight w:val="none"/>
        </w:rPr>
        <w:t xml:space="preserve">   </w:t>
      </w:r>
      <w:r>
        <w:rPr>
          <w:rFonts w:hint="eastAsia" w:ascii="宋体" w:hAnsi="宋体"/>
          <w:color w:val="auto"/>
          <w:highlight w:val="none"/>
        </w:rPr>
        <w:t>在投标截止时间后</w:t>
      </w:r>
      <w:r>
        <w:rPr>
          <w:rFonts w:hint="eastAsia" w:ascii="宋体" w:hAnsi="宋体"/>
          <w:color w:val="auto"/>
          <w:highlight w:val="none"/>
          <w:u w:val="single"/>
        </w:rPr>
        <w:t>半小时</w:t>
      </w:r>
      <w:r>
        <w:rPr>
          <w:rFonts w:hint="eastAsia" w:ascii="宋体" w:hAnsi="宋体"/>
          <w:color w:val="auto"/>
          <w:highlight w:val="none"/>
        </w:rPr>
        <w:t>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p>
    <w:p w14:paraId="13FA95C1">
      <w:pPr>
        <w:spacing w:before="2" w:line="351" w:lineRule="auto"/>
        <w:ind w:left="18" w:right="60" w:firstLine="397"/>
        <w:rPr>
          <w:b/>
          <w:bCs/>
          <w:color w:val="auto"/>
          <w:highlight w:val="none"/>
        </w:rPr>
      </w:pPr>
      <w:r>
        <w:rPr>
          <w:rFonts w:hint="eastAsia"/>
          <w:b/>
          <w:bCs/>
          <w:color w:val="auto"/>
          <w:highlight w:val="none"/>
        </w:rPr>
        <w:t>现文：</w:t>
      </w:r>
      <w:r>
        <w:rPr>
          <w:rFonts w:hint="eastAsia" w:ascii="Times New Roman" w:hAnsi="Times New Roman" w:eastAsia="Times New Roman"/>
          <w:color w:val="auto"/>
          <w:highlight w:val="none"/>
        </w:rPr>
        <w:t xml:space="preserve">5.2.1   </w:t>
      </w:r>
      <w:r>
        <w:rPr>
          <w:rFonts w:hint="eastAsia" w:ascii="宋体" w:hAnsi="宋体"/>
          <w:color w:val="auto"/>
          <w:highlight w:val="none"/>
        </w:rPr>
        <w:t>在投标截止时间后</w:t>
      </w:r>
      <w:r>
        <w:rPr>
          <w:rFonts w:hint="eastAsia" w:ascii="宋体" w:hAnsi="宋体"/>
          <w:color w:val="auto"/>
          <w:highlight w:val="none"/>
          <w:u w:val="single"/>
        </w:rPr>
        <w:t>半小时</w:t>
      </w:r>
      <w:r>
        <w:rPr>
          <w:rFonts w:hint="eastAsia" w:ascii="宋体" w:hAnsi="宋体"/>
          <w:color w:val="auto"/>
          <w:highlight w:val="none"/>
        </w:rPr>
        <w:t>内，投标人通过递交投标文件的交易平台对已递交的电子投标文件进行解密。投标人完成解密后，再由招标人进行解密。解密完成后，公布招标项目名称、投标人名称</w:t>
      </w:r>
      <w:r>
        <w:rPr>
          <w:rFonts w:hint="eastAsia" w:ascii="宋体" w:hAnsi="宋体"/>
          <w:strike/>
          <w:color w:val="auto"/>
          <w:highlight w:val="none"/>
        </w:rPr>
        <w:t>、投标保证金</w:t>
      </w:r>
      <w:r>
        <w:rPr>
          <w:rFonts w:hint="eastAsia" w:ascii="宋体" w:hAnsi="宋体"/>
          <w:color w:val="auto"/>
          <w:highlight w:val="none"/>
        </w:rPr>
        <w:t>的递交情况、投标报价、项目负责人及其他内容。未在规定时间内解密的投标文件不参与开标、评标。</w:t>
      </w:r>
    </w:p>
    <w:p w14:paraId="32326879">
      <w:pPr>
        <w:pStyle w:val="46"/>
        <w:rPr>
          <w:color w:val="auto"/>
          <w:highlight w:val="none"/>
        </w:rPr>
      </w:pPr>
    </w:p>
    <w:p w14:paraId="607457B2">
      <w:pPr>
        <w:pStyle w:val="46"/>
        <w:rPr>
          <w:rFonts w:hint="eastAsia"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7.7、7.8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rPr>
        <w:t>修改</w:t>
      </w:r>
    </w:p>
    <w:p w14:paraId="6E8B3148">
      <w:pPr>
        <w:rPr>
          <w:color w:val="auto"/>
          <w:highlight w:val="none"/>
        </w:rPr>
      </w:pPr>
      <w:r>
        <w:rPr>
          <w:rFonts w:hint="eastAsia"/>
          <w:color w:val="auto"/>
          <w:highlight w:val="none"/>
        </w:rPr>
        <w:t xml:space="preserve">      </w:t>
      </w:r>
      <w:r>
        <w:rPr>
          <w:rFonts w:hint="eastAsia"/>
          <w:b/>
          <w:bCs/>
          <w:color w:val="auto"/>
          <w:highlight w:val="none"/>
        </w:rPr>
        <w:t>原文：</w:t>
      </w:r>
      <w:r>
        <w:rPr>
          <w:rFonts w:ascii="宋体" w:hAnsi="宋体" w:eastAsia="宋体"/>
          <w:color w:val="auto"/>
          <w:spacing w:val="-6"/>
          <w:highlight w:val="none"/>
        </w:rPr>
        <w:t>7.7  履约保证金</w:t>
      </w:r>
    </w:p>
    <w:p w14:paraId="670E907B">
      <w:pPr>
        <w:spacing w:line="314" w:lineRule="auto"/>
        <w:rPr>
          <w:color w:val="auto"/>
          <w:highlight w:val="none"/>
        </w:rPr>
      </w:pPr>
    </w:p>
    <w:p w14:paraId="61E81D9C">
      <w:pPr>
        <w:spacing w:before="68" w:line="351" w:lineRule="auto"/>
        <w:ind w:left="2" w:right="62" w:firstLine="417"/>
        <w:rPr>
          <w:rFonts w:ascii="Times New Roman" w:hAnsi="Times New Roman" w:eastAsia="Times New Roman"/>
          <w:color w:val="auto"/>
          <w:spacing w:val="-9"/>
          <w:highlight w:val="none"/>
        </w:rPr>
      </w:pPr>
      <w:r>
        <w:rPr>
          <w:rFonts w:ascii="Times New Roman" w:hAnsi="Times New Roman" w:eastAsia="Times New Roman"/>
          <w:color w:val="auto"/>
          <w:spacing w:val="-9"/>
          <w:highlight w:val="none"/>
        </w:rPr>
        <w:t>7</w:t>
      </w:r>
      <w:r>
        <w:rPr>
          <w:rFonts w:ascii="Times New Roman" w:hAnsi="Times New Roman" w:eastAsia="Times New Roman"/>
          <w:color w:val="auto"/>
          <w:spacing w:val="-6"/>
          <w:highlight w:val="none"/>
        </w:rPr>
        <w:t xml:space="preserve">.7.1  </w:t>
      </w:r>
      <w:r>
        <w:rPr>
          <w:rFonts w:hint="eastAsia" w:ascii="Times New Roman" w:hAnsi="Times New Roman" w:eastAsia="宋体"/>
          <w:color w:val="auto"/>
          <w:spacing w:val="-6"/>
          <w:highlight w:val="none"/>
        </w:rPr>
        <w:t xml:space="preserve">   </w:t>
      </w:r>
      <w:r>
        <w:rPr>
          <w:rFonts w:ascii="宋体" w:hAnsi="宋体" w:eastAsia="宋体"/>
          <w:color w:val="auto"/>
          <w:spacing w:val="-6"/>
          <w:highlight w:val="none"/>
        </w:rPr>
        <w:t>在签订合同前</w:t>
      </w:r>
      <w:r>
        <w:rPr>
          <w:rFonts w:hint="eastAsia" w:ascii="宋体" w:hAnsi="宋体" w:eastAsia="宋体"/>
          <w:color w:val="auto"/>
          <w:spacing w:val="-6"/>
          <w:highlight w:val="none"/>
        </w:rPr>
        <w:t>，</w:t>
      </w:r>
      <w:r>
        <w:rPr>
          <w:rFonts w:ascii="宋体" w:hAnsi="宋体" w:eastAsia="宋体"/>
          <w:color w:val="auto"/>
          <w:spacing w:val="-6"/>
          <w:highlight w:val="none"/>
        </w:rPr>
        <w:t>中标人应按投标人须知前附表规定的形式、金额和招标文件第四章</w:t>
      </w:r>
      <w:r>
        <w:rPr>
          <w:rFonts w:hint="eastAsia" w:ascii="Times New Roman" w:hAnsi="Times New Roman" w:eastAsia="宋体"/>
          <w:color w:val="auto"/>
          <w:spacing w:val="-6"/>
          <w:highlight w:val="none"/>
        </w:rPr>
        <w:t>“</w:t>
      </w:r>
      <w:r>
        <w:rPr>
          <w:rFonts w:ascii="宋体" w:hAnsi="宋体" w:eastAsia="宋体"/>
          <w:color w:val="auto"/>
          <w:spacing w:val="-6"/>
          <w:highlight w:val="none"/>
        </w:rPr>
        <w:t>合</w:t>
      </w:r>
      <w:r>
        <w:rPr>
          <w:rFonts w:ascii="宋体" w:hAnsi="宋体" w:eastAsia="宋体"/>
          <w:color w:val="auto"/>
          <w:spacing w:val="6"/>
          <w:highlight w:val="none"/>
        </w:rPr>
        <w:t>同条款及格式</w:t>
      </w:r>
      <w:r>
        <w:rPr>
          <w:rFonts w:hint="eastAsia" w:ascii="Times New Roman" w:hAnsi="Times New Roman" w:eastAsia="宋体"/>
          <w:color w:val="auto"/>
          <w:spacing w:val="-6"/>
          <w:highlight w:val="none"/>
        </w:rPr>
        <w:t>”</w:t>
      </w:r>
      <w:r>
        <w:rPr>
          <w:rFonts w:ascii="宋体" w:hAnsi="宋体" w:eastAsia="宋体"/>
          <w:color w:val="auto"/>
          <w:spacing w:val="6"/>
          <w:highlight w:val="none"/>
        </w:rPr>
        <w:t>规</w:t>
      </w:r>
      <w:r>
        <w:rPr>
          <w:rFonts w:ascii="宋体" w:hAnsi="宋体" w:eastAsia="宋体"/>
          <w:color w:val="auto"/>
          <w:spacing w:val="4"/>
          <w:highlight w:val="none"/>
        </w:rPr>
        <w:t>定</w:t>
      </w:r>
      <w:r>
        <w:rPr>
          <w:rFonts w:ascii="宋体" w:hAnsi="宋体" w:eastAsia="宋体"/>
          <w:color w:val="auto"/>
          <w:spacing w:val="3"/>
          <w:highlight w:val="none"/>
        </w:rPr>
        <w:t>的或者事先经过招标人书面认可的履约保证金格式向招标人提交履约保证</w:t>
      </w:r>
      <w:r>
        <w:rPr>
          <w:rFonts w:ascii="宋体" w:hAnsi="宋体" w:eastAsia="宋体"/>
          <w:color w:val="auto"/>
          <w:spacing w:val="-2"/>
          <w:highlight w:val="none"/>
        </w:rPr>
        <w:t>金。除投标人须知前</w:t>
      </w:r>
      <w:r>
        <w:rPr>
          <w:rFonts w:ascii="宋体" w:hAnsi="宋体" w:eastAsia="宋体"/>
          <w:color w:val="auto"/>
          <w:spacing w:val="-1"/>
          <w:highlight w:val="none"/>
        </w:rPr>
        <w:t xml:space="preserve">附表另有规定外，履约保证金为中标合同金额的 </w:t>
      </w:r>
      <w:r>
        <w:rPr>
          <w:rFonts w:ascii="Times New Roman" w:hAnsi="Times New Roman" w:eastAsia="Times New Roman"/>
          <w:color w:val="auto"/>
          <w:spacing w:val="-1"/>
          <w:highlight w:val="none"/>
        </w:rPr>
        <w:t>10%</w:t>
      </w:r>
      <w:r>
        <w:rPr>
          <w:rFonts w:ascii="宋体" w:hAnsi="宋体" w:eastAsia="宋体"/>
          <w:color w:val="auto"/>
          <w:spacing w:val="-1"/>
          <w:highlight w:val="none"/>
        </w:rPr>
        <w:t>。联合体中标的，其</w:t>
      </w:r>
      <w:r>
        <w:rPr>
          <w:rFonts w:ascii="宋体" w:hAnsi="宋体" w:eastAsia="宋体"/>
          <w:color w:val="auto"/>
          <w:spacing w:val="-2"/>
          <w:highlight w:val="none"/>
        </w:rPr>
        <w:t>履约保证金以联合体各方或</w:t>
      </w:r>
      <w:r>
        <w:rPr>
          <w:rFonts w:ascii="宋体" w:hAnsi="宋体" w:eastAsia="宋体"/>
          <w:color w:val="auto"/>
          <w:spacing w:val="-1"/>
          <w:highlight w:val="none"/>
        </w:rPr>
        <w:t>者联合体中</w:t>
      </w:r>
      <w:r>
        <w:rPr>
          <w:rFonts w:hint="eastAsia" w:ascii="宋体" w:hAnsi="宋体" w:eastAsia="宋体"/>
          <w:color w:val="auto"/>
          <w:spacing w:val="-1"/>
          <w:highlight w:val="none"/>
        </w:rPr>
        <w:t>主办方</w:t>
      </w:r>
      <w:r>
        <w:rPr>
          <w:rFonts w:ascii="宋体" w:hAnsi="宋体" w:eastAsia="宋体"/>
          <w:color w:val="auto"/>
          <w:spacing w:val="-1"/>
          <w:highlight w:val="none"/>
        </w:rPr>
        <w:t>的名义提交。</w:t>
      </w:r>
    </w:p>
    <w:p w14:paraId="46B5FC25">
      <w:pPr>
        <w:spacing w:before="4" w:line="360" w:lineRule="auto"/>
        <w:ind w:left="4" w:right="76" w:firstLine="416"/>
        <w:rPr>
          <w:rFonts w:ascii="Times New Roman" w:hAnsi="Times New Roman" w:eastAsia="Times New Roman"/>
          <w:color w:val="auto"/>
          <w:spacing w:val="-3"/>
          <w:highlight w:val="none"/>
        </w:rPr>
      </w:pPr>
      <w:r>
        <w:rPr>
          <w:rFonts w:ascii="Times New Roman" w:hAnsi="Times New Roman" w:eastAsia="Times New Roman"/>
          <w:color w:val="auto"/>
          <w:spacing w:val="-3"/>
          <w:highlight w:val="none"/>
        </w:rPr>
        <w:t xml:space="preserve">7.7.2  </w:t>
      </w:r>
      <w:r>
        <w:rPr>
          <w:rFonts w:ascii="宋体" w:hAnsi="宋体" w:eastAsia="宋体"/>
          <w:color w:val="auto"/>
          <w:spacing w:val="-3"/>
          <w:highlight w:val="none"/>
        </w:rPr>
        <w:t xml:space="preserve">中标人不能按本章第 </w:t>
      </w:r>
      <w:r>
        <w:rPr>
          <w:rFonts w:ascii="Times New Roman" w:hAnsi="Times New Roman" w:eastAsia="Times New Roman"/>
          <w:color w:val="auto"/>
          <w:spacing w:val="-3"/>
          <w:highlight w:val="none"/>
        </w:rPr>
        <w:t xml:space="preserve">7.7.1 </w:t>
      </w:r>
      <w:r>
        <w:rPr>
          <w:rFonts w:ascii="宋体" w:hAnsi="宋体" w:eastAsia="宋体"/>
          <w:color w:val="auto"/>
          <w:spacing w:val="-3"/>
          <w:highlight w:val="none"/>
        </w:rPr>
        <w:t>项要求提交履约保证金的，视为放弃中标，其投标</w:t>
      </w:r>
      <w:r>
        <w:rPr>
          <w:rFonts w:ascii="宋体" w:hAnsi="宋体" w:eastAsia="宋体"/>
          <w:color w:val="auto"/>
          <w:highlight w:val="none"/>
        </w:rPr>
        <w:t xml:space="preserve">保证金 </w:t>
      </w:r>
      <w:r>
        <w:rPr>
          <w:rFonts w:ascii="宋体" w:hAnsi="宋体" w:eastAsia="宋体"/>
          <w:color w:val="auto"/>
          <w:spacing w:val="-1"/>
          <w:highlight w:val="none"/>
        </w:rPr>
        <w:t>不予退还，给招标人造成的损失超过投标保证金数额的，中标人还应当对超过部分予以赔偿</w:t>
      </w:r>
      <w:r>
        <w:rPr>
          <w:rFonts w:hint="eastAsia" w:ascii="宋体" w:hAnsi="宋体" w:eastAsia="宋体"/>
          <w:color w:val="auto"/>
          <w:spacing w:val="-1"/>
          <w:highlight w:val="none"/>
        </w:rPr>
        <w:t>。</w:t>
      </w:r>
    </w:p>
    <w:p w14:paraId="0D281E9A">
      <w:pPr>
        <w:spacing w:before="68" w:line="351" w:lineRule="auto"/>
        <w:ind w:left="2" w:right="62" w:firstLine="417"/>
        <w:rPr>
          <w:rFonts w:hint="eastAsia" w:ascii="宋体" w:hAnsi="宋体" w:eastAsia="宋体"/>
          <w:color w:val="auto"/>
          <w:spacing w:val="-6"/>
          <w:highlight w:val="none"/>
        </w:rPr>
      </w:pPr>
      <w:r>
        <w:rPr>
          <w:rFonts w:ascii="宋体" w:hAnsi="宋体" w:eastAsia="宋体"/>
          <w:color w:val="auto"/>
          <w:spacing w:val="-6"/>
          <w:highlight w:val="none"/>
        </w:rPr>
        <w:t>7.8  签订合同</w:t>
      </w:r>
    </w:p>
    <w:p w14:paraId="569C5F27">
      <w:pPr>
        <w:spacing w:before="69" w:line="352" w:lineRule="auto"/>
        <w:ind w:right="75" w:firstLine="420"/>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7.8.1  </w:t>
      </w:r>
      <w:r>
        <w:rPr>
          <w:rFonts w:ascii="宋体" w:hAnsi="宋体" w:eastAsia="宋体"/>
          <w:color w:val="auto"/>
          <w:spacing w:val="-1"/>
          <w:highlight w:val="none"/>
        </w:rPr>
        <w:t xml:space="preserve">招标人和中标人应当在中标通知书发出之日起 </w:t>
      </w:r>
      <w:r>
        <w:rPr>
          <w:rFonts w:ascii="Times New Roman" w:hAnsi="Times New Roman" w:eastAsia="Times New Roman"/>
          <w:color w:val="auto"/>
          <w:spacing w:val="-1"/>
          <w:highlight w:val="none"/>
        </w:rPr>
        <w:t xml:space="preserve">30 </w:t>
      </w:r>
      <w:r>
        <w:rPr>
          <w:rFonts w:ascii="宋体" w:hAnsi="宋体" w:eastAsia="宋体"/>
          <w:color w:val="auto"/>
          <w:spacing w:val="-1"/>
          <w:highlight w:val="none"/>
        </w:rPr>
        <w:t>日</w:t>
      </w:r>
      <w:r>
        <w:rPr>
          <w:rFonts w:ascii="宋体" w:hAnsi="宋体" w:eastAsia="宋体"/>
          <w:color w:val="auto"/>
          <w:highlight w:val="none"/>
        </w:rPr>
        <w:t>内，根据招标文件和中标人的投</w:t>
      </w:r>
      <w:r>
        <w:rPr>
          <w:rFonts w:ascii="宋体" w:hAnsi="宋体" w:eastAsia="宋体"/>
          <w:color w:val="auto"/>
          <w:spacing w:val="-4"/>
          <w:highlight w:val="none"/>
        </w:rPr>
        <w:t>标文件订立书</w:t>
      </w:r>
      <w:r>
        <w:rPr>
          <w:rFonts w:ascii="宋体" w:hAnsi="宋体" w:eastAsia="宋体"/>
          <w:color w:val="auto"/>
          <w:spacing w:val="-2"/>
          <w:highlight w:val="none"/>
        </w:rPr>
        <w:t>面合同</w:t>
      </w:r>
      <w:r>
        <w:rPr>
          <w:rFonts w:hint="eastAsia"/>
          <w:color w:val="auto"/>
          <w:highlight w:val="none"/>
        </w:rPr>
        <w:t>，并通过电子交易系统与中标人在线签订合同</w:t>
      </w:r>
      <w:r>
        <w:rPr>
          <w:rFonts w:ascii="宋体" w:hAnsi="宋体" w:eastAsia="宋体"/>
          <w:color w:val="auto"/>
          <w:spacing w:val="-2"/>
          <w:highlight w:val="none"/>
        </w:rPr>
        <w:t>。中标人无正当理由拒签合同， 在签订合同时向招标人提出附加条件</w:t>
      </w:r>
      <w:r>
        <w:rPr>
          <w:rFonts w:hint="eastAsia" w:ascii="宋体" w:hAnsi="宋体" w:eastAsia="宋体"/>
          <w:color w:val="auto"/>
          <w:spacing w:val="-2"/>
          <w:highlight w:val="none"/>
        </w:rPr>
        <w:t>，</w:t>
      </w:r>
      <w:r>
        <w:rPr>
          <w:rFonts w:ascii="宋体" w:hAnsi="宋体" w:eastAsia="宋体"/>
          <w:color w:val="auto"/>
          <w:spacing w:val="-2"/>
          <w:highlight w:val="none"/>
        </w:rPr>
        <w:t>或</w:t>
      </w:r>
      <w:r>
        <w:rPr>
          <w:rFonts w:ascii="宋体" w:hAnsi="宋体" w:eastAsia="宋体"/>
          <w:color w:val="auto"/>
          <w:spacing w:val="-4"/>
          <w:highlight w:val="none"/>
        </w:rPr>
        <w:t>者</w:t>
      </w:r>
      <w:r>
        <w:rPr>
          <w:rFonts w:ascii="宋体" w:hAnsi="宋体" w:eastAsia="宋体"/>
          <w:color w:val="auto"/>
          <w:spacing w:val="-3"/>
          <w:highlight w:val="none"/>
        </w:rPr>
        <w:t>不</w:t>
      </w:r>
      <w:r>
        <w:rPr>
          <w:rFonts w:ascii="宋体" w:hAnsi="宋体" w:eastAsia="宋体"/>
          <w:color w:val="auto"/>
          <w:spacing w:val="-2"/>
          <w:highlight w:val="none"/>
        </w:rPr>
        <w:t>按照招标文件要求提交履约保证金的，招标人有权取消其中标资格，其投标保证金不予退</w:t>
      </w:r>
      <w:r>
        <w:rPr>
          <w:rFonts w:ascii="宋体" w:hAnsi="宋体" w:eastAsia="宋体"/>
          <w:color w:val="auto"/>
          <w:spacing w:val="-1"/>
          <w:highlight w:val="none"/>
        </w:rPr>
        <w:t>还；给招标人造成的损失</w:t>
      </w:r>
      <w:r>
        <w:rPr>
          <w:rFonts w:ascii="宋体" w:hAnsi="宋体" w:eastAsia="宋体"/>
          <w:color w:val="auto"/>
          <w:spacing w:val="-1"/>
          <w:highlight w:val="none"/>
          <w:u w:val="single"/>
        </w:rPr>
        <w:t>超过投标保证金数额的</w:t>
      </w:r>
      <w:r>
        <w:rPr>
          <w:rFonts w:ascii="宋体" w:hAnsi="宋体" w:eastAsia="宋体"/>
          <w:color w:val="auto"/>
          <w:spacing w:val="-1"/>
          <w:highlight w:val="none"/>
        </w:rPr>
        <w:t>，中标人还应当对超过部分予以赔</w:t>
      </w:r>
      <w:r>
        <w:rPr>
          <w:rFonts w:ascii="宋体" w:hAnsi="宋体" w:eastAsia="宋体"/>
          <w:color w:val="auto"/>
          <w:highlight w:val="none"/>
        </w:rPr>
        <w:t>偿。</w:t>
      </w:r>
    </w:p>
    <w:p w14:paraId="1D2AA9D1">
      <w:pPr>
        <w:spacing w:before="2" w:line="351" w:lineRule="auto"/>
        <w:ind w:right="72" w:firstLine="419"/>
        <w:rPr>
          <w:rFonts w:ascii="Times New Roman" w:hAnsi="Times New Roman" w:eastAsia="Times New Roman"/>
          <w:color w:val="auto"/>
          <w:spacing w:val="-12"/>
          <w:highlight w:val="none"/>
        </w:rPr>
      </w:pPr>
      <w:r>
        <w:rPr>
          <w:rFonts w:ascii="Times New Roman" w:hAnsi="Times New Roman" w:eastAsia="Times New Roman"/>
          <w:color w:val="auto"/>
          <w:spacing w:val="-12"/>
          <w:highlight w:val="none"/>
        </w:rPr>
        <w:t>7.</w:t>
      </w:r>
      <w:r>
        <w:rPr>
          <w:rFonts w:ascii="Times New Roman" w:hAnsi="Times New Roman" w:eastAsia="Times New Roman"/>
          <w:color w:val="auto"/>
          <w:spacing w:val="-10"/>
          <w:highlight w:val="none"/>
        </w:rPr>
        <w:t>8</w:t>
      </w:r>
      <w:r>
        <w:rPr>
          <w:rFonts w:ascii="Times New Roman" w:hAnsi="Times New Roman" w:eastAsia="Times New Roman"/>
          <w:color w:val="auto"/>
          <w:spacing w:val="-6"/>
          <w:highlight w:val="none"/>
        </w:rPr>
        <w:t xml:space="preserve">.2  </w:t>
      </w:r>
      <w:r>
        <w:rPr>
          <w:rFonts w:ascii="宋体" w:hAnsi="宋体" w:eastAsia="宋体"/>
          <w:color w:val="auto"/>
          <w:spacing w:val="-6"/>
          <w:highlight w:val="none"/>
        </w:rPr>
        <w:t>发出中标通知书后，招标人无正当理由拒签合同，或者在签订合同时向中标人提出附</w:t>
      </w:r>
      <w:r>
        <w:rPr>
          <w:rFonts w:ascii="宋体" w:hAnsi="宋体" w:eastAsia="宋体"/>
          <w:color w:val="auto"/>
          <w:highlight w:val="none"/>
        </w:rPr>
        <w:t xml:space="preserve"> </w:t>
      </w:r>
      <w:r>
        <w:rPr>
          <w:rFonts w:ascii="宋体" w:hAnsi="宋体" w:eastAsia="宋体"/>
          <w:color w:val="auto"/>
          <w:spacing w:val="-1"/>
          <w:highlight w:val="none"/>
        </w:rPr>
        <w:t>加条件的，招标人向中标人退还投标保证金；给中标人造成损失的，还应当赔偿损失</w:t>
      </w:r>
      <w:r>
        <w:rPr>
          <w:rFonts w:ascii="宋体" w:hAnsi="宋体" w:eastAsia="宋体"/>
          <w:color w:val="auto"/>
          <w:highlight w:val="none"/>
        </w:rPr>
        <w:t>。</w:t>
      </w:r>
    </w:p>
    <w:p w14:paraId="3CF6C30B">
      <w:pPr>
        <w:spacing w:line="359" w:lineRule="auto"/>
        <w:ind w:left="4" w:right="70" w:firstLine="416"/>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7.8.3 </w:t>
      </w:r>
      <w:r>
        <w:rPr>
          <w:rFonts w:ascii="宋体" w:hAnsi="宋体" w:eastAsia="宋体"/>
          <w:color w:val="auto"/>
          <w:spacing w:val="-1"/>
          <w:highlight w:val="none"/>
        </w:rPr>
        <w:t>联合体中标的，联合体各方应当共同与招标人签</w:t>
      </w:r>
      <w:r>
        <w:rPr>
          <w:rFonts w:ascii="宋体" w:hAnsi="宋体" w:eastAsia="宋体"/>
          <w:color w:val="auto"/>
          <w:highlight w:val="none"/>
        </w:rPr>
        <w:t>订合同，就中标项目向招标人承担连</w:t>
      </w:r>
      <w:r>
        <w:rPr>
          <w:rFonts w:ascii="宋体" w:hAnsi="宋体" w:eastAsia="宋体"/>
          <w:color w:val="auto"/>
          <w:spacing w:val="-10"/>
          <w:highlight w:val="none"/>
        </w:rPr>
        <w:t>带</w:t>
      </w:r>
      <w:r>
        <w:rPr>
          <w:rFonts w:ascii="宋体" w:hAnsi="宋体" w:eastAsia="宋体"/>
          <w:color w:val="auto"/>
          <w:spacing w:val="-7"/>
          <w:highlight w:val="none"/>
        </w:rPr>
        <w:t>责任。</w:t>
      </w:r>
    </w:p>
    <w:p w14:paraId="039A80B9">
      <w:pPr>
        <w:pStyle w:val="47"/>
        <w:ind w:left="0" w:leftChars="0" w:firstLine="0" w:firstLineChars="0"/>
        <w:rPr>
          <w:b/>
          <w:bCs/>
          <w:color w:val="auto"/>
          <w:highlight w:val="none"/>
        </w:rPr>
      </w:pPr>
    </w:p>
    <w:p w14:paraId="213A5E56">
      <w:pPr>
        <w:rPr>
          <w:b/>
          <w:bCs/>
          <w:color w:val="auto"/>
          <w:highlight w:val="none"/>
        </w:rPr>
      </w:pPr>
      <w:r>
        <w:rPr>
          <w:rFonts w:hint="eastAsia"/>
          <w:b/>
          <w:bCs/>
          <w:color w:val="auto"/>
          <w:highlight w:val="none"/>
        </w:rPr>
        <w:t>现文：</w:t>
      </w:r>
      <w:r>
        <w:rPr>
          <w:rFonts w:ascii="宋体" w:hAnsi="宋体" w:eastAsia="宋体"/>
          <w:color w:val="auto"/>
          <w:spacing w:val="-6"/>
          <w:highlight w:val="none"/>
        </w:rPr>
        <w:t>7.7  履约保证金</w:t>
      </w:r>
    </w:p>
    <w:p w14:paraId="7AF916B0">
      <w:pPr>
        <w:spacing w:line="314" w:lineRule="auto"/>
        <w:rPr>
          <w:color w:val="auto"/>
          <w:highlight w:val="none"/>
        </w:rPr>
      </w:pPr>
    </w:p>
    <w:p w14:paraId="70288D77">
      <w:pPr>
        <w:spacing w:before="68" w:line="351" w:lineRule="auto"/>
        <w:ind w:left="2" w:right="62" w:firstLine="417"/>
        <w:rPr>
          <w:rFonts w:ascii="Times New Roman" w:hAnsi="Times New Roman" w:eastAsia="Times New Roman"/>
          <w:color w:val="auto"/>
          <w:spacing w:val="-9"/>
          <w:highlight w:val="none"/>
        </w:rPr>
      </w:pPr>
      <w:r>
        <w:rPr>
          <w:rFonts w:ascii="Times New Roman" w:hAnsi="Times New Roman" w:eastAsia="Times New Roman"/>
          <w:color w:val="auto"/>
          <w:spacing w:val="-9"/>
          <w:highlight w:val="none"/>
        </w:rPr>
        <w:t>7</w:t>
      </w:r>
      <w:r>
        <w:rPr>
          <w:rFonts w:ascii="Times New Roman" w:hAnsi="Times New Roman" w:eastAsia="Times New Roman"/>
          <w:color w:val="auto"/>
          <w:spacing w:val="-6"/>
          <w:highlight w:val="none"/>
        </w:rPr>
        <w:t xml:space="preserve">.7.1  </w:t>
      </w:r>
      <w:r>
        <w:rPr>
          <w:rFonts w:hint="eastAsia" w:ascii="Times New Roman" w:hAnsi="Times New Roman" w:eastAsia="宋体"/>
          <w:color w:val="auto"/>
          <w:spacing w:val="-6"/>
          <w:highlight w:val="none"/>
        </w:rPr>
        <w:t xml:space="preserve">   </w:t>
      </w:r>
      <w:r>
        <w:rPr>
          <w:rFonts w:ascii="宋体" w:hAnsi="宋体" w:eastAsia="宋体"/>
          <w:color w:val="auto"/>
          <w:spacing w:val="-6"/>
          <w:highlight w:val="none"/>
        </w:rPr>
        <w:t>在签订合同前</w:t>
      </w:r>
      <w:r>
        <w:rPr>
          <w:rFonts w:hint="eastAsia" w:ascii="宋体" w:hAnsi="宋体" w:eastAsia="宋体"/>
          <w:color w:val="auto"/>
          <w:spacing w:val="-6"/>
          <w:highlight w:val="none"/>
        </w:rPr>
        <w:t>，</w:t>
      </w:r>
      <w:r>
        <w:rPr>
          <w:rFonts w:ascii="宋体" w:hAnsi="宋体" w:eastAsia="宋体"/>
          <w:color w:val="auto"/>
          <w:spacing w:val="-6"/>
          <w:highlight w:val="none"/>
        </w:rPr>
        <w:t>中标人应按投标人须知前附表规定的形式、金额和招标文件第四章</w:t>
      </w:r>
      <w:r>
        <w:rPr>
          <w:rFonts w:hint="eastAsia" w:ascii="Times New Roman" w:hAnsi="Times New Roman" w:eastAsia="宋体"/>
          <w:color w:val="auto"/>
          <w:spacing w:val="-6"/>
          <w:highlight w:val="none"/>
        </w:rPr>
        <w:t>“</w:t>
      </w:r>
      <w:r>
        <w:rPr>
          <w:rFonts w:ascii="宋体" w:hAnsi="宋体" w:eastAsia="宋体"/>
          <w:color w:val="auto"/>
          <w:spacing w:val="-6"/>
          <w:highlight w:val="none"/>
        </w:rPr>
        <w:t>合</w:t>
      </w:r>
      <w:r>
        <w:rPr>
          <w:rFonts w:ascii="宋体" w:hAnsi="宋体" w:eastAsia="宋体"/>
          <w:color w:val="auto"/>
          <w:spacing w:val="6"/>
          <w:highlight w:val="none"/>
        </w:rPr>
        <w:t>同条款及格式</w:t>
      </w:r>
      <w:r>
        <w:rPr>
          <w:rFonts w:hint="eastAsia" w:ascii="Times New Roman" w:hAnsi="Times New Roman" w:eastAsia="宋体"/>
          <w:color w:val="auto"/>
          <w:spacing w:val="-6"/>
          <w:highlight w:val="none"/>
        </w:rPr>
        <w:t>”</w:t>
      </w:r>
      <w:r>
        <w:rPr>
          <w:rFonts w:ascii="宋体" w:hAnsi="宋体" w:eastAsia="宋体"/>
          <w:color w:val="auto"/>
          <w:spacing w:val="6"/>
          <w:highlight w:val="none"/>
        </w:rPr>
        <w:t>规</w:t>
      </w:r>
      <w:r>
        <w:rPr>
          <w:rFonts w:ascii="宋体" w:hAnsi="宋体" w:eastAsia="宋体"/>
          <w:color w:val="auto"/>
          <w:spacing w:val="4"/>
          <w:highlight w:val="none"/>
        </w:rPr>
        <w:t>定</w:t>
      </w:r>
      <w:r>
        <w:rPr>
          <w:rFonts w:ascii="宋体" w:hAnsi="宋体" w:eastAsia="宋体"/>
          <w:color w:val="auto"/>
          <w:spacing w:val="3"/>
          <w:highlight w:val="none"/>
        </w:rPr>
        <w:t>的或者事先经过招标人书面认可的履约保证金格式向招标人提交履约保证</w:t>
      </w:r>
      <w:r>
        <w:rPr>
          <w:rFonts w:ascii="宋体" w:hAnsi="宋体" w:eastAsia="宋体"/>
          <w:color w:val="auto"/>
          <w:spacing w:val="-2"/>
          <w:highlight w:val="none"/>
        </w:rPr>
        <w:t>金。除投标人须知前</w:t>
      </w:r>
      <w:r>
        <w:rPr>
          <w:rFonts w:ascii="宋体" w:hAnsi="宋体" w:eastAsia="宋体"/>
          <w:color w:val="auto"/>
          <w:spacing w:val="-1"/>
          <w:highlight w:val="none"/>
        </w:rPr>
        <w:t xml:space="preserve">附表另有规定外，履约保证金为中标合同金额的 </w:t>
      </w:r>
      <w:r>
        <w:rPr>
          <w:rFonts w:ascii="Times New Roman" w:hAnsi="Times New Roman" w:eastAsia="Times New Roman"/>
          <w:color w:val="auto"/>
          <w:spacing w:val="-1"/>
          <w:highlight w:val="none"/>
        </w:rPr>
        <w:t>10%</w:t>
      </w:r>
      <w:r>
        <w:rPr>
          <w:rFonts w:ascii="宋体" w:hAnsi="宋体" w:eastAsia="宋体"/>
          <w:color w:val="auto"/>
          <w:spacing w:val="-1"/>
          <w:highlight w:val="none"/>
        </w:rPr>
        <w:t>。联合体中标的，其</w:t>
      </w:r>
      <w:r>
        <w:rPr>
          <w:rFonts w:ascii="宋体" w:hAnsi="宋体" w:eastAsia="宋体"/>
          <w:color w:val="auto"/>
          <w:spacing w:val="-2"/>
          <w:highlight w:val="none"/>
        </w:rPr>
        <w:t>履约保证金以联合体各方或</w:t>
      </w:r>
      <w:r>
        <w:rPr>
          <w:rFonts w:ascii="宋体" w:hAnsi="宋体" w:eastAsia="宋体"/>
          <w:color w:val="auto"/>
          <w:spacing w:val="-1"/>
          <w:highlight w:val="none"/>
        </w:rPr>
        <w:t>者联合体中</w:t>
      </w:r>
      <w:r>
        <w:rPr>
          <w:rFonts w:hint="eastAsia" w:ascii="宋体" w:hAnsi="宋体" w:eastAsia="宋体"/>
          <w:color w:val="auto"/>
          <w:spacing w:val="-1"/>
          <w:highlight w:val="none"/>
        </w:rPr>
        <w:t>主办方</w:t>
      </w:r>
      <w:r>
        <w:rPr>
          <w:rFonts w:ascii="宋体" w:hAnsi="宋体" w:eastAsia="宋体"/>
          <w:color w:val="auto"/>
          <w:spacing w:val="-1"/>
          <w:highlight w:val="none"/>
        </w:rPr>
        <w:t>的名义提交。</w:t>
      </w:r>
    </w:p>
    <w:p w14:paraId="0648F32E">
      <w:pPr>
        <w:spacing w:before="4" w:line="360" w:lineRule="auto"/>
        <w:ind w:left="4" w:right="76" w:firstLine="416"/>
        <w:rPr>
          <w:rFonts w:ascii="Times New Roman" w:hAnsi="Times New Roman" w:eastAsia="Times New Roman"/>
          <w:color w:val="auto"/>
          <w:spacing w:val="-3"/>
          <w:highlight w:val="none"/>
        </w:rPr>
      </w:pPr>
      <w:r>
        <w:rPr>
          <w:rFonts w:ascii="Times New Roman" w:hAnsi="Times New Roman" w:eastAsia="Times New Roman"/>
          <w:color w:val="auto"/>
          <w:spacing w:val="-3"/>
          <w:highlight w:val="none"/>
        </w:rPr>
        <w:t xml:space="preserve">7.7.2  </w:t>
      </w:r>
      <w:r>
        <w:rPr>
          <w:rFonts w:ascii="宋体" w:hAnsi="宋体" w:eastAsia="宋体"/>
          <w:color w:val="auto"/>
          <w:spacing w:val="-3"/>
          <w:highlight w:val="none"/>
        </w:rPr>
        <w:t xml:space="preserve">中标人不能按本章第 </w:t>
      </w:r>
      <w:r>
        <w:rPr>
          <w:rFonts w:ascii="Times New Roman" w:hAnsi="Times New Roman" w:eastAsia="Times New Roman"/>
          <w:color w:val="auto"/>
          <w:spacing w:val="-3"/>
          <w:highlight w:val="none"/>
        </w:rPr>
        <w:t xml:space="preserve">7.7.1 </w:t>
      </w:r>
      <w:r>
        <w:rPr>
          <w:rFonts w:ascii="宋体" w:hAnsi="宋体" w:eastAsia="宋体"/>
          <w:color w:val="auto"/>
          <w:spacing w:val="-3"/>
          <w:highlight w:val="none"/>
        </w:rPr>
        <w:t>项要求提交履约保证金的，视为放弃中标，</w:t>
      </w:r>
      <w:r>
        <w:rPr>
          <w:rFonts w:ascii="宋体" w:hAnsi="宋体" w:eastAsia="宋体"/>
          <w:strike/>
          <w:color w:val="auto"/>
          <w:spacing w:val="-3"/>
          <w:highlight w:val="none"/>
        </w:rPr>
        <w:t>其投标</w:t>
      </w:r>
      <w:r>
        <w:rPr>
          <w:rFonts w:ascii="宋体" w:hAnsi="宋体" w:eastAsia="宋体"/>
          <w:strike/>
          <w:color w:val="auto"/>
          <w:highlight w:val="none"/>
        </w:rPr>
        <w:t xml:space="preserve">保证金 </w:t>
      </w:r>
      <w:r>
        <w:rPr>
          <w:rFonts w:ascii="宋体" w:hAnsi="宋体" w:eastAsia="宋体"/>
          <w:strike/>
          <w:color w:val="auto"/>
          <w:spacing w:val="-1"/>
          <w:highlight w:val="none"/>
        </w:rPr>
        <w:t>不予退还</w:t>
      </w:r>
      <w:r>
        <w:rPr>
          <w:rFonts w:ascii="宋体" w:hAnsi="宋体" w:eastAsia="宋体"/>
          <w:color w:val="auto"/>
          <w:spacing w:val="-1"/>
          <w:highlight w:val="none"/>
        </w:rPr>
        <w:t>，给招标人造成</w:t>
      </w:r>
      <w:r>
        <w:rPr>
          <w:rFonts w:ascii="宋体" w:hAnsi="宋体" w:eastAsia="宋体"/>
          <w:strike/>
          <w:color w:val="auto"/>
          <w:spacing w:val="-1"/>
          <w:highlight w:val="none"/>
        </w:rPr>
        <w:t>的</w:t>
      </w:r>
      <w:r>
        <w:rPr>
          <w:rFonts w:ascii="宋体" w:hAnsi="宋体" w:eastAsia="宋体"/>
          <w:color w:val="auto"/>
          <w:spacing w:val="-1"/>
          <w:highlight w:val="none"/>
        </w:rPr>
        <w:t>损失</w:t>
      </w:r>
      <w:r>
        <w:rPr>
          <w:rFonts w:ascii="宋体" w:hAnsi="宋体" w:eastAsia="宋体"/>
          <w:strike/>
          <w:color w:val="auto"/>
          <w:spacing w:val="-1"/>
          <w:highlight w:val="none"/>
        </w:rPr>
        <w:t>超过投标保证金数额的</w:t>
      </w:r>
      <w:r>
        <w:rPr>
          <w:rFonts w:ascii="宋体" w:hAnsi="宋体" w:eastAsia="宋体"/>
          <w:color w:val="auto"/>
          <w:spacing w:val="-1"/>
          <w:highlight w:val="none"/>
        </w:rPr>
        <w:t>，中标人还应当对超过部分予以赔偿</w:t>
      </w:r>
      <w:r>
        <w:rPr>
          <w:rFonts w:hint="eastAsia" w:ascii="宋体" w:hAnsi="宋体" w:eastAsia="宋体"/>
          <w:color w:val="auto"/>
          <w:spacing w:val="-1"/>
          <w:highlight w:val="none"/>
        </w:rPr>
        <w:t>。</w:t>
      </w:r>
    </w:p>
    <w:p w14:paraId="5E4220D6">
      <w:pPr>
        <w:spacing w:before="68" w:line="351" w:lineRule="auto"/>
        <w:ind w:left="2" w:right="62" w:firstLine="417"/>
        <w:rPr>
          <w:rFonts w:hint="eastAsia" w:ascii="宋体" w:hAnsi="宋体" w:eastAsia="宋体"/>
          <w:color w:val="auto"/>
          <w:spacing w:val="-6"/>
          <w:highlight w:val="none"/>
        </w:rPr>
      </w:pPr>
      <w:r>
        <w:rPr>
          <w:rFonts w:ascii="宋体" w:hAnsi="宋体" w:eastAsia="宋体"/>
          <w:color w:val="auto"/>
          <w:spacing w:val="-6"/>
          <w:highlight w:val="none"/>
        </w:rPr>
        <w:t>7.8  签订合同</w:t>
      </w:r>
    </w:p>
    <w:p w14:paraId="12552033">
      <w:pPr>
        <w:spacing w:before="69" w:line="352" w:lineRule="auto"/>
        <w:ind w:right="75" w:firstLine="420"/>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7.8.1  </w:t>
      </w:r>
      <w:r>
        <w:rPr>
          <w:rFonts w:ascii="宋体" w:hAnsi="宋体" w:eastAsia="宋体"/>
          <w:color w:val="auto"/>
          <w:spacing w:val="-1"/>
          <w:highlight w:val="none"/>
        </w:rPr>
        <w:t xml:space="preserve">招标人和中标人应当在中标通知书发出之日起 </w:t>
      </w:r>
      <w:r>
        <w:rPr>
          <w:rFonts w:ascii="Times New Roman" w:hAnsi="Times New Roman" w:eastAsia="Times New Roman"/>
          <w:color w:val="auto"/>
          <w:spacing w:val="-1"/>
          <w:highlight w:val="none"/>
        </w:rPr>
        <w:t xml:space="preserve">30 </w:t>
      </w:r>
      <w:r>
        <w:rPr>
          <w:rFonts w:ascii="宋体" w:hAnsi="宋体" w:eastAsia="宋体"/>
          <w:color w:val="auto"/>
          <w:spacing w:val="-1"/>
          <w:highlight w:val="none"/>
        </w:rPr>
        <w:t>日</w:t>
      </w:r>
      <w:r>
        <w:rPr>
          <w:rFonts w:ascii="宋体" w:hAnsi="宋体" w:eastAsia="宋体"/>
          <w:color w:val="auto"/>
          <w:highlight w:val="none"/>
        </w:rPr>
        <w:t>内，根据招标文件和中标人的投</w:t>
      </w:r>
      <w:r>
        <w:rPr>
          <w:rFonts w:ascii="宋体" w:hAnsi="宋体" w:eastAsia="宋体"/>
          <w:color w:val="auto"/>
          <w:spacing w:val="-4"/>
          <w:highlight w:val="none"/>
        </w:rPr>
        <w:t>标文件订立书</w:t>
      </w:r>
      <w:r>
        <w:rPr>
          <w:rFonts w:ascii="宋体" w:hAnsi="宋体" w:eastAsia="宋体"/>
          <w:color w:val="auto"/>
          <w:spacing w:val="-2"/>
          <w:highlight w:val="none"/>
        </w:rPr>
        <w:t>面合同</w:t>
      </w:r>
      <w:r>
        <w:rPr>
          <w:rFonts w:hint="eastAsia"/>
          <w:color w:val="auto"/>
          <w:highlight w:val="none"/>
        </w:rPr>
        <w:t>，并通过电子交易系统与中标人在线签订合同</w:t>
      </w:r>
      <w:r>
        <w:rPr>
          <w:rFonts w:ascii="宋体" w:hAnsi="宋体" w:eastAsia="宋体"/>
          <w:color w:val="auto"/>
          <w:spacing w:val="-2"/>
          <w:highlight w:val="none"/>
        </w:rPr>
        <w:t>。中标人无正当理由拒签合同， 在签订合同时向招标人提出附加条件</w:t>
      </w:r>
      <w:r>
        <w:rPr>
          <w:rFonts w:hint="eastAsia" w:ascii="宋体" w:hAnsi="宋体" w:eastAsia="宋体"/>
          <w:color w:val="auto"/>
          <w:spacing w:val="-2"/>
          <w:highlight w:val="none"/>
        </w:rPr>
        <w:t>，</w:t>
      </w:r>
      <w:r>
        <w:rPr>
          <w:rFonts w:ascii="宋体" w:hAnsi="宋体" w:eastAsia="宋体"/>
          <w:color w:val="auto"/>
          <w:spacing w:val="-2"/>
          <w:highlight w:val="none"/>
        </w:rPr>
        <w:t>或</w:t>
      </w:r>
      <w:r>
        <w:rPr>
          <w:rFonts w:ascii="宋体" w:hAnsi="宋体" w:eastAsia="宋体"/>
          <w:color w:val="auto"/>
          <w:spacing w:val="-4"/>
          <w:highlight w:val="none"/>
        </w:rPr>
        <w:t>者</w:t>
      </w:r>
      <w:r>
        <w:rPr>
          <w:rFonts w:ascii="宋体" w:hAnsi="宋体" w:eastAsia="宋体"/>
          <w:color w:val="auto"/>
          <w:spacing w:val="-3"/>
          <w:highlight w:val="none"/>
        </w:rPr>
        <w:t>不</w:t>
      </w:r>
      <w:r>
        <w:rPr>
          <w:rFonts w:ascii="宋体" w:hAnsi="宋体" w:eastAsia="宋体"/>
          <w:color w:val="auto"/>
          <w:spacing w:val="-2"/>
          <w:highlight w:val="none"/>
        </w:rPr>
        <w:t>按照招标文件要求提交履约保证金的，招标人有权取消其中标资格</w:t>
      </w:r>
      <w:r>
        <w:rPr>
          <w:rFonts w:ascii="宋体" w:hAnsi="宋体" w:eastAsia="宋体"/>
          <w:strike/>
          <w:color w:val="auto"/>
          <w:spacing w:val="-2"/>
          <w:highlight w:val="none"/>
        </w:rPr>
        <w:t>，其投标保证金不予退</w:t>
      </w:r>
      <w:r>
        <w:rPr>
          <w:rFonts w:ascii="宋体" w:hAnsi="宋体" w:eastAsia="宋体"/>
          <w:strike/>
          <w:color w:val="auto"/>
          <w:spacing w:val="-1"/>
          <w:highlight w:val="none"/>
        </w:rPr>
        <w:t>还；给招标人造成的损失</w:t>
      </w:r>
      <w:r>
        <w:rPr>
          <w:rFonts w:ascii="宋体" w:hAnsi="宋体" w:eastAsia="宋体"/>
          <w:strike/>
          <w:color w:val="auto"/>
          <w:spacing w:val="-1"/>
          <w:highlight w:val="none"/>
          <w:u w:val="single"/>
        </w:rPr>
        <w:t>超过投标保证金数额的</w:t>
      </w:r>
      <w:r>
        <w:rPr>
          <w:rFonts w:ascii="宋体" w:hAnsi="宋体" w:eastAsia="宋体"/>
          <w:strike/>
          <w:color w:val="auto"/>
          <w:spacing w:val="-1"/>
          <w:highlight w:val="none"/>
        </w:rPr>
        <w:t>，中标人还应当对超过部分予以赔</w:t>
      </w:r>
      <w:r>
        <w:rPr>
          <w:rFonts w:ascii="宋体" w:hAnsi="宋体" w:eastAsia="宋体"/>
          <w:strike/>
          <w:color w:val="auto"/>
          <w:highlight w:val="none"/>
        </w:rPr>
        <w:t>偿。</w:t>
      </w:r>
    </w:p>
    <w:p w14:paraId="116316CC">
      <w:pPr>
        <w:spacing w:before="2" w:line="351" w:lineRule="auto"/>
        <w:ind w:right="72" w:firstLine="419"/>
        <w:rPr>
          <w:rFonts w:ascii="Times New Roman" w:hAnsi="Times New Roman" w:eastAsia="Times New Roman"/>
          <w:color w:val="auto"/>
          <w:spacing w:val="-12"/>
          <w:highlight w:val="none"/>
        </w:rPr>
      </w:pPr>
      <w:r>
        <w:rPr>
          <w:rFonts w:ascii="Times New Roman" w:hAnsi="Times New Roman" w:eastAsia="Times New Roman"/>
          <w:color w:val="auto"/>
          <w:spacing w:val="-12"/>
          <w:highlight w:val="none"/>
        </w:rPr>
        <w:t>7.</w:t>
      </w:r>
      <w:r>
        <w:rPr>
          <w:rFonts w:ascii="Times New Roman" w:hAnsi="Times New Roman" w:eastAsia="Times New Roman"/>
          <w:color w:val="auto"/>
          <w:spacing w:val="-10"/>
          <w:highlight w:val="none"/>
        </w:rPr>
        <w:t>8</w:t>
      </w:r>
      <w:r>
        <w:rPr>
          <w:rFonts w:ascii="Times New Roman" w:hAnsi="Times New Roman" w:eastAsia="Times New Roman"/>
          <w:color w:val="auto"/>
          <w:spacing w:val="-6"/>
          <w:highlight w:val="none"/>
        </w:rPr>
        <w:t xml:space="preserve">.2  </w:t>
      </w:r>
      <w:r>
        <w:rPr>
          <w:rFonts w:ascii="宋体" w:hAnsi="宋体" w:eastAsia="宋体"/>
          <w:color w:val="auto"/>
          <w:spacing w:val="-6"/>
          <w:highlight w:val="none"/>
        </w:rPr>
        <w:t>发出中标通知书后，招标人无正当理由拒签合同，或者在签订合同时向中标人提出附</w:t>
      </w:r>
      <w:r>
        <w:rPr>
          <w:rFonts w:ascii="宋体" w:hAnsi="宋体" w:eastAsia="宋体"/>
          <w:color w:val="auto"/>
          <w:highlight w:val="none"/>
        </w:rPr>
        <w:t xml:space="preserve"> </w:t>
      </w:r>
      <w:r>
        <w:rPr>
          <w:rFonts w:ascii="宋体" w:hAnsi="宋体" w:eastAsia="宋体"/>
          <w:color w:val="auto"/>
          <w:spacing w:val="-1"/>
          <w:highlight w:val="none"/>
        </w:rPr>
        <w:t>加条件的</w:t>
      </w:r>
      <w:r>
        <w:rPr>
          <w:rFonts w:ascii="宋体" w:hAnsi="宋体" w:eastAsia="宋体"/>
          <w:strike/>
          <w:color w:val="auto"/>
          <w:spacing w:val="-1"/>
          <w:highlight w:val="none"/>
        </w:rPr>
        <w:t>，招标人向中标人退还投标保证金；</w:t>
      </w:r>
      <w:r>
        <w:rPr>
          <w:rFonts w:ascii="宋体" w:hAnsi="宋体" w:eastAsia="宋体"/>
          <w:color w:val="auto"/>
          <w:spacing w:val="-1"/>
          <w:highlight w:val="none"/>
        </w:rPr>
        <w:t>给中标人造成损失的，还应当赔偿损失</w:t>
      </w:r>
      <w:r>
        <w:rPr>
          <w:rFonts w:ascii="宋体" w:hAnsi="宋体" w:eastAsia="宋体"/>
          <w:color w:val="auto"/>
          <w:highlight w:val="none"/>
        </w:rPr>
        <w:t>。</w:t>
      </w:r>
    </w:p>
    <w:p w14:paraId="12D7CEB2">
      <w:pPr>
        <w:spacing w:line="359" w:lineRule="auto"/>
        <w:ind w:left="4" w:right="70" w:firstLine="416"/>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7.8.3 </w:t>
      </w:r>
      <w:r>
        <w:rPr>
          <w:rFonts w:ascii="宋体" w:hAnsi="宋体" w:eastAsia="宋体"/>
          <w:color w:val="auto"/>
          <w:spacing w:val="-1"/>
          <w:highlight w:val="none"/>
        </w:rPr>
        <w:t>联合体中标的，联合体各方应当共同与招标人签</w:t>
      </w:r>
      <w:r>
        <w:rPr>
          <w:rFonts w:ascii="宋体" w:hAnsi="宋体" w:eastAsia="宋体"/>
          <w:color w:val="auto"/>
          <w:highlight w:val="none"/>
        </w:rPr>
        <w:t>订合同，就中标项目向招标人承担连</w:t>
      </w:r>
      <w:r>
        <w:rPr>
          <w:rFonts w:ascii="宋体" w:hAnsi="宋体" w:eastAsia="宋体"/>
          <w:color w:val="auto"/>
          <w:spacing w:val="-10"/>
          <w:highlight w:val="none"/>
        </w:rPr>
        <w:t>带</w:t>
      </w:r>
      <w:r>
        <w:rPr>
          <w:rFonts w:ascii="宋体" w:hAnsi="宋体" w:eastAsia="宋体"/>
          <w:color w:val="auto"/>
          <w:spacing w:val="-7"/>
          <w:highlight w:val="none"/>
        </w:rPr>
        <w:t>责任。</w:t>
      </w:r>
    </w:p>
    <w:p w14:paraId="2AF324EB">
      <w:pPr>
        <w:spacing w:line="359" w:lineRule="auto"/>
        <w:ind w:left="4" w:right="70" w:firstLine="416"/>
        <w:rPr>
          <w:rFonts w:hint="eastAsia" w:ascii="宋体" w:hAnsi="宋体" w:eastAsia="宋体"/>
          <w:b/>
          <w:bCs/>
          <w:color w:val="auto"/>
          <w:sz w:val="24"/>
          <w:szCs w:val="24"/>
          <w:highlight w:val="none"/>
        </w:rPr>
      </w:pPr>
      <w:r>
        <w:rPr>
          <w:rFonts w:ascii="宋体" w:hAnsi="宋体" w:eastAsia="宋体"/>
          <w:b/>
          <w:bCs/>
          <w:color w:val="auto"/>
          <w:sz w:val="24"/>
          <w:szCs w:val="24"/>
          <w:highlight w:val="none"/>
        </w:rPr>
        <w:t>注：以上修改，仅限于本范本中有可供选择条款的情形。</w:t>
      </w:r>
    </w:p>
    <w:p w14:paraId="35AFDF31">
      <w:pPr>
        <w:spacing w:line="360" w:lineRule="auto"/>
        <w:rPr>
          <w:rFonts w:hint="eastAsia" w:ascii="宋体" w:hAnsi="宋体" w:eastAsia="宋体"/>
          <w:b/>
          <w:bCs/>
          <w:color w:val="auto"/>
          <w:sz w:val="24"/>
          <w:szCs w:val="24"/>
          <w:highlight w:val="none"/>
        </w:rPr>
      </w:pPr>
      <w:r>
        <w:rPr>
          <w:rFonts w:ascii="宋体" w:hAnsi="宋体" w:eastAsia="宋体"/>
          <w:b/>
          <w:bCs/>
          <w:color w:val="auto"/>
          <w:sz w:val="24"/>
          <w:szCs w:val="24"/>
          <w:highlight w:val="none"/>
        </w:rPr>
        <w:t>（以下无正文）</w:t>
      </w:r>
    </w:p>
    <w:p w14:paraId="20629E47">
      <w:pPr>
        <w:pStyle w:val="26"/>
        <w:spacing w:before="120" w:after="120"/>
        <w:rPr>
          <w:rFonts w:hint="eastAsia"/>
          <w:color w:val="auto"/>
          <w:sz w:val="24"/>
          <w:highlight w:val="none"/>
        </w:rPr>
        <w:sectPr>
          <w:footerReference r:id="rId6" w:type="default"/>
          <w:pgSz w:w="11905" w:h="16838"/>
          <w:pgMar w:top="1417" w:right="1417" w:bottom="1417" w:left="1417" w:header="992" w:footer="992" w:gutter="0"/>
          <w:cols w:space="720" w:num="1"/>
        </w:sectPr>
      </w:pPr>
    </w:p>
    <w:p w14:paraId="49D53397">
      <w:pPr>
        <w:pStyle w:val="26"/>
        <w:spacing w:before="120" w:after="120"/>
        <w:outlineLvl w:val="9"/>
        <w:rPr>
          <w:rFonts w:ascii="Times New Roman" w:hAnsi="Times New Roman" w:eastAsia="Times New Roman"/>
          <w:bCs/>
          <w:color w:val="auto"/>
          <w:spacing w:val="3"/>
          <w:sz w:val="31"/>
          <w:szCs w:val="31"/>
          <w:highlight w:val="none"/>
        </w:rPr>
      </w:pPr>
      <w:bookmarkStart w:id="32" w:name="_Toc22922"/>
      <w:bookmarkStart w:id="33" w:name="_Toc357"/>
      <w:bookmarkStart w:id="34" w:name="_Toc2101"/>
      <w:bookmarkStart w:id="35" w:name="_Toc24325"/>
      <w:bookmarkStart w:id="36" w:name="_Toc14454"/>
      <w:r>
        <w:rPr>
          <w:rFonts w:ascii="Times New Roman" w:hAnsi="Times New Roman" w:eastAsia="Times New Roman"/>
          <w:bCs/>
          <w:color w:val="auto"/>
          <w:spacing w:val="3"/>
          <w:sz w:val="31"/>
          <w:szCs w:val="31"/>
          <w:highlight w:val="none"/>
        </w:rPr>
        <w:t>1</w:t>
      </w:r>
      <w:r>
        <w:rPr>
          <w:rFonts w:ascii="Times New Roman" w:hAnsi="Times New Roman" w:eastAsia="Times New Roman"/>
          <w:bCs/>
          <w:color w:val="auto"/>
          <w:spacing w:val="2"/>
          <w:sz w:val="31"/>
          <w:szCs w:val="31"/>
          <w:highlight w:val="none"/>
        </w:rPr>
        <w:t>.</w:t>
      </w:r>
      <w:r>
        <w:rPr>
          <w:rFonts w:ascii="Times New Roman" w:hAnsi="Times New Roman" w:eastAsia="Times New Roman"/>
          <w:color w:val="auto"/>
          <w:spacing w:val="2"/>
          <w:sz w:val="31"/>
          <w:szCs w:val="31"/>
          <w:highlight w:val="none"/>
        </w:rPr>
        <w:t xml:space="preserve">  </w:t>
      </w:r>
      <w:r>
        <w:rPr>
          <w:rFonts w:ascii="黑体" w:hAnsi="黑体" w:eastAsia="黑体"/>
          <w:color w:val="auto"/>
          <w:spacing w:val="2"/>
          <w:sz w:val="31"/>
          <w:szCs w:val="31"/>
          <w:highlight w:val="none"/>
        </w:rPr>
        <w:t>总则</w:t>
      </w:r>
      <w:bookmarkEnd w:id="32"/>
      <w:bookmarkEnd w:id="33"/>
      <w:bookmarkEnd w:id="34"/>
      <w:bookmarkEnd w:id="35"/>
      <w:bookmarkEnd w:id="36"/>
    </w:p>
    <w:p w14:paraId="08476348">
      <w:pPr>
        <w:spacing w:line="247" w:lineRule="auto"/>
        <w:rPr>
          <w:color w:val="auto"/>
          <w:highlight w:val="none"/>
        </w:rPr>
      </w:pPr>
    </w:p>
    <w:p w14:paraId="7E25E18C">
      <w:pPr>
        <w:rPr>
          <w:rFonts w:ascii="Times New Roman" w:hAnsi="Times New Roman" w:eastAsia="Times New Roman"/>
          <w:color w:val="auto"/>
          <w:spacing w:val="6"/>
          <w:sz w:val="27"/>
          <w:szCs w:val="27"/>
          <w:highlight w:val="none"/>
        </w:rPr>
      </w:pPr>
      <w:bookmarkStart w:id="37" w:name="_Toc9379"/>
      <w:bookmarkStart w:id="38" w:name="_Toc24214"/>
      <w:bookmarkStart w:id="39" w:name="_Toc31737"/>
      <w:bookmarkStart w:id="40" w:name="_Toc3974"/>
      <w:bookmarkStart w:id="41" w:name="_Toc27791"/>
      <w:r>
        <w:rPr>
          <w:rFonts w:ascii="Times New Roman" w:hAnsi="Times New Roman" w:eastAsia="Times New Roman"/>
          <w:color w:val="auto"/>
          <w:spacing w:val="6"/>
          <w:sz w:val="27"/>
          <w:szCs w:val="27"/>
          <w:highlight w:val="none"/>
        </w:rPr>
        <w:t>1</w:t>
      </w:r>
      <w:r>
        <w:rPr>
          <w:rFonts w:ascii="Times New Roman" w:hAnsi="Times New Roman" w:eastAsia="Times New Roman"/>
          <w:color w:val="auto"/>
          <w:spacing w:val="4"/>
          <w:sz w:val="27"/>
          <w:szCs w:val="27"/>
          <w:highlight w:val="none"/>
        </w:rPr>
        <w:t xml:space="preserve">.1  </w:t>
      </w:r>
      <w:r>
        <w:rPr>
          <w:rFonts w:ascii="黑体" w:hAnsi="黑体" w:eastAsia="黑体"/>
          <w:color w:val="auto"/>
          <w:spacing w:val="4"/>
          <w:sz w:val="27"/>
          <w:szCs w:val="27"/>
          <w:highlight w:val="none"/>
        </w:rPr>
        <w:t>招标项目概况</w:t>
      </w:r>
      <w:bookmarkEnd w:id="37"/>
      <w:bookmarkEnd w:id="38"/>
      <w:bookmarkEnd w:id="39"/>
      <w:bookmarkEnd w:id="40"/>
      <w:bookmarkEnd w:id="41"/>
    </w:p>
    <w:p w14:paraId="45D5498C">
      <w:pPr>
        <w:spacing w:before="68" w:line="352" w:lineRule="auto"/>
        <w:ind w:firstLine="435"/>
        <w:rPr>
          <w:rFonts w:ascii="Times New Roman" w:hAnsi="Times New Roman" w:eastAsia="Times New Roman"/>
          <w:color w:val="auto"/>
          <w:spacing w:val="-10"/>
          <w:highlight w:val="none"/>
        </w:rPr>
      </w:pPr>
      <w:r>
        <w:rPr>
          <w:rFonts w:ascii="Times New Roman" w:hAnsi="Times New Roman" w:eastAsia="Times New Roman"/>
          <w:color w:val="auto"/>
          <w:spacing w:val="-10"/>
          <w:highlight w:val="none"/>
        </w:rPr>
        <w:t xml:space="preserve">1.1.1 </w:t>
      </w:r>
      <w:r>
        <w:rPr>
          <w:rFonts w:ascii="宋体" w:hAnsi="宋体" w:eastAsia="宋体"/>
          <w:color w:val="auto"/>
          <w:spacing w:val="-10"/>
          <w:highlight w:val="none"/>
        </w:rPr>
        <w:t>根</w:t>
      </w:r>
      <w:r>
        <w:rPr>
          <w:rFonts w:ascii="宋体" w:hAnsi="宋体" w:eastAsia="宋体"/>
          <w:color w:val="auto"/>
          <w:spacing w:val="-5"/>
          <w:highlight w:val="none"/>
        </w:rPr>
        <w:t>据《中华人民共和国招标投标法》、《中华人民共和国招标投标法实施条例》等有关</w:t>
      </w:r>
      <w:r>
        <w:rPr>
          <w:rFonts w:ascii="宋体" w:hAnsi="宋体" w:eastAsia="宋体"/>
          <w:color w:val="auto"/>
          <w:highlight w:val="none"/>
        </w:rPr>
        <w:t xml:space="preserve"> </w:t>
      </w:r>
      <w:r>
        <w:rPr>
          <w:rFonts w:ascii="宋体" w:hAnsi="宋体" w:eastAsia="宋体"/>
          <w:color w:val="auto"/>
          <w:spacing w:val="-2"/>
          <w:highlight w:val="none"/>
        </w:rPr>
        <w:t>法律、法</w:t>
      </w:r>
      <w:r>
        <w:rPr>
          <w:rFonts w:ascii="宋体" w:hAnsi="宋体" w:eastAsia="宋体"/>
          <w:color w:val="auto"/>
          <w:spacing w:val="-1"/>
          <w:highlight w:val="none"/>
        </w:rPr>
        <w:t>规和规章的规定，本招标项目已具备招标条件，现对</w:t>
      </w:r>
      <w:r>
        <w:rPr>
          <w:rFonts w:hint="eastAsia" w:ascii="宋体" w:hAnsi="宋体" w:eastAsia="宋体"/>
          <w:color w:val="auto"/>
          <w:spacing w:val="-1"/>
          <w:highlight w:val="none"/>
        </w:rPr>
        <w:t>勘察</w:t>
      </w:r>
      <w:r>
        <w:rPr>
          <w:rFonts w:ascii="宋体" w:hAnsi="宋体" w:eastAsia="宋体"/>
          <w:color w:val="auto"/>
          <w:spacing w:val="-1"/>
          <w:highlight w:val="none"/>
        </w:rPr>
        <w:t>设计进行招标。</w:t>
      </w:r>
    </w:p>
    <w:p w14:paraId="5F8ADD0A">
      <w:pPr>
        <w:spacing w:line="219" w:lineRule="auto"/>
        <w:ind w:left="435"/>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1.1.2</w:t>
      </w:r>
      <w:r>
        <w:rPr>
          <w:rFonts w:ascii="Times New Roman" w:hAnsi="Times New Roman" w:eastAsia="Times New Roman"/>
          <w:color w:val="auto"/>
          <w:spacing w:val="-3"/>
          <w:highlight w:val="none"/>
        </w:rPr>
        <w:t xml:space="preserve"> </w:t>
      </w:r>
      <w:r>
        <w:rPr>
          <w:rFonts w:ascii="Times New Roman" w:hAnsi="Times New Roman" w:eastAsia="Times New Roman"/>
          <w:color w:val="auto"/>
          <w:spacing w:val="-2"/>
          <w:highlight w:val="none"/>
        </w:rPr>
        <w:t xml:space="preserve"> </w:t>
      </w:r>
      <w:r>
        <w:rPr>
          <w:rFonts w:ascii="宋体" w:hAnsi="宋体" w:eastAsia="宋体"/>
          <w:color w:val="auto"/>
          <w:spacing w:val="-2"/>
          <w:highlight w:val="none"/>
        </w:rPr>
        <w:t>招标人：见投标人须知前附表。</w:t>
      </w:r>
    </w:p>
    <w:p w14:paraId="04EB9030">
      <w:pPr>
        <w:spacing w:before="149" w:line="400" w:lineRule="exact"/>
        <w:ind w:left="435"/>
        <w:rPr>
          <w:rFonts w:ascii="Times New Roman" w:hAnsi="Times New Roman" w:eastAsia="Times New Roman"/>
          <w:color w:val="auto"/>
          <w:spacing w:val="-4"/>
          <w:position w:val="14"/>
          <w:highlight w:val="none"/>
        </w:rPr>
      </w:pPr>
      <w:r>
        <w:rPr>
          <w:rFonts w:ascii="Times New Roman" w:hAnsi="Times New Roman" w:eastAsia="Times New Roman"/>
          <w:color w:val="auto"/>
          <w:spacing w:val="-4"/>
          <w:position w:val="14"/>
          <w:highlight w:val="none"/>
        </w:rPr>
        <w:t>1.</w:t>
      </w:r>
      <w:r>
        <w:rPr>
          <w:rFonts w:ascii="Times New Roman" w:hAnsi="Times New Roman" w:eastAsia="Times New Roman"/>
          <w:color w:val="auto"/>
          <w:spacing w:val="-3"/>
          <w:position w:val="14"/>
          <w:highlight w:val="none"/>
        </w:rPr>
        <w:t>1</w:t>
      </w:r>
      <w:r>
        <w:rPr>
          <w:rFonts w:ascii="Times New Roman" w:hAnsi="Times New Roman" w:eastAsia="Times New Roman"/>
          <w:color w:val="auto"/>
          <w:spacing w:val="-2"/>
          <w:position w:val="14"/>
          <w:highlight w:val="none"/>
        </w:rPr>
        <w:t xml:space="preserve">.3  </w:t>
      </w:r>
      <w:r>
        <w:rPr>
          <w:rFonts w:ascii="宋体" w:hAnsi="宋体" w:eastAsia="宋体"/>
          <w:color w:val="auto"/>
          <w:spacing w:val="-2"/>
          <w:position w:val="14"/>
          <w:highlight w:val="none"/>
        </w:rPr>
        <w:t>招标代理机构：见投标人须知前附表。</w:t>
      </w:r>
    </w:p>
    <w:p w14:paraId="69E0128D">
      <w:pPr>
        <w:spacing w:line="219" w:lineRule="auto"/>
        <w:ind w:left="435"/>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w:t>
      </w:r>
      <w:r>
        <w:rPr>
          <w:rFonts w:ascii="Times New Roman" w:hAnsi="Times New Roman" w:eastAsia="Times New Roman"/>
          <w:color w:val="auto"/>
          <w:spacing w:val="-3"/>
          <w:highlight w:val="none"/>
        </w:rPr>
        <w:t>1</w:t>
      </w:r>
      <w:r>
        <w:rPr>
          <w:rFonts w:ascii="Times New Roman" w:hAnsi="Times New Roman" w:eastAsia="Times New Roman"/>
          <w:color w:val="auto"/>
          <w:spacing w:val="-2"/>
          <w:highlight w:val="none"/>
        </w:rPr>
        <w:t xml:space="preserve">.4  </w:t>
      </w:r>
      <w:r>
        <w:rPr>
          <w:rFonts w:ascii="宋体" w:hAnsi="宋体" w:eastAsia="宋体"/>
          <w:color w:val="auto"/>
          <w:spacing w:val="-2"/>
          <w:highlight w:val="none"/>
        </w:rPr>
        <w:t>招标项目名称：见投标人须知前附表。</w:t>
      </w:r>
    </w:p>
    <w:p w14:paraId="1447602A">
      <w:pPr>
        <w:spacing w:before="151" w:line="220" w:lineRule="auto"/>
        <w:ind w:left="435"/>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w:t>
      </w:r>
      <w:r>
        <w:rPr>
          <w:rFonts w:ascii="Times New Roman" w:hAnsi="Times New Roman" w:eastAsia="Times New Roman"/>
          <w:color w:val="auto"/>
          <w:spacing w:val="-3"/>
          <w:highlight w:val="none"/>
        </w:rPr>
        <w:t>1</w:t>
      </w:r>
      <w:r>
        <w:rPr>
          <w:rFonts w:ascii="Times New Roman" w:hAnsi="Times New Roman" w:eastAsia="Times New Roman"/>
          <w:color w:val="auto"/>
          <w:spacing w:val="-2"/>
          <w:highlight w:val="none"/>
        </w:rPr>
        <w:t xml:space="preserve">.5  </w:t>
      </w:r>
      <w:r>
        <w:rPr>
          <w:rFonts w:ascii="宋体" w:hAnsi="宋体" w:eastAsia="宋体"/>
          <w:color w:val="auto"/>
          <w:spacing w:val="-2"/>
          <w:highlight w:val="none"/>
        </w:rPr>
        <w:t>项目建设地点：见投标人须知前附表。</w:t>
      </w:r>
    </w:p>
    <w:p w14:paraId="438D3D15">
      <w:pPr>
        <w:spacing w:before="149" w:line="220" w:lineRule="auto"/>
        <w:ind w:left="435"/>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w:t>
      </w:r>
      <w:r>
        <w:rPr>
          <w:rFonts w:ascii="Times New Roman" w:hAnsi="Times New Roman" w:eastAsia="Times New Roman"/>
          <w:color w:val="auto"/>
          <w:spacing w:val="-3"/>
          <w:highlight w:val="none"/>
        </w:rPr>
        <w:t>1</w:t>
      </w:r>
      <w:r>
        <w:rPr>
          <w:rFonts w:ascii="Times New Roman" w:hAnsi="Times New Roman" w:eastAsia="Times New Roman"/>
          <w:color w:val="auto"/>
          <w:spacing w:val="-2"/>
          <w:highlight w:val="none"/>
        </w:rPr>
        <w:t xml:space="preserve">.6  </w:t>
      </w:r>
      <w:r>
        <w:rPr>
          <w:rFonts w:ascii="宋体" w:hAnsi="宋体" w:eastAsia="宋体"/>
          <w:color w:val="auto"/>
          <w:spacing w:val="-2"/>
          <w:highlight w:val="none"/>
        </w:rPr>
        <w:t>项目建设规模：见投标人须知前附表。</w:t>
      </w:r>
    </w:p>
    <w:p w14:paraId="06AE1678">
      <w:pPr>
        <w:spacing w:before="150" w:line="219" w:lineRule="auto"/>
        <w:ind w:left="435"/>
        <w:rPr>
          <w:rFonts w:hint="eastAsia" w:ascii="宋体" w:hAnsi="宋体" w:eastAsia="宋体"/>
          <w:color w:val="auto"/>
          <w:spacing w:val="-2"/>
          <w:highlight w:val="none"/>
        </w:rPr>
      </w:pPr>
      <w:r>
        <w:rPr>
          <w:rFonts w:ascii="Times New Roman" w:hAnsi="Times New Roman" w:eastAsia="Times New Roman"/>
          <w:color w:val="auto"/>
          <w:spacing w:val="-4"/>
          <w:highlight w:val="none"/>
        </w:rPr>
        <w:t>1.</w:t>
      </w:r>
      <w:r>
        <w:rPr>
          <w:rFonts w:ascii="Times New Roman" w:hAnsi="Times New Roman" w:eastAsia="Times New Roman"/>
          <w:color w:val="auto"/>
          <w:spacing w:val="-3"/>
          <w:highlight w:val="none"/>
        </w:rPr>
        <w:t>1</w:t>
      </w:r>
      <w:r>
        <w:rPr>
          <w:rFonts w:ascii="Times New Roman" w:hAnsi="Times New Roman" w:eastAsia="Times New Roman"/>
          <w:color w:val="auto"/>
          <w:spacing w:val="-2"/>
          <w:highlight w:val="none"/>
        </w:rPr>
        <w:t xml:space="preserve">.7  </w:t>
      </w:r>
      <w:r>
        <w:rPr>
          <w:rFonts w:ascii="宋体" w:hAnsi="宋体" w:eastAsia="宋体"/>
          <w:color w:val="auto"/>
          <w:spacing w:val="-2"/>
          <w:highlight w:val="none"/>
        </w:rPr>
        <w:t>项目投资估算：见投标人须知前附表。</w:t>
      </w:r>
    </w:p>
    <w:p w14:paraId="6AF15AE3">
      <w:pPr>
        <w:pStyle w:val="9"/>
        <w:rPr>
          <w:rFonts w:eastAsiaTheme="minorEastAsia"/>
          <w:color w:val="auto"/>
          <w:highlight w:val="none"/>
        </w:rPr>
      </w:pPr>
    </w:p>
    <w:p w14:paraId="69E7DB7B">
      <w:pPr>
        <w:rPr>
          <w:rFonts w:ascii="Times New Roman" w:hAnsi="Times New Roman" w:eastAsia="Times New Roman"/>
          <w:color w:val="auto"/>
          <w:spacing w:val="12"/>
          <w:sz w:val="27"/>
          <w:szCs w:val="27"/>
          <w:highlight w:val="none"/>
        </w:rPr>
      </w:pPr>
      <w:bookmarkStart w:id="42" w:name="_Toc6870"/>
      <w:bookmarkStart w:id="43" w:name="_Toc3794"/>
      <w:bookmarkStart w:id="44" w:name="_Toc24724"/>
      <w:bookmarkStart w:id="45" w:name="_Toc9196"/>
      <w:bookmarkStart w:id="46" w:name="_Toc17697"/>
      <w:r>
        <w:rPr>
          <w:rFonts w:ascii="Times New Roman" w:hAnsi="Times New Roman" w:eastAsia="Times New Roman"/>
          <w:color w:val="auto"/>
          <w:spacing w:val="12"/>
          <w:sz w:val="27"/>
          <w:szCs w:val="27"/>
          <w:highlight w:val="none"/>
        </w:rPr>
        <w:t>1.</w:t>
      </w:r>
      <w:r>
        <w:rPr>
          <w:rFonts w:ascii="Times New Roman" w:hAnsi="Times New Roman" w:eastAsia="Times New Roman"/>
          <w:color w:val="auto"/>
          <w:spacing w:val="7"/>
          <w:sz w:val="27"/>
          <w:szCs w:val="27"/>
          <w:highlight w:val="none"/>
        </w:rPr>
        <w:t>2</w:t>
      </w:r>
      <w:r>
        <w:rPr>
          <w:rFonts w:ascii="Times New Roman" w:hAnsi="Times New Roman" w:eastAsia="Times New Roman"/>
          <w:color w:val="auto"/>
          <w:spacing w:val="6"/>
          <w:sz w:val="27"/>
          <w:szCs w:val="27"/>
          <w:highlight w:val="none"/>
        </w:rPr>
        <w:t xml:space="preserve">  </w:t>
      </w:r>
      <w:r>
        <w:rPr>
          <w:rFonts w:ascii="黑体" w:hAnsi="黑体" w:eastAsia="黑体"/>
          <w:color w:val="auto"/>
          <w:spacing w:val="6"/>
          <w:sz w:val="27"/>
          <w:szCs w:val="27"/>
          <w:highlight w:val="none"/>
        </w:rPr>
        <w:t>招标项目的资金来源和落实情况</w:t>
      </w:r>
      <w:bookmarkEnd w:id="42"/>
      <w:bookmarkEnd w:id="43"/>
      <w:bookmarkEnd w:id="44"/>
      <w:bookmarkEnd w:id="45"/>
      <w:bookmarkEnd w:id="46"/>
    </w:p>
    <w:p w14:paraId="267BDE02">
      <w:pPr>
        <w:spacing w:before="70" w:line="400" w:lineRule="exact"/>
        <w:ind w:left="435"/>
        <w:rPr>
          <w:rFonts w:ascii="Times New Roman" w:hAnsi="Times New Roman" w:eastAsia="Times New Roman"/>
          <w:color w:val="auto"/>
          <w:spacing w:val="-4"/>
          <w:position w:val="14"/>
          <w:highlight w:val="none"/>
        </w:rPr>
      </w:pPr>
      <w:r>
        <w:rPr>
          <w:rFonts w:ascii="Times New Roman" w:hAnsi="Times New Roman" w:eastAsia="Times New Roman"/>
          <w:color w:val="auto"/>
          <w:spacing w:val="-4"/>
          <w:position w:val="14"/>
          <w:highlight w:val="none"/>
        </w:rPr>
        <w:t>1</w:t>
      </w:r>
      <w:r>
        <w:rPr>
          <w:rFonts w:ascii="Times New Roman" w:hAnsi="Times New Roman" w:eastAsia="Times New Roman"/>
          <w:color w:val="auto"/>
          <w:spacing w:val="-3"/>
          <w:position w:val="14"/>
          <w:highlight w:val="none"/>
        </w:rPr>
        <w:t>.</w:t>
      </w:r>
      <w:r>
        <w:rPr>
          <w:rFonts w:ascii="Times New Roman" w:hAnsi="Times New Roman" w:eastAsia="Times New Roman"/>
          <w:color w:val="auto"/>
          <w:spacing w:val="-2"/>
          <w:position w:val="14"/>
          <w:highlight w:val="none"/>
        </w:rPr>
        <w:t xml:space="preserve">2.1  </w:t>
      </w:r>
      <w:r>
        <w:rPr>
          <w:rFonts w:ascii="宋体" w:hAnsi="宋体" w:eastAsia="宋体"/>
          <w:color w:val="auto"/>
          <w:spacing w:val="-2"/>
          <w:position w:val="14"/>
          <w:highlight w:val="none"/>
        </w:rPr>
        <w:t>资金来源及比例：见投标人须知前附表。</w:t>
      </w:r>
    </w:p>
    <w:p w14:paraId="0652F365">
      <w:pPr>
        <w:spacing w:before="1" w:line="216" w:lineRule="auto"/>
        <w:ind w:left="435"/>
        <w:rPr>
          <w:rFonts w:hint="eastAsia" w:ascii="宋体" w:hAnsi="宋体" w:eastAsia="宋体"/>
          <w:color w:val="auto"/>
          <w:spacing w:val="-2"/>
          <w:highlight w:val="none"/>
        </w:rPr>
      </w:pPr>
      <w:r>
        <w:rPr>
          <w:rFonts w:ascii="Times New Roman" w:hAnsi="Times New Roman" w:eastAsia="Times New Roman"/>
          <w:color w:val="auto"/>
          <w:spacing w:val="-4"/>
          <w:highlight w:val="none"/>
        </w:rPr>
        <w:t>1.</w:t>
      </w:r>
      <w:r>
        <w:rPr>
          <w:rFonts w:ascii="Times New Roman" w:hAnsi="Times New Roman" w:eastAsia="Times New Roman"/>
          <w:color w:val="auto"/>
          <w:spacing w:val="-3"/>
          <w:highlight w:val="none"/>
        </w:rPr>
        <w:t>2</w:t>
      </w:r>
      <w:r>
        <w:rPr>
          <w:rFonts w:ascii="Times New Roman" w:hAnsi="Times New Roman" w:eastAsia="Times New Roman"/>
          <w:color w:val="auto"/>
          <w:spacing w:val="-2"/>
          <w:highlight w:val="none"/>
        </w:rPr>
        <w:t xml:space="preserve">.2  </w:t>
      </w:r>
      <w:r>
        <w:rPr>
          <w:rFonts w:ascii="宋体" w:hAnsi="宋体" w:eastAsia="宋体"/>
          <w:color w:val="auto"/>
          <w:spacing w:val="-2"/>
          <w:highlight w:val="none"/>
        </w:rPr>
        <w:t>资金落实情况：见投标人须知前附表。</w:t>
      </w:r>
    </w:p>
    <w:p w14:paraId="521C2E2F">
      <w:pPr>
        <w:pStyle w:val="9"/>
        <w:rPr>
          <w:rFonts w:eastAsiaTheme="minorEastAsia"/>
          <w:color w:val="auto"/>
          <w:highlight w:val="none"/>
        </w:rPr>
      </w:pPr>
    </w:p>
    <w:p w14:paraId="739A6B18">
      <w:pPr>
        <w:rPr>
          <w:rFonts w:ascii="Times New Roman" w:hAnsi="Times New Roman" w:eastAsia="Times New Roman"/>
          <w:color w:val="auto"/>
          <w:spacing w:val="14"/>
          <w:sz w:val="27"/>
          <w:szCs w:val="27"/>
          <w:highlight w:val="none"/>
        </w:rPr>
      </w:pPr>
      <w:bookmarkStart w:id="47" w:name="_Toc20605"/>
      <w:bookmarkStart w:id="48" w:name="_Toc16178"/>
      <w:bookmarkStart w:id="49" w:name="_Toc12983"/>
      <w:bookmarkStart w:id="50" w:name="_Toc16472"/>
      <w:bookmarkStart w:id="51" w:name="_Toc4137"/>
      <w:r>
        <w:rPr>
          <w:rFonts w:ascii="Times New Roman" w:hAnsi="Times New Roman" w:eastAsia="Times New Roman"/>
          <w:color w:val="auto"/>
          <w:spacing w:val="14"/>
          <w:sz w:val="27"/>
          <w:szCs w:val="27"/>
          <w:highlight w:val="none"/>
        </w:rPr>
        <w:t>1</w:t>
      </w:r>
      <w:r>
        <w:rPr>
          <w:rFonts w:ascii="Times New Roman" w:hAnsi="Times New Roman" w:eastAsia="Times New Roman"/>
          <w:color w:val="auto"/>
          <w:spacing w:val="7"/>
          <w:sz w:val="27"/>
          <w:szCs w:val="27"/>
          <w:highlight w:val="none"/>
        </w:rPr>
        <w:t xml:space="preserve">.3 </w:t>
      </w:r>
      <w:r>
        <w:rPr>
          <w:rFonts w:ascii="黑体" w:hAnsi="黑体" w:eastAsia="黑体"/>
          <w:color w:val="auto"/>
          <w:spacing w:val="7"/>
          <w:sz w:val="27"/>
          <w:szCs w:val="27"/>
          <w:highlight w:val="none"/>
        </w:rPr>
        <w:t>招标范围、设计服务期限和质量标准</w:t>
      </w:r>
      <w:bookmarkEnd w:id="47"/>
      <w:bookmarkEnd w:id="48"/>
      <w:bookmarkEnd w:id="49"/>
      <w:bookmarkEnd w:id="50"/>
      <w:bookmarkEnd w:id="51"/>
    </w:p>
    <w:p w14:paraId="72892B21">
      <w:pPr>
        <w:spacing w:before="69" w:line="400" w:lineRule="exact"/>
        <w:ind w:left="435"/>
        <w:rPr>
          <w:rFonts w:ascii="Times New Roman" w:hAnsi="Times New Roman" w:eastAsia="Times New Roman"/>
          <w:color w:val="auto"/>
          <w:spacing w:val="-4"/>
          <w:position w:val="14"/>
          <w:highlight w:val="none"/>
        </w:rPr>
      </w:pPr>
      <w:r>
        <w:rPr>
          <w:rFonts w:ascii="Times New Roman" w:hAnsi="Times New Roman" w:eastAsia="Times New Roman"/>
          <w:color w:val="auto"/>
          <w:spacing w:val="-4"/>
          <w:position w:val="14"/>
          <w:highlight w:val="none"/>
        </w:rPr>
        <w:t>1.3.</w:t>
      </w:r>
      <w:r>
        <w:rPr>
          <w:rFonts w:ascii="Times New Roman" w:hAnsi="Times New Roman" w:eastAsia="Times New Roman"/>
          <w:color w:val="auto"/>
          <w:spacing w:val="-3"/>
          <w:position w:val="14"/>
          <w:highlight w:val="none"/>
        </w:rPr>
        <w:t>1</w:t>
      </w:r>
      <w:r>
        <w:rPr>
          <w:rFonts w:ascii="Times New Roman" w:hAnsi="Times New Roman" w:eastAsia="Times New Roman"/>
          <w:color w:val="auto"/>
          <w:spacing w:val="-2"/>
          <w:position w:val="14"/>
          <w:highlight w:val="none"/>
        </w:rPr>
        <w:t xml:space="preserve">  </w:t>
      </w:r>
      <w:r>
        <w:rPr>
          <w:rFonts w:ascii="宋体" w:hAnsi="宋体" w:eastAsia="宋体"/>
          <w:color w:val="auto"/>
          <w:spacing w:val="-2"/>
          <w:position w:val="14"/>
          <w:highlight w:val="none"/>
        </w:rPr>
        <w:t>招标范围：见投标人须知前附表。</w:t>
      </w:r>
    </w:p>
    <w:p w14:paraId="5341050B">
      <w:pPr>
        <w:spacing w:line="219" w:lineRule="auto"/>
        <w:ind w:left="435"/>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w:t>
      </w:r>
      <w:r>
        <w:rPr>
          <w:rFonts w:ascii="Times New Roman" w:hAnsi="Times New Roman" w:eastAsia="Times New Roman"/>
          <w:color w:val="auto"/>
          <w:spacing w:val="-3"/>
          <w:highlight w:val="none"/>
        </w:rPr>
        <w:t>3</w:t>
      </w:r>
      <w:r>
        <w:rPr>
          <w:rFonts w:ascii="Times New Roman" w:hAnsi="Times New Roman" w:eastAsia="Times New Roman"/>
          <w:color w:val="auto"/>
          <w:spacing w:val="-2"/>
          <w:highlight w:val="none"/>
        </w:rPr>
        <w:t xml:space="preserve">.2  </w:t>
      </w:r>
      <w:r>
        <w:rPr>
          <w:rFonts w:hint="eastAsia" w:ascii="Times New Roman" w:hAnsi="Times New Roman" w:eastAsia="宋体"/>
          <w:color w:val="auto"/>
          <w:spacing w:val="-2"/>
          <w:highlight w:val="none"/>
        </w:rPr>
        <w:t>勘察、</w:t>
      </w:r>
      <w:r>
        <w:rPr>
          <w:rFonts w:ascii="宋体" w:hAnsi="宋体" w:eastAsia="宋体"/>
          <w:color w:val="auto"/>
          <w:spacing w:val="-2"/>
          <w:highlight w:val="none"/>
        </w:rPr>
        <w:t>设计服务期限：见投标人须知前附表。</w:t>
      </w:r>
    </w:p>
    <w:p w14:paraId="1359DB5E">
      <w:pPr>
        <w:spacing w:before="151" w:line="220" w:lineRule="auto"/>
        <w:ind w:left="435"/>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1.3.</w:t>
      </w:r>
      <w:r>
        <w:rPr>
          <w:rFonts w:ascii="Times New Roman" w:hAnsi="Times New Roman" w:eastAsia="Times New Roman"/>
          <w:color w:val="auto"/>
          <w:spacing w:val="-3"/>
          <w:highlight w:val="none"/>
        </w:rPr>
        <w:t>3</w:t>
      </w:r>
      <w:r>
        <w:rPr>
          <w:rFonts w:ascii="Times New Roman" w:hAnsi="Times New Roman" w:eastAsia="Times New Roman"/>
          <w:color w:val="auto"/>
          <w:spacing w:val="-2"/>
          <w:highlight w:val="none"/>
        </w:rPr>
        <w:t xml:space="preserve">  </w:t>
      </w:r>
      <w:r>
        <w:rPr>
          <w:rFonts w:ascii="宋体" w:hAnsi="宋体" w:eastAsia="宋体"/>
          <w:color w:val="auto"/>
          <w:spacing w:val="-2"/>
          <w:highlight w:val="none"/>
        </w:rPr>
        <w:t>质量标准：见投标人须知前附表。</w:t>
      </w:r>
    </w:p>
    <w:p w14:paraId="4E49AEE1">
      <w:pPr>
        <w:rPr>
          <w:rFonts w:ascii="Times New Roman" w:hAnsi="Times New Roman" w:eastAsiaTheme="minorEastAsia"/>
          <w:color w:val="auto"/>
          <w:spacing w:val="5"/>
          <w:sz w:val="27"/>
          <w:szCs w:val="27"/>
          <w:highlight w:val="none"/>
        </w:rPr>
      </w:pPr>
      <w:bookmarkStart w:id="52" w:name="_Toc22838"/>
      <w:bookmarkStart w:id="53" w:name="_Toc15406"/>
      <w:bookmarkStart w:id="54" w:name="_Toc2472"/>
      <w:bookmarkStart w:id="55" w:name="_Toc4053"/>
      <w:bookmarkStart w:id="56" w:name="_Toc19751"/>
    </w:p>
    <w:p w14:paraId="25118619">
      <w:pPr>
        <w:rPr>
          <w:rFonts w:ascii="Times New Roman" w:hAnsi="Times New Roman" w:eastAsia="Times New Roman"/>
          <w:color w:val="auto"/>
          <w:spacing w:val="5"/>
          <w:sz w:val="27"/>
          <w:szCs w:val="27"/>
          <w:highlight w:val="none"/>
        </w:rPr>
      </w:pPr>
      <w:r>
        <w:rPr>
          <w:rFonts w:ascii="Times New Roman" w:hAnsi="Times New Roman" w:eastAsia="Times New Roman"/>
          <w:color w:val="auto"/>
          <w:spacing w:val="5"/>
          <w:sz w:val="27"/>
          <w:szCs w:val="27"/>
          <w:highlight w:val="none"/>
        </w:rPr>
        <w:t xml:space="preserve">1.4 </w:t>
      </w:r>
      <w:r>
        <w:rPr>
          <w:rFonts w:ascii="黑体" w:hAnsi="黑体" w:eastAsia="黑体"/>
          <w:color w:val="auto"/>
          <w:spacing w:val="5"/>
          <w:sz w:val="27"/>
          <w:szCs w:val="27"/>
          <w:highlight w:val="none"/>
        </w:rPr>
        <w:t>投标人资格要</w:t>
      </w:r>
      <w:r>
        <w:rPr>
          <w:rFonts w:ascii="黑体" w:hAnsi="黑体" w:eastAsia="黑体"/>
          <w:color w:val="auto"/>
          <w:spacing w:val="3"/>
          <w:sz w:val="27"/>
          <w:szCs w:val="27"/>
          <w:highlight w:val="none"/>
        </w:rPr>
        <w:t>求</w:t>
      </w:r>
      <w:bookmarkEnd w:id="52"/>
      <w:bookmarkEnd w:id="53"/>
      <w:bookmarkEnd w:id="54"/>
      <w:bookmarkEnd w:id="55"/>
      <w:bookmarkEnd w:id="56"/>
    </w:p>
    <w:p w14:paraId="7F2D7E14">
      <w:pPr>
        <w:spacing w:before="69" w:line="218" w:lineRule="auto"/>
        <w:ind w:left="435"/>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1.4.1</w:t>
      </w:r>
      <w:r>
        <w:rPr>
          <w:rFonts w:ascii="Times New Roman" w:hAnsi="Times New Roman" w:eastAsia="Times New Roman"/>
          <w:color w:val="auto"/>
          <w:spacing w:val="-2"/>
          <w:highlight w:val="none"/>
        </w:rPr>
        <w:t xml:space="preserve">  </w:t>
      </w:r>
      <w:r>
        <w:rPr>
          <w:rFonts w:ascii="宋体" w:hAnsi="宋体" w:eastAsia="宋体"/>
          <w:color w:val="auto"/>
          <w:spacing w:val="-2"/>
          <w:highlight w:val="none"/>
        </w:rPr>
        <w:t>投标人应具备承担本招标项目资质条件、能力和信誉：</w:t>
      </w:r>
    </w:p>
    <w:p w14:paraId="711C514D">
      <w:pPr>
        <w:spacing w:before="151" w:line="219" w:lineRule="auto"/>
        <w:ind w:left="319"/>
        <w:rPr>
          <w:rFonts w:hint="eastAsia" w:ascii="宋体" w:hAnsi="宋体" w:eastAsia="宋体"/>
          <w:color w:val="auto"/>
          <w:spacing w:val="12"/>
          <w:highlight w:val="none"/>
        </w:rPr>
      </w:pPr>
      <w:r>
        <w:rPr>
          <w:rFonts w:ascii="宋体" w:hAnsi="宋体" w:eastAsia="宋体"/>
          <w:color w:val="auto"/>
          <w:spacing w:val="12"/>
          <w:highlight w:val="none"/>
        </w:rPr>
        <w:t>(</w:t>
      </w:r>
      <w:r>
        <w:rPr>
          <w:rFonts w:ascii="Times New Roman" w:hAnsi="Times New Roman" w:eastAsia="Times New Roman"/>
          <w:color w:val="auto"/>
          <w:spacing w:val="8"/>
          <w:highlight w:val="none"/>
        </w:rPr>
        <w:t>1</w:t>
      </w:r>
      <w:r>
        <w:rPr>
          <w:rFonts w:ascii="宋体" w:hAnsi="宋体" w:eastAsia="宋体"/>
          <w:color w:val="auto"/>
          <w:spacing w:val="8"/>
          <w:highlight w:val="none"/>
        </w:rPr>
        <w:t>)资质要求：见投标人须知前附表；</w:t>
      </w:r>
    </w:p>
    <w:p w14:paraId="1DD65CDD">
      <w:pPr>
        <w:spacing w:before="151" w:line="220" w:lineRule="auto"/>
        <w:ind w:left="319"/>
        <w:rPr>
          <w:rFonts w:hint="eastAsia" w:ascii="宋体" w:hAnsi="宋体" w:eastAsia="宋体"/>
          <w:color w:val="auto"/>
          <w:spacing w:val="12"/>
          <w:highlight w:val="none"/>
        </w:rPr>
      </w:pPr>
      <w:r>
        <w:rPr>
          <w:rFonts w:ascii="宋体" w:hAnsi="宋体" w:eastAsia="宋体"/>
          <w:color w:val="auto"/>
          <w:spacing w:val="12"/>
          <w:highlight w:val="none"/>
        </w:rPr>
        <w:t>(</w:t>
      </w:r>
      <w:r>
        <w:rPr>
          <w:rFonts w:ascii="Times New Roman" w:hAnsi="Times New Roman" w:eastAsia="Times New Roman"/>
          <w:color w:val="auto"/>
          <w:spacing w:val="8"/>
          <w:highlight w:val="none"/>
        </w:rPr>
        <w:t>2</w:t>
      </w:r>
      <w:r>
        <w:rPr>
          <w:rFonts w:ascii="宋体" w:hAnsi="宋体" w:eastAsia="宋体"/>
          <w:color w:val="auto"/>
          <w:spacing w:val="8"/>
          <w:highlight w:val="none"/>
        </w:rPr>
        <w:t>)财务要求：见投标人须知前附表；</w:t>
      </w:r>
    </w:p>
    <w:p w14:paraId="16FD796A">
      <w:pPr>
        <w:spacing w:before="151" w:line="217" w:lineRule="auto"/>
        <w:ind w:left="319"/>
        <w:rPr>
          <w:rFonts w:hint="eastAsia" w:ascii="宋体" w:hAnsi="宋体" w:eastAsia="宋体"/>
          <w:color w:val="auto"/>
          <w:spacing w:val="12"/>
          <w:highlight w:val="none"/>
        </w:rPr>
      </w:pPr>
      <w:r>
        <w:rPr>
          <w:rFonts w:ascii="宋体" w:hAnsi="宋体" w:eastAsia="宋体"/>
          <w:color w:val="auto"/>
          <w:spacing w:val="12"/>
          <w:highlight w:val="none"/>
        </w:rPr>
        <w:t>(</w:t>
      </w:r>
      <w:r>
        <w:rPr>
          <w:rFonts w:ascii="Times New Roman" w:hAnsi="Times New Roman" w:eastAsia="Times New Roman"/>
          <w:color w:val="auto"/>
          <w:spacing w:val="8"/>
          <w:highlight w:val="none"/>
        </w:rPr>
        <w:t>3</w:t>
      </w:r>
      <w:r>
        <w:rPr>
          <w:rFonts w:ascii="宋体" w:hAnsi="宋体" w:eastAsia="宋体"/>
          <w:color w:val="auto"/>
          <w:spacing w:val="8"/>
          <w:highlight w:val="none"/>
        </w:rPr>
        <w:t>)业绩要求：见投标人须知前附表；</w:t>
      </w:r>
    </w:p>
    <w:p w14:paraId="27EB0BFB">
      <w:pPr>
        <w:spacing w:before="152" w:line="220" w:lineRule="auto"/>
        <w:ind w:left="319"/>
        <w:rPr>
          <w:rFonts w:hint="eastAsia" w:ascii="宋体" w:hAnsi="宋体" w:eastAsia="宋体"/>
          <w:color w:val="auto"/>
          <w:spacing w:val="12"/>
          <w:highlight w:val="none"/>
        </w:rPr>
      </w:pPr>
      <w:r>
        <w:rPr>
          <w:rFonts w:ascii="宋体" w:hAnsi="宋体" w:eastAsia="宋体"/>
          <w:color w:val="auto"/>
          <w:spacing w:val="12"/>
          <w:highlight w:val="none"/>
        </w:rPr>
        <w:t>(</w:t>
      </w:r>
      <w:r>
        <w:rPr>
          <w:rFonts w:ascii="Times New Roman" w:hAnsi="Times New Roman" w:eastAsia="Times New Roman"/>
          <w:color w:val="auto"/>
          <w:spacing w:val="8"/>
          <w:highlight w:val="none"/>
        </w:rPr>
        <w:t>4</w:t>
      </w:r>
      <w:r>
        <w:rPr>
          <w:rFonts w:ascii="宋体" w:hAnsi="宋体" w:eastAsia="宋体"/>
          <w:color w:val="auto"/>
          <w:spacing w:val="8"/>
          <w:highlight w:val="none"/>
        </w:rPr>
        <w:t>)信誉要求：见投标人须知前附表；</w:t>
      </w:r>
    </w:p>
    <w:p w14:paraId="051BCC8E">
      <w:pPr>
        <w:spacing w:before="150" w:line="361" w:lineRule="auto"/>
        <w:ind w:right="2" w:firstLine="318"/>
        <w:rPr>
          <w:rFonts w:hint="eastAsia" w:ascii="宋体" w:hAnsi="宋体" w:eastAsia="宋体"/>
          <w:color w:val="auto"/>
          <w:spacing w:val="1"/>
          <w:highlight w:val="none"/>
        </w:rPr>
      </w:pPr>
      <w:r>
        <w:rPr>
          <w:rFonts w:ascii="宋体" w:hAnsi="宋体" w:eastAsia="宋体"/>
          <w:color w:val="auto"/>
          <w:spacing w:val="1"/>
          <w:highlight w:val="none"/>
        </w:rPr>
        <w:t>(</w:t>
      </w:r>
      <w:r>
        <w:rPr>
          <w:rFonts w:ascii="Times New Roman" w:hAnsi="Times New Roman" w:eastAsia="Times New Roman"/>
          <w:color w:val="auto"/>
          <w:spacing w:val="1"/>
          <w:highlight w:val="none"/>
        </w:rPr>
        <w:t>5</w:t>
      </w:r>
      <w:r>
        <w:rPr>
          <w:rFonts w:ascii="宋体" w:hAnsi="宋体" w:eastAsia="宋体"/>
          <w:color w:val="auto"/>
          <w:spacing w:val="1"/>
          <w:highlight w:val="none"/>
        </w:rPr>
        <w:t>) 项目负责人的资格要求：</w:t>
      </w:r>
      <w:r>
        <w:rPr>
          <w:rFonts w:hint="eastAsia" w:ascii="宋体" w:hAnsi="宋体" w:eastAsia="宋体"/>
          <w:color w:val="auto"/>
          <w:spacing w:val="1"/>
          <w:highlight w:val="none"/>
          <w:u w:val="single"/>
        </w:rPr>
        <w:t>详</w:t>
      </w:r>
      <w:r>
        <w:rPr>
          <w:rFonts w:ascii="宋体" w:hAnsi="宋体" w:eastAsia="宋体"/>
          <w:color w:val="auto"/>
          <w:highlight w:val="none"/>
          <w:u w:val="single"/>
        </w:rPr>
        <w:t>见</w:t>
      </w:r>
      <w:r>
        <w:rPr>
          <w:rFonts w:hint="eastAsia" w:ascii="宋体" w:hAnsi="宋体" w:eastAsia="宋体"/>
          <w:color w:val="auto"/>
          <w:highlight w:val="none"/>
          <w:u w:val="single"/>
        </w:rPr>
        <w:t>招标公告</w:t>
      </w:r>
      <w:r>
        <w:rPr>
          <w:rFonts w:ascii="宋体" w:hAnsi="宋体" w:eastAsia="宋体"/>
          <w:color w:val="auto"/>
          <w:spacing w:val="-7"/>
          <w:highlight w:val="none"/>
          <w:u w:val="single"/>
        </w:rPr>
        <w:t>；</w:t>
      </w:r>
    </w:p>
    <w:p w14:paraId="015E2498">
      <w:pPr>
        <w:rPr>
          <w:color w:val="auto"/>
          <w:highlight w:val="none"/>
        </w:rPr>
        <w:sectPr>
          <w:footerReference r:id="rId7" w:type="default"/>
          <w:pgSz w:w="12240" w:h="15840"/>
          <w:pgMar w:top="1346" w:right="1797" w:bottom="1103" w:left="1809" w:header="0" w:footer="940" w:gutter="0"/>
          <w:cols w:space="720" w:num="1"/>
        </w:sectPr>
      </w:pPr>
    </w:p>
    <w:p w14:paraId="21825C3B">
      <w:pPr>
        <w:spacing w:before="232" w:line="400" w:lineRule="exact"/>
        <w:ind w:left="320"/>
        <w:rPr>
          <w:rFonts w:hint="eastAsia" w:ascii="宋体" w:hAnsi="宋体" w:eastAsia="宋体"/>
          <w:color w:val="auto"/>
          <w:spacing w:val="14"/>
          <w:position w:val="14"/>
          <w:highlight w:val="none"/>
        </w:rPr>
      </w:pPr>
      <w:r>
        <w:rPr>
          <w:rFonts w:ascii="宋体" w:hAnsi="宋体" w:eastAsia="宋体"/>
          <w:color w:val="auto"/>
          <w:spacing w:val="14"/>
          <w:position w:val="14"/>
          <w:highlight w:val="none"/>
        </w:rPr>
        <w:t>(</w:t>
      </w:r>
      <w:r>
        <w:rPr>
          <w:rFonts w:ascii="Times New Roman" w:hAnsi="Times New Roman" w:eastAsia="Times New Roman"/>
          <w:color w:val="auto"/>
          <w:spacing w:val="13"/>
          <w:position w:val="14"/>
          <w:highlight w:val="none"/>
        </w:rPr>
        <w:t>6</w:t>
      </w:r>
      <w:r>
        <w:rPr>
          <w:rFonts w:ascii="宋体" w:hAnsi="宋体" w:eastAsia="宋体"/>
          <w:color w:val="auto"/>
          <w:spacing w:val="7"/>
          <w:position w:val="14"/>
          <w:highlight w:val="none"/>
        </w:rPr>
        <w:t>)其他主要人员要求：</w:t>
      </w:r>
      <w:r>
        <w:rPr>
          <w:rFonts w:hint="eastAsia" w:ascii="宋体" w:hAnsi="宋体" w:eastAsia="宋体"/>
          <w:color w:val="auto"/>
          <w:spacing w:val="7"/>
          <w:position w:val="14"/>
          <w:highlight w:val="none"/>
          <w:u w:val="single"/>
        </w:rPr>
        <w:t>详</w:t>
      </w:r>
      <w:r>
        <w:rPr>
          <w:rFonts w:ascii="宋体" w:hAnsi="宋体" w:eastAsia="宋体"/>
          <w:color w:val="auto"/>
          <w:spacing w:val="7"/>
          <w:position w:val="14"/>
          <w:highlight w:val="none"/>
          <w:u w:val="single"/>
        </w:rPr>
        <w:t>见</w:t>
      </w:r>
      <w:r>
        <w:rPr>
          <w:rFonts w:hint="eastAsia" w:ascii="宋体" w:hAnsi="宋体" w:eastAsia="宋体"/>
          <w:color w:val="auto"/>
          <w:spacing w:val="7"/>
          <w:position w:val="14"/>
          <w:highlight w:val="none"/>
          <w:u w:val="single"/>
        </w:rPr>
        <w:t>招标公告</w:t>
      </w:r>
      <w:r>
        <w:rPr>
          <w:rFonts w:ascii="宋体" w:hAnsi="宋体" w:eastAsia="宋体"/>
          <w:color w:val="auto"/>
          <w:spacing w:val="7"/>
          <w:position w:val="14"/>
          <w:highlight w:val="none"/>
          <w:u w:val="single"/>
        </w:rPr>
        <w:t>；</w:t>
      </w:r>
    </w:p>
    <w:p w14:paraId="7683E2E5">
      <w:pPr>
        <w:spacing w:line="218" w:lineRule="auto"/>
        <w:ind w:left="320"/>
        <w:rPr>
          <w:rFonts w:hint="eastAsia" w:ascii="宋体" w:hAnsi="宋体" w:eastAsia="宋体"/>
          <w:color w:val="auto"/>
          <w:spacing w:val="14"/>
          <w:highlight w:val="none"/>
        </w:rPr>
      </w:pPr>
      <w:r>
        <w:rPr>
          <w:rFonts w:ascii="宋体" w:hAnsi="宋体" w:eastAsia="宋体"/>
          <w:color w:val="auto"/>
          <w:spacing w:val="14"/>
          <w:highlight w:val="none"/>
        </w:rPr>
        <w:t>(</w:t>
      </w:r>
      <w:r>
        <w:rPr>
          <w:rFonts w:ascii="Times New Roman" w:hAnsi="Times New Roman" w:eastAsia="Times New Roman"/>
          <w:color w:val="auto"/>
          <w:spacing w:val="9"/>
          <w:highlight w:val="none"/>
        </w:rPr>
        <w:t>7</w:t>
      </w:r>
      <w:r>
        <w:rPr>
          <w:rFonts w:ascii="宋体" w:hAnsi="宋体" w:eastAsia="宋体"/>
          <w:color w:val="auto"/>
          <w:spacing w:val="9"/>
          <w:highlight w:val="none"/>
        </w:rPr>
        <w:t>)其他要求：见投标人须知前附表。</w:t>
      </w:r>
    </w:p>
    <w:p w14:paraId="41D820ED">
      <w:pPr>
        <w:spacing w:before="150" w:line="220" w:lineRule="auto"/>
        <w:ind w:left="430"/>
        <w:rPr>
          <w:rFonts w:hint="eastAsia" w:ascii="宋体" w:hAnsi="宋体" w:eastAsia="宋体"/>
          <w:color w:val="auto"/>
          <w:spacing w:val="-6"/>
          <w:highlight w:val="none"/>
        </w:rPr>
      </w:pPr>
      <w:r>
        <w:rPr>
          <w:rFonts w:ascii="宋体" w:hAnsi="宋体" w:eastAsia="宋体"/>
          <w:color w:val="auto"/>
          <w:spacing w:val="-6"/>
          <w:highlight w:val="none"/>
        </w:rPr>
        <w:t>需要提交的相</w:t>
      </w:r>
      <w:r>
        <w:rPr>
          <w:rFonts w:ascii="宋体" w:hAnsi="宋体" w:eastAsia="宋体"/>
          <w:color w:val="auto"/>
          <w:spacing w:val="-3"/>
          <w:highlight w:val="none"/>
        </w:rPr>
        <w:t xml:space="preserve">关证明材料见本章第 </w:t>
      </w:r>
      <w:r>
        <w:rPr>
          <w:rFonts w:ascii="Times New Roman" w:hAnsi="Times New Roman" w:eastAsia="Times New Roman"/>
          <w:color w:val="auto"/>
          <w:spacing w:val="-3"/>
          <w:highlight w:val="none"/>
        </w:rPr>
        <w:t xml:space="preserve">3.5 </w:t>
      </w:r>
      <w:r>
        <w:rPr>
          <w:rFonts w:ascii="宋体" w:hAnsi="宋体" w:eastAsia="宋体"/>
          <w:color w:val="auto"/>
          <w:spacing w:val="-3"/>
          <w:highlight w:val="none"/>
        </w:rPr>
        <w:t>款的规定。</w:t>
      </w:r>
    </w:p>
    <w:p w14:paraId="4CDA8BA6">
      <w:pPr>
        <w:spacing w:before="151" w:line="351" w:lineRule="auto"/>
        <w:ind w:left="4" w:right="7" w:firstLine="433"/>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w:t>
      </w:r>
      <w:r>
        <w:rPr>
          <w:rFonts w:ascii="Times New Roman" w:hAnsi="Times New Roman" w:eastAsia="Times New Roman"/>
          <w:color w:val="auto"/>
          <w:spacing w:val="-3"/>
          <w:highlight w:val="none"/>
        </w:rPr>
        <w:t>.</w:t>
      </w:r>
      <w:r>
        <w:rPr>
          <w:rFonts w:ascii="Times New Roman" w:hAnsi="Times New Roman" w:eastAsia="Times New Roman"/>
          <w:color w:val="auto"/>
          <w:spacing w:val="-2"/>
          <w:highlight w:val="none"/>
        </w:rPr>
        <w:t xml:space="preserve">4.2 </w:t>
      </w:r>
      <w:r>
        <w:rPr>
          <w:rFonts w:ascii="宋体" w:hAnsi="宋体" w:eastAsia="宋体"/>
          <w:color w:val="auto"/>
          <w:spacing w:val="-2"/>
          <w:highlight w:val="none"/>
        </w:rPr>
        <w:t xml:space="preserve">投标人须知前附表规定接受联合体投标的，联合体除应符合本章第 </w:t>
      </w:r>
      <w:r>
        <w:rPr>
          <w:rFonts w:ascii="Times New Roman" w:hAnsi="Times New Roman" w:eastAsia="Times New Roman"/>
          <w:color w:val="auto"/>
          <w:spacing w:val="-2"/>
          <w:highlight w:val="none"/>
        </w:rPr>
        <w:t xml:space="preserve">1.4.1 </w:t>
      </w:r>
      <w:r>
        <w:rPr>
          <w:rFonts w:ascii="宋体" w:hAnsi="宋体" w:eastAsia="宋体"/>
          <w:color w:val="auto"/>
          <w:spacing w:val="-2"/>
          <w:highlight w:val="none"/>
        </w:rPr>
        <w:t>项和投标人</w:t>
      </w:r>
      <w:r>
        <w:rPr>
          <w:rFonts w:ascii="宋体" w:hAnsi="宋体" w:eastAsia="宋体"/>
          <w:color w:val="auto"/>
          <w:highlight w:val="none"/>
        </w:rPr>
        <w:t xml:space="preserve"> </w:t>
      </w:r>
      <w:r>
        <w:rPr>
          <w:rFonts w:ascii="宋体" w:hAnsi="宋体" w:eastAsia="宋体"/>
          <w:color w:val="auto"/>
          <w:spacing w:val="-3"/>
          <w:highlight w:val="none"/>
        </w:rPr>
        <w:t>须知前附表的要求外，还应遵守以下规定：</w:t>
      </w:r>
    </w:p>
    <w:p w14:paraId="2CF758AD">
      <w:pPr>
        <w:spacing w:before="1" w:line="351" w:lineRule="auto"/>
        <w:ind w:left="1" w:right="13" w:firstLine="319"/>
        <w:rPr>
          <w:rFonts w:hint="eastAsia" w:ascii="宋体" w:hAnsi="宋体" w:eastAsia="宋体"/>
          <w:color w:val="auto"/>
          <w:spacing w:val="10"/>
          <w:highlight w:val="none"/>
        </w:rPr>
      </w:pPr>
      <w:r>
        <w:rPr>
          <w:rFonts w:ascii="宋体" w:hAnsi="宋体" w:eastAsia="宋体"/>
          <w:color w:val="auto"/>
          <w:spacing w:val="10"/>
          <w:highlight w:val="none"/>
        </w:rPr>
        <w:t>(</w:t>
      </w:r>
      <w:r>
        <w:rPr>
          <w:rFonts w:ascii="Times New Roman" w:hAnsi="Times New Roman" w:eastAsia="Times New Roman"/>
          <w:color w:val="auto"/>
          <w:spacing w:val="10"/>
          <w:highlight w:val="none"/>
        </w:rPr>
        <w:t>1</w:t>
      </w:r>
      <w:r>
        <w:rPr>
          <w:rFonts w:ascii="宋体" w:hAnsi="宋体" w:eastAsia="宋体"/>
          <w:color w:val="auto"/>
          <w:spacing w:val="10"/>
          <w:highlight w:val="none"/>
        </w:rPr>
        <w:t>)联</w:t>
      </w:r>
      <w:r>
        <w:rPr>
          <w:rFonts w:ascii="宋体" w:hAnsi="宋体" w:eastAsia="宋体"/>
          <w:color w:val="auto"/>
          <w:spacing w:val="6"/>
          <w:highlight w:val="none"/>
        </w:rPr>
        <w:t>合</w:t>
      </w:r>
      <w:r>
        <w:rPr>
          <w:rFonts w:ascii="宋体" w:hAnsi="宋体" w:eastAsia="宋体"/>
          <w:color w:val="auto"/>
          <w:spacing w:val="5"/>
          <w:highlight w:val="none"/>
        </w:rPr>
        <w:t>体各方应按招标文件提供的格式签订联合体协议书，明确联合体</w:t>
      </w:r>
      <w:r>
        <w:rPr>
          <w:rFonts w:hint="eastAsia" w:ascii="宋体" w:hAnsi="宋体" w:eastAsia="宋体"/>
          <w:color w:val="auto"/>
          <w:spacing w:val="5"/>
          <w:highlight w:val="none"/>
        </w:rPr>
        <w:t>主办方</w:t>
      </w:r>
      <w:r>
        <w:rPr>
          <w:rFonts w:ascii="宋体" w:hAnsi="宋体" w:eastAsia="宋体"/>
          <w:color w:val="auto"/>
          <w:spacing w:val="5"/>
          <w:highlight w:val="none"/>
        </w:rPr>
        <w:t>和各方权</w:t>
      </w:r>
      <w:r>
        <w:rPr>
          <w:rFonts w:ascii="宋体" w:hAnsi="宋体" w:eastAsia="宋体"/>
          <w:color w:val="auto"/>
          <w:highlight w:val="none"/>
        </w:rPr>
        <w:t xml:space="preserve"> </w:t>
      </w:r>
      <w:r>
        <w:rPr>
          <w:rFonts w:ascii="宋体" w:hAnsi="宋体" w:eastAsia="宋体"/>
          <w:color w:val="auto"/>
          <w:spacing w:val="-4"/>
          <w:highlight w:val="none"/>
        </w:rPr>
        <w:t>利义务，</w:t>
      </w:r>
      <w:r>
        <w:rPr>
          <w:rFonts w:ascii="宋体" w:hAnsi="宋体" w:eastAsia="宋体"/>
          <w:color w:val="auto"/>
          <w:spacing w:val="-3"/>
          <w:highlight w:val="none"/>
        </w:rPr>
        <w:t>并</w:t>
      </w:r>
      <w:r>
        <w:rPr>
          <w:rFonts w:ascii="宋体" w:hAnsi="宋体" w:eastAsia="宋体"/>
          <w:color w:val="auto"/>
          <w:spacing w:val="-2"/>
          <w:highlight w:val="none"/>
        </w:rPr>
        <w:t>承诺就中标项目向招标人承担连带责任；</w:t>
      </w:r>
    </w:p>
    <w:p w14:paraId="7C4AFAF7">
      <w:pPr>
        <w:spacing w:before="1" w:line="218" w:lineRule="auto"/>
        <w:ind w:left="320"/>
        <w:rPr>
          <w:rFonts w:hint="eastAsia" w:ascii="宋体" w:hAnsi="宋体" w:eastAsia="宋体"/>
          <w:color w:val="auto"/>
          <w:spacing w:val="8"/>
          <w:highlight w:val="none"/>
        </w:rPr>
      </w:pPr>
      <w:r>
        <w:rPr>
          <w:rFonts w:ascii="宋体" w:hAnsi="宋体" w:eastAsia="宋体"/>
          <w:color w:val="auto"/>
          <w:spacing w:val="8"/>
          <w:highlight w:val="none"/>
        </w:rPr>
        <w:t>(</w:t>
      </w:r>
      <w:r>
        <w:rPr>
          <w:rFonts w:ascii="Times New Roman" w:hAnsi="Times New Roman" w:eastAsia="Times New Roman"/>
          <w:color w:val="auto"/>
          <w:spacing w:val="4"/>
          <w:highlight w:val="none"/>
        </w:rPr>
        <w:t>2</w:t>
      </w:r>
      <w:r>
        <w:rPr>
          <w:rFonts w:ascii="宋体" w:hAnsi="宋体" w:eastAsia="宋体"/>
          <w:color w:val="auto"/>
          <w:spacing w:val="4"/>
          <w:highlight w:val="none"/>
        </w:rPr>
        <w:t>)由同一专业的单位组成的联合体，按照资质等级较低的单位确定资质等级；</w:t>
      </w:r>
    </w:p>
    <w:p w14:paraId="53656265">
      <w:pPr>
        <w:spacing w:before="151" w:line="352" w:lineRule="auto"/>
        <w:ind w:left="4" w:right="13" w:firstLine="316"/>
        <w:rPr>
          <w:rFonts w:hint="eastAsia" w:ascii="宋体" w:hAnsi="宋体" w:eastAsia="宋体"/>
          <w:color w:val="auto"/>
          <w:spacing w:val="10"/>
          <w:highlight w:val="none"/>
        </w:rPr>
      </w:pPr>
      <w:r>
        <w:rPr>
          <w:rFonts w:ascii="宋体" w:hAnsi="宋体" w:eastAsia="宋体"/>
          <w:color w:val="auto"/>
          <w:spacing w:val="10"/>
          <w:highlight w:val="none"/>
        </w:rPr>
        <w:t>(</w:t>
      </w:r>
      <w:r>
        <w:rPr>
          <w:rFonts w:ascii="Times New Roman" w:hAnsi="Times New Roman" w:eastAsia="Times New Roman"/>
          <w:color w:val="auto"/>
          <w:spacing w:val="10"/>
          <w:highlight w:val="none"/>
        </w:rPr>
        <w:t>3</w:t>
      </w:r>
      <w:r>
        <w:rPr>
          <w:rFonts w:ascii="宋体" w:hAnsi="宋体" w:eastAsia="宋体"/>
          <w:color w:val="auto"/>
          <w:spacing w:val="10"/>
          <w:highlight w:val="none"/>
        </w:rPr>
        <w:t>)联</w:t>
      </w:r>
      <w:r>
        <w:rPr>
          <w:rFonts w:ascii="宋体" w:hAnsi="宋体" w:eastAsia="宋体"/>
          <w:color w:val="auto"/>
          <w:spacing w:val="6"/>
          <w:highlight w:val="none"/>
        </w:rPr>
        <w:t>合</w:t>
      </w:r>
      <w:r>
        <w:rPr>
          <w:rFonts w:ascii="宋体" w:hAnsi="宋体" w:eastAsia="宋体"/>
          <w:color w:val="auto"/>
          <w:spacing w:val="5"/>
          <w:highlight w:val="none"/>
        </w:rPr>
        <w:t>体各方不得再以自己名义单独或参加其他联合体在本招标项目中投标，否则各相</w:t>
      </w:r>
      <w:r>
        <w:rPr>
          <w:rFonts w:ascii="宋体" w:hAnsi="宋体" w:eastAsia="宋体"/>
          <w:color w:val="auto"/>
          <w:highlight w:val="none"/>
        </w:rPr>
        <w:t xml:space="preserve"> </w:t>
      </w:r>
      <w:r>
        <w:rPr>
          <w:rFonts w:ascii="宋体" w:hAnsi="宋体" w:eastAsia="宋体"/>
          <w:color w:val="auto"/>
          <w:spacing w:val="-6"/>
          <w:highlight w:val="none"/>
        </w:rPr>
        <w:t>关</w:t>
      </w:r>
      <w:r>
        <w:rPr>
          <w:rFonts w:ascii="宋体" w:hAnsi="宋体" w:eastAsia="宋体"/>
          <w:color w:val="auto"/>
          <w:spacing w:val="-5"/>
          <w:highlight w:val="none"/>
        </w:rPr>
        <w:t>投标均无效。</w:t>
      </w:r>
    </w:p>
    <w:p w14:paraId="598DB750">
      <w:pPr>
        <w:spacing w:line="220" w:lineRule="auto"/>
        <w:ind w:left="437"/>
        <w:rPr>
          <w:rFonts w:ascii="Times New Roman" w:hAnsi="Times New Roman" w:eastAsia="Times New Roman"/>
          <w:color w:val="auto"/>
          <w:spacing w:val="-6"/>
          <w:highlight w:val="none"/>
        </w:rPr>
      </w:pPr>
      <w:r>
        <w:rPr>
          <w:rFonts w:ascii="Times New Roman" w:hAnsi="Times New Roman" w:eastAsia="Times New Roman"/>
          <w:color w:val="auto"/>
          <w:spacing w:val="-6"/>
          <w:highlight w:val="none"/>
        </w:rPr>
        <w:t>1.</w:t>
      </w:r>
      <w:r>
        <w:rPr>
          <w:rFonts w:ascii="Times New Roman" w:hAnsi="Times New Roman" w:eastAsia="Times New Roman"/>
          <w:color w:val="auto"/>
          <w:spacing w:val="-4"/>
          <w:highlight w:val="none"/>
        </w:rPr>
        <w:t>4</w:t>
      </w:r>
      <w:r>
        <w:rPr>
          <w:rFonts w:ascii="Times New Roman" w:hAnsi="Times New Roman" w:eastAsia="Times New Roman"/>
          <w:color w:val="auto"/>
          <w:spacing w:val="-3"/>
          <w:highlight w:val="none"/>
        </w:rPr>
        <w:t xml:space="preserve">.3  </w:t>
      </w:r>
      <w:r>
        <w:rPr>
          <w:rFonts w:ascii="宋体" w:hAnsi="宋体" w:eastAsia="宋体"/>
          <w:color w:val="auto"/>
          <w:spacing w:val="-3"/>
          <w:highlight w:val="none"/>
        </w:rPr>
        <w:t>投标人不得存在下列情形之一：</w:t>
      </w:r>
    </w:p>
    <w:p w14:paraId="4FACEBBD">
      <w:pPr>
        <w:spacing w:before="149" w:line="218" w:lineRule="auto"/>
        <w:ind w:left="426"/>
        <w:rPr>
          <w:rFonts w:hint="eastAsia" w:ascii="宋体" w:hAnsi="宋体" w:eastAsia="宋体"/>
          <w:color w:val="auto"/>
          <w:spacing w:val="11"/>
          <w:highlight w:val="none"/>
        </w:rPr>
      </w:pPr>
      <w:r>
        <w:rPr>
          <w:rFonts w:ascii="宋体" w:hAnsi="宋体" w:eastAsia="宋体"/>
          <w:color w:val="auto"/>
          <w:spacing w:val="11"/>
          <w:highlight w:val="none"/>
        </w:rPr>
        <w:t>(</w:t>
      </w:r>
      <w:r>
        <w:rPr>
          <w:rFonts w:ascii="Times New Roman" w:hAnsi="Times New Roman" w:eastAsia="Times New Roman"/>
          <w:color w:val="auto"/>
          <w:spacing w:val="11"/>
          <w:highlight w:val="none"/>
        </w:rPr>
        <w:t>1</w:t>
      </w:r>
      <w:r>
        <w:rPr>
          <w:rFonts w:ascii="宋体" w:hAnsi="宋体" w:eastAsia="宋体"/>
          <w:color w:val="auto"/>
          <w:spacing w:val="11"/>
          <w:highlight w:val="none"/>
        </w:rPr>
        <w:t>)为招标人不具有独立法人资格的附属机构(单位)；</w:t>
      </w:r>
    </w:p>
    <w:p w14:paraId="0880605D">
      <w:pPr>
        <w:spacing w:before="153" w:line="220" w:lineRule="auto"/>
        <w:ind w:left="426"/>
        <w:rPr>
          <w:rFonts w:hint="eastAsia" w:ascii="宋体" w:hAnsi="宋体" w:eastAsia="宋体"/>
          <w:color w:val="auto"/>
          <w:spacing w:val="9"/>
          <w:highlight w:val="none"/>
        </w:rPr>
      </w:pPr>
      <w:r>
        <w:rPr>
          <w:rFonts w:ascii="宋体" w:hAnsi="宋体" w:eastAsia="宋体"/>
          <w:color w:val="auto"/>
          <w:spacing w:val="9"/>
          <w:highlight w:val="none"/>
        </w:rPr>
        <w:t>(</w:t>
      </w:r>
      <w:r>
        <w:rPr>
          <w:rFonts w:ascii="Times New Roman" w:hAnsi="Times New Roman" w:eastAsia="Times New Roman"/>
          <w:color w:val="auto"/>
          <w:spacing w:val="6"/>
          <w:highlight w:val="none"/>
        </w:rPr>
        <w:t>2</w:t>
      </w:r>
      <w:r>
        <w:rPr>
          <w:rFonts w:ascii="宋体" w:hAnsi="宋体" w:eastAsia="宋体"/>
          <w:color w:val="auto"/>
          <w:spacing w:val="6"/>
          <w:highlight w:val="none"/>
        </w:rPr>
        <w:t>)与招标人存在利害关系且可能影响招标公正性；</w:t>
      </w:r>
    </w:p>
    <w:p w14:paraId="73E7E7A6">
      <w:pPr>
        <w:spacing w:before="149" w:line="217" w:lineRule="auto"/>
        <w:ind w:left="426"/>
        <w:rPr>
          <w:rFonts w:hint="eastAsia" w:ascii="宋体" w:hAnsi="宋体" w:eastAsia="宋体"/>
          <w:color w:val="auto"/>
          <w:spacing w:val="6"/>
          <w:highlight w:val="none"/>
        </w:rPr>
      </w:pPr>
      <w:r>
        <w:rPr>
          <w:rFonts w:ascii="宋体" w:hAnsi="宋体" w:eastAsia="宋体"/>
          <w:color w:val="auto"/>
          <w:spacing w:val="6"/>
          <w:highlight w:val="none"/>
        </w:rPr>
        <w:t>(</w:t>
      </w:r>
      <w:r>
        <w:rPr>
          <w:rFonts w:ascii="Times New Roman" w:hAnsi="Times New Roman" w:eastAsia="Times New Roman"/>
          <w:color w:val="auto"/>
          <w:spacing w:val="6"/>
          <w:highlight w:val="none"/>
        </w:rPr>
        <w:t>3</w:t>
      </w:r>
      <w:r>
        <w:rPr>
          <w:rFonts w:ascii="宋体" w:hAnsi="宋体" w:eastAsia="宋体"/>
          <w:color w:val="auto"/>
          <w:spacing w:val="6"/>
          <w:highlight w:val="none"/>
        </w:rPr>
        <w:t>)与本招标项目的其他投标人为同一个单位负责人</w:t>
      </w:r>
      <w:r>
        <w:rPr>
          <w:rFonts w:ascii="宋体" w:hAnsi="宋体" w:eastAsia="宋体"/>
          <w:color w:val="auto"/>
          <w:spacing w:val="3"/>
          <w:highlight w:val="none"/>
        </w:rPr>
        <w:t>；</w:t>
      </w:r>
    </w:p>
    <w:p w14:paraId="2EF3A4F2">
      <w:pPr>
        <w:spacing w:before="153" w:line="218" w:lineRule="auto"/>
        <w:ind w:left="426"/>
        <w:rPr>
          <w:rFonts w:hint="eastAsia" w:ascii="宋体" w:hAnsi="宋体" w:eastAsia="宋体"/>
          <w:color w:val="auto"/>
          <w:spacing w:val="6"/>
          <w:highlight w:val="none"/>
        </w:rPr>
      </w:pPr>
      <w:r>
        <w:rPr>
          <w:rFonts w:ascii="宋体" w:hAnsi="宋体" w:eastAsia="宋体"/>
          <w:color w:val="auto"/>
          <w:spacing w:val="6"/>
          <w:highlight w:val="none"/>
        </w:rPr>
        <w:t>(</w:t>
      </w:r>
      <w:r>
        <w:rPr>
          <w:rFonts w:ascii="Times New Roman" w:hAnsi="Times New Roman" w:eastAsia="Times New Roman"/>
          <w:color w:val="auto"/>
          <w:spacing w:val="6"/>
          <w:highlight w:val="none"/>
        </w:rPr>
        <w:t>4</w:t>
      </w:r>
      <w:r>
        <w:rPr>
          <w:rFonts w:ascii="宋体" w:hAnsi="宋体" w:eastAsia="宋体"/>
          <w:color w:val="auto"/>
          <w:spacing w:val="6"/>
          <w:highlight w:val="none"/>
        </w:rPr>
        <w:t>)与本招标项目的其他投标人存在控股、管理关系</w:t>
      </w:r>
      <w:r>
        <w:rPr>
          <w:rFonts w:ascii="宋体" w:hAnsi="宋体" w:eastAsia="宋体"/>
          <w:color w:val="auto"/>
          <w:spacing w:val="3"/>
          <w:highlight w:val="none"/>
        </w:rPr>
        <w:t>；</w:t>
      </w:r>
    </w:p>
    <w:p w14:paraId="3B153389">
      <w:pPr>
        <w:spacing w:before="152" w:line="219" w:lineRule="auto"/>
        <w:ind w:left="426"/>
        <w:rPr>
          <w:rFonts w:hint="eastAsia" w:ascii="宋体" w:hAnsi="宋体" w:eastAsia="宋体"/>
          <w:color w:val="auto"/>
          <w:spacing w:val="17"/>
          <w:highlight w:val="none"/>
        </w:rPr>
      </w:pPr>
      <w:r>
        <w:rPr>
          <w:rFonts w:ascii="宋体" w:hAnsi="宋体" w:eastAsia="宋体"/>
          <w:color w:val="auto"/>
          <w:spacing w:val="17"/>
          <w:highlight w:val="none"/>
        </w:rPr>
        <w:t>(</w:t>
      </w:r>
      <w:r>
        <w:rPr>
          <w:rFonts w:ascii="Times New Roman" w:hAnsi="Times New Roman" w:eastAsia="Times New Roman"/>
          <w:color w:val="auto"/>
          <w:spacing w:val="10"/>
          <w:highlight w:val="none"/>
        </w:rPr>
        <w:t>5</w:t>
      </w:r>
      <w:r>
        <w:rPr>
          <w:rFonts w:ascii="宋体" w:hAnsi="宋体" w:eastAsia="宋体"/>
          <w:color w:val="auto"/>
          <w:spacing w:val="10"/>
          <w:highlight w:val="none"/>
        </w:rPr>
        <w:t>)为本招标项目的代建人；</w:t>
      </w:r>
    </w:p>
    <w:p w14:paraId="553A5F45">
      <w:pPr>
        <w:spacing w:before="151" w:line="219" w:lineRule="auto"/>
        <w:ind w:left="426"/>
        <w:rPr>
          <w:rFonts w:hint="eastAsia" w:ascii="宋体" w:hAnsi="宋体" w:eastAsia="宋体"/>
          <w:color w:val="auto"/>
          <w:spacing w:val="16"/>
          <w:highlight w:val="none"/>
        </w:rPr>
      </w:pPr>
      <w:r>
        <w:rPr>
          <w:rFonts w:ascii="宋体" w:hAnsi="宋体" w:eastAsia="宋体"/>
          <w:color w:val="auto"/>
          <w:spacing w:val="16"/>
          <w:highlight w:val="none"/>
        </w:rPr>
        <w:t>(</w:t>
      </w:r>
      <w:r>
        <w:rPr>
          <w:rFonts w:ascii="Times New Roman" w:hAnsi="Times New Roman" w:eastAsia="Times New Roman"/>
          <w:color w:val="auto"/>
          <w:spacing w:val="11"/>
          <w:highlight w:val="none"/>
        </w:rPr>
        <w:t>6</w:t>
      </w:r>
      <w:r>
        <w:rPr>
          <w:rFonts w:ascii="宋体" w:hAnsi="宋体" w:eastAsia="宋体"/>
          <w:color w:val="auto"/>
          <w:spacing w:val="8"/>
          <w:highlight w:val="none"/>
        </w:rPr>
        <w:t>)为本招标项目的招标代理机构；</w:t>
      </w:r>
    </w:p>
    <w:p w14:paraId="4AD6B3FA">
      <w:pPr>
        <w:autoSpaceDE/>
        <w:autoSpaceDN/>
        <w:spacing w:before="151" w:line="219" w:lineRule="auto"/>
        <w:ind w:left="426"/>
        <w:rPr>
          <w:rFonts w:hint="eastAsia" w:ascii="宋体" w:hAnsi="宋体" w:eastAsia="宋体"/>
          <w:color w:val="auto"/>
          <w:spacing w:val="8"/>
          <w:highlight w:val="none"/>
        </w:rPr>
      </w:pPr>
      <w:r>
        <w:rPr>
          <w:rFonts w:ascii="宋体" w:hAnsi="宋体" w:eastAsia="宋体"/>
          <w:color w:val="auto"/>
          <w:spacing w:val="8"/>
          <w:highlight w:val="none"/>
        </w:rPr>
        <w:t>(7)与本招标项目的代建人或招标代理机构同为一个法定代表人；</w:t>
      </w:r>
    </w:p>
    <w:p w14:paraId="756E6A60">
      <w:pPr>
        <w:autoSpaceDE/>
        <w:autoSpaceDN/>
        <w:spacing w:before="151" w:line="219" w:lineRule="auto"/>
        <w:ind w:left="426"/>
        <w:rPr>
          <w:rFonts w:hint="eastAsia" w:ascii="宋体" w:hAnsi="宋体" w:eastAsia="宋体"/>
          <w:color w:val="auto"/>
          <w:spacing w:val="8"/>
          <w:highlight w:val="none"/>
        </w:rPr>
      </w:pPr>
      <w:r>
        <w:rPr>
          <w:rFonts w:ascii="宋体" w:hAnsi="宋体" w:eastAsia="宋体"/>
          <w:color w:val="auto"/>
          <w:spacing w:val="8"/>
          <w:highlight w:val="none"/>
        </w:rPr>
        <w:t>(8)与本招标项目的代建人或招标代理机构存在控股或参股关系；</w:t>
      </w:r>
    </w:p>
    <w:p w14:paraId="65A9FD1F">
      <w:pPr>
        <w:autoSpaceDE/>
        <w:autoSpaceDN/>
        <w:spacing w:before="148" w:line="353" w:lineRule="auto"/>
        <w:ind w:firstLine="452" w:firstLineChars="200"/>
        <w:rPr>
          <w:rFonts w:hint="eastAsia" w:ascii="宋体" w:hAnsi="宋体" w:eastAsia="宋体"/>
          <w:color w:val="auto"/>
          <w:spacing w:val="8"/>
          <w:highlight w:val="none"/>
        </w:rPr>
      </w:pPr>
      <w:r>
        <w:rPr>
          <w:rFonts w:ascii="宋体" w:hAnsi="宋体" w:eastAsia="宋体"/>
          <w:color w:val="auto"/>
          <w:spacing w:val="8"/>
          <w:highlight w:val="none"/>
        </w:rPr>
        <w:t>(</w:t>
      </w:r>
      <w:r>
        <w:rPr>
          <w:rFonts w:hint="eastAsia" w:ascii="宋体" w:hAnsi="宋体" w:eastAsia="宋体"/>
          <w:color w:val="auto"/>
          <w:spacing w:val="8"/>
          <w:highlight w:val="none"/>
        </w:rPr>
        <w:t>9</w:t>
      </w:r>
      <w:r>
        <w:rPr>
          <w:rFonts w:ascii="宋体" w:hAnsi="宋体" w:eastAsia="宋体"/>
          <w:color w:val="auto"/>
          <w:spacing w:val="8"/>
          <w:highlight w:val="none"/>
        </w:rPr>
        <w:t>)</w:t>
      </w:r>
      <w:r>
        <w:rPr>
          <w:rFonts w:hint="eastAsia" w:ascii="宋体" w:hAnsi="宋体" w:eastAsia="宋体"/>
          <w:color w:val="auto"/>
          <w:spacing w:val="8"/>
          <w:highlight w:val="none"/>
        </w:rPr>
        <w:t>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69A0B716">
      <w:pPr>
        <w:autoSpaceDE/>
        <w:autoSpaceDN/>
        <w:spacing w:before="148" w:line="360" w:lineRule="auto"/>
        <w:ind w:firstLine="452" w:firstLineChars="200"/>
        <w:rPr>
          <w:rFonts w:hint="eastAsia" w:ascii="宋体" w:hAnsi="宋体" w:eastAsia="宋体"/>
          <w:color w:val="auto"/>
          <w:spacing w:val="8"/>
          <w:highlight w:val="none"/>
        </w:rPr>
      </w:pPr>
      <w:r>
        <w:rPr>
          <w:rFonts w:ascii="宋体" w:hAnsi="宋体" w:eastAsia="宋体"/>
          <w:color w:val="auto"/>
          <w:spacing w:val="8"/>
          <w:highlight w:val="none"/>
        </w:rPr>
        <w:t>(</w:t>
      </w:r>
      <w:r>
        <w:rPr>
          <w:rFonts w:hint="eastAsia" w:ascii="宋体" w:hAnsi="宋体" w:eastAsia="宋体"/>
          <w:color w:val="auto"/>
          <w:spacing w:val="8"/>
          <w:highlight w:val="none"/>
        </w:rPr>
        <w:t>10</w:t>
      </w:r>
      <w:r>
        <w:rPr>
          <w:rFonts w:ascii="宋体" w:hAnsi="宋体" w:eastAsia="宋体"/>
          <w:color w:val="auto"/>
          <w:spacing w:val="8"/>
          <w:highlight w:val="none"/>
        </w:rPr>
        <w:t>)</w:t>
      </w:r>
      <w:r>
        <w:rPr>
          <w:rFonts w:hint="eastAsia" w:ascii="宋体" w:hAnsi="宋体" w:eastAsia="宋体"/>
          <w:color w:val="auto"/>
          <w:spacing w:val="8"/>
          <w:highlight w:val="none"/>
        </w:rPr>
        <w:t>被责令停产停业、暂扣或者吊销许可证、暂扣或者吊销执照的(本项事实应当以根据《中华人民共和国行政处罚法》依法作出并已经生效的行政处罚决定为认定依据)；</w:t>
      </w:r>
    </w:p>
    <w:p w14:paraId="69D9CC95">
      <w:pPr>
        <w:autoSpaceDE/>
        <w:autoSpaceDN/>
        <w:spacing w:before="148" w:line="353" w:lineRule="auto"/>
        <w:ind w:firstLine="452" w:firstLineChars="200"/>
        <w:rPr>
          <w:rFonts w:hint="eastAsia" w:ascii="宋体" w:hAnsi="宋体" w:eastAsia="宋体"/>
          <w:color w:val="auto"/>
          <w:spacing w:val="8"/>
          <w:highlight w:val="none"/>
        </w:rPr>
      </w:pPr>
      <w:r>
        <w:rPr>
          <w:rFonts w:ascii="宋体" w:hAnsi="宋体" w:eastAsia="宋体"/>
          <w:color w:val="auto"/>
          <w:spacing w:val="8"/>
          <w:highlight w:val="none"/>
        </w:rPr>
        <w:t>(</w:t>
      </w:r>
      <w:r>
        <w:rPr>
          <w:rFonts w:hint="eastAsia" w:ascii="宋体" w:hAnsi="宋体" w:eastAsia="宋体"/>
          <w:color w:val="auto"/>
          <w:spacing w:val="8"/>
          <w:highlight w:val="none"/>
        </w:rPr>
        <w:t>11</w:t>
      </w:r>
      <w:r>
        <w:rPr>
          <w:rFonts w:ascii="宋体" w:hAnsi="宋体" w:eastAsia="宋体"/>
          <w:color w:val="auto"/>
          <w:spacing w:val="8"/>
          <w:highlight w:val="none"/>
        </w:rPr>
        <w:t>)</w:t>
      </w:r>
      <w:r>
        <w:rPr>
          <w:rFonts w:hint="eastAsia" w:ascii="宋体" w:hAnsi="宋体" w:eastAsia="宋体"/>
          <w:color w:val="auto"/>
          <w:spacing w:val="8"/>
          <w:highlight w:val="none"/>
        </w:rPr>
        <w:t>进入清算程序，或被宣布破产，或其他丧失履约能力的情形；</w:t>
      </w:r>
    </w:p>
    <w:p w14:paraId="4945AE0B">
      <w:pPr>
        <w:autoSpaceDE/>
        <w:autoSpaceDN/>
        <w:spacing w:before="148" w:line="353" w:lineRule="auto"/>
        <w:ind w:firstLine="452" w:firstLineChars="200"/>
        <w:rPr>
          <w:rFonts w:hint="eastAsia" w:ascii="宋体" w:hAnsi="宋体" w:eastAsia="宋体"/>
          <w:color w:val="auto"/>
          <w:spacing w:val="8"/>
          <w:highlight w:val="none"/>
        </w:rPr>
      </w:pPr>
      <w:r>
        <w:rPr>
          <w:rFonts w:ascii="宋体" w:hAnsi="宋体" w:eastAsia="宋体"/>
          <w:color w:val="auto"/>
          <w:spacing w:val="8"/>
          <w:highlight w:val="none"/>
        </w:rPr>
        <w:t>(</w:t>
      </w:r>
      <w:r>
        <w:rPr>
          <w:rFonts w:hint="eastAsia" w:ascii="宋体" w:hAnsi="宋体" w:eastAsia="宋体"/>
          <w:color w:val="auto"/>
          <w:spacing w:val="8"/>
          <w:highlight w:val="none"/>
        </w:rPr>
        <w:t>12</w:t>
      </w:r>
      <w:r>
        <w:rPr>
          <w:rFonts w:ascii="宋体" w:hAnsi="宋体" w:eastAsia="宋体"/>
          <w:color w:val="auto"/>
          <w:spacing w:val="8"/>
          <w:highlight w:val="none"/>
        </w:rPr>
        <w:t>)</w:t>
      </w:r>
      <w:r>
        <w:rPr>
          <w:rFonts w:hint="eastAsia" w:ascii="宋体" w:hAnsi="宋体" w:eastAsia="宋体"/>
          <w:color w:val="auto"/>
          <w:spacing w:val="8"/>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4B324791">
      <w:pPr>
        <w:spacing w:before="151" w:line="351" w:lineRule="auto"/>
        <w:ind w:left="3" w:right="22" w:firstLine="423"/>
        <w:rPr>
          <w:rFonts w:hint="eastAsia" w:ascii="宋体" w:hAnsi="宋体" w:eastAsia="宋体"/>
          <w:color w:val="auto"/>
          <w:highlight w:val="none"/>
        </w:rPr>
      </w:pPr>
    </w:p>
    <w:p w14:paraId="4A96AEB5">
      <w:pPr>
        <w:spacing w:before="151" w:line="351" w:lineRule="auto"/>
        <w:ind w:left="3" w:right="22" w:firstLine="423"/>
        <w:rPr>
          <w:rFonts w:hint="eastAsia" w:ascii="宋体" w:hAnsi="宋体" w:eastAsia="宋体"/>
          <w:color w:val="auto"/>
          <w:spacing w:val="12"/>
          <w:highlight w:val="none"/>
        </w:rPr>
      </w:pPr>
      <w:r>
        <w:rPr>
          <w:rFonts w:ascii="宋体" w:hAnsi="宋体" w:eastAsia="宋体"/>
          <w:color w:val="auto"/>
          <w:spacing w:val="12"/>
          <w:highlight w:val="none"/>
        </w:rPr>
        <w:t>(</w:t>
      </w:r>
      <w:r>
        <w:rPr>
          <w:rFonts w:ascii="宋体" w:hAnsi="宋体" w:eastAsia="宋体"/>
          <w:color w:val="auto"/>
          <w:spacing w:val="8"/>
          <w:highlight w:val="none"/>
        </w:rPr>
        <w:t>1</w:t>
      </w:r>
      <w:r>
        <w:rPr>
          <w:rFonts w:hint="eastAsia" w:ascii="宋体" w:hAnsi="宋体" w:eastAsia="宋体"/>
          <w:color w:val="auto"/>
          <w:spacing w:val="8"/>
          <w:highlight w:val="none"/>
        </w:rPr>
        <w:t>3</w:t>
      </w:r>
      <w:r>
        <w:rPr>
          <w:rFonts w:ascii="宋体" w:hAnsi="宋体" w:eastAsia="宋体"/>
          <w:color w:val="auto"/>
          <w:spacing w:val="6"/>
          <w:highlight w:val="none"/>
        </w:rPr>
        <w:t>)</w:t>
      </w:r>
      <w:r>
        <w:rPr>
          <w:rFonts w:ascii="宋体" w:hAnsi="宋体" w:eastAsia="宋体"/>
          <w:color w:val="auto"/>
          <w:spacing w:val="8"/>
          <w:highlight w:val="none"/>
        </w:rPr>
        <w:t>在投标文件有关技术方案和要求中不得指定与工程建设项目有关的重要设备、材料的生产供应者，或者含有倾向或者排斥特定生产供应者的内容</w:t>
      </w:r>
      <w:r>
        <w:rPr>
          <w:rFonts w:hint="eastAsia" w:ascii="宋体" w:hAnsi="宋体" w:eastAsia="宋体"/>
          <w:color w:val="auto"/>
          <w:spacing w:val="6"/>
          <w:highlight w:val="none"/>
        </w:rPr>
        <w:t>；</w:t>
      </w:r>
    </w:p>
    <w:p w14:paraId="705E0AE3">
      <w:pPr>
        <w:spacing w:before="151" w:line="351" w:lineRule="auto"/>
        <w:ind w:left="3" w:right="22" w:firstLine="423"/>
        <w:rPr>
          <w:rFonts w:hint="eastAsia" w:ascii="宋体" w:hAnsi="宋体" w:eastAsia="宋体"/>
          <w:color w:val="auto"/>
          <w:spacing w:val="8"/>
          <w:highlight w:val="none"/>
        </w:rPr>
      </w:pPr>
      <w:r>
        <w:rPr>
          <w:rFonts w:ascii="宋体" w:hAnsi="宋体" w:eastAsia="宋体"/>
          <w:color w:val="auto"/>
          <w:spacing w:val="8"/>
          <w:highlight w:val="none"/>
        </w:rPr>
        <w:t>(1</w:t>
      </w:r>
      <w:r>
        <w:rPr>
          <w:rFonts w:hint="eastAsia" w:ascii="宋体" w:hAnsi="宋体" w:eastAsia="宋体"/>
          <w:color w:val="auto"/>
          <w:spacing w:val="8"/>
          <w:highlight w:val="none"/>
        </w:rPr>
        <w:t>4</w:t>
      </w:r>
      <w:r>
        <w:rPr>
          <w:rFonts w:ascii="宋体" w:hAnsi="宋体" w:eastAsia="宋体"/>
          <w:color w:val="auto"/>
          <w:spacing w:val="8"/>
          <w:highlight w:val="none"/>
        </w:rPr>
        <w:t>)</w:t>
      </w:r>
      <w:r>
        <w:rPr>
          <w:rFonts w:ascii="宋体" w:hAnsi="宋体" w:eastAsia="宋体"/>
          <w:color w:val="auto"/>
          <w:spacing w:val="6"/>
          <w:highlight w:val="none"/>
        </w:rPr>
        <w:t>法律法规或投标人须知前附表规定的其他情形</w:t>
      </w:r>
      <w:r>
        <w:rPr>
          <w:rFonts w:ascii="宋体" w:hAnsi="宋体" w:eastAsia="宋体"/>
          <w:color w:val="auto"/>
          <w:spacing w:val="8"/>
          <w:highlight w:val="none"/>
        </w:rPr>
        <w:t>。</w:t>
      </w:r>
    </w:p>
    <w:p w14:paraId="1FF46C7B">
      <w:pPr>
        <w:rPr>
          <w:rFonts w:ascii="Times New Roman" w:hAnsi="Times New Roman" w:eastAsiaTheme="minorEastAsia"/>
          <w:b/>
          <w:bCs/>
          <w:color w:val="auto"/>
          <w:spacing w:val="5"/>
          <w:sz w:val="27"/>
          <w:szCs w:val="27"/>
          <w:highlight w:val="none"/>
        </w:rPr>
      </w:pPr>
    </w:p>
    <w:p w14:paraId="656C93BC">
      <w:pPr>
        <w:rPr>
          <w:rFonts w:ascii="Times New Roman" w:hAnsi="Times New Roman" w:eastAsia="Times New Roman"/>
          <w:b/>
          <w:bCs/>
          <w:color w:val="auto"/>
          <w:spacing w:val="5"/>
          <w:sz w:val="27"/>
          <w:szCs w:val="27"/>
          <w:highlight w:val="none"/>
        </w:rPr>
      </w:pPr>
      <w:r>
        <w:rPr>
          <w:rFonts w:ascii="Times New Roman" w:hAnsi="Times New Roman" w:eastAsia="Times New Roman"/>
          <w:b/>
          <w:bCs/>
          <w:color w:val="auto"/>
          <w:spacing w:val="5"/>
          <w:sz w:val="27"/>
          <w:szCs w:val="27"/>
          <w:highlight w:val="none"/>
        </w:rPr>
        <w:t xml:space="preserve">1.5  </w:t>
      </w:r>
      <w:r>
        <w:rPr>
          <w:rFonts w:hint="eastAsia" w:ascii="宋体" w:hAnsi="宋体" w:eastAsia="宋体" w:cs="宋体"/>
          <w:b/>
          <w:bCs/>
          <w:color w:val="auto"/>
          <w:spacing w:val="5"/>
          <w:sz w:val="27"/>
          <w:szCs w:val="27"/>
          <w:highlight w:val="none"/>
        </w:rPr>
        <w:t>费用承担</w:t>
      </w:r>
    </w:p>
    <w:p w14:paraId="0DD4CE0A">
      <w:pPr>
        <w:spacing w:before="68" w:line="220" w:lineRule="auto"/>
        <w:ind w:left="423"/>
        <w:rPr>
          <w:rFonts w:hint="eastAsia" w:ascii="宋体" w:hAnsi="宋体" w:eastAsia="宋体"/>
          <w:color w:val="auto"/>
          <w:spacing w:val="-1"/>
          <w:highlight w:val="none"/>
        </w:rPr>
      </w:pPr>
      <w:r>
        <w:rPr>
          <w:rFonts w:ascii="宋体" w:hAnsi="宋体" w:eastAsia="宋体"/>
          <w:color w:val="auto"/>
          <w:spacing w:val="-2"/>
          <w:highlight w:val="none"/>
        </w:rPr>
        <w:t>投标人准备和参加投标活动发生的费用自理</w:t>
      </w:r>
      <w:r>
        <w:rPr>
          <w:rFonts w:ascii="宋体" w:hAnsi="宋体" w:eastAsia="宋体"/>
          <w:color w:val="auto"/>
          <w:spacing w:val="-1"/>
          <w:highlight w:val="none"/>
        </w:rPr>
        <w:t>。</w:t>
      </w:r>
    </w:p>
    <w:p w14:paraId="6DB7CF0A">
      <w:pPr>
        <w:pStyle w:val="9"/>
        <w:rPr>
          <w:rFonts w:eastAsiaTheme="minorEastAsia"/>
          <w:color w:val="auto"/>
          <w:highlight w:val="none"/>
        </w:rPr>
      </w:pPr>
    </w:p>
    <w:p w14:paraId="77A9F020">
      <w:pPr>
        <w:rPr>
          <w:rFonts w:ascii="Times New Roman" w:hAnsi="Times New Roman" w:eastAsia="Times New Roman"/>
          <w:b/>
          <w:bCs/>
          <w:color w:val="auto"/>
          <w:spacing w:val="1"/>
          <w:sz w:val="27"/>
          <w:szCs w:val="27"/>
          <w:highlight w:val="none"/>
        </w:rPr>
      </w:pPr>
      <w:bookmarkStart w:id="57" w:name="_Toc1659"/>
      <w:bookmarkStart w:id="58" w:name="_Toc8766"/>
      <w:bookmarkStart w:id="59" w:name="_Toc28683"/>
      <w:bookmarkStart w:id="60" w:name="_Toc22983"/>
      <w:bookmarkStart w:id="61" w:name="_Toc21663"/>
      <w:r>
        <w:rPr>
          <w:rFonts w:ascii="Times New Roman" w:hAnsi="Times New Roman" w:eastAsia="Times New Roman"/>
          <w:b/>
          <w:bCs/>
          <w:color w:val="auto"/>
          <w:spacing w:val="1"/>
          <w:sz w:val="27"/>
          <w:szCs w:val="27"/>
          <w:highlight w:val="none"/>
        </w:rPr>
        <w:t>1.6</w:t>
      </w:r>
      <w:r>
        <w:rPr>
          <w:rFonts w:ascii="Times New Roman" w:hAnsi="Times New Roman" w:eastAsia="Times New Roman"/>
          <w:b/>
          <w:bCs/>
          <w:color w:val="auto"/>
          <w:sz w:val="27"/>
          <w:szCs w:val="27"/>
          <w:highlight w:val="none"/>
        </w:rPr>
        <w:t xml:space="preserve"> </w:t>
      </w:r>
      <w:r>
        <w:rPr>
          <w:rFonts w:ascii="黑体" w:hAnsi="黑体" w:eastAsia="黑体"/>
          <w:b/>
          <w:bCs/>
          <w:color w:val="auto"/>
          <w:sz w:val="27"/>
          <w:szCs w:val="27"/>
          <w:highlight w:val="none"/>
        </w:rPr>
        <w:t>保密</w:t>
      </w:r>
      <w:bookmarkEnd w:id="57"/>
      <w:bookmarkEnd w:id="58"/>
      <w:bookmarkEnd w:id="59"/>
      <w:bookmarkEnd w:id="60"/>
      <w:bookmarkEnd w:id="61"/>
    </w:p>
    <w:p w14:paraId="5F928AE2">
      <w:pPr>
        <w:spacing w:before="69" w:line="359" w:lineRule="auto"/>
        <w:ind w:left="1" w:right="80" w:firstLine="420"/>
        <w:rPr>
          <w:rFonts w:hint="eastAsia" w:ascii="宋体" w:hAnsi="宋体" w:eastAsia="宋体"/>
          <w:color w:val="auto"/>
          <w:spacing w:val="-3"/>
          <w:highlight w:val="none"/>
        </w:rPr>
      </w:pPr>
      <w:r>
        <w:rPr>
          <w:rFonts w:ascii="宋体" w:hAnsi="宋体" w:eastAsia="宋体"/>
          <w:color w:val="auto"/>
          <w:spacing w:val="1"/>
          <w:highlight w:val="none"/>
        </w:rPr>
        <w:t>参与招标投标活动的各方应对招</w:t>
      </w:r>
      <w:r>
        <w:rPr>
          <w:rFonts w:ascii="宋体" w:hAnsi="宋体" w:eastAsia="宋体"/>
          <w:color w:val="auto"/>
          <w:highlight w:val="none"/>
        </w:rPr>
        <w:t xml:space="preserve">标文件和投标文件中的商业和技术等秘密保密，否则应承 </w:t>
      </w:r>
      <w:r>
        <w:rPr>
          <w:rFonts w:ascii="宋体" w:hAnsi="宋体" w:eastAsia="宋体"/>
          <w:color w:val="auto"/>
          <w:spacing w:val="-4"/>
          <w:highlight w:val="none"/>
        </w:rPr>
        <w:t>担相应的法律责任</w:t>
      </w:r>
      <w:r>
        <w:rPr>
          <w:rFonts w:ascii="宋体" w:hAnsi="宋体" w:eastAsia="宋体"/>
          <w:color w:val="auto"/>
          <w:spacing w:val="-3"/>
          <w:highlight w:val="none"/>
        </w:rPr>
        <w:t>。</w:t>
      </w:r>
    </w:p>
    <w:p w14:paraId="06688BDE">
      <w:pPr>
        <w:pStyle w:val="9"/>
        <w:rPr>
          <w:rFonts w:eastAsiaTheme="minorEastAsia"/>
          <w:color w:val="auto"/>
          <w:highlight w:val="none"/>
        </w:rPr>
      </w:pPr>
    </w:p>
    <w:p w14:paraId="753EEE1A">
      <w:pPr>
        <w:rPr>
          <w:rFonts w:ascii="Times New Roman" w:hAnsi="Times New Roman" w:eastAsia="Times New Roman"/>
          <w:b/>
          <w:bCs/>
          <w:color w:val="auto"/>
          <w:spacing w:val="1"/>
          <w:sz w:val="27"/>
          <w:szCs w:val="27"/>
          <w:highlight w:val="none"/>
        </w:rPr>
      </w:pPr>
      <w:bookmarkStart w:id="62" w:name="_Toc19771"/>
      <w:bookmarkStart w:id="63" w:name="_Toc13936"/>
      <w:bookmarkStart w:id="64" w:name="_Toc8781"/>
      <w:bookmarkStart w:id="65" w:name="_Toc8611"/>
      <w:bookmarkStart w:id="66" w:name="_Toc13173"/>
      <w:r>
        <w:rPr>
          <w:rFonts w:ascii="Times New Roman" w:hAnsi="Times New Roman" w:eastAsia="Times New Roman"/>
          <w:b/>
          <w:bCs/>
          <w:color w:val="auto"/>
          <w:spacing w:val="1"/>
          <w:sz w:val="27"/>
          <w:szCs w:val="27"/>
          <w:highlight w:val="none"/>
        </w:rPr>
        <w:t xml:space="preserve">1.7  </w:t>
      </w:r>
      <w:r>
        <w:rPr>
          <w:rFonts w:hint="eastAsia" w:ascii="宋体" w:hAnsi="宋体" w:eastAsia="宋体" w:cs="宋体"/>
          <w:b/>
          <w:bCs/>
          <w:color w:val="auto"/>
          <w:spacing w:val="1"/>
          <w:sz w:val="27"/>
          <w:szCs w:val="27"/>
          <w:highlight w:val="none"/>
        </w:rPr>
        <w:t>语言文字</w:t>
      </w:r>
      <w:bookmarkEnd w:id="62"/>
      <w:bookmarkEnd w:id="63"/>
      <w:bookmarkEnd w:id="64"/>
      <w:bookmarkEnd w:id="65"/>
      <w:bookmarkEnd w:id="66"/>
    </w:p>
    <w:p w14:paraId="5ED2702A">
      <w:pPr>
        <w:spacing w:before="69" w:line="219" w:lineRule="auto"/>
        <w:ind w:left="421"/>
        <w:rPr>
          <w:rFonts w:hint="eastAsia" w:ascii="宋体" w:hAnsi="宋体" w:eastAsia="宋体"/>
          <w:color w:val="auto"/>
          <w:spacing w:val="-1"/>
          <w:highlight w:val="none"/>
        </w:rPr>
      </w:pPr>
      <w:r>
        <w:rPr>
          <w:rFonts w:ascii="宋体" w:hAnsi="宋体" w:eastAsia="宋体"/>
          <w:color w:val="auto"/>
          <w:spacing w:val="-2"/>
          <w:highlight w:val="none"/>
        </w:rPr>
        <w:t>招标投</w:t>
      </w:r>
      <w:r>
        <w:rPr>
          <w:rFonts w:ascii="宋体" w:hAnsi="宋体" w:eastAsia="宋体"/>
          <w:color w:val="auto"/>
          <w:spacing w:val="-1"/>
          <w:highlight w:val="none"/>
        </w:rPr>
        <w:t>标文件使用的语言文字为中文。专用术语使用外文的，应附有中文注释。</w:t>
      </w:r>
    </w:p>
    <w:p w14:paraId="58FC4910">
      <w:pPr>
        <w:pStyle w:val="9"/>
        <w:rPr>
          <w:rFonts w:eastAsiaTheme="minorEastAsia"/>
          <w:color w:val="auto"/>
          <w:highlight w:val="none"/>
        </w:rPr>
      </w:pPr>
    </w:p>
    <w:p w14:paraId="7DA360AA">
      <w:pPr>
        <w:rPr>
          <w:rFonts w:ascii="Times New Roman" w:hAnsi="Times New Roman" w:eastAsia="Times New Roman"/>
          <w:b/>
          <w:bCs/>
          <w:color w:val="auto"/>
          <w:spacing w:val="1"/>
          <w:sz w:val="27"/>
          <w:szCs w:val="27"/>
          <w:highlight w:val="none"/>
        </w:rPr>
      </w:pPr>
      <w:bookmarkStart w:id="67" w:name="_Toc8341"/>
      <w:bookmarkStart w:id="68" w:name="_Toc19348"/>
      <w:bookmarkStart w:id="69" w:name="_Toc20197"/>
      <w:bookmarkStart w:id="70" w:name="_Toc15777"/>
      <w:bookmarkStart w:id="71" w:name="_Toc3696"/>
      <w:r>
        <w:rPr>
          <w:rFonts w:ascii="Times New Roman" w:hAnsi="Times New Roman" w:eastAsia="Times New Roman"/>
          <w:b/>
          <w:bCs/>
          <w:color w:val="auto"/>
          <w:spacing w:val="1"/>
          <w:sz w:val="27"/>
          <w:szCs w:val="27"/>
          <w:highlight w:val="none"/>
        </w:rPr>
        <w:t xml:space="preserve">1.8 </w:t>
      </w:r>
      <w:r>
        <w:rPr>
          <w:rFonts w:hint="eastAsia" w:ascii="宋体" w:hAnsi="宋体" w:eastAsia="宋体" w:cs="宋体"/>
          <w:b/>
          <w:bCs/>
          <w:color w:val="auto"/>
          <w:spacing w:val="1"/>
          <w:sz w:val="27"/>
          <w:szCs w:val="27"/>
          <w:highlight w:val="none"/>
        </w:rPr>
        <w:t>计量单位</w:t>
      </w:r>
      <w:bookmarkEnd w:id="67"/>
      <w:bookmarkEnd w:id="68"/>
      <w:bookmarkEnd w:id="69"/>
      <w:bookmarkEnd w:id="70"/>
      <w:bookmarkEnd w:id="71"/>
    </w:p>
    <w:p w14:paraId="0196F269">
      <w:pPr>
        <w:spacing w:before="68" w:line="220" w:lineRule="auto"/>
        <w:ind w:left="420"/>
        <w:rPr>
          <w:rFonts w:hint="eastAsia" w:ascii="宋体" w:hAnsi="宋体" w:eastAsia="宋体"/>
          <w:color w:val="auto"/>
          <w:spacing w:val="-1"/>
          <w:highlight w:val="none"/>
        </w:rPr>
      </w:pPr>
      <w:r>
        <w:rPr>
          <w:rFonts w:ascii="宋体" w:hAnsi="宋体" w:eastAsia="宋体"/>
          <w:color w:val="auto"/>
          <w:spacing w:val="-2"/>
          <w:highlight w:val="none"/>
        </w:rPr>
        <w:t>所有计量均采用中华人民共和国法</w:t>
      </w:r>
      <w:r>
        <w:rPr>
          <w:rFonts w:ascii="宋体" w:hAnsi="宋体" w:eastAsia="宋体"/>
          <w:color w:val="auto"/>
          <w:spacing w:val="-1"/>
          <w:highlight w:val="none"/>
        </w:rPr>
        <w:t>定计量单位。</w:t>
      </w:r>
    </w:p>
    <w:p w14:paraId="28C3D444">
      <w:pPr>
        <w:pStyle w:val="9"/>
        <w:rPr>
          <w:rFonts w:eastAsiaTheme="minorEastAsia"/>
          <w:color w:val="auto"/>
          <w:highlight w:val="none"/>
        </w:rPr>
      </w:pPr>
    </w:p>
    <w:p w14:paraId="0D55C4A5">
      <w:pPr>
        <w:rPr>
          <w:rFonts w:ascii="Times New Roman" w:hAnsi="Times New Roman" w:eastAsia="Times New Roman"/>
          <w:b/>
          <w:bCs/>
          <w:color w:val="auto"/>
          <w:spacing w:val="1"/>
          <w:sz w:val="27"/>
          <w:szCs w:val="27"/>
          <w:highlight w:val="none"/>
        </w:rPr>
      </w:pPr>
      <w:bookmarkStart w:id="72" w:name="_Toc21090"/>
      <w:bookmarkStart w:id="73" w:name="_Toc4426"/>
      <w:bookmarkStart w:id="74" w:name="_Toc24572"/>
      <w:bookmarkStart w:id="75" w:name="_Toc14820"/>
      <w:bookmarkStart w:id="76" w:name="_Toc28280"/>
      <w:r>
        <w:rPr>
          <w:rFonts w:ascii="Times New Roman" w:hAnsi="Times New Roman" w:eastAsia="Times New Roman"/>
          <w:b/>
          <w:bCs/>
          <w:color w:val="auto"/>
          <w:spacing w:val="1"/>
          <w:sz w:val="27"/>
          <w:szCs w:val="27"/>
          <w:highlight w:val="none"/>
        </w:rPr>
        <w:t xml:space="preserve">1.9  </w:t>
      </w:r>
      <w:r>
        <w:rPr>
          <w:rFonts w:hint="eastAsia" w:ascii="宋体" w:hAnsi="宋体" w:eastAsia="宋体" w:cs="宋体"/>
          <w:b/>
          <w:bCs/>
          <w:color w:val="auto"/>
          <w:spacing w:val="1"/>
          <w:sz w:val="27"/>
          <w:szCs w:val="27"/>
          <w:highlight w:val="none"/>
        </w:rPr>
        <w:t>踏勘现场</w:t>
      </w:r>
      <w:bookmarkEnd w:id="72"/>
      <w:bookmarkEnd w:id="73"/>
      <w:bookmarkEnd w:id="74"/>
      <w:bookmarkEnd w:id="75"/>
      <w:bookmarkEnd w:id="76"/>
    </w:p>
    <w:p w14:paraId="4F4E3358">
      <w:pPr>
        <w:spacing w:before="68" w:line="352" w:lineRule="auto"/>
        <w:ind w:left="8" w:firstLine="429"/>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1.9.1</w:t>
      </w:r>
      <w:r>
        <w:rPr>
          <w:rFonts w:ascii="Times New Roman" w:hAnsi="Times New Roman" w:eastAsia="Times New Roman"/>
          <w:color w:val="auto"/>
          <w:spacing w:val="-3"/>
          <w:highlight w:val="none"/>
        </w:rPr>
        <w:t xml:space="preserve"> </w:t>
      </w:r>
      <w:r>
        <w:rPr>
          <w:rFonts w:ascii="Times New Roman" w:hAnsi="Times New Roman" w:eastAsia="Times New Roman"/>
          <w:color w:val="auto"/>
          <w:spacing w:val="-2"/>
          <w:highlight w:val="none"/>
        </w:rPr>
        <w:t xml:space="preserve"> </w:t>
      </w:r>
      <w:r>
        <w:rPr>
          <w:rFonts w:hint="eastAsia"/>
          <w:color w:val="auto"/>
          <w:highlight w:val="none"/>
          <w:u w:val="single"/>
        </w:rPr>
        <w:t>招标人不集中组织，由投标人自行踏勘</w:t>
      </w:r>
      <w:r>
        <w:rPr>
          <w:rFonts w:ascii="宋体" w:hAnsi="宋体" w:eastAsia="宋体"/>
          <w:color w:val="auto"/>
          <w:spacing w:val="-5"/>
          <w:highlight w:val="none"/>
          <w:u w:val="single"/>
        </w:rPr>
        <w:t>。</w:t>
      </w:r>
    </w:p>
    <w:p w14:paraId="15D1EC14">
      <w:pPr>
        <w:spacing w:before="1" w:line="219" w:lineRule="auto"/>
        <w:ind w:left="437"/>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1.9.</w:t>
      </w:r>
      <w:r>
        <w:rPr>
          <w:rFonts w:ascii="Times New Roman" w:hAnsi="Times New Roman" w:eastAsia="Times New Roman"/>
          <w:color w:val="auto"/>
          <w:spacing w:val="-3"/>
          <w:highlight w:val="none"/>
        </w:rPr>
        <w:t>2</w:t>
      </w:r>
      <w:r>
        <w:rPr>
          <w:rFonts w:ascii="Times New Roman" w:hAnsi="Times New Roman" w:eastAsia="Times New Roman"/>
          <w:color w:val="auto"/>
          <w:spacing w:val="-2"/>
          <w:highlight w:val="none"/>
        </w:rPr>
        <w:t xml:space="preserve">  </w:t>
      </w:r>
      <w:r>
        <w:rPr>
          <w:rFonts w:ascii="宋体" w:hAnsi="宋体" w:eastAsia="宋体"/>
          <w:color w:val="auto"/>
          <w:spacing w:val="-2"/>
          <w:highlight w:val="none"/>
        </w:rPr>
        <w:t>投标人踏勘现场发生的费用自理。</w:t>
      </w:r>
    </w:p>
    <w:p w14:paraId="548C1D6B">
      <w:pPr>
        <w:spacing w:before="150" w:line="217" w:lineRule="auto"/>
        <w:ind w:left="437"/>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1.9.3  </w:t>
      </w:r>
      <w:r>
        <w:rPr>
          <w:rFonts w:ascii="宋体" w:hAnsi="宋体" w:eastAsia="宋体"/>
          <w:color w:val="auto"/>
          <w:spacing w:val="-2"/>
          <w:highlight w:val="none"/>
        </w:rPr>
        <w:t>除招标人</w:t>
      </w:r>
      <w:r>
        <w:rPr>
          <w:rFonts w:ascii="宋体" w:hAnsi="宋体" w:eastAsia="宋体"/>
          <w:color w:val="auto"/>
          <w:spacing w:val="-1"/>
          <w:highlight w:val="none"/>
        </w:rPr>
        <w:t>的原因外，投标人自行负责在踏勘现场中所发生的人员伤亡和财产损失。</w:t>
      </w:r>
    </w:p>
    <w:p w14:paraId="052C4B2A">
      <w:pPr>
        <w:spacing w:before="152" w:line="360" w:lineRule="auto"/>
        <w:ind w:right="74" w:firstLine="437"/>
        <w:rPr>
          <w:rFonts w:hint="eastAsia" w:ascii="宋体" w:hAnsi="宋体" w:eastAsia="宋体"/>
          <w:color w:val="auto"/>
          <w:spacing w:val="-1"/>
          <w:highlight w:val="none"/>
        </w:rPr>
      </w:pPr>
      <w:r>
        <w:rPr>
          <w:rFonts w:ascii="Times New Roman" w:hAnsi="Times New Roman" w:eastAsia="Times New Roman"/>
          <w:color w:val="auto"/>
          <w:spacing w:val="-4"/>
          <w:highlight w:val="none"/>
        </w:rPr>
        <w:t xml:space="preserve">1.9.4 </w:t>
      </w:r>
      <w:r>
        <w:rPr>
          <w:rFonts w:ascii="Times New Roman" w:hAnsi="Times New Roman" w:eastAsia="Times New Roman"/>
          <w:color w:val="auto"/>
          <w:spacing w:val="-2"/>
          <w:highlight w:val="none"/>
        </w:rPr>
        <w:t xml:space="preserve"> </w:t>
      </w:r>
      <w:r>
        <w:rPr>
          <w:rFonts w:ascii="宋体" w:hAnsi="宋体" w:eastAsia="宋体"/>
          <w:color w:val="auto"/>
          <w:spacing w:val="-2"/>
          <w:highlight w:val="none"/>
        </w:rPr>
        <w:t>招标人在踏勘现场中介绍的工程场地和相关的周边环境情况，供投标人在编制投标文</w:t>
      </w:r>
      <w:r>
        <w:rPr>
          <w:rFonts w:ascii="宋体" w:hAnsi="宋体" w:eastAsia="宋体"/>
          <w:color w:val="auto"/>
          <w:highlight w:val="none"/>
        </w:rPr>
        <w:t xml:space="preserve"> </w:t>
      </w:r>
      <w:r>
        <w:rPr>
          <w:rFonts w:ascii="宋体" w:hAnsi="宋体" w:eastAsia="宋体"/>
          <w:color w:val="auto"/>
          <w:spacing w:val="-2"/>
          <w:highlight w:val="none"/>
        </w:rPr>
        <w:t>件时参考，招标人不对</w:t>
      </w:r>
      <w:r>
        <w:rPr>
          <w:rFonts w:ascii="宋体" w:hAnsi="宋体" w:eastAsia="宋体"/>
          <w:color w:val="auto"/>
          <w:spacing w:val="-1"/>
          <w:highlight w:val="none"/>
        </w:rPr>
        <w:t>投标人据此作出的判断和决策负责。</w:t>
      </w:r>
    </w:p>
    <w:p w14:paraId="72AE46F6">
      <w:pPr>
        <w:pStyle w:val="9"/>
        <w:rPr>
          <w:rFonts w:eastAsiaTheme="minorEastAsia"/>
          <w:color w:val="auto"/>
          <w:highlight w:val="none"/>
        </w:rPr>
      </w:pPr>
    </w:p>
    <w:p w14:paraId="55A8A03F">
      <w:pPr>
        <w:rPr>
          <w:rFonts w:ascii="Times New Roman" w:hAnsi="Times New Roman" w:eastAsia="Times New Roman"/>
          <w:b/>
          <w:bCs/>
          <w:color w:val="auto"/>
          <w:spacing w:val="1"/>
          <w:sz w:val="27"/>
          <w:szCs w:val="27"/>
          <w:highlight w:val="none"/>
        </w:rPr>
      </w:pPr>
      <w:bookmarkStart w:id="77" w:name="_Toc6267"/>
      <w:bookmarkStart w:id="78" w:name="_Toc28835"/>
      <w:bookmarkStart w:id="79" w:name="_Toc25329"/>
      <w:bookmarkStart w:id="80" w:name="_Toc5577"/>
      <w:bookmarkStart w:id="81" w:name="_Toc9708"/>
      <w:r>
        <w:rPr>
          <w:rFonts w:ascii="Times New Roman" w:hAnsi="Times New Roman" w:eastAsia="Times New Roman"/>
          <w:b/>
          <w:bCs/>
          <w:color w:val="auto"/>
          <w:spacing w:val="1"/>
          <w:sz w:val="27"/>
          <w:szCs w:val="27"/>
          <w:highlight w:val="none"/>
        </w:rPr>
        <w:t xml:space="preserve">1.10 </w:t>
      </w:r>
      <w:r>
        <w:rPr>
          <w:rFonts w:hint="eastAsia" w:ascii="宋体" w:hAnsi="宋体" w:eastAsia="宋体" w:cs="宋体"/>
          <w:b/>
          <w:bCs/>
          <w:color w:val="auto"/>
          <w:spacing w:val="1"/>
          <w:sz w:val="27"/>
          <w:szCs w:val="27"/>
          <w:highlight w:val="none"/>
        </w:rPr>
        <w:t>投标预备会</w:t>
      </w:r>
      <w:bookmarkEnd w:id="77"/>
      <w:bookmarkEnd w:id="78"/>
      <w:bookmarkEnd w:id="79"/>
      <w:bookmarkEnd w:id="80"/>
      <w:bookmarkEnd w:id="81"/>
    </w:p>
    <w:p w14:paraId="1CD6A44F">
      <w:pPr>
        <w:spacing w:before="69" w:line="351" w:lineRule="auto"/>
        <w:ind w:left="1" w:right="80" w:firstLine="435"/>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1</w:t>
      </w:r>
      <w:r>
        <w:rPr>
          <w:rFonts w:ascii="Times New Roman" w:hAnsi="Times New Roman" w:eastAsia="Times New Roman"/>
          <w:color w:val="auto"/>
          <w:highlight w:val="none"/>
        </w:rPr>
        <w:t xml:space="preserve">.10.1  </w:t>
      </w:r>
      <w:r>
        <w:rPr>
          <w:rFonts w:ascii="宋体" w:hAnsi="宋体" w:eastAsia="宋体"/>
          <w:color w:val="auto"/>
          <w:highlight w:val="none"/>
        </w:rPr>
        <w:t xml:space="preserve">投标人须知前附表规定召开投标预备会的，招标人按投标人须知前附表规定的时间 </w:t>
      </w:r>
      <w:r>
        <w:rPr>
          <w:rFonts w:ascii="宋体" w:hAnsi="宋体" w:eastAsia="宋体"/>
          <w:color w:val="auto"/>
          <w:spacing w:val="-2"/>
          <w:highlight w:val="none"/>
        </w:rPr>
        <w:t>和地点召开投标预备会，澄清投标</w:t>
      </w:r>
      <w:r>
        <w:rPr>
          <w:rFonts w:ascii="宋体" w:hAnsi="宋体" w:eastAsia="宋体"/>
          <w:color w:val="auto"/>
          <w:spacing w:val="-1"/>
          <w:highlight w:val="none"/>
        </w:rPr>
        <w:t>人提出的问题。</w:t>
      </w:r>
    </w:p>
    <w:p w14:paraId="60D2485C">
      <w:pPr>
        <w:spacing w:before="2" w:line="351" w:lineRule="auto"/>
        <w:ind w:left="1" w:right="80" w:firstLine="435"/>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1</w:t>
      </w:r>
      <w:r>
        <w:rPr>
          <w:rFonts w:ascii="Times New Roman" w:hAnsi="Times New Roman" w:eastAsia="Times New Roman"/>
          <w:color w:val="auto"/>
          <w:highlight w:val="none"/>
        </w:rPr>
        <w:t xml:space="preserve">.10.2  </w:t>
      </w:r>
      <w:r>
        <w:rPr>
          <w:rFonts w:ascii="宋体" w:hAnsi="宋体" w:eastAsia="宋体"/>
          <w:color w:val="auto"/>
          <w:highlight w:val="none"/>
        </w:rPr>
        <w:t xml:space="preserve">投标人应按投标人须知前附表规定的时间和形式将提出的问题送达招标人，以便招 </w:t>
      </w:r>
      <w:r>
        <w:rPr>
          <w:rFonts w:ascii="宋体" w:hAnsi="宋体" w:eastAsia="宋体"/>
          <w:color w:val="auto"/>
          <w:spacing w:val="-6"/>
          <w:highlight w:val="none"/>
        </w:rPr>
        <w:t>标</w:t>
      </w:r>
      <w:r>
        <w:rPr>
          <w:rFonts w:ascii="宋体" w:hAnsi="宋体" w:eastAsia="宋体"/>
          <w:color w:val="auto"/>
          <w:spacing w:val="-5"/>
          <w:highlight w:val="none"/>
        </w:rPr>
        <w:t>人</w:t>
      </w:r>
      <w:r>
        <w:rPr>
          <w:rFonts w:ascii="宋体" w:hAnsi="宋体" w:eastAsia="宋体"/>
          <w:color w:val="auto"/>
          <w:spacing w:val="-3"/>
          <w:highlight w:val="none"/>
        </w:rPr>
        <w:t>在会议期间澄清。</w:t>
      </w:r>
    </w:p>
    <w:p w14:paraId="4265AB4C">
      <w:pPr>
        <w:spacing w:line="360" w:lineRule="auto"/>
        <w:ind w:left="5" w:right="80" w:firstLine="432"/>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1</w:t>
      </w:r>
      <w:r>
        <w:rPr>
          <w:rFonts w:ascii="Times New Roman" w:hAnsi="Times New Roman" w:eastAsia="Times New Roman"/>
          <w:color w:val="auto"/>
          <w:highlight w:val="none"/>
        </w:rPr>
        <w:t xml:space="preserve">.10.3  </w:t>
      </w:r>
      <w:r>
        <w:rPr>
          <w:rFonts w:ascii="宋体" w:hAnsi="宋体" w:eastAsia="宋体"/>
          <w:color w:val="auto"/>
          <w:highlight w:val="none"/>
        </w:rPr>
        <w:t xml:space="preserve">投标预备会后，招标人将对投标人所提问题的澄清，以投标人须知前附表规定的形 </w:t>
      </w:r>
      <w:r>
        <w:rPr>
          <w:rFonts w:ascii="宋体" w:hAnsi="宋体" w:eastAsia="宋体"/>
          <w:color w:val="auto"/>
          <w:spacing w:val="-2"/>
          <w:highlight w:val="none"/>
        </w:rPr>
        <w:t>式通知所</w:t>
      </w:r>
      <w:r>
        <w:rPr>
          <w:rFonts w:hint="eastAsia" w:ascii="宋体" w:hAnsi="宋体" w:eastAsia="宋体"/>
          <w:color w:val="auto"/>
          <w:spacing w:val="-2"/>
          <w:highlight w:val="none"/>
        </w:rPr>
        <w:t>有潜在</w:t>
      </w:r>
      <w:r>
        <w:rPr>
          <w:rFonts w:ascii="宋体" w:hAnsi="宋体" w:eastAsia="宋体"/>
          <w:color w:val="auto"/>
          <w:spacing w:val="-1"/>
          <w:highlight w:val="none"/>
        </w:rPr>
        <w:t>投标人。该澄清内容为招标文件的组成部分。</w:t>
      </w:r>
    </w:p>
    <w:p w14:paraId="04D8F065">
      <w:pPr>
        <w:rPr>
          <w:color w:val="auto"/>
          <w:highlight w:val="none"/>
        </w:rPr>
        <w:sectPr>
          <w:footerReference r:id="rId8" w:type="default"/>
          <w:pgSz w:w="12240" w:h="15840"/>
          <w:pgMar w:top="1346" w:right="1725" w:bottom="1104" w:left="1807" w:header="0" w:footer="940" w:gutter="0"/>
          <w:cols w:space="720" w:num="1"/>
        </w:sectPr>
      </w:pPr>
    </w:p>
    <w:p w14:paraId="512F7A9A">
      <w:pPr>
        <w:rPr>
          <w:rFonts w:ascii="Times New Roman" w:hAnsi="Times New Roman" w:eastAsia="Times New Roman"/>
          <w:b/>
          <w:bCs/>
          <w:color w:val="auto"/>
          <w:spacing w:val="1"/>
          <w:sz w:val="27"/>
          <w:szCs w:val="27"/>
          <w:highlight w:val="none"/>
        </w:rPr>
      </w:pPr>
      <w:bookmarkStart w:id="82" w:name="_Toc30287"/>
      <w:bookmarkStart w:id="83" w:name="_Toc7302"/>
      <w:bookmarkStart w:id="84" w:name="_Toc27543"/>
      <w:bookmarkStart w:id="85" w:name="_Toc27217"/>
      <w:bookmarkStart w:id="86" w:name="_Toc27659"/>
      <w:r>
        <w:rPr>
          <w:rFonts w:ascii="Times New Roman" w:hAnsi="Times New Roman" w:eastAsia="Times New Roman"/>
          <w:b/>
          <w:bCs/>
          <w:color w:val="auto"/>
          <w:spacing w:val="1"/>
          <w:sz w:val="27"/>
          <w:szCs w:val="27"/>
          <w:highlight w:val="none"/>
        </w:rPr>
        <w:t xml:space="preserve">1.11  </w:t>
      </w:r>
      <w:r>
        <w:rPr>
          <w:rFonts w:hint="eastAsia" w:ascii="宋体" w:hAnsi="宋体" w:eastAsia="宋体" w:cs="宋体"/>
          <w:b/>
          <w:bCs/>
          <w:color w:val="auto"/>
          <w:spacing w:val="1"/>
          <w:sz w:val="27"/>
          <w:szCs w:val="27"/>
          <w:highlight w:val="none"/>
        </w:rPr>
        <w:t>分包</w:t>
      </w:r>
      <w:bookmarkEnd w:id="82"/>
      <w:bookmarkEnd w:id="83"/>
      <w:bookmarkEnd w:id="84"/>
      <w:bookmarkEnd w:id="85"/>
      <w:bookmarkEnd w:id="86"/>
    </w:p>
    <w:p w14:paraId="5ACB3D25">
      <w:pPr>
        <w:spacing w:before="68" w:line="352" w:lineRule="auto"/>
        <w:ind w:left="1" w:right="66" w:firstLine="435"/>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1</w:t>
      </w:r>
      <w:r>
        <w:rPr>
          <w:rFonts w:ascii="Times New Roman" w:hAnsi="Times New Roman" w:eastAsia="Times New Roman"/>
          <w:color w:val="auto"/>
          <w:highlight w:val="none"/>
        </w:rPr>
        <w:t xml:space="preserve">.11.1  </w:t>
      </w:r>
      <w:r>
        <w:rPr>
          <w:rFonts w:ascii="宋体" w:hAnsi="宋体" w:eastAsia="宋体"/>
          <w:color w:val="auto"/>
          <w:highlight w:val="none"/>
        </w:rPr>
        <w:t xml:space="preserve">投标人拟在中标后将中标项目的非主体、非关键性设计工作进行分包的，应符合投 </w:t>
      </w:r>
      <w:r>
        <w:rPr>
          <w:rFonts w:ascii="宋体" w:hAnsi="宋体" w:eastAsia="宋体"/>
          <w:color w:val="auto"/>
          <w:spacing w:val="1"/>
          <w:highlight w:val="none"/>
        </w:rPr>
        <w:t>标人须知前附表规定的分包内容</w:t>
      </w:r>
      <w:r>
        <w:rPr>
          <w:rFonts w:ascii="宋体" w:hAnsi="宋体" w:eastAsia="宋体"/>
          <w:color w:val="auto"/>
          <w:highlight w:val="none"/>
        </w:rPr>
        <w:t xml:space="preserve">、分包金额和资质要求等限制性条件，除投标人须知前附表规 </w:t>
      </w:r>
      <w:r>
        <w:rPr>
          <w:rFonts w:ascii="宋体" w:hAnsi="宋体" w:eastAsia="宋体"/>
          <w:color w:val="auto"/>
          <w:spacing w:val="-2"/>
          <w:highlight w:val="none"/>
        </w:rPr>
        <w:t>定的非主体、非关键性设计工</w:t>
      </w:r>
      <w:r>
        <w:rPr>
          <w:rFonts w:ascii="宋体" w:hAnsi="宋体" w:eastAsia="宋体"/>
          <w:color w:val="auto"/>
          <w:spacing w:val="-1"/>
          <w:highlight w:val="none"/>
        </w:rPr>
        <w:t>作外，其他工作不得分包。</w:t>
      </w:r>
    </w:p>
    <w:p w14:paraId="67F904E6">
      <w:pPr>
        <w:spacing w:line="359" w:lineRule="auto"/>
        <w:ind w:left="3" w:right="69" w:firstLine="433"/>
        <w:rPr>
          <w:rFonts w:hint="eastAsia" w:ascii="宋体" w:hAnsi="宋体" w:eastAsia="宋体"/>
          <w:color w:val="auto"/>
          <w:spacing w:val="-1"/>
          <w:highlight w:val="none"/>
        </w:rPr>
      </w:pPr>
      <w:r>
        <w:rPr>
          <w:rFonts w:ascii="Times New Roman" w:hAnsi="Times New Roman" w:eastAsia="Times New Roman"/>
          <w:color w:val="auto"/>
          <w:spacing w:val="2"/>
          <w:highlight w:val="none"/>
        </w:rPr>
        <w:t>1.11.2</w:t>
      </w:r>
      <w:r>
        <w:rPr>
          <w:rFonts w:ascii="Times New Roman" w:hAnsi="Times New Roman" w:eastAsia="Times New Roman"/>
          <w:color w:val="auto"/>
          <w:spacing w:val="1"/>
          <w:highlight w:val="none"/>
        </w:rPr>
        <w:t xml:space="preserve"> </w:t>
      </w:r>
      <w:r>
        <w:rPr>
          <w:rFonts w:ascii="宋体" w:hAnsi="宋体" w:eastAsia="宋体"/>
          <w:color w:val="auto"/>
          <w:spacing w:val="1"/>
          <w:highlight w:val="none"/>
        </w:rPr>
        <w:t>中标人不得向他人转让中标项目，接受分包的人不得再次分包。中标人应当就分包</w:t>
      </w:r>
      <w:r>
        <w:rPr>
          <w:rFonts w:ascii="宋体" w:hAnsi="宋体" w:eastAsia="宋体"/>
          <w:color w:val="auto"/>
          <w:highlight w:val="none"/>
        </w:rPr>
        <w:t xml:space="preserve"> </w:t>
      </w:r>
      <w:r>
        <w:rPr>
          <w:rFonts w:ascii="宋体" w:hAnsi="宋体" w:eastAsia="宋体"/>
          <w:color w:val="auto"/>
          <w:spacing w:val="-2"/>
          <w:highlight w:val="none"/>
        </w:rPr>
        <w:t>项目向招标人负责，接受分包</w:t>
      </w:r>
      <w:r>
        <w:rPr>
          <w:rFonts w:ascii="宋体" w:hAnsi="宋体" w:eastAsia="宋体"/>
          <w:color w:val="auto"/>
          <w:spacing w:val="-1"/>
          <w:highlight w:val="none"/>
        </w:rPr>
        <w:t>的人就分包项目承担连带责任。</w:t>
      </w:r>
    </w:p>
    <w:p w14:paraId="671C2ACF">
      <w:pPr>
        <w:pStyle w:val="9"/>
        <w:rPr>
          <w:rFonts w:eastAsiaTheme="minorEastAsia"/>
          <w:color w:val="auto"/>
          <w:highlight w:val="none"/>
        </w:rPr>
      </w:pPr>
    </w:p>
    <w:p w14:paraId="186AEECF">
      <w:pPr>
        <w:rPr>
          <w:rFonts w:ascii="Times New Roman" w:hAnsi="Times New Roman" w:eastAsia="Times New Roman"/>
          <w:b/>
          <w:bCs/>
          <w:color w:val="auto"/>
          <w:spacing w:val="1"/>
          <w:sz w:val="27"/>
          <w:szCs w:val="27"/>
          <w:highlight w:val="none"/>
        </w:rPr>
      </w:pPr>
      <w:bookmarkStart w:id="87" w:name="_Toc19834"/>
      <w:bookmarkStart w:id="88" w:name="_Toc23891"/>
      <w:bookmarkStart w:id="89" w:name="_Toc19091"/>
      <w:bookmarkStart w:id="90" w:name="_Toc17104"/>
      <w:bookmarkStart w:id="91" w:name="_Toc22166"/>
      <w:r>
        <w:rPr>
          <w:rFonts w:ascii="Times New Roman" w:hAnsi="Times New Roman" w:eastAsia="Times New Roman"/>
          <w:b/>
          <w:bCs/>
          <w:color w:val="auto"/>
          <w:spacing w:val="1"/>
          <w:sz w:val="27"/>
          <w:szCs w:val="27"/>
          <w:highlight w:val="none"/>
        </w:rPr>
        <w:t xml:space="preserve">1.12 </w:t>
      </w:r>
      <w:r>
        <w:rPr>
          <w:rFonts w:hint="eastAsia" w:ascii="宋体" w:hAnsi="宋体" w:eastAsia="宋体" w:cs="宋体"/>
          <w:b/>
          <w:bCs/>
          <w:color w:val="auto"/>
          <w:spacing w:val="1"/>
          <w:sz w:val="27"/>
          <w:szCs w:val="27"/>
          <w:highlight w:val="none"/>
        </w:rPr>
        <w:t>响应和偏差</w:t>
      </w:r>
      <w:bookmarkEnd w:id="87"/>
      <w:bookmarkEnd w:id="88"/>
      <w:bookmarkEnd w:id="89"/>
      <w:bookmarkEnd w:id="90"/>
      <w:bookmarkEnd w:id="91"/>
    </w:p>
    <w:p w14:paraId="45A60270">
      <w:pPr>
        <w:spacing w:before="68" w:line="352" w:lineRule="auto"/>
        <w:ind w:left="7" w:firstLine="429"/>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1.12.1</w:t>
      </w:r>
      <w:r>
        <w:rPr>
          <w:rFonts w:hint="eastAsia" w:ascii="Times New Roman" w:hAnsi="Times New Roman" w:eastAsia="宋体"/>
          <w:color w:val="auto"/>
          <w:spacing w:val="-1"/>
          <w:highlight w:val="none"/>
        </w:rPr>
        <w:t xml:space="preserve"> </w:t>
      </w:r>
      <w:r>
        <w:rPr>
          <w:rFonts w:ascii="宋体" w:hAnsi="宋体" w:eastAsia="宋体"/>
          <w:color w:val="auto"/>
          <w:spacing w:val="-1"/>
          <w:highlight w:val="none"/>
        </w:rPr>
        <w:t>投标文件应当对招标文件的实质性要求和条件作出满足性或更有利于招标人的</w:t>
      </w:r>
      <w:r>
        <w:rPr>
          <w:rFonts w:ascii="宋体" w:hAnsi="宋体" w:eastAsia="宋体"/>
          <w:color w:val="auto"/>
          <w:highlight w:val="none"/>
        </w:rPr>
        <w:t>响应</w:t>
      </w:r>
      <w:r>
        <w:rPr>
          <w:rFonts w:hint="eastAsia" w:ascii="宋体" w:hAnsi="宋体" w:eastAsia="宋体"/>
          <w:color w:val="auto"/>
          <w:highlight w:val="none"/>
        </w:rPr>
        <w:t>，</w:t>
      </w:r>
      <w:r>
        <w:rPr>
          <w:rFonts w:ascii="宋体" w:hAnsi="宋体" w:eastAsia="宋体"/>
          <w:color w:val="auto"/>
          <w:spacing w:val="-2"/>
          <w:highlight w:val="none"/>
        </w:rPr>
        <w:t>否则，投标人的投标将被</w:t>
      </w:r>
      <w:r>
        <w:rPr>
          <w:rFonts w:ascii="宋体" w:hAnsi="宋体" w:eastAsia="宋体"/>
          <w:color w:val="auto"/>
          <w:spacing w:val="-1"/>
          <w:highlight w:val="none"/>
        </w:rPr>
        <w:t>否决。</w:t>
      </w:r>
      <w:r>
        <w:rPr>
          <w:rFonts w:hint="eastAsia" w:ascii="宋体" w:hAnsi="宋体" w:eastAsia="宋体"/>
          <w:bCs/>
          <w:color w:val="auto"/>
          <w:highlight w:val="none"/>
        </w:rPr>
        <w:t>实质性要求和条件见投标人须知前附表。</w:t>
      </w:r>
    </w:p>
    <w:p w14:paraId="43634F3D">
      <w:pPr>
        <w:spacing w:before="68" w:line="352" w:lineRule="auto"/>
        <w:ind w:left="7" w:firstLine="429"/>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1.12.2  投标人应根据招标文件的要求提供投标</w:t>
      </w:r>
      <w:r>
        <w:rPr>
          <w:rFonts w:hint="eastAsia" w:ascii="Times New Roman" w:hAnsi="Times New Roman" w:eastAsia="Times New Roman"/>
          <w:color w:val="auto"/>
          <w:spacing w:val="-1"/>
          <w:highlight w:val="none"/>
        </w:rPr>
        <w:t>勘察</w:t>
      </w:r>
      <w:r>
        <w:rPr>
          <w:rFonts w:ascii="Times New Roman" w:hAnsi="Times New Roman" w:eastAsia="Times New Roman"/>
          <w:color w:val="auto"/>
          <w:spacing w:val="-1"/>
          <w:highlight w:val="none"/>
        </w:rPr>
        <w:t>设计方案等内容以对招标文件作出响应</w:t>
      </w:r>
      <w:r>
        <w:rPr>
          <w:rFonts w:hint="eastAsia" w:ascii="Times New Roman" w:hAnsi="Times New Roman" w:eastAsia="宋体"/>
          <w:color w:val="auto"/>
          <w:spacing w:val="-1"/>
          <w:highlight w:val="none"/>
        </w:rPr>
        <w:t>。</w:t>
      </w:r>
    </w:p>
    <w:p w14:paraId="191934D5">
      <w:pPr>
        <w:spacing w:before="68" w:line="352" w:lineRule="auto"/>
        <w:ind w:left="7" w:firstLine="429"/>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1.12.3 投标人须知前附表允许投标文件偏离招标文件某些要求的，偏差应当符合招标文件 规定的偏差范围和幅度。</w:t>
      </w:r>
    </w:p>
    <w:p w14:paraId="1224976F">
      <w:pPr>
        <w:pStyle w:val="26"/>
        <w:spacing w:before="120" w:after="120"/>
        <w:outlineLvl w:val="9"/>
        <w:rPr>
          <w:rFonts w:ascii="Times New Roman" w:hAnsi="Times New Roman" w:eastAsia="Times New Roman"/>
          <w:bCs/>
          <w:color w:val="auto"/>
          <w:spacing w:val="7"/>
          <w:sz w:val="31"/>
          <w:szCs w:val="31"/>
          <w:highlight w:val="none"/>
        </w:rPr>
      </w:pPr>
      <w:bookmarkStart w:id="92" w:name="_Toc19859"/>
      <w:bookmarkStart w:id="93" w:name="_Toc27910"/>
      <w:bookmarkStart w:id="94" w:name="_Toc7606"/>
      <w:bookmarkStart w:id="95" w:name="_Toc19722"/>
      <w:bookmarkStart w:id="96" w:name="_Toc22139"/>
      <w:r>
        <w:rPr>
          <w:rFonts w:ascii="Times New Roman" w:hAnsi="Times New Roman" w:eastAsia="Times New Roman"/>
          <w:bCs/>
          <w:color w:val="auto"/>
          <w:spacing w:val="7"/>
          <w:sz w:val="31"/>
          <w:szCs w:val="31"/>
          <w:highlight w:val="none"/>
        </w:rPr>
        <w:t>2</w:t>
      </w:r>
      <w:r>
        <w:rPr>
          <w:rFonts w:ascii="Times New Roman" w:hAnsi="Times New Roman" w:eastAsia="Times New Roman"/>
          <w:bCs/>
          <w:color w:val="auto"/>
          <w:spacing w:val="6"/>
          <w:sz w:val="31"/>
          <w:szCs w:val="31"/>
          <w:highlight w:val="none"/>
        </w:rPr>
        <w:t>.</w:t>
      </w:r>
      <w:r>
        <w:rPr>
          <w:rFonts w:ascii="Times New Roman" w:hAnsi="Times New Roman" w:eastAsia="Times New Roman"/>
          <w:color w:val="auto"/>
          <w:spacing w:val="6"/>
          <w:sz w:val="31"/>
          <w:szCs w:val="31"/>
          <w:highlight w:val="none"/>
        </w:rPr>
        <w:t xml:space="preserve">  </w:t>
      </w:r>
      <w:r>
        <w:rPr>
          <w:rFonts w:ascii="黑体" w:hAnsi="黑体" w:eastAsia="黑体"/>
          <w:color w:val="auto"/>
          <w:spacing w:val="6"/>
          <w:sz w:val="31"/>
          <w:szCs w:val="31"/>
          <w:highlight w:val="none"/>
        </w:rPr>
        <w:t>招标文件</w:t>
      </w:r>
      <w:bookmarkEnd w:id="92"/>
      <w:bookmarkEnd w:id="93"/>
      <w:bookmarkEnd w:id="94"/>
      <w:bookmarkEnd w:id="95"/>
      <w:bookmarkEnd w:id="96"/>
    </w:p>
    <w:p w14:paraId="505700DB">
      <w:pPr>
        <w:rPr>
          <w:rFonts w:ascii="Times New Roman" w:hAnsi="Times New Roman" w:eastAsia="Times New Roman"/>
          <w:color w:val="auto"/>
          <w:spacing w:val="7"/>
          <w:sz w:val="27"/>
          <w:szCs w:val="27"/>
          <w:highlight w:val="none"/>
        </w:rPr>
      </w:pPr>
      <w:bookmarkStart w:id="97" w:name="_Toc22902"/>
      <w:bookmarkStart w:id="98" w:name="_Toc27677"/>
      <w:bookmarkStart w:id="99" w:name="_Toc29880"/>
      <w:bookmarkStart w:id="100" w:name="_Toc31379"/>
      <w:bookmarkStart w:id="101" w:name="_Toc5178"/>
      <w:r>
        <w:rPr>
          <w:rFonts w:ascii="Times New Roman" w:hAnsi="Times New Roman" w:eastAsia="Times New Roman"/>
          <w:color w:val="auto"/>
          <w:spacing w:val="7"/>
          <w:sz w:val="27"/>
          <w:szCs w:val="27"/>
          <w:highlight w:val="none"/>
        </w:rPr>
        <w:t xml:space="preserve">2.1  </w:t>
      </w:r>
      <w:r>
        <w:rPr>
          <w:rFonts w:ascii="黑体" w:hAnsi="黑体" w:eastAsia="黑体"/>
          <w:color w:val="auto"/>
          <w:spacing w:val="7"/>
          <w:sz w:val="27"/>
          <w:szCs w:val="27"/>
          <w:highlight w:val="none"/>
        </w:rPr>
        <w:t>招标文件的组</w:t>
      </w:r>
      <w:r>
        <w:rPr>
          <w:rFonts w:ascii="黑体" w:hAnsi="黑体" w:eastAsia="黑体"/>
          <w:color w:val="auto"/>
          <w:spacing w:val="5"/>
          <w:sz w:val="27"/>
          <w:szCs w:val="27"/>
          <w:highlight w:val="none"/>
        </w:rPr>
        <w:t>成</w:t>
      </w:r>
      <w:bookmarkEnd w:id="97"/>
      <w:bookmarkEnd w:id="98"/>
      <w:bookmarkEnd w:id="99"/>
      <w:bookmarkEnd w:id="100"/>
      <w:bookmarkEnd w:id="101"/>
    </w:p>
    <w:p w14:paraId="5B60B205">
      <w:pPr>
        <w:spacing w:before="69" w:line="220" w:lineRule="auto"/>
        <w:ind w:left="360"/>
        <w:rPr>
          <w:rFonts w:hint="eastAsia" w:ascii="宋体" w:hAnsi="宋体" w:eastAsia="宋体"/>
          <w:color w:val="auto"/>
          <w:spacing w:val="-9"/>
          <w:highlight w:val="none"/>
        </w:rPr>
      </w:pPr>
      <w:r>
        <w:rPr>
          <w:rFonts w:ascii="宋体" w:hAnsi="宋体" w:eastAsia="宋体"/>
          <w:color w:val="auto"/>
          <w:spacing w:val="-9"/>
          <w:highlight w:val="none"/>
        </w:rPr>
        <w:t>本</w:t>
      </w:r>
      <w:r>
        <w:rPr>
          <w:rFonts w:ascii="宋体" w:hAnsi="宋体" w:eastAsia="宋体"/>
          <w:color w:val="auto"/>
          <w:spacing w:val="-6"/>
          <w:highlight w:val="none"/>
        </w:rPr>
        <w:t>招标文件包括：</w:t>
      </w:r>
    </w:p>
    <w:p w14:paraId="34B08A49">
      <w:pPr>
        <w:spacing w:before="149" w:line="219" w:lineRule="auto"/>
        <w:ind w:left="364"/>
        <w:rPr>
          <w:rFonts w:hint="eastAsia" w:ascii="宋体" w:hAnsi="宋体" w:eastAsia="宋体"/>
          <w:color w:val="auto"/>
          <w:spacing w:val="18"/>
          <w:highlight w:val="none"/>
        </w:rPr>
      </w:pPr>
      <w:r>
        <w:rPr>
          <w:rFonts w:ascii="宋体" w:hAnsi="宋体" w:eastAsia="宋体"/>
          <w:color w:val="auto"/>
          <w:spacing w:val="18"/>
          <w:highlight w:val="none"/>
        </w:rPr>
        <w:t>(</w:t>
      </w:r>
      <w:r>
        <w:rPr>
          <w:rFonts w:ascii="Times New Roman" w:hAnsi="Times New Roman" w:eastAsia="Times New Roman"/>
          <w:color w:val="auto"/>
          <w:spacing w:val="18"/>
          <w:highlight w:val="none"/>
        </w:rPr>
        <w:t>1</w:t>
      </w:r>
      <w:r>
        <w:rPr>
          <w:rFonts w:ascii="宋体" w:hAnsi="宋体" w:eastAsia="宋体"/>
          <w:color w:val="auto"/>
          <w:spacing w:val="18"/>
          <w:highlight w:val="none"/>
        </w:rPr>
        <w:t>)招标公告</w:t>
      </w:r>
      <w:r>
        <w:rPr>
          <w:rFonts w:ascii="宋体" w:hAnsi="宋体" w:eastAsia="宋体"/>
          <w:color w:val="auto"/>
          <w:spacing w:val="17"/>
          <w:highlight w:val="none"/>
        </w:rPr>
        <w:t>；</w:t>
      </w:r>
    </w:p>
    <w:p w14:paraId="597635ED">
      <w:pPr>
        <w:spacing w:before="152" w:line="220" w:lineRule="auto"/>
        <w:ind w:left="364"/>
        <w:rPr>
          <w:rFonts w:hint="eastAsia" w:ascii="宋体" w:hAnsi="宋体" w:eastAsia="宋体"/>
          <w:color w:val="auto"/>
          <w:spacing w:val="20"/>
          <w:highlight w:val="none"/>
        </w:rPr>
      </w:pPr>
      <w:r>
        <w:rPr>
          <w:rFonts w:ascii="宋体" w:hAnsi="宋体" w:eastAsia="宋体"/>
          <w:color w:val="auto"/>
          <w:spacing w:val="20"/>
          <w:highlight w:val="none"/>
        </w:rPr>
        <w:t>(</w:t>
      </w:r>
      <w:r>
        <w:rPr>
          <w:rFonts w:ascii="Times New Roman" w:hAnsi="Times New Roman" w:eastAsia="Times New Roman"/>
          <w:color w:val="auto"/>
          <w:spacing w:val="16"/>
          <w:highlight w:val="none"/>
        </w:rPr>
        <w:t>2</w:t>
      </w:r>
      <w:r>
        <w:rPr>
          <w:rFonts w:ascii="宋体" w:hAnsi="宋体" w:eastAsia="宋体"/>
          <w:color w:val="auto"/>
          <w:spacing w:val="16"/>
          <w:highlight w:val="none"/>
        </w:rPr>
        <w:t>)投标人须知；</w:t>
      </w:r>
    </w:p>
    <w:p w14:paraId="34694038">
      <w:pPr>
        <w:spacing w:before="150" w:line="220" w:lineRule="auto"/>
        <w:ind w:left="364"/>
        <w:rPr>
          <w:rFonts w:hint="eastAsia" w:ascii="宋体" w:hAnsi="宋体" w:eastAsia="宋体"/>
          <w:color w:val="auto"/>
          <w:spacing w:val="22"/>
          <w:highlight w:val="none"/>
        </w:rPr>
      </w:pPr>
      <w:r>
        <w:rPr>
          <w:rFonts w:ascii="宋体" w:hAnsi="宋体" w:eastAsia="宋体"/>
          <w:color w:val="auto"/>
          <w:spacing w:val="22"/>
          <w:highlight w:val="none"/>
        </w:rPr>
        <w:t>(</w:t>
      </w:r>
      <w:r>
        <w:rPr>
          <w:rFonts w:ascii="Times New Roman" w:hAnsi="Times New Roman" w:eastAsia="Times New Roman"/>
          <w:color w:val="auto"/>
          <w:spacing w:val="18"/>
          <w:highlight w:val="none"/>
        </w:rPr>
        <w:t>3</w:t>
      </w:r>
      <w:r>
        <w:rPr>
          <w:rFonts w:ascii="宋体" w:hAnsi="宋体" w:eastAsia="宋体"/>
          <w:color w:val="auto"/>
          <w:spacing w:val="18"/>
          <w:highlight w:val="none"/>
        </w:rPr>
        <w:t>)评标办法；</w:t>
      </w:r>
    </w:p>
    <w:p w14:paraId="14239108">
      <w:pPr>
        <w:spacing w:before="148" w:line="220" w:lineRule="auto"/>
        <w:ind w:left="364"/>
        <w:rPr>
          <w:rFonts w:hint="eastAsia" w:ascii="宋体" w:hAnsi="宋体" w:eastAsia="宋体"/>
          <w:color w:val="auto"/>
          <w:spacing w:val="18"/>
          <w:highlight w:val="none"/>
        </w:rPr>
      </w:pPr>
      <w:r>
        <w:rPr>
          <w:rFonts w:ascii="宋体" w:hAnsi="宋体" w:eastAsia="宋体"/>
          <w:color w:val="auto"/>
          <w:spacing w:val="18"/>
          <w:highlight w:val="none"/>
        </w:rPr>
        <w:t>(</w:t>
      </w:r>
      <w:r>
        <w:rPr>
          <w:rFonts w:ascii="Times New Roman" w:hAnsi="Times New Roman" w:eastAsia="Times New Roman"/>
          <w:color w:val="auto"/>
          <w:spacing w:val="13"/>
          <w:highlight w:val="none"/>
        </w:rPr>
        <w:t>4</w:t>
      </w:r>
      <w:r>
        <w:rPr>
          <w:rFonts w:ascii="宋体" w:hAnsi="宋体" w:eastAsia="宋体"/>
          <w:color w:val="auto"/>
          <w:spacing w:val="13"/>
          <w:highlight w:val="none"/>
        </w:rPr>
        <w:t>)合同条款及格式；</w:t>
      </w:r>
    </w:p>
    <w:p w14:paraId="2B02273C">
      <w:pPr>
        <w:spacing w:before="151" w:line="221" w:lineRule="auto"/>
        <w:ind w:left="364"/>
        <w:rPr>
          <w:rFonts w:hint="eastAsia" w:ascii="宋体" w:hAnsi="宋体" w:eastAsia="宋体"/>
          <w:color w:val="auto"/>
          <w:spacing w:val="20"/>
          <w:highlight w:val="none"/>
        </w:rPr>
      </w:pPr>
      <w:r>
        <w:rPr>
          <w:rFonts w:ascii="宋体" w:hAnsi="宋体" w:eastAsia="宋体"/>
          <w:color w:val="auto"/>
          <w:spacing w:val="20"/>
          <w:highlight w:val="none"/>
        </w:rPr>
        <w:t>(</w:t>
      </w:r>
      <w:r>
        <w:rPr>
          <w:rFonts w:ascii="Times New Roman" w:hAnsi="Times New Roman" w:eastAsia="Times New Roman"/>
          <w:color w:val="auto"/>
          <w:spacing w:val="16"/>
          <w:highlight w:val="none"/>
        </w:rPr>
        <w:t>5</w:t>
      </w:r>
      <w:r>
        <w:rPr>
          <w:rFonts w:ascii="宋体" w:hAnsi="宋体" w:eastAsia="宋体"/>
          <w:color w:val="auto"/>
          <w:spacing w:val="16"/>
          <w:highlight w:val="none"/>
        </w:rPr>
        <w:t>)发包人要求；</w:t>
      </w:r>
    </w:p>
    <w:p w14:paraId="2D706DBE">
      <w:pPr>
        <w:spacing w:before="148" w:line="220" w:lineRule="auto"/>
        <w:ind w:left="364"/>
        <w:rPr>
          <w:rFonts w:hint="eastAsia" w:ascii="宋体" w:hAnsi="宋体" w:eastAsia="宋体"/>
          <w:color w:val="auto"/>
          <w:spacing w:val="15"/>
          <w:highlight w:val="none"/>
        </w:rPr>
      </w:pPr>
      <w:r>
        <w:rPr>
          <w:rFonts w:ascii="宋体" w:hAnsi="宋体" w:eastAsia="宋体"/>
          <w:color w:val="auto"/>
          <w:spacing w:val="15"/>
          <w:highlight w:val="none"/>
        </w:rPr>
        <w:t>(</w:t>
      </w:r>
      <w:r>
        <w:rPr>
          <w:rFonts w:ascii="Times New Roman" w:hAnsi="Times New Roman" w:eastAsia="Times New Roman"/>
          <w:color w:val="auto"/>
          <w:spacing w:val="15"/>
          <w:highlight w:val="none"/>
        </w:rPr>
        <w:t>6</w:t>
      </w:r>
      <w:r>
        <w:rPr>
          <w:rFonts w:ascii="宋体" w:hAnsi="宋体" w:eastAsia="宋体"/>
          <w:color w:val="auto"/>
          <w:spacing w:val="15"/>
          <w:highlight w:val="none"/>
        </w:rPr>
        <w:t>)投标文件格式</w:t>
      </w:r>
      <w:r>
        <w:rPr>
          <w:rFonts w:ascii="宋体" w:hAnsi="宋体" w:eastAsia="宋体"/>
          <w:color w:val="auto"/>
          <w:spacing w:val="13"/>
          <w:highlight w:val="none"/>
        </w:rPr>
        <w:t>；</w:t>
      </w:r>
    </w:p>
    <w:p w14:paraId="3F90824C">
      <w:pPr>
        <w:spacing w:before="150" w:line="218" w:lineRule="auto"/>
        <w:ind w:left="364"/>
        <w:rPr>
          <w:rFonts w:hint="eastAsia" w:ascii="宋体" w:hAnsi="宋体" w:eastAsia="宋体"/>
          <w:color w:val="auto"/>
          <w:spacing w:val="16"/>
          <w:highlight w:val="none"/>
        </w:rPr>
      </w:pPr>
      <w:r>
        <w:rPr>
          <w:rFonts w:ascii="宋体" w:hAnsi="宋体" w:eastAsia="宋体"/>
          <w:color w:val="auto"/>
          <w:spacing w:val="16"/>
          <w:highlight w:val="none"/>
        </w:rPr>
        <w:t>(</w:t>
      </w:r>
      <w:r>
        <w:rPr>
          <w:rFonts w:ascii="Times New Roman" w:hAnsi="Times New Roman" w:eastAsia="Times New Roman"/>
          <w:color w:val="auto"/>
          <w:spacing w:val="15"/>
          <w:highlight w:val="none"/>
        </w:rPr>
        <w:t>7</w:t>
      </w:r>
      <w:r>
        <w:rPr>
          <w:rFonts w:ascii="宋体" w:hAnsi="宋体" w:eastAsia="宋体"/>
          <w:color w:val="auto"/>
          <w:spacing w:val="8"/>
          <w:highlight w:val="none"/>
        </w:rPr>
        <w:t>)</w:t>
      </w:r>
      <w:r>
        <w:rPr>
          <w:rFonts w:hint="eastAsia" w:ascii="宋体" w:hAnsi="宋体" w:eastAsia="宋体"/>
          <w:color w:val="auto"/>
          <w:spacing w:val="8"/>
          <w:highlight w:val="none"/>
        </w:rPr>
        <w:t>投标人须知前附表规定的</w:t>
      </w:r>
      <w:r>
        <w:rPr>
          <w:rFonts w:ascii="宋体" w:hAnsi="宋体" w:eastAsia="宋体"/>
          <w:color w:val="auto"/>
          <w:spacing w:val="8"/>
          <w:highlight w:val="none"/>
        </w:rPr>
        <w:t>其他资料。</w:t>
      </w:r>
    </w:p>
    <w:p w14:paraId="64C75AEB">
      <w:pPr>
        <w:spacing w:before="154" w:line="360" w:lineRule="auto"/>
        <w:ind w:left="3" w:right="65" w:firstLine="417"/>
        <w:rPr>
          <w:rFonts w:hint="eastAsia" w:ascii="宋体" w:hAnsi="宋体" w:eastAsia="宋体"/>
          <w:color w:val="auto"/>
          <w:spacing w:val="-6"/>
          <w:highlight w:val="none"/>
        </w:rPr>
      </w:pPr>
      <w:r>
        <w:rPr>
          <w:rFonts w:ascii="宋体" w:hAnsi="宋体" w:eastAsia="宋体"/>
          <w:color w:val="auto"/>
          <w:spacing w:val="-2"/>
          <w:highlight w:val="none"/>
        </w:rPr>
        <w:t xml:space="preserve">根据本章第 </w:t>
      </w:r>
      <w:r>
        <w:rPr>
          <w:rFonts w:ascii="Times New Roman" w:hAnsi="Times New Roman" w:eastAsia="Times New Roman"/>
          <w:color w:val="auto"/>
          <w:spacing w:val="-2"/>
          <w:highlight w:val="none"/>
        </w:rPr>
        <w:t xml:space="preserve">1.10 </w:t>
      </w:r>
      <w:r>
        <w:rPr>
          <w:rFonts w:ascii="宋体" w:hAnsi="宋体" w:eastAsia="宋体"/>
          <w:color w:val="auto"/>
          <w:spacing w:val="-2"/>
          <w:highlight w:val="none"/>
        </w:rPr>
        <w:t xml:space="preserve">款、第 </w:t>
      </w:r>
      <w:r>
        <w:rPr>
          <w:rFonts w:ascii="Times New Roman" w:hAnsi="Times New Roman" w:eastAsia="Times New Roman"/>
          <w:color w:val="auto"/>
          <w:spacing w:val="-2"/>
          <w:highlight w:val="none"/>
        </w:rPr>
        <w:t xml:space="preserve">2.2 </w:t>
      </w:r>
      <w:r>
        <w:rPr>
          <w:rFonts w:ascii="宋体" w:hAnsi="宋体" w:eastAsia="宋体"/>
          <w:color w:val="auto"/>
          <w:spacing w:val="-2"/>
          <w:highlight w:val="none"/>
        </w:rPr>
        <w:t xml:space="preserve">款和第 </w:t>
      </w:r>
      <w:r>
        <w:rPr>
          <w:rFonts w:ascii="Times New Roman" w:hAnsi="Times New Roman" w:eastAsia="Times New Roman"/>
          <w:color w:val="auto"/>
          <w:spacing w:val="-2"/>
          <w:highlight w:val="none"/>
        </w:rPr>
        <w:t xml:space="preserve">2.3 </w:t>
      </w:r>
      <w:r>
        <w:rPr>
          <w:rFonts w:ascii="宋体" w:hAnsi="宋体" w:eastAsia="宋体"/>
          <w:color w:val="auto"/>
          <w:spacing w:val="-2"/>
          <w:highlight w:val="none"/>
        </w:rPr>
        <w:t>款对招标文件所作的澄清、修</w:t>
      </w:r>
      <w:r>
        <w:rPr>
          <w:rFonts w:ascii="宋体" w:hAnsi="宋体" w:eastAsia="宋体"/>
          <w:color w:val="auto"/>
          <w:spacing w:val="-1"/>
          <w:highlight w:val="none"/>
        </w:rPr>
        <w:t>改，构成招标文件的</w:t>
      </w:r>
      <w:r>
        <w:rPr>
          <w:rFonts w:ascii="宋体" w:hAnsi="宋体" w:eastAsia="宋体"/>
          <w:color w:val="auto"/>
          <w:highlight w:val="none"/>
        </w:rPr>
        <w:t xml:space="preserve"> </w:t>
      </w:r>
      <w:r>
        <w:rPr>
          <w:rFonts w:ascii="宋体" w:hAnsi="宋体" w:eastAsia="宋体"/>
          <w:color w:val="auto"/>
          <w:spacing w:val="-9"/>
          <w:highlight w:val="none"/>
        </w:rPr>
        <w:t>组</w:t>
      </w:r>
      <w:r>
        <w:rPr>
          <w:rFonts w:ascii="宋体" w:hAnsi="宋体" w:eastAsia="宋体"/>
          <w:color w:val="auto"/>
          <w:spacing w:val="-6"/>
          <w:highlight w:val="none"/>
        </w:rPr>
        <w:t>成部分。</w:t>
      </w:r>
    </w:p>
    <w:p w14:paraId="24AAEBD8">
      <w:pPr>
        <w:pStyle w:val="9"/>
        <w:rPr>
          <w:rFonts w:eastAsiaTheme="minorEastAsia"/>
          <w:color w:val="auto"/>
          <w:highlight w:val="none"/>
        </w:rPr>
      </w:pPr>
    </w:p>
    <w:p w14:paraId="41316D22">
      <w:pPr>
        <w:rPr>
          <w:rFonts w:ascii="Times New Roman" w:hAnsi="Times New Roman" w:eastAsia="Times New Roman"/>
          <w:color w:val="auto"/>
          <w:spacing w:val="7"/>
          <w:sz w:val="27"/>
          <w:szCs w:val="27"/>
          <w:highlight w:val="none"/>
        </w:rPr>
      </w:pPr>
      <w:bookmarkStart w:id="102" w:name="_Toc32188"/>
      <w:bookmarkStart w:id="103" w:name="_Toc3229"/>
      <w:bookmarkStart w:id="104" w:name="_Toc22758"/>
      <w:bookmarkStart w:id="105" w:name="_Toc5697"/>
      <w:bookmarkStart w:id="106" w:name="_Toc22940"/>
      <w:r>
        <w:rPr>
          <w:rFonts w:ascii="Times New Roman" w:hAnsi="Times New Roman" w:eastAsia="Times New Roman"/>
          <w:color w:val="auto"/>
          <w:spacing w:val="7"/>
          <w:sz w:val="27"/>
          <w:szCs w:val="27"/>
          <w:highlight w:val="none"/>
        </w:rPr>
        <w:t xml:space="preserve">2.2  </w:t>
      </w:r>
      <w:r>
        <w:rPr>
          <w:rFonts w:ascii="黑体" w:hAnsi="黑体" w:eastAsia="黑体"/>
          <w:color w:val="auto"/>
          <w:spacing w:val="7"/>
          <w:sz w:val="27"/>
          <w:szCs w:val="27"/>
          <w:highlight w:val="none"/>
        </w:rPr>
        <w:t>招标文件的</w:t>
      </w:r>
      <w:r>
        <w:rPr>
          <w:rFonts w:hint="eastAsia" w:ascii="黑体" w:hAnsi="黑体" w:eastAsia="黑体"/>
          <w:color w:val="auto"/>
          <w:spacing w:val="7"/>
          <w:sz w:val="27"/>
          <w:szCs w:val="27"/>
          <w:highlight w:val="none"/>
        </w:rPr>
        <w:t>答疑</w:t>
      </w:r>
      <w:bookmarkEnd w:id="102"/>
      <w:bookmarkEnd w:id="103"/>
      <w:bookmarkEnd w:id="104"/>
      <w:bookmarkEnd w:id="105"/>
      <w:bookmarkEnd w:id="106"/>
    </w:p>
    <w:p w14:paraId="6D9F8545">
      <w:pPr>
        <w:spacing w:before="2" w:line="351" w:lineRule="auto"/>
        <w:ind w:left="6" w:right="1" w:firstLine="412"/>
        <w:rPr>
          <w:rFonts w:ascii="Times New Roman" w:hAnsi="Times New Roman" w:eastAsia="Times New Roman"/>
          <w:color w:val="auto"/>
          <w:spacing w:val="-3"/>
          <w:highlight w:val="none"/>
        </w:rPr>
      </w:pPr>
      <w:r>
        <w:rPr>
          <w:rFonts w:ascii="Times New Roman" w:hAnsi="Times New Roman" w:eastAsia="Times New Roman"/>
          <w:color w:val="auto"/>
          <w:spacing w:val="-3"/>
          <w:highlight w:val="none"/>
        </w:rPr>
        <w:t>2.2.1  投标人应仔细阅读和检查招标文件的全部内容。如有疑问，应按投标人须知前附表规定的时间和形式将提出的问题送达招标人，要求招标人对招标文件予以澄清。</w:t>
      </w:r>
    </w:p>
    <w:p w14:paraId="2D05A9C2">
      <w:pPr>
        <w:spacing w:before="2" w:line="351" w:lineRule="auto"/>
        <w:ind w:left="6" w:right="1" w:firstLine="412"/>
        <w:rPr>
          <w:rFonts w:ascii="Times New Roman" w:hAnsi="Times New Roman" w:eastAsia="Times New Roman"/>
          <w:color w:val="auto"/>
          <w:spacing w:val="-3"/>
          <w:highlight w:val="none"/>
        </w:rPr>
      </w:pPr>
      <w:r>
        <w:rPr>
          <w:rFonts w:ascii="Times New Roman" w:hAnsi="Times New Roman" w:eastAsia="Times New Roman"/>
          <w:color w:val="auto"/>
          <w:spacing w:val="-3"/>
          <w:highlight w:val="none"/>
        </w:rPr>
        <w:t>2.2.2招标答疑采用网上答疑方式进行。投标人若对招标文件有疑问的，</w:t>
      </w:r>
      <w:r>
        <w:rPr>
          <w:rFonts w:hint="eastAsia" w:ascii="Times New Roman" w:hAnsi="Times New Roman" w:eastAsia="Times New Roman"/>
          <w:color w:val="auto"/>
          <w:spacing w:val="-3"/>
          <w:highlight w:val="none"/>
        </w:rPr>
        <w:t>通过</w:t>
      </w:r>
      <w:r>
        <w:rPr>
          <w:rFonts w:hint="eastAsia" w:ascii="Times New Roman" w:hAnsi="Times New Roman" w:eastAsia="宋体"/>
          <w:color w:val="auto"/>
          <w:spacing w:val="-3"/>
          <w:highlight w:val="none"/>
        </w:rPr>
        <w:t>广州交易集团有限公司（广州公共资源交易中心）</w:t>
      </w:r>
      <w:r>
        <w:rPr>
          <w:rFonts w:hint="eastAsia" w:ascii="Times New Roman" w:hAnsi="Times New Roman" w:eastAsia="Times New Roman"/>
          <w:color w:val="auto"/>
          <w:spacing w:val="-3"/>
          <w:highlight w:val="none"/>
        </w:rPr>
        <w:t>网站提交，应按照</w:t>
      </w:r>
      <w:r>
        <w:rPr>
          <w:rFonts w:hint="eastAsia" w:ascii="Times New Roman" w:hAnsi="Times New Roman" w:eastAsia="宋体"/>
          <w:color w:val="auto"/>
          <w:spacing w:val="-3"/>
          <w:highlight w:val="none"/>
        </w:rPr>
        <w:t>广州交易集团有限公司（广州公共资源交易中心）</w:t>
      </w:r>
      <w:r>
        <w:rPr>
          <w:rFonts w:hint="eastAsia" w:ascii="Times New Roman" w:hAnsi="Times New Roman" w:eastAsia="Times New Roman"/>
          <w:color w:val="auto"/>
          <w:spacing w:val="-3"/>
          <w:highlight w:val="none"/>
        </w:rPr>
        <w:t>网站关于全流程电子化项目的相关指南进行操作。提问一律不得署名。</w:t>
      </w:r>
    </w:p>
    <w:p w14:paraId="7A19C46E">
      <w:pPr>
        <w:spacing w:before="2" w:line="351" w:lineRule="auto"/>
        <w:ind w:left="6" w:right="1" w:firstLine="412"/>
        <w:rPr>
          <w:rFonts w:ascii="Times New Roman" w:hAnsi="Times New Roman" w:eastAsia="Times New Roman"/>
          <w:color w:val="auto"/>
          <w:spacing w:val="-3"/>
          <w:highlight w:val="none"/>
        </w:rPr>
      </w:pPr>
      <w:r>
        <w:rPr>
          <w:rFonts w:ascii="Times New Roman" w:hAnsi="Times New Roman" w:eastAsia="Times New Roman"/>
          <w:color w:val="auto"/>
          <w:spacing w:val="-3"/>
          <w:highlight w:val="none"/>
        </w:rPr>
        <w:t xml:space="preserve">2.2.3  </w:t>
      </w:r>
      <w:r>
        <w:rPr>
          <w:rFonts w:hint="eastAsia" w:ascii="Times New Roman" w:hAnsi="Times New Roman" w:eastAsia="Times New Roman"/>
          <w:color w:val="auto"/>
          <w:spacing w:val="-3"/>
          <w:highlight w:val="none"/>
        </w:rPr>
        <w:t>招标答疑会会议纪要将在提交投标文件截止时间 15 日前在</w:t>
      </w:r>
      <w:r>
        <w:rPr>
          <w:rFonts w:hint="eastAsia" w:ascii="Times New Roman" w:hAnsi="Times New Roman" w:eastAsia="宋体"/>
          <w:color w:val="auto"/>
          <w:spacing w:val="-3"/>
          <w:highlight w:val="none"/>
        </w:rPr>
        <w:t>广州交易集团有限公司（广州公共资源交易中心）</w:t>
      </w:r>
      <w:r>
        <w:rPr>
          <w:rFonts w:hint="eastAsia" w:ascii="Times New Roman" w:hAnsi="Times New Roman" w:eastAsia="Times New Roman"/>
          <w:color w:val="auto"/>
          <w:spacing w:val="-3"/>
          <w:highlight w:val="none"/>
        </w:rPr>
        <w:t>网站“项目答疑纪要”专区公开发布。答疑纪要一经在</w:t>
      </w:r>
      <w:r>
        <w:rPr>
          <w:rFonts w:hint="eastAsia" w:ascii="Times New Roman" w:hAnsi="Times New Roman" w:eastAsia="宋体"/>
          <w:color w:val="auto"/>
          <w:spacing w:val="-3"/>
          <w:highlight w:val="none"/>
        </w:rPr>
        <w:t>广州交易集团有限公司（广州公共资源交易中心）</w:t>
      </w:r>
      <w:r>
        <w:rPr>
          <w:rFonts w:hint="eastAsia" w:ascii="Times New Roman" w:hAnsi="Times New Roman" w:eastAsia="Times New Roman"/>
          <w:color w:val="auto"/>
          <w:spacing w:val="-3"/>
          <w:highlight w:val="none"/>
        </w:rPr>
        <w:t>网站发布，视作已发放给所有投标人</w:t>
      </w:r>
      <w:r>
        <w:rPr>
          <w:rFonts w:hint="eastAsia" w:ascii="Times New Roman" w:hAnsi="Times New Roman" w:eastAsia="宋体"/>
          <w:color w:val="auto"/>
          <w:spacing w:val="-3"/>
          <w:highlight w:val="none"/>
        </w:rPr>
        <w:t>。</w:t>
      </w:r>
    </w:p>
    <w:p w14:paraId="26D85C3C">
      <w:pPr>
        <w:spacing w:before="2" w:line="351" w:lineRule="auto"/>
        <w:ind w:left="6" w:right="1" w:firstLine="412"/>
        <w:rPr>
          <w:rFonts w:ascii="Times New Roman" w:hAnsi="Times New Roman" w:eastAsia="宋体"/>
          <w:color w:val="auto"/>
          <w:spacing w:val="-3"/>
          <w:highlight w:val="none"/>
        </w:rPr>
      </w:pPr>
      <w:r>
        <w:rPr>
          <w:rFonts w:hint="eastAsia" w:ascii="Times New Roman" w:hAnsi="Times New Roman" w:eastAsia="宋体"/>
          <w:color w:val="auto"/>
          <w:spacing w:val="-3"/>
          <w:highlight w:val="none"/>
        </w:rPr>
        <w:t xml:space="preserve">2.2.4  </w:t>
      </w:r>
      <w:r>
        <w:rPr>
          <w:rFonts w:hint="eastAsia" w:ascii="Times New Roman" w:hAnsi="Times New Roman" w:eastAsia="Times New Roman"/>
          <w:color w:val="auto"/>
          <w:spacing w:val="-3"/>
          <w:highlight w:val="none"/>
        </w:rPr>
        <w:t>招标答疑会会议纪要</w:t>
      </w:r>
      <w:r>
        <w:rPr>
          <w:rFonts w:hint="eastAsia" w:ascii="Times New Roman" w:hAnsi="Times New Roman" w:eastAsia="宋体"/>
          <w:color w:val="auto"/>
          <w:spacing w:val="-3"/>
          <w:highlight w:val="none"/>
        </w:rPr>
        <w:t>是</w:t>
      </w:r>
      <w:r>
        <w:rPr>
          <w:rFonts w:hint="eastAsia" w:ascii="Times New Roman" w:hAnsi="Times New Roman" w:eastAsia="Times New Roman"/>
          <w:color w:val="auto"/>
          <w:spacing w:val="-3"/>
          <w:highlight w:val="none"/>
        </w:rPr>
        <w:t>招标文件的</w:t>
      </w:r>
      <w:r>
        <w:rPr>
          <w:rFonts w:hint="eastAsia" w:ascii="Times New Roman" w:hAnsi="Times New Roman" w:eastAsia="宋体"/>
          <w:color w:val="auto"/>
          <w:spacing w:val="-3"/>
          <w:highlight w:val="none"/>
        </w:rPr>
        <w:t>组成</w:t>
      </w:r>
      <w:r>
        <w:rPr>
          <w:rFonts w:hint="eastAsia" w:ascii="Times New Roman" w:hAnsi="Times New Roman" w:eastAsia="Times New Roman"/>
          <w:color w:val="auto"/>
          <w:spacing w:val="-3"/>
          <w:highlight w:val="none"/>
        </w:rPr>
        <w:t>部分</w:t>
      </w:r>
      <w:r>
        <w:rPr>
          <w:rFonts w:hint="eastAsia" w:ascii="Times New Roman" w:hAnsi="Times New Roman" w:eastAsia="宋体"/>
          <w:color w:val="auto"/>
          <w:spacing w:val="-3"/>
          <w:highlight w:val="none"/>
        </w:rPr>
        <w:t>，对投标人起约束作用</w:t>
      </w:r>
      <w:r>
        <w:rPr>
          <w:rFonts w:hint="eastAsia" w:ascii="Times New Roman" w:hAnsi="Times New Roman" w:eastAsia="Times New Roman"/>
          <w:color w:val="auto"/>
          <w:spacing w:val="-3"/>
          <w:highlight w:val="none"/>
        </w:rPr>
        <w:t>。</w:t>
      </w:r>
    </w:p>
    <w:p w14:paraId="29203020">
      <w:pPr>
        <w:spacing w:before="2" w:line="351" w:lineRule="auto"/>
        <w:ind w:left="6" w:right="1" w:firstLine="412"/>
        <w:rPr>
          <w:rFonts w:ascii="Times New Roman" w:hAnsi="Times New Roman" w:eastAsiaTheme="minorEastAsia"/>
          <w:color w:val="auto"/>
          <w:spacing w:val="-3"/>
          <w:highlight w:val="none"/>
        </w:rPr>
      </w:pPr>
      <w:r>
        <w:rPr>
          <w:rFonts w:hint="eastAsia" w:ascii="Times New Roman" w:hAnsi="Times New Roman" w:eastAsia="Times New Roman"/>
          <w:color w:val="auto"/>
          <w:spacing w:val="-3"/>
          <w:highlight w:val="none"/>
        </w:rPr>
        <w:t>2.2.5  若招标答疑会会议纪要与招标文件有矛盾时，以</w:t>
      </w:r>
      <w:r>
        <w:rPr>
          <w:rFonts w:hint="eastAsia" w:ascii="Times New Roman" w:hAnsi="Times New Roman" w:eastAsia="宋体"/>
          <w:color w:val="auto"/>
          <w:spacing w:val="-3"/>
          <w:highlight w:val="none"/>
        </w:rPr>
        <w:t>广州交易集团有限公司（广州公共资源交易中心）</w:t>
      </w:r>
      <w:r>
        <w:rPr>
          <w:rFonts w:hint="eastAsia" w:ascii="Times New Roman" w:hAnsi="Times New Roman" w:eastAsia="Times New Roman"/>
          <w:color w:val="auto"/>
          <w:spacing w:val="-3"/>
          <w:highlight w:val="none"/>
        </w:rPr>
        <w:t>网站最后发布的答疑纪要为准。</w:t>
      </w:r>
    </w:p>
    <w:p w14:paraId="2C140A2B">
      <w:pPr>
        <w:pStyle w:val="9"/>
        <w:rPr>
          <w:rFonts w:eastAsiaTheme="minorEastAsia"/>
          <w:color w:val="auto"/>
          <w:highlight w:val="none"/>
        </w:rPr>
      </w:pPr>
    </w:p>
    <w:p w14:paraId="1A90C8CB">
      <w:pPr>
        <w:rPr>
          <w:rFonts w:ascii="Times New Roman" w:hAnsi="Times New Roman" w:eastAsia="Times New Roman"/>
          <w:color w:val="auto"/>
          <w:spacing w:val="7"/>
          <w:sz w:val="27"/>
          <w:szCs w:val="27"/>
          <w:highlight w:val="none"/>
        </w:rPr>
      </w:pPr>
      <w:bookmarkStart w:id="107" w:name="_Toc20382"/>
      <w:bookmarkStart w:id="108" w:name="_Toc25724"/>
      <w:bookmarkStart w:id="109" w:name="_Toc7983"/>
      <w:bookmarkStart w:id="110" w:name="_Toc12871"/>
      <w:bookmarkStart w:id="111" w:name="_Toc18693"/>
      <w:r>
        <w:rPr>
          <w:rFonts w:ascii="Times New Roman" w:hAnsi="Times New Roman" w:eastAsia="Times New Roman"/>
          <w:color w:val="auto"/>
          <w:spacing w:val="7"/>
          <w:sz w:val="27"/>
          <w:szCs w:val="27"/>
          <w:highlight w:val="none"/>
        </w:rPr>
        <w:t xml:space="preserve">2.3  </w:t>
      </w:r>
      <w:r>
        <w:rPr>
          <w:rFonts w:ascii="黑体" w:hAnsi="黑体" w:eastAsia="黑体"/>
          <w:color w:val="auto"/>
          <w:spacing w:val="7"/>
          <w:sz w:val="27"/>
          <w:szCs w:val="27"/>
          <w:highlight w:val="none"/>
        </w:rPr>
        <w:t>招标文件的</w:t>
      </w:r>
      <w:r>
        <w:rPr>
          <w:rFonts w:hint="eastAsia" w:ascii="黑体" w:hAnsi="黑体" w:eastAsia="黑体"/>
          <w:color w:val="auto"/>
          <w:spacing w:val="7"/>
          <w:sz w:val="27"/>
          <w:szCs w:val="27"/>
          <w:highlight w:val="none"/>
        </w:rPr>
        <w:t>澄清与</w:t>
      </w:r>
      <w:r>
        <w:rPr>
          <w:rFonts w:ascii="黑体" w:hAnsi="黑体" w:eastAsia="黑体"/>
          <w:color w:val="auto"/>
          <w:spacing w:val="7"/>
          <w:sz w:val="27"/>
          <w:szCs w:val="27"/>
          <w:highlight w:val="none"/>
        </w:rPr>
        <w:t>修</w:t>
      </w:r>
      <w:r>
        <w:rPr>
          <w:rFonts w:ascii="黑体" w:hAnsi="黑体" w:eastAsia="黑体"/>
          <w:color w:val="auto"/>
          <w:spacing w:val="5"/>
          <w:sz w:val="27"/>
          <w:szCs w:val="27"/>
          <w:highlight w:val="none"/>
        </w:rPr>
        <w:t>改</w:t>
      </w:r>
      <w:bookmarkEnd w:id="107"/>
      <w:bookmarkEnd w:id="108"/>
      <w:bookmarkEnd w:id="109"/>
      <w:bookmarkEnd w:id="110"/>
      <w:bookmarkEnd w:id="111"/>
    </w:p>
    <w:p w14:paraId="7637F9B5">
      <w:pPr>
        <w:spacing w:before="1" w:line="360" w:lineRule="auto"/>
        <w:ind w:left="25" w:right="1" w:firstLine="393"/>
        <w:rPr>
          <w:rFonts w:ascii="Times New Roman" w:hAnsi="Times New Roman" w:eastAsia="Times New Roman"/>
          <w:color w:val="auto"/>
          <w:spacing w:val="-3"/>
          <w:highlight w:val="none"/>
        </w:rPr>
      </w:pPr>
      <w:r>
        <w:rPr>
          <w:rFonts w:hint="eastAsia" w:ascii="Times New Roman" w:hAnsi="Times New Roman" w:eastAsia="Times New Roman"/>
          <w:color w:val="auto"/>
          <w:spacing w:val="-3"/>
          <w:highlight w:val="none"/>
        </w:rPr>
        <w:t>2.3.1  招标文件发出后，在提交投标文件截止时间15日前，招标人可对招标文件进行必要的澄清或修改。</w:t>
      </w:r>
    </w:p>
    <w:p w14:paraId="23C74F48">
      <w:pPr>
        <w:spacing w:before="1" w:line="360" w:lineRule="auto"/>
        <w:ind w:left="25" w:right="1" w:firstLine="393"/>
        <w:rPr>
          <w:rFonts w:ascii="Times New Roman" w:hAnsi="Times New Roman" w:eastAsia="Times New Roman"/>
          <w:color w:val="auto"/>
          <w:spacing w:val="-3"/>
          <w:highlight w:val="none"/>
        </w:rPr>
      </w:pPr>
      <w:r>
        <w:rPr>
          <w:rFonts w:hint="eastAsia" w:ascii="Times New Roman" w:hAnsi="Times New Roman" w:eastAsia="Times New Roman"/>
          <w:color w:val="auto"/>
          <w:spacing w:val="-3"/>
          <w:highlight w:val="none"/>
        </w:rPr>
        <w:t>2.3.2  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网站发布时间作为送达时间。</w:t>
      </w:r>
    </w:p>
    <w:p w14:paraId="31FC7E2A">
      <w:pPr>
        <w:spacing w:before="1" w:line="360" w:lineRule="auto"/>
        <w:ind w:left="25" w:right="1" w:firstLine="393"/>
        <w:rPr>
          <w:rFonts w:ascii="Times New Roman" w:hAnsi="Times New Roman" w:eastAsia="Times New Roman"/>
          <w:color w:val="auto"/>
          <w:spacing w:val="-3"/>
          <w:highlight w:val="none"/>
        </w:rPr>
      </w:pPr>
      <w:r>
        <w:rPr>
          <w:rFonts w:hint="eastAsia" w:ascii="Times New Roman" w:hAnsi="Times New Roman" w:eastAsia="Times New Roman"/>
          <w:color w:val="auto"/>
          <w:spacing w:val="-3"/>
          <w:highlight w:val="none"/>
        </w:rPr>
        <w:t>2.3.3  招标</w:t>
      </w:r>
      <w:r>
        <w:rPr>
          <w:rFonts w:hint="eastAsia" w:ascii="Times New Roman" w:hAnsi="Times New Roman" w:eastAsia="宋体"/>
          <w:color w:val="auto"/>
          <w:spacing w:val="-3"/>
          <w:highlight w:val="none"/>
        </w:rPr>
        <w:t>文件的</w:t>
      </w:r>
      <w:r>
        <w:rPr>
          <w:rFonts w:hint="eastAsia" w:ascii="Times New Roman" w:hAnsi="Times New Roman" w:eastAsia="Times New Roman"/>
          <w:color w:val="auto"/>
          <w:spacing w:val="-3"/>
          <w:highlight w:val="none"/>
        </w:rPr>
        <w:t>澄清或修改</w:t>
      </w:r>
      <w:r>
        <w:rPr>
          <w:rFonts w:hint="eastAsia" w:ascii="Times New Roman" w:hAnsi="Times New Roman" w:eastAsia="宋体"/>
          <w:color w:val="auto"/>
          <w:spacing w:val="-3"/>
          <w:highlight w:val="none"/>
        </w:rPr>
        <w:t>是</w:t>
      </w:r>
      <w:r>
        <w:rPr>
          <w:rFonts w:hint="eastAsia" w:ascii="Times New Roman" w:hAnsi="Times New Roman" w:eastAsia="Times New Roman"/>
          <w:color w:val="auto"/>
          <w:spacing w:val="-3"/>
          <w:highlight w:val="none"/>
        </w:rPr>
        <w:t>招标文件的</w:t>
      </w:r>
      <w:r>
        <w:rPr>
          <w:rFonts w:hint="eastAsia" w:ascii="Times New Roman" w:hAnsi="Times New Roman" w:eastAsia="宋体"/>
          <w:color w:val="auto"/>
          <w:spacing w:val="-3"/>
          <w:highlight w:val="none"/>
        </w:rPr>
        <w:t>组成</w:t>
      </w:r>
      <w:r>
        <w:rPr>
          <w:rFonts w:hint="eastAsia" w:ascii="Times New Roman" w:hAnsi="Times New Roman" w:eastAsia="Times New Roman"/>
          <w:color w:val="auto"/>
          <w:spacing w:val="-3"/>
          <w:highlight w:val="none"/>
        </w:rPr>
        <w:t>部分</w:t>
      </w:r>
      <w:r>
        <w:rPr>
          <w:rFonts w:hint="eastAsia" w:ascii="Times New Roman" w:hAnsi="Times New Roman" w:eastAsia="宋体"/>
          <w:color w:val="auto"/>
          <w:spacing w:val="-3"/>
          <w:highlight w:val="none"/>
        </w:rPr>
        <w:t>，对投标人起约束作用</w:t>
      </w:r>
      <w:r>
        <w:rPr>
          <w:rFonts w:hint="eastAsia" w:ascii="Times New Roman" w:hAnsi="Times New Roman" w:eastAsia="Times New Roman"/>
          <w:color w:val="auto"/>
          <w:spacing w:val="-3"/>
          <w:highlight w:val="none"/>
        </w:rPr>
        <w:t>。</w:t>
      </w:r>
    </w:p>
    <w:p w14:paraId="6C0A70DF">
      <w:pPr>
        <w:spacing w:before="1" w:line="360" w:lineRule="auto"/>
        <w:ind w:left="25" w:right="1" w:firstLine="393"/>
        <w:rPr>
          <w:rFonts w:ascii="Times New Roman" w:hAnsi="Times New Roman" w:eastAsia="Times New Roman"/>
          <w:color w:val="auto"/>
          <w:spacing w:val="-3"/>
          <w:highlight w:val="none"/>
        </w:rPr>
      </w:pPr>
      <w:r>
        <w:rPr>
          <w:rFonts w:hint="eastAsia" w:ascii="Times New Roman" w:hAnsi="Times New Roman" w:eastAsia="Times New Roman"/>
          <w:color w:val="auto"/>
          <w:spacing w:val="-3"/>
          <w:highlight w:val="none"/>
        </w:rPr>
        <w:t>2.3.4  招标文件的澄清或修</w:t>
      </w:r>
      <w:r>
        <w:rPr>
          <w:rFonts w:hint="eastAsia" w:ascii="Times New Roman" w:hAnsi="Times New Roman" w:eastAsia="Times New Roman"/>
          <w:color w:val="auto"/>
          <w:spacing w:val="-8"/>
          <w:highlight w:val="none"/>
        </w:rPr>
        <w:t>改均以</w:t>
      </w:r>
      <w:r>
        <w:rPr>
          <w:rFonts w:hint="eastAsia" w:ascii="Times New Roman" w:hAnsi="Times New Roman" w:eastAsia="宋体"/>
          <w:color w:val="auto"/>
          <w:spacing w:val="-8"/>
          <w:highlight w:val="none"/>
        </w:rPr>
        <w:t>广州交易集团有限公司（广州公共资源交易中心）</w:t>
      </w:r>
      <w:r>
        <w:rPr>
          <w:rFonts w:hint="eastAsia" w:ascii="Times New Roman" w:hAnsi="Times New Roman" w:eastAsia="Times New Roman"/>
          <w:color w:val="auto"/>
          <w:spacing w:val="-8"/>
          <w:highlight w:val="none"/>
        </w:rPr>
        <w:t>网站发布的内容为准。当招标文件的澄清、修改</w:t>
      </w:r>
      <w:r>
        <w:rPr>
          <w:rFonts w:hint="eastAsia" w:ascii="Times New Roman" w:hAnsi="Times New Roman" w:eastAsia="宋体"/>
          <w:color w:val="auto"/>
          <w:spacing w:val="-8"/>
          <w:highlight w:val="none"/>
        </w:rPr>
        <w:t>、补充等</w:t>
      </w:r>
      <w:r>
        <w:rPr>
          <w:rFonts w:hint="eastAsia" w:ascii="Times New Roman" w:hAnsi="Times New Roman" w:eastAsia="Times New Roman"/>
          <w:color w:val="auto"/>
          <w:spacing w:val="-8"/>
          <w:highlight w:val="none"/>
        </w:rPr>
        <w:t>在同一内容的表述不一致时，以</w:t>
      </w:r>
      <w:r>
        <w:rPr>
          <w:rFonts w:hint="eastAsia" w:ascii="Times New Roman" w:hAnsi="Times New Roman" w:eastAsia="宋体"/>
          <w:color w:val="auto"/>
          <w:spacing w:val="-8"/>
          <w:highlight w:val="none"/>
        </w:rPr>
        <w:t>广州交易集团有限公司（广州公共资源交易中心）</w:t>
      </w:r>
      <w:r>
        <w:rPr>
          <w:rFonts w:hint="eastAsia" w:ascii="Times New Roman" w:hAnsi="Times New Roman" w:eastAsia="Times New Roman"/>
          <w:color w:val="auto"/>
          <w:spacing w:val="-8"/>
          <w:highlight w:val="none"/>
        </w:rPr>
        <w:t>网站最后发布的内容为准</w:t>
      </w:r>
      <w:r>
        <w:rPr>
          <w:rFonts w:ascii="Times New Roman" w:hAnsi="Times New Roman" w:eastAsia="Times New Roman"/>
          <w:color w:val="auto"/>
          <w:spacing w:val="-8"/>
          <w:highlight w:val="none"/>
        </w:rPr>
        <w:t>。</w:t>
      </w:r>
    </w:p>
    <w:p w14:paraId="63F29A0E">
      <w:pPr>
        <w:spacing w:before="1" w:line="360" w:lineRule="auto"/>
        <w:ind w:left="25" w:right="1" w:firstLine="393"/>
        <w:rPr>
          <w:rFonts w:ascii="Times New Roman" w:hAnsi="Times New Roman" w:eastAsia="Times New Roman"/>
          <w:color w:val="auto"/>
          <w:spacing w:val="-3"/>
          <w:highlight w:val="none"/>
        </w:rPr>
      </w:pPr>
      <w:r>
        <w:rPr>
          <w:rFonts w:hint="eastAsia" w:ascii="Times New Roman" w:hAnsi="Times New Roman" w:eastAsia="Times New Roman"/>
          <w:color w:val="auto"/>
          <w:spacing w:val="-3"/>
          <w:highlight w:val="none"/>
        </w:rPr>
        <w:t>2.3.5  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0E4F74F9">
      <w:pPr>
        <w:pStyle w:val="57"/>
        <w:rPr>
          <w:color w:val="auto"/>
          <w:highlight w:val="none"/>
        </w:rPr>
      </w:pPr>
    </w:p>
    <w:p w14:paraId="2C2EC9F4">
      <w:pPr>
        <w:rPr>
          <w:rFonts w:ascii="Times New Roman" w:hAnsi="Times New Roman" w:eastAsia="Times New Roman"/>
          <w:color w:val="auto"/>
          <w:spacing w:val="7"/>
          <w:sz w:val="27"/>
          <w:szCs w:val="27"/>
          <w:highlight w:val="none"/>
        </w:rPr>
      </w:pPr>
      <w:bookmarkStart w:id="112" w:name="_Toc23452"/>
      <w:bookmarkStart w:id="113" w:name="_Toc4597"/>
      <w:bookmarkStart w:id="114" w:name="_Toc228"/>
      <w:bookmarkStart w:id="115" w:name="_Toc17119"/>
      <w:bookmarkStart w:id="116" w:name="_Toc20862"/>
      <w:r>
        <w:rPr>
          <w:rFonts w:ascii="Times New Roman" w:hAnsi="Times New Roman" w:eastAsia="Times New Roman"/>
          <w:color w:val="auto"/>
          <w:spacing w:val="7"/>
          <w:sz w:val="27"/>
          <w:szCs w:val="27"/>
          <w:highlight w:val="none"/>
        </w:rPr>
        <w:t xml:space="preserve">2.4  </w:t>
      </w:r>
      <w:r>
        <w:rPr>
          <w:rFonts w:ascii="黑体" w:hAnsi="黑体" w:eastAsia="黑体"/>
          <w:color w:val="auto"/>
          <w:spacing w:val="7"/>
          <w:sz w:val="27"/>
          <w:szCs w:val="27"/>
          <w:highlight w:val="none"/>
        </w:rPr>
        <w:t>招标文件的异</w:t>
      </w:r>
      <w:r>
        <w:rPr>
          <w:rFonts w:ascii="黑体" w:hAnsi="黑体" w:eastAsia="黑体"/>
          <w:color w:val="auto"/>
          <w:spacing w:val="5"/>
          <w:sz w:val="27"/>
          <w:szCs w:val="27"/>
          <w:highlight w:val="none"/>
        </w:rPr>
        <w:t>议</w:t>
      </w:r>
      <w:bookmarkEnd w:id="112"/>
      <w:bookmarkEnd w:id="113"/>
      <w:bookmarkEnd w:id="114"/>
      <w:bookmarkEnd w:id="115"/>
      <w:bookmarkEnd w:id="116"/>
    </w:p>
    <w:p w14:paraId="3BB41AD8">
      <w:pPr>
        <w:spacing w:before="69" w:line="360" w:lineRule="auto"/>
        <w:ind w:left="3" w:right="2" w:firstLine="421"/>
        <w:rPr>
          <w:rFonts w:hint="eastAsia" w:ascii="宋体" w:hAnsi="宋体" w:eastAsia="宋体"/>
          <w:color w:val="auto"/>
          <w:spacing w:val="-10"/>
          <w:highlight w:val="none"/>
        </w:rPr>
      </w:pPr>
      <w:r>
        <w:rPr>
          <w:rFonts w:ascii="宋体" w:hAnsi="宋体" w:eastAsia="宋体"/>
          <w:color w:val="auto"/>
          <w:spacing w:val="-10"/>
          <w:highlight w:val="none"/>
        </w:rPr>
        <w:t>投标人或者</w:t>
      </w:r>
      <w:r>
        <w:rPr>
          <w:rFonts w:ascii="宋体" w:hAnsi="宋体" w:eastAsia="宋体"/>
          <w:color w:val="auto"/>
          <w:spacing w:val="-9"/>
          <w:highlight w:val="none"/>
        </w:rPr>
        <w:t>其</w:t>
      </w:r>
      <w:r>
        <w:rPr>
          <w:rFonts w:ascii="宋体" w:hAnsi="宋体" w:eastAsia="宋体"/>
          <w:color w:val="auto"/>
          <w:spacing w:val="-5"/>
          <w:highlight w:val="none"/>
        </w:rPr>
        <w:t xml:space="preserve">他利害关系人对招标文件有异议的， 应当在投标截止时间 </w:t>
      </w:r>
      <w:r>
        <w:rPr>
          <w:rFonts w:ascii="Times New Roman" w:hAnsi="Times New Roman" w:eastAsia="Times New Roman"/>
          <w:color w:val="auto"/>
          <w:spacing w:val="-5"/>
          <w:highlight w:val="none"/>
        </w:rPr>
        <w:t xml:space="preserve">10 </w:t>
      </w:r>
      <w:r>
        <w:rPr>
          <w:rFonts w:ascii="宋体" w:hAnsi="宋体" w:eastAsia="宋体"/>
          <w:color w:val="auto"/>
          <w:spacing w:val="-5"/>
          <w:highlight w:val="none"/>
        </w:rPr>
        <w:t>日前以书面形式</w:t>
      </w:r>
      <w:r>
        <w:rPr>
          <w:rFonts w:ascii="宋体" w:hAnsi="宋体" w:eastAsia="宋体"/>
          <w:color w:val="auto"/>
          <w:highlight w:val="none"/>
        </w:rPr>
        <w:t xml:space="preserve"> </w:t>
      </w:r>
      <w:r>
        <w:rPr>
          <w:rFonts w:ascii="宋体" w:hAnsi="宋体" w:eastAsia="宋体"/>
          <w:color w:val="auto"/>
          <w:spacing w:val="-4"/>
          <w:highlight w:val="none"/>
        </w:rPr>
        <w:t>提出。</w:t>
      </w:r>
      <w:r>
        <w:rPr>
          <w:rFonts w:ascii="宋体" w:hAnsi="宋体" w:eastAsia="宋体"/>
          <w:color w:val="auto"/>
          <w:spacing w:val="-2"/>
          <w:highlight w:val="none"/>
        </w:rPr>
        <w:t xml:space="preserve">招标人将在收到异议之日起 </w:t>
      </w:r>
      <w:r>
        <w:rPr>
          <w:rFonts w:ascii="Times New Roman" w:hAnsi="Times New Roman" w:eastAsia="Times New Roman"/>
          <w:color w:val="auto"/>
          <w:spacing w:val="-2"/>
          <w:highlight w:val="none"/>
        </w:rPr>
        <w:t xml:space="preserve">3 </w:t>
      </w:r>
      <w:r>
        <w:rPr>
          <w:rFonts w:ascii="宋体" w:hAnsi="宋体" w:eastAsia="宋体"/>
          <w:color w:val="auto"/>
          <w:spacing w:val="-2"/>
          <w:highlight w:val="none"/>
        </w:rPr>
        <w:t>日内作出答复；作出答复前，将暂停招标投标活动。</w:t>
      </w:r>
    </w:p>
    <w:p w14:paraId="3390DB7A">
      <w:pPr>
        <w:spacing w:before="1" w:line="360" w:lineRule="auto"/>
        <w:ind w:left="3" w:right="7" w:firstLine="356"/>
        <w:rPr>
          <w:rFonts w:ascii="Times New Roman" w:hAnsi="Times New Roman" w:eastAsia="Times New Roman"/>
          <w:color w:val="auto"/>
          <w:spacing w:val="10"/>
          <w:sz w:val="27"/>
          <w:szCs w:val="27"/>
          <w:highlight w:val="none"/>
        </w:rPr>
      </w:pPr>
      <w:r>
        <w:rPr>
          <w:rFonts w:ascii="Times New Roman" w:hAnsi="Times New Roman" w:eastAsia="Times New Roman"/>
          <w:color w:val="auto"/>
          <w:spacing w:val="10"/>
          <w:sz w:val="27"/>
          <w:szCs w:val="27"/>
          <w:highlight w:val="none"/>
        </w:rPr>
        <w:t>3</w:t>
      </w:r>
      <w:r>
        <w:rPr>
          <w:rFonts w:ascii="Times New Roman" w:hAnsi="Times New Roman" w:eastAsia="Times New Roman"/>
          <w:color w:val="auto"/>
          <w:spacing w:val="6"/>
          <w:sz w:val="27"/>
          <w:szCs w:val="27"/>
          <w:highlight w:val="none"/>
        </w:rPr>
        <w:t xml:space="preserve">.1  </w:t>
      </w:r>
      <w:r>
        <w:rPr>
          <w:rFonts w:ascii="黑体" w:hAnsi="黑体" w:eastAsia="黑体"/>
          <w:color w:val="auto"/>
          <w:spacing w:val="6"/>
          <w:sz w:val="27"/>
          <w:szCs w:val="27"/>
          <w:highlight w:val="none"/>
        </w:rPr>
        <w:t>投标文件的组成</w:t>
      </w:r>
      <w:r>
        <w:rPr>
          <w:rFonts w:hint="eastAsia"/>
          <w:color w:val="auto"/>
          <w:highlight w:val="none"/>
        </w:rPr>
        <w:t>（适用于</w:t>
      </w:r>
      <w:r>
        <w:rPr>
          <w:rFonts w:hint="eastAsia" w:eastAsia="宋体"/>
          <w:color w:val="auto"/>
          <w:highlight w:val="none"/>
        </w:rPr>
        <w:t>暗标形式</w:t>
      </w:r>
      <w:r>
        <w:rPr>
          <w:rFonts w:hint="eastAsia"/>
          <w:color w:val="auto"/>
          <w:highlight w:val="none"/>
        </w:rPr>
        <w:t>）</w:t>
      </w:r>
    </w:p>
    <w:p w14:paraId="42467B98">
      <w:pPr>
        <w:spacing w:line="360" w:lineRule="auto"/>
        <w:ind w:firstLine="420" w:firstLineChars="200"/>
        <w:rPr>
          <w:b/>
          <w:color w:val="auto"/>
          <w:highlight w:val="none"/>
        </w:rPr>
      </w:pPr>
      <w:r>
        <w:rPr>
          <w:b/>
          <w:color w:val="auto"/>
          <w:highlight w:val="none"/>
        </w:rPr>
        <w:t>3.1.1</w:t>
      </w:r>
      <w:r>
        <w:rPr>
          <w:rFonts w:hint="eastAsia"/>
          <w:b/>
          <w:color w:val="auto"/>
          <w:highlight w:val="none"/>
        </w:rPr>
        <w:t xml:space="preserve"> 商务文件（含资格审查文件）由下列资料组成：</w:t>
      </w:r>
    </w:p>
    <w:p w14:paraId="0E8CCA5D">
      <w:pPr>
        <w:spacing w:before="148" w:line="220" w:lineRule="auto"/>
        <w:ind w:left="428"/>
        <w:rPr>
          <w:rFonts w:hint="eastAsia" w:ascii="宋体" w:hAnsi="宋体" w:eastAsia="宋体"/>
          <w:color w:val="auto"/>
          <w:spacing w:val="15"/>
          <w:highlight w:val="none"/>
        </w:rPr>
      </w:pPr>
      <w:r>
        <w:rPr>
          <w:rFonts w:ascii="宋体" w:hAnsi="宋体" w:eastAsia="宋体"/>
          <w:color w:val="auto"/>
          <w:spacing w:val="15"/>
          <w:highlight w:val="none"/>
        </w:rPr>
        <w:t>(</w:t>
      </w:r>
      <w:r>
        <w:rPr>
          <w:rFonts w:ascii="Times New Roman" w:hAnsi="Times New Roman" w:eastAsia="Times New Roman"/>
          <w:color w:val="auto"/>
          <w:spacing w:val="11"/>
          <w:highlight w:val="none"/>
        </w:rPr>
        <w:t>1</w:t>
      </w:r>
      <w:r>
        <w:rPr>
          <w:rFonts w:ascii="宋体" w:hAnsi="宋体" w:eastAsia="宋体"/>
          <w:color w:val="auto"/>
          <w:spacing w:val="11"/>
          <w:highlight w:val="none"/>
        </w:rPr>
        <w:t>)投标函及投标函附录；</w:t>
      </w:r>
    </w:p>
    <w:p w14:paraId="7E0109C9">
      <w:pPr>
        <w:spacing w:before="150" w:line="217" w:lineRule="auto"/>
        <w:ind w:left="428"/>
        <w:rPr>
          <w:rFonts w:hint="eastAsia" w:ascii="宋体" w:hAnsi="宋体" w:eastAsia="宋体"/>
          <w:color w:val="auto"/>
          <w:spacing w:val="14"/>
          <w:highlight w:val="none"/>
        </w:rPr>
      </w:pPr>
      <w:r>
        <w:rPr>
          <w:rFonts w:ascii="宋体" w:hAnsi="宋体" w:eastAsia="宋体"/>
          <w:color w:val="auto"/>
          <w:spacing w:val="14"/>
          <w:highlight w:val="none"/>
        </w:rPr>
        <w:t>(</w:t>
      </w:r>
      <w:r>
        <w:rPr>
          <w:rFonts w:ascii="Times New Roman" w:hAnsi="Times New Roman" w:eastAsia="Times New Roman"/>
          <w:color w:val="auto"/>
          <w:spacing w:val="14"/>
          <w:highlight w:val="none"/>
        </w:rPr>
        <w:t>2</w:t>
      </w:r>
      <w:r>
        <w:rPr>
          <w:rFonts w:ascii="宋体" w:hAnsi="宋体" w:eastAsia="宋体"/>
          <w:color w:val="auto"/>
          <w:spacing w:val="7"/>
          <w:highlight w:val="none"/>
        </w:rPr>
        <w:t>)</w:t>
      </w:r>
      <w:r>
        <w:rPr>
          <w:rFonts w:hint="eastAsia" w:ascii="宋体" w:hAnsi="宋体" w:eastAsia="宋体"/>
          <w:color w:val="auto"/>
          <w:spacing w:val="14"/>
          <w:highlight w:val="none"/>
        </w:rPr>
        <w:t>法定代表人身份证明及授权委托书</w:t>
      </w:r>
      <w:r>
        <w:rPr>
          <w:rFonts w:ascii="宋体" w:hAnsi="宋体" w:eastAsia="宋体"/>
          <w:color w:val="auto"/>
          <w:spacing w:val="14"/>
          <w:highlight w:val="none"/>
        </w:rPr>
        <w:t>；</w:t>
      </w:r>
    </w:p>
    <w:p w14:paraId="782DA366">
      <w:pPr>
        <w:spacing w:before="154" w:line="220" w:lineRule="auto"/>
        <w:ind w:left="428"/>
        <w:rPr>
          <w:rFonts w:hint="eastAsia" w:ascii="宋体" w:hAnsi="宋体" w:eastAsia="宋体"/>
          <w:color w:val="auto"/>
          <w:spacing w:val="21"/>
          <w:highlight w:val="none"/>
        </w:rPr>
      </w:pPr>
      <w:r>
        <w:rPr>
          <w:rFonts w:ascii="宋体" w:hAnsi="宋体" w:eastAsia="宋体"/>
          <w:color w:val="auto"/>
          <w:spacing w:val="21"/>
          <w:highlight w:val="none"/>
        </w:rPr>
        <w:t>(</w:t>
      </w:r>
      <w:r>
        <w:rPr>
          <w:rFonts w:ascii="Times New Roman" w:hAnsi="Times New Roman" w:eastAsia="Times New Roman"/>
          <w:color w:val="auto"/>
          <w:spacing w:val="14"/>
          <w:highlight w:val="none"/>
        </w:rPr>
        <w:t>3</w:t>
      </w:r>
      <w:r>
        <w:rPr>
          <w:rFonts w:ascii="宋体" w:hAnsi="宋体" w:eastAsia="宋体"/>
          <w:color w:val="auto"/>
          <w:spacing w:val="14"/>
          <w:highlight w:val="none"/>
        </w:rPr>
        <w:t>)联合体协议书；</w:t>
      </w:r>
    </w:p>
    <w:p w14:paraId="7A3338F3">
      <w:pPr>
        <w:spacing w:before="150" w:line="221" w:lineRule="auto"/>
        <w:ind w:left="428"/>
        <w:rPr>
          <w:rFonts w:hint="eastAsia" w:ascii="宋体" w:hAnsi="宋体" w:eastAsia="宋体"/>
          <w:strike/>
          <w:color w:val="auto"/>
          <w:spacing w:val="19"/>
          <w:highlight w:val="none"/>
        </w:rPr>
      </w:pPr>
      <w:r>
        <w:rPr>
          <w:rFonts w:ascii="宋体" w:hAnsi="宋体" w:eastAsia="宋体"/>
          <w:strike/>
          <w:color w:val="auto"/>
          <w:spacing w:val="19"/>
          <w:highlight w:val="none"/>
        </w:rPr>
        <w:t>(</w:t>
      </w:r>
      <w:r>
        <w:rPr>
          <w:rFonts w:ascii="Times New Roman" w:hAnsi="Times New Roman" w:eastAsia="Times New Roman"/>
          <w:strike/>
          <w:color w:val="auto"/>
          <w:spacing w:val="16"/>
          <w:highlight w:val="none"/>
        </w:rPr>
        <w:t>4</w:t>
      </w:r>
      <w:r>
        <w:rPr>
          <w:rFonts w:ascii="宋体" w:hAnsi="宋体" w:eastAsia="宋体"/>
          <w:strike/>
          <w:color w:val="auto"/>
          <w:spacing w:val="16"/>
          <w:highlight w:val="none"/>
        </w:rPr>
        <w:t>)投标保证金</w:t>
      </w:r>
      <w:r>
        <w:rPr>
          <w:rFonts w:ascii="宋体" w:hAnsi="宋体" w:eastAsia="宋体"/>
          <w:color w:val="auto"/>
          <w:spacing w:val="16"/>
          <w:highlight w:val="none"/>
        </w:rPr>
        <w:t>；</w:t>
      </w:r>
    </w:p>
    <w:p w14:paraId="191775FE">
      <w:pPr>
        <w:spacing w:before="150" w:line="217" w:lineRule="auto"/>
        <w:ind w:left="428"/>
        <w:rPr>
          <w:rFonts w:hint="eastAsia" w:ascii="宋体" w:hAnsi="宋体" w:eastAsia="宋体"/>
          <w:color w:val="auto"/>
          <w:spacing w:val="14"/>
          <w:highlight w:val="none"/>
        </w:rPr>
      </w:pPr>
      <w:r>
        <w:rPr>
          <w:rFonts w:ascii="宋体" w:hAnsi="宋体" w:eastAsia="宋体"/>
          <w:color w:val="auto"/>
          <w:spacing w:val="14"/>
          <w:highlight w:val="none"/>
        </w:rPr>
        <w:t>(5)</w:t>
      </w:r>
      <w:r>
        <w:rPr>
          <w:rFonts w:hint="eastAsia" w:ascii="宋体" w:hAnsi="宋体" w:eastAsia="宋体"/>
          <w:color w:val="auto"/>
          <w:spacing w:val="14"/>
          <w:highlight w:val="none"/>
        </w:rPr>
        <w:t>勘察</w:t>
      </w:r>
      <w:r>
        <w:rPr>
          <w:rFonts w:ascii="宋体" w:hAnsi="宋体" w:eastAsia="宋体"/>
          <w:color w:val="auto"/>
          <w:spacing w:val="14"/>
          <w:highlight w:val="none"/>
        </w:rPr>
        <w:t>设计费</w:t>
      </w:r>
      <w:r>
        <w:rPr>
          <w:rFonts w:hint="eastAsia" w:ascii="宋体" w:hAnsi="宋体" w:eastAsia="宋体"/>
          <w:color w:val="auto"/>
          <w:spacing w:val="14"/>
          <w:highlight w:val="none"/>
        </w:rPr>
        <w:t>报价表</w:t>
      </w:r>
      <w:r>
        <w:rPr>
          <w:rFonts w:ascii="宋体" w:hAnsi="宋体" w:eastAsia="宋体"/>
          <w:color w:val="auto"/>
          <w:spacing w:val="14"/>
          <w:highlight w:val="none"/>
        </w:rPr>
        <w:t>；</w:t>
      </w:r>
    </w:p>
    <w:p w14:paraId="07E3C447">
      <w:pPr>
        <w:spacing w:before="150" w:line="217" w:lineRule="auto"/>
        <w:ind w:left="428"/>
        <w:rPr>
          <w:rFonts w:hint="eastAsia" w:ascii="宋体" w:hAnsi="宋体" w:eastAsia="宋体"/>
          <w:color w:val="auto"/>
          <w:spacing w:val="14"/>
          <w:highlight w:val="none"/>
        </w:rPr>
      </w:pPr>
      <w:r>
        <w:rPr>
          <w:rFonts w:ascii="宋体" w:hAnsi="宋体" w:eastAsia="宋体"/>
          <w:color w:val="auto"/>
          <w:spacing w:val="14"/>
          <w:highlight w:val="none"/>
        </w:rPr>
        <w:t>(6)资格审查资料；</w:t>
      </w:r>
    </w:p>
    <w:p w14:paraId="7B3ABEAA">
      <w:pPr>
        <w:pStyle w:val="34"/>
        <w:spacing w:line="360" w:lineRule="auto"/>
        <w:ind w:firstLine="476" w:firstLineChars="200"/>
        <w:rPr>
          <w:rFonts w:hint="eastAsia" w:ascii="宋体" w:hAnsi="宋体" w:eastAsia="宋体"/>
          <w:color w:val="auto"/>
          <w:spacing w:val="14"/>
          <w:highlight w:val="none"/>
        </w:rPr>
      </w:pPr>
      <w:r>
        <w:rPr>
          <w:rFonts w:ascii="宋体" w:hAnsi="宋体" w:eastAsia="宋体"/>
          <w:color w:val="auto"/>
          <w:spacing w:val="14"/>
          <w:highlight w:val="none"/>
        </w:rPr>
        <w:t>(7)勘察设计方案；</w:t>
      </w:r>
    </w:p>
    <w:p w14:paraId="6483129A">
      <w:pPr>
        <w:pStyle w:val="34"/>
        <w:spacing w:line="360" w:lineRule="auto"/>
        <w:ind w:firstLine="476" w:firstLineChars="200"/>
        <w:rPr>
          <w:rFonts w:hint="eastAsia" w:ascii="宋体" w:hAnsi="宋体" w:eastAsia="宋体"/>
          <w:color w:val="auto"/>
          <w:spacing w:val="14"/>
          <w:highlight w:val="none"/>
        </w:rPr>
      </w:pPr>
      <w:r>
        <w:rPr>
          <w:rFonts w:ascii="宋体" w:hAnsi="宋体" w:eastAsia="宋体"/>
          <w:color w:val="auto"/>
          <w:spacing w:val="14"/>
          <w:highlight w:val="none"/>
        </w:rPr>
        <w:t>(8)</w:t>
      </w:r>
      <w:r>
        <w:rPr>
          <w:rFonts w:hint="eastAsia" w:ascii="宋体" w:hAnsi="宋体" w:eastAsia="宋体"/>
          <w:color w:val="auto"/>
          <w:spacing w:val="14"/>
          <w:highlight w:val="none"/>
        </w:rPr>
        <w:t>投标人须知前附表规定的</w:t>
      </w:r>
      <w:r>
        <w:rPr>
          <w:rFonts w:ascii="宋体" w:hAnsi="宋体" w:eastAsia="宋体"/>
          <w:color w:val="auto"/>
          <w:spacing w:val="14"/>
          <w:highlight w:val="none"/>
        </w:rPr>
        <w:t>其他资料。</w:t>
      </w:r>
    </w:p>
    <w:p w14:paraId="78840E27">
      <w:pPr>
        <w:spacing w:line="360" w:lineRule="auto"/>
        <w:ind w:firstLine="420" w:firstLineChars="200"/>
        <w:rPr>
          <w:b/>
          <w:color w:val="auto"/>
          <w:highlight w:val="none"/>
        </w:rPr>
      </w:pPr>
      <w:r>
        <w:rPr>
          <w:rFonts w:hint="eastAsia"/>
          <w:b/>
          <w:color w:val="auto"/>
          <w:highlight w:val="none"/>
        </w:rPr>
        <w:t>3.1.</w:t>
      </w:r>
      <w:r>
        <w:rPr>
          <w:rFonts w:hint="eastAsia" w:eastAsia="宋体"/>
          <w:b/>
          <w:color w:val="auto"/>
          <w:highlight w:val="none"/>
        </w:rPr>
        <w:t>3</w:t>
      </w:r>
      <w:r>
        <w:rPr>
          <w:rFonts w:hint="eastAsia"/>
          <w:b/>
          <w:color w:val="auto"/>
          <w:highlight w:val="none"/>
        </w:rPr>
        <w:t>保密要求</w:t>
      </w:r>
    </w:p>
    <w:p w14:paraId="1EE2F236">
      <w:pPr>
        <w:pStyle w:val="34"/>
        <w:spacing w:line="360" w:lineRule="auto"/>
        <w:ind w:firstLine="476" w:firstLineChars="200"/>
        <w:rPr>
          <w:rFonts w:hint="eastAsia" w:ascii="宋体" w:hAnsi="宋体" w:eastAsia="宋体"/>
          <w:color w:val="auto"/>
          <w:spacing w:val="14"/>
          <w:highlight w:val="none"/>
        </w:rPr>
      </w:pPr>
      <w:r>
        <w:rPr>
          <w:rFonts w:ascii="宋体" w:hAnsi="宋体" w:eastAsia="宋体"/>
          <w:color w:val="auto"/>
          <w:spacing w:val="14"/>
          <w:highlight w:val="none"/>
        </w:rPr>
        <w:t>勘察设计方案</w:t>
      </w:r>
      <w:r>
        <w:rPr>
          <w:rFonts w:hint="eastAsia"/>
          <w:color w:val="auto"/>
          <w:highlight w:val="none"/>
        </w:rPr>
        <w:t>必须隐匿投标人及专业技术人员的名称及投标报价信息，投标人不得在</w:t>
      </w:r>
      <w:r>
        <w:rPr>
          <w:rFonts w:ascii="宋体" w:hAnsi="宋体" w:eastAsia="宋体"/>
          <w:color w:val="auto"/>
          <w:spacing w:val="14"/>
          <w:highlight w:val="none"/>
        </w:rPr>
        <w:t>勘察设计方案</w:t>
      </w:r>
      <w:r>
        <w:rPr>
          <w:rFonts w:hint="eastAsia"/>
          <w:color w:val="auto"/>
          <w:highlight w:val="none"/>
        </w:rPr>
        <w:t>上标注或做任何可以辨认投标人及专业技术人员身份的名称、印章、商标，也不得显示投标报价信息。</w:t>
      </w:r>
    </w:p>
    <w:p w14:paraId="3BBE03FE">
      <w:pPr>
        <w:rPr>
          <w:rFonts w:ascii="Times New Roman" w:hAnsi="Times New Roman" w:eastAsia="Times New Roman"/>
          <w:color w:val="auto"/>
          <w:spacing w:val="7"/>
          <w:sz w:val="27"/>
          <w:szCs w:val="27"/>
          <w:highlight w:val="none"/>
        </w:rPr>
      </w:pPr>
      <w:bookmarkStart w:id="117" w:name="_Toc14762"/>
      <w:bookmarkStart w:id="118" w:name="_Toc5232"/>
      <w:bookmarkStart w:id="119" w:name="_Toc11008"/>
      <w:bookmarkStart w:id="120" w:name="_Toc29848"/>
      <w:bookmarkStart w:id="121" w:name="_Toc22873"/>
      <w:r>
        <w:rPr>
          <w:rFonts w:ascii="Times New Roman" w:hAnsi="Times New Roman" w:eastAsia="Times New Roman"/>
          <w:color w:val="auto"/>
          <w:spacing w:val="7"/>
          <w:sz w:val="27"/>
          <w:szCs w:val="27"/>
          <w:highlight w:val="none"/>
        </w:rPr>
        <w:t>3</w:t>
      </w:r>
      <w:r>
        <w:rPr>
          <w:rFonts w:ascii="Times New Roman" w:hAnsi="Times New Roman" w:eastAsia="Times New Roman"/>
          <w:color w:val="auto"/>
          <w:spacing w:val="5"/>
          <w:sz w:val="27"/>
          <w:szCs w:val="27"/>
          <w:highlight w:val="none"/>
        </w:rPr>
        <w:t xml:space="preserve">.2  </w:t>
      </w:r>
      <w:r>
        <w:rPr>
          <w:rFonts w:ascii="黑体" w:hAnsi="黑体" w:eastAsia="黑体"/>
          <w:color w:val="auto"/>
          <w:spacing w:val="5"/>
          <w:sz w:val="27"/>
          <w:szCs w:val="27"/>
          <w:highlight w:val="none"/>
        </w:rPr>
        <w:t>投标报价</w:t>
      </w:r>
      <w:bookmarkEnd w:id="117"/>
      <w:bookmarkEnd w:id="118"/>
      <w:bookmarkEnd w:id="119"/>
      <w:bookmarkEnd w:id="120"/>
      <w:bookmarkEnd w:id="121"/>
    </w:p>
    <w:p w14:paraId="59C41E92">
      <w:pPr>
        <w:spacing w:before="69" w:line="352" w:lineRule="auto"/>
        <w:ind w:left="2" w:firstLine="418"/>
        <w:rPr>
          <w:rFonts w:ascii="Times New Roman" w:hAnsi="Times New Roman" w:eastAsia="Times New Roman"/>
          <w:color w:val="auto"/>
          <w:spacing w:val="-10"/>
          <w:highlight w:val="none"/>
        </w:rPr>
      </w:pPr>
      <w:r>
        <w:rPr>
          <w:rFonts w:ascii="Times New Roman" w:hAnsi="Times New Roman" w:eastAsia="Times New Roman"/>
          <w:color w:val="auto"/>
          <w:spacing w:val="-10"/>
          <w:highlight w:val="none"/>
        </w:rPr>
        <w:t>3.</w:t>
      </w:r>
      <w:r>
        <w:rPr>
          <w:rFonts w:ascii="Times New Roman" w:hAnsi="Times New Roman" w:eastAsia="Times New Roman"/>
          <w:color w:val="auto"/>
          <w:spacing w:val="-9"/>
          <w:highlight w:val="none"/>
        </w:rPr>
        <w:t>2</w:t>
      </w:r>
      <w:r>
        <w:rPr>
          <w:rFonts w:ascii="Times New Roman" w:hAnsi="Times New Roman" w:eastAsia="Times New Roman"/>
          <w:color w:val="auto"/>
          <w:spacing w:val="-5"/>
          <w:highlight w:val="none"/>
        </w:rPr>
        <w:t xml:space="preserve">.1 </w:t>
      </w:r>
      <w:r>
        <w:rPr>
          <w:rFonts w:ascii="宋体" w:hAnsi="宋体" w:eastAsia="宋体"/>
          <w:color w:val="auto"/>
          <w:spacing w:val="-5"/>
          <w:highlight w:val="none"/>
        </w:rPr>
        <w:t>投标报价应包括国家规定的增值税税金， 除投标人须知前附表另有规定外， 增值税税</w:t>
      </w:r>
      <w:r>
        <w:rPr>
          <w:rFonts w:ascii="宋体" w:hAnsi="宋体" w:eastAsia="宋体"/>
          <w:color w:val="auto"/>
          <w:highlight w:val="none"/>
        </w:rPr>
        <w:t xml:space="preserve"> </w:t>
      </w:r>
      <w:r>
        <w:rPr>
          <w:rFonts w:ascii="宋体" w:hAnsi="宋体" w:eastAsia="宋体"/>
          <w:color w:val="auto"/>
          <w:spacing w:val="1"/>
          <w:highlight w:val="none"/>
        </w:rPr>
        <w:t>金按一般计税方法计算。投标</w:t>
      </w:r>
      <w:bookmarkStart w:id="421" w:name="_GoBack"/>
      <w:bookmarkEnd w:id="421"/>
      <w:r>
        <w:rPr>
          <w:rFonts w:ascii="宋体" w:hAnsi="宋体" w:eastAsia="宋体"/>
          <w:color w:val="auto"/>
          <w:spacing w:val="1"/>
          <w:highlight w:val="none"/>
        </w:rPr>
        <w:t>人应按第六章</w:t>
      </w:r>
      <w:r>
        <w:rPr>
          <w:rFonts w:ascii="Times New Roman" w:hAnsi="Times New Roman" w:eastAsia="Times New Roman"/>
          <w:color w:val="auto"/>
          <w:spacing w:val="1"/>
          <w:highlight w:val="none"/>
        </w:rPr>
        <w:t>“</w:t>
      </w:r>
      <w:r>
        <w:rPr>
          <w:rFonts w:ascii="宋体" w:hAnsi="宋体" w:eastAsia="宋体"/>
          <w:color w:val="auto"/>
          <w:spacing w:val="1"/>
          <w:highlight w:val="none"/>
        </w:rPr>
        <w:t>投标文件格式</w:t>
      </w:r>
      <w:r>
        <w:rPr>
          <w:rFonts w:ascii="Times New Roman" w:hAnsi="Times New Roman" w:eastAsia="Times New Roman"/>
          <w:color w:val="auto"/>
          <w:spacing w:val="1"/>
          <w:highlight w:val="none"/>
        </w:rPr>
        <w:t>”</w:t>
      </w:r>
      <w:r>
        <w:rPr>
          <w:rFonts w:ascii="宋体" w:hAnsi="宋体" w:eastAsia="宋体"/>
          <w:color w:val="auto"/>
          <w:spacing w:val="1"/>
          <w:highlight w:val="none"/>
        </w:rPr>
        <w:t>的要求在投标函中进行报价并</w:t>
      </w:r>
      <w:r>
        <w:rPr>
          <w:rFonts w:ascii="宋体" w:hAnsi="宋体" w:eastAsia="宋体"/>
          <w:color w:val="auto"/>
          <w:highlight w:val="none"/>
        </w:rPr>
        <w:t xml:space="preserve">填写 </w:t>
      </w:r>
      <w:r>
        <w:rPr>
          <w:rFonts w:ascii="宋体" w:hAnsi="宋体" w:eastAsia="宋体"/>
          <w:color w:val="auto"/>
          <w:spacing w:val="-5"/>
          <w:highlight w:val="none"/>
        </w:rPr>
        <w:t>设计费用清单</w:t>
      </w:r>
      <w:r>
        <w:rPr>
          <w:rFonts w:ascii="宋体" w:hAnsi="宋体" w:eastAsia="宋体"/>
          <w:color w:val="auto"/>
          <w:spacing w:val="-4"/>
          <w:highlight w:val="none"/>
        </w:rPr>
        <w:t>。</w:t>
      </w:r>
    </w:p>
    <w:p w14:paraId="35FC97C2">
      <w:pPr>
        <w:spacing w:line="218" w:lineRule="auto"/>
        <w:ind w:left="421"/>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3</w:t>
      </w:r>
      <w:r>
        <w:rPr>
          <w:rFonts w:ascii="Times New Roman" w:hAnsi="Times New Roman" w:eastAsia="Times New Roman"/>
          <w:color w:val="auto"/>
          <w:spacing w:val="-1"/>
          <w:highlight w:val="none"/>
        </w:rPr>
        <w:t xml:space="preserve">.2.2  </w:t>
      </w:r>
      <w:r>
        <w:rPr>
          <w:rFonts w:ascii="宋体" w:hAnsi="宋体" w:eastAsia="宋体"/>
          <w:color w:val="auto"/>
          <w:spacing w:val="-1"/>
          <w:highlight w:val="none"/>
        </w:rPr>
        <w:t>投标人应充分了解该项目的总体情况以及影响投标报价的其他要素。</w:t>
      </w:r>
    </w:p>
    <w:p w14:paraId="08B5E06A">
      <w:pPr>
        <w:spacing w:before="151" w:line="352" w:lineRule="auto"/>
        <w:ind w:left="1" w:right="1" w:firstLine="419"/>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3.2.3  </w:t>
      </w:r>
      <w:r>
        <w:rPr>
          <w:rFonts w:ascii="宋体" w:hAnsi="宋体" w:eastAsia="宋体"/>
          <w:color w:val="auto"/>
          <w:spacing w:val="-2"/>
          <w:highlight w:val="none"/>
        </w:rPr>
        <w:t>本项目的报价方式见投标人须知前附表。投标人在投标截止时间前修改投标函中</w:t>
      </w:r>
      <w:r>
        <w:rPr>
          <w:rFonts w:ascii="宋体" w:hAnsi="宋体" w:eastAsia="宋体"/>
          <w:color w:val="auto"/>
          <w:highlight w:val="none"/>
        </w:rPr>
        <w:t xml:space="preserve">的投 </w:t>
      </w:r>
      <w:r>
        <w:rPr>
          <w:rFonts w:ascii="宋体" w:hAnsi="宋体" w:eastAsia="宋体"/>
          <w:color w:val="auto"/>
          <w:spacing w:val="-10"/>
          <w:highlight w:val="none"/>
        </w:rPr>
        <w:t>标报价总额，</w:t>
      </w:r>
      <w:r>
        <w:rPr>
          <w:rFonts w:ascii="宋体" w:hAnsi="宋体" w:eastAsia="宋体"/>
          <w:color w:val="auto"/>
          <w:spacing w:val="-5"/>
          <w:highlight w:val="none"/>
        </w:rPr>
        <w:t>应同时修改投标文件</w:t>
      </w:r>
      <w:r>
        <w:rPr>
          <w:rFonts w:hint="eastAsia" w:ascii="宋体" w:hAnsi="宋体" w:eastAsia="宋体"/>
          <w:color w:val="auto"/>
          <w:spacing w:val="-5"/>
          <w:highlight w:val="none"/>
        </w:rPr>
        <w:t>“勘察</w:t>
      </w:r>
      <w:r>
        <w:rPr>
          <w:rFonts w:ascii="宋体" w:hAnsi="宋体" w:eastAsia="宋体"/>
          <w:color w:val="auto"/>
          <w:spacing w:val="-5"/>
          <w:highlight w:val="none"/>
        </w:rPr>
        <w:t>设计费</w:t>
      </w:r>
      <w:r>
        <w:rPr>
          <w:rFonts w:hint="eastAsia" w:ascii="宋体" w:hAnsi="宋体" w:eastAsia="宋体"/>
          <w:color w:val="auto"/>
          <w:spacing w:val="-5"/>
          <w:highlight w:val="none"/>
        </w:rPr>
        <w:t>报价表</w:t>
      </w:r>
      <w:r>
        <w:rPr>
          <w:rFonts w:hint="eastAsia" w:ascii="Times New Roman" w:hAnsi="Times New Roman" w:eastAsia="宋体"/>
          <w:color w:val="auto"/>
          <w:spacing w:val="-5"/>
          <w:highlight w:val="none"/>
        </w:rPr>
        <w:t>”</w:t>
      </w:r>
      <w:r>
        <w:rPr>
          <w:rFonts w:ascii="宋体" w:hAnsi="宋体" w:eastAsia="宋体"/>
          <w:color w:val="auto"/>
          <w:spacing w:val="-5"/>
          <w:highlight w:val="none"/>
        </w:rPr>
        <w:t xml:space="preserve">中的相应报价。此修改须符合本章第 </w:t>
      </w:r>
      <w:r>
        <w:rPr>
          <w:rFonts w:ascii="Times New Roman" w:hAnsi="Times New Roman" w:eastAsia="Times New Roman"/>
          <w:color w:val="auto"/>
          <w:spacing w:val="-5"/>
          <w:highlight w:val="none"/>
        </w:rPr>
        <w:t xml:space="preserve">4.3 </w:t>
      </w:r>
      <w:r>
        <w:rPr>
          <w:rFonts w:ascii="宋体" w:hAnsi="宋体" w:eastAsia="宋体"/>
          <w:color w:val="auto"/>
          <w:spacing w:val="-5"/>
          <w:highlight w:val="none"/>
        </w:rPr>
        <w:t>款的</w:t>
      </w:r>
      <w:r>
        <w:rPr>
          <w:rFonts w:ascii="宋体" w:hAnsi="宋体" w:eastAsia="宋体"/>
          <w:color w:val="auto"/>
          <w:spacing w:val="-7"/>
          <w:highlight w:val="none"/>
        </w:rPr>
        <w:t>有</w:t>
      </w:r>
      <w:r>
        <w:rPr>
          <w:rFonts w:ascii="宋体" w:hAnsi="宋体" w:eastAsia="宋体"/>
          <w:color w:val="auto"/>
          <w:spacing w:val="-6"/>
          <w:highlight w:val="none"/>
        </w:rPr>
        <w:t>关要求。</w:t>
      </w:r>
    </w:p>
    <w:p w14:paraId="740EA05A">
      <w:pPr>
        <w:spacing w:before="1" w:line="351" w:lineRule="auto"/>
        <w:ind w:left="1" w:right="1" w:firstLine="419"/>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3.</w:t>
      </w:r>
      <w:r>
        <w:rPr>
          <w:rFonts w:ascii="Times New Roman" w:hAnsi="Times New Roman" w:eastAsia="Times New Roman"/>
          <w:color w:val="auto"/>
          <w:spacing w:val="-4"/>
          <w:highlight w:val="none"/>
        </w:rPr>
        <w:t xml:space="preserve">2.4 </w:t>
      </w:r>
      <w:r>
        <w:rPr>
          <w:rFonts w:ascii="宋体" w:hAnsi="宋体" w:eastAsia="宋体"/>
          <w:color w:val="auto"/>
          <w:spacing w:val="-4"/>
          <w:highlight w:val="none"/>
        </w:rPr>
        <w:t xml:space="preserve"> 投标报价不符合国家颁布的勘察设计取费标准，或者低于成本，设有最高投标限价的，投标人的投标报价不得超过最高投标限价，最高投标限价在投标</w:t>
      </w:r>
      <w:r>
        <w:rPr>
          <w:rFonts w:ascii="宋体" w:hAnsi="宋体" w:eastAsia="宋体"/>
          <w:color w:val="auto"/>
          <w:spacing w:val="-2"/>
          <w:highlight w:val="none"/>
        </w:rPr>
        <w:t>人须知前附表中载明。</w:t>
      </w:r>
    </w:p>
    <w:p w14:paraId="6035046C">
      <w:pPr>
        <w:spacing w:line="218" w:lineRule="auto"/>
        <w:ind w:left="421"/>
        <w:rPr>
          <w:rFonts w:hint="eastAsia" w:ascii="宋体" w:hAnsi="宋体" w:eastAsia="宋体"/>
          <w:color w:val="auto"/>
          <w:spacing w:val="-1"/>
          <w:highlight w:val="none"/>
        </w:rPr>
      </w:pPr>
      <w:r>
        <w:rPr>
          <w:rFonts w:ascii="Times New Roman" w:hAnsi="Times New Roman" w:eastAsia="Times New Roman"/>
          <w:color w:val="auto"/>
          <w:spacing w:val="-2"/>
          <w:highlight w:val="none"/>
        </w:rPr>
        <w:t xml:space="preserve">3.2.5  </w:t>
      </w:r>
      <w:r>
        <w:rPr>
          <w:rFonts w:ascii="宋体" w:hAnsi="宋体" w:eastAsia="宋体"/>
          <w:color w:val="auto"/>
          <w:spacing w:val="-2"/>
          <w:highlight w:val="none"/>
        </w:rPr>
        <w:t>投标报价</w:t>
      </w:r>
      <w:r>
        <w:rPr>
          <w:rFonts w:ascii="宋体" w:hAnsi="宋体" w:eastAsia="宋体"/>
          <w:color w:val="auto"/>
          <w:spacing w:val="-1"/>
          <w:highlight w:val="none"/>
        </w:rPr>
        <w:t>的其他要求见投标人须知前附表。</w:t>
      </w:r>
    </w:p>
    <w:p w14:paraId="421F6F39">
      <w:pPr>
        <w:pStyle w:val="9"/>
        <w:rPr>
          <w:rFonts w:eastAsiaTheme="minorEastAsia"/>
          <w:color w:val="auto"/>
          <w:highlight w:val="none"/>
        </w:rPr>
      </w:pPr>
    </w:p>
    <w:p w14:paraId="13423FB9">
      <w:pPr>
        <w:rPr>
          <w:rFonts w:ascii="Times New Roman" w:hAnsi="Times New Roman" w:eastAsia="Times New Roman"/>
          <w:color w:val="auto"/>
          <w:spacing w:val="10"/>
          <w:sz w:val="27"/>
          <w:szCs w:val="27"/>
          <w:highlight w:val="none"/>
        </w:rPr>
      </w:pPr>
      <w:bookmarkStart w:id="122" w:name="_Toc5074"/>
      <w:bookmarkStart w:id="123" w:name="_Toc5500"/>
      <w:bookmarkStart w:id="124" w:name="_Toc29536"/>
      <w:bookmarkStart w:id="125" w:name="_Toc10086"/>
      <w:bookmarkStart w:id="126" w:name="_Toc3010"/>
      <w:r>
        <w:rPr>
          <w:rFonts w:ascii="Times New Roman" w:hAnsi="Times New Roman" w:eastAsia="Times New Roman"/>
          <w:color w:val="auto"/>
          <w:spacing w:val="10"/>
          <w:sz w:val="27"/>
          <w:szCs w:val="27"/>
          <w:highlight w:val="none"/>
        </w:rPr>
        <w:t>3</w:t>
      </w:r>
      <w:r>
        <w:rPr>
          <w:rFonts w:ascii="Times New Roman" w:hAnsi="Times New Roman" w:eastAsia="Times New Roman"/>
          <w:color w:val="auto"/>
          <w:spacing w:val="6"/>
          <w:sz w:val="27"/>
          <w:szCs w:val="27"/>
          <w:highlight w:val="none"/>
        </w:rPr>
        <w:t>.</w:t>
      </w:r>
      <w:r>
        <w:rPr>
          <w:rFonts w:ascii="Times New Roman" w:hAnsi="Times New Roman" w:eastAsia="Times New Roman"/>
          <w:color w:val="auto"/>
          <w:spacing w:val="5"/>
          <w:sz w:val="27"/>
          <w:szCs w:val="27"/>
          <w:highlight w:val="none"/>
        </w:rPr>
        <w:t xml:space="preserve">3  </w:t>
      </w:r>
      <w:r>
        <w:rPr>
          <w:rFonts w:ascii="黑体" w:hAnsi="黑体" w:eastAsia="黑体"/>
          <w:color w:val="auto"/>
          <w:spacing w:val="5"/>
          <w:sz w:val="27"/>
          <w:szCs w:val="27"/>
          <w:highlight w:val="none"/>
        </w:rPr>
        <w:t>投标有效期</w:t>
      </w:r>
      <w:bookmarkEnd w:id="122"/>
      <w:bookmarkEnd w:id="123"/>
      <w:bookmarkEnd w:id="124"/>
      <w:bookmarkEnd w:id="125"/>
      <w:bookmarkEnd w:id="126"/>
    </w:p>
    <w:p w14:paraId="52A31975">
      <w:pPr>
        <w:spacing w:before="69" w:line="220" w:lineRule="auto"/>
        <w:ind w:left="421"/>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3</w:t>
      </w:r>
      <w:r>
        <w:rPr>
          <w:rFonts w:ascii="Times New Roman" w:hAnsi="Times New Roman" w:eastAsia="Times New Roman"/>
          <w:color w:val="auto"/>
          <w:spacing w:val="-2"/>
          <w:highlight w:val="none"/>
        </w:rPr>
        <w:t xml:space="preserve">.3.1  </w:t>
      </w:r>
      <w:r>
        <w:rPr>
          <w:rFonts w:ascii="宋体" w:hAnsi="宋体" w:eastAsia="宋体"/>
          <w:color w:val="auto"/>
          <w:spacing w:val="-2"/>
          <w:highlight w:val="none"/>
        </w:rPr>
        <w:t xml:space="preserve">除投标人须知前附表另有规定外，投标有效期为 </w:t>
      </w:r>
      <w:r>
        <w:rPr>
          <w:rFonts w:ascii="Times New Roman" w:hAnsi="Times New Roman" w:eastAsia="Times New Roman"/>
          <w:color w:val="auto"/>
          <w:spacing w:val="-2"/>
          <w:highlight w:val="none"/>
        </w:rPr>
        <w:t xml:space="preserve">90 </w:t>
      </w:r>
      <w:r>
        <w:rPr>
          <w:rFonts w:ascii="宋体" w:hAnsi="宋体" w:eastAsia="宋体"/>
          <w:color w:val="auto"/>
          <w:spacing w:val="-2"/>
          <w:highlight w:val="none"/>
        </w:rPr>
        <w:t>天。</w:t>
      </w:r>
    </w:p>
    <w:p w14:paraId="4D79B75C">
      <w:pPr>
        <w:spacing w:before="151" w:line="217" w:lineRule="auto"/>
        <w:ind w:left="421"/>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3.3.2  </w:t>
      </w:r>
      <w:r>
        <w:rPr>
          <w:rFonts w:ascii="宋体" w:hAnsi="宋体" w:eastAsia="宋体"/>
          <w:color w:val="auto"/>
          <w:spacing w:val="-1"/>
          <w:highlight w:val="none"/>
        </w:rPr>
        <w:t>在投标有效期内，投标人撤销投标文件的，应承担招标文件和法律规定</w:t>
      </w:r>
      <w:r>
        <w:rPr>
          <w:rFonts w:ascii="宋体" w:hAnsi="宋体" w:eastAsia="宋体"/>
          <w:color w:val="auto"/>
          <w:highlight w:val="none"/>
        </w:rPr>
        <w:t>的责任。</w:t>
      </w:r>
    </w:p>
    <w:p w14:paraId="57F2CDCF">
      <w:pPr>
        <w:spacing w:before="153" w:line="356" w:lineRule="auto"/>
        <w:ind w:right="2" w:firstLine="421"/>
        <w:rPr>
          <w:rFonts w:hint="eastAsia" w:ascii="宋体" w:hAnsi="宋体" w:eastAsia="宋体"/>
          <w:color w:val="auto"/>
          <w:highlight w:val="none"/>
        </w:rPr>
      </w:pPr>
      <w:r>
        <w:rPr>
          <w:rFonts w:ascii="Times New Roman" w:hAnsi="Times New Roman" w:eastAsia="Times New Roman"/>
          <w:color w:val="auto"/>
          <w:spacing w:val="-8"/>
          <w:highlight w:val="none"/>
        </w:rPr>
        <w:t>3.</w:t>
      </w:r>
      <w:r>
        <w:rPr>
          <w:rFonts w:ascii="Times New Roman" w:hAnsi="Times New Roman" w:eastAsia="Times New Roman"/>
          <w:color w:val="auto"/>
          <w:spacing w:val="-5"/>
          <w:highlight w:val="none"/>
        </w:rPr>
        <w:t>3</w:t>
      </w:r>
      <w:r>
        <w:rPr>
          <w:rFonts w:ascii="Times New Roman" w:hAnsi="Times New Roman" w:eastAsia="Times New Roman"/>
          <w:color w:val="auto"/>
          <w:spacing w:val="-4"/>
          <w:highlight w:val="none"/>
        </w:rPr>
        <w:t xml:space="preserve">.3  </w:t>
      </w:r>
      <w:r>
        <w:rPr>
          <w:rFonts w:ascii="宋体" w:hAnsi="宋体" w:eastAsia="宋体"/>
          <w:color w:val="auto"/>
          <w:spacing w:val="-4"/>
          <w:highlight w:val="none"/>
        </w:rPr>
        <w:t>出现特殊情况需要延长投标有效期的，招标人以书面形式通知所有投标人延长投标有</w:t>
      </w:r>
      <w:r>
        <w:rPr>
          <w:rFonts w:ascii="宋体" w:hAnsi="宋体" w:eastAsia="宋体"/>
          <w:color w:val="auto"/>
          <w:highlight w:val="none"/>
        </w:rPr>
        <w:t xml:space="preserve"> </w:t>
      </w:r>
      <w:r>
        <w:rPr>
          <w:rFonts w:ascii="宋体" w:hAnsi="宋体" w:eastAsia="宋体"/>
          <w:color w:val="auto"/>
          <w:spacing w:val="1"/>
          <w:highlight w:val="none"/>
        </w:rPr>
        <w:t>效期。投标人应予以书面答复，同意</w:t>
      </w:r>
      <w:r>
        <w:rPr>
          <w:rFonts w:ascii="宋体" w:hAnsi="宋体" w:eastAsia="宋体"/>
          <w:color w:val="auto"/>
          <w:highlight w:val="none"/>
        </w:rPr>
        <w:t>延长的</w:t>
      </w:r>
      <w:r>
        <w:rPr>
          <w:rFonts w:hint="eastAsia" w:ascii="宋体" w:hAnsi="宋体" w:eastAsia="宋体"/>
          <w:color w:val="auto"/>
          <w:highlight w:val="none"/>
        </w:rPr>
        <w:t>，</w:t>
      </w:r>
      <w:r>
        <w:rPr>
          <w:rFonts w:ascii="宋体" w:hAnsi="宋体" w:eastAsia="宋体"/>
          <w:color w:val="auto"/>
          <w:highlight w:val="none"/>
        </w:rPr>
        <w:t>应相应延长其</w:t>
      </w:r>
      <w:r>
        <w:rPr>
          <w:rFonts w:ascii="宋体" w:hAnsi="宋体" w:eastAsia="宋体"/>
          <w:strike/>
          <w:color w:val="auto"/>
          <w:highlight w:val="none"/>
        </w:rPr>
        <w:t>投标保证金</w:t>
      </w:r>
      <w:r>
        <w:rPr>
          <w:rFonts w:ascii="宋体" w:hAnsi="宋体" w:eastAsia="宋体"/>
          <w:color w:val="auto"/>
          <w:highlight w:val="none"/>
        </w:rPr>
        <w:t>的有效期</w:t>
      </w:r>
      <w:r>
        <w:rPr>
          <w:rFonts w:hint="eastAsia" w:ascii="宋体" w:hAnsi="宋体" w:eastAsia="宋体"/>
          <w:color w:val="auto"/>
          <w:highlight w:val="none"/>
        </w:rPr>
        <w:t>，</w:t>
      </w:r>
      <w:r>
        <w:rPr>
          <w:rFonts w:ascii="宋体" w:hAnsi="宋体" w:eastAsia="宋体"/>
          <w:color w:val="auto"/>
          <w:highlight w:val="none"/>
        </w:rPr>
        <w:t xml:space="preserve">但不得要求 </w:t>
      </w:r>
      <w:r>
        <w:rPr>
          <w:rFonts w:ascii="宋体" w:hAnsi="宋体" w:eastAsia="宋体"/>
          <w:color w:val="auto"/>
          <w:spacing w:val="1"/>
          <w:highlight w:val="none"/>
        </w:rPr>
        <w:t>或被允许修改其投标文件；投标人拒绝延长的</w:t>
      </w:r>
      <w:r>
        <w:rPr>
          <w:rFonts w:ascii="宋体" w:hAnsi="宋体" w:eastAsia="宋体"/>
          <w:color w:val="auto"/>
          <w:highlight w:val="none"/>
        </w:rPr>
        <w:t>，其投标失效</w:t>
      </w:r>
      <w:r>
        <w:rPr>
          <w:rFonts w:hint="eastAsia" w:ascii="宋体" w:hAnsi="宋体" w:eastAsia="宋体"/>
          <w:color w:val="auto"/>
          <w:highlight w:val="none"/>
        </w:rPr>
        <w:t>，</w:t>
      </w:r>
      <w:r>
        <w:rPr>
          <w:rFonts w:ascii="宋体" w:hAnsi="宋体" w:eastAsia="宋体"/>
          <w:strike/>
          <w:color w:val="auto"/>
          <w:highlight w:val="none"/>
        </w:rPr>
        <w:t>但投标人有权收回其投标保证金</w:t>
      </w:r>
      <w:r>
        <w:rPr>
          <w:rFonts w:hint="eastAsia" w:ascii="宋体" w:hAnsi="宋体" w:eastAsia="宋体"/>
          <w:color w:val="auto"/>
          <w:highlight w:val="none"/>
        </w:rPr>
        <w:t>。</w:t>
      </w:r>
    </w:p>
    <w:p w14:paraId="0013B96F">
      <w:pPr>
        <w:pStyle w:val="9"/>
        <w:rPr>
          <w:rFonts w:eastAsiaTheme="minorEastAsia"/>
          <w:color w:val="auto"/>
          <w:highlight w:val="none"/>
        </w:rPr>
      </w:pPr>
    </w:p>
    <w:p w14:paraId="49787A76">
      <w:pPr>
        <w:rPr>
          <w:rFonts w:ascii="Times New Roman" w:hAnsi="Times New Roman" w:eastAsia="Times New Roman"/>
          <w:color w:val="auto"/>
          <w:spacing w:val="10"/>
          <w:sz w:val="27"/>
          <w:szCs w:val="27"/>
          <w:highlight w:val="none"/>
        </w:rPr>
      </w:pPr>
      <w:bookmarkStart w:id="127" w:name="_Toc11406"/>
      <w:bookmarkStart w:id="128" w:name="_Toc4540"/>
      <w:bookmarkStart w:id="129" w:name="_Toc19957"/>
      <w:bookmarkStart w:id="130" w:name="_Toc10898"/>
      <w:bookmarkStart w:id="131" w:name="_Toc17631"/>
      <w:bookmarkStart w:id="132" w:name="_Hlk183204952"/>
      <w:r>
        <w:rPr>
          <w:rFonts w:ascii="Times New Roman" w:hAnsi="Times New Roman" w:eastAsia="Times New Roman"/>
          <w:color w:val="auto"/>
          <w:spacing w:val="10"/>
          <w:sz w:val="27"/>
          <w:szCs w:val="27"/>
          <w:highlight w:val="none"/>
        </w:rPr>
        <w:t>3</w:t>
      </w:r>
      <w:r>
        <w:rPr>
          <w:rFonts w:ascii="Times New Roman" w:hAnsi="Times New Roman" w:eastAsia="Times New Roman"/>
          <w:color w:val="auto"/>
          <w:spacing w:val="6"/>
          <w:sz w:val="27"/>
          <w:szCs w:val="27"/>
          <w:highlight w:val="none"/>
        </w:rPr>
        <w:t>.</w:t>
      </w:r>
      <w:r>
        <w:rPr>
          <w:rFonts w:ascii="Times New Roman" w:hAnsi="Times New Roman" w:eastAsia="Times New Roman"/>
          <w:color w:val="auto"/>
          <w:spacing w:val="5"/>
          <w:sz w:val="27"/>
          <w:szCs w:val="27"/>
          <w:highlight w:val="none"/>
        </w:rPr>
        <w:t xml:space="preserve">4  </w:t>
      </w:r>
      <w:r>
        <w:rPr>
          <w:rFonts w:ascii="黑体" w:hAnsi="黑体" w:eastAsia="黑体"/>
          <w:color w:val="auto"/>
          <w:spacing w:val="5"/>
          <w:sz w:val="27"/>
          <w:szCs w:val="27"/>
          <w:highlight w:val="none"/>
        </w:rPr>
        <w:t>投标保证金</w:t>
      </w:r>
      <w:bookmarkEnd w:id="127"/>
      <w:bookmarkEnd w:id="128"/>
      <w:bookmarkEnd w:id="129"/>
      <w:bookmarkEnd w:id="130"/>
      <w:bookmarkEnd w:id="131"/>
    </w:p>
    <w:bookmarkEnd w:id="132"/>
    <w:p w14:paraId="15054781">
      <w:pPr>
        <w:spacing w:before="69" w:line="360" w:lineRule="auto"/>
        <w:ind w:firstLine="418" w:firstLineChars="207"/>
        <w:rPr>
          <w:rFonts w:hint="default" w:ascii="Times New Roman" w:hAnsi="Times New Roman" w:eastAsia="Times New Roman" w:cs="Times New Roman"/>
          <w:color w:val="auto"/>
          <w:spacing w:val="-4"/>
          <w:highlight w:val="none"/>
        </w:rPr>
      </w:pPr>
      <w:r>
        <w:rPr>
          <w:rFonts w:hint="default" w:ascii="Times New Roman" w:hAnsi="Times New Roman" w:eastAsia="Times New Roman" w:cs="Times New Roman"/>
          <w:color w:val="auto"/>
          <w:spacing w:val="-4"/>
          <w:highlight w:val="none"/>
        </w:rPr>
        <w:t>3.4.1  本项目免收投标保证金，投标人需提供《关于投标保证金的承诺》（详见投标文件格式）。</w:t>
      </w:r>
    </w:p>
    <w:p w14:paraId="2E583C02">
      <w:pPr>
        <w:spacing w:before="69" w:line="360" w:lineRule="auto"/>
        <w:ind w:firstLine="418" w:firstLineChars="207"/>
        <w:rPr>
          <w:rFonts w:hint="default" w:ascii="Times New Roman" w:hAnsi="Times New Roman" w:eastAsia="Times New Roman" w:cs="Times New Roman"/>
          <w:color w:val="auto"/>
          <w:spacing w:val="-4"/>
          <w:highlight w:val="none"/>
        </w:rPr>
      </w:pPr>
      <w:r>
        <w:rPr>
          <w:rFonts w:hint="default" w:ascii="Times New Roman" w:hAnsi="Times New Roman" w:eastAsia="Times New Roman" w:cs="Times New Roman"/>
          <w:color w:val="auto"/>
          <w:spacing w:val="-4"/>
          <w:highlight w:val="none"/>
        </w:rPr>
        <w:t>3.4.2  若投标人存在3.4.3条款所列不予退还投标保证金情形的，需按照招标人的要求，在发现存在3.4.3条款所列情形之日起5个工作日内向招标人足额补交投标保证金。</w:t>
      </w:r>
    </w:p>
    <w:p w14:paraId="605E7B42">
      <w:pPr>
        <w:spacing w:before="69" w:line="360" w:lineRule="auto"/>
        <w:ind w:firstLine="418" w:firstLineChars="207"/>
        <w:rPr>
          <w:rFonts w:hint="default" w:ascii="Times New Roman" w:hAnsi="Times New Roman" w:eastAsia="Times New Roman" w:cs="Times New Roman"/>
          <w:color w:val="auto"/>
          <w:spacing w:val="-4"/>
          <w:highlight w:val="none"/>
        </w:rPr>
      </w:pPr>
      <w:r>
        <w:rPr>
          <w:rFonts w:hint="default" w:ascii="Times New Roman" w:hAnsi="Times New Roman" w:eastAsia="Times New Roman" w:cs="Times New Roman"/>
          <w:color w:val="auto"/>
          <w:spacing w:val="-4"/>
          <w:highlight w:val="none"/>
        </w:rPr>
        <w:t>3.4.3  有下列情形之一的，投标保证金将不予退还：</w:t>
      </w:r>
    </w:p>
    <w:p w14:paraId="4D497863">
      <w:pPr>
        <w:spacing w:before="69" w:line="360" w:lineRule="auto"/>
        <w:ind w:firstLine="418" w:firstLineChars="207"/>
        <w:rPr>
          <w:rFonts w:hint="default" w:ascii="Times New Roman" w:hAnsi="Times New Roman" w:eastAsia="Times New Roman" w:cs="Times New Roman"/>
          <w:color w:val="auto"/>
          <w:spacing w:val="-4"/>
          <w:highlight w:val="none"/>
        </w:rPr>
      </w:pPr>
      <w:r>
        <w:rPr>
          <w:rFonts w:hint="default" w:ascii="Times New Roman" w:hAnsi="Times New Roman" w:eastAsia="Times New Roman" w:cs="Times New Roman"/>
          <w:color w:val="auto"/>
          <w:spacing w:val="-4"/>
          <w:highlight w:val="none"/>
        </w:rPr>
        <w:t>(1)  投标人在规定的投标有效期内撤销其投标文件；</w:t>
      </w:r>
    </w:p>
    <w:p w14:paraId="5C3E633C">
      <w:pPr>
        <w:spacing w:before="69" w:line="360" w:lineRule="auto"/>
        <w:ind w:firstLine="418" w:firstLineChars="207"/>
        <w:rPr>
          <w:rFonts w:ascii="Times New Roman" w:hAnsi="Times New Roman" w:eastAsiaTheme="minorEastAsia"/>
          <w:color w:val="auto"/>
          <w:spacing w:val="-4"/>
          <w:highlight w:val="none"/>
        </w:rPr>
      </w:pPr>
      <w:r>
        <w:rPr>
          <w:rFonts w:hint="default" w:ascii="Times New Roman" w:hAnsi="Times New Roman" w:eastAsia="Times New Roman" w:cs="Times New Roman"/>
          <w:color w:val="auto"/>
          <w:spacing w:val="-4"/>
          <w:highlight w:val="none"/>
        </w:rPr>
        <w:t>(2)  中标人在收到中标通知书后，无正当理由不与招标人订立合同，在签订合同时向招标 人提出附加条件，或者不按照招标文件要求提交履约保证金。</w:t>
      </w:r>
    </w:p>
    <w:p w14:paraId="074BF88A">
      <w:pPr>
        <w:pStyle w:val="9"/>
        <w:rPr>
          <w:rFonts w:eastAsiaTheme="minorEastAsia"/>
          <w:color w:val="auto"/>
          <w:highlight w:val="none"/>
        </w:rPr>
      </w:pPr>
    </w:p>
    <w:p w14:paraId="656B5A9E">
      <w:pPr>
        <w:rPr>
          <w:rFonts w:ascii="Times New Roman" w:hAnsi="Times New Roman" w:eastAsia="Times New Roman"/>
          <w:color w:val="auto"/>
          <w:spacing w:val="24"/>
          <w:sz w:val="27"/>
          <w:szCs w:val="27"/>
          <w:highlight w:val="none"/>
        </w:rPr>
      </w:pPr>
      <w:bookmarkStart w:id="133" w:name="_Toc27015"/>
      <w:bookmarkStart w:id="134" w:name="_Toc21945"/>
      <w:bookmarkStart w:id="135" w:name="_Toc28903"/>
      <w:bookmarkStart w:id="136" w:name="_Toc5682"/>
      <w:bookmarkStart w:id="137" w:name="_Toc30309"/>
      <w:r>
        <w:rPr>
          <w:rFonts w:ascii="Times New Roman" w:hAnsi="Times New Roman" w:eastAsia="Times New Roman"/>
          <w:color w:val="auto"/>
          <w:spacing w:val="24"/>
          <w:sz w:val="27"/>
          <w:szCs w:val="27"/>
          <w:highlight w:val="none"/>
        </w:rPr>
        <w:t>3</w:t>
      </w:r>
      <w:r>
        <w:rPr>
          <w:rFonts w:ascii="Times New Roman" w:hAnsi="Times New Roman" w:eastAsia="Times New Roman"/>
          <w:color w:val="auto"/>
          <w:spacing w:val="15"/>
          <w:sz w:val="27"/>
          <w:szCs w:val="27"/>
          <w:highlight w:val="none"/>
        </w:rPr>
        <w:t>.</w:t>
      </w:r>
      <w:r>
        <w:rPr>
          <w:rFonts w:ascii="Times New Roman" w:hAnsi="Times New Roman" w:eastAsia="Times New Roman"/>
          <w:color w:val="auto"/>
          <w:spacing w:val="12"/>
          <w:sz w:val="27"/>
          <w:szCs w:val="27"/>
          <w:highlight w:val="none"/>
        </w:rPr>
        <w:t xml:space="preserve">5  </w:t>
      </w:r>
      <w:r>
        <w:rPr>
          <w:rFonts w:ascii="黑体" w:hAnsi="黑体" w:eastAsia="黑体"/>
          <w:color w:val="auto"/>
          <w:spacing w:val="12"/>
          <w:sz w:val="27"/>
          <w:szCs w:val="27"/>
          <w:highlight w:val="none"/>
        </w:rPr>
        <w:t>资格审查资料</w:t>
      </w:r>
      <w:bookmarkEnd w:id="133"/>
      <w:bookmarkEnd w:id="134"/>
      <w:bookmarkEnd w:id="135"/>
      <w:bookmarkEnd w:id="136"/>
      <w:bookmarkEnd w:id="137"/>
    </w:p>
    <w:p w14:paraId="17A34035">
      <w:pPr>
        <w:spacing w:before="68" w:line="352" w:lineRule="auto"/>
        <w:ind w:left="7" w:right="44" w:firstLine="413"/>
        <w:rPr>
          <w:rFonts w:hint="default" w:ascii="宋体" w:hAnsi="宋体" w:eastAsia="宋体" w:cs="Times New Roman"/>
          <w:color w:val="auto"/>
          <w:spacing w:val="-2"/>
          <w:highlight w:val="none"/>
        </w:rPr>
      </w:pPr>
      <w:r>
        <w:rPr>
          <w:rFonts w:hint="default" w:ascii="宋体" w:hAnsi="宋体" w:eastAsia="宋体" w:cs="Times New Roman"/>
          <w:color w:val="auto"/>
          <w:spacing w:val="-2"/>
          <w:highlight w:val="none"/>
        </w:rPr>
        <w:t>除投标人须知前附表另有规定外，投标人应按下列规定提供资格审查资料， 以证明其满足 本章第 1.4 款规定的资质、财务、业绩、信誉等要求。</w:t>
      </w:r>
    </w:p>
    <w:p w14:paraId="50DAE764">
      <w:pPr>
        <w:spacing w:before="68" w:line="352" w:lineRule="auto"/>
        <w:ind w:left="7" w:right="44" w:firstLine="413"/>
        <w:rPr>
          <w:rFonts w:hint="default" w:ascii="宋体" w:hAnsi="宋体" w:eastAsia="宋体" w:cs="Times New Roman"/>
          <w:color w:val="auto"/>
          <w:spacing w:val="-2"/>
          <w:highlight w:val="none"/>
          <w:u w:val="single"/>
        </w:rPr>
      </w:pPr>
      <w:r>
        <w:rPr>
          <w:rFonts w:hint="default" w:ascii="宋体" w:hAnsi="宋体" w:eastAsia="宋体" w:cs="Times New Roman"/>
          <w:color w:val="auto"/>
          <w:spacing w:val="-2"/>
          <w:highlight w:val="none"/>
        </w:rPr>
        <w:t>3.5.1</w:t>
      </w:r>
      <w:r>
        <w:rPr>
          <w:rFonts w:hint="default" w:ascii="宋体" w:hAnsi="宋体" w:eastAsia="宋体" w:cs="Times New Roman"/>
          <w:color w:val="auto"/>
          <w:spacing w:val="-2"/>
          <w:highlight w:val="none"/>
          <w:u w:val="single"/>
        </w:rPr>
        <w:t>本项目采用电子化资格后审，由评标委员会负责对投标人的资格进行审查，评标时只对通过资格审查的投标人进行下一阶段的评审。</w:t>
      </w:r>
    </w:p>
    <w:p w14:paraId="23A255B4">
      <w:pPr>
        <w:spacing w:before="68" w:line="352" w:lineRule="auto"/>
        <w:ind w:left="7" w:right="44" w:firstLine="413"/>
        <w:rPr>
          <w:rFonts w:hint="eastAsia" w:ascii="宋体" w:hAnsi="宋体" w:eastAsia="宋体" w:cs="Times New Roman"/>
          <w:color w:val="auto"/>
          <w:spacing w:val="-2"/>
          <w:highlight w:val="none"/>
        </w:rPr>
      </w:pPr>
      <w:r>
        <w:rPr>
          <w:rFonts w:hint="default" w:ascii="宋体" w:hAnsi="宋体" w:eastAsia="宋体" w:cs="Times New Roman"/>
          <w:color w:val="auto"/>
          <w:spacing w:val="-2"/>
          <w:highlight w:val="none"/>
          <w:u w:val="single"/>
        </w:rPr>
        <w:t>资审合格后，投标人的资格发生变化而不满足投标人合格条件，在发出中标通知书前，资格问题仍未解决的，招标人将取消其中标资格。</w:t>
      </w:r>
    </w:p>
    <w:p w14:paraId="1371A994">
      <w:pPr>
        <w:pStyle w:val="9"/>
        <w:rPr>
          <w:rFonts w:eastAsiaTheme="minorEastAsia"/>
          <w:color w:val="auto"/>
          <w:highlight w:val="none"/>
        </w:rPr>
      </w:pPr>
    </w:p>
    <w:p w14:paraId="6DE4D564">
      <w:pPr>
        <w:rPr>
          <w:rFonts w:ascii="Times New Roman" w:hAnsi="Times New Roman" w:eastAsia="Times New Roman"/>
          <w:color w:val="auto"/>
          <w:spacing w:val="7"/>
          <w:sz w:val="27"/>
          <w:szCs w:val="27"/>
          <w:highlight w:val="none"/>
        </w:rPr>
      </w:pPr>
      <w:bookmarkStart w:id="138" w:name="_Toc16079"/>
      <w:bookmarkStart w:id="139" w:name="_Toc15266"/>
      <w:bookmarkStart w:id="140" w:name="_Toc11556"/>
      <w:bookmarkStart w:id="141" w:name="_Toc9669"/>
      <w:bookmarkStart w:id="142" w:name="_Toc6032"/>
      <w:r>
        <w:rPr>
          <w:rFonts w:ascii="Times New Roman" w:hAnsi="Times New Roman" w:eastAsia="Times New Roman"/>
          <w:color w:val="auto"/>
          <w:spacing w:val="7"/>
          <w:sz w:val="27"/>
          <w:szCs w:val="27"/>
          <w:highlight w:val="none"/>
        </w:rPr>
        <w:t>3</w:t>
      </w:r>
      <w:r>
        <w:rPr>
          <w:rFonts w:ascii="Times New Roman" w:hAnsi="Times New Roman" w:eastAsia="Times New Roman"/>
          <w:color w:val="auto"/>
          <w:spacing w:val="6"/>
          <w:sz w:val="27"/>
          <w:szCs w:val="27"/>
          <w:highlight w:val="none"/>
        </w:rPr>
        <w:t xml:space="preserve">.6  </w:t>
      </w:r>
      <w:r>
        <w:rPr>
          <w:rFonts w:ascii="黑体" w:hAnsi="黑体" w:eastAsia="黑体"/>
          <w:color w:val="auto"/>
          <w:spacing w:val="6"/>
          <w:sz w:val="27"/>
          <w:szCs w:val="27"/>
          <w:highlight w:val="none"/>
        </w:rPr>
        <w:t>备选投标方案</w:t>
      </w:r>
      <w:bookmarkEnd w:id="138"/>
      <w:bookmarkEnd w:id="139"/>
      <w:bookmarkEnd w:id="140"/>
      <w:bookmarkEnd w:id="141"/>
      <w:bookmarkEnd w:id="142"/>
    </w:p>
    <w:p w14:paraId="422023E9">
      <w:pPr>
        <w:spacing w:before="68" w:line="352" w:lineRule="auto"/>
        <w:ind w:left="7" w:right="44" w:firstLine="413"/>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3.6.1  </w:t>
      </w:r>
      <w:r>
        <w:rPr>
          <w:rFonts w:ascii="宋体" w:hAnsi="宋体" w:eastAsia="宋体"/>
          <w:color w:val="auto"/>
          <w:spacing w:val="-2"/>
          <w:highlight w:val="none"/>
        </w:rPr>
        <w:t>除投标人须知前附表规定允许外，投标人不得递交备选投标方案，否则其投标</w:t>
      </w:r>
      <w:r>
        <w:rPr>
          <w:rFonts w:ascii="宋体" w:hAnsi="宋体" w:eastAsia="宋体"/>
          <w:color w:val="auto"/>
          <w:spacing w:val="-1"/>
          <w:highlight w:val="none"/>
        </w:rPr>
        <w:t>将</w:t>
      </w:r>
      <w:r>
        <w:rPr>
          <w:rFonts w:ascii="宋体" w:hAnsi="宋体" w:eastAsia="宋体"/>
          <w:color w:val="auto"/>
          <w:highlight w:val="none"/>
        </w:rPr>
        <w:t>被否</w:t>
      </w:r>
      <w:r>
        <w:rPr>
          <w:rFonts w:ascii="宋体" w:hAnsi="宋体" w:eastAsia="宋体"/>
          <w:color w:val="auto"/>
          <w:spacing w:val="-12"/>
          <w:highlight w:val="none"/>
        </w:rPr>
        <w:t>决</w:t>
      </w:r>
      <w:r>
        <w:rPr>
          <w:rFonts w:ascii="宋体" w:hAnsi="宋体" w:eastAsia="宋体"/>
          <w:color w:val="auto"/>
          <w:spacing w:val="-11"/>
          <w:highlight w:val="none"/>
        </w:rPr>
        <w:t>。</w:t>
      </w:r>
    </w:p>
    <w:p w14:paraId="3B36087D">
      <w:pPr>
        <w:spacing w:before="2" w:line="351" w:lineRule="auto"/>
        <w:ind w:firstLine="421"/>
        <w:rPr>
          <w:rFonts w:ascii="Times New Roman" w:hAnsi="Times New Roman" w:eastAsia="Times New Roman"/>
          <w:strike/>
          <w:color w:val="auto"/>
          <w:spacing w:val="-1"/>
          <w:highlight w:val="none"/>
        </w:rPr>
      </w:pPr>
      <w:r>
        <w:rPr>
          <w:rFonts w:ascii="Times New Roman" w:hAnsi="Times New Roman" w:eastAsia="Times New Roman"/>
          <w:strike/>
          <w:color w:val="auto"/>
          <w:spacing w:val="-1"/>
          <w:highlight w:val="none"/>
        </w:rPr>
        <w:t xml:space="preserve">3.6.2  </w:t>
      </w:r>
      <w:r>
        <w:rPr>
          <w:rFonts w:ascii="宋体" w:hAnsi="宋体" w:eastAsia="宋体"/>
          <w:strike/>
          <w:color w:val="auto"/>
          <w:spacing w:val="-1"/>
          <w:highlight w:val="none"/>
        </w:rPr>
        <w:t>允许投标人递交备选投标方案的，只有中标人所递交的备选投标方案方</w:t>
      </w:r>
      <w:r>
        <w:rPr>
          <w:rFonts w:ascii="宋体" w:hAnsi="宋体" w:eastAsia="宋体"/>
          <w:strike/>
          <w:color w:val="auto"/>
          <w:highlight w:val="none"/>
        </w:rPr>
        <w:t>可予以考虑</w:t>
      </w:r>
      <w:r>
        <w:rPr>
          <w:rFonts w:hint="eastAsia" w:ascii="宋体" w:hAnsi="宋体" w:eastAsia="宋体"/>
          <w:strike/>
          <w:color w:val="auto"/>
          <w:highlight w:val="none"/>
        </w:rPr>
        <w:t>。</w:t>
      </w:r>
      <w:r>
        <w:rPr>
          <w:rFonts w:ascii="宋体" w:hAnsi="宋体" w:eastAsia="宋体"/>
          <w:strike/>
          <w:color w:val="auto"/>
          <w:spacing w:val="1"/>
          <w:highlight w:val="none"/>
        </w:rPr>
        <w:t>评标委员会认为中标人的备选投标方</w:t>
      </w:r>
      <w:r>
        <w:rPr>
          <w:rFonts w:ascii="宋体" w:hAnsi="宋体" w:eastAsia="宋体"/>
          <w:strike/>
          <w:color w:val="auto"/>
          <w:highlight w:val="none"/>
        </w:rPr>
        <w:t xml:space="preserve">案优于其按照招标文件要求编制的投标方案的，招标人可 </w:t>
      </w:r>
      <w:r>
        <w:rPr>
          <w:rFonts w:ascii="宋体" w:hAnsi="宋体" w:eastAsia="宋体"/>
          <w:strike/>
          <w:color w:val="auto"/>
          <w:spacing w:val="-4"/>
          <w:highlight w:val="none"/>
        </w:rPr>
        <w:t>以</w:t>
      </w:r>
      <w:r>
        <w:rPr>
          <w:rFonts w:ascii="宋体" w:hAnsi="宋体" w:eastAsia="宋体"/>
          <w:strike/>
          <w:color w:val="auto"/>
          <w:spacing w:val="-3"/>
          <w:highlight w:val="none"/>
        </w:rPr>
        <w:t>接受该备选投标方案。</w:t>
      </w:r>
    </w:p>
    <w:p w14:paraId="14F62A7F">
      <w:pPr>
        <w:spacing w:before="1" w:line="360" w:lineRule="auto"/>
        <w:ind w:left="1" w:right="44" w:firstLine="419"/>
        <w:rPr>
          <w:rFonts w:hint="eastAsia" w:ascii="宋体" w:hAnsi="宋体" w:eastAsia="宋体"/>
          <w:strike/>
          <w:color w:val="auto"/>
          <w:spacing w:val="-1"/>
          <w:highlight w:val="none"/>
        </w:rPr>
      </w:pPr>
      <w:r>
        <w:rPr>
          <w:rFonts w:ascii="Times New Roman" w:hAnsi="Times New Roman" w:eastAsia="Times New Roman"/>
          <w:strike/>
          <w:color w:val="auto"/>
          <w:spacing w:val="-2"/>
          <w:highlight w:val="none"/>
        </w:rPr>
        <w:t xml:space="preserve">3.6.3  </w:t>
      </w:r>
      <w:r>
        <w:rPr>
          <w:rFonts w:ascii="宋体" w:hAnsi="宋体" w:eastAsia="宋体"/>
          <w:strike/>
          <w:color w:val="auto"/>
          <w:spacing w:val="-2"/>
          <w:highlight w:val="none"/>
        </w:rPr>
        <w:t>投标人提供两个或两个以上投标报价，或者在投标文件中提供一个报价，但同</w:t>
      </w:r>
      <w:r>
        <w:rPr>
          <w:rFonts w:ascii="宋体" w:hAnsi="宋体" w:eastAsia="宋体"/>
          <w:strike/>
          <w:color w:val="auto"/>
          <w:spacing w:val="-1"/>
          <w:highlight w:val="none"/>
        </w:rPr>
        <w:t>时</w:t>
      </w:r>
      <w:r>
        <w:rPr>
          <w:rFonts w:ascii="宋体" w:hAnsi="宋体" w:eastAsia="宋体"/>
          <w:strike/>
          <w:color w:val="auto"/>
          <w:highlight w:val="none"/>
        </w:rPr>
        <w:t xml:space="preserve">提供 </w:t>
      </w:r>
      <w:r>
        <w:rPr>
          <w:rFonts w:ascii="宋体" w:hAnsi="宋体" w:eastAsia="宋体"/>
          <w:strike/>
          <w:color w:val="auto"/>
          <w:spacing w:val="-2"/>
          <w:highlight w:val="none"/>
        </w:rPr>
        <w:t>两个或两个以上</w:t>
      </w:r>
      <w:r>
        <w:rPr>
          <w:rFonts w:hint="eastAsia" w:ascii="宋体" w:hAnsi="宋体" w:eastAsia="宋体"/>
          <w:strike/>
          <w:color w:val="auto"/>
          <w:spacing w:val="-2"/>
          <w:highlight w:val="none"/>
        </w:rPr>
        <w:t>勘察</w:t>
      </w:r>
      <w:r>
        <w:rPr>
          <w:rFonts w:ascii="宋体" w:hAnsi="宋体" w:eastAsia="宋体"/>
          <w:strike/>
          <w:color w:val="auto"/>
          <w:spacing w:val="-2"/>
          <w:highlight w:val="none"/>
        </w:rPr>
        <w:t>设计方案的，视为</w:t>
      </w:r>
      <w:r>
        <w:rPr>
          <w:rFonts w:ascii="宋体" w:hAnsi="宋体" w:eastAsia="宋体"/>
          <w:strike/>
          <w:color w:val="auto"/>
          <w:spacing w:val="-1"/>
          <w:highlight w:val="none"/>
        </w:rPr>
        <w:t>提供备选方案。</w:t>
      </w:r>
    </w:p>
    <w:p w14:paraId="28E47682">
      <w:pPr>
        <w:pStyle w:val="9"/>
        <w:rPr>
          <w:rFonts w:eastAsiaTheme="minorEastAsia"/>
          <w:color w:val="auto"/>
          <w:highlight w:val="none"/>
        </w:rPr>
      </w:pPr>
    </w:p>
    <w:p w14:paraId="565C3A2D">
      <w:pPr>
        <w:rPr>
          <w:rFonts w:ascii="Times New Roman" w:hAnsi="Times New Roman" w:eastAsia="Times New Roman"/>
          <w:color w:val="auto"/>
          <w:spacing w:val="10"/>
          <w:sz w:val="27"/>
          <w:szCs w:val="27"/>
          <w:highlight w:val="none"/>
        </w:rPr>
      </w:pPr>
      <w:bookmarkStart w:id="143" w:name="_Toc9249"/>
      <w:bookmarkStart w:id="144" w:name="_Toc28058"/>
      <w:bookmarkStart w:id="145" w:name="_Toc22875"/>
      <w:bookmarkStart w:id="146" w:name="_Toc22549"/>
      <w:bookmarkStart w:id="147" w:name="_Toc6029"/>
      <w:r>
        <w:rPr>
          <w:rFonts w:ascii="Times New Roman" w:hAnsi="Times New Roman" w:eastAsia="Times New Roman"/>
          <w:color w:val="auto"/>
          <w:spacing w:val="10"/>
          <w:sz w:val="27"/>
          <w:szCs w:val="27"/>
          <w:highlight w:val="none"/>
        </w:rPr>
        <w:t>3</w:t>
      </w:r>
      <w:r>
        <w:rPr>
          <w:rFonts w:ascii="Times New Roman" w:hAnsi="Times New Roman" w:eastAsia="Times New Roman"/>
          <w:color w:val="auto"/>
          <w:spacing w:val="6"/>
          <w:sz w:val="27"/>
          <w:szCs w:val="27"/>
          <w:highlight w:val="none"/>
        </w:rPr>
        <w:t xml:space="preserve">.7  </w:t>
      </w:r>
      <w:r>
        <w:rPr>
          <w:rFonts w:ascii="黑体" w:hAnsi="黑体" w:eastAsia="黑体"/>
          <w:color w:val="auto"/>
          <w:spacing w:val="6"/>
          <w:sz w:val="27"/>
          <w:szCs w:val="27"/>
          <w:highlight w:val="none"/>
        </w:rPr>
        <w:t>投标文件的编制</w:t>
      </w:r>
      <w:bookmarkEnd w:id="143"/>
      <w:bookmarkEnd w:id="144"/>
      <w:bookmarkEnd w:id="145"/>
      <w:bookmarkEnd w:id="146"/>
      <w:bookmarkEnd w:id="147"/>
    </w:p>
    <w:p w14:paraId="3B18F0EE">
      <w:pPr>
        <w:spacing w:before="69" w:line="352" w:lineRule="auto"/>
        <w:ind w:right="43" w:firstLine="421"/>
        <w:rPr>
          <w:rFonts w:ascii="Times New Roman" w:hAnsi="Times New Roman" w:eastAsia="Times New Roman"/>
          <w:color w:val="auto"/>
          <w:spacing w:val="-10"/>
          <w:highlight w:val="none"/>
        </w:rPr>
      </w:pPr>
      <w:r>
        <w:rPr>
          <w:rFonts w:ascii="Times New Roman" w:hAnsi="Times New Roman" w:eastAsia="Times New Roman"/>
          <w:color w:val="auto"/>
          <w:spacing w:val="-10"/>
          <w:highlight w:val="none"/>
        </w:rPr>
        <w:t>3.7.1</w:t>
      </w:r>
      <w:r>
        <w:rPr>
          <w:rFonts w:hint="eastAsia" w:ascii="Times New Roman" w:hAnsi="Times New Roman" w:eastAsia="宋体"/>
          <w:color w:val="auto"/>
          <w:spacing w:val="-10"/>
          <w:highlight w:val="none"/>
        </w:rPr>
        <w:t xml:space="preserve"> </w:t>
      </w:r>
      <w:r>
        <w:rPr>
          <w:rFonts w:ascii="Times New Roman" w:hAnsi="Times New Roman" w:eastAsia="Times New Roman"/>
          <w:color w:val="auto"/>
          <w:spacing w:val="-10"/>
          <w:highlight w:val="none"/>
        </w:rPr>
        <w:t xml:space="preserve"> </w:t>
      </w:r>
      <w:r>
        <w:rPr>
          <w:rFonts w:ascii="Times New Roman" w:hAnsi="Times New Roman" w:eastAsia="Times New Roman"/>
          <w:color w:val="auto"/>
          <w:spacing w:val="-8"/>
          <w:highlight w:val="none"/>
        </w:rPr>
        <w:t xml:space="preserve"> </w:t>
      </w:r>
      <w:r>
        <w:rPr>
          <w:rFonts w:ascii="宋体" w:hAnsi="宋体" w:eastAsia="宋体"/>
          <w:color w:val="auto"/>
          <w:spacing w:val="-5"/>
          <w:highlight w:val="none"/>
        </w:rPr>
        <w:t>投标文件应按第六章</w:t>
      </w:r>
      <w:r>
        <w:rPr>
          <w:rFonts w:ascii="Times New Roman" w:hAnsi="Times New Roman" w:eastAsia="Times New Roman"/>
          <w:color w:val="auto"/>
          <w:spacing w:val="-5"/>
          <w:highlight w:val="none"/>
        </w:rPr>
        <w:t>“</w:t>
      </w:r>
      <w:r>
        <w:rPr>
          <w:rFonts w:ascii="宋体" w:hAnsi="宋体" w:eastAsia="宋体"/>
          <w:color w:val="auto"/>
          <w:spacing w:val="-5"/>
          <w:highlight w:val="none"/>
        </w:rPr>
        <w:t>投标文件格式</w:t>
      </w:r>
      <w:r>
        <w:rPr>
          <w:rFonts w:ascii="Times New Roman" w:hAnsi="Times New Roman" w:eastAsia="Times New Roman"/>
          <w:color w:val="auto"/>
          <w:spacing w:val="-5"/>
          <w:highlight w:val="none"/>
        </w:rPr>
        <w:t>”</w:t>
      </w:r>
      <w:r>
        <w:rPr>
          <w:rFonts w:ascii="宋体" w:hAnsi="宋体" w:eastAsia="宋体"/>
          <w:color w:val="auto"/>
          <w:spacing w:val="-5"/>
          <w:highlight w:val="none"/>
        </w:rPr>
        <w:t>进行编写， 如有必要，可以增加附页， 作为投标</w:t>
      </w:r>
      <w:r>
        <w:rPr>
          <w:rFonts w:ascii="宋体" w:hAnsi="宋体" w:eastAsia="宋体"/>
          <w:color w:val="auto"/>
          <w:spacing w:val="1"/>
          <w:highlight w:val="none"/>
        </w:rPr>
        <w:t>文件的组成部分。其中，投标函附录在</w:t>
      </w:r>
      <w:r>
        <w:rPr>
          <w:rFonts w:ascii="宋体" w:hAnsi="宋体" w:eastAsia="宋体"/>
          <w:color w:val="auto"/>
          <w:highlight w:val="none"/>
        </w:rPr>
        <w:t>满足招标文件实质性要求的基础上，可以提出比招标文</w:t>
      </w:r>
      <w:r>
        <w:rPr>
          <w:rFonts w:ascii="宋体" w:hAnsi="宋体" w:eastAsia="宋体"/>
          <w:color w:val="auto"/>
          <w:spacing w:val="-4"/>
          <w:highlight w:val="none"/>
        </w:rPr>
        <w:t>件要求</w:t>
      </w:r>
      <w:r>
        <w:rPr>
          <w:rFonts w:ascii="宋体" w:hAnsi="宋体" w:eastAsia="宋体"/>
          <w:color w:val="auto"/>
          <w:spacing w:val="-3"/>
          <w:highlight w:val="none"/>
        </w:rPr>
        <w:t>更</w:t>
      </w:r>
      <w:r>
        <w:rPr>
          <w:rFonts w:ascii="宋体" w:hAnsi="宋体" w:eastAsia="宋体"/>
          <w:color w:val="auto"/>
          <w:spacing w:val="-2"/>
          <w:highlight w:val="none"/>
        </w:rPr>
        <w:t>有利于招标人的承诺。</w:t>
      </w:r>
    </w:p>
    <w:p w14:paraId="57EC3146">
      <w:pPr>
        <w:spacing w:before="2" w:line="351" w:lineRule="auto"/>
        <w:ind w:left="5" w:right="46" w:firstLine="415"/>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3.7.2  </w:t>
      </w:r>
      <w:r>
        <w:rPr>
          <w:rFonts w:hint="eastAsia" w:ascii="Times New Roman" w:hAnsi="Times New Roman" w:eastAsia="宋体"/>
          <w:color w:val="auto"/>
          <w:spacing w:val="-2"/>
          <w:highlight w:val="none"/>
        </w:rPr>
        <w:t xml:space="preserve"> </w:t>
      </w:r>
      <w:r>
        <w:rPr>
          <w:rFonts w:ascii="宋体" w:hAnsi="宋体" w:eastAsia="宋体"/>
          <w:color w:val="auto"/>
          <w:spacing w:val="-2"/>
          <w:highlight w:val="none"/>
        </w:rPr>
        <w:t>投标文件应当对招标文件有关</w:t>
      </w:r>
      <w:r>
        <w:rPr>
          <w:rFonts w:hint="eastAsia" w:ascii="宋体" w:hAnsi="宋体" w:eastAsia="宋体"/>
          <w:color w:val="auto"/>
          <w:spacing w:val="-2"/>
          <w:highlight w:val="none"/>
        </w:rPr>
        <w:t>勘察</w:t>
      </w:r>
      <w:r>
        <w:rPr>
          <w:rFonts w:ascii="宋体" w:hAnsi="宋体" w:eastAsia="宋体"/>
          <w:color w:val="auto"/>
          <w:spacing w:val="-2"/>
          <w:highlight w:val="none"/>
        </w:rPr>
        <w:t>设计服务期限、投标有效期、发包人要求、招标范</w:t>
      </w:r>
      <w:r>
        <w:rPr>
          <w:rFonts w:ascii="宋体" w:hAnsi="宋体" w:eastAsia="宋体"/>
          <w:color w:val="auto"/>
          <w:highlight w:val="none"/>
        </w:rPr>
        <w:t>围</w:t>
      </w:r>
      <w:r>
        <w:rPr>
          <w:rFonts w:hint="eastAsia" w:ascii="Times New Roman" w:hAnsi="Times New Roman" w:eastAsia="Times New Roman"/>
          <w:color w:val="auto"/>
          <w:spacing w:val="-2"/>
          <w:highlight w:val="none"/>
        </w:rPr>
        <w:t>等实质性内容作出响应。</w:t>
      </w:r>
    </w:p>
    <w:p w14:paraId="64C84BDD">
      <w:pPr>
        <w:spacing w:before="2" w:line="351" w:lineRule="auto"/>
        <w:ind w:left="5" w:right="46" w:firstLine="415"/>
        <w:rPr>
          <w:rFonts w:ascii="Times New Roman" w:hAnsi="Times New Roman" w:eastAsia="Times New Roman"/>
          <w:color w:val="auto"/>
          <w:spacing w:val="-2"/>
          <w:highlight w:val="none"/>
        </w:rPr>
      </w:pPr>
      <w:r>
        <w:rPr>
          <w:rFonts w:hint="eastAsia" w:ascii="Times New Roman" w:hAnsi="Times New Roman" w:eastAsia="Times New Roman"/>
          <w:color w:val="auto"/>
          <w:spacing w:val="-2"/>
          <w:highlight w:val="none"/>
        </w:rPr>
        <w:t>3.</w:t>
      </w:r>
      <w:r>
        <w:rPr>
          <w:rFonts w:hint="eastAsia" w:ascii="Times New Roman" w:hAnsi="Times New Roman" w:eastAsia="宋体"/>
          <w:color w:val="auto"/>
          <w:spacing w:val="-2"/>
          <w:highlight w:val="none"/>
        </w:rPr>
        <w:t>7</w:t>
      </w:r>
      <w:r>
        <w:rPr>
          <w:rFonts w:hint="eastAsia" w:ascii="Times New Roman" w:hAnsi="Times New Roman" w:eastAsia="Times New Roman"/>
          <w:color w:val="auto"/>
          <w:spacing w:val="-2"/>
          <w:highlight w:val="none"/>
        </w:rPr>
        <w:t>.</w:t>
      </w:r>
      <w:r>
        <w:rPr>
          <w:rFonts w:hint="eastAsia" w:ascii="Times New Roman" w:hAnsi="Times New Roman" w:eastAsia="宋体"/>
          <w:color w:val="auto"/>
          <w:spacing w:val="-2"/>
          <w:highlight w:val="none"/>
        </w:rPr>
        <w:t xml:space="preserve">3   </w:t>
      </w:r>
      <w:r>
        <w:rPr>
          <w:rFonts w:hint="eastAsia" w:ascii="Times New Roman" w:hAnsi="Times New Roman" w:eastAsia="Times New Roman"/>
          <w:color w:val="auto"/>
          <w:spacing w:val="-2"/>
          <w:highlight w:val="none"/>
        </w:rPr>
        <w:t>投标文件全部采用电子文档，投标文件所附证书证件均为原件扫描件</w:t>
      </w:r>
      <w:r>
        <w:rPr>
          <w:rFonts w:hint="eastAsia" w:ascii="Times New Roman" w:hAnsi="Times New Roman" w:eastAsia="宋体"/>
          <w:color w:val="auto"/>
          <w:spacing w:val="-2"/>
          <w:highlight w:val="none"/>
        </w:rPr>
        <w:t>或电子证书</w:t>
      </w:r>
      <w:r>
        <w:rPr>
          <w:rFonts w:hint="eastAsia" w:ascii="Times New Roman" w:hAnsi="Times New Roman" w:eastAsia="Times New Roman"/>
          <w:color w:val="auto"/>
          <w:spacing w:val="-2"/>
          <w:highlight w:val="none"/>
        </w:rPr>
        <w:t>，并采用单位数字证书，按招标文件要求在相应位置加盖电子印章。投标文件中需个人签字或盖章的，应加盖个人电子印章或在线下完成后扫描上传</w:t>
      </w:r>
      <w:r>
        <w:rPr>
          <w:rFonts w:hint="eastAsia" w:ascii="宋体" w:hAnsi="宋体"/>
          <w:color w:val="auto"/>
          <w:highlight w:val="none"/>
        </w:rPr>
        <w:t>（</w:t>
      </w:r>
      <w:r>
        <w:rPr>
          <w:rFonts w:ascii="Calibri" w:hAnsi="Calibri" w:eastAsia="宋体"/>
          <w:color w:val="auto"/>
          <w:kern w:val="2"/>
          <w:szCs w:val="24"/>
          <w:highlight w:val="none"/>
        </w:rPr>
        <w:t>可靠的电子签名与手写签名或者盖章具有同等的法律效力</w:t>
      </w:r>
      <w:r>
        <w:rPr>
          <w:rFonts w:hint="eastAsia" w:ascii="宋体" w:hAnsi="宋体"/>
          <w:color w:val="auto"/>
          <w:highlight w:val="none"/>
        </w:rPr>
        <w:t>）</w:t>
      </w:r>
      <w:r>
        <w:rPr>
          <w:rFonts w:hint="eastAsia" w:ascii="Times New Roman" w:hAnsi="Times New Roman" w:eastAsia="Times New Roman"/>
          <w:color w:val="auto"/>
          <w:spacing w:val="-2"/>
          <w:highlight w:val="none"/>
        </w:rPr>
        <w:t>。按照</w:t>
      </w:r>
      <w:r>
        <w:rPr>
          <w:rFonts w:hint="eastAsia" w:ascii="Times New Roman" w:hAnsi="Times New Roman" w:eastAsia="宋体"/>
          <w:color w:val="auto"/>
          <w:spacing w:val="-2"/>
          <w:highlight w:val="none"/>
        </w:rPr>
        <w:t>广州交易集团有限公司（广州公共资源交易中心）</w:t>
      </w:r>
      <w:r>
        <w:rPr>
          <w:rFonts w:hint="eastAsia" w:ascii="Times New Roman" w:hAnsi="Times New Roman" w:eastAsia="Times New Roman"/>
          <w:color w:val="auto"/>
          <w:spacing w:val="-2"/>
          <w:highlight w:val="none"/>
        </w:rPr>
        <w:t>网站关于全流程电子化项目的相关指南进行操作。</w:t>
      </w:r>
    </w:p>
    <w:p w14:paraId="0180634F">
      <w:pPr>
        <w:spacing w:before="2" w:line="351" w:lineRule="auto"/>
        <w:ind w:left="5" w:right="46" w:firstLine="415"/>
        <w:rPr>
          <w:rFonts w:ascii="Times New Roman" w:hAnsi="Times New Roman" w:eastAsia="Times New Roman"/>
          <w:color w:val="auto"/>
          <w:spacing w:val="-2"/>
          <w:highlight w:val="none"/>
        </w:rPr>
      </w:pPr>
      <w:r>
        <w:rPr>
          <w:rFonts w:hint="eastAsia" w:ascii="Times New Roman" w:hAnsi="Times New Roman" w:eastAsia="Times New Roman"/>
          <w:color w:val="auto"/>
          <w:spacing w:val="-2"/>
          <w:highlight w:val="none"/>
        </w:rPr>
        <w:t>3.</w:t>
      </w:r>
      <w:r>
        <w:rPr>
          <w:rFonts w:hint="eastAsia" w:ascii="Times New Roman" w:hAnsi="Times New Roman" w:eastAsia="宋体"/>
          <w:color w:val="auto"/>
          <w:spacing w:val="-2"/>
          <w:highlight w:val="none"/>
        </w:rPr>
        <w:t>7</w:t>
      </w:r>
      <w:r>
        <w:rPr>
          <w:rFonts w:hint="eastAsia" w:ascii="Times New Roman" w:hAnsi="Times New Roman" w:eastAsia="Times New Roman"/>
          <w:color w:val="auto"/>
          <w:spacing w:val="-2"/>
          <w:highlight w:val="none"/>
        </w:rPr>
        <w:t>.</w:t>
      </w:r>
      <w:r>
        <w:rPr>
          <w:rFonts w:hint="eastAsia" w:ascii="Times New Roman" w:hAnsi="Times New Roman" w:eastAsia="宋体"/>
          <w:color w:val="auto"/>
          <w:spacing w:val="-2"/>
          <w:highlight w:val="none"/>
        </w:rPr>
        <w:t xml:space="preserve">4   </w:t>
      </w:r>
      <w:r>
        <w:rPr>
          <w:rFonts w:hint="eastAsia" w:ascii="Times New Roman" w:hAnsi="Times New Roman" w:eastAsia="Times New Roman"/>
          <w:color w:val="auto"/>
          <w:spacing w:val="-2"/>
          <w:highlight w:val="none"/>
        </w:rPr>
        <w:t>联合体投标时，投标人封面及其他内容落款中的“投标人”应填写联合体各方的单位全称【格式为：（主）XXXX公司（成）XXXX公司】。除联合体共同投标协议需联合体各方按要求共同盖章</w:t>
      </w:r>
      <w:r>
        <w:rPr>
          <w:rFonts w:hint="eastAsia" w:ascii="Times New Roman" w:hAnsi="Times New Roman" w:eastAsia="宋体"/>
          <w:color w:val="auto"/>
          <w:spacing w:val="-2"/>
          <w:highlight w:val="none"/>
        </w:rPr>
        <w:t>或</w:t>
      </w:r>
      <w:r>
        <w:rPr>
          <w:rFonts w:hint="eastAsia" w:ascii="Times New Roman" w:hAnsi="Times New Roman" w:eastAsia="Times New Roman"/>
          <w:color w:val="auto"/>
          <w:spacing w:val="-2"/>
          <w:highlight w:val="none"/>
        </w:rPr>
        <w:t>签字，其余可由联合体</w:t>
      </w:r>
      <w:r>
        <w:rPr>
          <w:rFonts w:hint="eastAsia" w:ascii="Times New Roman" w:hAnsi="Times New Roman" w:eastAsia="宋体"/>
          <w:color w:val="auto"/>
          <w:spacing w:val="-2"/>
          <w:highlight w:val="none"/>
        </w:rPr>
        <w:t>主办方</w:t>
      </w:r>
      <w:r>
        <w:rPr>
          <w:rFonts w:hint="eastAsia" w:ascii="Times New Roman" w:hAnsi="Times New Roman" w:eastAsia="Times New Roman"/>
          <w:color w:val="auto"/>
          <w:spacing w:val="-2"/>
          <w:highlight w:val="none"/>
        </w:rPr>
        <w:t>签字、盖章即可，由联合体</w:t>
      </w:r>
      <w:r>
        <w:rPr>
          <w:rFonts w:hint="eastAsia" w:ascii="Times New Roman" w:hAnsi="Times New Roman" w:eastAsia="宋体"/>
          <w:color w:val="auto"/>
          <w:spacing w:val="-2"/>
          <w:highlight w:val="none"/>
        </w:rPr>
        <w:t>主办方</w:t>
      </w:r>
      <w:r>
        <w:rPr>
          <w:rFonts w:hint="eastAsia" w:ascii="Times New Roman" w:hAnsi="Times New Roman" w:eastAsia="Times New Roman"/>
          <w:color w:val="auto"/>
          <w:spacing w:val="-2"/>
          <w:highlight w:val="none"/>
        </w:rPr>
        <w:t>法人签字的电子投标文件需提供</w:t>
      </w:r>
      <w:r>
        <w:rPr>
          <w:rFonts w:hint="eastAsia" w:ascii="Times New Roman" w:hAnsi="Times New Roman" w:eastAsia="宋体"/>
          <w:color w:val="auto"/>
          <w:spacing w:val="-2"/>
          <w:highlight w:val="none"/>
        </w:rPr>
        <w:t>主办方</w:t>
      </w:r>
      <w:r>
        <w:rPr>
          <w:rFonts w:hint="eastAsia" w:ascii="Times New Roman" w:hAnsi="Times New Roman" w:eastAsia="Times New Roman"/>
          <w:color w:val="auto"/>
          <w:spacing w:val="-2"/>
          <w:highlight w:val="none"/>
        </w:rPr>
        <w:t>法定代表人证明书，若由联合体</w:t>
      </w:r>
      <w:r>
        <w:rPr>
          <w:rFonts w:hint="eastAsia" w:ascii="Times New Roman" w:hAnsi="Times New Roman" w:eastAsia="宋体"/>
          <w:color w:val="auto"/>
          <w:spacing w:val="-2"/>
          <w:highlight w:val="none"/>
        </w:rPr>
        <w:t>主办方</w:t>
      </w:r>
      <w:r>
        <w:rPr>
          <w:rFonts w:hint="eastAsia" w:ascii="Times New Roman" w:hAnsi="Times New Roman" w:eastAsia="Times New Roman"/>
          <w:color w:val="auto"/>
          <w:spacing w:val="-2"/>
          <w:highlight w:val="none"/>
        </w:rPr>
        <w:t>法定代表人授权签字的电子投标文件需提供法定代表人证明书及其授权委托书、授权委托人身份证扫描件。</w:t>
      </w:r>
    </w:p>
    <w:p w14:paraId="0232E495">
      <w:pPr>
        <w:spacing w:before="2" w:line="351" w:lineRule="auto"/>
        <w:ind w:left="5" w:right="46" w:firstLine="415"/>
        <w:rPr>
          <w:rFonts w:ascii="Times New Roman" w:hAnsi="Times New Roman" w:eastAsiaTheme="minorEastAsia"/>
          <w:color w:val="auto"/>
          <w:spacing w:val="-2"/>
          <w:highlight w:val="none"/>
        </w:rPr>
      </w:pPr>
      <w:r>
        <w:rPr>
          <w:rFonts w:hint="eastAsia" w:ascii="Times New Roman" w:hAnsi="Times New Roman" w:eastAsia="Times New Roman"/>
          <w:color w:val="auto"/>
          <w:spacing w:val="-2"/>
          <w:highlight w:val="none"/>
        </w:rPr>
        <w:t>3.7.5   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14:paraId="3A1D226E">
      <w:pPr>
        <w:pStyle w:val="9"/>
        <w:rPr>
          <w:rFonts w:eastAsiaTheme="minorEastAsia"/>
          <w:color w:val="auto"/>
          <w:highlight w:val="none"/>
        </w:rPr>
      </w:pPr>
    </w:p>
    <w:p w14:paraId="0B9067A1">
      <w:pPr>
        <w:pStyle w:val="26"/>
        <w:spacing w:before="120" w:after="120"/>
        <w:outlineLvl w:val="9"/>
        <w:rPr>
          <w:rFonts w:ascii="Times New Roman" w:hAnsi="Times New Roman" w:eastAsia="Times New Roman"/>
          <w:bCs/>
          <w:color w:val="auto"/>
          <w:spacing w:val="6"/>
          <w:sz w:val="31"/>
          <w:szCs w:val="31"/>
          <w:highlight w:val="none"/>
        </w:rPr>
      </w:pPr>
      <w:bookmarkStart w:id="148" w:name="_Toc12551"/>
      <w:bookmarkStart w:id="149" w:name="_Toc25877"/>
      <w:bookmarkStart w:id="150" w:name="_Toc8579"/>
      <w:bookmarkStart w:id="151" w:name="_Toc13817"/>
      <w:bookmarkStart w:id="152" w:name="_Toc21673"/>
      <w:r>
        <w:rPr>
          <w:rFonts w:ascii="Times New Roman" w:hAnsi="Times New Roman" w:eastAsia="Times New Roman"/>
          <w:bCs/>
          <w:color w:val="auto"/>
          <w:spacing w:val="6"/>
          <w:sz w:val="31"/>
          <w:szCs w:val="31"/>
          <w:highlight w:val="none"/>
        </w:rPr>
        <w:t>4</w:t>
      </w:r>
      <w:r>
        <w:rPr>
          <w:rFonts w:ascii="Times New Roman" w:hAnsi="Times New Roman" w:eastAsia="Times New Roman"/>
          <w:bCs/>
          <w:color w:val="auto"/>
          <w:spacing w:val="4"/>
          <w:sz w:val="31"/>
          <w:szCs w:val="31"/>
          <w:highlight w:val="none"/>
        </w:rPr>
        <w:t>.</w:t>
      </w:r>
      <w:r>
        <w:rPr>
          <w:rFonts w:ascii="Times New Roman" w:hAnsi="Times New Roman" w:eastAsia="Times New Roman"/>
          <w:color w:val="auto"/>
          <w:spacing w:val="4"/>
          <w:sz w:val="31"/>
          <w:szCs w:val="31"/>
          <w:highlight w:val="none"/>
        </w:rPr>
        <w:t xml:space="preserve">  </w:t>
      </w:r>
      <w:r>
        <w:rPr>
          <w:rFonts w:ascii="黑体" w:hAnsi="黑体" w:eastAsia="黑体"/>
          <w:color w:val="auto"/>
          <w:spacing w:val="4"/>
          <w:sz w:val="31"/>
          <w:szCs w:val="31"/>
          <w:highlight w:val="none"/>
        </w:rPr>
        <w:t>投标</w:t>
      </w:r>
      <w:bookmarkEnd w:id="148"/>
      <w:bookmarkEnd w:id="149"/>
      <w:bookmarkEnd w:id="150"/>
      <w:bookmarkEnd w:id="151"/>
      <w:bookmarkEnd w:id="152"/>
    </w:p>
    <w:p w14:paraId="341A4D64">
      <w:pPr>
        <w:rPr>
          <w:rFonts w:ascii="Times New Roman" w:hAnsi="Times New Roman" w:eastAsia="Times New Roman"/>
          <w:color w:val="auto"/>
          <w:spacing w:val="14"/>
          <w:sz w:val="27"/>
          <w:szCs w:val="27"/>
          <w:highlight w:val="none"/>
        </w:rPr>
      </w:pPr>
      <w:bookmarkStart w:id="153" w:name="_Toc26104"/>
      <w:bookmarkStart w:id="154" w:name="_Toc26388"/>
      <w:bookmarkStart w:id="155" w:name="_Toc28705"/>
      <w:bookmarkStart w:id="156" w:name="_Toc2460"/>
      <w:bookmarkStart w:id="157" w:name="_Toc28213"/>
      <w:r>
        <w:rPr>
          <w:rFonts w:ascii="Times New Roman" w:hAnsi="Times New Roman" w:eastAsia="Times New Roman"/>
          <w:color w:val="auto"/>
          <w:spacing w:val="14"/>
          <w:sz w:val="27"/>
          <w:szCs w:val="27"/>
          <w:highlight w:val="none"/>
        </w:rPr>
        <w:t>4</w:t>
      </w:r>
      <w:r>
        <w:rPr>
          <w:rFonts w:ascii="Times New Roman" w:hAnsi="Times New Roman" w:eastAsia="Times New Roman"/>
          <w:color w:val="auto"/>
          <w:spacing w:val="10"/>
          <w:sz w:val="27"/>
          <w:szCs w:val="27"/>
          <w:highlight w:val="none"/>
        </w:rPr>
        <w:t>.</w:t>
      </w:r>
      <w:r>
        <w:rPr>
          <w:rFonts w:ascii="Times New Roman" w:hAnsi="Times New Roman" w:eastAsia="Times New Roman"/>
          <w:color w:val="auto"/>
          <w:spacing w:val="7"/>
          <w:sz w:val="27"/>
          <w:szCs w:val="27"/>
          <w:highlight w:val="none"/>
        </w:rPr>
        <w:t xml:space="preserve">1  </w:t>
      </w:r>
      <w:r>
        <w:rPr>
          <w:rFonts w:ascii="黑体" w:hAnsi="黑体" w:eastAsia="黑体"/>
          <w:color w:val="auto"/>
          <w:spacing w:val="7"/>
          <w:sz w:val="27"/>
          <w:szCs w:val="27"/>
          <w:highlight w:val="none"/>
        </w:rPr>
        <w:t>投标文件的密封和标记</w:t>
      </w:r>
      <w:bookmarkEnd w:id="153"/>
      <w:bookmarkEnd w:id="154"/>
      <w:bookmarkEnd w:id="155"/>
      <w:bookmarkEnd w:id="156"/>
      <w:bookmarkEnd w:id="157"/>
    </w:p>
    <w:p w14:paraId="44B8A4F4">
      <w:pPr>
        <w:spacing w:before="68" w:line="352" w:lineRule="auto"/>
        <w:ind w:left="16" w:right="17" w:firstLine="399" w:firstLineChars="192"/>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4.1.1   </w:t>
      </w:r>
      <w:r>
        <w:rPr>
          <w:rFonts w:hint="eastAsia" w:ascii="Times New Roman" w:hAnsi="Times New Roman" w:eastAsia="Times New Roman"/>
          <w:color w:val="auto"/>
          <w:spacing w:val="-1"/>
          <w:highlight w:val="none"/>
        </w:rPr>
        <w:t>递交的电子投标文件（不含备用光盘）必须进行加密。按照</w:t>
      </w:r>
      <w:r>
        <w:rPr>
          <w:rFonts w:hint="eastAsia" w:ascii="Times New Roman" w:hAnsi="Times New Roman" w:eastAsia="宋体"/>
          <w:color w:val="auto"/>
          <w:spacing w:val="-1"/>
          <w:highlight w:val="none"/>
        </w:rPr>
        <w:t>广州交易集团有限公司（广州公共资源交易中心）</w:t>
      </w:r>
      <w:r>
        <w:rPr>
          <w:rFonts w:hint="eastAsia" w:ascii="Times New Roman" w:hAnsi="Times New Roman" w:eastAsia="Times New Roman"/>
          <w:color w:val="auto"/>
          <w:spacing w:val="-1"/>
          <w:highlight w:val="none"/>
        </w:rPr>
        <w:t>网站关于全流程电子化项目的相关指南进行操作</w:t>
      </w:r>
      <w:r>
        <w:rPr>
          <w:rFonts w:ascii="Times New Roman" w:hAnsi="Times New Roman" w:eastAsia="Times New Roman"/>
          <w:color w:val="auto"/>
          <w:spacing w:val="-1"/>
          <w:highlight w:val="none"/>
        </w:rPr>
        <w:t>。</w:t>
      </w:r>
    </w:p>
    <w:p w14:paraId="050F6338">
      <w:pPr>
        <w:spacing w:before="68" w:line="352" w:lineRule="auto"/>
        <w:ind w:left="416" w:right="17"/>
        <w:rPr>
          <w:rFonts w:ascii="Times New Roman" w:hAnsi="Times New Roman" w:eastAsiaTheme="minorEastAsia"/>
          <w:color w:val="auto"/>
          <w:spacing w:val="-1"/>
          <w:highlight w:val="none"/>
        </w:rPr>
      </w:pPr>
      <w:r>
        <w:rPr>
          <w:rFonts w:ascii="Times New Roman" w:hAnsi="Times New Roman" w:eastAsia="Times New Roman"/>
          <w:color w:val="auto"/>
          <w:spacing w:val="-1"/>
          <w:highlight w:val="none"/>
        </w:rPr>
        <w:t xml:space="preserve">4.1.2  </w:t>
      </w:r>
      <w:r>
        <w:rPr>
          <w:rFonts w:hint="eastAsia" w:ascii="Times New Roman" w:hAnsi="Times New Roman" w:eastAsia="Times New Roman"/>
          <w:color w:val="auto"/>
          <w:spacing w:val="-1"/>
          <w:highlight w:val="none"/>
        </w:rPr>
        <w:t>未按要求加密的投标文件，</w:t>
      </w:r>
      <w:r>
        <w:rPr>
          <w:rFonts w:hint="eastAsia" w:ascii="Times New Roman" w:hAnsi="Times New Roman" w:eastAsia="宋体"/>
          <w:color w:val="auto"/>
          <w:spacing w:val="-1"/>
          <w:highlight w:val="none"/>
        </w:rPr>
        <w:t>广州交易集团有限公司（广州公共资源交易中心）</w:t>
      </w:r>
      <w:r>
        <w:rPr>
          <w:rFonts w:hint="eastAsia" w:ascii="Times New Roman" w:hAnsi="Times New Roman" w:eastAsia="Times New Roman"/>
          <w:color w:val="auto"/>
          <w:spacing w:val="-1"/>
          <w:highlight w:val="none"/>
        </w:rPr>
        <w:t>网站交易平台将予以拒收</w:t>
      </w:r>
      <w:r>
        <w:rPr>
          <w:rFonts w:ascii="Times New Roman" w:hAnsi="Times New Roman" w:eastAsia="Times New Roman"/>
          <w:color w:val="auto"/>
          <w:spacing w:val="-1"/>
          <w:highlight w:val="none"/>
        </w:rPr>
        <w:t>。</w:t>
      </w:r>
    </w:p>
    <w:p w14:paraId="73C02C99">
      <w:pPr>
        <w:pStyle w:val="9"/>
        <w:rPr>
          <w:rFonts w:eastAsiaTheme="minorEastAsia"/>
          <w:color w:val="auto"/>
          <w:highlight w:val="none"/>
        </w:rPr>
      </w:pPr>
    </w:p>
    <w:p w14:paraId="5A40D39E">
      <w:pPr>
        <w:rPr>
          <w:rFonts w:ascii="Times New Roman" w:hAnsi="Times New Roman" w:eastAsia="Times New Roman"/>
          <w:color w:val="auto"/>
          <w:sz w:val="27"/>
          <w:szCs w:val="27"/>
          <w:highlight w:val="none"/>
        </w:rPr>
      </w:pPr>
      <w:bookmarkStart w:id="158" w:name="_Toc7999"/>
      <w:bookmarkStart w:id="159" w:name="_Toc24305"/>
      <w:bookmarkStart w:id="160" w:name="_Toc14279"/>
      <w:bookmarkStart w:id="161" w:name="_Toc6297"/>
      <w:bookmarkStart w:id="162" w:name="_Toc17831"/>
      <w:r>
        <w:rPr>
          <w:rFonts w:ascii="Times New Roman" w:hAnsi="Times New Roman" w:eastAsia="Times New Roman"/>
          <w:color w:val="auto"/>
          <w:sz w:val="27"/>
          <w:szCs w:val="27"/>
          <w:highlight w:val="none"/>
        </w:rPr>
        <w:t xml:space="preserve">4.2  </w:t>
      </w:r>
      <w:r>
        <w:rPr>
          <w:rFonts w:ascii="黑体" w:hAnsi="黑体" w:eastAsia="黑体"/>
          <w:color w:val="auto"/>
          <w:sz w:val="27"/>
          <w:szCs w:val="27"/>
          <w:highlight w:val="none"/>
        </w:rPr>
        <w:t>投标文件的递交</w:t>
      </w:r>
      <w:bookmarkEnd w:id="158"/>
      <w:bookmarkEnd w:id="159"/>
      <w:bookmarkEnd w:id="160"/>
      <w:bookmarkEnd w:id="161"/>
      <w:bookmarkEnd w:id="162"/>
    </w:p>
    <w:p w14:paraId="3FAC0190">
      <w:pPr>
        <w:spacing w:before="68" w:line="352" w:lineRule="auto"/>
        <w:ind w:left="16" w:right="17" w:firstLine="403" w:firstLineChars="192"/>
        <w:rPr>
          <w:rFonts w:ascii="Times New Roman" w:hAnsi="Times New Roman" w:eastAsia="Times New Roman"/>
          <w:color w:val="auto"/>
          <w:highlight w:val="none"/>
        </w:rPr>
      </w:pPr>
      <w:r>
        <w:rPr>
          <w:rFonts w:hint="eastAsia" w:ascii="Times New Roman" w:hAnsi="Times New Roman" w:eastAsia="Times New Roman"/>
          <w:color w:val="auto"/>
          <w:highlight w:val="none"/>
        </w:rPr>
        <w:t>4.2.1</w:t>
      </w:r>
      <w:r>
        <w:rPr>
          <w:rFonts w:hint="eastAsia" w:ascii="Times New Roman" w:hAnsi="Times New Roman" w:eastAsia="宋体"/>
          <w:color w:val="auto"/>
          <w:highlight w:val="none"/>
        </w:rPr>
        <w:t xml:space="preserve">  </w:t>
      </w:r>
      <w:r>
        <w:rPr>
          <w:rFonts w:hint="eastAsia" w:ascii="Times New Roman" w:hAnsi="Times New Roman" w:eastAsia="Times New Roman"/>
          <w:color w:val="auto"/>
          <w:highlight w:val="none"/>
        </w:rPr>
        <w:t>投标人</w:t>
      </w:r>
      <w:r>
        <w:rPr>
          <w:rFonts w:hint="eastAsia" w:ascii="Times New Roman" w:hAnsi="Times New Roman" w:eastAsia="宋体"/>
          <w:color w:val="auto"/>
          <w:highlight w:val="none"/>
        </w:rPr>
        <w:t>应在投标人须知前附表规定的投标截止时间前，</w:t>
      </w:r>
      <w:r>
        <w:rPr>
          <w:rFonts w:hint="eastAsia" w:ascii="Times New Roman" w:hAnsi="Times New Roman" w:eastAsia="Times New Roman"/>
          <w:color w:val="auto"/>
          <w:highlight w:val="none"/>
        </w:rPr>
        <w:t>通过</w:t>
      </w:r>
      <w:r>
        <w:rPr>
          <w:rFonts w:hint="eastAsia" w:ascii="Times New Roman" w:hAnsi="Times New Roman" w:eastAsia="宋体"/>
          <w:color w:val="auto"/>
          <w:highlight w:val="none"/>
        </w:rPr>
        <w:t>广州交易集团有限公司（广州公共资源交易中心）</w:t>
      </w:r>
      <w:r>
        <w:rPr>
          <w:rFonts w:hint="eastAsia" w:ascii="Times New Roman" w:hAnsi="Times New Roman" w:eastAsia="Times New Roman"/>
          <w:color w:val="auto"/>
          <w:highlight w:val="none"/>
        </w:rPr>
        <w:t>网站交易平台递交电子投标文件。</w:t>
      </w:r>
    </w:p>
    <w:p w14:paraId="7CF93A7C">
      <w:pPr>
        <w:spacing w:before="68" w:line="352" w:lineRule="auto"/>
        <w:ind w:left="16" w:right="17" w:firstLine="403" w:firstLineChars="192"/>
        <w:rPr>
          <w:rFonts w:ascii="Times New Roman" w:hAnsi="Times New Roman" w:eastAsia="Times New Roman"/>
          <w:color w:val="auto"/>
          <w:highlight w:val="none"/>
        </w:rPr>
      </w:pPr>
      <w:r>
        <w:rPr>
          <w:rFonts w:hint="eastAsia" w:ascii="Times New Roman" w:hAnsi="Times New Roman" w:eastAsia="Times New Roman"/>
          <w:color w:val="auto"/>
          <w:highlight w:val="none"/>
        </w:rPr>
        <w:t>4.2.2</w:t>
      </w:r>
      <w:r>
        <w:rPr>
          <w:rFonts w:hint="eastAsia" w:ascii="Times New Roman" w:hAnsi="Times New Roman" w:eastAsia="宋体"/>
          <w:color w:val="auto"/>
          <w:highlight w:val="none"/>
        </w:rPr>
        <w:t xml:space="preserve">  </w:t>
      </w:r>
      <w:r>
        <w:rPr>
          <w:rFonts w:hint="eastAsia" w:ascii="Times New Roman" w:hAnsi="Times New Roman" w:eastAsia="Times New Roman"/>
          <w:color w:val="auto"/>
          <w:highlight w:val="none"/>
        </w:rPr>
        <w:t>投标人完成电子投标文件上传后，</w:t>
      </w:r>
      <w:r>
        <w:rPr>
          <w:rFonts w:hint="eastAsia" w:ascii="Times New Roman" w:hAnsi="Times New Roman" w:eastAsia="宋体"/>
          <w:color w:val="auto"/>
          <w:highlight w:val="none"/>
        </w:rPr>
        <w:t>广州交易集团有限公司（广州公共资源交易中心）</w:t>
      </w:r>
      <w:r>
        <w:rPr>
          <w:rFonts w:hint="eastAsia" w:ascii="Times New Roman" w:hAnsi="Times New Roman" w:eastAsia="Times New Roman"/>
          <w:color w:val="auto"/>
          <w:highlight w:val="none"/>
        </w:rPr>
        <w:t>网站交易平台即时向投标人发出递交回执通知。递交时间以递交回执通知载明的传输完成时间为准。</w:t>
      </w:r>
    </w:p>
    <w:p w14:paraId="1F1F642B">
      <w:pPr>
        <w:spacing w:before="68" w:line="352" w:lineRule="auto"/>
        <w:ind w:left="16" w:right="17" w:firstLine="403" w:firstLineChars="192"/>
        <w:rPr>
          <w:rFonts w:ascii="Times New Roman" w:hAnsi="Times New Roman" w:eastAsia="Times New Roman"/>
          <w:color w:val="auto"/>
          <w:highlight w:val="none"/>
        </w:rPr>
      </w:pPr>
      <w:r>
        <w:rPr>
          <w:rFonts w:hint="eastAsia" w:ascii="Times New Roman" w:hAnsi="Times New Roman" w:eastAsia="Times New Roman"/>
          <w:color w:val="auto"/>
          <w:highlight w:val="none"/>
        </w:rPr>
        <w:t>4.2.3</w:t>
      </w:r>
      <w:r>
        <w:rPr>
          <w:rFonts w:hint="eastAsia" w:ascii="Times New Roman" w:hAnsi="Times New Roman" w:eastAsia="宋体"/>
          <w:color w:val="auto"/>
          <w:highlight w:val="none"/>
        </w:rPr>
        <w:t xml:space="preserve">  </w:t>
      </w:r>
      <w:r>
        <w:rPr>
          <w:rFonts w:hint="eastAsia" w:ascii="Times New Roman" w:hAnsi="Times New Roman" w:eastAsia="Times New Roman"/>
          <w:color w:val="auto"/>
          <w:highlight w:val="none"/>
        </w:rPr>
        <w:t>逾期送达的电子投标文件，</w:t>
      </w:r>
      <w:r>
        <w:rPr>
          <w:rFonts w:hint="eastAsia" w:ascii="Times New Roman" w:hAnsi="Times New Roman" w:eastAsia="宋体"/>
          <w:color w:val="auto"/>
          <w:highlight w:val="none"/>
        </w:rPr>
        <w:t>广州交易集团有限公司（广州公共资源交易中心）</w:t>
      </w:r>
      <w:r>
        <w:rPr>
          <w:rFonts w:hint="eastAsia" w:ascii="Times New Roman" w:hAnsi="Times New Roman" w:eastAsia="Times New Roman"/>
          <w:color w:val="auto"/>
          <w:highlight w:val="none"/>
        </w:rPr>
        <w:t>网站交易平台将予以拒收。</w:t>
      </w:r>
    </w:p>
    <w:p w14:paraId="0D1A091F">
      <w:pPr>
        <w:spacing w:before="134" w:line="229" w:lineRule="auto"/>
        <w:ind w:firstLine="420" w:firstLineChars="200"/>
        <w:rPr>
          <w:rFonts w:ascii="Times New Roman" w:hAnsi="Times New Roman" w:eastAsia="Times New Roman"/>
          <w:color w:val="auto"/>
          <w:highlight w:val="none"/>
        </w:rPr>
      </w:pPr>
      <w:r>
        <w:rPr>
          <w:rFonts w:hint="eastAsia" w:ascii="Times New Roman" w:hAnsi="Times New Roman" w:eastAsia="Times New Roman"/>
          <w:color w:val="auto"/>
          <w:highlight w:val="none"/>
        </w:rPr>
        <w:t xml:space="preserve">4.2.4 </w:t>
      </w:r>
      <w:r>
        <w:rPr>
          <w:rFonts w:hint="eastAsia" w:ascii="Times New Roman" w:hAnsi="Times New Roman" w:eastAsia="宋体"/>
          <w:color w:val="auto"/>
          <w:highlight w:val="none"/>
        </w:rPr>
        <w:t xml:space="preserve">  </w:t>
      </w:r>
      <w:r>
        <w:rPr>
          <w:rFonts w:hint="eastAsia" w:ascii="Times New Roman" w:hAnsi="Times New Roman" w:eastAsia="Times New Roman"/>
          <w:color w:val="auto"/>
          <w:highlight w:val="none"/>
        </w:rPr>
        <w:t>投标截止前，招标人拒绝接收符合条件的投标文件，投标人可向招标监督机构投诉</w:t>
      </w:r>
      <w:r>
        <w:rPr>
          <w:rFonts w:hint="eastAsia" w:ascii="Times New Roman" w:hAnsi="Times New Roman" w:eastAsia="宋体"/>
          <w:color w:val="auto"/>
          <w:highlight w:val="none"/>
        </w:rPr>
        <w:t>。</w:t>
      </w:r>
    </w:p>
    <w:p w14:paraId="60002AF6">
      <w:pPr>
        <w:spacing w:before="134" w:line="229" w:lineRule="auto"/>
        <w:ind w:left="134"/>
        <w:rPr>
          <w:rFonts w:ascii="Times New Roman" w:hAnsi="Times New Roman" w:eastAsia="宋体"/>
          <w:color w:val="auto"/>
          <w:highlight w:val="none"/>
        </w:rPr>
      </w:pPr>
    </w:p>
    <w:p w14:paraId="40B54E12">
      <w:pPr>
        <w:rPr>
          <w:rFonts w:ascii="Times New Roman" w:hAnsi="Times New Roman" w:eastAsia="Times New Roman"/>
          <w:color w:val="auto"/>
          <w:sz w:val="27"/>
          <w:szCs w:val="27"/>
          <w:highlight w:val="none"/>
        </w:rPr>
      </w:pPr>
      <w:bookmarkStart w:id="163" w:name="_Toc1278"/>
      <w:bookmarkStart w:id="164" w:name="_Toc6649"/>
      <w:bookmarkStart w:id="165" w:name="_Toc20560"/>
      <w:bookmarkStart w:id="166" w:name="_Toc25623"/>
      <w:bookmarkStart w:id="167" w:name="_Toc8848"/>
      <w:r>
        <w:rPr>
          <w:rFonts w:ascii="Times New Roman" w:hAnsi="Times New Roman" w:eastAsia="Times New Roman"/>
          <w:color w:val="auto"/>
          <w:sz w:val="27"/>
          <w:szCs w:val="27"/>
          <w:highlight w:val="none"/>
        </w:rPr>
        <w:t xml:space="preserve">4.3  </w:t>
      </w:r>
      <w:r>
        <w:rPr>
          <w:rFonts w:ascii="黑体" w:hAnsi="黑体" w:eastAsia="黑体"/>
          <w:color w:val="auto"/>
          <w:sz w:val="27"/>
          <w:szCs w:val="27"/>
          <w:highlight w:val="none"/>
        </w:rPr>
        <w:t>投标文件的修改与撤回</w:t>
      </w:r>
      <w:bookmarkEnd w:id="163"/>
      <w:bookmarkEnd w:id="164"/>
      <w:bookmarkEnd w:id="165"/>
      <w:bookmarkEnd w:id="166"/>
      <w:bookmarkEnd w:id="167"/>
    </w:p>
    <w:p w14:paraId="077DE19A">
      <w:pPr>
        <w:spacing w:before="68" w:line="352" w:lineRule="auto"/>
        <w:ind w:firstLine="416"/>
        <w:rPr>
          <w:rFonts w:ascii="Times New Roman" w:hAnsi="Times New Roman" w:eastAsia="Times New Roman"/>
          <w:color w:val="auto"/>
          <w:highlight w:val="none"/>
        </w:rPr>
      </w:pPr>
      <w:r>
        <w:rPr>
          <w:rFonts w:ascii="Times New Roman" w:hAnsi="Times New Roman" w:eastAsia="Times New Roman"/>
          <w:color w:val="auto"/>
          <w:highlight w:val="none"/>
        </w:rPr>
        <w:t xml:space="preserve">4.3.1  </w:t>
      </w:r>
      <w:r>
        <w:rPr>
          <w:rFonts w:hint="eastAsia" w:ascii="Times New Roman" w:hAnsi="Times New Roman" w:eastAsia="宋体"/>
          <w:color w:val="auto"/>
          <w:highlight w:val="none"/>
        </w:rPr>
        <w:t xml:space="preserve"> </w:t>
      </w:r>
      <w:r>
        <w:rPr>
          <w:rFonts w:ascii="宋体" w:hAnsi="宋体" w:eastAsia="宋体"/>
          <w:color w:val="auto"/>
          <w:highlight w:val="none"/>
        </w:rPr>
        <w:t>在规定的投标截止时间前， 投标人可以修改或撤回已递交的投标文件， 但应以书面形式通知招标人。</w:t>
      </w:r>
    </w:p>
    <w:p w14:paraId="48213CDC">
      <w:pPr>
        <w:spacing w:before="1" w:line="351" w:lineRule="auto"/>
        <w:ind w:left="1" w:right="60" w:firstLine="415"/>
        <w:rPr>
          <w:rFonts w:ascii="Times New Roman" w:hAnsi="Times New Roman" w:eastAsia="Times New Roman"/>
          <w:color w:val="auto"/>
          <w:highlight w:val="none"/>
        </w:rPr>
      </w:pPr>
      <w:r>
        <w:rPr>
          <w:rFonts w:ascii="Times New Roman" w:hAnsi="Times New Roman" w:eastAsia="Times New Roman"/>
          <w:color w:val="auto"/>
          <w:highlight w:val="none"/>
        </w:rPr>
        <w:t xml:space="preserve">4.3.2   </w:t>
      </w:r>
      <w:r>
        <w:rPr>
          <w:rFonts w:ascii="宋体" w:hAnsi="宋体" w:eastAsia="宋体"/>
          <w:color w:val="auto"/>
          <w:highlight w:val="none"/>
        </w:rPr>
        <w:t>投标人修改或撤回已递交投标文件，</w:t>
      </w:r>
      <w:r>
        <w:rPr>
          <w:rFonts w:hint="eastAsia" w:ascii="宋体" w:hAnsi="宋体" w:eastAsia="宋体"/>
          <w:color w:val="auto"/>
          <w:highlight w:val="none"/>
        </w:rPr>
        <w:t>需在交易平台发出修改或撤回通知，并按要求加盖电子印章</w:t>
      </w:r>
      <w:r>
        <w:rPr>
          <w:rFonts w:ascii="宋体" w:hAnsi="宋体" w:eastAsia="宋体"/>
          <w:color w:val="auto"/>
          <w:highlight w:val="none"/>
        </w:rPr>
        <w:t>。电子招标投标交易平台收到通知后，即时向投标人发出确认回执通知。</w:t>
      </w:r>
    </w:p>
    <w:p w14:paraId="3A03E31C">
      <w:pPr>
        <w:spacing w:before="2" w:line="351" w:lineRule="auto"/>
        <w:ind w:left="18" w:right="60" w:firstLine="397"/>
        <w:rPr>
          <w:rFonts w:ascii="Times New Roman" w:hAnsi="Times New Roman" w:eastAsia="Times New Roman"/>
          <w:color w:val="auto"/>
          <w:highlight w:val="none"/>
        </w:rPr>
      </w:pPr>
      <w:r>
        <w:rPr>
          <w:rFonts w:ascii="Times New Roman" w:hAnsi="Times New Roman" w:eastAsia="Times New Roman"/>
          <w:color w:val="auto"/>
          <w:highlight w:val="none"/>
        </w:rPr>
        <w:t xml:space="preserve">4.3.3 </w:t>
      </w:r>
      <w:r>
        <w:rPr>
          <w:rFonts w:hint="eastAsia" w:ascii="Times New Roman" w:hAnsi="Times New Roman" w:eastAsia="宋体"/>
          <w:color w:val="auto"/>
          <w:highlight w:val="none"/>
        </w:rPr>
        <w:t xml:space="preserve">   </w:t>
      </w:r>
      <w:r>
        <w:rPr>
          <w:rFonts w:hint="eastAsia" w:ascii="宋体" w:hAnsi="宋体" w:eastAsia="宋体"/>
          <w:color w:val="auto"/>
          <w:highlight w:val="none"/>
        </w:rPr>
        <w:t>修改后再次递交的，按第4.2项的规定执行</w:t>
      </w:r>
      <w:r>
        <w:rPr>
          <w:rFonts w:ascii="宋体" w:hAnsi="宋体" w:eastAsia="宋体"/>
          <w:color w:val="auto"/>
          <w:highlight w:val="none"/>
        </w:rPr>
        <w:t>。</w:t>
      </w:r>
    </w:p>
    <w:p w14:paraId="35DFE562">
      <w:pPr>
        <w:spacing w:before="2" w:line="351" w:lineRule="auto"/>
        <w:ind w:left="18" w:right="60" w:firstLine="397"/>
        <w:rPr>
          <w:rFonts w:ascii="Times New Roman" w:hAnsi="Times New Roman" w:eastAsia="Times New Roman"/>
          <w:color w:val="auto"/>
          <w:highlight w:val="none"/>
        </w:rPr>
      </w:pPr>
      <w:r>
        <w:rPr>
          <w:rFonts w:ascii="Times New Roman" w:hAnsi="Times New Roman" w:eastAsia="Times New Roman"/>
          <w:color w:val="auto"/>
          <w:highlight w:val="none"/>
        </w:rPr>
        <w:t>4.3.</w:t>
      </w:r>
      <w:r>
        <w:rPr>
          <w:rFonts w:hint="eastAsia" w:ascii="Times New Roman" w:hAnsi="Times New Roman" w:eastAsia="宋体"/>
          <w:color w:val="auto"/>
          <w:highlight w:val="none"/>
        </w:rPr>
        <w:t>4</w:t>
      </w:r>
      <w:r>
        <w:rPr>
          <w:rFonts w:ascii="Times New Roman" w:hAnsi="Times New Roman" w:eastAsia="Times New Roman"/>
          <w:color w:val="auto"/>
          <w:highlight w:val="none"/>
        </w:rPr>
        <w:t xml:space="preserve"> </w:t>
      </w:r>
      <w:r>
        <w:rPr>
          <w:rFonts w:hint="eastAsia" w:ascii="宋体" w:hAnsi="宋体" w:eastAsia="宋体"/>
          <w:color w:val="auto"/>
          <w:highlight w:val="none"/>
        </w:rPr>
        <w:t xml:space="preserve"> 在投标截止时间之后，投标人不得补充、修改和更换投标文件。</w:t>
      </w:r>
    </w:p>
    <w:p w14:paraId="18CDD307">
      <w:pPr>
        <w:pStyle w:val="26"/>
        <w:spacing w:before="120" w:after="120"/>
        <w:outlineLvl w:val="9"/>
        <w:rPr>
          <w:rFonts w:ascii="Times New Roman" w:hAnsi="Times New Roman" w:eastAsia="Times New Roman"/>
          <w:bCs/>
          <w:color w:val="auto"/>
          <w:sz w:val="31"/>
          <w:szCs w:val="31"/>
          <w:highlight w:val="none"/>
        </w:rPr>
      </w:pPr>
      <w:bookmarkStart w:id="168" w:name="_Toc9020"/>
      <w:bookmarkStart w:id="169" w:name="_Toc13390"/>
      <w:bookmarkStart w:id="170" w:name="_Toc30468"/>
      <w:bookmarkStart w:id="171" w:name="_Toc15392"/>
      <w:bookmarkStart w:id="172" w:name="_Toc5844"/>
      <w:r>
        <w:rPr>
          <w:rFonts w:ascii="Times New Roman" w:hAnsi="Times New Roman" w:eastAsia="Times New Roman"/>
          <w:bCs/>
          <w:color w:val="auto"/>
          <w:sz w:val="31"/>
          <w:szCs w:val="31"/>
          <w:highlight w:val="none"/>
        </w:rPr>
        <w:t>5.</w:t>
      </w:r>
      <w:r>
        <w:rPr>
          <w:rFonts w:ascii="Times New Roman" w:hAnsi="Times New Roman" w:eastAsia="Times New Roman"/>
          <w:color w:val="auto"/>
          <w:sz w:val="31"/>
          <w:szCs w:val="31"/>
          <w:highlight w:val="none"/>
        </w:rPr>
        <w:t xml:space="preserve">  </w:t>
      </w:r>
      <w:r>
        <w:rPr>
          <w:rFonts w:ascii="黑体" w:hAnsi="黑体" w:eastAsia="黑体"/>
          <w:color w:val="auto"/>
          <w:sz w:val="31"/>
          <w:szCs w:val="31"/>
          <w:highlight w:val="none"/>
        </w:rPr>
        <w:t>开标</w:t>
      </w:r>
      <w:bookmarkEnd w:id="168"/>
      <w:bookmarkEnd w:id="169"/>
      <w:bookmarkEnd w:id="170"/>
      <w:bookmarkEnd w:id="171"/>
      <w:bookmarkEnd w:id="172"/>
    </w:p>
    <w:p w14:paraId="7A940369">
      <w:pPr>
        <w:rPr>
          <w:rFonts w:ascii="Times New Roman" w:hAnsi="Times New Roman" w:eastAsia="Times New Roman"/>
          <w:color w:val="auto"/>
          <w:sz w:val="27"/>
          <w:szCs w:val="27"/>
          <w:highlight w:val="none"/>
        </w:rPr>
      </w:pPr>
      <w:bookmarkStart w:id="173" w:name="_Toc5053"/>
      <w:bookmarkStart w:id="174" w:name="_Toc14670"/>
      <w:bookmarkStart w:id="175" w:name="_Toc22724"/>
      <w:bookmarkStart w:id="176" w:name="_Toc3725"/>
      <w:bookmarkStart w:id="177" w:name="_Toc19309"/>
      <w:r>
        <w:rPr>
          <w:rFonts w:ascii="Times New Roman" w:hAnsi="Times New Roman" w:eastAsia="Times New Roman"/>
          <w:color w:val="auto"/>
          <w:sz w:val="27"/>
          <w:szCs w:val="27"/>
          <w:highlight w:val="none"/>
        </w:rPr>
        <w:t xml:space="preserve">5.1  </w:t>
      </w:r>
      <w:r>
        <w:rPr>
          <w:rFonts w:ascii="黑体" w:hAnsi="黑体" w:eastAsia="黑体"/>
          <w:color w:val="auto"/>
          <w:sz w:val="27"/>
          <w:szCs w:val="27"/>
          <w:highlight w:val="none"/>
        </w:rPr>
        <w:t>开标时间和地点</w:t>
      </w:r>
      <w:bookmarkEnd w:id="173"/>
      <w:bookmarkEnd w:id="174"/>
      <w:bookmarkEnd w:id="175"/>
      <w:bookmarkEnd w:id="176"/>
      <w:bookmarkEnd w:id="177"/>
    </w:p>
    <w:p w14:paraId="4E07E415">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5.1.1  招标人按投标须知前附表规定的时间和地点公开开标。截标后，开标开始时间因故推迟的，相关评标信息仍以原定的开标开始时间的信息为准。</w:t>
      </w:r>
    </w:p>
    <w:p w14:paraId="1A845C2F">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5.1.2  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0E7DAA68">
      <w:pPr>
        <w:pStyle w:val="57"/>
        <w:rPr>
          <w:color w:val="auto"/>
          <w:highlight w:val="none"/>
        </w:rPr>
      </w:pPr>
    </w:p>
    <w:p w14:paraId="1618DE44">
      <w:pPr>
        <w:rPr>
          <w:rFonts w:ascii="Times New Roman" w:hAnsi="Times New Roman" w:eastAsia="Times New Roman"/>
          <w:color w:val="auto"/>
          <w:sz w:val="27"/>
          <w:szCs w:val="27"/>
          <w:highlight w:val="none"/>
        </w:rPr>
      </w:pPr>
      <w:bookmarkStart w:id="178" w:name="_Toc13348"/>
      <w:bookmarkStart w:id="179" w:name="_Toc28659"/>
      <w:bookmarkStart w:id="180" w:name="_Toc8588"/>
      <w:bookmarkStart w:id="181" w:name="_Toc16400"/>
      <w:bookmarkStart w:id="182" w:name="_Toc695"/>
      <w:r>
        <w:rPr>
          <w:rFonts w:ascii="Times New Roman" w:hAnsi="Times New Roman" w:eastAsia="Times New Roman"/>
          <w:color w:val="auto"/>
          <w:sz w:val="27"/>
          <w:szCs w:val="27"/>
          <w:highlight w:val="none"/>
        </w:rPr>
        <w:t xml:space="preserve">5.2  </w:t>
      </w:r>
      <w:r>
        <w:rPr>
          <w:rFonts w:ascii="黑体" w:hAnsi="黑体" w:eastAsia="黑体"/>
          <w:color w:val="auto"/>
          <w:sz w:val="27"/>
          <w:szCs w:val="27"/>
          <w:highlight w:val="none"/>
        </w:rPr>
        <w:t>开标程序</w:t>
      </w:r>
      <w:bookmarkEnd w:id="178"/>
      <w:bookmarkEnd w:id="179"/>
      <w:bookmarkEnd w:id="180"/>
      <w:bookmarkEnd w:id="181"/>
      <w:bookmarkEnd w:id="182"/>
    </w:p>
    <w:p w14:paraId="3E34102B">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5.2.1   在投标截止时间后</w:t>
      </w:r>
      <w:r>
        <w:rPr>
          <w:rFonts w:hint="eastAsia" w:ascii="Times New Roman" w:hAnsi="Times New Roman" w:eastAsia="Times New Roman"/>
          <w:color w:val="auto"/>
          <w:highlight w:val="none"/>
          <w:u w:val="single"/>
        </w:rPr>
        <w:t>半小时</w:t>
      </w:r>
      <w:r>
        <w:rPr>
          <w:rFonts w:hint="eastAsia" w:ascii="Times New Roman" w:hAnsi="Times New Roman" w:eastAsia="Times New Roman"/>
          <w:color w:val="auto"/>
          <w:highlight w:val="none"/>
        </w:rPr>
        <w:t>内，投标人通过递交投标文件的交易平台对已递交的电子投标文件进行解密。投标人完成解密后，再由招标人进行解密。解密完成后，公布招标项目名称、投标人名称</w:t>
      </w:r>
      <w:r>
        <w:rPr>
          <w:rFonts w:hint="eastAsia" w:ascii="Times New Roman" w:hAnsi="Times New Roman" w:eastAsia="Times New Roman"/>
          <w:strike/>
          <w:color w:val="auto"/>
          <w:highlight w:val="none"/>
        </w:rPr>
        <w:t>、投标保证金</w:t>
      </w:r>
      <w:r>
        <w:rPr>
          <w:rFonts w:hint="eastAsia" w:ascii="Times New Roman" w:hAnsi="Times New Roman" w:eastAsia="Times New Roman"/>
          <w:color w:val="auto"/>
          <w:highlight w:val="none"/>
        </w:rPr>
        <w:t>的递交情况、投标报价、项目负责人及其他内容。未在规定时间内解密的投标文件不参与开标、评标。</w:t>
      </w:r>
    </w:p>
    <w:p w14:paraId="52A42338">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5.2.2  按开标记录表规定的内容进行唱标。</w:t>
      </w:r>
    </w:p>
    <w:p w14:paraId="06283380">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5.2.3  投标人代表、招标人代表、监标人、记录人等有关人员在开标记录上签字确认；若有关人员不签字的，不影响开标程序。</w:t>
      </w:r>
    </w:p>
    <w:p w14:paraId="7E4F001B">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5.2.4  开标结束。</w:t>
      </w:r>
    </w:p>
    <w:p w14:paraId="70D707B8">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5.2.5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5F3BB770">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5.2.6  开标时，两个（含两个）以上的投标人加密打包投标文件电脑机器特征码一致的，不参与下一程序，并由评标委员会否决其投标。</w:t>
      </w:r>
    </w:p>
    <w:p w14:paraId="582A77D2">
      <w:pPr>
        <w:pStyle w:val="57"/>
        <w:rPr>
          <w:color w:val="auto"/>
          <w:highlight w:val="none"/>
        </w:rPr>
      </w:pPr>
    </w:p>
    <w:p w14:paraId="5168CC27">
      <w:pPr>
        <w:rPr>
          <w:rFonts w:ascii="Times New Roman" w:hAnsi="Times New Roman" w:eastAsia="Times New Roman"/>
          <w:color w:val="auto"/>
          <w:spacing w:val="5"/>
          <w:sz w:val="27"/>
          <w:szCs w:val="27"/>
          <w:highlight w:val="none"/>
        </w:rPr>
      </w:pPr>
      <w:bookmarkStart w:id="183" w:name="_Toc21783"/>
      <w:bookmarkStart w:id="184" w:name="_Toc24106"/>
      <w:bookmarkStart w:id="185" w:name="_Toc8139"/>
      <w:bookmarkStart w:id="186" w:name="_Toc6534"/>
      <w:bookmarkStart w:id="187" w:name="_Toc1095"/>
      <w:r>
        <w:rPr>
          <w:rFonts w:ascii="Times New Roman" w:hAnsi="Times New Roman" w:eastAsia="Times New Roman"/>
          <w:color w:val="auto"/>
          <w:spacing w:val="5"/>
          <w:sz w:val="27"/>
          <w:szCs w:val="27"/>
          <w:highlight w:val="none"/>
        </w:rPr>
        <w:t xml:space="preserve">5.3  </w:t>
      </w:r>
      <w:r>
        <w:rPr>
          <w:rFonts w:ascii="黑体" w:hAnsi="黑体" w:eastAsia="黑体"/>
          <w:color w:val="auto"/>
          <w:spacing w:val="5"/>
          <w:sz w:val="27"/>
          <w:szCs w:val="27"/>
          <w:highlight w:val="none"/>
        </w:rPr>
        <w:t>开标异议</w:t>
      </w:r>
      <w:bookmarkEnd w:id="183"/>
      <w:bookmarkEnd w:id="184"/>
      <w:bookmarkEnd w:id="185"/>
      <w:bookmarkEnd w:id="186"/>
      <w:bookmarkEnd w:id="187"/>
    </w:p>
    <w:p w14:paraId="5513F7E0">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5.3.1  参加现场开标的投标人对开标结果有异议的，应当在开标现场提出，招标人应当当场作出答复，并制作记录。</w:t>
      </w:r>
    </w:p>
    <w:p w14:paraId="65FC88FF">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5.3.2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 答复是招标人真实意思表示。未答复的，开标程序不得结束。</w:t>
      </w:r>
    </w:p>
    <w:p w14:paraId="216DF270">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5.3.3  投标人未参加开标或在规定的时间内未提出异议的，视为对开标无异议。</w:t>
      </w:r>
    </w:p>
    <w:p w14:paraId="36922DA6">
      <w:pPr>
        <w:pStyle w:val="26"/>
        <w:spacing w:before="120" w:after="120"/>
        <w:outlineLvl w:val="9"/>
        <w:rPr>
          <w:rFonts w:ascii="Times New Roman" w:hAnsi="Times New Roman" w:eastAsia="Times New Roman"/>
          <w:bCs/>
          <w:color w:val="auto"/>
          <w:spacing w:val="4"/>
          <w:sz w:val="31"/>
          <w:szCs w:val="31"/>
          <w:highlight w:val="none"/>
        </w:rPr>
      </w:pPr>
      <w:bookmarkStart w:id="188" w:name="_Toc32638"/>
      <w:bookmarkStart w:id="189" w:name="_Toc10755"/>
      <w:bookmarkStart w:id="190" w:name="_Toc6481"/>
      <w:bookmarkStart w:id="191" w:name="_Toc27309"/>
      <w:bookmarkStart w:id="192" w:name="_Toc32000"/>
      <w:r>
        <w:rPr>
          <w:rFonts w:ascii="Times New Roman" w:hAnsi="Times New Roman" w:eastAsia="Times New Roman"/>
          <w:bCs/>
          <w:color w:val="auto"/>
          <w:spacing w:val="4"/>
          <w:sz w:val="31"/>
          <w:szCs w:val="31"/>
          <w:highlight w:val="none"/>
        </w:rPr>
        <w:t>6.</w:t>
      </w:r>
      <w:r>
        <w:rPr>
          <w:rFonts w:ascii="Times New Roman" w:hAnsi="Times New Roman" w:eastAsia="Times New Roman"/>
          <w:color w:val="auto"/>
          <w:spacing w:val="4"/>
          <w:sz w:val="31"/>
          <w:szCs w:val="31"/>
          <w:highlight w:val="none"/>
        </w:rPr>
        <w:t xml:space="preserve">  </w:t>
      </w:r>
      <w:r>
        <w:rPr>
          <w:rFonts w:ascii="黑体" w:hAnsi="黑体" w:eastAsia="黑体"/>
          <w:color w:val="auto"/>
          <w:spacing w:val="4"/>
          <w:sz w:val="31"/>
          <w:szCs w:val="31"/>
          <w:highlight w:val="none"/>
        </w:rPr>
        <w:t>评</w:t>
      </w:r>
      <w:r>
        <w:rPr>
          <w:rFonts w:ascii="黑体" w:hAnsi="黑体" w:eastAsia="黑体"/>
          <w:color w:val="auto"/>
          <w:spacing w:val="3"/>
          <w:sz w:val="31"/>
          <w:szCs w:val="31"/>
          <w:highlight w:val="none"/>
        </w:rPr>
        <w:t>标</w:t>
      </w:r>
      <w:bookmarkEnd w:id="188"/>
      <w:bookmarkEnd w:id="189"/>
      <w:bookmarkEnd w:id="190"/>
      <w:bookmarkEnd w:id="191"/>
      <w:bookmarkEnd w:id="192"/>
    </w:p>
    <w:p w14:paraId="46E061BE">
      <w:pPr>
        <w:rPr>
          <w:rFonts w:ascii="Times New Roman" w:hAnsi="Times New Roman" w:eastAsia="Times New Roman"/>
          <w:color w:val="auto"/>
          <w:spacing w:val="10"/>
          <w:sz w:val="27"/>
          <w:szCs w:val="27"/>
          <w:highlight w:val="none"/>
        </w:rPr>
      </w:pPr>
      <w:bookmarkStart w:id="193" w:name="_Toc14687"/>
      <w:bookmarkStart w:id="194" w:name="_Toc17470"/>
      <w:bookmarkStart w:id="195" w:name="_Toc4252"/>
      <w:bookmarkStart w:id="196" w:name="_Toc25470"/>
      <w:bookmarkStart w:id="197" w:name="_Toc1336"/>
      <w:r>
        <w:rPr>
          <w:rFonts w:ascii="Times New Roman" w:hAnsi="Times New Roman" w:eastAsia="Times New Roman"/>
          <w:color w:val="auto"/>
          <w:spacing w:val="10"/>
          <w:sz w:val="27"/>
          <w:szCs w:val="27"/>
          <w:highlight w:val="none"/>
        </w:rPr>
        <w:t>6</w:t>
      </w:r>
      <w:r>
        <w:rPr>
          <w:rFonts w:ascii="Times New Roman" w:hAnsi="Times New Roman" w:eastAsia="Times New Roman"/>
          <w:color w:val="auto"/>
          <w:spacing w:val="5"/>
          <w:sz w:val="27"/>
          <w:szCs w:val="27"/>
          <w:highlight w:val="none"/>
        </w:rPr>
        <w:t xml:space="preserve">.1  </w:t>
      </w:r>
      <w:r>
        <w:rPr>
          <w:rFonts w:ascii="黑体" w:hAnsi="黑体" w:eastAsia="黑体"/>
          <w:color w:val="auto"/>
          <w:spacing w:val="5"/>
          <w:sz w:val="27"/>
          <w:szCs w:val="27"/>
          <w:highlight w:val="none"/>
        </w:rPr>
        <w:t>评标委员会</w:t>
      </w:r>
      <w:bookmarkEnd w:id="193"/>
      <w:bookmarkEnd w:id="194"/>
      <w:bookmarkEnd w:id="195"/>
      <w:bookmarkEnd w:id="196"/>
      <w:bookmarkEnd w:id="197"/>
    </w:p>
    <w:p w14:paraId="345E6B4C">
      <w:pPr>
        <w:spacing w:line="315" w:lineRule="auto"/>
        <w:rPr>
          <w:color w:val="auto"/>
          <w:highlight w:val="none"/>
        </w:rPr>
      </w:pPr>
    </w:p>
    <w:p w14:paraId="28CE6B72">
      <w:pPr>
        <w:spacing w:before="69" w:line="352" w:lineRule="auto"/>
        <w:ind w:right="56" w:firstLine="421"/>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6.1.1  </w:t>
      </w:r>
      <w:r>
        <w:rPr>
          <w:rFonts w:hint="eastAsia" w:ascii="宋体" w:hAnsi="宋体" w:eastAsia="宋体"/>
          <w:color w:val="auto"/>
          <w:highlight w:val="none"/>
        </w:rPr>
        <w:t>评标由招标人依法组建的评标委员会负责。评标委员会由有关技术、经济等方面的专家和招标人代表组成，专家从</w:t>
      </w:r>
      <w:r>
        <w:rPr>
          <w:rFonts w:hint="eastAsia" w:ascii="宋体" w:hAnsi="宋体" w:eastAsia="宋体"/>
          <w:color w:val="auto"/>
          <w:highlight w:val="none"/>
          <w:u w:val="single"/>
        </w:rPr>
        <w:t>广东省综合评标评审专家库</w:t>
      </w:r>
      <w:r>
        <w:rPr>
          <w:rFonts w:hint="eastAsia" w:ascii="宋体" w:hAnsi="宋体" w:eastAsia="宋体"/>
          <w:color w:val="auto"/>
          <w:highlight w:val="none"/>
        </w:rPr>
        <w:t>中抽取。评标委员会成员人数以及技术、经济等方面专家的确定方式见投标人须知前附表。</w:t>
      </w:r>
    </w:p>
    <w:p w14:paraId="05BCB4AF">
      <w:pPr>
        <w:spacing w:line="216" w:lineRule="auto"/>
        <w:ind w:left="421"/>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6.1.2  </w:t>
      </w:r>
      <w:r>
        <w:rPr>
          <w:rFonts w:ascii="宋体" w:hAnsi="宋体" w:eastAsia="宋体"/>
          <w:color w:val="auto"/>
          <w:spacing w:val="-2"/>
          <w:highlight w:val="none"/>
        </w:rPr>
        <w:t>评标委员会成员有下列情形之一的，应当回避：</w:t>
      </w:r>
    </w:p>
    <w:p w14:paraId="12A43C23">
      <w:pPr>
        <w:spacing w:before="154" w:line="217" w:lineRule="auto"/>
        <w:ind w:left="724"/>
        <w:rPr>
          <w:rFonts w:hint="eastAsia" w:ascii="宋体" w:hAnsi="宋体" w:eastAsia="宋体"/>
          <w:color w:val="auto"/>
          <w:spacing w:val="14"/>
          <w:highlight w:val="none"/>
        </w:rPr>
      </w:pPr>
      <w:r>
        <w:rPr>
          <w:rFonts w:ascii="宋体" w:hAnsi="宋体" w:eastAsia="宋体"/>
          <w:color w:val="auto"/>
          <w:spacing w:val="14"/>
          <w:highlight w:val="none"/>
        </w:rPr>
        <w:t>(</w:t>
      </w:r>
      <w:r>
        <w:rPr>
          <w:rFonts w:ascii="Times New Roman" w:hAnsi="Times New Roman" w:eastAsia="Times New Roman"/>
          <w:color w:val="auto"/>
          <w:spacing w:val="8"/>
          <w:highlight w:val="none"/>
        </w:rPr>
        <w:t>1</w:t>
      </w:r>
      <w:r>
        <w:rPr>
          <w:rFonts w:ascii="宋体" w:hAnsi="宋体" w:eastAsia="宋体"/>
          <w:color w:val="auto"/>
          <w:spacing w:val="7"/>
          <w:highlight w:val="none"/>
        </w:rPr>
        <w:t>)投标人或投标人主要负责人的近亲属；</w:t>
      </w:r>
    </w:p>
    <w:p w14:paraId="3EC11927">
      <w:pPr>
        <w:spacing w:before="154" w:line="220" w:lineRule="auto"/>
        <w:ind w:left="724"/>
        <w:rPr>
          <w:rFonts w:hint="eastAsia" w:ascii="宋体" w:hAnsi="宋体" w:eastAsia="宋体"/>
          <w:color w:val="auto"/>
          <w:spacing w:val="8"/>
          <w:highlight w:val="none"/>
        </w:rPr>
      </w:pPr>
      <w:r>
        <w:rPr>
          <w:rFonts w:ascii="宋体" w:hAnsi="宋体" w:eastAsia="宋体"/>
          <w:color w:val="auto"/>
          <w:spacing w:val="8"/>
          <w:highlight w:val="none"/>
        </w:rPr>
        <w:t>(</w:t>
      </w:r>
      <w:r>
        <w:rPr>
          <w:rFonts w:ascii="Times New Roman" w:hAnsi="Times New Roman" w:eastAsia="Times New Roman"/>
          <w:color w:val="auto"/>
          <w:spacing w:val="7"/>
          <w:highlight w:val="none"/>
        </w:rPr>
        <w:t>2</w:t>
      </w:r>
      <w:r>
        <w:rPr>
          <w:rFonts w:ascii="宋体" w:hAnsi="宋体" w:eastAsia="宋体"/>
          <w:color w:val="auto"/>
          <w:spacing w:val="7"/>
          <w:highlight w:val="none"/>
        </w:rPr>
        <w:t>)项目主管部门或者行政监督部门的人员；</w:t>
      </w:r>
    </w:p>
    <w:p w14:paraId="7DCD78B6">
      <w:pPr>
        <w:spacing w:before="149" w:line="220" w:lineRule="auto"/>
        <w:ind w:left="724"/>
        <w:rPr>
          <w:rFonts w:hint="eastAsia" w:ascii="宋体" w:hAnsi="宋体" w:eastAsia="宋体"/>
          <w:color w:val="auto"/>
          <w:spacing w:val="10"/>
          <w:highlight w:val="none"/>
        </w:rPr>
      </w:pPr>
      <w:r>
        <w:rPr>
          <w:rFonts w:ascii="宋体" w:hAnsi="宋体" w:eastAsia="宋体"/>
          <w:color w:val="auto"/>
          <w:spacing w:val="10"/>
          <w:highlight w:val="none"/>
        </w:rPr>
        <w:t>(</w:t>
      </w:r>
      <w:r>
        <w:rPr>
          <w:rFonts w:ascii="Times New Roman" w:hAnsi="Times New Roman" w:eastAsia="Times New Roman"/>
          <w:color w:val="auto"/>
          <w:spacing w:val="8"/>
          <w:highlight w:val="none"/>
        </w:rPr>
        <w:t>3</w:t>
      </w:r>
      <w:r>
        <w:rPr>
          <w:rFonts w:ascii="宋体" w:hAnsi="宋体" w:eastAsia="宋体"/>
          <w:color w:val="auto"/>
          <w:spacing w:val="5"/>
          <w:highlight w:val="none"/>
        </w:rPr>
        <w:t>)</w:t>
      </w:r>
      <w:r>
        <w:rPr>
          <w:rFonts w:hint="eastAsia" w:ascii="宋体" w:hAnsi="宋体" w:eastAsia="宋体"/>
          <w:color w:val="auto"/>
          <w:spacing w:val="10"/>
          <w:highlight w:val="none"/>
        </w:rPr>
        <w:t>招标人或投标人的工作人员、退休或离职未满3年的人员；</w:t>
      </w:r>
    </w:p>
    <w:p w14:paraId="3296BAFD">
      <w:pPr>
        <w:spacing w:before="149" w:line="220" w:lineRule="auto"/>
        <w:ind w:left="724"/>
        <w:rPr>
          <w:rFonts w:hint="eastAsia" w:ascii="宋体" w:hAnsi="宋体" w:eastAsia="宋体"/>
          <w:color w:val="auto"/>
          <w:spacing w:val="10"/>
          <w:highlight w:val="none"/>
        </w:rPr>
      </w:pPr>
      <w:r>
        <w:rPr>
          <w:rFonts w:ascii="宋体" w:hAnsi="宋体" w:eastAsia="宋体"/>
          <w:color w:val="auto"/>
          <w:spacing w:val="10"/>
          <w:highlight w:val="none"/>
        </w:rPr>
        <w:t>(</w:t>
      </w:r>
      <w:r>
        <w:rPr>
          <w:rFonts w:hint="eastAsia" w:ascii="Times New Roman" w:hAnsi="Times New Roman" w:eastAsia="宋体"/>
          <w:color w:val="auto"/>
          <w:spacing w:val="8"/>
          <w:highlight w:val="none"/>
        </w:rPr>
        <w:t>4</w:t>
      </w:r>
      <w:r>
        <w:rPr>
          <w:rFonts w:ascii="宋体" w:hAnsi="宋体" w:eastAsia="宋体"/>
          <w:color w:val="auto"/>
          <w:spacing w:val="5"/>
          <w:highlight w:val="none"/>
        </w:rPr>
        <w:t>)与投标人有经济利益关系，可能影响对投标公正评审的；</w:t>
      </w:r>
    </w:p>
    <w:p w14:paraId="6B57EC97">
      <w:pPr>
        <w:spacing w:before="149" w:line="352" w:lineRule="auto"/>
        <w:ind w:left="3" w:right="64" w:firstLine="720"/>
        <w:rPr>
          <w:rFonts w:hint="eastAsia" w:ascii="宋体" w:hAnsi="宋体" w:eastAsia="宋体"/>
          <w:color w:val="auto"/>
          <w:spacing w:val="12"/>
          <w:highlight w:val="none"/>
        </w:rPr>
      </w:pPr>
      <w:r>
        <w:rPr>
          <w:rFonts w:ascii="宋体" w:hAnsi="宋体" w:eastAsia="宋体"/>
          <w:color w:val="auto"/>
          <w:spacing w:val="12"/>
          <w:highlight w:val="none"/>
        </w:rPr>
        <w:t>(</w:t>
      </w:r>
      <w:r>
        <w:rPr>
          <w:rFonts w:hint="eastAsia" w:ascii="Times New Roman" w:hAnsi="Times New Roman" w:eastAsia="宋体"/>
          <w:color w:val="auto"/>
          <w:spacing w:val="7"/>
          <w:highlight w:val="none"/>
        </w:rPr>
        <w:t>5</w:t>
      </w:r>
      <w:r>
        <w:rPr>
          <w:rFonts w:ascii="宋体" w:hAnsi="宋体" w:eastAsia="宋体"/>
          <w:color w:val="auto"/>
          <w:spacing w:val="6"/>
          <w:highlight w:val="none"/>
        </w:rPr>
        <w:t>)曾因在招标、评标以及其他与招标投标有关活动中从事违法行为而受过行政处罚</w:t>
      </w:r>
      <w:r>
        <w:rPr>
          <w:rFonts w:ascii="宋体" w:hAnsi="宋体" w:eastAsia="宋体"/>
          <w:color w:val="auto"/>
          <w:spacing w:val="-9"/>
          <w:highlight w:val="none"/>
        </w:rPr>
        <w:t>或</w:t>
      </w:r>
      <w:r>
        <w:rPr>
          <w:rFonts w:ascii="宋体" w:hAnsi="宋体" w:eastAsia="宋体"/>
          <w:color w:val="auto"/>
          <w:spacing w:val="-7"/>
          <w:highlight w:val="none"/>
        </w:rPr>
        <w:t>刑事处罚的；</w:t>
      </w:r>
    </w:p>
    <w:p w14:paraId="404CE943">
      <w:pPr>
        <w:spacing w:line="218" w:lineRule="auto"/>
        <w:ind w:left="724"/>
        <w:rPr>
          <w:rFonts w:hint="eastAsia" w:ascii="宋体" w:hAnsi="宋体" w:eastAsia="宋体"/>
          <w:color w:val="auto"/>
          <w:spacing w:val="13"/>
          <w:highlight w:val="none"/>
        </w:rPr>
      </w:pPr>
      <w:r>
        <w:rPr>
          <w:rFonts w:ascii="宋体" w:hAnsi="宋体" w:eastAsia="宋体"/>
          <w:color w:val="auto"/>
          <w:spacing w:val="13"/>
          <w:highlight w:val="none"/>
        </w:rPr>
        <w:t>(</w:t>
      </w:r>
      <w:r>
        <w:rPr>
          <w:rFonts w:hint="eastAsia" w:ascii="Times New Roman" w:hAnsi="Times New Roman" w:eastAsia="宋体"/>
          <w:color w:val="auto"/>
          <w:spacing w:val="11"/>
          <w:highlight w:val="none"/>
        </w:rPr>
        <w:t>6</w:t>
      </w:r>
      <w:r>
        <w:rPr>
          <w:rFonts w:ascii="宋体" w:hAnsi="宋体" w:eastAsia="宋体"/>
          <w:color w:val="auto"/>
          <w:spacing w:val="11"/>
          <w:highlight w:val="none"/>
        </w:rPr>
        <w:t>)与投标人有其他利害关系。</w:t>
      </w:r>
    </w:p>
    <w:p w14:paraId="70AB946F">
      <w:pPr>
        <w:spacing w:before="152" w:line="358" w:lineRule="auto"/>
        <w:ind w:left="2" w:right="53" w:firstLine="419"/>
        <w:rPr>
          <w:rFonts w:hint="eastAsia" w:ascii="宋体" w:hAnsi="宋体" w:eastAsia="宋体"/>
          <w:color w:val="auto"/>
          <w:spacing w:val="-4"/>
          <w:highlight w:val="none"/>
        </w:rPr>
      </w:pPr>
      <w:r>
        <w:rPr>
          <w:rFonts w:ascii="Times New Roman" w:hAnsi="Times New Roman" w:eastAsia="Times New Roman"/>
          <w:color w:val="auto"/>
          <w:spacing w:val="-8"/>
          <w:highlight w:val="none"/>
        </w:rPr>
        <w:t>6</w:t>
      </w:r>
      <w:r>
        <w:rPr>
          <w:rFonts w:ascii="Times New Roman" w:hAnsi="Times New Roman" w:eastAsia="Times New Roman"/>
          <w:color w:val="auto"/>
          <w:spacing w:val="-7"/>
          <w:highlight w:val="none"/>
        </w:rPr>
        <w:t>.</w:t>
      </w:r>
      <w:r>
        <w:rPr>
          <w:rFonts w:ascii="Times New Roman" w:hAnsi="Times New Roman" w:eastAsia="Times New Roman"/>
          <w:color w:val="auto"/>
          <w:spacing w:val="-4"/>
          <w:highlight w:val="none"/>
        </w:rPr>
        <w:t xml:space="preserve">1.3  </w:t>
      </w:r>
      <w:r>
        <w:rPr>
          <w:rFonts w:ascii="宋体" w:hAnsi="宋体" w:eastAsia="宋体"/>
          <w:color w:val="auto"/>
          <w:spacing w:val="-4"/>
          <w:highlight w:val="none"/>
        </w:rPr>
        <w:t>评标过程中，评标委员会成员有回避事由、擅离职守或者因健康等原因不能继续评标</w:t>
      </w:r>
      <w:r>
        <w:rPr>
          <w:rFonts w:ascii="宋体" w:hAnsi="宋体" w:eastAsia="宋体"/>
          <w:color w:val="auto"/>
          <w:spacing w:val="1"/>
          <w:highlight w:val="none"/>
        </w:rPr>
        <w:t>的，招标人有权更换。被更换的</w:t>
      </w:r>
      <w:r>
        <w:rPr>
          <w:rFonts w:ascii="宋体" w:hAnsi="宋体" w:eastAsia="宋体"/>
          <w:color w:val="auto"/>
          <w:highlight w:val="none"/>
        </w:rPr>
        <w:t>评标委员会成员作出的评审结论无效，由更换后的评标委员会</w:t>
      </w:r>
      <w:r>
        <w:rPr>
          <w:rFonts w:ascii="宋体" w:hAnsi="宋体" w:eastAsia="宋体"/>
          <w:color w:val="auto"/>
          <w:spacing w:val="-4"/>
          <w:highlight w:val="none"/>
        </w:rPr>
        <w:t>成员重新进行评审。</w:t>
      </w:r>
    </w:p>
    <w:p w14:paraId="3503B348">
      <w:pPr>
        <w:pStyle w:val="9"/>
        <w:rPr>
          <w:rFonts w:eastAsiaTheme="minorEastAsia"/>
          <w:color w:val="auto"/>
          <w:highlight w:val="none"/>
        </w:rPr>
      </w:pPr>
    </w:p>
    <w:p w14:paraId="1F4C8A3B">
      <w:pPr>
        <w:rPr>
          <w:rFonts w:ascii="Times New Roman" w:hAnsi="Times New Roman" w:eastAsia="Times New Roman"/>
          <w:color w:val="auto"/>
          <w:spacing w:val="6"/>
          <w:sz w:val="27"/>
          <w:szCs w:val="27"/>
          <w:highlight w:val="none"/>
        </w:rPr>
      </w:pPr>
      <w:bookmarkStart w:id="198" w:name="_Toc27967"/>
      <w:bookmarkStart w:id="199" w:name="_Toc17027"/>
      <w:bookmarkStart w:id="200" w:name="_Toc8881"/>
      <w:bookmarkStart w:id="201" w:name="_Toc22628"/>
      <w:bookmarkStart w:id="202" w:name="_Toc17421"/>
      <w:r>
        <w:rPr>
          <w:rFonts w:ascii="Times New Roman" w:hAnsi="Times New Roman" w:eastAsia="Times New Roman"/>
          <w:color w:val="auto"/>
          <w:spacing w:val="6"/>
          <w:sz w:val="27"/>
          <w:szCs w:val="27"/>
          <w:highlight w:val="none"/>
        </w:rPr>
        <w:t>6</w:t>
      </w:r>
      <w:r>
        <w:rPr>
          <w:rFonts w:ascii="Times New Roman" w:hAnsi="Times New Roman" w:eastAsia="Times New Roman"/>
          <w:color w:val="auto"/>
          <w:spacing w:val="5"/>
          <w:sz w:val="27"/>
          <w:szCs w:val="27"/>
          <w:highlight w:val="none"/>
        </w:rPr>
        <w:t xml:space="preserve">.2  </w:t>
      </w:r>
      <w:r>
        <w:rPr>
          <w:rFonts w:ascii="黑体" w:hAnsi="黑体" w:eastAsia="黑体"/>
          <w:color w:val="auto"/>
          <w:spacing w:val="5"/>
          <w:sz w:val="27"/>
          <w:szCs w:val="27"/>
          <w:highlight w:val="none"/>
        </w:rPr>
        <w:t>评标原则</w:t>
      </w:r>
      <w:bookmarkEnd w:id="198"/>
      <w:bookmarkEnd w:id="199"/>
      <w:bookmarkEnd w:id="200"/>
      <w:bookmarkEnd w:id="201"/>
      <w:bookmarkEnd w:id="202"/>
    </w:p>
    <w:p w14:paraId="3F24193C">
      <w:pPr>
        <w:spacing w:before="69" w:line="220" w:lineRule="auto"/>
        <w:ind w:left="420"/>
        <w:rPr>
          <w:rFonts w:hint="eastAsia" w:ascii="宋体" w:hAnsi="宋体" w:eastAsia="宋体"/>
          <w:color w:val="auto"/>
          <w:spacing w:val="-1"/>
          <w:highlight w:val="none"/>
        </w:rPr>
      </w:pPr>
      <w:r>
        <w:rPr>
          <w:rFonts w:ascii="宋体" w:hAnsi="宋体" w:eastAsia="宋体"/>
          <w:color w:val="auto"/>
          <w:spacing w:val="-2"/>
          <w:highlight w:val="none"/>
        </w:rPr>
        <w:t>评标活动遵循公平、公正、科学和</w:t>
      </w:r>
      <w:r>
        <w:rPr>
          <w:rFonts w:ascii="宋体" w:hAnsi="宋体" w:eastAsia="宋体"/>
          <w:color w:val="auto"/>
          <w:spacing w:val="-1"/>
          <w:highlight w:val="none"/>
        </w:rPr>
        <w:t>择优的原则。</w:t>
      </w:r>
    </w:p>
    <w:p w14:paraId="4493D93B">
      <w:pPr>
        <w:pStyle w:val="9"/>
        <w:rPr>
          <w:rFonts w:eastAsiaTheme="minorEastAsia"/>
          <w:color w:val="auto"/>
          <w:highlight w:val="none"/>
        </w:rPr>
      </w:pPr>
    </w:p>
    <w:p w14:paraId="2B5F5AC4">
      <w:pPr>
        <w:pStyle w:val="57"/>
        <w:rPr>
          <w:color w:val="auto"/>
          <w:highlight w:val="none"/>
        </w:rPr>
      </w:pPr>
    </w:p>
    <w:p w14:paraId="1B0EAAB9">
      <w:pPr>
        <w:rPr>
          <w:rFonts w:ascii="Times New Roman" w:hAnsi="Times New Roman" w:eastAsia="Times New Roman"/>
          <w:color w:val="auto"/>
          <w:spacing w:val="6"/>
          <w:sz w:val="27"/>
          <w:szCs w:val="27"/>
          <w:highlight w:val="none"/>
        </w:rPr>
      </w:pPr>
      <w:bookmarkStart w:id="203" w:name="_Toc20235"/>
      <w:bookmarkStart w:id="204" w:name="_Toc19586"/>
      <w:bookmarkStart w:id="205" w:name="_Toc21600"/>
      <w:bookmarkStart w:id="206" w:name="_Toc20620"/>
      <w:bookmarkStart w:id="207" w:name="_Toc4719"/>
      <w:r>
        <w:rPr>
          <w:rFonts w:ascii="Times New Roman" w:hAnsi="Times New Roman" w:eastAsia="Times New Roman"/>
          <w:color w:val="auto"/>
          <w:spacing w:val="6"/>
          <w:sz w:val="27"/>
          <w:szCs w:val="27"/>
          <w:highlight w:val="none"/>
        </w:rPr>
        <w:t>6</w:t>
      </w:r>
      <w:r>
        <w:rPr>
          <w:rFonts w:ascii="Times New Roman" w:hAnsi="Times New Roman" w:eastAsia="Times New Roman"/>
          <w:color w:val="auto"/>
          <w:spacing w:val="3"/>
          <w:sz w:val="27"/>
          <w:szCs w:val="27"/>
          <w:highlight w:val="none"/>
        </w:rPr>
        <w:t xml:space="preserve">.3  </w:t>
      </w:r>
      <w:r>
        <w:rPr>
          <w:rFonts w:ascii="黑体" w:hAnsi="黑体" w:eastAsia="黑体"/>
          <w:color w:val="auto"/>
          <w:spacing w:val="3"/>
          <w:sz w:val="27"/>
          <w:szCs w:val="27"/>
          <w:highlight w:val="none"/>
        </w:rPr>
        <w:t>评标</w:t>
      </w:r>
      <w:bookmarkEnd w:id="203"/>
      <w:bookmarkEnd w:id="204"/>
      <w:bookmarkEnd w:id="205"/>
      <w:bookmarkEnd w:id="206"/>
      <w:bookmarkEnd w:id="207"/>
    </w:p>
    <w:p w14:paraId="3796F3A7">
      <w:pPr>
        <w:spacing w:before="68" w:line="352" w:lineRule="auto"/>
        <w:ind w:left="5" w:right="2" w:firstLine="417"/>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6.3.1 </w:t>
      </w:r>
      <w:r>
        <w:rPr>
          <w:rFonts w:ascii="宋体" w:hAnsi="宋体" w:eastAsia="宋体"/>
          <w:color w:val="auto"/>
          <w:spacing w:val="-1"/>
          <w:highlight w:val="none"/>
        </w:rPr>
        <w:t>评标</w:t>
      </w:r>
      <w:r>
        <w:rPr>
          <w:rFonts w:ascii="宋体" w:hAnsi="宋体" w:eastAsia="宋体"/>
          <w:color w:val="auto"/>
          <w:highlight w:val="none"/>
        </w:rPr>
        <w:t>委员会按照第三章</w:t>
      </w:r>
      <w:r>
        <w:rPr>
          <w:rFonts w:ascii="Times New Roman" w:hAnsi="Times New Roman" w:eastAsia="Times New Roman"/>
          <w:color w:val="auto"/>
          <w:highlight w:val="none"/>
        </w:rPr>
        <w:t>“</w:t>
      </w:r>
      <w:r>
        <w:rPr>
          <w:rFonts w:ascii="宋体" w:hAnsi="宋体" w:eastAsia="宋体"/>
          <w:color w:val="auto"/>
          <w:highlight w:val="none"/>
        </w:rPr>
        <w:t>评标办法</w:t>
      </w:r>
      <w:r>
        <w:rPr>
          <w:rFonts w:ascii="Times New Roman" w:hAnsi="Times New Roman" w:eastAsia="Times New Roman"/>
          <w:color w:val="auto"/>
          <w:highlight w:val="none"/>
        </w:rPr>
        <w:t>”</w:t>
      </w:r>
      <w:r>
        <w:rPr>
          <w:rFonts w:ascii="宋体" w:hAnsi="宋体" w:eastAsia="宋体"/>
          <w:color w:val="auto"/>
          <w:highlight w:val="none"/>
        </w:rPr>
        <w:t>规定的方法、评审因素、标准和程序对投标文件进</w:t>
      </w:r>
      <w:r>
        <w:rPr>
          <w:rFonts w:ascii="宋体" w:hAnsi="宋体" w:eastAsia="宋体"/>
          <w:color w:val="auto"/>
          <w:spacing w:val="-2"/>
          <w:highlight w:val="none"/>
        </w:rPr>
        <w:t>行评审。</w:t>
      </w:r>
      <w:r>
        <w:rPr>
          <w:rFonts w:ascii="宋体" w:hAnsi="宋体" w:eastAsia="宋体"/>
          <w:color w:val="auto"/>
          <w:spacing w:val="-1"/>
          <w:highlight w:val="none"/>
        </w:rPr>
        <w:t>第三章</w:t>
      </w:r>
      <w:r>
        <w:rPr>
          <w:rFonts w:ascii="Times New Roman" w:hAnsi="Times New Roman" w:eastAsia="Times New Roman"/>
          <w:color w:val="auto"/>
          <w:spacing w:val="-1"/>
          <w:highlight w:val="none"/>
        </w:rPr>
        <w:t>“</w:t>
      </w:r>
      <w:r>
        <w:rPr>
          <w:rFonts w:ascii="宋体" w:hAnsi="宋体" w:eastAsia="宋体"/>
          <w:color w:val="auto"/>
          <w:spacing w:val="-1"/>
          <w:highlight w:val="none"/>
        </w:rPr>
        <w:t>评标办法</w:t>
      </w:r>
      <w:r>
        <w:rPr>
          <w:rFonts w:ascii="Times New Roman" w:hAnsi="Times New Roman" w:eastAsia="Times New Roman"/>
          <w:color w:val="auto"/>
          <w:spacing w:val="-1"/>
          <w:highlight w:val="none"/>
        </w:rPr>
        <w:t>”</w:t>
      </w:r>
      <w:r>
        <w:rPr>
          <w:rFonts w:ascii="宋体" w:hAnsi="宋体" w:eastAsia="宋体"/>
          <w:color w:val="auto"/>
          <w:spacing w:val="-1"/>
          <w:highlight w:val="none"/>
        </w:rPr>
        <w:t>没有规定的方法、评审因素和标准，不作为评标依据。</w:t>
      </w:r>
    </w:p>
    <w:p w14:paraId="78B257E1">
      <w:pPr>
        <w:spacing w:before="1" w:line="358" w:lineRule="auto"/>
        <w:ind w:left="9" w:firstLine="412"/>
        <w:rPr>
          <w:rFonts w:ascii="Times New Roman" w:hAnsi="Times New Roman" w:eastAsia="Times New Roman"/>
          <w:color w:val="auto"/>
          <w:spacing w:val="-6"/>
          <w:highlight w:val="none"/>
        </w:rPr>
      </w:pPr>
      <w:r>
        <w:rPr>
          <w:rFonts w:ascii="Times New Roman" w:hAnsi="Times New Roman" w:eastAsia="Times New Roman"/>
          <w:color w:val="auto"/>
          <w:spacing w:val="-6"/>
          <w:highlight w:val="none"/>
        </w:rPr>
        <w:t>6</w:t>
      </w:r>
      <w:r>
        <w:rPr>
          <w:rFonts w:ascii="Times New Roman" w:hAnsi="Times New Roman" w:eastAsia="Times New Roman"/>
          <w:color w:val="auto"/>
          <w:spacing w:val="-3"/>
          <w:highlight w:val="none"/>
        </w:rPr>
        <w:t xml:space="preserve">.3.2 </w:t>
      </w:r>
      <w:r>
        <w:rPr>
          <w:rFonts w:ascii="宋体" w:hAnsi="宋体" w:eastAsia="宋体"/>
          <w:color w:val="auto"/>
          <w:spacing w:val="-3"/>
          <w:highlight w:val="none"/>
        </w:rPr>
        <w:t>评标完成后，评标委员会应当向招标人提交书面评标报告和中标候选人名单。评标委</w:t>
      </w:r>
      <w:r>
        <w:rPr>
          <w:rFonts w:ascii="宋体" w:hAnsi="宋体" w:eastAsia="宋体"/>
          <w:color w:val="auto"/>
          <w:spacing w:val="-2"/>
          <w:highlight w:val="none"/>
        </w:rPr>
        <w:t>员会推荐中标候选人的人数见投标人须知前附表。</w:t>
      </w:r>
    </w:p>
    <w:p w14:paraId="4B6FEF52">
      <w:pPr>
        <w:pStyle w:val="26"/>
        <w:spacing w:before="120" w:after="120"/>
        <w:outlineLvl w:val="9"/>
        <w:rPr>
          <w:rFonts w:ascii="Times New Roman" w:hAnsi="Times New Roman" w:eastAsia="Times New Roman"/>
          <w:bCs/>
          <w:color w:val="auto"/>
          <w:spacing w:val="10"/>
          <w:sz w:val="31"/>
          <w:szCs w:val="31"/>
          <w:highlight w:val="none"/>
        </w:rPr>
      </w:pPr>
      <w:bookmarkStart w:id="208" w:name="_Toc8464"/>
      <w:bookmarkStart w:id="209" w:name="_Toc24097"/>
      <w:bookmarkStart w:id="210" w:name="_Toc6785"/>
      <w:bookmarkStart w:id="211" w:name="_Toc28945"/>
      <w:bookmarkStart w:id="212" w:name="_Toc19815"/>
      <w:r>
        <w:rPr>
          <w:rFonts w:ascii="Times New Roman" w:hAnsi="Times New Roman" w:eastAsia="Times New Roman"/>
          <w:bCs/>
          <w:color w:val="auto"/>
          <w:spacing w:val="10"/>
          <w:sz w:val="31"/>
          <w:szCs w:val="31"/>
          <w:highlight w:val="none"/>
        </w:rPr>
        <w:t>7</w:t>
      </w:r>
      <w:r>
        <w:rPr>
          <w:rFonts w:ascii="Times New Roman" w:hAnsi="Times New Roman" w:eastAsia="Times New Roman"/>
          <w:bCs/>
          <w:color w:val="auto"/>
          <w:spacing w:val="6"/>
          <w:sz w:val="31"/>
          <w:szCs w:val="31"/>
          <w:highlight w:val="none"/>
        </w:rPr>
        <w:t>.</w:t>
      </w:r>
      <w:r>
        <w:rPr>
          <w:rFonts w:ascii="Times New Roman" w:hAnsi="Times New Roman" w:eastAsia="Times New Roman"/>
          <w:color w:val="auto"/>
          <w:spacing w:val="5"/>
          <w:sz w:val="31"/>
          <w:szCs w:val="31"/>
          <w:highlight w:val="none"/>
        </w:rPr>
        <w:t xml:space="preserve">  </w:t>
      </w:r>
      <w:r>
        <w:rPr>
          <w:rFonts w:ascii="黑体" w:hAnsi="黑体" w:eastAsia="黑体"/>
          <w:color w:val="auto"/>
          <w:spacing w:val="5"/>
          <w:sz w:val="31"/>
          <w:szCs w:val="31"/>
          <w:highlight w:val="none"/>
        </w:rPr>
        <w:t>合同授予</w:t>
      </w:r>
      <w:bookmarkEnd w:id="208"/>
      <w:bookmarkEnd w:id="209"/>
      <w:bookmarkEnd w:id="210"/>
      <w:bookmarkEnd w:id="211"/>
      <w:bookmarkEnd w:id="212"/>
    </w:p>
    <w:p w14:paraId="05A3F06F">
      <w:pPr>
        <w:rPr>
          <w:rFonts w:ascii="Times New Roman" w:hAnsi="Times New Roman" w:eastAsia="Times New Roman"/>
          <w:color w:val="auto"/>
          <w:spacing w:val="12"/>
          <w:sz w:val="27"/>
          <w:szCs w:val="27"/>
          <w:highlight w:val="none"/>
        </w:rPr>
      </w:pPr>
      <w:bookmarkStart w:id="213" w:name="_Toc27973"/>
      <w:bookmarkStart w:id="214" w:name="_Toc26925"/>
      <w:bookmarkStart w:id="215" w:name="_Toc15711"/>
      <w:bookmarkStart w:id="216" w:name="_Toc10561"/>
      <w:bookmarkStart w:id="217" w:name="_Toc30868"/>
      <w:r>
        <w:rPr>
          <w:rFonts w:ascii="Times New Roman" w:hAnsi="Times New Roman" w:eastAsia="Times New Roman"/>
          <w:color w:val="auto"/>
          <w:spacing w:val="12"/>
          <w:sz w:val="27"/>
          <w:szCs w:val="27"/>
          <w:highlight w:val="none"/>
        </w:rPr>
        <w:t>7</w:t>
      </w:r>
      <w:r>
        <w:rPr>
          <w:rFonts w:ascii="Times New Roman" w:hAnsi="Times New Roman" w:eastAsia="Times New Roman"/>
          <w:color w:val="auto"/>
          <w:spacing w:val="6"/>
          <w:sz w:val="27"/>
          <w:szCs w:val="27"/>
          <w:highlight w:val="none"/>
        </w:rPr>
        <w:t xml:space="preserve">.1  </w:t>
      </w:r>
      <w:r>
        <w:rPr>
          <w:rFonts w:ascii="黑体" w:hAnsi="黑体" w:eastAsia="黑体"/>
          <w:color w:val="auto"/>
          <w:spacing w:val="6"/>
          <w:sz w:val="27"/>
          <w:szCs w:val="27"/>
          <w:highlight w:val="none"/>
        </w:rPr>
        <w:t>中标候选人公示</w:t>
      </w:r>
      <w:bookmarkEnd w:id="213"/>
      <w:bookmarkEnd w:id="214"/>
      <w:bookmarkEnd w:id="215"/>
      <w:bookmarkEnd w:id="216"/>
      <w:bookmarkEnd w:id="217"/>
    </w:p>
    <w:p w14:paraId="121B92DD">
      <w:pPr>
        <w:spacing w:before="69" w:line="360" w:lineRule="auto"/>
        <w:ind w:left="21" w:right="4" w:firstLine="401"/>
        <w:rPr>
          <w:rFonts w:ascii="Times New Roman" w:hAnsi="Times New Roman" w:eastAsia="宋体"/>
          <w:color w:val="auto"/>
          <w:spacing w:val="-1"/>
          <w:highlight w:val="none"/>
        </w:rPr>
      </w:pPr>
      <w:r>
        <w:rPr>
          <w:rFonts w:hint="eastAsia" w:ascii="Times New Roman" w:hAnsi="Times New Roman" w:eastAsia="宋体"/>
          <w:color w:val="auto"/>
          <w:spacing w:val="-1"/>
          <w:highlight w:val="none"/>
        </w:rPr>
        <w:t>7.1</w:t>
      </w:r>
      <w:r>
        <w:rPr>
          <w:rFonts w:ascii="Times New Roman" w:hAnsi="Times New Roman" w:eastAsia="Times New Roman"/>
          <w:color w:val="auto"/>
          <w:spacing w:val="-1"/>
          <w:highlight w:val="none"/>
        </w:rPr>
        <w:t>.1</w:t>
      </w:r>
      <w:r>
        <w:rPr>
          <w:rFonts w:hint="eastAsia" w:ascii="Times New Roman" w:hAnsi="Times New Roman" w:eastAsia="宋体"/>
          <w:color w:val="auto"/>
          <w:spacing w:val="-1"/>
          <w:highlight w:val="none"/>
        </w:rPr>
        <w:t xml:space="preserve">  </w:t>
      </w:r>
      <w:r>
        <w:rPr>
          <w:rFonts w:ascii="宋体" w:hAnsi="宋体" w:eastAsia="宋体"/>
          <w:color w:val="auto"/>
          <w:spacing w:val="-1"/>
          <w:highlight w:val="none"/>
        </w:rPr>
        <w:t xml:space="preserve">招标人在收到评标报告之日起 </w:t>
      </w:r>
      <w:r>
        <w:rPr>
          <w:rFonts w:ascii="Times New Roman" w:hAnsi="Times New Roman" w:eastAsia="Times New Roman"/>
          <w:color w:val="auto"/>
          <w:spacing w:val="-1"/>
          <w:highlight w:val="none"/>
        </w:rPr>
        <w:t xml:space="preserve">3 </w:t>
      </w:r>
      <w:r>
        <w:rPr>
          <w:rFonts w:ascii="宋体" w:hAnsi="宋体" w:eastAsia="宋体"/>
          <w:color w:val="auto"/>
          <w:spacing w:val="-1"/>
          <w:highlight w:val="none"/>
        </w:rPr>
        <w:t>日内，按照投标人须知前附表规定的公示</w:t>
      </w:r>
      <w:r>
        <w:rPr>
          <w:rFonts w:ascii="宋体" w:hAnsi="宋体" w:eastAsia="宋体"/>
          <w:color w:val="auto"/>
          <w:highlight w:val="none"/>
        </w:rPr>
        <w:t>媒介和期限公示</w:t>
      </w:r>
      <w:r>
        <w:rPr>
          <w:rFonts w:ascii="宋体" w:hAnsi="宋体" w:eastAsia="宋体"/>
          <w:color w:val="auto"/>
          <w:spacing w:val="-5"/>
          <w:highlight w:val="none"/>
        </w:rPr>
        <w:t>中标候选人，公示期不得少于 3 天</w:t>
      </w:r>
      <w:r>
        <w:rPr>
          <w:rFonts w:hint="eastAsia" w:ascii="宋体" w:hAnsi="宋体" w:eastAsia="宋体"/>
          <w:color w:val="auto"/>
          <w:spacing w:val="-5"/>
          <w:highlight w:val="none"/>
        </w:rPr>
        <w:t>，最后一天应为工作日</w:t>
      </w:r>
      <w:r>
        <w:rPr>
          <w:rFonts w:ascii="宋体" w:hAnsi="宋体" w:eastAsia="宋体"/>
          <w:color w:val="auto"/>
          <w:spacing w:val="-5"/>
          <w:highlight w:val="none"/>
        </w:rPr>
        <w:t>。</w:t>
      </w:r>
    </w:p>
    <w:p w14:paraId="6C361D51">
      <w:pPr>
        <w:spacing w:before="69" w:line="360" w:lineRule="auto"/>
        <w:ind w:left="21" w:right="4" w:firstLine="401"/>
        <w:rPr>
          <w:rFonts w:hint="eastAsia" w:ascii="宋体" w:hAnsi="宋体" w:eastAsia="宋体"/>
          <w:color w:val="auto"/>
          <w:spacing w:val="-1"/>
          <w:highlight w:val="none"/>
        </w:rPr>
      </w:pPr>
      <w:r>
        <w:rPr>
          <w:rFonts w:hint="eastAsia" w:ascii="Times New Roman" w:hAnsi="Times New Roman" w:eastAsia="宋体"/>
          <w:color w:val="auto"/>
          <w:spacing w:val="-1"/>
          <w:highlight w:val="none"/>
        </w:rPr>
        <w:t>7.1</w:t>
      </w:r>
      <w:r>
        <w:rPr>
          <w:rFonts w:ascii="Times New Roman" w:hAnsi="Times New Roman" w:eastAsia="Times New Roman"/>
          <w:color w:val="auto"/>
          <w:spacing w:val="-1"/>
          <w:highlight w:val="none"/>
        </w:rPr>
        <w:t>.</w:t>
      </w:r>
      <w:r>
        <w:rPr>
          <w:rFonts w:hint="eastAsia" w:ascii="Times New Roman" w:hAnsi="Times New Roman" w:eastAsia="宋体"/>
          <w:color w:val="auto"/>
          <w:spacing w:val="-1"/>
          <w:highlight w:val="none"/>
        </w:rPr>
        <w:t xml:space="preserve">2  </w:t>
      </w:r>
      <w:r>
        <w:rPr>
          <w:rFonts w:hint="eastAsia" w:ascii="宋体" w:hAnsi="宋体" w:eastAsia="宋体"/>
          <w:color w:val="auto"/>
          <w:spacing w:val="-1"/>
          <w:highlight w:val="none"/>
        </w:rPr>
        <w:t>在产生中标候选人后，招标人将中标候选人的投标文件商务部分（包括报价清单、人员、业绩、奖项等资料）在广州交易集团有限公司（广州公共资源交易中心）网站和广东省招标投标监管网公开。</w:t>
      </w:r>
    </w:p>
    <w:p w14:paraId="76EF56D6">
      <w:pPr>
        <w:pStyle w:val="9"/>
        <w:rPr>
          <w:rFonts w:eastAsiaTheme="minorEastAsia"/>
          <w:color w:val="auto"/>
          <w:highlight w:val="none"/>
        </w:rPr>
      </w:pPr>
    </w:p>
    <w:p w14:paraId="31F04754">
      <w:pPr>
        <w:rPr>
          <w:rFonts w:ascii="Times New Roman" w:hAnsi="Times New Roman" w:eastAsia="Times New Roman"/>
          <w:color w:val="auto"/>
          <w:spacing w:val="8"/>
          <w:sz w:val="27"/>
          <w:szCs w:val="27"/>
          <w:highlight w:val="none"/>
        </w:rPr>
      </w:pPr>
      <w:bookmarkStart w:id="218" w:name="_Toc8357"/>
      <w:bookmarkStart w:id="219" w:name="_Toc2660"/>
      <w:bookmarkStart w:id="220" w:name="_Toc12474"/>
      <w:bookmarkStart w:id="221" w:name="_Toc15182"/>
      <w:bookmarkStart w:id="222" w:name="_Toc31424"/>
      <w:r>
        <w:rPr>
          <w:rFonts w:ascii="Times New Roman" w:hAnsi="Times New Roman" w:eastAsia="Times New Roman"/>
          <w:color w:val="auto"/>
          <w:spacing w:val="8"/>
          <w:sz w:val="27"/>
          <w:szCs w:val="27"/>
          <w:highlight w:val="none"/>
        </w:rPr>
        <w:t>7</w:t>
      </w:r>
      <w:r>
        <w:rPr>
          <w:rFonts w:ascii="Times New Roman" w:hAnsi="Times New Roman" w:eastAsia="Times New Roman"/>
          <w:color w:val="auto"/>
          <w:spacing w:val="6"/>
          <w:sz w:val="27"/>
          <w:szCs w:val="27"/>
          <w:highlight w:val="none"/>
        </w:rPr>
        <w:t xml:space="preserve">.2  </w:t>
      </w:r>
      <w:r>
        <w:rPr>
          <w:rFonts w:ascii="黑体" w:hAnsi="黑体" w:eastAsia="黑体"/>
          <w:color w:val="auto"/>
          <w:spacing w:val="6"/>
          <w:sz w:val="27"/>
          <w:szCs w:val="27"/>
          <w:highlight w:val="none"/>
        </w:rPr>
        <w:t>评标结果异议</w:t>
      </w:r>
      <w:bookmarkEnd w:id="218"/>
      <w:bookmarkEnd w:id="219"/>
      <w:bookmarkEnd w:id="220"/>
      <w:bookmarkEnd w:id="221"/>
      <w:bookmarkEnd w:id="222"/>
    </w:p>
    <w:p w14:paraId="6B65207D">
      <w:pPr>
        <w:spacing w:before="69" w:line="360" w:lineRule="auto"/>
        <w:ind w:left="3" w:right="8" w:firstLine="420"/>
        <w:rPr>
          <w:rFonts w:hint="eastAsia" w:ascii="宋体" w:hAnsi="宋体" w:eastAsia="宋体"/>
          <w:color w:val="auto"/>
          <w:spacing w:val="1"/>
          <w:highlight w:val="none"/>
        </w:rPr>
      </w:pPr>
      <w:r>
        <w:rPr>
          <w:rFonts w:ascii="宋体" w:hAnsi="宋体" w:eastAsia="宋体"/>
          <w:color w:val="auto"/>
          <w:spacing w:val="1"/>
          <w:highlight w:val="none"/>
        </w:rPr>
        <w:t>投标人或者其他利害关系人对</w:t>
      </w:r>
      <w:r>
        <w:rPr>
          <w:rFonts w:ascii="宋体" w:hAnsi="宋体" w:eastAsia="宋体"/>
          <w:color w:val="auto"/>
          <w:highlight w:val="none"/>
        </w:rPr>
        <w:t>评标结果有异议的，应当在中标候选人公示期间提出。招标</w:t>
      </w:r>
      <w:r>
        <w:rPr>
          <w:rFonts w:ascii="宋体" w:hAnsi="宋体" w:eastAsia="宋体"/>
          <w:color w:val="auto"/>
          <w:spacing w:val="-4"/>
          <w:highlight w:val="none"/>
        </w:rPr>
        <w:t>人将在收到异议之</w:t>
      </w:r>
      <w:r>
        <w:rPr>
          <w:rFonts w:ascii="宋体" w:hAnsi="宋体" w:eastAsia="宋体"/>
          <w:color w:val="auto"/>
          <w:spacing w:val="-3"/>
          <w:highlight w:val="none"/>
        </w:rPr>
        <w:t>日</w:t>
      </w:r>
      <w:r>
        <w:rPr>
          <w:rFonts w:ascii="宋体" w:hAnsi="宋体" w:eastAsia="宋体"/>
          <w:color w:val="auto"/>
          <w:spacing w:val="-2"/>
          <w:highlight w:val="none"/>
        </w:rPr>
        <w:t xml:space="preserve">起 </w:t>
      </w:r>
      <w:r>
        <w:rPr>
          <w:rFonts w:ascii="Times New Roman" w:hAnsi="Times New Roman" w:eastAsia="Times New Roman"/>
          <w:color w:val="auto"/>
          <w:spacing w:val="-2"/>
          <w:highlight w:val="none"/>
        </w:rPr>
        <w:t xml:space="preserve">3 </w:t>
      </w:r>
      <w:r>
        <w:rPr>
          <w:rFonts w:ascii="宋体" w:hAnsi="宋体" w:eastAsia="宋体"/>
          <w:color w:val="auto"/>
          <w:spacing w:val="-2"/>
          <w:highlight w:val="none"/>
        </w:rPr>
        <w:t>日内作出答复；作出答复前，将暂停招标投标活动。</w:t>
      </w:r>
    </w:p>
    <w:p w14:paraId="3A350817">
      <w:pPr>
        <w:rPr>
          <w:rFonts w:ascii="Times New Roman" w:hAnsi="Times New Roman" w:eastAsiaTheme="minorEastAsia"/>
          <w:color w:val="auto"/>
          <w:spacing w:val="14"/>
          <w:sz w:val="27"/>
          <w:szCs w:val="27"/>
          <w:highlight w:val="none"/>
        </w:rPr>
      </w:pPr>
      <w:bookmarkStart w:id="223" w:name="_Toc11042"/>
      <w:bookmarkStart w:id="224" w:name="_Toc24899"/>
      <w:bookmarkStart w:id="225" w:name="_Toc1302"/>
      <w:bookmarkStart w:id="226" w:name="_Toc31709"/>
      <w:bookmarkStart w:id="227" w:name="_Toc7359"/>
    </w:p>
    <w:p w14:paraId="494AAB77">
      <w:pPr>
        <w:rPr>
          <w:rFonts w:ascii="Times New Roman" w:hAnsi="Times New Roman" w:eastAsia="Times New Roman"/>
          <w:color w:val="auto"/>
          <w:spacing w:val="14"/>
          <w:sz w:val="27"/>
          <w:szCs w:val="27"/>
          <w:highlight w:val="none"/>
        </w:rPr>
      </w:pPr>
      <w:r>
        <w:rPr>
          <w:rFonts w:ascii="Times New Roman" w:hAnsi="Times New Roman" w:eastAsia="Times New Roman"/>
          <w:color w:val="auto"/>
          <w:spacing w:val="14"/>
          <w:sz w:val="27"/>
          <w:szCs w:val="27"/>
          <w:highlight w:val="none"/>
        </w:rPr>
        <w:t>7</w:t>
      </w:r>
      <w:r>
        <w:rPr>
          <w:rFonts w:ascii="Times New Roman" w:hAnsi="Times New Roman" w:eastAsia="Times New Roman"/>
          <w:color w:val="auto"/>
          <w:spacing w:val="8"/>
          <w:sz w:val="27"/>
          <w:szCs w:val="27"/>
          <w:highlight w:val="none"/>
        </w:rPr>
        <w:t>.</w:t>
      </w:r>
      <w:r>
        <w:rPr>
          <w:rFonts w:ascii="Times New Roman" w:hAnsi="Times New Roman" w:eastAsia="Times New Roman"/>
          <w:color w:val="auto"/>
          <w:spacing w:val="7"/>
          <w:sz w:val="27"/>
          <w:szCs w:val="27"/>
          <w:highlight w:val="none"/>
        </w:rPr>
        <w:t xml:space="preserve">3  </w:t>
      </w:r>
      <w:r>
        <w:rPr>
          <w:rFonts w:ascii="黑体" w:hAnsi="黑体" w:eastAsia="黑体"/>
          <w:color w:val="auto"/>
          <w:spacing w:val="7"/>
          <w:sz w:val="27"/>
          <w:szCs w:val="27"/>
          <w:highlight w:val="none"/>
        </w:rPr>
        <w:t>中标候选人履约能力审查</w:t>
      </w:r>
      <w:bookmarkEnd w:id="223"/>
      <w:bookmarkEnd w:id="224"/>
      <w:bookmarkEnd w:id="225"/>
      <w:bookmarkEnd w:id="226"/>
      <w:bookmarkEnd w:id="227"/>
    </w:p>
    <w:p w14:paraId="1EDF3967">
      <w:pPr>
        <w:spacing w:before="68" w:line="358" w:lineRule="auto"/>
        <w:ind w:left="1" w:right="7" w:firstLine="439"/>
        <w:rPr>
          <w:rFonts w:hint="eastAsia" w:ascii="宋体" w:hAnsi="宋体" w:eastAsia="宋体"/>
          <w:color w:val="auto"/>
          <w:spacing w:val="-9"/>
          <w:highlight w:val="none"/>
        </w:rPr>
      </w:pPr>
      <w:r>
        <w:rPr>
          <w:rFonts w:ascii="宋体" w:hAnsi="宋体" w:eastAsia="宋体"/>
          <w:color w:val="auto"/>
          <w:spacing w:val="-4"/>
          <w:highlight w:val="none"/>
        </w:rPr>
        <w:t>中标候选人的经营、财务状况发</w:t>
      </w:r>
      <w:r>
        <w:rPr>
          <w:rFonts w:ascii="宋体" w:hAnsi="宋体" w:eastAsia="宋体"/>
          <w:color w:val="auto"/>
          <w:spacing w:val="-3"/>
          <w:highlight w:val="none"/>
        </w:rPr>
        <w:t>生</w:t>
      </w:r>
      <w:r>
        <w:rPr>
          <w:rFonts w:ascii="宋体" w:hAnsi="宋体" w:eastAsia="宋体"/>
          <w:color w:val="auto"/>
          <w:spacing w:val="-2"/>
          <w:highlight w:val="none"/>
        </w:rPr>
        <w:t>较大变化或存在违法行为， 招标人认为可能影响其履约</w:t>
      </w:r>
      <w:r>
        <w:rPr>
          <w:rFonts w:ascii="宋体" w:hAnsi="宋体" w:eastAsia="宋体"/>
          <w:color w:val="auto"/>
          <w:spacing w:val="-4"/>
          <w:highlight w:val="none"/>
        </w:rPr>
        <w:t>能力</w:t>
      </w:r>
      <w:r>
        <w:rPr>
          <w:rFonts w:ascii="宋体" w:hAnsi="宋体" w:eastAsia="宋体"/>
          <w:color w:val="auto"/>
          <w:spacing w:val="-3"/>
          <w:highlight w:val="none"/>
        </w:rPr>
        <w:t>的</w:t>
      </w:r>
      <w:r>
        <w:rPr>
          <w:rFonts w:ascii="宋体" w:hAnsi="宋体" w:eastAsia="宋体"/>
          <w:color w:val="auto"/>
          <w:spacing w:val="-2"/>
          <w:highlight w:val="none"/>
        </w:rPr>
        <w:t>， 将在发出中标通知书前提请原评标委员会按照招标文件规定的标准和方法进行审查确</w:t>
      </w:r>
      <w:r>
        <w:rPr>
          <w:rFonts w:ascii="宋体" w:hAnsi="宋体" w:eastAsia="宋体"/>
          <w:color w:val="auto"/>
          <w:spacing w:val="-10"/>
          <w:highlight w:val="none"/>
        </w:rPr>
        <w:t>认</w:t>
      </w:r>
      <w:r>
        <w:rPr>
          <w:rFonts w:ascii="宋体" w:hAnsi="宋体" w:eastAsia="宋体"/>
          <w:color w:val="auto"/>
          <w:spacing w:val="-9"/>
          <w:highlight w:val="none"/>
        </w:rPr>
        <w:t>。</w:t>
      </w:r>
    </w:p>
    <w:p w14:paraId="42BA2125">
      <w:pPr>
        <w:pStyle w:val="9"/>
        <w:rPr>
          <w:rFonts w:eastAsiaTheme="minorEastAsia"/>
          <w:color w:val="auto"/>
          <w:highlight w:val="none"/>
        </w:rPr>
      </w:pPr>
    </w:p>
    <w:p w14:paraId="2DC12207">
      <w:pPr>
        <w:rPr>
          <w:rFonts w:ascii="Times New Roman" w:hAnsi="Times New Roman" w:eastAsia="Times New Roman"/>
          <w:color w:val="auto"/>
          <w:spacing w:val="6"/>
          <w:sz w:val="27"/>
          <w:szCs w:val="27"/>
          <w:highlight w:val="none"/>
        </w:rPr>
      </w:pPr>
      <w:bookmarkStart w:id="228" w:name="_Toc26287"/>
      <w:bookmarkStart w:id="229" w:name="_Toc4372"/>
      <w:bookmarkStart w:id="230" w:name="_Toc1563"/>
      <w:bookmarkStart w:id="231" w:name="_Toc24845"/>
      <w:bookmarkStart w:id="232" w:name="_Toc7161"/>
      <w:r>
        <w:rPr>
          <w:rFonts w:ascii="Times New Roman" w:hAnsi="Times New Roman" w:eastAsia="Times New Roman"/>
          <w:color w:val="auto"/>
          <w:spacing w:val="6"/>
          <w:sz w:val="27"/>
          <w:szCs w:val="27"/>
          <w:highlight w:val="none"/>
        </w:rPr>
        <w:t>7</w:t>
      </w:r>
      <w:r>
        <w:rPr>
          <w:rFonts w:ascii="Times New Roman" w:hAnsi="Times New Roman" w:eastAsia="Times New Roman"/>
          <w:color w:val="auto"/>
          <w:spacing w:val="5"/>
          <w:sz w:val="27"/>
          <w:szCs w:val="27"/>
          <w:highlight w:val="none"/>
        </w:rPr>
        <w:t>.</w:t>
      </w:r>
      <w:r>
        <w:rPr>
          <w:rFonts w:ascii="Times New Roman" w:hAnsi="Times New Roman" w:eastAsia="Times New Roman"/>
          <w:color w:val="auto"/>
          <w:spacing w:val="3"/>
          <w:sz w:val="27"/>
          <w:szCs w:val="27"/>
          <w:highlight w:val="none"/>
        </w:rPr>
        <w:t xml:space="preserve">4  </w:t>
      </w:r>
      <w:r>
        <w:rPr>
          <w:rFonts w:ascii="黑体" w:hAnsi="黑体" w:eastAsia="黑体"/>
          <w:color w:val="auto"/>
          <w:spacing w:val="3"/>
          <w:sz w:val="27"/>
          <w:szCs w:val="27"/>
          <w:highlight w:val="none"/>
        </w:rPr>
        <w:t>定标</w:t>
      </w:r>
      <w:bookmarkEnd w:id="228"/>
      <w:bookmarkEnd w:id="229"/>
      <w:bookmarkEnd w:id="230"/>
      <w:bookmarkEnd w:id="231"/>
      <w:bookmarkEnd w:id="232"/>
    </w:p>
    <w:p w14:paraId="1152F687">
      <w:pPr>
        <w:spacing w:before="69" w:line="217" w:lineRule="auto"/>
        <w:ind w:left="423"/>
        <w:rPr>
          <w:rFonts w:hint="eastAsia" w:ascii="宋体" w:hAnsi="宋体" w:eastAsia="宋体"/>
          <w:color w:val="auto"/>
          <w:spacing w:val="-2"/>
          <w:highlight w:val="none"/>
        </w:rPr>
      </w:pPr>
      <w:r>
        <w:rPr>
          <w:rFonts w:ascii="宋体" w:hAnsi="宋体" w:eastAsia="宋体"/>
          <w:color w:val="auto"/>
          <w:spacing w:val="-2"/>
          <w:highlight w:val="none"/>
        </w:rPr>
        <w:t>按照</w:t>
      </w:r>
      <w:r>
        <w:rPr>
          <w:rFonts w:ascii="宋体" w:hAnsi="宋体" w:eastAsia="宋体"/>
          <w:color w:val="auto"/>
          <w:spacing w:val="-1"/>
          <w:highlight w:val="none"/>
        </w:rPr>
        <w:t>投标人须知前附表的规定，招标人或招标人授权的评标委员会依法确定中标人。</w:t>
      </w:r>
    </w:p>
    <w:p w14:paraId="6274B61C">
      <w:pPr>
        <w:rPr>
          <w:rFonts w:ascii="Times New Roman" w:hAnsi="Times New Roman" w:eastAsia="Times New Roman"/>
          <w:color w:val="auto"/>
          <w:spacing w:val="8"/>
          <w:sz w:val="27"/>
          <w:szCs w:val="27"/>
          <w:highlight w:val="none"/>
        </w:rPr>
      </w:pPr>
      <w:bookmarkStart w:id="233" w:name="_Toc3434"/>
      <w:bookmarkStart w:id="234" w:name="_Toc6214"/>
      <w:bookmarkStart w:id="235" w:name="_Toc31531"/>
      <w:bookmarkStart w:id="236" w:name="_Toc24854"/>
      <w:bookmarkStart w:id="237" w:name="_Toc6635"/>
      <w:r>
        <w:rPr>
          <w:rFonts w:ascii="Times New Roman" w:hAnsi="Times New Roman" w:eastAsia="Times New Roman"/>
          <w:color w:val="auto"/>
          <w:spacing w:val="8"/>
          <w:sz w:val="27"/>
          <w:szCs w:val="27"/>
          <w:highlight w:val="none"/>
        </w:rPr>
        <w:t>7</w:t>
      </w:r>
      <w:r>
        <w:rPr>
          <w:rFonts w:ascii="Times New Roman" w:hAnsi="Times New Roman" w:eastAsia="Times New Roman"/>
          <w:color w:val="auto"/>
          <w:spacing w:val="5"/>
          <w:sz w:val="27"/>
          <w:szCs w:val="27"/>
          <w:highlight w:val="none"/>
        </w:rPr>
        <w:t xml:space="preserve">.5  </w:t>
      </w:r>
      <w:r>
        <w:rPr>
          <w:rFonts w:ascii="黑体" w:hAnsi="黑体" w:eastAsia="黑体"/>
          <w:color w:val="auto"/>
          <w:spacing w:val="5"/>
          <w:sz w:val="27"/>
          <w:szCs w:val="27"/>
          <w:highlight w:val="none"/>
        </w:rPr>
        <w:t>中标通知</w:t>
      </w:r>
      <w:bookmarkEnd w:id="233"/>
      <w:bookmarkEnd w:id="234"/>
      <w:bookmarkEnd w:id="235"/>
      <w:bookmarkEnd w:id="236"/>
      <w:bookmarkEnd w:id="237"/>
    </w:p>
    <w:p w14:paraId="286E56F7">
      <w:pPr>
        <w:spacing w:before="69" w:line="360" w:lineRule="auto"/>
        <w:ind w:left="21" w:right="4" w:firstLine="401"/>
        <w:rPr>
          <w:rFonts w:ascii="Times New Roman" w:hAnsi="Times New Roman" w:eastAsia="宋体"/>
          <w:color w:val="auto"/>
          <w:spacing w:val="-1"/>
          <w:highlight w:val="none"/>
        </w:rPr>
      </w:pPr>
      <w:r>
        <w:rPr>
          <w:rFonts w:hint="eastAsia" w:ascii="Times New Roman" w:hAnsi="Times New Roman" w:eastAsia="宋体"/>
          <w:color w:val="auto"/>
          <w:spacing w:val="-1"/>
          <w:highlight w:val="none"/>
        </w:rPr>
        <w:t>7.5.1  在法规规定的时间内，招标人以书面形式向中标人发出中标通知书。在广州交易集团有限公司（广州公共资源交易中心）网和广东省招标投标监管网发布中标信息，视同将中标结果通知未中标的投标人。</w:t>
      </w:r>
    </w:p>
    <w:p w14:paraId="5334D222">
      <w:pPr>
        <w:spacing w:before="69" w:line="360" w:lineRule="auto"/>
        <w:ind w:left="21" w:right="4" w:firstLine="401"/>
        <w:rPr>
          <w:rFonts w:ascii="Times New Roman" w:hAnsi="Times New Roman" w:eastAsia="宋体"/>
          <w:color w:val="auto"/>
          <w:spacing w:val="-1"/>
          <w:highlight w:val="none"/>
        </w:rPr>
      </w:pPr>
      <w:r>
        <w:rPr>
          <w:rFonts w:hint="eastAsia" w:ascii="Times New Roman" w:hAnsi="Times New Roman" w:eastAsia="宋体"/>
          <w:color w:val="auto"/>
          <w:spacing w:val="-1"/>
          <w:highlight w:val="none"/>
        </w:rPr>
        <w:t>7.5.2  中标通知书发出前，中标人应未被纳入失信联合惩戒名单，否则招标人将取消其中标资格。失信联合惩戒名单以“信用广州”网站公布的“黑名单”为准。</w:t>
      </w:r>
    </w:p>
    <w:p w14:paraId="50A7412F">
      <w:pPr>
        <w:spacing w:before="69" w:line="360" w:lineRule="auto"/>
        <w:ind w:right="14" w:firstLine="420"/>
        <w:rPr>
          <w:rFonts w:hint="eastAsia" w:ascii="宋体" w:hAnsi="宋体" w:eastAsia="宋体"/>
          <w:color w:val="auto"/>
          <w:highlight w:val="none"/>
        </w:rPr>
      </w:pPr>
    </w:p>
    <w:p w14:paraId="28C38981">
      <w:pPr>
        <w:rPr>
          <w:rFonts w:ascii="Times New Roman" w:hAnsi="Times New Roman" w:eastAsia="Times New Roman"/>
          <w:color w:val="auto"/>
          <w:spacing w:val="7"/>
          <w:sz w:val="27"/>
          <w:szCs w:val="27"/>
          <w:highlight w:val="none"/>
        </w:rPr>
      </w:pPr>
      <w:bookmarkStart w:id="238" w:name="_Toc15532"/>
      <w:bookmarkStart w:id="239" w:name="_Toc1332"/>
      <w:bookmarkStart w:id="240" w:name="_Toc32598"/>
      <w:bookmarkStart w:id="241" w:name="_Toc23546"/>
      <w:bookmarkStart w:id="242" w:name="_Toc274"/>
      <w:r>
        <w:rPr>
          <w:rFonts w:ascii="Times New Roman" w:hAnsi="Times New Roman" w:eastAsia="Times New Roman"/>
          <w:color w:val="auto"/>
          <w:spacing w:val="7"/>
          <w:sz w:val="27"/>
          <w:szCs w:val="27"/>
          <w:highlight w:val="none"/>
        </w:rPr>
        <w:t xml:space="preserve">7.6  </w:t>
      </w:r>
      <w:r>
        <w:rPr>
          <w:rFonts w:ascii="黑体" w:hAnsi="黑体" w:eastAsia="黑体"/>
          <w:color w:val="auto"/>
          <w:spacing w:val="7"/>
          <w:sz w:val="27"/>
          <w:szCs w:val="27"/>
          <w:highlight w:val="none"/>
        </w:rPr>
        <w:t>技术成果经济补</w:t>
      </w:r>
      <w:r>
        <w:rPr>
          <w:rFonts w:ascii="黑体" w:hAnsi="黑体" w:eastAsia="黑体"/>
          <w:color w:val="auto"/>
          <w:spacing w:val="5"/>
          <w:sz w:val="27"/>
          <w:szCs w:val="27"/>
          <w:highlight w:val="none"/>
        </w:rPr>
        <w:t>偿</w:t>
      </w:r>
      <w:bookmarkEnd w:id="238"/>
      <w:bookmarkEnd w:id="239"/>
      <w:bookmarkEnd w:id="240"/>
      <w:bookmarkEnd w:id="241"/>
      <w:bookmarkEnd w:id="242"/>
    </w:p>
    <w:p w14:paraId="7BC38E21">
      <w:pPr>
        <w:spacing w:before="232" w:line="360" w:lineRule="auto"/>
        <w:ind w:right="109" w:firstLine="633" w:firstLineChars="299"/>
        <w:rPr>
          <w:rFonts w:hint="eastAsia" w:ascii="宋体" w:hAnsi="宋体" w:eastAsia="宋体"/>
          <w:color w:val="auto"/>
          <w:spacing w:val="-2"/>
          <w:highlight w:val="none"/>
        </w:rPr>
      </w:pPr>
      <w:r>
        <w:rPr>
          <w:rFonts w:ascii="宋体" w:hAnsi="宋体" w:eastAsia="宋体"/>
          <w:color w:val="auto"/>
          <w:spacing w:val="1"/>
          <w:highlight w:val="none"/>
        </w:rPr>
        <w:t>招标人对符合招标文件规定的未</w:t>
      </w:r>
      <w:r>
        <w:rPr>
          <w:rFonts w:ascii="宋体" w:hAnsi="宋体" w:eastAsia="宋体"/>
          <w:color w:val="auto"/>
          <w:highlight w:val="none"/>
        </w:rPr>
        <w:t>中标人的技术成果进行补偿的，招标人将按投标人须知前</w:t>
      </w:r>
      <w:r>
        <w:rPr>
          <w:rFonts w:ascii="宋体" w:hAnsi="宋体" w:eastAsia="宋体"/>
          <w:color w:val="auto"/>
          <w:spacing w:val="-1"/>
          <w:highlight w:val="none"/>
        </w:rPr>
        <w:t>附表规定的标准给予经济补偿，未中标人在投标文件中声明放弃技术成</w:t>
      </w:r>
      <w:r>
        <w:rPr>
          <w:rFonts w:ascii="宋体" w:hAnsi="宋体" w:eastAsia="宋体"/>
          <w:color w:val="auto"/>
          <w:highlight w:val="none"/>
        </w:rPr>
        <w:t xml:space="preserve">果经济补偿费的除外。 </w:t>
      </w:r>
      <w:r>
        <w:rPr>
          <w:rFonts w:ascii="宋体" w:hAnsi="宋体" w:eastAsia="宋体"/>
          <w:color w:val="auto"/>
          <w:spacing w:val="-4"/>
          <w:highlight w:val="none"/>
        </w:rPr>
        <w:t>招标人将于中标通</w:t>
      </w:r>
      <w:r>
        <w:rPr>
          <w:rFonts w:ascii="宋体" w:hAnsi="宋体" w:eastAsia="宋体"/>
          <w:color w:val="auto"/>
          <w:spacing w:val="-2"/>
          <w:highlight w:val="none"/>
        </w:rPr>
        <w:t xml:space="preserve">知书发出后 </w:t>
      </w:r>
      <w:r>
        <w:rPr>
          <w:rFonts w:ascii="Times New Roman" w:hAnsi="Times New Roman" w:eastAsia="Times New Roman"/>
          <w:color w:val="auto"/>
          <w:spacing w:val="-2"/>
          <w:highlight w:val="none"/>
        </w:rPr>
        <w:t xml:space="preserve">30 </w:t>
      </w:r>
      <w:r>
        <w:rPr>
          <w:rFonts w:ascii="宋体" w:hAnsi="宋体" w:eastAsia="宋体"/>
          <w:color w:val="auto"/>
          <w:spacing w:val="-2"/>
          <w:highlight w:val="none"/>
        </w:rPr>
        <w:t>日内向未中标人支付技术成果经济补偿费。</w:t>
      </w:r>
    </w:p>
    <w:p w14:paraId="4AAC2AC7">
      <w:pPr>
        <w:pStyle w:val="9"/>
        <w:rPr>
          <w:rFonts w:eastAsiaTheme="minorEastAsia"/>
          <w:color w:val="auto"/>
          <w:highlight w:val="none"/>
        </w:rPr>
      </w:pPr>
    </w:p>
    <w:p w14:paraId="657C0531">
      <w:pPr>
        <w:rPr>
          <w:rFonts w:ascii="Times New Roman" w:hAnsi="Times New Roman" w:eastAsia="Times New Roman"/>
          <w:color w:val="auto"/>
          <w:spacing w:val="10"/>
          <w:sz w:val="27"/>
          <w:szCs w:val="27"/>
          <w:highlight w:val="none"/>
        </w:rPr>
      </w:pPr>
      <w:bookmarkStart w:id="243" w:name="_Toc23864"/>
      <w:bookmarkStart w:id="244" w:name="_Toc32158"/>
      <w:bookmarkStart w:id="245" w:name="_Toc26550"/>
      <w:bookmarkStart w:id="246" w:name="_Toc27672"/>
      <w:bookmarkStart w:id="247" w:name="_Toc6711"/>
      <w:r>
        <w:rPr>
          <w:rFonts w:ascii="Times New Roman" w:hAnsi="Times New Roman" w:eastAsia="Times New Roman"/>
          <w:color w:val="auto"/>
          <w:spacing w:val="10"/>
          <w:sz w:val="27"/>
          <w:szCs w:val="27"/>
          <w:highlight w:val="none"/>
        </w:rPr>
        <w:t>7</w:t>
      </w:r>
      <w:r>
        <w:rPr>
          <w:rFonts w:ascii="Times New Roman" w:hAnsi="Times New Roman" w:eastAsia="Times New Roman"/>
          <w:color w:val="auto"/>
          <w:spacing w:val="7"/>
          <w:sz w:val="27"/>
          <w:szCs w:val="27"/>
          <w:highlight w:val="none"/>
        </w:rPr>
        <w:t>.</w:t>
      </w:r>
      <w:r>
        <w:rPr>
          <w:rFonts w:ascii="Times New Roman" w:hAnsi="Times New Roman" w:eastAsia="Times New Roman"/>
          <w:color w:val="auto"/>
          <w:spacing w:val="5"/>
          <w:sz w:val="27"/>
          <w:szCs w:val="27"/>
          <w:highlight w:val="none"/>
        </w:rPr>
        <w:t xml:space="preserve">7  </w:t>
      </w:r>
      <w:r>
        <w:rPr>
          <w:rFonts w:ascii="黑体" w:hAnsi="黑体" w:eastAsia="黑体"/>
          <w:color w:val="auto"/>
          <w:spacing w:val="5"/>
          <w:sz w:val="27"/>
          <w:szCs w:val="27"/>
          <w:highlight w:val="none"/>
        </w:rPr>
        <w:t>履约保证金</w:t>
      </w:r>
      <w:bookmarkEnd w:id="243"/>
      <w:bookmarkEnd w:id="244"/>
      <w:bookmarkEnd w:id="245"/>
      <w:bookmarkEnd w:id="246"/>
      <w:bookmarkEnd w:id="247"/>
    </w:p>
    <w:p w14:paraId="329EA3EE">
      <w:pPr>
        <w:spacing w:before="68" w:line="351" w:lineRule="auto"/>
        <w:ind w:left="2" w:right="62" w:firstLine="417"/>
        <w:rPr>
          <w:rFonts w:ascii="Times New Roman" w:hAnsi="Times New Roman" w:eastAsia="Times New Roman"/>
          <w:color w:val="auto"/>
          <w:spacing w:val="-9"/>
          <w:highlight w:val="none"/>
        </w:rPr>
      </w:pPr>
      <w:r>
        <w:rPr>
          <w:rFonts w:ascii="Times New Roman" w:hAnsi="Times New Roman" w:eastAsia="Times New Roman"/>
          <w:color w:val="auto"/>
          <w:spacing w:val="-9"/>
          <w:highlight w:val="none"/>
        </w:rPr>
        <w:t>7</w:t>
      </w:r>
      <w:r>
        <w:rPr>
          <w:rFonts w:ascii="Times New Roman" w:hAnsi="Times New Roman" w:eastAsia="Times New Roman"/>
          <w:color w:val="auto"/>
          <w:spacing w:val="-6"/>
          <w:highlight w:val="none"/>
        </w:rPr>
        <w:t xml:space="preserve">.7.1  </w:t>
      </w:r>
      <w:r>
        <w:rPr>
          <w:rFonts w:hint="eastAsia" w:ascii="Times New Roman" w:hAnsi="Times New Roman" w:eastAsia="宋体"/>
          <w:color w:val="auto"/>
          <w:spacing w:val="-6"/>
          <w:highlight w:val="none"/>
        </w:rPr>
        <w:t xml:space="preserve">   </w:t>
      </w:r>
      <w:r>
        <w:rPr>
          <w:rFonts w:ascii="宋体" w:hAnsi="宋体" w:eastAsia="宋体"/>
          <w:color w:val="auto"/>
          <w:spacing w:val="-6"/>
          <w:highlight w:val="none"/>
        </w:rPr>
        <w:t>在签订合同前</w:t>
      </w:r>
      <w:r>
        <w:rPr>
          <w:rFonts w:hint="eastAsia" w:ascii="宋体" w:hAnsi="宋体" w:eastAsia="宋体"/>
          <w:color w:val="auto"/>
          <w:spacing w:val="-6"/>
          <w:highlight w:val="none"/>
        </w:rPr>
        <w:t>，</w:t>
      </w:r>
      <w:r>
        <w:rPr>
          <w:rFonts w:ascii="宋体" w:hAnsi="宋体" w:eastAsia="宋体"/>
          <w:color w:val="auto"/>
          <w:spacing w:val="-6"/>
          <w:highlight w:val="none"/>
        </w:rPr>
        <w:t>中标人应按投标人须知前附表规定的形式、金额和招标文件第四章</w:t>
      </w:r>
      <w:r>
        <w:rPr>
          <w:rFonts w:hint="eastAsia" w:ascii="Times New Roman" w:hAnsi="Times New Roman" w:eastAsia="宋体"/>
          <w:color w:val="auto"/>
          <w:spacing w:val="-6"/>
          <w:highlight w:val="none"/>
        </w:rPr>
        <w:t>“</w:t>
      </w:r>
      <w:r>
        <w:rPr>
          <w:rFonts w:ascii="宋体" w:hAnsi="宋体" w:eastAsia="宋体"/>
          <w:color w:val="auto"/>
          <w:spacing w:val="-6"/>
          <w:highlight w:val="none"/>
        </w:rPr>
        <w:t>合</w:t>
      </w:r>
      <w:r>
        <w:rPr>
          <w:rFonts w:ascii="宋体" w:hAnsi="宋体" w:eastAsia="宋体"/>
          <w:color w:val="auto"/>
          <w:spacing w:val="6"/>
          <w:highlight w:val="none"/>
        </w:rPr>
        <w:t>同条款及格式</w:t>
      </w:r>
      <w:r>
        <w:rPr>
          <w:rFonts w:hint="eastAsia" w:ascii="Times New Roman" w:hAnsi="Times New Roman" w:eastAsia="宋体"/>
          <w:color w:val="auto"/>
          <w:spacing w:val="-6"/>
          <w:highlight w:val="none"/>
        </w:rPr>
        <w:t>”</w:t>
      </w:r>
      <w:r>
        <w:rPr>
          <w:rFonts w:ascii="宋体" w:hAnsi="宋体" w:eastAsia="宋体"/>
          <w:color w:val="auto"/>
          <w:spacing w:val="6"/>
          <w:highlight w:val="none"/>
        </w:rPr>
        <w:t>规</w:t>
      </w:r>
      <w:r>
        <w:rPr>
          <w:rFonts w:ascii="宋体" w:hAnsi="宋体" w:eastAsia="宋体"/>
          <w:color w:val="auto"/>
          <w:spacing w:val="4"/>
          <w:highlight w:val="none"/>
        </w:rPr>
        <w:t>定</w:t>
      </w:r>
      <w:r>
        <w:rPr>
          <w:rFonts w:ascii="宋体" w:hAnsi="宋体" w:eastAsia="宋体"/>
          <w:color w:val="auto"/>
          <w:spacing w:val="3"/>
          <w:highlight w:val="none"/>
        </w:rPr>
        <w:t>的或者事先经过招标人书面认可的履约保证金格式向招标人提交履约保证</w:t>
      </w:r>
      <w:r>
        <w:rPr>
          <w:rFonts w:ascii="宋体" w:hAnsi="宋体" w:eastAsia="宋体"/>
          <w:color w:val="auto"/>
          <w:spacing w:val="-2"/>
          <w:highlight w:val="none"/>
        </w:rPr>
        <w:t>金。除投标人须知前</w:t>
      </w:r>
      <w:r>
        <w:rPr>
          <w:rFonts w:ascii="宋体" w:hAnsi="宋体" w:eastAsia="宋体"/>
          <w:color w:val="auto"/>
          <w:spacing w:val="-1"/>
          <w:highlight w:val="none"/>
        </w:rPr>
        <w:t xml:space="preserve">附表另有规定外，履约保证金为中标合同金额的 </w:t>
      </w:r>
      <w:r>
        <w:rPr>
          <w:rFonts w:ascii="Times New Roman" w:hAnsi="Times New Roman" w:eastAsia="Times New Roman"/>
          <w:color w:val="auto"/>
          <w:spacing w:val="-1"/>
          <w:highlight w:val="none"/>
        </w:rPr>
        <w:t>10%</w:t>
      </w:r>
      <w:r>
        <w:rPr>
          <w:rFonts w:ascii="宋体" w:hAnsi="宋体" w:eastAsia="宋体"/>
          <w:color w:val="auto"/>
          <w:spacing w:val="-1"/>
          <w:highlight w:val="none"/>
        </w:rPr>
        <w:t>。联合体中标的，其</w:t>
      </w:r>
      <w:r>
        <w:rPr>
          <w:rFonts w:ascii="宋体" w:hAnsi="宋体" w:eastAsia="宋体"/>
          <w:color w:val="auto"/>
          <w:spacing w:val="-2"/>
          <w:highlight w:val="none"/>
        </w:rPr>
        <w:t>履约保证金以联合体各方或</w:t>
      </w:r>
      <w:r>
        <w:rPr>
          <w:rFonts w:ascii="宋体" w:hAnsi="宋体" w:eastAsia="宋体"/>
          <w:color w:val="auto"/>
          <w:spacing w:val="-1"/>
          <w:highlight w:val="none"/>
        </w:rPr>
        <w:t>者联合体中</w:t>
      </w:r>
      <w:r>
        <w:rPr>
          <w:rFonts w:hint="eastAsia" w:ascii="宋体" w:hAnsi="宋体" w:eastAsia="宋体"/>
          <w:color w:val="auto"/>
          <w:spacing w:val="-1"/>
          <w:highlight w:val="none"/>
        </w:rPr>
        <w:t>主办方</w:t>
      </w:r>
      <w:r>
        <w:rPr>
          <w:rFonts w:ascii="宋体" w:hAnsi="宋体" w:eastAsia="宋体"/>
          <w:color w:val="auto"/>
          <w:spacing w:val="-1"/>
          <w:highlight w:val="none"/>
        </w:rPr>
        <w:t>的名义提交。</w:t>
      </w:r>
    </w:p>
    <w:p w14:paraId="3D9B3584">
      <w:pPr>
        <w:spacing w:before="4" w:line="360" w:lineRule="auto"/>
        <w:ind w:left="4" w:right="76" w:firstLine="416"/>
        <w:rPr>
          <w:rFonts w:hint="eastAsia" w:ascii="宋体" w:hAnsi="宋体" w:eastAsia="宋体"/>
          <w:color w:val="auto"/>
          <w:spacing w:val="-1"/>
          <w:highlight w:val="none"/>
        </w:rPr>
      </w:pPr>
      <w:r>
        <w:rPr>
          <w:rFonts w:ascii="Times New Roman" w:hAnsi="Times New Roman" w:eastAsia="Times New Roman"/>
          <w:color w:val="auto"/>
          <w:spacing w:val="-3"/>
          <w:highlight w:val="none"/>
        </w:rPr>
        <w:t xml:space="preserve">7.7.2  </w:t>
      </w:r>
      <w:r>
        <w:rPr>
          <w:rFonts w:ascii="宋体" w:hAnsi="宋体" w:eastAsia="宋体"/>
          <w:color w:val="auto"/>
          <w:spacing w:val="-3"/>
          <w:highlight w:val="none"/>
        </w:rPr>
        <w:t xml:space="preserve">中标人不能按本章第 </w:t>
      </w:r>
      <w:r>
        <w:rPr>
          <w:rFonts w:ascii="Times New Roman" w:hAnsi="Times New Roman" w:eastAsia="Times New Roman"/>
          <w:color w:val="auto"/>
          <w:spacing w:val="-3"/>
          <w:highlight w:val="none"/>
        </w:rPr>
        <w:t xml:space="preserve">7.7.1 </w:t>
      </w:r>
      <w:r>
        <w:rPr>
          <w:rFonts w:ascii="宋体" w:hAnsi="宋体" w:eastAsia="宋体"/>
          <w:color w:val="auto"/>
          <w:spacing w:val="-3"/>
          <w:highlight w:val="none"/>
        </w:rPr>
        <w:t>项要求提交履约保证金的，视为放弃中标，</w:t>
      </w:r>
      <w:r>
        <w:rPr>
          <w:rFonts w:ascii="宋体" w:hAnsi="宋体" w:eastAsia="宋体"/>
          <w:strike/>
          <w:color w:val="auto"/>
          <w:spacing w:val="-3"/>
          <w:highlight w:val="none"/>
        </w:rPr>
        <w:t>其投标</w:t>
      </w:r>
      <w:r>
        <w:rPr>
          <w:rFonts w:ascii="宋体" w:hAnsi="宋体" w:eastAsia="宋体"/>
          <w:strike/>
          <w:color w:val="auto"/>
          <w:highlight w:val="none"/>
        </w:rPr>
        <w:t xml:space="preserve">保证金 </w:t>
      </w:r>
      <w:r>
        <w:rPr>
          <w:rFonts w:ascii="宋体" w:hAnsi="宋体" w:eastAsia="宋体"/>
          <w:strike/>
          <w:color w:val="auto"/>
          <w:spacing w:val="-1"/>
          <w:highlight w:val="none"/>
        </w:rPr>
        <w:t>不予退还</w:t>
      </w:r>
      <w:r>
        <w:rPr>
          <w:rFonts w:ascii="宋体" w:hAnsi="宋体" w:eastAsia="宋体"/>
          <w:color w:val="auto"/>
          <w:spacing w:val="-1"/>
          <w:highlight w:val="none"/>
        </w:rPr>
        <w:t>，给招标人造成</w:t>
      </w:r>
      <w:r>
        <w:rPr>
          <w:rFonts w:ascii="宋体" w:hAnsi="宋体" w:eastAsia="宋体"/>
          <w:strike/>
          <w:color w:val="auto"/>
          <w:spacing w:val="-1"/>
          <w:highlight w:val="none"/>
        </w:rPr>
        <w:t>的</w:t>
      </w:r>
      <w:r>
        <w:rPr>
          <w:rFonts w:ascii="宋体" w:hAnsi="宋体" w:eastAsia="宋体"/>
          <w:color w:val="auto"/>
          <w:spacing w:val="-1"/>
          <w:highlight w:val="none"/>
        </w:rPr>
        <w:t>损失</w:t>
      </w:r>
      <w:r>
        <w:rPr>
          <w:rFonts w:ascii="宋体" w:hAnsi="宋体" w:eastAsia="宋体"/>
          <w:strike/>
          <w:color w:val="auto"/>
          <w:spacing w:val="-1"/>
          <w:highlight w:val="none"/>
        </w:rPr>
        <w:t>超过投标保证金数额的</w:t>
      </w:r>
      <w:r>
        <w:rPr>
          <w:rFonts w:ascii="宋体" w:hAnsi="宋体" w:eastAsia="宋体"/>
          <w:color w:val="auto"/>
          <w:spacing w:val="-1"/>
          <w:highlight w:val="none"/>
        </w:rPr>
        <w:t>，中标人还应当对超过部分予以赔偿</w:t>
      </w:r>
      <w:r>
        <w:rPr>
          <w:rFonts w:hint="eastAsia" w:ascii="宋体" w:hAnsi="宋体" w:eastAsia="宋体"/>
          <w:color w:val="auto"/>
          <w:spacing w:val="-1"/>
          <w:highlight w:val="none"/>
        </w:rPr>
        <w:t>。</w:t>
      </w:r>
    </w:p>
    <w:p w14:paraId="22D4C392">
      <w:pPr>
        <w:rPr>
          <w:rFonts w:ascii="Times New Roman" w:hAnsi="Times New Roman" w:eastAsia="Times New Roman"/>
          <w:color w:val="auto"/>
          <w:spacing w:val="8"/>
          <w:sz w:val="27"/>
          <w:szCs w:val="27"/>
          <w:highlight w:val="none"/>
        </w:rPr>
      </w:pPr>
      <w:bookmarkStart w:id="248" w:name="_Toc19251"/>
      <w:bookmarkStart w:id="249" w:name="_Toc16196"/>
      <w:bookmarkStart w:id="250" w:name="_Toc12741"/>
      <w:bookmarkStart w:id="251" w:name="_Toc2899"/>
      <w:bookmarkStart w:id="252" w:name="_Toc25518"/>
      <w:r>
        <w:rPr>
          <w:rFonts w:ascii="Times New Roman" w:hAnsi="Times New Roman" w:eastAsia="Times New Roman"/>
          <w:color w:val="auto"/>
          <w:spacing w:val="8"/>
          <w:sz w:val="27"/>
          <w:szCs w:val="27"/>
          <w:highlight w:val="none"/>
        </w:rPr>
        <w:t>7</w:t>
      </w:r>
      <w:r>
        <w:rPr>
          <w:rFonts w:ascii="Times New Roman" w:hAnsi="Times New Roman" w:eastAsia="Times New Roman"/>
          <w:color w:val="auto"/>
          <w:spacing w:val="5"/>
          <w:sz w:val="27"/>
          <w:szCs w:val="27"/>
          <w:highlight w:val="none"/>
        </w:rPr>
        <w:t xml:space="preserve">.8  </w:t>
      </w:r>
      <w:r>
        <w:rPr>
          <w:rFonts w:ascii="黑体" w:hAnsi="黑体" w:eastAsia="黑体"/>
          <w:color w:val="auto"/>
          <w:spacing w:val="5"/>
          <w:sz w:val="27"/>
          <w:szCs w:val="27"/>
          <w:highlight w:val="none"/>
        </w:rPr>
        <w:t>签订合同</w:t>
      </w:r>
      <w:bookmarkEnd w:id="248"/>
      <w:bookmarkEnd w:id="249"/>
      <w:bookmarkEnd w:id="250"/>
      <w:bookmarkEnd w:id="251"/>
      <w:bookmarkEnd w:id="252"/>
    </w:p>
    <w:p w14:paraId="46597911">
      <w:pPr>
        <w:spacing w:before="69" w:line="352" w:lineRule="auto"/>
        <w:ind w:right="75" w:firstLine="420"/>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7.8.1  </w:t>
      </w:r>
      <w:r>
        <w:rPr>
          <w:rFonts w:ascii="宋体" w:hAnsi="宋体" w:eastAsia="宋体"/>
          <w:color w:val="auto"/>
          <w:spacing w:val="-1"/>
          <w:highlight w:val="none"/>
        </w:rPr>
        <w:t xml:space="preserve">招标人和中标人应当在中标通知书发出之日起 </w:t>
      </w:r>
      <w:r>
        <w:rPr>
          <w:rFonts w:ascii="Times New Roman" w:hAnsi="Times New Roman" w:eastAsia="Times New Roman"/>
          <w:color w:val="auto"/>
          <w:spacing w:val="-1"/>
          <w:highlight w:val="none"/>
        </w:rPr>
        <w:t xml:space="preserve">30 </w:t>
      </w:r>
      <w:r>
        <w:rPr>
          <w:rFonts w:ascii="宋体" w:hAnsi="宋体" w:eastAsia="宋体"/>
          <w:color w:val="auto"/>
          <w:spacing w:val="-1"/>
          <w:highlight w:val="none"/>
        </w:rPr>
        <w:t>日</w:t>
      </w:r>
      <w:r>
        <w:rPr>
          <w:rFonts w:ascii="宋体" w:hAnsi="宋体" w:eastAsia="宋体"/>
          <w:color w:val="auto"/>
          <w:highlight w:val="none"/>
        </w:rPr>
        <w:t>内，根据招标文件和中标人的投</w:t>
      </w:r>
      <w:r>
        <w:rPr>
          <w:rFonts w:ascii="宋体" w:hAnsi="宋体" w:eastAsia="宋体"/>
          <w:color w:val="auto"/>
          <w:spacing w:val="-4"/>
          <w:highlight w:val="none"/>
        </w:rPr>
        <w:t>标文件订立书</w:t>
      </w:r>
      <w:r>
        <w:rPr>
          <w:rFonts w:ascii="宋体" w:hAnsi="宋体" w:eastAsia="宋体"/>
          <w:color w:val="auto"/>
          <w:spacing w:val="-2"/>
          <w:highlight w:val="none"/>
        </w:rPr>
        <w:t>面合同</w:t>
      </w:r>
      <w:r>
        <w:rPr>
          <w:rFonts w:hint="eastAsia"/>
          <w:color w:val="auto"/>
          <w:highlight w:val="none"/>
        </w:rPr>
        <w:t>，并通过电子交易系统与中标人在线签订合同</w:t>
      </w:r>
      <w:r>
        <w:rPr>
          <w:rFonts w:ascii="宋体" w:hAnsi="宋体" w:eastAsia="宋体"/>
          <w:color w:val="auto"/>
          <w:spacing w:val="-2"/>
          <w:highlight w:val="none"/>
        </w:rPr>
        <w:t>。中标人无正当理由拒签合同， 在签订合同时向招标人提出附加条件</w:t>
      </w:r>
      <w:r>
        <w:rPr>
          <w:rFonts w:hint="eastAsia" w:ascii="宋体" w:hAnsi="宋体" w:eastAsia="宋体"/>
          <w:color w:val="auto"/>
          <w:spacing w:val="-2"/>
          <w:highlight w:val="none"/>
        </w:rPr>
        <w:t>，</w:t>
      </w:r>
      <w:r>
        <w:rPr>
          <w:rFonts w:ascii="宋体" w:hAnsi="宋体" w:eastAsia="宋体"/>
          <w:color w:val="auto"/>
          <w:spacing w:val="-2"/>
          <w:highlight w:val="none"/>
        </w:rPr>
        <w:t>或</w:t>
      </w:r>
      <w:r>
        <w:rPr>
          <w:rFonts w:ascii="宋体" w:hAnsi="宋体" w:eastAsia="宋体"/>
          <w:color w:val="auto"/>
          <w:spacing w:val="-4"/>
          <w:highlight w:val="none"/>
        </w:rPr>
        <w:t>者</w:t>
      </w:r>
      <w:r>
        <w:rPr>
          <w:rFonts w:ascii="宋体" w:hAnsi="宋体" w:eastAsia="宋体"/>
          <w:color w:val="auto"/>
          <w:spacing w:val="-3"/>
          <w:highlight w:val="none"/>
        </w:rPr>
        <w:t>不</w:t>
      </w:r>
      <w:r>
        <w:rPr>
          <w:rFonts w:ascii="宋体" w:hAnsi="宋体" w:eastAsia="宋体"/>
          <w:color w:val="auto"/>
          <w:spacing w:val="-2"/>
          <w:highlight w:val="none"/>
        </w:rPr>
        <w:t>按照招标文件要求提交履约保证金的，招标人有权取消其中标资格</w:t>
      </w:r>
      <w:r>
        <w:rPr>
          <w:rFonts w:ascii="宋体" w:hAnsi="宋体" w:eastAsia="宋体"/>
          <w:strike/>
          <w:color w:val="auto"/>
          <w:spacing w:val="-2"/>
          <w:highlight w:val="none"/>
        </w:rPr>
        <w:t>，其投标保证金不予退</w:t>
      </w:r>
      <w:r>
        <w:rPr>
          <w:rFonts w:ascii="宋体" w:hAnsi="宋体" w:eastAsia="宋体"/>
          <w:strike/>
          <w:color w:val="auto"/>
          <w:spacing w:val="-1"/>
          <w:highlight w:val="none"/>
        </w:rPr>
        <w:t>还</w:t>
      </w:r>
      <w:r>
        <w:rPr>
          <w:rFonts w:ascii="宋体" w:hAnsi="宋体" w:eastAsia="宋体"/>
          <w:color w:val="auto"/>
          <w:spacing w:val="-1"/>
          <w:highlight w:val="none"/>
        </w:rPr>
        <w:t>；给招标人造成的损失</w:t>
      </w:r>
      <w:r>
        <w:rPr>
          <w:rFonts w:ascii="宋体" w:hAnsi="宋体" w:eastAsia="宋体"/>
          <w:color w:val="auto"/>
          <w:spacing w:val="-1"/>
          <w:highlight w:val="none"/>
          <w:u w:val="single"/>
        </w:rPr>
        <w:t>超过投标保证金数额的</w:t>
      </w:r>
      <w:r>
        <w:rPr>
          <w:rFonts w:ascii="宋体" w:hAnsi="宋体" w:eastAsia="宋体"/>
          <w:color w:val="auto"/>
          <w:spacing w:val="-1"/>
          <w:highlight w:val="none"/>
        </w:rPr>
        <w:t>，中标人还应当</w:t>
      </w:r>
      <w:r>
        <w:rPr>
          <w:rFonts w:ascii="宋体" w:hAnsi="宋体" w:eastAsia="宋体"/>
          <w:strike/>
          <w:color w:val="auto"/>
          <w:spacing w:val="-1"/>
          <w:highlight w:val="none"/>
        </w:rPr>
        <w:t>对超过部分</w:t>
      </w:r>
      <w:r>
        <w:rPr>
          <w:rFonts w:ascii="宋体" w:hAnsi="宋体" w:eastAsia="宋体"/>
          <w:color w:val="auto"/>
          <w:spacing w:val="-1"/>
          <w:highlight w:val="none"/>
        </w:rPr>
        <w:t>予以赔</w:t>
      </w:r>
      <w:r>
        <w:rPr>
          <w:rFonts w:ascii="宋体" w:hAnsi="宋体" w:eastAsia="宋体"/>
          <w:color w:val="auto"/>
          <w:highlight w:val="none"/>
        </w:rPr>
        <w:t>偿。</w:t>
      </w:r>
    </w:p>
    <w:p w14:paraId="0214BCAC">
      <w:pPr>
        <w:spacing w:before="2" w:line="351" w:lineRule="auto"/>
        <w:ind w:right="72" w:firstLine="419"/>
        <w:rPr>
          <w:rFonts w:ascii="Times New Roman" w:hAnsi="Times New Roman" w:eastAsia="Times New Roman"/>
          <w:color w:val="auto"/>
          <w:spacing w:val="-12"/>
          <w:highlight w:val="none"/>
        </w:rPr>
      </w:pPr>
      <w:r>
        <w:rPr>
          <w:rFonts w:ascii="Times New Roman" w:hAnsi="Times New Roman" w:eastAsia="Times New Roman"/>
          <w:color w:val="auto"/>
          <w:spacing w:val="-12"/>
          <w:highlight w:val="none"/>
        </w:rPr>
        <w:t>7.</w:t>
      </w:r>
      <w:r>
        <w:rPr>
          <w:rFonts w:ascii="Times New Roman" w:hAnsi="Times New Roman" w:eastAsia="Times New Roman"/>
          <w:color w:val="auto"/>
          <w:spacing w:val="-10"/>
          <w:highlight w:val="none"/>
        </w:rPr>
        <w:t>8</w:t>
      </w:r>
      <w:r>
        <w:rPr>
          <w:rFonts w:ascii="Times New Roman" w:hAnsi="Times New Roman" w:eastAsia="Times New Roman"/>
          <w:color w:val="auto"/>
          <w:spacing w:val="-6"/>
          <w:highlight w:val="none"/>
        </w:rPr>
        <w:t xml:space="preserve">.2  </w:t>
      </w:r>
      <w:r>
        <w:rPr>
          <w:rFonts w:ascii="宋体" w:hAnsi="宋体" w:eastAsia="宋体"/>
          <w:color w:val="auto"/>
          <w:spacing w:val="-6"/>
          <w:highlight w:val="none"/>
        </w:rPr>
        <w:t>发出中标通知书后，招标人无正当理由拒签合同，或者在签订合同时向中标人提出附</w:t>
      </w:r>
      <w:r>
        <w:rPr>
          <w:rFonts w:ascii="宋体" w:hAnsi="宋体" w:eastAsia="宋体"/>
          <w:color w:val="auto"/>
          <w:highlight w:val="none"/>
        </w:rPr>
        <w:t xml:space="preserve"> </w:t>
      </w:r>
      <w:r>
        <w:rPr>
          <w:rFonts w:ascii="宋体" w:hAnsi="宋体" w:eastAsia="宋体"/>
          <w:color w:val="auto"/>
          <w:spacing w:val="-1"/>
          <w:highlight w:val="none"/>
        </w:rPr>
        <w:t>加条件的</w:t>
      </w:r>
      <w:r>
        <w:rPr>
          <w:rFonts w:ascii="宋体" w:hAnsi="宋体" w:eastAsia="宋体"/>
          <w:strike/>
          <w:color w:val="auto"/>
          <w:spacing w:val="-1"/>
          <w:highlight w:val="none"/>
        </w:rPr>
        <w:t>，招标人向中标人退还投标保证金；</w:t>
      </w:r>
      <w:r>
        <w:rPr>
          <w:rFonts w:ascii="宋体" w:hAnsi="宋体" w:eastAsia="宋体"/>
          <w:color w:val="auto"/>
          <w:spacing w:val="-1"/>
          <w:highlight w:val="none"/>
        </w:rPr>
        <w:t>给中标人造成损失的，还应当赔偿损失</w:t>
      </w:r>
      <w:r>
        <w:rPr>
          <w:rFonts w:ascii="宋体" w:hAnsi="宋体" w:eastAsia="宋体"/>
          <w:color w:val="auto"/>
          <w:highlight w:val="none"/>
        </w:rPr>
        <w:t>。</w:t>
      </w:r>
    </w:p>
    <w:p w14:paraId="26CCA17F">
      <w:pPr>
        <w:spacing w:line="359" w:lineRule="auto"/>
        <w:ind w:left="4" w:right="70" w:firstLine="416"/>
        <w:rPr>
          <w:rFonts w:hint="eastAsia" w:ascii="宋体" w:hAnsi="宋体" w:eastAsia="宋体"/>
          <w:color w:val="auto"/>
          <w:spacing w:val="-7"/>
          <w:highlight w:val="none"/>
        </w:rPr>
      </w:pPr>
      <w:r>
        <w:rPr>
          <w:rFonts w:ascii="Times New Roman" w:hAnsi="Times New Roman" w:eastAsia="Times New Roman"/>
          <w:color w:val="auto"/>
          <w:spacing w:val="-1"/>
          <w:highlight w:val="none"/>
        </w:rPr>
        <w:t xml:space="preserve">7.8.3 </w:t>
      </w:r>
      <w:r>
        <w:rPr>
          <w:rFonts w:ascii="宋体" w:hAnsi="宋体" w:eastAsia="宋体"/>
          <w:color w:val="auto"/>
          <w:spacing w:val="-1"/>
          <w:highlight w:val="none"/>
        </w:rPr>
        <w:t>联合体中标的，联合体各方应当共同与招标人签</w:t>
      </w:r>
      <w:r>
        <w:rPr>
          <w:rFonts w:ascii="宋体" w:hAnsi="宋体" w:eastAsia="宋体"/>
          <w:color w:val="auto"/>
          <w:highlight w:val="none"/>
        </w:rPr>
        <w:t>订合同，就中标项目向招标人承担连</w:t>
      </w:r>
      <w:r>
        <w:rPr>
          <w:rFonts w:ascii="宋体" w:hAnsi="宋体" w:eastAsia="宋体"/>
          <w:color w:val="auto"/>
          <w:spacing w:val="-10"/>
          <w:highlight w:val="none"/>
        </w:rPr>
        <w:t>带</w:t>
      </w:r>
      <w:r>
        <w:rPr>
          <w:rFonts w:ascii="宋体" w:hAnsi="宋体" w:eastAsia="宋体"/>
          <w:color w:val="auto"/>
          <w:spacing w:val="-7"/>
          <w:highlight w:val="none"/>
        </w:rPr>
        <w:t>责任。</w:t>
      </w:r>
    </w:p>
    <w:p w14:paraId="05E5D085">
      <w:pPr>
        <w:pStyle w:val="9"/>
        <w:rPr>
          <w:rFonts w:eastAsiaTheme="minorEastAsia"/>
          <w:color w:val="auto"/>
          <w:highlight w:val="none"/>
        </w:rPr>
      </w:pPr>
    </w:p>
    <w:p w14:paraId="56FE291D">
      <w:pPr>
        <w:pStyle w:val="26"/>
        <w:spacing w:before="120" w:after="120"/>
        <w:outlineLvl w:val="9"/>
        <w:rPr>
          <w:rFonts w:ascii="Times New Roman" w:hAnsi="Times New Roman" w:eastAsia="Times New Roman"/>
          <w:bCs/>
          <w:color w:val="auto"/>
          <w:spacing w:val="10"/>
          <w:sz w:val="31"/>
          <w:szCs w:val="31"/>
          <w:highlight w:val="none"/>
        </w:rPr>
      </w:pPr>
      <w:bookmarkStart w:id="253" w:name="_Toc10749"/>
      <w:bookmarkStart w:id="254" w:name="_Toc7779"/>
      <w:bookmarkStart w:id="255" w:name="_Toc23119"/>
      <w:bookmarkStart w:id="256" w:name="_Toc4425"/>
      <w:bookmarkStart w:id="257" w:name="_Toc19030"/>
      <w:r>
        <w:rPr>
          <w:rFonts w:ascii="Times New Roman" w:hAnsi="Times New Roman" w:eastAsia="Times New Roman"/>
          <w:bCs/>
          <w:color w:val="auto"/>
          <w:spacing w:val="10"/>
          <w:sz w:val="31"/>
          <w:szCs w:val="31"/>
          <w:highlight w:val="none"/>
        </w:rPr>
        <w:t>8</w:t>
      </w:r>
      <w:r>
        <w:rPr>
          <w:rFonts w:ascii="Times New Roman" w:hAnsi="Times New Roman" w:eastAsia="Times New Roman"/>
          <w:bCs/>
          <w:color w:val="auto"/>
          <w:spacing w:val="7"/>
          <w:sz w:val="31"/>
          <w:szCs w:val="31"/>
          <w:highlight w:val="none"/>
        </w:rPr>
        <w:t>.</w:t>
      </w:r>
      <w:r>
        <w:rPr>
          <w:rFonts w:ascii="黑体" w:hAnsi="黑体" w:eastAsia="黑体"/>
          <w:color w:val="auto"/>
          <w:spacing w:val="7"/>
          <w:sz w:val="31"/>
          <w:szCs w:val="31"/>
          <w:highlight w:val="none"/>
        </w:rPr>
        <w:t>纪律和监督</w:t>
      </w:r>
      <w:bookmarkEnd w:id="253"/>
      <w:bookmarkEnd w:id="254"/>
      <w:bookmarkEnd w:id="255"/>
      <w:bookmarkEnd w:id="256"/>
      <w:bookmarkEnd w:id="257"/>
    </w:p>
    <w:p w14:paraId="6C5B38DB">
      <w:pPr>
        <w:rPr>
          <w:rFonts w:ascii="Times New Roman" w:hAnsi="Times New Roman" w:eastAsia="Times New Roman"/>
          <w:color w:val="auto"/>
          <w:spacing w:val="12"/>
          <w:sz w:val="27"/>
          <w:szCs w:val="27"/>
          <w:highlight w:val="none"/>
        </w:rPr>
      </w:pPr>
      <w:bookmarkStart w:id="258" w:name="_Toc18682"/>
      <w:bookmarkStart w:id="259" w:name="_Toc2666"/>
      <w:bookmarkStart w:id="260" w:name="_Toc2147"/>
      <w:bookmarkStart w:id="261" w:name="_Toc31267"/>
      <w:bookmarkStart w:id="262" w:name="_Toc22300"/>
      <w:r>
        <w:rPr>
          <w:rFonts w:ascii="Times New Roman" w:hAnsi="Times New Roman" w:eastAsia="Times New Roman"/>
          <w:color w:val="auto"/>
          <w:spacing w:val="12"/>
          <w:sz w:val="27"/>
          <w:szCs w:val="27"/>
          <w:highlight w:val="none"/>
        </w:rPr>
        <w:t>8</w:t>
      </w:r>
      <w:r>
        <w:rPr>
          <w:rFonts w:ascii="Times New Roman" w:hAnsi="Times New Roman" w:eastAsia="Times New Roman"/>
          <w:color w:val="auto"/>
          <w:spacing w:val="9"/>
          <w:sz w:val="27"/>
          <w:szCs w:val="27"/>
          <w:highlight w:val="none"/>
        </w:rPr>
        <w:t>.</w:t>
      </w:r>
      <w:r>
        <w:rPr>
          <w:rFonts w:ascii="Times New Roman" w:hAnsi="Times New Roman" w:eastAsia="Times New Roman"/>
          <w:color w:val="auto"/>
          <w:spacing w:val="6"/>
          <w:sz w:val="27"/>
          <w:szCs w:val="27"/>
          <w:highlight w:val="none"/>
        </w:rPr>
        <w:t xml:space="preserve">1  </w:t>
      </w:r>
      <w:r>
        <w:rPr>
          <w:rFonts w:ascii="黑体" w:hAnsi="黑体" w:eastAsia="黑体"/>
          <w:color w:val="auto"/>
          <w:spacing w:val="6"/>
          <w:sz w:val="27"/>
          <w:szCs w:val="27"/>
          <w:highlight w:val="none"/>
        </w:rPr>
        <w:t>对招标人的纪律要求</w:t>
      </w:r>
      <w:bookmarkEnd w:id="258"/>
      <w:bookmarkEnd w:id="259"/>
      <w:bookmarkEnd w:id="260"/>
      <w:bookmarkEnd w:id="261"/>
      <w:bookmarkEnd w:id="262"/>
    </w:p>
    <w:p w14:paraId="57072D84">
      <w:pPr>
        <w:spacing w:before="69" w:line="359" w:lineRule="auto"/>
        <w:ind w:left="2" w:firstLine="419"/>
        <w:rPr>
          <w:rFonts w:hint="eastAsia" w:ascii="宋体" w:hAnsi="宋体" w:eastAsia="宋体"/>
          <w:color w:val="auto"/>
          <w:spacing w:val="-2"/>
          <w:highlight w:val="none"/>
        </w:rPr>
      </w:pPr>
      <w:r>
        <w:rPr>
          <w:rFonts w:ascii="宋体" w:hAnsi="宋体" w:eastAsia="宋体"/>
          <w:color w:val="auto"/>
          <w:spacing w:val="-10"/>
          <w:highlight w:val="none"/>
        </w:rPr>
        <w:t>招标人</w:t>
      </w:r>
      <w:r>
        <w:rPr>
          <w:rFonts w:ascii="宋体" w:hAnsi="宋体" w:eastAsia="宋体"/>
          <w:color w:val="auto"/>
          <w:spacing w:val="-6"/>
          <w:highlight w:val="none"/>
        </w:rPr>
        <w:t>不</w:t>
      </w:r>
      <w:r>
        <w:rPr>
          <w:rFonts w:ascii="宋体" w:hAnsi="宋体" w:eastAsia="宋体"/>
          <w:color w:val="auto"/>
          <w:spacing w:val="-5"/>
          <w:highlight w:val="none"/>
        </w:rPr>
        <w:t>得泄露招标投标活动中应当保密的情况和资料，不得与投标人串通损害国家利益、</w:t>
      </w:r>
      <w:r>
        <w:rPr>
          <w:rFonts w:ascii="宋体" w:hAnsi="宋体" w:eastAsia="宋体"/>
          <w:color w:val="auto"/>
          <w:highlight w:val="none"/>
        </w:rPr>
        <w:t xml:space="preserve"> </w:t>
      </w:r>
      <w:r>
        <w:rPr>
          <w:rFonts w:ascii="宋体" w:hAnsi="宋体" w:eastAsia="宋体"/>
          <w:color w:val="auto"/>
          <w:spacing w:val="-4"/>
          <w:highlight w:val="none"/>
        </w:rPr>
        <w:t>社会公</w:t>
      </w:r>
      <w:r>
        <w:rPr>
          <w:rFonts w:ascii="宋体" w:hAnsi="宋体" w:eastAsia="宋体"/>
          <w:color w:val="auto"/>
          <w:spacing w:val="-3"/>
          <w:highlight w:val="none"/>
        </w:rPr>
        <w:t>共</w:t>
      </w:r>
      <w:r>
        <w:rPr>
          <w:rFonts w:ascii="宋体" w:hAnsi="宋体" w:eastAsia="宋体"/>
          <w:color w:val="auto"/>
          <w:spacing w:val="-2"/>
          <w:highlight w:val="none"/>
        </w:rPr>
        <w:t>利益或者他人合法权益。</w:t>
      </w:r>
    </w:p>
    <w:p w14:paraId="10F03272">
      <w:pPr>
        <w:pStyle w:val="9"/>
        <w:rPr>
          <w:rFonts w:eastAsiaTheme="minorEastAsia"/>
          <w:color w:val="auto"/>
          <w:highlight w:val="none"/>
        </w:rPr>
      </w:pPr>
    </w:p>
    <w:p w14:paraId="17B35FD7">
      <w:pPr>
        <w:rPr>
          <w:rFonts w:ascii="Times New Roman" w:hAnsi="Times New Roman" w:eastAsia="Times New Roman"/>
          <w:color w:val="auto"/>
          <w:spacing w:val="12"/>
          <w:sz w:val="27"/>
          <w:szCs w:val="27"/>
          <w:highlight w:val="none"/>
        </w:rPr>
      </w:pPr>
      <w:bookmarkStart w:id="263" w:name="_Toc1223"/>
      <w:bookmarkStart w:id="264" w:name="_Toc21761"/>
      <w:bookmarkStart w:id="265" w:name="_Toc26897"/>
      <w:bookmarkStart w:id="266" w:name="_Toc352"/>
      <w:bookmarkStart w:id="267" w:name="_Toc4329"/>
      <w:r>
        <w:rPr>
          <w:rFonts w:ascii="Times New Roman" w:hAnsi="Times New Roman" w:eastAsia="Times New Roman"/>
          <w:color w:val="auto"/>
          <w:spacing w:val="12"/>
          <w:sz w:val="27"/>
          <w:szCs w:val="27"/>
          <w:highlight w:val="none"/>
        </w:rPr>
        <w:t>8</w:t>
      </w:r>
      <w:r>
        <w:rPr>
          <w:rFonts w:ascii="Times New Roman" w:hAnsi="Times New Roman" w:eastAsia="Times New Roman"/>
          <w:color w:val="auto"/>
          <w:spacing w:val="9"/>
          <w:sz w:val="27"/>
          <w:szCs w:val="27"/>
          <w:highlight w:val="none"/>
        </w:rPr>
        <w:t>.</w:t>
      </w:r>
      <w:r>
        <w:rPr>
          <w:rFonts w:ascii="Times New Roman" w:hAnsi="Times New Roman" w:eastAsia="Times New Roman"/>
          <w:color w:val="auto"/>
          <w:spacing w:val="6"/>
          <w:sz w:val="27"/>
          <w:szCs w:val="27"/>
          <w:highlight w:val="none"/>
        </w:rPr>
        <w:t xml:space="preserve">2  </w:t>
      </w:r>
      <w:r>
        <w:rPr>
          <w:rFonts w:ascii="黑体" w:hAnsi="黑体" w:eastAsia="黑体"/>
          <w:color w:val="auto"/>
          <w:spacing w:val="6"/>
          <w:sz w:val="27"/>
          <w:szCs w:val="27"/>
          <w:highlight w:val="none"/>
        </w:rPr>
        <w:t>对投标人的纪律要求</w:t>
      </w:r>
      <w:bookmarkEnd w:id="263"/>
      <w:bookmarkEnd w:id="264"/>
      <w:bookmarkEnd w:id="265"/>
      <w:bookmarkEnd w:id="266"/>
      <w:bookmarkEnd w:id="267"/>
    </w:p>
    <w:p w14:paraId="219F5B7D">
      <w:pPr>
        <w:spacing w:before="68" w:line="358" w:lineRule="auto"/>
        <w:ind w:right="80" w:firstLine="422"/>
        <w:rPr>
          <w:rFonts w:hint="eastAsia" w:ascii="宋体" w:hAnsi="宋体" w:eastAsia="宋体"/>
          <w:color w:val="auto"/>
          <w:spacing w:val="-3"/>
          <w:highlight w:val="none"/>
        </w:rPr>
      </w:pPr>
      <w:r>
        <w:rPr>
          <w:rFonts w:ascii="宋体" w:hAnsi="宋体" w:eastAsia="宋体"/>
          <w:color w:val="auto"/>
          <w:spacing w:val="1"/>
          <w:highlight w:val="none"/>
        </w:rPr>
        <w:t>投标人不得相互串通投标或者</w:t>
      </w:r>
      <w:r>
        <w:rPr>
          <w:rFonts w:ascii="宋体" w:hAnsi="宋体" w:eastAsia="宋体"/>
          <w:color w:val="auto"/>
          <w:highlight w:val="none"/>
        </w:rPr>
        <w:t>与招标人串通投标，不得向招标人或者评标委员会成员行贿</w:t>
      </w:r>
      <w:r>
        <w:rPr>
          <w:rFonts w:ascii="宋体" w:hAnsi="宋体" w:eastAsia="宋体"/>
          <w:color w:val="auto"/>
          <w:spacing w:val="-4"/>
          <w:highlight w:val="none"/>
        </w:rPr>
        <w:t>谋取中</w:t>
      </w:r>
      <w:r>
        <w:rPr>
          <w:rFonts w:ascii="宋体" w:hAnsi="宋体" w:eastAsia="宋体"/>
          <w:color w:val="auto"/>
          <w:spacing w:val="-2"/>
          <w:highlight w:val="none"/>
        </w:rPr>
        <w:t>标，不得以他人名义投标或者以其他方式弄虚作假骗取中标；投标人不得以任何方式干</w:t>
      </w:r>
      <w:r>
        <w:rPr>
          <w:rFonts w:ascii="宋体" w:hAnsi="宋体" w:eastAsia="宋体"/>
          <w:color w:val="auto"/>
          <w:spacing w:val="-6"/>
          <w:highlight w:val="none"/>
        </w:rPr>
        <w:t>扰、</w:t>
      </w:r>
      <w:r>
        <w:rPr>
          <w:rFonts w:ascii="宋体" w:hAnsi="宋体" w:eastAsia="宋体"/>
          <w:color w:val="auto"/>
          <w:spacing w:val="-4"/>
          <w:highlight w:val="none"/>
        </w:rPr>
        <w:t>影</w:t>
      </w:r>
      <w:r>
        <w:rPr>
          <w:rFonts w:ascii="宋体" w:hAnsi="宋体" w:eastAsia="宋体"/>
          <w:color w:val="auto"/>
          <w:spacing w:val="-3"/>
          <w:highlight w:val="none"/>
        </w:rPr>
        <w:t>响评标工作。</w:t>
      </w:r>
    </w:p>
    <w:p w14:paraId="24C367EC">
      <w:pPr>
        <w:pStyle w:val="9"/>
        <w:rPr>
          <w:rFonts w:eastAsiaTheme="minorEastAsia"/>
          <w:color w:val="auto"/>
          <w:highlight w:val="none"/>
        </w:rPr>
      </w:pPr>
    </w:p>
    <w:p w14:paraId="48A28C85">
      <w:pPr>
        <w:rPr>
          <w:rFonts w:ascii="Times New Roman" w:hAnsi="Times New Roman" w:eastAsia="Times New Roman"/>
          <w:color w:val="auto"/>
          <w:spacing w:val="14"/>
          <w:sz w:val="27"/>
          <w:szCs w:val="27"/>
          <w:highlight w:val="none"/>
        </w:rPr>
      </w:pPr>
      <w:bookmarkStart w:id="268" w:name="_Toc13086"/>
      <w:bookmarkStart w:id="269" w:name="_Toc1587"/>
      <w:bookmarkStart w:id="270" w:name="_Toc16711"/>
      <w:bookmarkStart w:id="271" w:name="_Toc28102"/>
      <w:bookmarkStart w:id="272" w:name="_Toc1811"/>
      <w:r>
        <w:rPr>
          <w:rFonts w:ascii="Times New Roman" w:hAnsi="Times New Roman" w:eastAsia="Times New Roman"/>
          <w:color w:val="auto"/>
          <w:spacing w:val="14"/>
          <w:sz w:val="27"/>
          <w:szCs w:val="27"/>
          <w:highlight w:val="none"/>
        </w:rPr>
        <w:t>8</w:t>
      </w:r>
      <w:r>
        <w:rPr>
          <w:rFonts w:ascii="Times New Roman" w:hAnsi="Times New Roman" w:eastAsia="Times New Roman"/>
          <w:color w:val="auto"/>
          <w:spacing w:val="7"/>
          <w:sz w:val="27"/>
          <w:szCs w:val="27"/>
          <w:highlight w:val="none"/>
        </w:rPr>
        <w:t xml:space="preserve">.3  </w:t>
      </w:r>
      <w:r>
        <w:rPr>
          <w:rFonts w:ascii="黑体" w:hAnsi="黑体" w:eastAsia="黑体"/>
          <w:color w:val="auto"/>
          <w:spacing w:val="7"/>
          <w:sz w:val="27"/>
          <w:szCs w:val="27"/>
          <w:highlight w:val="none"/>
        </w:rPr>
        <w:t>对评标委员会成员的纪律要求</w:t>
      </w:r>
      <w:bookmarkEnd w:id="268"/>
      <w:bookmarkEnd w:id="269"/>
      <w:bookmarkEnd w:id="270"/>
      <w:bookmarkEnd w:id="271"/>
      <w:bookmarkEnd w:id="272"/>
    </w:p>
    <w:p w14:paraId="7B7BD7D7">
      <w:pPr>
        <w:spacing w:before="69" w:line="356" w:lineRule="auto"/>
        <w:ind w:right="13" w:firstLine="419"/>
        <w:rPr>
          <w:rFonts w:hint="eastAsia" w:ascii="宋体" w:hAnsi="宋体" w:eastAsia="宋体"/>
          <w:color w:val="auto"/>
          <w:spacing w:val="-1"/>
          <w:highlight w:val="none"/>
        </w:rPr>
      </w:pPr>
      <w:r>
        <w:rPr>
          <w:rFonts w:ascii="宋体" w:hAnsi="宋体" w:eastAsia="宋体"/>
          <w:color w:val="auto"/>
          <w:spacing w:val="1"/>
          <w:highlight w:val="none"/>
        </w:rPr>
        <w:t>评标委员会成员不得收受他人的财物</w:t>
      </w:r>
      <w:r>
        <w:rPr>
          <w:rFonts w:ascii="宋体" w:hAnsi="宋体" w:eastAsia="宋体"/>
          <w:color w:val="auto"/>
          <w:highlight w:val="none"/>
        </w:rPr>
        <w:t xml:space="preserve">或者其他好处，不得向他人透露对投标文件的评审和 </w:t>
      </w:r>
      <w:r>
        <w:rPr>
          <w:rFonts w:ascii="宋体" w:hAnsi="宋体" w:eastAsia="宋体"/>
          <w:color w:val="auto"/>
          <w:spacing w:val="1"/>
          <w:highlight w:val="none"/>
        </w:rPr>
        <w:t>比较、中标候选人的推荐情况以及</w:t>
      </w:r>
      <w:r>
        <w:rPr>
          <w:rFonts w:ascii="宋体" w:hAnsi="宋体" w:eastAsia="宋体"/>
          <w:color w:val="auto"/>
          <w:highlight w:val="none"/>
        </w:rPr>
        <w:t xml:space="preserve">评标有关的其他情况。在评标活动中，评标委员会成员应当 </w:t>
      </w:r>
      <w:r>
        <w:rPr>
          <w:rFonts w:ascii="宋体" w:hAnsi="宋体" w:eastAsia="宋体"/>
          <w:color w:val="auto"/>
          <w:spacing w:val="-4"/>
          <w:highlight w:val="none"/>
        </w:rPr>
        <w:t>客观、</w:t>
      </w:r>
      <w:r>
        <w:rPr>
          <w:rFonts w:ascii="宋体" w:hAnsi="宋体" w:eastAsia="宋体"/>
          <w:color w:val="auto"/>
          <w:spacing w:val="-2"/>
          <w:highlight w:val="none"/>
        </w:rPr>
        <w:t>公正地履行职责，遵守职业道德，不得擅离职守，影响评标程序正常进行，不得使用第</w:t>
      </w:r>
      <w:r>
        <w:rPr>
          <w:rFonts w:ascii="宋体" w:hAnsi="宋体" w:eastAsia="宋体"/>
          <w:color w:val="auto"/>
          <w:highlight w:val="none"/>
        </w:rPr>
        <w:t xml:space="preserve"> </w:t>
      </w:r>
      <w:r>
        <w:rPr>
          <w:rFonts w:ascii="宋体" w:hAnsi="宋体" w:eastAsia="宋体"/>
          <w:color w:val="auto"/>
          <w:spacing w:val="-2"/>
          <w:highlight w:val="none"/>
        </w:rPr>
        <w:t>三章</w:t>
      </w:r>
      <w:r>
        <w:rPr>
          <w:rFonts w:hint="eastAsia" w:ascii="Times New Roman" w:hAnsi="Times New Roman" w:eastAsia="宋体"/>
          <w:color w:val="auto"/>
          <w:spacing w:val="-2"/>
          <w:highlight w:val="none"/>
        </w:rPr>
        <w:t>“</w:t>
      </w:r>
      <w:r>
        <w:rPr>
          <w:rFonts w:ascii="宋体" w:hAnsi="宋体" w:eastAsia="宋体"/>
          <w:color w:val="auto"/>
          <w:spacing w:val="-2"/>
          <w:highlight w:val="none"/>
        </w:rPr>
        <w:t>评标办法</w:t>
      </w:r>
      <w:r>
        <w:rPr>
          <w:rFonts w:hint="eastAsia" w:ascii="Times New Roman" w:hAnsi="Times New Roman" w:eastAsia="宋体"/>
          <w:color w:val="auto"/>
          <w:spacing w:val="-2"/>
          <w:highlight w:val="none"/>
        </w:rPr>
        <w:t>”</w:t>
      </w:r>
      <w:r>
        <w:rPr>
          <w:rFonts w:ascii="宋体" w:hAnsi="宋体" w:eastAsia="宋体"/>
          <w:color w:val="auto"/>
          <w:spacing w:val="-2"/>
          <w:highlight w:val="none"/>
        </w:rPr>
        <w:t>没有规定</w:t>
      </w:r>
      <w:r>
        <w:rPr>
          <w:rFonts w:ascii="宋体" w:hAnsi="宋体" w:eastAsia="宋体"/>
          <w:color w:val="auto"/>
          <w:spacing w:val="-1"/>
          <w:highlight w:val="none"/>
        </w:rPr>
        <w:t>的评审因素和标准进行评标。</w:t>
      </w:r>
    </w:p>
    <w:p w14:paraId="68ACBC0C">
      <w:pPr>
        <w:pStyle w:val="9"/>
        <w:rPr>
          <w:rFonts w:eastAsiaTheme="minorEastAsia"/>
          <w:color w:val="auto"/>
          <w:highlight w:val="none"/>
        </w:rPr>
      </w:pPr>
    </w:p>
    <w:p w14:paraId="002630F3">
      <w:pPr>
        <w:rPr>
          <w:rFonts w:ascii="Times New Roman" w:hAnsi="Times New Roman" w:eastAsia="Times New Roman"/>
          <w:color w:val="auto"/>
          <w:spacing w:val="9"/>
          <w:sz w:val="27"/>
          <w:szCs w:val="27"/>
          <w:highlight w:val="none"/>
        </w:rPr>
      </w:pPr>
      <w:bookmarkStart w:id="273" w:name="_Toc23647"/>
      <w:bookmarkStart w:id="274" w:name="_Toc11797"/>
      <w:bookmarkStart w:id="275" w:name="_Toc16896"/>
      <w:bookmarkStart w:id="276" w:name="_Toc17089"/>
      <w:bookmarkStart w:id="277" w:name="_Toc23055"/>
      <w:r>
        <w:rPr>
          <w:rFonts w:ascii="Times New Roman" w:hAnsi="Times New Roman" w:eastAsia="Times New Roman"/>
          <w:color w:val="auto"/>
          <w:spacing w:val="9"/>
          <w:sz w:val="27"/>
          <w:szCs w:val="27"/>
          <w:highlight w:val="none"/>
        </w:rPr>
        <w:t>8</w:t>
      </w:r>
      <w:r>
        <w:rPr>
          <w:rFonts w:ascii="Times New Roman" w:hAnsi="Times New Roman" w:eastAsia="Times New Roman"/>
          <w:color w:val="auto"/>
          <w:spacing w:val="8"/>
          <w:sz w:val="27"/>
          <w:szCs w:val="27"/>
          <w:highlight w:val="none"/>
        </w:rPr>
        <w:t xml:space="preserve">.4  </w:t>
      </w:r>
      <w:r>
        <w:rPr>
          <w:rFonts w:ascii="黑体" w:hAnsi="黑体" w:eastAsia="黑体"/>
          <w:color w:val="auto"/>
          <w:spacing w:val="8"/>
          <w:sz w:val="27"/>
          <w:szCs w:val="27"/>
          <w:highlight w:val="none"/>
        </w:rPr>
        <w:t>对与评标活动有关的工作人员的纪律要求</w:t>
      </w:r>
      <w:bookmarkEnd w:id="273"/>
      <w:bookmarkEnd w:id="274"/>
      <w:bookmarkEnd w:id="275"/>
      <w:bookmarkEnd w:id="276"/>
      <w:bookmarkEnd w:id="277"/>
    </w:p>
    <w:p w14:paraId="3CD7B5C8">
      <w:pPr>
        <w:spacing w:before="68" w:line="358" w:lineRule="auto"/>
        <w:ind w:right="13" w:firstLine="425"/>
        <w:rPr>
          <w:rFonts w:hint="eastAsia" w:ascii="宋体" w:hAnsi="宋体" w:eastAsia="宋体"/>
          <w:color w:val="auto"/>
          <w:spacing w:val="-1"/>
          <w:highlight w:val="none"/>
        </w:rPr>
      </w:pPr>
      <w:r>
        <w:rPr>
          <w:rFonts w:ascii="宋体" w:hAnsi="宋体" w:eastAsia="宋体"/>
          <w:color w:val="auto"/>
          <w:spacing w:val="1"/>
          <w:highlight w:val="none"/>
        </w:rPr>
        <w:t>与评标活动有关的工作人</w:t>
      </w:r>
      <w:r>
        <w:rPr>
          <w:rFonts w:ascii="宋体" w:hAnsi="宋体" w:eastAsia="宋体"/>
          <w:color w:val="auto"/>
          <w:highlight w:val="none"/>
        </w:rPr>
        <w:t xml:space="preserve">员不得收受他人的财物或者其他好处，不得向他人透露对投标文 </w:t>
      </w:r>
      <w:r>
        <w:rPr>
          <w:rFonts w:ascii="宋体" w:hAnsi="宋体" w:eastAsia="宋体"/>
          <w:color w:val="auto"/>
          <w:spacing w:val="1"/>
          <w:highlight w:val="none"/>
        </w:rPr>
        <w:t>件的评审和比较、中标候选人的推荐</w:t>
      </w:r>
      <w:r>
        <w:rPr>
          <w:rFonts w:ascii="宋体" w:hAnsi="宋体" w:eastAsia="宋体"/>
          <w:color w:val="auto"/>
          <w:highlight w:val="none"/>
        </w:rPr>
        <w:t xml:space="preserve">情况以及评标有关的其他情况。在评标活动中，与评标活 </w:t>
      </w:r>
      <w:r>
        <w:rPr>
          <w:rFonts w:ascii="宋体" w:hAnsi="宋体" w:eastAsia="宋体"/>
          <w:color w:val="auto"/>
          <w:spacing w:val="-2"/>
          <w:highlight w:val="none"/>
        </w:rPr>
        <w:t>动有关的工作人员不得</w:t>
      </w:r>
      <w:r>
        <w:rPr>
          <w:rFonts w:ascii="宋体" w:hAnsi="宋体" w:eastAsia="宋体"/>
          <w:color w:val="auto"/>
          <w:spacing w:val="-1"/>
          <w:highlight w:val="none"/>
        </w:rPr>
        <w:t>擅离职守，影响评标程序正常进行。</w:t>
      </w:r>
    </w:p>
    <w:p w14:paraId="0EF14FBA">
      <w:pPr>
        <w:pStyle w:val="9"/>
        <w:rPr>
          <w:rFonts w:eastAsiaTheme="minorEastAsia"/>
          <w:color w:val="auto"/>
          <w:highlight w:val="none"/>
        </w:rPr>
      </w:pPr>
    </w:p>
    <w:p w14:paraId="21BDA8DC">
      <w:pPr>
        <w:rPr>
          <w:rFonts w:ascii="Times New Roman" w:hAnsi="Times New Roman" w:eastAsia="Times New Roman"/>
          <w:color w:val="auto"/>
          <w:spacing w:val="3"/>
          <w:sz w:val="27"/>
          <w:szCs w:val="27"/>
          <w:highlight w:val="none"/>
        </w:rPr>
      </w:pPr>
      <w:bookmarkStart w:id="278" w:name="_Toc15962"/>
      <w:bookmarkStart w:id="279" w:name="_Toc32762"/>
      <w:bookmarkStart w:id="280" w:name="_Toc17462"/>
      <w:bookmarkStart w:id="281" w:name="_Toc31393"/>
      <w:bookmarkStart w:id="282" w:name="_Toc10402"/>
      <w:r>
        <w:rPr>
          <w:rFonts w:ascii="Times New Roman" w:hAnsi="Times New Roman" w:eastAsia="Times New Roman"/>
          <w:color w:val="auto"/>
          <w:spacing w:val="3"/>
          <w:sz w:val="27"/>
          <w:szCs w:val="27"/>
          <w:highlight w:val="none"/>
        </w:rPr>
        <w:t xml:space="preserve">8.5  </w:t>
      </w:r>
      <w:r>
        <w:rPr>
          <w:rFonts w:ascii="黑体" w:hAnsi="黑体" w:eastAsia="黑体"/>
          <w:color w:val="auto"/>
          <w:spacing w:val="3"/>
          <w:sz w:val="27"/>
          <w:szCs w:val="27"/>
          <w:highlight w:val="none"/>
        </w:rPr>
        <w:t>投</w:t>
      </w:r>
      <w:r>
        <w:rPr>
          <w:rFonts w:ascii="黑体" w:hAnsi="黑体" w:eastAsia="黑体"/>
          <w:color w:val="auto"/>
          <w:spacing w:val="1"/>
          <w:sz w:val="27"/>
          <w:szCs w:val="27"/>
          <w:highlight w:val="none"/>
        </w:rPr>
        <w:t>诉</w:t>
      </w:r>
      <w:bookmarkEnd w:id="278"/>
      <w:bookmarkEnd w:id="279"/>
      <w:bookmarkEnd w:id="280"/>
      <w:bookmarkEnd w:id="281"/>
      <w:bookmarkEnd w:id="282"/>
    </w:p>
    <w:p w14:paraId="45C7D0E5">
      <w:pPr>
        <w:spacing w:before="69" w:line="352" w:lineRule="auto"/>
        <w:ind w:left="5" w:right="6" w:firstLine="420"/>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8.5</w:t>
      </w:r>
      <w:r>
        <w:rPr>
          <w:rFonts w:ascii="Times New Roman" w:hAnsi="Times New Roman" w:eastAsia="Times New Roman"/>
          <w:color w:val="auto"/>
          <w:spacing w:val="-4"/>
          <w:highlight w:val="none"/>
        </w:rPr>
        <w:t xml:space="preserve">.1  </w:t>
      </w:r>
      <w:r>
        <w:rPr>
          <w:rFonts w:ascii="宋体" w:hAnsi="宋体" w:eastAsia="宋体"/>
          <w:color w:val="auto"/>
          <w:spacing w:val="-4"/>
          <w:highlight w:val="none"/>
        </w:rPr>
        <w:t>投标人或者其他利害关系人认为招标投标活动不符合法律、行政法规规定的， 可以自</w:t>
      </w:r>
      <w:r>
        <w:rPr>
          <w:rFonts w:ascii="宋体" w:hAnsi="宋体" w:eastAsia="宋体"/>
          <w:color w:val="auto"/>
          <w:highlight w:val="none"/>
        </w:rPr>
        <w:t xml:space="preserve"> </w:t>
      </w:r>
      <w:r>
        <w:rPr>
          <w:rFonts w:ascii="宋体" w:hAnsi="宋体" w:eastAsia="宋体"/>
          <w:color w:val="auto"/>
          <w:spacing w:val="-6"/>
          <w:highlight w:val="none"/>
        </w:rPr>
        <w:t>知道</w:t>
      </w:r>
      <w:r>
        <w:rPr>
          <w:rFonts w:ascii="宋体" w:hAnsi="宋体" w:eastAsia="宋体"/>
          <w:color w:val="auto"/>
          <w:spacing w:val="-5"/>
          <w:highlight w:val="none"/>
        </w:rPr>
        <w:t>或</w:t>
      </w:r>
      <w:r>
        <w:rPr>
          <w:rFonts w:ascii="宋体" w:hAnsi="宋体" w:eastAsia="宋体"/>
          <w:color w:val="auto"/>
          <w:spacing w:val="-3"/>
          <w:highlight w:val="none"/>
        </w:rPr>
        <w:t xml:space="preserve">者应当知道之日起 </w:t>
      </w:r>
      <w:r>
        <w:rPr>
          <w:rFonts w:ascii="Times New Roman" w:hAnsi="Times New Roman" w:eastAsia="Times New Roman"/>
          <w:color w:val="auto"/>
          <w:spacing w:val="-3"/>
          <w:highlight w:val="none"/>
        </w:rPr>
        <w:t xml:space="preserve">10 </w:t>
      </w:r>
      <w:r>
        <w:rPr>
          <w:rFonts w:ascii="宋体" w:hAnsi="宋体" w:eastAsia="宋体"/>
          <w:color w:val="auto"/>
          <w:spacing w:val="-3"/>
          <w:highlight w:val="none"/>
        </w:rPr>
        <w:t>日内向有关行政监督部门投诉。投诉应当有明确的请求和必要的证</w:t>
      </w:r>
      <w:r>
        <w:rPr>
          <w:rFonts w:ascii="宋体" w:hAnsi="宋体" w:eastAsia="宋体"/>
          <w:color w:val="auto"/>
          <w:highlight w:val="none"/>
        </w:rPr>
        <w:t xml:space="preserve"> </w:t>
      </w:r>
      <w:r>
        <w:rPr>
          <w:rFonts w:ascii="宋体" w:hAnsi="宋体" w:eastAsia="宋体"/>
          <w:color w:val="auto"/>
          <w:spacing w:val="-8"/>
          <w:highlight w:val="none"/>
        </w:rPr>
        <w:t>明材料。</w:t>
      </w:r>
    </w:p>
    <w:p w14:paraId="7062B695">
      <w:pPr>
        <w:spacing w:before="3" w:line="357" w:lineRule="auto"/>
        <w:ind w:left="2" w:firstLine="422"/>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8.5</w:t>
      </w:r>
      <w:r>
        <w:rPr>
          <w:rFonts w:ascii="Times New Roman" w:hAnsi="Times New Roman" w:eastAsia="Times New Roman"/>
          <w:color w:val="auto"/>
          <w:spacing w:val="-4"/>
          <w:highlight w:val="none"/>
        </w:rPr>
        <w:t xml:space="preserve">.2  </w:t>
      </w:r>
      <w:r>
        <w:rPr>
          <w:rFonts w:ascii="宋体" w:hAnsi="宋体" w:eastAsia="宋体"/>
          <w:color w:val="auto"/>
          <w:spacing w:val="-4"/>
          <w:highlight w:val="none"/>
        </w:rPr>
        <w:t>投标人或者其他利害关系人对招标文件、开标和评标结果提出投诉的， 应当按照投标</w:t>
      </w:r>
      <w:r>
        <w:rPr>
          <w:rFonts w:ascii="宋体" w:hAnsi="宋体" w:eastAsia="宋体"/>
          <w:color w:val="auto"/>
          <w:highlight w:val="none"/>
        </w:rPr>
        <w:t xml:space="preserve"> </w:t>
      </w:r>
      <w:r>
        <w:rPr>
          <w:rFonts w:ascii="宋体" w:hAnsi="宋体" w:eastAsia="宋体"/>
          <w:color w:val="auto"/>
          <w:spacing w:val="-9"/>
          <w:highlight w:val="none"/>
        </w:rPr>
        <w:t xml:space="preserve">人须知第 </w:t>
      </w:r>
      <w:r>
        <w:rPr>
          <w:rFonts w:ascii="Times New Roman" w:hAnsi="Times New Roman" w:eastAsia="Times New Roman"/>
          <w:color w:val="auto"/>
          <w:spacing w:val="-9"/>
          <w:highlight w:val="none"/>
        </w:rPr>
        <w:t xml:space="preserve">2.4 </w:t>
      </w:r>
      <w:r>
        <w:rPr>
          <w:rFonts w:ascii="宋体" w:hAnsi="宋体" w:eastAsia="宋体"/>
          <w:color w:val="auto"/>
          <w:spacing w:val="-9"/>
          <w:highlight w:val="none"/>
        </w:rPr>
        <w:t xml:space="preserve">款、第 </w:t>
      </w:r>
      <w:r>
        <w:rPr>
          <w:rFonts w:ascii="Times New Roman" w:hAnsi="Times New Roman" w:eastAsia="Times New Roman"/>
          <w:color w:val="auto"/>
          <w:spacing w:val="-9"/>
          <w:highlight w:val="none"/>
        </w:rPr>
        <w:t xml:space="preserve">5.3 </w:t>
      </w:r>
      <w:r>
        <w:rPr>
          <w:rFonts w:ascii="宋体" w:hAnsi="宋体" w:eastAsia="宋体"/>
          <w:color w:val="auto"/>
          <w:spacing w:val="-9"/>
          <w:highlight w:val="none"/>
        </w:rPr>
        <w:t xml:space="preserve">款和第 </w:t>
      </w:r>
      <w:r>
        <w:rPr>
          <w:rFonts w:ascii="Times New Roman" w:hAnsi="Times New Roman" w:eastAsia="Times New Roman"/>
          <w:color w:val="auto"/>
          <w:spacing w:val="-9"/>
          <w:highlight w:val="none"/>
        </w:rPr>
        <w:t xml:space="preserve">7.2 </w:t>
      </w:r>
      <w:r>
        <w:rPr>
          <w:rFonts w:ascii="宋体" w:hAnsi="宋体" w:eastAsia="宋体"/>
          <w:color w:val="auto"/>
          <w:spacing w:val="-9"/>
          <w:highlight w:val="none"/>
        </w:rPr>
        <w:t xml:space="preserve">款的规定先向招标人提出异议。异议答复期间不计算在第 </w:t>
      </w:r>
      <w:r>
        <w:rPr>
          <w:rFonts w:ascii="Times New Roman" w:hAnsi="Times New Roman" w:eastAsia="Times New Roman"/>
          <w:color w:val="auto"/>
          <w:spacing w:val="-9"/>
          <w:highlight w:val="none"/>
        </w:rPr>
        <w:t>8.5.</w:t>
      </w:r>
      <w:r>
        <w:rPr>
          <w:rFonts w:ascii="Times New Roman" w:hAnsi="Times New Roman" w:eastAsia="Times New Roman"/>
          <w:color w:val="auto"/>
          <w:spacing w:val="-3"/>
          <w:highlight w:val="none"/>
        </w:rPr>
        <w:t>1</w:t>
      </w:r>
      <w:r>
        <w:rPr>
          <w:rFonts w:ascii="Times New Roman" w:hAnsi="Times New Roman" w:eastAsia="Times New Roman"/>
          <w:color w:val="auto"/>
          <w:highlight w:val="none"/>
        </w:rPr>
        <w:t xml:space="preserve"> </w:t>
      </w:r>
      <w:r>
        <w:rPr>
          <w:rFonts w:ascii="宋体" w:hAnsi="宋体" w:eastAsia="宋体"/>
          <w:color w:val="auto"/>
          <w:spacing w:val="-7"/>
          <w:highlight w:val="none"/>
        </w:rPr>
        <w:t>项</w:t>
      </w:r>
      <w:r>
        <w:rPr>
          <w:rFonts w:ascii="宋体" w:hAnsi="宋体" w:eastAsia="宋体"/>
          <w:color w:val="auto"/>
          <w:spacing w:val="-4"/>
          <w:highlight w:val="none"/>
        </w:rPr>
        <w:t>规定的期限内。</w:t>
      </w:r>
    </w:p>
    <w:p w14:paraId="18162870">
      <w:pPr>
        <w:pStyle w:val="26"/>
        <w:spacing w:before="120" w:after="120"/>
        <w:outlineLvl w:val="9"/>
        <w:rPr>
          <w:rFonts w:ascii="Times New Roman" w:hAnsi="Times New Roman" w:eastAsia="Times New Roman"/>
          <w:bCs/>
          <w:color w:val="auto"/>
          <w:spacing w:val="10"/>
          <w:sz w:val="31"/>
          <w:szCs w:val="31"/>
          <w:highlight w:val="none"/>
        </w:rPr>
      </w:pPr>
      <w:bookmarkStart w:id="283" w:name="_Toc19261"/>
      <w:bookmarkStart w:id="284" w:name="_Toc25410"/>
      <w:bookmarkStart w:id="285" w:name="_Toc4587"/>
      <w:bookmarkStart w:id="286" w:name="_Toc15884"/>
      <w:bookmarkStart w:id="287" w:name="_Toc19781"/>
      <w:r>
        <w:rPr>
          <w:rFonts w:ascii="Times New Roman" w:hAnsi="Times New Roman" w:eastAsia="Times New Roman"/>
          <w:bCs/>
          <w:color w:val="auto"/>
          <w:spacing w:val="10"/>
          <w:sz w:val="31"/>
          <w:szCs w:val="31"/>
          <w:highlight w:val="none"/>
        </w:rPr>
        <w:t>9</w:t>
      </w:r>
      <w:r>
        <w:rPr>
          <w:rFonts w:ascii="Times New Roman" w:hAnsi="Times New Roman" w:eastAsia="Times New Roman"/>
          <w:bCs/>
          <w:color w:val="auto"/>
          <w:spacing w:val="8"/>
          <w:sz w:val="31"/>
          <w:szCs w:val="31"/>
          <w:highlight w:val="none"/>
        </w:rPr>
        <w:t>.</w:t>
      </w:r>
      <w:r>
        <w:rPr>
          <w:rFonts w:ascii="Times New Roman" w:hAnsi="Times New Roman" w:eastAsia="Times New Roman"/>
          <w:color w:val="auto"/>
          <w:spacing w:val="8"/>
          <w:sz w:val="31"/>
          <w:szCs w:val="31"/>
          <w:highlight w:val="none"/>
        </w:rPr>
        <w:t xml:space="preserve">  </w:t>
      </w:r>
      <w:r>
        <w:rPr>
          <w:rFonts w:ascii="黑体" w:hAnsi="黑体" w:eastAsia="黑体"/>
          <w:color w:val="auto"/>
          <w:spacing w:val="8"/>
          <w:sz w:val="31"/>
          <w:szCs w:val="31"/>
          <w:highlight w:val="none"/>
        </w:rPr>
        <w:t>是否采用电子招标投标</w:t>
      </w:r>
      <w:bookmarkEnd w:id="283"/>
      <w:bookmarkEnd w:id="284"/>
      <w:bookmarkEnd w:id="285"/>
      <w:bookmarkEnd w:id="286"/>
      <w:bookmarkEnd w:id="287"/>
    </w:p>
    <w:p w14:paraId="62DDDE64">
      <w:pPr>
        <w:spacing w:before="3" w:line="357" w:lineRule="auto"/>
        <w:ind w:left="2" w:firstLine="422"/>
        <w:rPr>
          <w:rFonts w:ascii="Times New Roman" w:hAnsi="Times New Roman" w:eastAsiaTheme="minorEastAsia"/>
          <w:color w:val="auto"/>
          <w:spacing w:val="-8"/>
          <w:highlight w:val="none"/>
        </w:rPr>
      </w:pPr>
      <w:r>
        <w:rPr>
          <w:rFonts w:ascii="Times New Roman" w:hAnsi="Times New Roman" w:eastAsia="Times New Roman"/>
          <w:color w:val="auto"/>
          <w:spacing w:val="-8"/>
          <w:highlight w:val="none"/>
        </w:rPr>
        <w:t>本招标项目采用电子招标投标方式，</w:t>
      </w:r>
      <w:r>
        <w:rPr>
          <w:rFonts w:hint="eastAsia" w:ascii="Times New Roman" w:hAnsi="Times New Roman" w:eastAsia="Times New Roman"/>
          <w:color w:val="auto"/>
          <w:spacing w:val="-8"/>
          <w:highlight w:val="none"/>
        </w:rPr>
        <w:t>按照</w:t>
      </w:r>
      <w:r>
        <w:rPr>
          <w:rFonts w:hint="eastAsia" w:ascii="Times New Roman" w:hAnsi="Times New Roman" w:eastAsia="宋体"/>
          <w:color w:val="auto"/>
          <w:spacing w:val="-8"/>
          <w:highlight w:val="none"/>
        </w:rPr>
        <w:t>广州交易集团有限公司（广州公共资源交易中心）</w:t>
      </w:r>
      <w:r>
        <w:rPr>
          <w:rFonts w:hint="eastAsia" w:ascii="Times New Roman" w:hAnsi="Times New Roman" w:eastAsia="Times New Roman"/>
          <w:color w:val="auto"/>
          <w:spacing w:val="-8"/>
          <w:highlight w:val="none"/>
        </w:rPr>
        <w:t>网站关于全流程电子化项目的相关指南进行操作。</w:t>
      </w:r>
    </w:p>
    <w:p w14:paraId="7ADF3A36">
      <w:pPr>
        <w:pStyle w:val="9"/>
        <w:rPr>
          <w:rFonts w:eastAsiaTheme="minorEastAsia"/>
          <w:color w:val="auto"/>
          <w:highlight w:val="none"/>
        </w:rPr>
      </w:pPr>
    </w:p>
    <w:p w14:paraId="50E140B2">
      <w:pPr>
        <w:pStyle w:val="26"/>
        <w:spacing w:before="120" w:after="120"/>
        <w:outlineLvl w:val="9"/>
        <w:rPr>
          <w:rFonts w:hint="eastAsia" w:ascii="黑体" w:hAnsi="黑体" w:eastAsia="黑体"/>
          <w:color w:val="auto"/>
          <w:spacing w:val="8"/>
          <w:sz w:val="31"/>
          <w:szCs w:val="31"/>
          <w:highlight w:val="none"/>
        </w:rPr>
      </w:pPr>
      <w:r>
        <w:rPr>
          <w:rFonts w:ascii="黑体" w:hAnsi="黑体" w:eastAsia="黑体"/>
          <w:color w:val="auto"/>
          <w:spacing w:val="8"/>
          <w:sz w:val="31"/>
          <w:szCs w:val="31"/>
          <w:highlight w:val="none"/>
        </w:rPr>
        <w:t>10</w:t>
      </w:r>
      <w:r>
        <w:rPr>
          <w:rFonts w:hint="eastAsia" w:ascii="黑体" w:hAnsi="黑体" w:eastAsia="黑体"/>
          <w:color w:val="auto"/>
          <w:spacing w:val="8"/>
          <w:sz w:val="31"/>
          <w:szCs w:val="31"/>
          <w:highlight w:val="none"/>
        </w:rPr>
        <w:t>.</w:t>
      </w:r>
      <w:r>
        <w:rPr>
          <w:rFonts w:ascii="黑体" w:hAnsi="黑体" w:eastAsia="黑体"/>
          <w:color w:val="auto"/>
          <w:spacing w:val="8"/>
          <w:sz w:val="31"/>
          <w:szCs w:val="31"/>
          <w:highlight w:val="none"/>
        </w:rPr>
        <w:t>重新招标情形</w:t>
      </w:r>
    </w:p>
    <w:p w14:paraId="3D4042F6">
      <w:pPr>
        <w:spacing w:before="3" w:line="357" w:lineRule="auto"/>
        <w:ind w:left="2" w:firstLine="422"/>
        <w:rPr>
          <w:rFonts w:hint="eastAsia" w:ascii="宋体" w:hAnsi="宋体" w:eastAsia="宋体"/>
          <w:color w:val="auto"/>
          <w:spacing w:val="-4"/>
          <w:highlight w:val="none"/>
        </w:rPr>
      </w:pPr>
      <w:r>
        <w:rPr>
          <w:rFonts w:ascii="宋体" w:hAnsi="宋体" w:eastAsia="宋体"/>
          <w:color w:val="auto"/>
          <w:spacing w:val="-4"/>
          <w:highlight w:val="none"/>
        </w:rPr>
        <w:t>在下列情况下，依法必须招标项目的招标人在分析招标失败的原因并采取相应措施后，应当依照本办法重新招标：</w:t>
      </w:r>
    </w:p>
    <w:p w14:paraId="4522D757">
      <w:pPr>
        <w:spacing w:before="3" w:line="357" w:lineRule="auto"/>
        <w:ind w:left="2" w:firstLine="422"/>
        <w:rPr>
          <w:rFonts w:hint="eastAsia" w:ascii="宋体" w:hAnsi="宋体" w:eastAsia="宋体"/>
          <w:color w:val="auto"/>
          <w:spacing w:val="-4"/>
          <w:highlight w:val="none"/>
        </w:rPr>
      </w:pPr>
      <w:r>
        <w:rPr>
          <w:rFonts w:ascii="宋体" w:hAnsi="宋体" w:eastAsia="宋体"/>
          <w:color w:val="auto"/>
          <w:spacing w:val="-4"/>
          <w:highlight w:val="none"/>
        </w:rPr>
        <w:t>（一）资格预审合格的潜在投标人不足三个的；</w:t>
      </w:r>
    </w:p>
    <w:p w14:paraId="35CDA48D">
      <w:pPr>
        <w:spacing w:before="3" w:line="357" w:lineRule="auto"/>
        <w:ind w:left="2" w:firstLine="422"/>
        <w:rPr>
          <w:rFonts w:hint="eastAsia" w:ascii="宋体" w:hAnsi="宋体" w:eastAsia="宋体"/>
          <w:color w:val="auto"/>
          <w:spacing w:val="-4"/>
          <w:highlight w:val="none"/>
        </w:rPr>
      </w:pPr>
      <w:r>
        <w:rPr>
          <w:rFonts w:ascii="宋体" w:hAnsi="宋体" w:eastAsia="宋体"/>
          <w:color w:val="auto"/>
          <w:spacing w:val="-4"/>
          <w:highlight w:val="none"/>
        </w:rPr>
        <w:t>（二）在投标截止时间前提交投标文件的投标人少于三个的；</w:t>
      </w:r>
    </w:p>
    <w:p w14:paraId="3133C33F">
      <w:pPr>
        <w:spacing w:before="3" w:line="357" w:lineRule="auto"/>
        <w:ind w:left="2" w:firstLine="422"/>
        <w:rPr>
          <w:rFonts w:hint="eastAsia" w:ascii="宋体" w:hAnsi="宋体" w:eastAsia="宋体"/>
          <w:color w:val="auto"/>
          <w:spacing w:val="-4"/>
          <w:highlight w:val="none"/>
        </w:rPr>
      </w:pPr>
      <w:r>
        <w:rPr>
          <w:rFonts w:ascii="宋体" w:hAnsi="宋体" w:eastAsia="宋体"/>
          <w:color w:val="auto"/>
          <w:spacing w:val="-4"/>
          <w:highlight w:val="none"/>
        </w:rPr>
        <w:t>（三）所有投标均被否决的；</w:t>
      </w:r>
    </w:p>
    <w:p w14:paraId="7FCCB90A">
      <w:pPr>
        <w:spacing w:before="3" w:line="357" w:lineRule="auto"/>
        <w:ind w:left="2" w:firstLine="422"/>
        <w:rPr>
          <w:rFonts w:hint="eastAsia" w:ascii="宋体" w:hAnsi="宋体" w:eastAsia="宋体"/>
          <w:color w:val="auto"/>
          <w:spacing w:val="-4"/>
          <w:highlight w:val="none"/>
        </w:rPr>
      </w:pPr>
      <w:r>
        <w:rPr>
          <w:rFonts w:ascii="宋体" w:hAnsi="宋体" w:eastAsia="宋体"/>
          <w:color w:val="auto"/>
          <w:spacing w:val="-4"/>
          <w:highlight w:val="none"/>
        </w:rPr>
        <w:t>（四）评标委员会否决不合格投标后，因有效投标不足三个使得投标明显缺乏竞争，评标委员会决定否决全部投标的；</w:t>
      </w:r>
    </w:p>
    <w:p w14:paraId="06201AA7">
      <w:pPr>
        <w:spacing w:before="3" w:line="357" w:lineRule="auto"/>
        <w:ind w:left="2" w:firstLine="422"/>
        <w:rPr>
          <w:rFonts w:hint="eastAsia" w:ascii="宋体" w:hAnsi="宋体" w:eastAsia="宋体"/>
          <w:color w:val="auto"/>
          <w:spacing w:val="-4"/>
          <w:highlight w:val="none"/>
        </w:rPr>
      </w:pPr>
      <w:r>
        <w:rPr>
          <w:rFonts w:ascii="宋体" w:hAnsi="宋体" w:eastAsia="宋体"/>
          <w:color w:val="auto"/>
          <w:spacing w:val="-4"/>
          <w:highlight w:val="none"/>
        </w:rPr>
        <w:t>（五）根据</w:t>
      </w:r>
      <w:bookmarkStart w:id="288" w:name="_Toc26088"/>
      <w:r>
        <w:rPr>
          <w:rFonts w:hint="eastAsia" w:ascii="宋体" w:hAnsi="宋体" w:eastAsia="宋体"/>
          <w:color w:val="auto"/>
          <w:spacing w:val="-4"/>
          <w:highlight w:val="none"/>
        </w:rPr>
        <w:t>《</w:t>
      </w:r>
      <w:r>
        <w:rPr>
          <w:rFonts w:hint="eastAsia" w:ascii="宋体" w:hAnsi="宋体" w:eastAsia="宋体"/>
          <w:color w:val="auto"/>
          <w:highlight w:val="none"/>
        </w:rPr>
        <w:t>工程建设项目勘察设计招标投标办法</w:t>
      </w:r>
      <w:bookmarkEnd w:id="288"/>
      <w:r>
        <w:rPr>
          <w:rFonts w:hint="eastAsia" w:ascii="宋体" w:hAnsi="宋体" w:eastAsia="宋体"/>
          <w:color w:val="auto"/>
          <w:highlight w:val="none"/>
        </w:rPr>
        <w:t>》</w:t>
      </w:r>
      <w:r>
        <w:rPr>
          <w:rFonts w:ascii="宋体" w:hAnsi="宋体" w:eastAsia="宋体"/>
          <w:color w:val="auto"/>
          <w:spacing w:val="-4"/>
          <w:highlight w:val="none"/>
        </w:rPr>
        <w:t>第四十六条规定，同意延长投标有效期的投标人少于三个的。</w:t>
      </w:r>
    </w:p>
    <w:p w14:paraId="1381E8DB">
      <w:pPr>
        <w:rPr>
          <w:color w:val="auto"/>
          <w:highlight w:val="none"/>
        </w:rPr>
      </w:pPr>
    </w:p>
    <w:p w14:paraId="0D650113">
      <w:pPr>
        <w:pStyle w:val="26"/>
        <w:spacing w:before="120" w:after="120"/>
        <w:outlineLvl w:val="9"/>
        <w:rPr>
          <w:rFonts w:ascii="Times New Roman" w:hAnsi="Times New Roman" w:eastAsia="Times New Roman"/>
          <w:bCs/>
          <w:color w:val="auto"/>
          <w:spacing w:val="7"/>
          <w:sz w:val="31"/>
          <w:szCs w:val="31"/>
          <w:highlight w:val="none"/>
        </w:rPr>
      </w:pPr>
      <w:bookmarkStart w:id="289" w:name="_Toc9611"/>
      <w:bookmarkStart w:id="290" w:name="_Toc22380"/>
      <w:bookmarkStart w:id="291" w:name="_Toc9782"/>
      <w:bookmarkStart w:id="292" w:name="_Toc18689"/>
      <w:bookmarkStart w:id="293" w:name="_Toc4820"/>
      <w:r>
        <w:rPr>
          <w:rFonts w:ascii="Times New Roman" w:hAnsi="Times New Roman" w:eastAsia="Times New Roman"/>
          <w:bCs/>
          <w:color w:val="auto"/>
          <w:spacing w:val="7"/>
          <w:sz w:val="31"/>
          <w:szCs w:val="31"/>
          <w:highlight w:val="none"/>
        </w:rPr>
        <w:t>1</w:t>
      </w:r>
      <w:r>
        <w:rPr>
          <w:rFonts w:hint="eastAsia" w:ascii="Times New Roman" w:hAnsi="Times New Roman"/>
          <w:bCs/>
          <w:color w:val="auto"/>
          <w:spacing w:val="7"/>
          <w:sz w:val="31"/>
          <w:szCs w:val="31"/>
          <w:highlight w:val="none"/>
        </w:rPr>
        <w:t>1</w:t>
      </w:r>
      <w:r>
        <w:rPr>
          <w:rFonts w:ascii="Times New Roman" w:hAnsi="Times New Roman" w:eastAsia="Times New Roman"/>
          <w:bCs/>
          <w:color w:val="auto"/>
          <w:spacing w:val="7"/>
          <w:sz w:val="31"/>
          <w:szCs w:val="31"/>
          <w:highlight w:val="none"/>
        </w:rPr>
        <w:t>.</w:t>
      </w:r>
      <w:r>
        <w:rPr>
          <w:rFonts w:ascii="Times New Roman" w:hAnsi="Times New Roman" w:eastAsia="Times New Roman"/>
          <w:color w:val="auto"/>
          <w:spacing w:val="7"/>
          <w:sz w:val="31"/>
          <w:szCs w:val="31"/>
          <w:highlight w:val="none"/>
        </w:rPr>
        <w:t xml:space="preserve">  </w:t>
      </w:r>
      <w:r>
        <w:rPr>
          <w:rFonts w:ascii="黑体" w:hAnsi="黑体" w:eastAsia="黑体"/>
          <w:color w:val="auto"/>
          <w:spacing w:val="7"/>
          <w:sz w:val="31"/>
          <w:szCs w:val="31"/>
          <w:highlight w:val="none"/>
        </w:rPr>
        <w:t>需要补充的其他内容</w:t>
      </w:r>
      <w:bookmarkEnd w:id="289"/>
      <w:bookmarkEnd w:id="290"/>
      <w:bookmarkEnd w:id="291"/>
      <w:bookmarkEnd w:id="292"/>
      <w:bookmarkEnd w:id="293"/>
    </w:p>
    <w:p w14:paraId="73164562">
      <w:pPr>
        <w:spacing w:line="313" w:lineRule="auto"/>
        <w:rPr>
          <w:color w:val="auto"/>
          <w:highlight w:val="none"/>
        </w:rPr>
      </w:pPr>
    </w:p>
    <w:p w14:paraId="7C38DB1A">
      <w:pPr>
        <w:spacing w:before="69" w:line="218" w:lineRule="auto"/>
        <w:ind w:left="430"/>
        <w:rPr>
          <w:rFonts w:hint="eastAsia" w:ascii="宋体" w:hAnsi="宋体" w:eastAsia="宋体"/>
          <w:color w:val="auto"/>
          <w:spacing w:val="-4"/>
          <w:highlight w:val="none"/>
        </w:rPr>
      </w:pPr>
      <w:r>
        <w:rPr>
          <w:rFonts w:ascii="宋体" w:hAnsi="宋体" w:eastAsia="宋体"/>
          <w:color w:val="auto"/>
          <w:spacing w:val="-4"/>
          <w:highlight w:val="none"/>
        </w:rPr>
        <w:t>需要补</w:t>
      </w:r>
      <w:r>
        <w:rPr>
          <w:rFonts w:ascii="宋体" w:hAnsi="宋体" w:eastAsia="宋体"/>
          <w:color w:val="auto"/>
          <w:spacing w:val="-2"/>
          <w:highlight w:val="none"/>
        </w:rPr>
        <w:t>充的其他内容：见投标人须知前附表。</w:t>
      </w:r>
    </w:p>
    <w:p w14:paraId="54DC5302">
      <w:pPr>
        <w:rPr>
          <w:color w:val="auto"/>
          <w:highlight w:val="none"/>
        </w:rPr>
        <w:sectPr>
          <w:footerReference r:id="rId9" w:type="default"/>
          <w:pgSz w:w="12240" w:h="15840"/>
          <w:pgMar w:top="1346" w:right="1393" w:bottom="1104" w:left="1807" w:header="0" w:footer="940" w:gutter="0"/>
          <w:cols w:space="720" w:num="1"/>
        </w:sectPr>
      </w:pPr>
    </w:p>
    <w:p w14:paraId="6A92D629">
      <w:pPr>
        <w:spacing w:line="248" w:lineRule="auto"/>
        <w:rPr>
          <w:color w:val="auto"/>
          <w:highlight w:val="none"/>
        </w:rPr>
      </w:pPr>
    </w:p>
    <w:p w14:paraId="32B2D550">
      <w:pPr>
        <w:pStyle w:val="26"/>
        <w:spacing w:before="120" w:after="120"/>
        <w:outlineLvl w:val="9"/>
        <w:rPr>
          <w:rFonts w:hint="eastAsia" w:ascii="黑体" w:hAnsi="黑体" w:eastAsia="黑体"/>
          <w:color w:val="auto"/>
          <w:spacing w:val="14"/>
          <w:sz w:val="27"/>
          <w:szCs w:val="27"/>
          <w:highlight w:val="none"/>
        </w:rPr>
      </w:pPr>
      <w:bookmarkStart w:id="294" w:name="_Toc18427"/>
      <w:bookmarkStart w:id="295" w:name="_Toc16330"/>
      <w:bookmarkStart w:id="296" w:name="_Toc9613"/>
      <w:bookmarkStart w:id="297" w:name="_Toc7946"/>
      <w:bookmarkStart w:id="298" w:name="_Toc17042"/>
      <w:r>
        <w:rPr>
          <w:rFonts w:ascii="黑体" w:hAnsi="黑体" w:eastAsia="黑体"/>
          <w:color w:val="auto"/>
          <w:spacing w:val="14"/>
          <w:sz w:val="27"/>
          <w:szCs w:val="27"/>
          <w:highlight w:val="none"/>
        </w:rPr>
        <w:t>附</w:t>
      </w:r>
      <w:r>
        <w:rPr>
          <w:rFonts w:ascii="黑体" w:hAnsi="黑体" w:eastAsia="黑体"/>
          <w:color w:val="auto"/>
          <w:spacing w:val="7"/>
          <w:sz w:val="27"/>
          <w:szCs w:val="27"/>
          <w:highlight w:val="none"/>
        </w:rPr>
        <w:t>件</w:t>
      </w:r>
      <w:r>
        <w:rPr>
          <w:rFonts w:hint="eastAsia" w:ascii="黑体" w:hAnsi="黑体" w:eastAsia="黑体"/>
          <w:color w:val="auto"/>
          <w:spacing w:val="7"/>
          <w:sz w:val="27"/>
          <w:szCs w:val="27"/>
          <w:highlight w:val="none"/>
        </w:rPr>
        <w:t>一</w:t>
      </w:r>
      <w:r>
        <w:rPr>
          <w:rFonts w:ascii="黑体" w:hAnsi="黑体" w:eastAsia="黑体"/>
          <w:color w:val="auto"/>
          <w:spacing w:val="7"/>
          <w:sz w:val="27"/>
          <w:szCs w:val="27"/>
          <w:highlight w:val="none"/>
        </w:rPr>
        <w:t>：问题澄清通知</w:t>
      </w:r>
      <w:bookmarkEnd w:id="294"/>
      <w:bookmarkEnd w:id="295"/>
      <w:bookmarkEnd w:id="296"/>
      <w:bookmarkEnd w:id="297"/>
      <w:bookmarkEnd w:id="298"/>
    </w:p>
    <w:p w14:paraId="19B2E7B3">
      <w:pPr>
        <w:spacing w:line="241" w:lineRule="auto"/>
        <w:rPr>
          <w:color w:val="auto"/>
          <w:highlight w:val="none"/>
        </w:rPr>
      </w:pPr>
    </w:p>
    <w:p w14:paraId="12CF3273">
      <w:pPr>
        <w:spacing w:line="241" w:lineRule="auto"/>
        <w:rPr>
          <w:color w:val="auto"/>
          <w:highlight w:val="none"/>
        </w:rPr>
      </w:pPr>
    </w:p>
    <w:p w14:paraId="680F9784">
      <w:pPr>
        <w:spacing w:line="241" w:lineRule="auto"/>
        <w:rPr>
          <w:color w:val="auto"/>
          <w:highlight w:val="none"/>
        </w:rPr>
      </w:pPr>
    </w:p>
    <w:p w14:paraId="46AD3CA8">
      <w:pPr>
        <w:spacing w:line="241" w:lineRule="auto"/>
        <w:rPr>
          <w:color w:val="auto"/>
          <w:highlight w:val="none"/>
        </w:rPr>
      </w:pPr>
    </w:p>
    <w:p w14:paraId="57E27860">
      <w:pPr>
        <w:spacing w:before="88" w:line="229" w:lineRule="auto"/>
        <w:ind w:left="3506"/>
        <w:rPr>
          <w:rFonts w:hint="eastAsia" w:ascii="黑体" w:hAnsi="黑体" w:eastAsia="黑体"/>
          <w:color w:val="auto"/>
          <w:spacing w:val="6"/>
          <w:sz w:val="27"/>
          <w:szCs w:val="27"/>
          <w:highlight w:val="none"/>
        </w:rPr>
      </w:pPr>
      <w:r>
        <w:rPr>
          <w:rFonts w:ascii="黑体" w:hAnsi="黑体" w:eastAsia="黑体"/>
          <w:color w:val="auto"/>
          <w:spacing w:val="6"/>
          <w:sz w:val="27"/>
          <w:szCs w:val="27"/>
          <w:highlight w:val="none"/>
        </w:rPr>
        <w:t>问题澄清通</w:t>
      </w:r>
      <w:r>
        <w:rPr>
          <w:rFonts w:ascii="黑体" w:hAnsi="黑体" w:eastAsia="黑体"/>
          <w:color w:val="auto"/>
          <w:spacing w:val="5"/>
          <w:sz w:val="27"/>
          <w:szCs w:val="27"/>
          <w:highlight w:val="none"/>
        </w:rPr>
        <w:t>知</w:t>
      </w:r>
    </w:p>
    <w:p w14:paraId="32F6E1E8">
      <w:pPr>
        <w:spacing w:before="164" w:line="220" w:lineRule="auto"/>
        <w:ind w:left="2758"/>
        <w:rPr>
          <w:rFonts w:hint="eastAsia" w:ascii="宋体" w:hAnsi="宋体" w:eastAsia="宋体"/>
          <w:color w:val="auto"/>
          <w:spacing w:val="1"/>
          <w:highlight w:val="none"/>
        </w:rPr>
      </w:pPr>
      <w:r>
        <w:rPr>
          <w:rFonts w:ascii="宋体" w:hAnsi="宋体" w:eastAsia="宋体"/>
          <w:color w:val="auto"/>
          <w:spacing w:val="1"/>
          <w:highlight w:val="none"/>
        </w:rPr>
        <w:t>(编号：</w:t>
      </w:r>
      <w:r>
        <w:rPr>
          <w:rFonts w:ascii="宋体" w:hAnsi="宋体" w:eastAsia="宋体"/>
          <w:color w:val="auto"/>
          <w:spacing w:val="1"/>
          <w:highlight w:val="none"/>
          <w:u w:val="single"/>
        </w:rPr>
        <w:t xml:space="preserve">            </w:t>
      </w:r>
      <w:r>
        <w:rPr>
          <w:rFonts w:ascii="宋体" w:hAnsi="宋体" w:eastAsia="宋体"/>
          <w:color w:val="auto"/>
          <w:highlight w:val="none"/>
          <w:u w:val="single"/>
        </w:rPr>
        <w:t xml:space="preserve">         </w:t>
      </w:r>
      <w:r>
        <w:rPr>
          <w:rFonts w:ascii="宋体" w:hAnsi="宋体" w:eastAsia="宋体"/>
          <w:color w:val="auto"/>
          <w:highlight w:val="none"/>
        </w:rPr>
        <w:t>)</w:t>
      </w:r>
    </w:p>
    <w:p w14:paraId="008EDEA5">
      <w:pPr>
        <w:spacing w:line="278" w:lineRule="auto"/>
        <w:rPr>
          <w:color w:val="auto"/>
          <w:highlight w:val="none"/>
        </w:rPr>
      </w:pPr>
    </w:p>
    <w:p w14:paraId="21292CF2">
      <w:pPr>
        <w:spacing w:line="279" w:lineRule="auto"/>
        <w:rPr>
          <w:color w:val="auto"/>
          <w:highlight w:val="none"/>
        </w:rPr>
      </w:pPr>
    </w:p>
    <w:p w14:paraId="00F6C4F1">
      <w:pPr>
        <w:tabs>
          <w:tab w:val="left" w:pos="2323"/>
        </w:tabs>
        <w:spacing w:before="68" w:line="221" w:lineRule="auto"/>
        <w:rPr>
          <w:rFonts w:hint="eastAsia" w:ascii="宋体" w:hAnsi="宋体" w:eastAsia="宋体"/>
          <w:color w:val="auto"/>
          <w:highlight w:val="none"/>
          <w:u w:val="single"/>
        </w:rPr>
      </w:pPr>
      <w:r>
        <w:rPr>
          <w:rFonts w:ascii="宋体" w:hAnsi="宋体" w:eastAsia="宋体"/>
          <w:color w:val="auto"/>
          <w:highlight w:val="none"/>
          <w:u w:val="single"/>
        </w:rPr>
        <w:tab/>
      </w:r>
      <w:r>
        <w:rPr>
          <w:rFonts w:ascii="宋体" w:hAnsi="宋体" w:eastAsia="宋体"/>
          <w:color w:val="auto"/>
          <w:spacing w:val="-6"/>
          <w:highlight w:val="none"/>
        </w:rPr>
        <w:t>(</w:t>
      </w:r>
      <w:r>
        <w:rPr>
          <w:rFonts w:ascii="宋体" w:hAnsi="宋体" w:eastAsia="宋体"/>
          <w:color w:val="auto"/>
          <w:spacing w:val="-4"/>
          <w:highlight w:val="none"/>
        </w:rPr>
        <w:t>投</w:t>
      </w:r>
      <w:r>
        <w:rPr>
          <w:rFonts w:ascii="宋体" w:hAnsi="宋体" w:eastAsia="宋体"/>
          <w:color w:val="auto"/>
          <w:spacing w:val="-3"/>
          <w:highlight w:val="none"/>
        </w:rPr>
        <w:t>标人名称)：</w:t>
      </w:r>
    </w:p>
    <w:p w14:paraId="6C62FD8A">
      <w:pPr>
        <w:spacing w:line="278" w:lineRule="auto"/>
        <w:rPr>
          <w:color w:val="auto"/>
          <w:highlight w:val="none"/>
        </w:rPr>
      </w:pPr>
    </w:p>
    <w:p w14:paraId="2D4C43C6">
      <w:pPr>
        <w:spacing w:line="278" w:lineRule="auto"/>
        <w:rPr>
          <w:color w:val="auto"/>
          <w:highlight w:val="none"/>
        </w:rPr>
      </w:pPr>
    </w:p>
    <w:p w14:paraId="62CFCA93">
      <w:pPr>
        <w:spacing w:before="68" w:line="394" w:lineRule="auto"/>
        <w:ind w:left="8" w:right="6" w:firstLine="420"/>
        <w:rPr>
          <w:rFonts w:hint="eastAsia" w:ascii="宋体" w:hAnsi="宋体" w:eastAsia="宋体"/>
          <w:color w:val="auto"/>
          <w:spacing w:val="-4"/>
          <w:highlight w:val="none"/>
        </w:rPr>
      </w:pPr>
      <w:r>
        <w:rPr>
          <w:rFonts w:ascii="宋体" w:hAnsi="宋体" w:eastAsia="宋体"/>
          <w:color w:val="auto"/>
          <w:spacing w:val="-4"/>
          <w:highlight w:val="none"/>
        </w:rPr>
        <w:t>评标委员会</w:t>
      </w:r>
      <w:r>
        <w:rPr>
          <w:rFonts w:ascii="宋体" w:hAnsi="宋体" w:eastAsia="宋体"/>
          <w:color w:val="auto"/>
          <w:spacing w:val="-2"/>
          <w:highlight w:val="none"/>
        </w:rPr>
        <w:t>对你方的投标文件进行了仔细的审查， 现需你方对下列问题以书面形式予以澄</w:t>
      </w:r>
      <w:r>
        <w:rPr>
          <w:rFonts w:ascii="宋体" w:hAnsi="宋体" w:eastAsia="宋体"/>
          <w:color w:val="auto"/>
          <w:highlight w:val="none"/>
        </w:rPr>
        <w:t xml:space="preserve"> </w:t>
      </w:r>
      <w:r>
        <w:rPr>
          <w:rFonts w:ascii="宋体" w:hAnsi="宋体" w:eastAsia="宋体"/>
          <w:color w:val="auto"/>
          <w:spacing w:val="-8"/>
          <w:highlight w:val="none"/>
        </w:rPr>
        <w:t>清</w:t>
      </w:r>
      <w:r>
        <w:rPr>
          <w:rFonts w:ascii="宋体" w:hAnsi="宋体" w:eastAsia="宋体"/>
          <w:color w:val="auto"/>
          <w:spacing w:val="-6"/>
          <w:highlight w:val="none"/>
        </w:rPr>
        <w:t>、说明或补正：</w:t>
      </w:r>
    </w:p>
    <w:p w14:paraId="4E275B90">
      <w:pPr>
        <w:spacing w:line="400" w:lineRule="auto"/>
        <w:rPr>
          <w:color w:val="auto"/>
          <w:highlight w:val="none"/>
        </w:rPr>
      </w:pPr>
    </w:p>
    <w:p w14:paraId="19F9CF4C">
      <w:pPr>
        <w:spacing w:before="61" w:line="439" w:lineRule="exact"/>
        <w:ind w:left="444"/>
        <w:rPr>
          <w:rFonts w:ascii="Times New Roman" w:hAnsi="Times New Roman" w:eastAsia="Times New Roman"/>
          <w:color w:val="auto"/>
          <w:spacing w:val="-8"/>
          <w:position w:val="21"/>
          <w:highlight w:val="none"/>
        </w:rPr>
      </w:pPr>
      <w:r>
        <w:rPr>
          <w:rFonts w:ascii="Times New Roman" w:hAnsi="Times New Roman" w:eastAsia="Times New Roman"/>
          <w:color w:val="auto"/>
          <w:spacing w:val="-8"/>
          <w:position w:val="21"/>
          <w:highlight w:val="none"/>
        </w:rPr>
        <w:t>1.</w:t>
      </w:r>
    </w:p>
    <w:p w14:paraId="0CAC1B98">
      <w:pPr>
        <w:spacing w:line="186" w:lineRule="auto"/>
        <w:ind w:left="424"/>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2</w:t>
      </w:r>
      <w:r>
        <w:rPr>
          <w:rFonts w:ascii="Times New Roman" w:hAnsi="Times New Roman" w:eastAsia="Times New Roman"/>
          <w:color w:val="auto"/>
          <w:spacing w:val="-1"/>
          <w:highlight w:val="none"/>
        </w:rPr>
        <w:t>.</w:t>
      </w:r>
    </w:p>
    <w:p w14:paraId="6E0A1A99">
      <w:pPr>
        <w:spacing w:line="312" w:lineRule="auto"/>
        <w:rPr>
          <w:color w:val="auto"/>
          <w:highlight w:val="none"/>
        </w:rPr>
      </w:pPr>
    </w:p>
    <w:p w14:paraId="5251EED8">
      <w:pPr>
        <w:spacing w:before="61" w:line="66" w:lineRule="exact"/>
        <w:ind w:left="539"/>
        <w:rPr>
          <w:rFonts w:ascii="Times New Roman" w:hAnsi="Times New Roman" w:eastAsia="Times New Roman"/>
          <w:color w:val="auto"/>
          <w:spacing w:val="-2"/>
          <w:position w:val="1"/>
          <w:highlight w:val="none"/>
        </w:rPr>
      </w:pPr>
      <w:r>
        <w:rPr>
          <w:rFonts w:ascii="Times New Roman" w:hAnsi="Times New Roman" w:eastAsia="Times New Roman"/>
          <w:color w:val="auto"/>
          <w:spacing w:val="-2"/>
          <w:position w:val="1"/>
          <w:highlight w:val="none"/>
        </w:rPr>
        <w:t>......</w:t>
      </w:r>
    </w:p>
    <w:p w14:paraId="6F5E6045">
      <w:pPr>
        <w:spacing w:line="289" w:lineRule="auto"/>
        <w:rPr>
          <w:color w:val="auto"/>
          <w:highlight w:val="none"/>
        </w:rPr>
      </w:pPr>
    </w:p>
    <w:p w14:paraId="6C71811F">
      <w:pPr>
        <w:spacing w:line="290" w:lineRule="auto"/>
        <w:rPr>
          <w:color w:val="auto"/>
          <w:highlight w:val="none"/>
        </w:rPr>
      </w:pPr>
    </w:p>
    <w:p w14:paraId="083C0D25">
      <w:pPr>
        <w:tabs>
          <w:tab w:val="left" w:pos="778"/>
          <w:tab w:val="left" w:pos="3057"/>
        </w:tabs>
        <w:spacing w:before="69" w:line="391" w:lineRule="auto"/>
        <w:ind w:firstLine="410"/>
        <w:rPr>
          <w:rFonts w:hint="eastAsia" w:ascii="宋体" w:hAnsi="宋体" w:eastAsia="宋体"/>
          <w:color w:val="auto"/>
          <w:spacing w:val="-4"/>
          <w:highlight w:val="none"/>
        </w:rPr>
      </w:pPr>
      <w:r>
        <w:rPr>
          <w:rFonts w:ascii="宋体" w:hAnsi="宋体" w:eastAsia="宋体"/>
          <w:color w:val="auto"/>
          <w:spacing w:val="-4"/>
          <w:highlight w:val="none"/>
        </w:rPr>
        <w:t>请将上</w:t>
      </w:r>
      <w:r>
        <w:rPr>
          <w:rFonts w:ascii="宋体" w:hAnsi="宋体" w:eastAsia="宋体"/>
          <w:color w:val="auto"/>
          <w:spacing w:val="-2"/>
          <w:highlight w:val="none"/>
        </w:rPr>
        <w:t>述问题的澄清、说明或补正于</w:t>
      </w:r>
      <w:r>
        <w:rPr>
          <w:rFonts w:ascii="宋体" w:hAnsi="宋体" w:eastAsia="宋体"/>
          <w:color w:val="auto"/>
          <w:spacing w:val="-2"/>
          <w:highlight w:val="none"/>
          <w:u w:val="single"/>
        </w:rPr>
        <w:t xml:space="preserve">       </w:t>
      </w:r>
      <w:r>
        <w:rPr>
          <w:rFonts w:ascii="宋体" w:hAnsi="宋体" w:eastAsia="宋体"/>
          <w:color w:val="auto"/>
          <w:spacing w:val="-2"/>
          <w:highlight w:val="none"/>
        </w:rPr>
        <w:t xml:space="preserve"> 年</w:t>
      </w:r>
      <w:r>
        <w:rPr>
          <w:rFonts w:ascii="宋体" w:hAnsi="宋体" w:eastAsia="宋体"/>
          <w:color w:val="auto"/>
          <w:spacing w:val="-2"/>
          <w:highlight w:val="none"/>
          <w:u w:val="single"/>
        </w:rPr>
        <w:t xml:space="preserve">       </w:t>
      </w:r>
      <w:r>
        <w:rPr>
          <w:rFonts w:ascii="宋体" w:hAnsi="宋体" w:eastAsia="宋体"/>
          <w:color w:val="auto"/>
          <w:spacing w:val="-2"/>
          <w:highlight w:val="none"/>
        </w:rPr>
        <w:t>月</w:t>
      </w:r>
      <w:r>
        <w:rPr>
          <w:rFonts w:ascii="宋体" w:hAnsi="宋体" w:eastAsia="宋体"/>
          <w:color w:val="auto"/>
          <w:spacing w:val="-2"/>
          <w:highlight w:val="none"/>
          <w:u w:val="single"/>
        </w:rPr>
        <w:t xml:space="preserve">       </w:t>
      </w:r>
      <w:r>
        <w:rPr>
          <w:rFonts w:ascii="宋体" w:hAnsi="宋体" w:eastAsia="宋体"/>
          <w:color w:val="auto"/>
          <w:spacing w:val="-2"/>
          <w:highlight w:val="none"/>
        </w:rPr>
        <w:t>日</w:t>
      </w:r>
      <w:r>
        <w:rPr>
          <w:rFonts w:ascii="宋体" w:hAnsi="宋体" w:eastAsia="宋体"/>
          <w:color w:val="auto"/>
          <w:spacing w:val="-2"/>
          <w:highlight w:val="none"/>
          <w:u w:val="single"/>
        </w:rPr>
        <w:t xml:space="preserve">       </w:t>
      </w:r>
      <w:r>
        <w:rPr>
          <w:rFonts w:ascii="宋体" w:hAnsi="宋体" w:eastAsia="宋体"/>
          <w:color w:val="auto"/>
          <w:spacing w:val="-2"/>
          <w:highlight w:val="none"/>
        </w:rPr>
        <w:t>时前递交至</w:t>
      </w:r>
      <w:r>
        <w:rPr>
          <w:rFonts w:ascii="宋体" w:hAnsi="宋体" w:eastAsia="宋体"/>
          <w:color w:val="auto"/>
          <w:highlight w:val="none"/>
        </w:rPr>
        <w:t xml:space="preserve">  </w:t>
      </w:r>
      <w:r>
        <w:rPr>
          <w:rFonts w:ascii="宋体" w:hAnsi="宋体" w:eastAsia="宋体"/>
          <w:color w:val="auto"/>
          <w:highlight w:val="none"/>
          <w:u w:val="single"/>
        </w:rPr>
        <w:tab/>
      </w:r>
      <w:r>
        <w:rPr>
          <w:rFonts w:ascii="宋体" w:hAnsi="宋体" w:eastAsia="宋体"/>
          <w:color w:val="auto"/>
          <w:highlight w:val="none"/>
          <w:u w:val="single"/>
        </w:rPr>
        <w:tab/>
      </w:r>
      <w:r>
        <w:rPr>
          <w:rFonts w:ascii="宋体" w:hAnsi="宋体" w:eastAsia="宋体"/>
          <w:color w:val="auto"/>
          <w:spacing w:val="1"/>
          <w:highlight w:val="none"/>
        </w:rPr>
        <w:t>(详细地址) 或传真至</w:t>
      </w:r>
      <w:r>
        <w:rPr>
          <w:rFonts w:ascii="宋体" w:hAnsi="宋体" w:eastAsia="宋体"/>
          <w:color w:val="auto"/>
          <w:spacing w:val="1"/>
          <w:highlight w:val="none"/>
          <w:u w:val="single"/>
        </w:rPr>
        <w:t xml:space="preserve">     </w:t>
      </w:r>
      <w:r>
        <w:rPr>
          <w:rFonts w:ascii="宋体" w:hAnsi="宋体" w:eastAsia="宋体"/>
          <w:color w:val="auto"/>
          <w:highlight w:val="none"/>
          <w:u w:val="single"/>
        </w:rPr>
        <w:t xml:space="preserve">                </w:t>
      </w:r>
      <w:r>
        <w:rPr>
          <w:rFonts w:ascii="宋体" w:hAnsi="宋体" w:eastAsia="宋体"/>
          <w:color w:val="auto"/>
          <w:highlight w:val="none"/>
        </w:rPr>
        <w:t>(传真号码) 或 通过下载招标文件的电子招标交易平台上传。采用传真方式的，应在</w:t>
      </w:r>
      <w:r>
        <w:rPr>
          <w:rFonts w:ascii="宋体" w:hAnsi="宋体" w:eastAsia="宋体"/>
          <w:color w:val="auto"/>
          <w:highlight w:val="none"/>
          <w:u w:val="single"/>
        </w:rPr>
        <w:t xml:space="preserve">       </w:t>
      </w:r>
      <w:r>
        <w:rPr>
          <w:rFonts w:ascii="宋体" w:hAnsi="宋体" w:eastAsia="宋体"/>
          <w:color w:val="auto"/>
          <w:highlight w:val="none"/>
        </w:rPr>
        <w:t>年</w:t>
      </w:r>
      <w:r>
        <w:rPr>
          <w:rFonts w:ascii="宋体" w:hAnsi="宋体" w:eastAsia="宋体"/>
          <w:color w:val="auto"/>
          <w:highlight w:val="none"/>
          <w:u w:val="single"/>
        </w:rPr>
        <w:t xml:space="preserve">       </w:t>
      </w:r>
      <w:r>
        <w:rPr>
          <w:rFonts w:ascii="宋体" w:hAnsi="宋体" w:eastAsia="宋体"/>
          <w:color w:val="auto"/>
          <w:highlight w:val="none"/>
        </w:rPr>
        <w:t xml:space="preserve">月    </w:t>
      </w:r>
      <w:r>
        <w:rPr>
          <w:rFonts w:ascii="宋体" w:hAnsi="宋体" w:eastAsia="宋体"/>
          <w:color w:val="auto"/>
          <w:highlight w:val="none"/>
          <w:u w:val="single"/>
        </w:rPr>
        <w:tab/>
      </w:r>
      <w:r>
        <w:rPr>
          <w:rFonts w:ascii="宋体" w:hAnsi="宋体" w:eastAsia="宋体"/>
          <w:color w:val="auto"/>
          <w:spacing w:val="-2"/>
          <w:highlight w:val="none"/>
        </w:rPr>
        <w:t>日</w:t>
      </w:r>
      <w:r>
        <w:rPr>
          <w:rFonts w:ascii="宋体" w:hAnsi="宋体" w:eastAsia="宋体"/>
          <w:color w:val="auto"/>
          <w:spacing w:val="-2"/>
          <w:highlight w:val="none"/>
          <w:u w:val="single"/>
        </w:rPr>
        <w:t xml:space="preserve">       </w:t>
      </w:r>
      <w:r>
        <w:rPr>
          <w:rFonts w:ascii="宋体" w:hAnsi="宋体" w:eastAsia="宋体"/>
          <w:color w:val="auto"/>
          <w:spacing w:val="-2"/>
          <w:highlight w:val="none"/>
        </w:rPr>
        <w:t>时前将原件</w:t>
      </w:r>
      <w:r>
        <w:rPr>
          <w:rFonts w:ascii="宋体" w:hAnsi="宋体" w:eastAsia="宋体"/>
          <w:color w:val="auto"/>
          <w:spacing w:val="-1"/>
          <w:highlight w:val="none"/>
        </w:rPr>
        <w:t>递交至</w:t>
      </w:r>
      <w:r>
        <w:rPr>
          <w:rFonts w:ascii="宋体" w:hAnsi="宋体" w:eastAsia="宋体"/>
          <w:color w:val="auto"/>
          <w:spacing w:val="-1"/>
          <w:highlight w:val="none"/>
          <w:u w:val="single"/>
        </w:rPr>
        <w:t xml:space="preserve">                      </w:t>
      </w:r>
      <w:r>
        <w:rPr>
          <w:rFonts w:ascii="宋体" w:hAnsi="宋体" w:eastAsia="宋体"/>
          <w:color w:val="auto"/>
          <w:spacing w:val="-1"/>
          <w:highlight w:val="none"/>
        </w:rPr>
        <w:t>(详细地址)。</w:t>
      </w:r>
    </w:p>
    <w:p w14:paraId="04F19143">
      <w:pPr>
        <w:spacing w:line="263" w:lineRule="auto"/>
        <w:rPr>
          <w:color w:val="auto"/>
          <w:highlight w:val="none"/>
        </w:rPr>
      </w:pPr>
    </w:p>
    <w:p w14:paraId="66BAA7B1">
      <w:pPr>
        <w:spacing w:line="263" w:lineRule="auto"/>
        <w:rPr>
          <w:color w:val="auto"/>
          <w:highlight w:val="none"/>
        </w:rPr>
      </w:pPr>
    </w:p>
    <w:p w14:paraId="2BA177C3">
      <w:pPr>
        <w:spacing w:line="263" w:lineRule="auto"/>
        <w:rPr>
          <w:color w:val="auto"/>
          <w:highlight w:val="none"/>
        </w:rPr>
      </w:pPr>
    </w:p>
    <w:p w14:paraId="20E33A1A">
      <w:pPr>
        <w:spacing w:before="69" w:line="217" w:lineRule="auto"/>
        <w:ind w:right="251"/>
        <w:jc w:val="center"/>
        <w:rPr>
          <w:rFonts w:hint="eastAsia" w:ascii="宋体" w:hAnsi="宋体" w:eastAsia="宋体"/>
          <w:color w:val="auto"/>
          <w:spacing w:val="-6"/>
          <w:highlight w:val="none"/>
        </w:rPr>
      </w:pPr>
      <w:r>
        <w:rPr>
          <w:rFonts w:ascii="宋体" w:hAnsi="宋体" w:eastAsia="宋体"/>
          <w:color w:val="auto"/>
          <w:spacing w:val="-6"/>
          <w:highlight w:val="none"/>
        </w:rPr>
        <w:t>评标委员会</w:t>
      </w:r>
      <w:r>
        <w:rPr>
          <w:rFonts w:hint="eastAsia" w:ascii="宋体" w:hAnsi="宋体" w:eastAsia="宋体"/>
          <w:color w:val="auto"/>
          <w:spacing w:val="-4"/>
          <w:highlight w:val="none"/>
        </w:rPr>
        <w:t>签字</w:t>
      </w:r>
      <w:r>
        <w:rPr>
          <w:rFonts w:ascii="宋体" w:hAnsi="宋体" w:eastAsia="宋体"/>
          <w:color w:val="auto"/>
          <w:spacing w:val="-3"/>
          <w:highlight w:val="none"/>
        </w:rPr>
        <w:t>：</w:t>
      </w:r>
      <w:r>
        <w:rPr>
          <w:rFonts w:ascii="宋体" w:hAnsi="宋体" w:eastAsia="宋体"/>
          <w:color w:val="auto"/>
          <w:spacing w:val="-3"/>
          <w:highlight w:val="none"/>
          <w:u w:val="single"/>
        </w:rPr>
        <w:t xml:space="preserve">   </w:t>
      </w:r>
      <w:r>
        <w:rPr>
          <w:rFonts w:hint="eastAsia" w:ascii="宋体" w:hAnsi="宋体" w:eastAsia="宋体"/>
          <w:color w:val="auto"/>
          <w:spacing w:val="-3"/>
          <w:highlight w:val="none"/>
          <w:u w:val="single"/>
        </w:rPr>
        <w:t xml:space="preserve">             </w:t>
      </w:r>
      <w:r>
        <w:rPr>
          <w:rFonts w:ascii="宋体" w:hAnsi="宋体" w:eastAsia="宋体"/>
          <w:color w:val="auto"/>
          <w:spacing w:val="-3"/>
          <w:highlight w:val="none"/>
          <w:u w:val="single"/>
        </w:rPr>
        <w:t xml:space="preserve">       </w:t>
      </w:r>
    </w:p>
    <w:p w14:paraId="316459D9">
      <w:pPr>
        <w:spacing w:line="281" w:lineRule="auto"/>
        <w:rPr>
          <w:color w:val="auto"/>
          <w:highlight w:val="none"/>
        </w:rPr>
      </w:pPr>
    </w:p>
    <w:p w14:paraId="750262B5">
      <w:pPr>
        <w:spacing w:line="281" w:lineRule="auto"/>
        <w:rPr>
          <w:color w:val="auto"/>
          <w:highlight w:val="none"/>
        </w:rPr>
      </w:pPr>
    </w:p>
    <w:p w14:paraId="64531967">
      <w:pPr>
        <w:tabs>
          <w:tab w:val="left" w:pos="5709"/>
        </w:tabs>
        <w:spacing w:before="69" w:line="220" w:lineRule="auto"/>
        <w:ind w:left="4860"/>
        <w:rPr>
          <w:rFonts w:hint="eastAsia" w:ascii="宋体" w:hAnsi="宋体" w:eastAsia="宋体"/>
          <w:color w:val="auto"/>
          <w:highlight w:val="none"/>
          <w:u w:val="single"/>
        </w:rPr>
      </w:pPr>
      <w:r>
        <w:rPr>
          <w:rFonts w:ascii="宋体" w:hAnsi="宋体" w:eastAsia="宋体"/>
          <w:color w:val="auto"/>
          <w:highlight w:val="none"/>
          <w:u w:val="single"/>
        </w:rPr>
        <w:tab/>
      </w:r>
      <w:r>
        <w:rPr>
          <w:rFonts w:ascii="宋体" w:hAnsi="宋体" w:eastAsia="宋体"/>
          <w:color w:val="auto"/>
          <w:spacing w:val="3"/>
          <w:highlight w:val="none"/>
        </w:rPr>
        <w:t>年</w:t>
      </w:r>
      <w:r>
        <w:rPr>
          <w:rFonts w:ascii="宋体" w:hAnsi="宋体" w:eastAsia="宋体"/>
          <w:color w:val="auto"/>
          <w:spacing w:val="2"/>
          <w:highlight w:val="none"/>
          <w:u w:val="single"/>
        </w:rPr>
        <w:t xml:space="preserve">       </w:t>
      </w:r>
      <w:r>
        <w:rPr>
          <w:rFonts w:ascii="宋体" w:hAnsi="宋体" w:eastAsia="宋体"/>
          <w:color w:val="auto"/>
          <w:spacing w:val="2"/>
          <w:highlight w:val="none"/>
        </w:rPr>
        <w:t>月</w:t>
      </w:r>
      <w:r>
        <w:rPr>
          <w:rFonts w:ascii="宋体" w:hAnsi="宋体" w:eastAsia="宋体"/>
          <w:color w:val="auto"/>
          <w:spacing w:val="2"/>
          <w:highlight w:val="none"/>
          <w:u w:val="single"/>
        </w:rPr>
        <w:t xml:space="preserve">       </w:t>
      </w:r>
      <w:r>
        <w:rPr>
          <w:rFonts w:ascii="宋体" w:hAnsi="宋体" w:eastAsia="宋体"/>
          <w:color w:val="auto"/>
          <w:spacing w:val="2"/>
          <w:highlight w:val="none"/>
        </w:rPr>
        <w:t>日</w:t>
      </w:r>
    </w:p>
    <w:p w14:paraId="1A2D83E0">
      <w:pPr>
        <w:rPr>
          <w:color w:val="auto"/>
          <w:highlight w:val="none"/>
        </w:rPr>
        <w:sectPr>
          <w:footerReference r:id="rId10" w:type="default"/>
          <w:pgSz w:w="12240" w:h="15840"/>
          <w:pgMar w:top="1346" w:right="1800" w:bottom="1104" w:left="1800" w:header="0" w:footer="940" w:gutter="0"/>
          <w:cols w:space="720" w:num="1"/>
        </w:sectPr>
      </w:pPr>
    </w:p>
    <w:p w14:paraId="7BE6D389">
      <w:pPr>
        <w:spacing w:line="352" w:lineRule="auto"/>
        <w:rPr>
          <w:color w:val="auto"/>
          <w:highlight w:val="none"/>
        </w:rPr>
      </w:pPr>
    </w:p>
    <w:p w14:paraId="046E6DFF">
      <w:pPr>
        <w:pStyle w:val="26"/>
        <w:spacing w:before="120" w:after="120"/>
        <w:outlineLvl w:val="9"/>
        <w:rPr>
          <w:rFonts w:hint="eastAsia" w:ascii="黑体" w:hAnsi="黑体" w:eastAsia="黑体"/>
          <w:color w:val="auto"/>
          <w:spacing w:val="10"/>
          <w:sz w:val="27"/>
          <w:szCs w:val="27"/>
          <w:highlight w:val="none"/>
        </w:rPr>
      </w:pPr>
      <w:bookmarkStart w:id="299" w:name="_Toc24841"/>
      <w:bookmarkStart w:id="300" w:name="_Toc18312"/>
      <w:r>
        <w:rPr>
          <w:rFonts w:ascii="黑体" w:hAnsi="黑体" w:eastAsia="黑体"/>
          <w:color w:val="auto"/>
          <w:spacing w:val="10"/>
          <w:sz w:val="27"/>
          <w:szCs w:val="27"/>
          <w:highlight w:val="none"/>
        </w:rPr>
        <w:t>附</w:t>
      </w:r>
      <w:r>
        <w:rPr>
          <w:rFonts w:ascii="黑体" w:hAnsi="黑体" w:eastAsia="黑体"/>
          <w:color w:val="auto"/>
          <w:spacing w:val="7"/>
          <w:sz w:val="27"/>
          <w:szCs w:val="27"/>
          <w:highlight w:val="none"/>
        </w:rPr>
        <w:t>件</w:t>
      </w:r>
      <w:r>
        <w:rPr>
          <w:rFonts w:hint="eastAsia" w:ascii="黑体" w:hAnsi="黑体" w:eastAsia="黑体"/>
          <w:color w:val="auto"/>
          <w:spacing w:val="7"/>
          <w:sz w:val="27"/>
          <w:szCs w:val="27"/>
          <w:highlight w:val="none"/>
        </w:rPr>
        <w:t>二</w:t>
      </w:r>
      <w:r>
        <w:rPr>
          <w:rFonts w:ascii="黑体" w:hAnsi="黑体" w:eastAsia="黑体"/>
          <w:color w:val="auto"/>
          <w:spacing w:val="7"/>
          <w:sz w:val="27"/>
          <w:szCs w:val="27"/>
          <w:highlight w:val="none"/>
        </w:rPr>
        <w:t>：问题的澄清</w:t>
      </w:r>
      <w:bookmarkEnd w:id="299"/>
      <w:bookmarkEnd w:id="300"/>
    </w:p>
    <w:p w14:paraId="6D4F8D8D">
      <w:pPr>
        <w:spacing w:line="297" w:lineRule="auto"/>
        <w:rPr>
          <w:color w:val="auto"/>
          <w:highlight w:val="none"/>
        </w:rPr>
      </w:pPr>
    </w:p>
    <w:p w14:paraId="2E4AF850">
      <w:pPr>
        <w:spacing w:line="298" w:lineRule="auto"/>
        <w:rPr>
          <w:color w:val="auto"/>
          <w:highlight w:val="none"/>
        </w:rPr>
      </w:pPr>
    </w:p>
    <w:p w14:paraId="542F565D">
      <w:pPr>
        <w:spacing w:line="298" w:lineRule="auto"/>
        <w:rPr>
          <w:color w:val="auto"/>
          <w:highlight w:val="none"/>
        </w:rPr>
      </w:pPr>
    </w:p>
    <w:p w14:paraId="30DF54EF">
      <w:pPr>
        <w:spacing w:before="87" w:line="229" w:lineRule="auto"/>
        <w:ind w:left="3639"/>
        <w:rPr>
          <w:rFonts w:hint="eastAsia" w:ascii="黑体" w:hAnsi="黑体" w:eastAsia="黑体"/>
          <w:color w:val="auto"/>
          <w:spacing w:val="5"/>
          <w:sz w:val="27"/>
          <w:szCs w:val="27"/>
          <w:highlight w:val="none"/>
        </w:rPr>
      </w:pPr>
      <w:r>
        <w:rPr>
          <w:rFonts w:ascii="黑体" w:hAnsi="黑体" w:eastAsia="黑体"/>
          <w:color w:val="auto"/>
          <w:spacing w:val="5"/>
          <w:sz w:val="27"/>
          <w:szCs w:val="27"/>
          <w:highlight w:val="none"/>
        </w:rPr>
        <w:t>问题的澄</w:t>
      </w:r>
      <w:r>
        <w:rPr>
          <w:rFonts w:ascii="黑体" w:hAnsi="黑体" w:eastAsia="黑体"/>
          <w:color w:val="auto"/>
          <w:spacing w:val="4"/>
          <w:sz w:val="27"/>
          <w:szCs w:val="27"/>
          <w:highlight w:val="none"/>
        </w:rPr>
        <w:t>清</w:t>
      </w:r>
    </w:p>
    <w:p w14:paraId="26347B5F">
      <w:pPr>
        <w:spacing w:before="123" w:line="220" w:lineRule="auto"/>
        <w:ind w:left="3470"/>
        <w:rPr>
          <w:rFonts w:hint="eastAsia" w:ascii="宋体" w:hAnsi="宋体" w:eastAsia="宋体"/>
          <w:color w:val="auto"/>
          <w:spacing w:val="-1"/>
          <w:highlight w:val="none"/>
        </w:rPr>
      </w:pPr>
      <w:r>
        <w:rPr>
          <w:rFonts w:ascii="宋体" w:hAnsi="宋体" w:eastAsia="宋体"/>
          <w:color w:val="auto"/>
          <w:spacing w:val="-1"/>
          <w:highlight w:val="none"/>
        </w:rPr>
        <w:t>(编号：</w:t>
      </w:r>
      <w:r>
        <w:rPr>
          <w:rFonts w:ascii="宋体" w:hAnsi="宋体" w:eastAsia="宋体"/>
          <w:color w:val="auto"/>
          <w:spacing w:val="-1"/>
          <w:highlight w:val="none"/>
          <w:u w:val="single"/>
        </w:rPr>
        <w:t xml:space="preserve">              </w:t>
      </w:r>
      <w:r>
        <w:rPr>
          <w:rFonts w:ascii="宋体" w:hAnsi="宋体" w:eastAsia="宋体"/>
          <w:color w:val="auto"/>
          <w:highlight w:val="none"/>
          <w:u w:val="single"/>
        </w:rPr>
        <w:t xml:space="preserve">  </w:t>
      </w:r>
      <w:r>
        <w:rPr>
          <w:rFonts w:ascii="宋体" w:hAnsi="宋体" w:eastAsia="宋体"/>
          <w:color w:val="auto"/>
          <w:highlight w:val="none"/>
        </w:rPr>
        <w:t>)</w:t>
      </w:r>
    </w:p>
    <w:p w14:paraId="2FC0C543">
      <w:pPr>
        <w:spacing w:line="255" w:lineRule="auto"/>
        <w:rPr>
          <w:color w:val="auto"/>
          <w:highlight w:val="none"/>
        </w:rPr>
      </w:pPr>
    </w:p>
    <w:p w14:paraId="7007F3F7">
      <w:pPr>
        <w:spacing w:line="255" w:lineRule="auto"/>
        <w:rPr>
          <w:color w:val="auto"/>
          <w:highlight w:val="none"/>
        </w:rPr>
      </w:pPr>
    </w:p>
    <w:p w14:paraId="4344E39C">
      <w:pPr>
        <w:spacing w:before="68" w:line="217" w:lineRule="auto"/>
        <w:rPr>
          <w:rFonts w:hint="eastAsia" w:ascii="宋体" w:hAnsi="宋体" w:eastAsia="宋体"/>
          <w:color w:val="auto"/>
          <w:spacing w:val="-12"/>
          <w:highlight w:val="none"/>
        </w:rPr>
      </w:pPr>
      <w:r>
        <w:rPr>
          <w:rFonts w:ascii="宋体" w:hAnsi="宋体" w:eastAsia="宋体"/>
          <w:color w:val="auto"/>
          <w:spacing w:val="-12"/>
          <w:highlight w:val="none"/>
        </w:rPr>
        <w:t>评</w:t>
      </w:r>
      <w:r>
        <w:rPr>
          <w:rFonts w:ascii="宋体" w:hAnsi="宋体" w:eastAsia="宋体"/>
          <w:color w:val="auto"/>
          <w:spacing w:val="-7"/>
          <w:highlight w:val="none"/>
        </w:rPr>
        <w:t>标委员会：</w:t>
      </w:r>
    </w:p>
    <w:p w14:paraId="7707452A">
      <w:pPr>
        <w:spacing w:line="280" w:lineRule="auto"/>
        <w:rPr>
          <w:color w:val="auto"/>
          <w:highlight w:val="none"/>
        </w:rPr>
      </w:pPr>
    </w:p>
    <w:p w14:paraId="6A3954C7">
      <w:pPr>
        <w:spacing w:line="281" w:lineRule="auto"/>
        <w:rPr>
          <w:color w:val="auto"/>
          <w:highlight w:val="none"/>
        </w:rPr>
      </w:pPr>
    </w:p>
    <w:p w14:paraId="67FCD9CF">
      <w:pPr>
        <w:spacing w:before="69" w:line="220" w:lineRule="auto"/>
        <w:ind w:left="444"/>
        <w:rPr>
          <w:rFonts w:hint="eastAsia" w:ascii="宋体" w:hAnsi="宋体" w:eastAsia="宋体"/>
          <w:color w:val="auto"/>
          <w:spacing w:val="1"/>
          <w:highlight w:val="none"/>
        </w:rPr>
      </w:pPr>
      <w:r>
        <w:rPr>
          <w:rFonts w:ascii="宋体" w:hAnsi="宋体" w:eastAsia="宋体"/>
          <w:color w:val="auto"/>
          <w:spacing w:val="1"/>
          <w:highlight w:val="none"/>
        </w:rPr>
        <w:t>问题澄清通知(编号：</w:t>
      </w:r>
      <w:r>
        <w:rPr>
          <w:rFonts w:ascii="宋体" w:hAnsi="宋体" w:eastAsia="宋体"/>
          <w:color w:val="auto"/>
          <w:spacing w:val="1"/>
          <w:highlight w:val="none"/>
          <w:u w:val="single"/>
        </w:rPr>
        <w:t xml:space="preserve">         </w:t>
      </w:r>
      <w:r>
        <w:rPr>
          <w:rFonts w:ascii="宋体" w:hAnsi="宋体" w:eastAsia="宋体"/>
          <w:color w:val="auto"/>
          <w:spacing w:val="1"/>
          <w:highlight w:val="none"/>
        </w:rPr>
        <w:t>)已收悉，</w:t>
      </w:r>
      <w:r>
        <w:rPr>
          <w:rFonts w:ascii="宋体" w:hAnsi="宋体" w:eastAsia="宋体"/>
          <w:color w:val="auto"/>
          <w:highlight w:val="none"/>
        </w:rPr>
        <w:t>现澄清、说明或补正如下：</w:t>
      </w:r>
    </w:p>
    <w:p w14:paraId="09E96550">
      <w:pPr>
        <w:spacing w:before="228" w:line="439" w:lineRule="exact"/>
        <w:ind w:left="751"/>
        <w:rPr>
          <w:rFonts w:ascii="Times New Roman" w:hAnsi="Times New Roman" w:eastAsia="Times New Roman"/>
          <w:color w:val="auto"/>
          <w:spacing w:val="-8"/>
          <w:position w:val="21"/>
          <w:highlight w:val="none"/>
        </w:rPr>
      </w:pPr>
      <w:r>
        <w:rPr>
          <w:rFonts w:ascii="Times New Roman" w:hAnsi="Times New Roman" w:eastAsia="Times New Roman"/>
          <w:color w:val="auto"/>
          <w:spacing w:val="-8"/>
          <w:position w:val="21"/>
          <w:highlight w:val="none"/>
        </w:rPr>
        <w:t>1.</w:t>
      </w:r>
    </w:p>
    <w:p w14:paraId="126F3018">
      <w:pPr>
        <w:spacing w:line="186" w:lineRule="auto"/>
        <w:ind w:left="731"/>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2</w:t>
      </w:r>
      <w:r>
        <w:rPr>
          <w:rFonts w:ascii="Times New Roman" w:hAnsi="Times New Roman" w:eastAsia="Times New Roman"/>
          <w:color w:val="auto"/>
          <w:spacing w:val="-1"/>
          <w:highlight w:val="none"/>
        </w:rPr>
        <w:t>.</w:t>
      </w:r>
    </w:p>
    <w:p w14:paraId="0D77C265">
      <w:pPr>
        <w:spacing w:line="312" w:lineRule="auto"/>
        <w:rPr>
          <w:color w:val="auto"/>
          <w:highlight w:val="none"/>
        </w:rPr>
      </w:pPr>
    </w:p>
    <w:p w14:paraId="3EC62217">
      <w:pPr>
        <w:spacing w:before="61" w:line="66" w:lineRule="exact"/>
        <w:ind w:left="637"/>
        <w:rPr>
          <w:rFonts w:ascii="Times New Roman" w:hAnsi="Times New Roman" w:eastAsia="Times New Roman"/>
          <w:color w:val="auto"/>
          <w:spacing w:val="-4"/>
          <w:position w:val="1"/>
          <w:highlight w:val="none"/>
        </w:rPr>
      </w:pPr>
      <w:r>
        <w:rPr>
          <w:rFonts w:ascii="Times New Roman" w:hAnsi="Times New Roman" w:eastAsia="Times New Roman"/>
          <w:color w:val="auto"/>
          <w:spacing w:val="-4"/>
          <w:position w:val="1"/>
          <w:highlight w:val="none"/>
        </w:rPr>
        <w:t>.</w:t>
      </w:r>
      <w:r>
        <w:rPr>
          <w:rFonts w:ascii="Times New Roman" w:hAnsi="Times New Roman" w:eastAsia="Times New Roman"/>
          <w:color w:val="auto"/>
          <w:spacing w:val="-3"/>
          <w:position w:val="1"/>
          <w:highlight w:val="none"/>
        </w:rPr>
        <w:t>.</w:t>
      </w:r>
      <w:r>
        <w:rPr>
          <w:rFonts w:ascii="Times New Roman" w:hAnsi="Times New Roman" w:eastAsia="Times New Roman"/>
          <w:color w:val="auto"/>
          <w:spacing w:val="-2"/>
          <w:position w:val="1"/>
          <w:highlight w:val="none"/>
        </w:rPr>
        <w:t>...</w:t>
      </w:r>
    </w:p>
    <w:p w14:paraId="423BBF6B">
      <w:pPr>
        <w:spacing w:line="242" w:lineRule="auto"/>
        <w:rPr>
          <w:color w:val="auto"/>
          <w:highlight w:val="none"/>
        </w:rPr>
      </w:pPr>
    </w:p>
    <w:p w14:paraId="40050438">
      <w:pPr>
        <w:spacing w:line="242" w:lineRule="auto"/>
        <w:rPr>
          <w:color w:val="auto"/>
          <w:highlight w:val="none"/>
        </w:rPr>
      </w:pPr>
    </w:p>
    <w:p w14:paraId="4EEC13C9">
      <w:pPr>
        <w:spacing w:line="243" w:lineRule="auto"/>
        <w:rPr>
          <w:color w:val="auto"/>
          <w:highlight w:val="none"/>
        </w:rPr>
      </w:pPr>
    </w:p>
    <w:p w14:paraId="03F64849">
      <w:pPr>
        <w:spacing w:line="243" w:lineRule="auto"/>
        <w:rPr>
          <w:color w:val="auto"/>
          <w:highlight w:val="none"/>
        </w:rPr>
      </w:pPr>
    </w:p>
    <w:p w14:paraId="14B042C3">
      <w:pPr>
        <w:spacing w:line="243" w:lineRule="auto"/>
        <w:rPr>
          <w:color w:val="auto"/>
          <w:highlight w:val="none"/>
        </w:rPr>
      </w:pPr>
    </w:p>
    <w:p w14:paraId="3C2B545D">
      <w:pPr>
        <w:spacing w:line="243" w:lineRule="auto"/>
        <w:rPr>
          <w:color w:val="auto"/>
          <w:highlight w:val="none"/>
        </w:rPr>
      </w:pPr>
    </w:p>
    <w:p w14:paraId="44B53B80">
      <w:pPr>
        <w:spacing w:before="68" w:line="394" w:lineRule="auto"/>
        <w:ind w:left="2" w:right="6" w:firstLine="420"/>
        <w:rPr>
          <w:rFonts w:hint="eastAsia" w:ascii="宋体" w:hAnsi="宋体" w:eastAsia="宋体"/>
          <w:color w:val="auto"/>
          <w:spacing w:val="1"/>
          <w:highlight w:val="none"/>
        </w:rPr>
      </w:pPr>
      <w:r>
        <w:rPr>
          <w:rFonts w:ascii="宋体" w:hAnsi="宋体" w:eastAsia="宋体"/>
          <w:color w:val="auto"/>
          <w:spacing w:val="1"/>
          <w:highlight w:val="none"/>
        </w:rPr>
        <w:t>上述问题澄清、说明或补正，不</w:t>
      </w:r>
      <w:r>
        <w:rPr>
          <w:rFonts w:ascii="宋体" w:hAnsi="宋体" w:eastAsia="宋体"/>
          <w:color w:val="auto"/>
          <w:highlight w:val="none"/>
        </w:rPr>
        <w:t xml:space="preserve">改变我方投标文件的实质性内容，构成我方投标文件的组 </w:t>
      </w:r>
      <w:r>
        <w:rPr>
          <w:rFonts w:ascii="宋体" w:hAnsi="宋体" w:eastAsia="宋体"/>
          <w:color w:val="auto"/>
          <w:spacing w:val="-9"/>
          <w:highlight w:val="none"/>
        </w:rPr>
        <w:t>成</w:t>
      </w:r>
      <w:r>
        <w:rPr>
          <w:rFonts w:ascii="宋体" w:hAnsi="宋体" w:eastAsia="宋体"/>
          <w:color w:val="auto"/>
          <w:spacing w:val="-7"/>
          <w:highlight w:val="none"/>
        </w:rPr>
        <w:t>部分。</w:t>
      </w:r>
    </w:p>
    <w:p w14:paraId="7E4FA012">
      <w:pPr>
        <w:spacing w:line="325" w:lineRule="auto"/>
        <w:rPr>
          <w:color w:val="auto"/>
          <w:highlight w:val="none"/>
        </w:rPr>
      </w:pPr>
    </w:p>
    <w:p w14:paraId="6C1E1CCA">
      <w:pPr>
        <w:spacing w:line="325" w:lineRule="auto"/>
        <w:rPr>
          <w:color w:val="auto"/>
          <w:highlight w:val="none"/>
        </w:rPr>
      </w:pPr>
    </w:p>
    <w:p w14:paraId="07CE11CD">
      <w:pPr>
        <w:spacing w:before="69" w:line="220" w:lineRule="auto"/>
        <w:ind w:right="110"/>
        <w:jc w:val="right"/>
        <w:rPr>
          <w:rFonts w:hint="eastAsia" w:ascii="宋体" w:hAnsi="宋体" w:eastAsia="宋体"/>
          <w:color w:val="auto"/>
          <w:spacing w:val="-4"/>
          <w:highlight w:val="none"/>
        </w:rPr>
      </w:pPr>
      <w:r>
        <w:rPr>
          <w:rFonts w:ascii="宋体" w:hAnsi="宋体" w:eastAsia="宋体"/>
          <w:color w:val="auto"/>
          <w:spacing w:val="-4"/>
          <w:highlight w:val="none"/>
        </w:rPr>
        <w:t>投</w:t>
      </w:r>
      <w:r>
        <w:rPr>
          <w:rFonts w:ascii="宋体" w:hAnsi="宋体" w:eastAsia="宋体"/>
          <w:color w:val="auto"/>
          <w:spacing w:val="-2"/>
          <w:highlight w:val="none"/>
        </w:rPr>
        <w:t>标人：</w:t>
      </w:r>
      <w:r>
        <w:rPr>
          <w:rFonts w:ascii="宋体" w:hAnsi="宋体" w:eastAsia="宋体"/>
          <w:color w:val="auto"/>
          <w:spacing w:val="-2"/>
          <w:highlight w:val="none"/>
          <w:u w:val="single"/>
        </w:rPr>
        <w:t xml:space="preserve">                                   </w:t>
      </w:r>
      <w:r>
        <w:rPr>
          <w:rFonts w:ascii="宋体" w:hAnsi="宋体" w:eastAsia="宋体"/>
          <w:color w:val="auto"/>
          <w:spacing w:val="-2"/>
          <w:highlight w:val="none"/>
        </w:rPr>
        <w:t>(盖单位章)</w:t>
      </w:r>
    </w:p>
    <w:p w14:paraId="55EDFF73">
      <w:pPr>
        <w:spacing w:before="295" w:line="217" w:lineRule="auto"/>
        <w:ind w:left="2941"/>
        <w:rPr>
          <w:rFonts w:hint="eastAsia" w:ascii="宋体" w:hAnsi="宋体" w:eastAsia="宋体"/>
          <w:color w:val="auto"/>
          <w:spacing w:val="-8"/>
          <w:highlight w:val="none"/>
        </w:rPr>
      </w:pPr>
      <w:r>
        <w:rPr>
          <w:rFonts w:ascii="宋体" w:hAnsi="宋体" w:eastAsia="宋体"/>
          <w:color w:val="auto"/>
          <w:spacing w:val="-8"/>
          <w:highlight w:val="none"/>
        </w:rPr>
        <w:t>法定代表</w:t>
      </w:r>
      <w:r>
        <w:rPr>
          <w:rFonts w:ascii="宋体" w:hAnsi="宋体" w:eastAsia="宋体"/>
          <w:color w:val="auto"/>
          <w:spacing w:val="-4"/>
          <w:highlight w:val="none"/>
        </w:rPr>
        <w:t>人或其委托代理人：</w:t>
      </w:r>
      <w:r>
        <w:rPr>
          <w:rFonts w:ascii="宋体" w:hAnsi="宋体" w:eastAsia="宋体"/>
          <w:color w:val="auto"/>
          <w:spacing w:val="-4"/>
          <w:highlight w:val="none"/>
          <w:u w:val="single"/>
        </w:rPr>
        <w:t xml:space="preserve">          </w:t>
      </w:r>
      <w:r>
        <w:rPr>
          <w:rFonts w:ascii="宋体" w:hAnsi="宋体" w:eastAsia="宋体"/>
          <w:color w:val="auto"/>
          <w:spacing w:val="-4"/>
          <w:highlight w:val="none"/>
        </w:rPr>
        <w:t>(签字)</w:t>
      </w:r>
    </w:p>
    <w:p w14:paraId="50B8043B">
      <w:pPr>
        <w:spacing w:line="268" w:lineRule="auto"/>
        <w:rPr>
          <w:color w:val="auto"/>
          <w:highlight w:val="none"/>
        </w:rPr>
      </w:pPr>
    </w:p>
    <w:p w14:paraId="3BE1EF29">
      <w:pPr>
        <w:spacing w:line="268" w:lineRule="auto"/>
        <w:rPr>
          <w:color w:val="auto"/>
          <w:highlight w:val="none"/>
        </w:rPr>
      </w:pPr>
    </w:p>
    <w:p w14:paraId="2E3F1629">
      <w:pPr>
        <w:spacing w:line="269" w:lineRule="auto"/>
        <w:rPr>
          <w:color w:val="auto"/>
          <w:highlight w:val="none"/>
        </w:rPr>
      </w:pPr>
    </w:p>
    <w:p w14:paraId="7A5AA4E0">
      <w:pPr>
        <w:tabs>
          <w:tab w:val="left" w:pos="6330"/>
        </w:tabs>
        <w:spacing w:before="68" w:line="220" w:lineRule="auto"/>
        <w:ind w:left="5482"/>
        <w:rPr>
          <w:rFonts w:hint="eastAsia" w:ascii="宋体" w:hAnsi="宋体" w:eastAsia="宋体"/>
          <w:color w:val="auto"/>
          <w:highlight w:val="none"/>
          <w:u w:val="single"/>
        </w:rPr>
      </w:pPr>
      <w:r>
        <w:rPr>
          <w:rFonts w:ascii="宋体" w:hAnsi="宋体" w:eastAsia="宋体"/>
          <w:color w:val="auto"/>
          <w:highlight w:val="none"/>
          <w:u w:val="single"/>
        </w:rPr>
        <w:tab/>
      </w:r>
      <w:r>
        <w:rPr>
          <w:rFonts w:ascii="宋体" w:hAnsi="宋体" w:eastAsia="宋体"/>
          <w:color w:val="auto"/>
          <w:spacing w:val="-1"/>
          <w:highlight w:val="none"/>
        </w:rPr>
        <w:t>年</w:t>
      </w:r>
      <w:r>
        <w:rPr>
          <w:rFonts w:ascii="宋体" w:hAnsi="宋体" w:eastAsia="宋体"/>
          <w:color w:val="auto"/>
          <w:spacing w:val="-1"/>
          <w:highlight w:val="none"/>
          <w:u w:val="single"/>
        </w:rPr>
        <w:t xml:space="preserve">        </w:t>
      </w:r>
      <w:r>
        <w:rPr>
          <w:rFonts w:ascii="宋体" w:hAnsi="宋体" w:eastAsia="宋体"/>
          <w:color w:val="auto"/>
          <w:highlight w:val="none"/>
        </w:rPr>
        <w:t>月</w:t>
      </w:r>
      <w:r>
        <w:rPr>
          <w:rFonts w:ascii="宋体" w:hAnsi="宋体" w:eastAsia="宋体"/>
          <w:color w:val="auto"/>
          <w:highlight w:val="none"/>
          <w:u w:val="single"/>
        </w:rPr>
        <w:t xml:space="preserve">        </w:t>
      </w:r>
      <w:r>
        <w:rPr>
          <w:rFonts w:ascii="宋体" w:hAnsi="宋体" w:eastAsia="宋体"/>
          <w:color w:val="auto"/>
          <w:highlight w:val="none"/>
        </w:rPr>
        <w:t>日</w:t>
      </w:r>
    </w:p>
    <w:p w14:paraId="56A223EB">
      <w:pPr>
        <w:rPr>
          <w:color w:val="auto"/>
          <w:highlight w:val="none"/>
        </w:rPr>
        <w:sectPr>
          <w:footerReference r:id="rId11" w:type="default"/>
          <w:pgSz w:w="12240" w:h="15840"/>
          <w:pgMar w:top="1346" w:right="1800" w:bottom="1104" w:left="1807" w:header="0" w:footer="940" w:gutter="0"/>
          <w:cols w:space="720" w:num="1"/>
        </w:sectPr>
      </w:pPr>
    </w:p>
    <w:p w14:paraId="220378E9">
      <w:pPr>
        <w:pStyle w:val="25"/>
        <w:rPr>
          <w:rFonts w:hint="eastAsia" w:ascii="宋体" w:hAnsi="宋体"/>
          <w:color w:val="auto"/>
          <w:spacing w:val="30"/>
          <w:sz w:val="43"/>
          <w:szCs w:val="43"/>
          <w:highlight w:val="none"/>
        </w:rPr>
      </w:pPr>
      <w:bookmarkStart w:id="301" w:name="_Toc183207163"/>
      <w:r>
        <w:rPr>
          <w:rFonts w:ascii="宋体" w:hAnsi="宋体"/>
          <w:color w:val="auto"/>
          <w:spacing w:val="30"/>
          <w:sz w:val="43"/>
          <w:szCs w:val="43"/>
          <w:highlight w:val="none"/>
        </w:rPr>
        <w:t>第</w:t>
      </w:r>
      <w:r>
        <w:rPr>
          <w:rFonts w:ascii="宋体" w:hAnsi="宋体"/>
          <w:color w:val="auto"/>
          <w:spacing w:val="23"/>
          <w:sz w:val="43"/>
          <w:szCs w:val="43"/>
          <w:highlight w:val="none"/>
        </w:rPr>
        <w:t>三章评标办法(综合评估法)</w:t>
      </w:r>
      <w:bookmarkEnd w:id="301"/>
    </w:p>
    <w:p w14:paraId="326770FA">
      <w:pPr>
        <w:jc w:val="center"/>
        <w:rPr>
          <w:rFonts w:ascii="宋体" w:hAnsi="宋体"/>
          <w:color w:val="auto"/>
          <w:spacing w:val="23"/>
          <w:sz w:val="43"/>
          <w:szCs w:val="43"/>
          <w:highlight w:val="none"/>
        </w:rPr>
      </w:pPr>
      <w:r>
        <w:rPr>
          <w:rFonts w:hint="eastAsia" w:ascii="宋体" w:hAnsi="宋体"/>
          <w:color w:val="auto"/>
          <w:spacing w:val="23"/>
          <w:sz w:val="43"/>
          <w:szCs w:val="43"/>
          <w:highlight w:val="none"/>
        </w:rPr>
        <w:t>（暗标形式）</w:t>
      </w:r>
    </w:p>
    <w:p w14:paraId="073F8103">
      <w:pPr>
        <w:spacing w:line="263" w:lineRule="auto"/>
        <w:rPr>
          <w:color w:val="auto"/>
          <w:highlight w:val="none"/>
        </w:rPr>
      </w:pPr>
    </w:p>
    <w:p w14:paraId="250E6546">
      <w:pPr>
        <w:spacing w:line="263" w:lineRule="auto"/>
        <w:rPr>
          <w:color w:val="auto"/>
          <w:highlight w:val="none"/>
        </w:rPr>
      </w:pPr>
    </w:p>
    <w:p w14:paraId="407B5653">
      <w:pPr>
        <w:spacing w:before="101" w:line="227" w:lineRule="auto"/>
        <w:ind w:left="121"/>
        <w:rPr>
          <w:rFonts w:hint="eastAsia" w:ascii="黑体" w:hAnsi="黑体" w:eastAsia="黑体"/>
          <w:color w:val="auto"/>
          <w:spacing w:val="13"/>
          <w:sz w:val="31"/>
          <w:szCs w:val="31"/>
          <w:highlight w:val="none"/>
        </w:rPr>
      </w:pPr>
      <w:r>
        <w:rPr>
          <w:rFonts w:ascii="黑体" w:hAnsi="黑体" w:eastAsia="黑体"/>
          <w:color w:val="auto"/>
          <w:spacing w:val="13"/>
          <w:sz w:val="31"/>
          <w:szCs w:val="31"/>
          <w:highlight w:val="none"/>
        </w:rPr>
        <w:t>评</w:t>
      </w:r>
      <w:r>
        <w:rPr>
          <w:rFonts w:ascii="黑体" w:hAnsi="黑体" w:eastAsia="黑体"/>
          <w:color w:val="auto"/>
          <w:spacing w:val="9"/>
          <w:sz w:val="31"/>
          <w:szCs w:val="31"/>
          <w:highlight w:val="none"/>
        </w:rPr>
        <w:t>标办法前附表</w:t>
      </w:r>
    </w:p>
    <w:p w14:paraId="2DC60489">
      <w:pPr>
        <w:rPr>
          <w:color w:val="auto"/>
          <w:highlight w:val="none"/>
        </w:rPr>
      </w:pPr>
    </w:p>
    <w:p w14:paraId="6E2BB17D">
      <w:pPr>
        <w:rPr>
          <w:color w:val="auto"/>
          <w:highlight w:val="none"/>
        </w:rPr>
      </w:pPr>
    </w:p>
    <w:p w14:paraId="5BA5FD4F">
      <w:pPr>
        <w:spacing w:line="62" w:lineRule="exact"/>
        <w:rPr>
          <w:color w:val="auto"/>
          <w:highlight w:val="none"/>
        </w:rPr>
      </w:pPr>
    </w:p>
    <w:tbl>
      <w:tblPr>
        <w:tblStyle w:val="19"/>
        <w:tblW w:w="94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124"/>
        <w:gridCol w:w="2035"/>
        <w:gridCol w:w="5367"/>
      </w:tblGrid>
      <w:tr w14:paraId="6992A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28" w:type="dxa"/>
            <w:gridSpan w:val="2"/>
          </w:tcPr>
          <w:p w14:paraId="41038A53">
            <w:pPr>
              <w:spacing w:before="174" w:line="220" w:lineRule="auto"/>
              <w:ind w:left="705"/>
              <w:rPr>
                <w:rFonts w:hint="eastAsia" w:ascii="宋体" w:hAnsi="宋体" w:eastAsia="宋体"/>
                <w:color w:val="auto"/>
                <w:spacing w:val="-3"/>
                <w:highlight w:val="none"/>
              </w:rPr>
            </w:pPr>
            <w:r>
              <w:rPr>
                <w:rFonts w:ascii="宋体" w:hAnsi="宋体" w:eastAsia="宋体"/>
                <w:color w:val="auto"/>
                <w:spacing w:val="-3"/>
                <w:highlight w:val="none"/>
              </w:rPr>
              <w:t>条款号</w:t>
            </w:r>
          </w:p>
        </w:tc>
        <w:tc>
          <w:tcPr>
            <w:tcW w:w="2035" w:type="dxa"/>
          </w:tcPr>
          <w:p w14:paraId="01B9F5DF">
            <w:pPr>
              <w:spacing w:before="174" w:line="220" w:lineRule="auto"/>
              <w:ind w:left="820"/>
              <w:rPr>
                <w:rFonts w:hint="eastAsia" w:ascii="宋体" w:hAnsi="宋体" w:eastAsia="宋体"/>
                <w:color w:val="auto"/>
                <w:spacing w:val="-2"/>
                <w:highlight w:val="none"/>
              </w:rPr>
            </w:pPr>
            <w:r>
              <w:rPr>
                <w:rFonts w:ascii="宋体" w:hAnsi="宋体" w:eastAsia="宋体"/>
                <w:color w:val="auto"/>
                <w:spacing w:val="-2"/>
                <w:highlight w:val="none"/>
              </w:rPr>
              <w:t>评</w:t>
            </w:r>
            <w:r>
              <w:rPr>
                <w:rFonts w:ascii="宋体" w:hAnsi="宋体" w:eastAsia="宋体"/>
                <w:color w:val="auto"/>
                <w:spacing w:val="-1"/>
                <w:highlight w:val="none"/>
              </w:rPr>
              <w:t>审因素</w:t>
            </w:r>
          </w:p>
        </w:tc>
        <w:tc>
          <w:tcPr>
            <w:tcW w:w="5367" w:type="dxa"/>
          </w:tcPr>
          <w:p w14:paraId="46346AE4">
            <w:pPr>
              <w:spacing w:before="174" w:line="221" w:lineRule="auto"/>
              <w:ind w:left="1925"/>
              <w:rPr>
                <w:rFonts w:hint="eastAsia" w:ascii="宋体" w:hAnsi="宋体" w:eastAsia="宋体"/>
                <w:color w:val="auto"/>
                <w:spacing w:val="-2"/>
                <w:highlight w:val="none"/>
              </w:rPr>
            </w:pPr>
            <w:r>
              <w:rPr>
                <w:rFonts w:ascii="宋体" w:hAnsi="宋体" w:eastAsia="宋体"/>
                <w:color w:val="auto"/>
                <w:spacing w:val="-2"/>
                <w:highlight w:val="none"/>
              </w:rPr>
              <w:t>评审标</w:t>
            </w:r>
            <w:r>
              <w:rPr>
                <w:rFonts w:ascii="宋体" w:hAnsi="宋体" w:eastAsia="宋体"/>
                <w:color w:val="auto"/>
                <w:spacing w:val="-1"/>
                <w:highlight w:val="none"/>
              </w:rPr>
              <w:t>准</w:t>
            </w:r>
          </w:p>
        </w:tc>
      </w:tr>
      <w:tr w14:paraId="41017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904" w:type="dxa"/>
            <w:vAlign w:val="center"/>
          </w:tcPr>
          <w:p w14:paraId="7672F248">
            <w:pPr>
              <w:spacing w:before="241"/>
              <w:jc w:val="center"/>
              <w:rPr>
                <w:rFonts w:ascii="Times New Roman" w:hAnsi="Times New Roman" w:eastAsia="Times New Roman"/>
                <w:color w:val="auto"/>
                <w:highlight w:val="none"/>
              </w:rPr>
            </w:pPr>
            <w:r>
              <w:rPr>
                <w:rFonts w:ascii="Times New Roman" w:hAnsi="Times New Roman" w:eastAsia="Times New Roman"/>
                <w:color w:val="auto"/>
                <w:highlight w:val="none"/>
              </w:rPr>
              <w:t>1</w:t>
            </w:r>
          </w:p>
        </w:tc>
        <w:tc>
          <w:tcPr>
            <w:tcW w:w="1124" w:type="dxa"/>
            <w:vAlign w:val="center"/>
          </w:tcPr>
          <w:p w14:paraId="16206F64">
            <w:pPr>
              <w:spacing w:before="202"/>
              <w:jc w:val="center"/>
              <w:rPr>
                <w:rFonts w:hint="eastAsia" w:ascii="宋体" w:hAnsi="宋体" w:eastAsia="宋体"/>
                <w:color w:val="auto"/>
                <w:spacing w:val="-2"/>
                <w:highlight w:val="none"/>
              </w:rPr>
            </w:pPr>
            <w:r>
              <w:rPr>
                <w:rFonts w:ascii="宋体" w:hAnsi="宋体" w:eastAsia="宋体"/>
                <w:color w:val="auto"/>
                <w:spacing w:val="-2"/>
                <w:highlight w:val="none"/>
              </w:rPr>
              <w:t>评标</w:t>
            </w:r>
            <w:r>
              <w:rPr>
                <w:rFonts w:ascii="宋体" w:hAnsi="宋体" w:eastAsia="宋体"/>
                <w:color w:val="auto"/>
                <w:spacing w:val="-1"/>
                <w:highlight w:val="none"/>
              </w:rPr>
              <w:t>方法</w:t>
            </w:r>
          </w:p>
        </w:tc>
        <w:tc>
          <w:tcPr>
            <w:tcW w:w="2035" w:type="dxa"/>
            <w:vAlign w:val="center"/>
          </w:tcPr>
          <w:p w14:paraId="0650A93F">
            <w:pPr>
              <w:jc w:val="center"/>
              <w:rPr>
                <w:rFonts w:hint="eastAsia" w:ascii="宋体" w:hAnsi="宋体" w:eastAsia="宋体"/>
                <w:color w:val="auto"/>
                <w:spacing w:val="-4"/>
                <w:highlight w:val="none"/>
              </w:rPr>
            </w:pPr>
            <w:r>
              <w:rPr>
                <w:rFonts w:ascii="宋体" w:hAnsi="宋体" w:eastAsia="宋体"/>
                <w:color w:val="auto"/>
                <w:spacing w:val="-4"/>
                <w:highlight w:val="none"/>
              </w:rPr>
              <w:t>中标候</w:t>
            </w:r>
            <w:r>
              <w:rPr>
                <w:rFonts w:ascii="宋体" w:hAnsi="宋体" w:eastAsia="宋体"/>
                <w:color w:val="auto"/>
                <w:spacing w:val="-3"/>
                <w:highlight w:val="none"/>
              </w:rPr>
              <w:t>选</w:t>
            </w:r>
            <w:r>
              <w:rPr>
                <w:rFonts w:ascii="宋体" w:hAnsi="宋体" w:eastAsia="宋体"/>
                <w:color w:val="auto"/>
                <w:spacing w:val="-2"/>
                <w:highlight w:val="none"/>
              </w:rPr>
              <w:t>人排序方法</w:t>
            </w:r>
          </w:p>
        </w:tc>
        <w:tc>
          <w:tcPr>
            <w:tcW w:w="5367" w:type="dxa"/>
          </w:tcPr>
          <w:p w14:paraId="12A1510D">
            <w:pPr>
              <w:pStyle w:val="54"/>
              <w:kinsoku/>
              <w:topLinePunct/>
              <w:spacing w:line="240" w:lineRule="auto"/>
              <w:ind w:left="210" w:leftChars="100" w:right="210" w:rightChars="100" w:firstLine="0" w:firstLineChars="0"/>
              <w:rPr>
                <w:color w:val="auto"/>
                <w:sz w:val="21"/>
                <w:szCs w:val="21"/>
                <w:highlight w:val="none"/>
              </w:rPr>
            </w:pPr>
            <w:r>
              <w:rPr>
                <w:rFonts w:hint="eastAsia"/>
                <w:color w:val="auto"/>
                <w:sz w:val="21"/>
                <w:szCs w:val="21"/>
                <w:highlight w:val="none"/>
              </w:rPr>
              <w:t>将各综合得分由高到低顺序排列，综合得分最高的投标人为第一中标候选人，综合得分次高的投标人为第二中标候选人，以此类推。各标段中标候选人顺序确定方法如下：综合评分相等时，以投标报价低的优先；投标报价也相等的，以勘察设计方案得分高的优先；如果勘察设计方案得分也相等，评标委员会视投标人情况综合比较，投票确定其名次，以“少数服从多数”的原则</w:t>
            </w:r>
            <w:r>
              <w:rPr>
                <w:rFonts w:hint="eastAsia" w:ascii="宋体" w:hAnsi="宋体"/>
                <w:color w:val="auto"/>
                <w:sz w:val="21"/>
                <w:szCs w:val="21"/>
                <w:highlight w:val="none"/>
              </w:rPr>
              <w:t>确定中标候选人的排序。</w:t>
            </w:r>
          </w:p>
        </w:tc>
      </w:tr>
      <w:tr w14:paraId="756E5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04" w:type="dxa"/>
            <w:vMerge w:val="restart"/>
            <w:vAlign w:val="center"/>
          </w:tcPr>
          <w:p w14:paraId="2613753B">
            <w:pPr>
              <w:spacing w:before="241" w:line="186" w:lineRule="auto"/>
              <w:jc w:val="center"/>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2.1</w:t>
            </w:r>
            <w:r>
              <w:rPr>
                <w:rFonts w:ascii="Times New Roman" w:hAnsi="Times New Roman" w:eastAsia="Times New Roman"/>
                <w:color w:val="auto"/>
                <w:highlight w:val="none"/>
              </w:rPr>
              <w:t>.1</w:t>
            </w:r>
          </w:p>
        </w:tc>
        <w:tc>
          <w:tcPr>
            <w:tcW w:w="1124" w:type="dxa"/>
            <w:vMerge w:val="restart"/>
            <w:vAlign w:val="center"/>
          </w:tcPr>
          <w:p w14:paraId="2469F17F">
            <w:pPr>
              <w:spacing w:before="202" w:line="221" w:lineRule="auto"/>
              <w:jc w:val="center"/>
              <w:rPr>
                <w:rFonts w:hint="eastAsia" w:ascii="宋体" w:hAnsi="宋体" w:eastAsia="宋体"/>
                <w:color w:val="auto"/>
                <w:spacing w:val="-6"/>
                <w:highlight w:val="none"/>
              </w:rPr>
            </w:pPr>
            <w:r>
              <w:rPr>
                <w:rFonts w:ascii="宋体" w:hAnsi="宋体" w:eastAsia="宋体"/>
                <w:color w:val="auto"/>
                <w:spacing w:val="-6"/>
                <w:highlight w:val="none"/>
              </w:rPr>
              <w:t>资</w:t>
            </w:r>
            <w:r>
              <w:rPr>
                <w:rFonts w:ascii="宋体" w:hAnsi="宋体" w:eastAsia="宋体"/>
                <w:color w:val="auto"/>
                <w:spacing w:val="-4"/>
                <w:highlight w:val="none"/>
              </w:rPr>
              <w:t>格评审</w:t>
            </w:r>
            <w:r>
              <w:rPr>
                <w:rFonts w:ascii="宋体" w:hAnsi="宋体" w:eastAsia="宋体"/>
                <w:color w:val="auto"/>
                <w:highlight w:val="none"/>
              </w:rPr>
              <w:t xml:space="preserve"> </w:t>
            </w:r>
            <w:r>
              <w:rPr>
                <w:rFonts w:ascii="宋体" w:hAnsi="宋体" w:eastAsia="宋体"/>
                <w:color w:val="auto"/>
                <w:spacing w:val="-3"/>
                <w:highlight w:val="none"/>
              </w:rPr>
              <w:t>标</w:t>
            </w:r>
            <w:r>
              <w:rPr>
                <w:rFonts w:ascii="宋体" w:hAnsi="宋体" w:eastAsia="宋体"/>
                <w:color w:val="auto"/>
                <w:spacing w:val="-2"/>
                <w:highlight w:val="none"/>
              </w:rPr>
              <w:t>准</w:t>
            </w:r>
          </w:p>
        </w:tc>
        <w:tc>
          <w:tcPr>
            <w:tcW w:w="2035" w:type="dxa"/>
            <w:vAlign w:val="center"/>
          </w:tcPr>
          <w:p w14:paraId="1CA3A209">
            <w:pPr>
              <w:spacing w:line="223" w:lineRule="auto"/>
              <w:jc w:val="center"/>
              <w:rPr>
                <w:rFonts w:hint="eastAsia" w:ascii="宋体" w:hAnsi="宋体" w:eastAsia="宋体"/>
                <w:color w:val="auto"/>
                <w:spacing w:val="-2"/>
                <w:position w:val="17"/>
                <w:highlight w:val="none"/>
              </w:rPr>
            </w:pPr>
            <w:r>
              <w:rPr>
                <w:rFonts w:ascii="宋体" w:hAnsi="宋体" w:eastAsia="宋体"/>
                <w:color w:val="auto"/>
                <w:spacing w:val="-2"/>
                <w:position w:val="17"/>
                <w:highlight w:val="none"/>
              </w:rPr>
              <w:t>营业执照</w:t>
            </w:r>
          </w:p>
        </w:tc>
        <w:tc>
          <w:tcPr>
            <w:tcW w:w="5367" w:type="dxa"/>
          </w:tcPr>
          <w:p w14:paraId="34AAD24B">
            <w:pPr>
              <w:ind w:left="210" w:leftChars="100" w:right="210" w:rightChars="100"/>
              <w:rPr>
                <w:rFonts w:hint="eastAsia" w:ascii="宋体" w:hAnsi="宋体" w:eastAsia="宋体"/>
                <w:color w:val="auto"/>
                <w:highlight w:val="none"/>
              </w:rPr>
            </w:pPr>
            <w:r>
              <w:rPr>
                <w:rFonts w:ascii="宋体" w:hAnsi="宋体" w:eastAsia="宋体"/>
                <w:color w:val="auto"/>
                <w:highlight w:val="none"/>
              </w:rPr>
              <w:t>符合第二章“投标人须知”第 3.5.1 项规定， 具备有效的营业执照</w:t>
            </w:r>
          </w:p>
        </w:tc>
      </w:tr>
      <w:tr w14:paraId="0F64F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04" w:type="dxa"/>
            <w:vMerge w:val="continue"/>
          </w:tcPr>
          <w:p w14:paraId="5C35116F">
            <w:pPr>
              <w:spacing w:before="241" w:line="186" w:lineRule="auto"/>
              <w:ind w:left="420"/>
              <w:rPr>
                <w:rFonts w:ascii="Times New Roman" w:hAnsi="Times New Roman" w:eastAsia="Times New Roman"/>
                <w:color w:val="auto"/>
                <w:highlight w:val="none"/>
              </w:rPr>
            </w:pPr>
          </w:p>
        </w:tc>
        <w:tc>
          <w:tcPr>
            <w:tcW w:w="1124" w:type="dxa"/>
            <w:vMerge w:val="continue"/>
          </w:tcPr>
          <w:p w14:paraId="6088D472">
            <w:pPr>
              <w:spacing w:before="202" w:line="221" w:lineRule="auto"/>
              <w:ind w:left="144"/>
              <w:rPr>
                <w:rFonts w:hint="eastAsia" w:ascii="宋体" w:hAnsi="宋体" w:eastAsia="宋体"/>
                <w:color w:val="auto"/>
                <w:spacing w:val="-2"/>
                <w:highlight w:val="none"/>
              </w:rPr>
            </w:pPr>
          </w:p>
        </w:tc>
        <w:tc>
          <w:tcPr>
            <w:tcW w:w="2035" w:type="dxa"/>
            <w:vAlign w:val="center"/>
          </w:tcPr>
          <w:p w14:paraId="2B29904D">
            <w:pPr>
              <w:spacing w:line="360" w:lineRule="auto"/>
              <w:jc w:val="center"/>
              <w:rPr>
                <w:rFonts w:hint="eastAsia" w:ascii="宋体" w:hAnsi="宋体" w:eastAsia="宋体"/>
                <w:color w:val="auto"/>
                <w:spacing w:val="-4"/>
                <w:highlight w:val="none"/>
              </w:rPr>
            </w:pPr>
            <w:r>
              <w:rPr>
                <w:rFonts w:ascii="宋体" w:hAnsi="宋体" w:eastAsia="宋体"/>
                <w:color w:val="auto"/>
                <w:spacing w:val="-4"/>
                <w:highlight w:val="none"/>
              </w:rPr>
              <w:t>资</w:t>
            </w:r>
            <w:r>
              <w:rPr>
                <w:rFonts w:ascii="宋体" w:hAnsi="宋体" w:eastAsia="宋体"/>
                <w:color w:val="auto"/>
                <w:spacing w:val="-3"/>
                <w:highlight w:val="none"/>
              </w:rPr>
              <w:t>质要求</w:t>
            </w:r>
          </w:p>
        </w:tc>
        <w:tc>
          <w:tcPr>
            <w:tcW w:w="5367" w:type="dxa"/>
          </w:tcPr>
          <w:p w14:paraId="740FBCFC">
            <w:pPr>
              <w:spacing w:before="174" w:line="220" w:lineRule="auto"/>
              <w:ind w:left="210" w:leftChars="100" w:right="210" w:rightChars="100"/>
              <w:rPr>
                <w:rFonts w:hint="eastAsia" w:ascii="宋体" w:hAnsi="宋体" w:eastAsia="宋体"/>
                <w:color w:val="auto"/>
                <w:spacing w:val="-4"/>
                <w:highlight w:val="none"/>
              </w:rPr>
            </w:pPr>
            <w:r>
              <w:rPr>
                <w:rFonts w:ascii="宋体" w:hAnsi="宋体" w:eastAsia="宋体"/>
                <w:color w:val="auto"/>
                <w:spacing w:val="-4"/>
                <w:highlight w:val="none"/>
              </w:rPr>
              <w:t>符合第二章</w:t>
            </w:r>
            <w:r>
              <w:rPr>
                <w:rFonts w:ascii="Times New Roman" w:hAnsi="Times New Roman" w:eastAsia="Times New Roman"/>
                <w:color w:val="auto"/>
                <w:spacing w:val="-4"/>
                <w:highlight w:val="none"/>
              </w:rPr>
              <w:t>“</w:t>
            </w:r>
            <w:r>
              <w:rPr>
                <w:rFonts w:ascii="宋体" w:hAnsi="宋体" w:eastAsia="宋体"/>
                <w:color w:val="auto"/>
                <w:spacing w:val="-4"/>
                <w:highlight w:val="none"/>
              </w:rPr>
              <w:t>投</w:t>
            </w:r>
            <w:r>
              <w:rPr>
                <w:rFonts w:ascii="宋体" w:hAnsi="宋体" w:eastAsia="宋体"/>
                <w:color w:val="auto"/>
                <w:spacing w:val="-2"/>
                <w:highlight w:val="none"/>
              </w:rPr>
              <w:t>标人须知</w:t>
            </w:r>
            <w:r>
              <w:rPr>
                <w:rFonts w:ascii="Times New Roman" w:hAnsi="Times New Roman" w:eastAsia="Times New Roman"/>
                <w:color w:val="auto"/>
                <w:spacing w:val="-2"/>
                <w:highlight w:val="none"/>
              </w:rPr>
              <w:t>”</w:t>
            </w:r>
            <w:r>
              <w:rPr>
                <w:rFonts w:ascii="宋体" w:hAnsi="宋体" w:eastAsia="宋体"/>
                <w:color w:val="auto"/>
                <w:spacing w:val="-2"/>
                <w:highlight w:val="none"/>
              </w:rPr>
              <w:t xml:space="preserve">第 </w:t>
            </w:r>
            <w:r>
              <w:rPr>
                <w:rFonts w:ascii="Times New Roman" w:hAnsi="Times New Roman" w:eastAsia="Times New Roman"/>
                <w:color w:val="auto"/>
                <w:spacing w:val="-2"/>
                <w:highlight w:val="none"/>
              </w:rPr>
              <w:t xml:space="preserve">1.4.1 </w:t>
            </w:r>
            <w:r>
              <w:rPr>
                <w:rFonts w:ascii="宋体" w:hAnsi="宋体" w:eastAsia="宋体"/>
                <w:color w:val="auto"/>
                <w:spacing w:val="-2"/>
                <w:highlight w:val="none"/>
              </w:rPr>
              <w:t>项规定</w:t>
            </w:r>
          </w:p>
        </w:tc>
      </w:tr>
      <w:tr w14:paraId="375E4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04" w:type="dxa"/>
            <w:vMerge w:val="continue"/>
          </w:tcPr>
          <w:p w14:paraId="47390A65">
            <w:pPr>
              <w:spacing w:before="241" w:line="186" w:lineRule="auto"/>
              <w:ind w:left="420"/>
              <w:rPr>
                <w:rFonts w:ascii="Times New Roman" w:hAnsi="Times New Roman" w:eastAsia="Times New Roman"/>
                <w:color w:val="auto"/>
                <w:highlight w:val="none"/>
              </w:rPr>
            </w:pPr>
          </w:p>
        </w:tc>
        <w:tc>
          <w:tcPr>
            <w:tcW w:w="1124" w:type="dxa"/>
            <w:vMerge w:val="continue"/>
          </w:tcPr>
          <w:p w14:paraId="1E5696A5">
            <w:pPr>
              <w:spacing w:before="202" w:line="221" w:lineRule="auto"/>
              <w:ind w:left="144"/>
              <w:rPr>
                <w:rFonts w:hint="eastAsia" w:ascii="宋体" w:hAnsi="宋体" w:eastAsia="宋体"/>
                <w:color w:val="auto"/>
                <w:spacing w:val="-2"/>
                <w:highlight w:val="none"/>
              </w:rPr>
            </w:pPr>
          </w:p>
        </w:tc>
        <w:tc>
          <w:tcPr>
            <w:tcW w:w="2035" w:type="dxa"/>
            <w:vAlign w:val="center"/>
          </w:tcPr>
          <w:p w14:paraId="6D7E3935">
            <w:pPr>
              <w:spacing w:line="360" w:lineRule="auto"/>
              <w:jc w:val="center"/>
              <w:rPr>
                <w:rFonts w:hint="eastAsia" w:ascii="宋体" w:hAnsi="宋体" w:eastAsia="宋体"/>
                <w:color w:val="auto"/>
                <w:spacing w:val="-2"/>
                <w:highlight w:val="none"/>
              </w:rPr>
            </w:pPr>
            <w:r>
              <w:rPr>
                <w:rFonts w:ascii="宋体" w:hAnsi="宋体" w:eastAsia="宋体"/>
                <w:color w:val="auto"/>
                <w:spacing w:val="-2"/>
                <w:highlight w:val="none"/>
              </w:rPr>
              <w:t>项目负责人</w:t>
            </w:r>
          </w:p>
        </w:tc>
        <w:tc>
          <w:tcPr>
            <w:tcW w:w="5367" w:type="dxa"/>
          </w:tcPr>
          <w:p w14:paraId="276F317F">
            <w:pPr>
              <w:spacing w:before="174" w:line="220" w:lineRule="auto"/>
              <w:ind w:left="210" w:leftChars="100" w:right="210" w:rightChars="100"/>
              <w:rPr>
                <w:rFonts w:hint="eastAsia" w:ascii="宋体" w:hAnsi="宋体" w:eastAsia="宋体"/>
                <w:color w:val="auto"/>
                <w:spacing w:val="-4"/>
                <w:highlight w:val="none"/>
              </w:rPr>
            </w:pPr>
            <w:r>
              <w:rPr>
                <w:rFonts w:ascii="宋体" w:hAnsi="宋体" w:eastAsia="宋体"/>
                <w:color w:val="auto"/>
                <w:spacing w:val="-4"/>
                <w:highlight w:val="none"/>
              </w:rPr>
              <w:t>符合第二章</w:t>
            </w:r>
            <w:r>
              <w:rPr>
                <w:rFonts w:ascii="Times New Roman" w:hAnsi="Times New Roman" w:eastAsia="Times New Roman"/>
                <w:color w:val="auto"/>
                <w:spacing w:val="-4"/>
                <w:highlight w:val="none"/>
              </w:rPr>
              <w:t>“</w:t>
            </w:r>
            <w:r>
              <w:rPr>
                <w:rFonts w:ascii="宋体" w:hAnsi="宋体" w:eastAsia="宋体"/>
                <w:color w:val="auto"/>
                <w:spacing w:val="-4"/>
                <w:highlight w:val="none"/>
              </w:rPr>
              <w:t>投</w:t>
            </w:r>
            <w:r>
              <w:rPr>
                <w:rFonts w:ascii="宋体" w:hAnsi="宋体" w:eastAsia="宋体"/>
                <w:color w:val="auto"/>
                <w:spacing w:val="-2"/>
                <w:highlight w:val="none"/>
              </w:rPr>
              <w:t>标人须知</w:t>
            </w:r>
            <w:r>
              <w:rPr>
                <w:rFonts w:ascii="Times New Roman" w:hAnsi="Times New Roman" w:eastAsia="Times New Roman"/>
                <w:color w:val="auto"/>
                <w:spacing w:val="-2"/>
                <w:highlight w:val="none"/>
              </w:rPr>
              <w:t>”</w:t>
            </w:r>
            <w:r>
              <w:rPr>
                <w:rFonts w:ascii="宋体" w:hAnsi="宋体" w:eastAsia="宋体"/>
                <w:color w:val="auto"/>
                <w:spacing w:val="-2"/>
                <w:highlight w:val="none"/>
              </w:rPr>
              <w:t xml:space="preserve">第 </w:t>
            </w:r>
            <w:r>
              <w:rPr>
                <w:rFonts w:ascii="Times New Roman" w:hAnsi="Times New Roman" w:eastAsia="Times New Roman"/>
                <w:color w:val="auto"/>
                <w:spacing w:val="-2"/>
                <w:highlight w:val="none"/>
              </w:rPr>
              <w:t xml:space="preserve">1.4.1 </w:t>
            </w:r>
            <w:r>
              <w:rPr>
                <w:rFonts w:ascii="宋体" w:hAnsi="宋体" w:eastAsia="宋体"/>
                <w:color w:val="auto"/>
                <w:spacing w:val="-2"/>
                <w:highlight w:val="none"/>
              </w:rPr>
              <w:t>项规定</w:t>
            </w:r>
          </w:p>
        </w:tc>
      </w:tr>
      <w:tr w14:paraId="73C36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04" w:type="dxa"/>
            <w:vMerge w:val="continue"/>
          </w:tcPr>
          <w:p w14:paraId="66205C43">
            <w:pPr>
              <w:spacing w:before="241" w:line="186" w:lineRule="auto"/>
              <w:ind w:left="420"/>
              <w:rPr>
                <w:rFonts w:ascii="Times New Roman" w:hAnsi="Times New Roman" w:eastAsia="Times New Roman"/>
                <w:color w:val="auto"/>
                <w:highlight w:val="none"/>
              </w:rPr>
            </w:pPr>
          </w:p>
        </w:tc>
        <w:tc>
          <w:tcPr>
            <w:tcW w:w="1124" w:type="dxa"/>
            <w:vMerge w:val="continue"/>
          </w:tcPr>
          <w:p w14:paraId="3D3B7E63">
            <w:pPr>
              <w:spacing w:before="202" w:line="221" w:lineRule="auto"/>
              <w:ind w:left="144"/>
              <w:rPr>
                <w:rFonts w:hint="eastAsia" w:ascii="宋体" w:hAnsi="宋体" w:eastAsia="宋体"/>
                <w:color w:val="auto"/>
                <w:spacing w:val="-2"/>
                <w:highlight w:val="none"/>
              </w:rPr>
            </w:pPr>
          </w:p>
        </w:tc>
        <w:tc>
          <w:tcPr>
            <w:tcW w:w="2035" w:type="dxa"/>
            <w:vAlign w:val="center"/>
          </w:tcPr>
          <w:p w14:paraId="68009DDA">
            <w:pPr>
              <w:spacing w:line="360" w:lineRule="auto"/>
              <w:jc w:val="center"/>
              <w:rPr>
                <w:rFonts w:hint="eastAsia" w:ascii="宋体" w:hAnsi="宋体" w:eastAsia="宋体"/>
                <w:color w:val="auto"/>
                <w:spacing w:val="-2"/>
                <w:highlight w:val="none"/>
              </w:rPr>
            </w:pPr>
            <w:r>
              <w:rPr>
                <w:rFonts w:ascii="宋体" w:hAnsi="宋体" w:eastAsia="宋体"/>
                <w:color w:val="auto"/>
                <w:spacing w:val="-2"/>
                <w:highlight w:val="none"/>
              </w:rPr>
              <w:t>联合</w:t>
            </w:r>
            <w:r>
              <w:rPr>
                <w:rFonts w:ascii="宋体" w:hAnsi="宋体" w:eastAsia="宋体"/>
                <w:color w:val="auto"/>
                <w:spacing w:val="-1"/>
                <w:highlight w:val="none"/>
              </w:rPr>
              <w:t>体投标人</w:t>
            </w:r>
          </w:p>
        </w:tc>
        <w:tc>
          <w:tcPr>
            <w:tcW w:w="5367" w:type="dxa"/>
          </w:tcPr>
          <w:p w14:paraId="10D5472D">
            <w:pPr>
              <w:spacing w:before="171" w:line="220" w:lineRule="auto"/>
              <w:ind w:left="210" w:leftChars="100" w:right="210" w:rightChars="100"/>
              <w:rPr>
                <w:rFonts w:hint="eastAsia" w:ascii="宋体" w:hAnsi="宋体" w:eastAsia="宋体"/>
                <w:color w:val="auto"/>
                <w:spacing w:val="-4"/>
                <w:highlight w:val="none"/>
              </w:rPr>
            </w:pPr>
            <w:r>
              <w:rPr>
                <w:rFonts w:ascii="宋体" w:hAnsi="宋体" w:eastAsia="宋体"/>
                <w:color w:val="auto"/>
                <w:spacing w:val="-4"/>
                <w:highlight w:val="none"/>
              </w:rPr>
              <w:t>符合第二章</w:t>
            </w:r>
            <w:r>
              <w:rPr>
                <w:rFonts w:ascii="Times New Roman" w:hAnsi="Times New Roman" w:eastAsia="Times New Roman"/>
                <w:color w:val="auto"/>
                <w:spacing w:val="-4"/>
                <w:highlight w:val="none"/>
              </w:rPr>
              <w:t>“</w:t>
            </w:r>
            <w:r>
              <w:rPr>
                <w:rFonts w:ascii="宋体" w:hAnsi="宋体" w:eastAsia="宋体"/>
                <w:color w:val="auto"/>
                <w:spacing w:val="-4"/>
                <w:highlight w:val="none"/>
              </w:rPr>
              <w:t>投</w:t>
            </w:r>
            <w:r>
              <w:rPr>
                <w:rFonts w:ascii="宋体" w:hAnsi="宋体" w:eastAsia="宋体"/>
                <w:color w:val="auto"/>
                <w:spacing w:val="-2"/>
                <w:highlight w:val="none"/>
              </w:rPr>
              <w:t>标人须知</w:t>
            </w:r>
            <w:r>
              <w:rPr>
                <w:rFonts w:ascii="Times New Roman" w:hAnsi="Times New Roman" w:eastAsia="Times New Roman"/>
                <w:color w:val="auto"/>
                <w:spacing w:val="-2"/>
                <w:highlight w:val="none"/>
              </w:rPr>
              <w:t>”</w:t>
            </w:r>
            <w:r>
              <w:rPr>
                <w:rFonts w:ascii="宋体" w:hAnsi="宋体" w:eastAsia="宋体"/>
                <w:color w:val="auto"/>
                <w:spacing w:val="-2"/>
                <w:highlight w:val="none"/>
              </w:rPr>
              <w:t xml:space="preserve">第 </w:t>
            </w:r>
            <w:r>
              <w:rPr>
                <w:rFonts w:ascii="Times New Roman" w:hAnsi="Times New Roman" w:eastAsia="Times New Roman"/>
                <w:color w:val="auto"/>
                <w:spacing w:val="-2"/>
                <w:highlight w:val="none"/>
              </w:rPr>
              <w:t xml:space="preserve">1.4.2 </w:t>
            </w:r>
            <w:r>
              <w:rPr>
                <w:rFonts w:ascii="宋体" w:hAnsi="宋体" w:eastAsia="宋体"/>
                <w:color w:val="auto"/>
                <w:spacing w:val="-2"/>
                <w:highlight w:val="none"/>
              </w:rPr>
              <w:t>项规定</w:t>
            </w:r>
          </w:p>
        </w:tc>
      </w:tr>
      <w:tr w14:paraId="0F0EE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904" w:type="dxa"/>
            <w:vMerge w:val="continue"/>
          </w:tcPr>
          <w:p w14:paraId="12296055">
            <w:pPr>
              <w:spacing w:before="241" w:line="186" w:lineRule="auto"/>
              <w:ind w:left="420"/>
              <w:rPr>
                <w:rFonts w:ascii="Times New Roman" w:hAnsi="Times New Roman" w:eastAsia="Times New Roman"/>
                <w:color w:val="auto"/>
                <w:highlight w:val="none"/>
              </w:rPr>
            </w:pPr>
          </w:p>
        </w:tc>
        <w:tc>
          <w:tcPr>
            <w:tcW w:w="1124" w:type="dxa"/>
            <w:vMerge w:val="continue"/>
          </w:tcPr>
          <w:p w14:paraId="30DE0F8F">
            <w:pPr>
              <w:spacing w:before="202" w:line="221" w:lineRule="auto"/>
              <w:ind w:left="144"/>
              <w:rPr>
                <w:rFonts w:hint="eastAsia" w:ascii="宋体" w:hAnsi="宋体" w:eastAsia="宋体"/>
                <w:color w:val="auto"/>
                <w:spacing w:val="-2"/>
                <w:highlight w:val="none"/>
              </w:rPr>
            </w:pPr>
          </w:p>
        </w:tc>
        <w:tc>
          <w:tcPr>
            <w:tcW w:w="2035" w:type="dxa"/>
            <w:vAlign w:val="center"/>
          </w:tcPr>
          <w:p w14:paraId="38D81764">
            <w:pPr>
              <w:jc w:val="center"/>
              <w:rPr>
                <w:rFonts w:hint="eastAsia" w:ascii="宋体" w:hAnsi="宋体" w:eastAsia="宋体"/>
                <w:color w:val="auto"/>
                <w:spacing w:val="-2"/>
                <w:highlight w:val="none"/>
              </w:rPr>
            </w:pPr>
            <w:r>
              <w:rPr>
                <w:rFonts w:hint="eastAsia" w:ascii="宋体" w:hAnsi="宋体" w:eastAsia="宋体"/>
                <w:color w:val="auto"/>
                <w:spacing w:val="-2"/>
                <w:highlight w:val="none"/>
              </w:rPr>
              <w:t>未被纳入失信联合惩戒名单且被限制参与相关项目投标的</w:t>
            </w:r>
          </w:p>
        </w:tc>
        <w:tc>
          <w:tcPr>
            <w:tcW w:w="5367" w:type="dxa"/>
            <w:vAlign w:val="center"/>
          </w:tcPr>
          <w:p w14:paraId="5DEF5E0E">
            <w:pPr>
              <w:ind w:left="210" w:leftChars="100" w:right="210" w:rightChars="100"/>
              <w:rPr>
                <w:rFonts w:hint="eastAsia" w:ascii="宋体" w:hAnsi="宋体" w:eastAsia="宋体"/>
                <w:color w:val="auto"/>
                <w:spacing w:val="-4"/>
                <w:highlight w:val="none"/>
              </w:rPr>
            </w:pPr>
            <w:r>
              <w:rPr>
                <w:rFonts w:hint="eastAsia" w:ascii="宋体" w:hAnsi="宋体" w:eastAsia="宋体"/>
                <w:color w:val="auto"/>
                <w:spacing w:val="-4"/>
                <w:highlight w:val="none"/>
              </w:rPr>
              <w:t>失信联合惩戒名单以“信用广州”网站公布的“黑名单”为准。（提供查询结果网页截图，并加盖公章。）</w:t>
            </w:r>
          </w:p>
        </w:tc>
      </w:tr>
      <w:tr w14:paraId="102E6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904" w:type="dxa"/>
            <w:vMerge w:val="continue"/>
          </w:tcPr>
          <w:p w14:paraId="3C2629BC">
            <w:pPr>
              <w:spacing w:before="241" w:line="186" w:lineRule="auto"/>
              <w:ind w:left="420"/>
              <w:rPr>
                <w:rFonts w:ascii="Times New Roman" w:hAnsi="Times New Roman" w:eastAsia="Times New Roman"/>
                <w:color w:val="auto"/>
                <w:highlight w:val="none"/>
              </w:rPr>
            </w:pPr>
          </w:p>
        </w:tc>
        <w:tc>
          <w:tcPr>
            <w:tcW w:w="1124" w:type="dxa"/>
            <w:vMerge w:val="continue"/>
          </w:tcPr>
          <w:p w14:paraId="3D3B5074">
            <w:pPr>
              <w:spacing w:before="202" w:line="221" w:lineRule="auto"/>
              <w:ind w:left="144"/>
              <w:rPr>
                <w:rFonts w:hint="eastAsia" w:ascii="宋体" w:hAnsi="宋体" w:eastAsia="宋体"/>
                <w:color w:val="auto"/>
                <w:spacing w:val="-2"/>
                <w:highlight w:val="none"/>
              </w:rPr>
            </w:pPr>
          </w:p>
        </w:tc>
        <w:tc>
          <w:tcPr>
            <w:tcW w:w="2035" w:type="dxa"/>
            <w:vAlign w:val="center"/>
          </w:tcPr>
          <w:p w14:paraId="14688B60">
            <w:pPr>
              <w:jc w:val="center"/>
              <w:rPr>
                <w:rFonts w:hint="eastAsia" w:ascii="宋体" w:hAnsi="宋体" w:eastAsia="宋体"/>
                <w:color w:val="auto"/>
                <w:spacing w:val="-2"/>
                <w:highlight w:val="none"/>
              </w:rPr>
            </w:pPr>
            <w:r>
              <w:rPr>
                <w:rFonts w:hint="eastAsia" w:ascii="宋体" w:hAnsi="宋体" w:eastAsia="宋体"/>
                <w:color w:val="auto"/>
                <w:spacing w:val="-2"/>
                <w:highlight w:val="none"/>
              </w:rPr>
              <w:t>不存在禁止投标的情形</w:t>
            </w:r>
          </w:p>
        </w:tc>
        <w:tc>
          <w:tcPr>
            <w:tcW w:w="5367" w:type="dxa"/>
            <w:vAlign w:val="center"/>
          </w:tcPr>
          <w:p w14:paraId="22B3FDAC">
            <w:pPr>
              <w:ind w:left="210" w:leftChars="100" w:right="210" w:rightChars="100"/>
              <w:rPr>
                <w:rFonts w:hint="eastAsia" w:ascii="宋体" w:hAnsi="宋体" w:eastAsia="宋体"/>
                <w:color w:val="auto"/>
                <w:spacing w:val="-4"/>
                <w:highlight w:val="none"/>
              </w:rPr>
            </w:pPr>
            <w:r>
              <w:rPr>
                <w:rFonts w:hint="eastAsia" w:ascii="宋体" w:hAnsi="宋体" w:eastAsia="宋体"/>
                <w:color w:val="auto"/>
                <w:spacing w:val="-4"/>
                <w:highlight w:val="none"/>
              </w:rPr>
              <w:t>不存在</w:t>
            </w:r>
            <w:r>
              <w:rPr>
                <w:rFonts w:ascii="宋体" w:hAnsi="宋体" w:eastAsia="宋体"/>
                <w:color w:val="auto"/>
                <w:spacing w:val="-4"/>
                <w:highlight w:val="none"/>
              </w:rPr>
              <w:t>第二章</w:t>
            </w:r>
            <w:r>
              <w:rPr>
                <w:rFonts w:ascii="Times New Roman" w:hAnsi="Times New Roman" w:eastAsia="Times New Roman"/>
                <w:color w:val="auto"/>
                <w:spacing w:val="-4"/>
                <w:highlight w:val="none"/>
              </w:rPr>
              <w:t>“</w:t>
            </w:r>
            <w:r>
              <w:rPr>
                <w:rFonts w:ascii="宋体" w:hAnsi="宋体" w:eastAsia="宋体"/>
                <w:color w:val="auto"/>
                <w:spacing w:val="-4"/>
                <w:highlight w:val="none"/>
              </w:rPr>
              <w:t>投</w:t>
            </w:r>
            <w:r>
              <w:rPr>
                <w:rFonts w:ascii="宋体" w:hAnsi="宋体" w:eastAsia="宋体"/>
                <w:color w:val="auto"/>
                <w:spacing w:val="-2"/>
                <w:highlight w:val="none"/>
              </w:rPr>
              <w:t>标人须知</w:t>
            </w:r>
            <w:r>
              <w:rPr>
                <w:rFonts w:ascii="Times New Roman" w:hAnsi="Times New Roman" w:eastAsia="Times New Roman"/>
                <w:color w:val="auto"/>
                <w:spacing w:val="-2"/>
                <w:highlight w:val="none"/>
              </w:rPr>
              <w:t>”</w:t>
            </w:r>
            <w:r>
              <w:rPr>
                <w:rFonts w:ascii="宋体" w:hAnsi="宋体" w:eastAsia="宋体"/>
                <w:color w:val="auto"/>
                <w:spacing w:val="-2"/>
                <w:highlight w:val="none"/>
              </w:rPr>
              <w:t xml:space="preserve">第 </w:t>
            </w:r>
            <w:r>
              <w:rPr>
                <w:rFonts w:ascii="Times New Roman" w:hAnsi="Times New Roman" w:eastAsia="Times New Roman"/>
                <w:color w:val="auto"/>
                <w:spacing w:val="-2"/>
                <w:highlight w:val="none"/>
              </w:rPr>
              <w:t>1.4.</w:t>
            </w:r>
            <w:r>
              <w:rPr>
                <w:rFonts w:hint="eastAsia" w:ascii="Times New Roman" w:hAnsi="Times New Roman" w:eastAsia="宋体"/>
                <w:color w:val="auto"/>
                <w:spacing w:val="-2"/>
                <w:highlight w:val="none"/>
              </w:rPr>
              <w:t>3</w:t>
            </w:r>
            <w:r>
              <w:rPr>
                <w:rFonts w:ascii="宋体" w:hAnsi="宋体" w:eastAsia="宋体"/>
                <w:color w:val="auto"/>
                <w:spacing w:val="-2"/>
                <w:highlight w:val="none"/>
              </w:rPr>
              <w:t>项规定</w:t>
            </w:r>
            <w:r>
              <w:rPr>
                <w:rFonts w:hint="eastAsia" w:ascii="宋体" w:hAnsi="宋体" w:eastAsia="宋体"/>
                <w:color w:val="auto"/>
                <w:spacing w:val="-2"/>
                <w:highlight w:val="none"/>
              </w:rPr>
              <w:t>的任何一种情形</w:t>
            </w:r>
            <w:r>
              <w:rPr>
                <w:rFonts w:hint="eastAsia" w:ascii="宋体" w:hAnsi="宋体" w:eastAsia="宋体"/>
                <w:color w:val="auto"/>
                <w:spacing w:val="-4"/>
                <w:highlight w:val="none"/>
              </w:rPr>
              <w:t>。</w:t>
            </w:r>
          </w:p>
        </w:tc>
      </w:tr>
      <w:tr w14:paraId="04CC8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04" w:type="dxa"/>
            <w:vMerge w:val="restart"/>
          </w:tcPr>
          <w:p w14:paraId="2AD749B7">
            <w:pPr>
              <w:spacing w:line="257" w:lineRule="auto"/>
              <w:rPr>
                <w:color w:val="auto"/>
                <w:highlight w:val="none"/>
              </w:rPr>
            </w:pPr>
          </w:p>
          <w:p w14:paraId="27607885">
            <w:pPr>
              <w:spacing w:line="257" w:lineRule="auto"/>
              <w:rPr>
                <w:color w:val="auto"/>
                <w:highlight w:val="none"/>
              </w:rPr>
            </w:pPr>
          </w:p>
          <w:p w14:paraId="0FEFF6F6">
            <w:pPr>
              <w:spacing w:line="258" w:lineRule="auto"/>
              <w:rPr>
                <w:color w:val="auto"/>
                <w:highlight w:val="none"/>
              </w:rPr>
            </w:pPr>
          </w:p>
          <w:p w14:paraId="63A10736">
            <w:pPr>
              <w:spacing w:line="258" w:lineRule="auto"/>
              <w:rPr>
                <w:color w:val="auto"/>
                <w:highlight w:val="none"/>
              </w:rPr>
            </w:pPr>
          </w:p>
          <w:p w14:paraId="5578E134">
            <w:pPr>
              <w:spacing w:line="258" w:lineRule="auto"/>
              <w:rPr>
                <w:color w:val="auto"/>
                <w:highlight w:val="none"/>
              </w:rPr>
            </w:pPr>
          </w:p>
          <w:p w14:paraId="2887D47B">
            <w:pPr>
              <w:spacing w:line="258" w:lineRule="auto"/>
              <w:rPr>
                <w:color w:val="auto"/>
                <w:highlight w:val="none"/>
              </w:rPr>
            </w:pPr>
          </w:p>
          <w:p w14:paraId="0C58D99C">
            <w:pPr>
              <w:spacing w:line="258" w:lineRule="auto"/>
              <w:rPr>
                <w:color w:val="auto"/>
                <w:highlight w:val="none"/>
              </w:rPr>
            </w:pPr>
          </w:p>
          <w:p w14:paraId="012BF545">
            <w:pPr>
              <w:spacing w:line="258" w:lineRule="auto"/>
              <w:rPr>
                <w:color w:val="auto"/>
                <w:highlight w:val="none"/>
              </w:rPr>
            </w:pPr>
          </w:p>
          <w:p w14:paraId="37A7DA83">
            <w:pPr>
              <w:spacing w:line="258" w:lineRule="auto"/>
              <w:rPr>
                <w:color w:val="auto"/>
                <w:highlight w:val="none"/>
              </w:rPr>
            </w:pPr>
          </w:p>
          <w:p w14:paraId="43CF1A40">
            <w:pPr>
              <w:spacing w:line="258" w:lineRule="auto"/>
              <w:rPr>
                <w:color w:val="auto"/>
                <w:highlight w:val="none"/>
              </w:rPr>
            </w:pPr>
          </w:p>
          <w:p w14:paraId="73603998">
            <w:pPr>
              <w:spacing w:before="60" w:line="186" w:lineRule="auto"/>
              <w:ind w:left="244"/>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2.1</w:t>
            </w:r>
            <w:r>
              <w:rPr>
                <w:rFonts w:ascii="Times New Roman" w:hAnsi="Times New Roman" w:eastAsia="Times New Roman"/>
                <w:color w:val="auto"/>
                <w:highlight w:val="none"/>
              </w:rPr>
              <w:t>.</w:t>
            </w:r>
            <w:r>
              <w:rPr>
                <w:rFonts w:hint="eastAsia" w:ascii="Times New Roman" w:hAnsi="Times New Roman" w:eastAsia="宋体"/>
                <w:color w:val="auto"/>
                <w:highlight w:val="none"/>
              </w:rPr>
              <w:t>2</w:t>
            </w:r>
          </w:p>
        </w:tc>
        <w:tc>
          <w:tcPr>
            <w:tcW w:w="1124" w:type="dxa"/>
            <w:vMerge w:val="restart"/>
          </w:tcPr>
          <w:p w14:paraId="72E88315">
            <w:pPr>
              <w:spacing w:line="257" w:lineRule="auto"/>
              <w:rPr>
                <w:color w:val="auto"/>
                <w:highlight w:val="none"/>
              </w:rPr>
            </w:pPr>
          </w:p>
          <w:p w14:paraId="5D17E33D">
            <w:pPr>
              <w:spacing w:line="257" w:lineRule="auto"/>
              <w:rPr>
                <w:color w:val="auto"/>
                <w:highlight w:val="none"/>
              </w:rPr>
            </w:pPr>
          </w:p>
          <w:p w14:paraId="0F7BF965">
            <w:pPr>
              <w:spacing w:line="257" w:lineRule="auto"/>
              <w:rPr>
                <w:color w:val="auto"/>
                <w:highlight w:val="none"/>
              </w:rPr>
            </w:pPr>
          </w:p>
          <w:p w14:paraId="64271608">
            <w:pPr>
              <w:spacing w:line="257" w:lineRule="auto"/>
              <w:rPr>
                <w:color w:val="auto"/>
                <w:highlight w:val="none"/>
              </w:rPr>
            </w:pPr>
          </w:p>
          <w:p w14:paraId="33BFE252">
            <w:pPr>
              <w:spacing w:line="257" w:lineRule="auto"/>
              <w:rPr>
                <w:color w:val="auto"/>
                <w:highlight w:val="none"/>
              </w:rPr>
            </w:pPr>
          </w:p>
          <w:p w14:paraId="2322FF08">
            <w:pPr>
              <w:spacing w:line="257" w:lineRule="auto"/>
              <w:rPr>
                <w:color w:val="auto"/>
                <w:highlight w:val="none"/>
              </w:rPr>
            </w:pPr>
          </w:p>
          <w:p w14:paraId="40DBFBD9">
            <w:pPr>
              <w:spacing w:line="257" w:lineRule="auto"/>
              <w:rPr>
                <w:color w:val="auto"/>
                <w:highlight w:val="none"/>
              </w:rPr>
            </w:pPr>
          </w:p>
          <w:p w14:paraId="6676E8A4">
            <w:pPr>
              <w:spacing w:line="257" w:lineRule="auto"/>
              <w:rPr>
                <w:color w:val="auto"/>
                <w:highlight w:val="none"/>
              </w:rPr>
            </w:pPr>
          </w:p>
          <w:p w14:paraId="6D3BD7F1">
            <w:pPr>
              <w:spacing w:before="202" w:line="221" w:lineRule="auto"/>
              <w:jc w:val="center"/>
              <w:rPr>
                <w:rFonts w:hint="eastAsia" w:ascii="宋体" w:hAnsi="宋体" w:eastAsia="宋体"/>
                <w:color w:val="auto"/>
                <w:spacing w:val="-4"/>
                <w:highlight w:val="none"/>
              </w:rPr>
            </w:pPr>
          </w:p>
          <w:p w14:paraId="1744F5EF">
            <w:pPr>
              <w:spacing w:before="202" w:line="221" w:lineRule="auto"/>
              <w:jc w:val="center"/>
              <w:rPr>
                <w:rFonts w:hint="eastAsia" w:ascii="宋体" w:hAnsi="宋体" w:eastAsia="宋体"/>
                <w:color w:val="auto"/>
                <w:spacing w:val="-4"/>
                <w:highlight w:val="none"/>
              </w:rPr>
            </w:pPr>
            <w:r>
              <w:rPr>
                <w:rFonts w:ascii="宋体" w:hAnsi="宋体" w:eastAsia="宋体"/>
                <w:color w:val="auto"/>
                <w:spacing w:val="-4"/>
                <w:highlight w:val="none"/>
              </w:rPr>
              <w:t xml:space="preserve">形式评审标准 </w:t>
            </w:r>
          </w:p>
        </w:tc>
        <w:tc>
          <w:tcPr>
            <w:tcW w:w="2035" w:type="dxa"/>
            <w:vAlign w:val="center"/>
          </w:tcPr>
          <w:p w14:paraId="6A7D0AA0">
            <w:pPr>
              <w:spacing w:line="360" w:lineRule="auto"/>
              <w:jc w:val="center"/>
              <w:rPr>
                <w:rFonts w:hint="eastAsia" w:ascii="宋体" w:hAnsi="宋体" w:eastAsia="宋体"/>
                <w:color w:val="auto"/>
                <w:spacing w:val="-2"/>
                <w:highlight w:val="none"/>
              </w:rPr>
            </w:pPr>
            <w:r>
              <w:rPr>
                <w:rFonts w:ascii="宋体" w:hAnsi="宋体" w:eastAsia="宋体"/>
                <w:color w:val="auto"/>
                <w:spacing w:val="-2"/>
                <w:highlight w:val="none"/>
              </w:rPr>
              <w:t>投标人名</w:t>
            </w:r>
            <w:r>
              <w:rPr>
                <w:rFonts w:ascii="宋体" w:hAnsi="宋体" w:eastAsia="宋体"/>
                <w:color w:val="auto"/>
                <w:spacing w:val="-1"/>
                <w:highlight w:val="none"/>
              </w:rPr>
              <w:t>称</w:t>
            </w:r>
          </w:p>
        </w:tc>
        <w:tc>
          <w:tcPr>
            <w:tcW w:w="5367" w:type="dxa"/>
          </w:tcPr>
          <w:p w14:paraId="705C863C">
            <w:pPr>
              <w:spacing w:before="171" w:line="219" w:lineRule="auto"/>
              <w:ind w:left="210" w:leftChars="100" w:right="210" w:rightChars="100"/>
              <w:rPr>
                <w:rFonts w:hint="eastAsia" w:ascii="宋体" w:hAnsi="宋体" w:eastAsia="宋体"/>
                <w:color w:val="auto"/>
                <w:spacing w:val="-1"/>
                <w:highlight w:val="none"/>
              </w:rPr>
            </w:pPr>
            <w:r>
              <w:rPr>
                <w:rFonts w:ascii="宋体" w:hAnsi="宋体" w:eastAsia="宋体"/>
                <w:color w:val="auto"/>
                <w:spacing w:val="-1"/>
                <w:highlight w:val="none"/>
              </w:rPr>
              <w:t>与营业执照、资质证书一致</w:t>
            </w:r>
          </w:p>
        </w:tc>
      </w:tr>
      <w:tr w14:paraId="48C3A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904" w:type="dxa"/>
            <w:vMerge w:val="continue"/>
          </w:tcPr>
          <w:p w14:paraId="526ADA84">
            <w:pPr>
              <w:rPr>
                <w:color w:val="auto"/>
                <w:highlight w:val="none"/>
              </w:rPr>
            </w:pPr>
          </w:p>
        </w:tc>
        <w:tc>
          <w:tcPr>
            <w:tcW w:w="1124" w:type="dxa"/>
            <w:vMerge w:val="continue"/>
          </w:tcPr>
          <w:p w14:paraId="599A4505">
            <w:pPr>
              <w:rPr>
                <w:color w:val="auto"/>
                <w:highlight w:val="none"/>
              </w:rPr>
            </w:pPr>
          </w:p>
        </w:tc>
        <w:tc>
          <w:tcPr>
            <w:tcW w:w="2035" w:type="dxa"/>
            <w:vAlign w:val="center"/>
          </w:tcPr>
          <w:p w14:paraId="5A615A77">
            <w:pPr>
              <w:jc w:val="center"/>
              <w:rPr>
                <w:rFonts w:hint="eastAsia" w:ascii="宋体" w:hAnsi="宋体" w:eastAsia="宋体"/>
                <w:color w:val="auto"/>
                <w:spacing w:val="-2"/>
                <w:highlight w:val="none"/>
              </w:rPr>
            </w:pPr>
            <w:r>
              <w:rPr>
                <w:rFonts w:ascii="宋体" w:hAnsi="宋体" w:eastAsia="宋体"/>
                <w:color w:val="auto"/>
                <w:spacing w:val="-2"/>
                <w:highlight w:val="none"/>
              </w:rPr>
              <w:t>投标人参加投标的意思表达清楚，投标人代表被授权有效</w:t>
            </w:r>
          </w:p>
        </w:tc>
        <w:tc>
          <w:tcPr>
            <w:tcW w:w="5367" w:type="dxa"/>
            <w:vAlign w:val="center"/>
          </w:tcPr>
          <w:p w14:paraId="35BBE8B1">
            <w:pPr>
              <w:spacing w:before="1"/>
              <w:ind w:left="210" w:leftChars="100" w:right="210" w:rightChars="100"/>
              <w:rPr>
                <w:rFonts w:hint="eastAsia" w:ascii="宋体" w:hAnsi="宋体" w:eastAsia="宋体"/>
                <w:color w:val="auto"/>
                <w:spacing w:val="-2"/>
                <w:highlight w:val="none"/>
              </w:rPr>
            </w:pPr>
            <w:r>
              <w:rPr>
                <w:rFonts w:ascii="宋体" w:hAnsi="宋体" w:eastAsia="宋体"/>
                <w:color w:val="auto"/>
                <w:spacing w:val="-2"/>
                <w:highlight w:val="none"/>
              </w:rPr>
              <w:t>投标人声明、廉洁承诺书、法定代表人证明书；委托投标的还应提供法人授权委托证明书</w:t>
            </w:r>
          </w:p>
        </w:tc>
      </w:tr>
      <w:tr w14:paraId="593B3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04" w:type="dxa"/>
            <w:vMerge w:val="continue"/>
          </w:tcPr>
          <w:p w14:paraId="739D8FAC">
            <w:pPr>
              <w:rPr>
                <w:color w:val="auto"/>
                <w:highlight w:val="none"/>
              </w:rPr>
            </w:pPr>
          </w:p>
        </w:tc>
        <w:tc>
          <w:tcPr>
            <w:tcW w:w="1124" w:type="dxa"/>
            <w:vMerge w:val="continue"/>
          </w:tcPr>
          <w:p w14:paraId="271F5D3D">
            <w:pPr>
              <w:rPr>
                <w:color w:val="auto"/>
                <w:highlight w:val="none"/>
              </w:rPr>
            </w:pPr>
          </w:p>
        </w:tc>
        <w:tc>
          <w:tcPr>
            <w:tcW w:w="2035" w:type="dxa"/>
            <w:vAlign w:val="center"/>
          </w:tcPr>
          <w:p w14:paraId="01A3CB1E">
            <w:pPr>
              <w:spacing w:line="253" w:lineRule="auto"/>
              <w:jc w:val="center"/>
              <w:rPr>
                <w:color w:val="auto"/>
                <w:highlight w:val="none"/>
              </w:rPr>
            </w:pPr>
          </w:p>
          <w:p w14:paraId="4150E1E6">
            <w:pPr>
              <w:spacing w:line="360" w:lineRule="auto"/>
              <w:jc w:val="center"/>
              <w:rPr>
                <w:rFonts w:hint="eastAsia" w:ascii="宋体" w:hAnsi="宋体" w:eastAsia="宋体"/>
                <w:color w:val="auto"/>
                <w:spacing w:val="-2"/>
                <w:highlight w:val="none"/>
              </w:rPr>
            </w:pPr>
            <w:r>
              <w:rPr>
                <w:rFonts w:ascii="宋体" w:hAnsi="宋体" w:eastAsia="宋体"/>
                <w:color w:val="auto"/>
                <w:spacing w:val="-2"/>
                <w:highlight w:val="none"/>
              </w:rPr>
              <w:t>投</w:t>
            </w:r>
            <w:r>
              <w:rPr>
                <w:rFonts w:ascii="宋体" w:hAnsi="宋体" w:eastAsia="宋体"/>
                <w:color w:val="auto"/>
                <w:spacing w:val="-1"/>
                <w:highlight w:val="none"/>
              </w:rPr>
              <w:t>标函及投标函附录签</w:t>
            </w:r>
            <w:r>
              <w:rPr>
                <w:rFonts w:ascii="宋体" w:hAnsi="宋体" w:eastAsia="宋体"/>
                <w:color w:val="auto"/>
                <w:spacing w:val="-3"/>
                <w:highlight w:val="none"/>
              </w:rPr>
              <w:t>字</w:t>
            </w:r>
            <w:r>
              <w:rPr>
                <w:rFonts w:ascii="宋体" w:hAnsi="宋体" w:eastAsia="宋体"/>
                <w:color w:val="auto"/>
                <w:spacing w:val="-2"/>
                <w:highlight w:val="none"/>
              </w:rPr>
              <w:t>盖章</w:t>
            </w:r>
          </w:p>
        </w:tc>
        <w:tc>
          <w:tcPr>
            <w:tcW w:w="5367" w:type="dxa"/>
          </w:tcPr>
          <w:p w14:paraId="6C004D9C">
            <w:pPr>
              <w:spacing w:before="171"/>
              <w:ind w:left="210" w:leftChars="100" w:right="210" w:rightChars="100"/>
              <w:rPr>
                <w:rFonts w:hint="eastAsia" w:ascii="宋体" w:hAnsi="宋体" w:eastAsia="宋体"/>
                <w:color w:val="auto"/>
                <w:spacing w:val="21"/>
                <w:highlight w:val="none"/>
              </w:rPr>
            </w:pPr>
            <w:r>
              <w:rPr>
                <w:rFonts w:ascii="宋体" w:hAnsi="宋体" w:eastAsia="宋体"/>
                <w:color w:val="auto"/>
                <w:spacing w:val="21"/>
                <w:highlight w:val="none"/>
              </w:rPr>
              <w:t>有</w:t>
            </w:r>
            <w:r>
              <w:rPr>
                <w:rFonts w:ascii="宋体" w:hAnsi="宋体" w:eastAsia="宋体"/>
                <w:color w:val="auto"/>
                <w:spacing w:val="12"/>
                <w:highlight w:val="none"/>
              </w:rPr>
              <w:t>法定代表人或其委托代理人签字或加盖单位</w:t>
            </w:r>
            <w:r>
              <w:rPr>
                <w:rFonts w:ascii="宋体" w:hAnsi="宋体" w:eastAsia="宋体"/>
                <w:color w:val="auto"/>
                <w:spacing w:val="2"/>
                <w:highlight w:val="none"/>
              </w:rPr>
              <w:t>章。由法定代表人签字的，应附法定代表人身</w:t>
            </w:r>
            <w:r>
              <w:rPr>
                <w:rFonts w:ascii="宋体" w:hAnsi="宋体" w:eastAsia="宋体"/>
                <w:color w:val="auto"/>
                <w:highlight w:val="none"/>
              </w:rPr>
              <w:t>份</w:t>
            </w:r>
            <w:r>
              <w:rPr>
                <w:rFonts w:ascii="宋体" w:hAnsi="宋体" w:eastAsia="宋体"/>
                <w:color w:val="auto"/>
                <w:spacing w:val="-3"/>
                <w:highlight w:val="none"/>
              </w:rPr>
              <w:t>证明，由代理人签字的，应附授权委托书，身</w:t>
            </w:r>
            <w:r>
              <w:rPr>
                <w:rFonts w:ascii="宋体" w:hAnsi="宋体" w:eastAsia="宋体"/>
                <w:color w:val="auto"/>
                <w:spacing w:val="-2"/>
                <w:highlight w:val="none"/>
              </w:rPr>
              <w:t>份</w:t>
            </w:r>
            <w:r>
              <w:rPr>
                <w:rFonts w:ascii="宋体" w:hAnsi="宋体" w:eastAsia="宋体"/>
                <w:color w:val="auto"/>
                <w:spacing w:val="10"/>
                <w:highlight w:val="none"/>
              </w:rPr>
              <w:t>证</w:t>
            </w:r>
            <w:r>
              <w:rPr>
                <w:rFonts w:ascii="宋体" w:hAnsi="宋体" w:eastAsia="宋体"/>
                <w:color w:val="auto"/>
                <w:spacing w:val="5"/>
                <w:highlight w:val="none"/>
              </w:rPr>
              <w:t>明或授权委托书应符合第六章</w:t>
            </w:r>
            <w:r>
              <w:rPr>
                <w:rFonts w:ascii="Times New Roman" w:hAnsi="Times New Roman" w:eastAsia="Times New Roman"/>
                <w:color w:val="auto"/>
                <w:spacing w:val="5"/>
                <w:highlight w:val="none"/>
              </w:rPr>
              <w:t>“</w:t>
            </w:r>
            <w:r>
              <w:rPr>
                <w:rFonts w:ascii="宋体" w:hAnsi="宋体" w:eastAsia="宋体"/>
                <w:color w:val="auto"/>
                <w:spacing w:val="5"/>
                <w:highlight w:val="none"/>
              </w:rPr>
              <w:t>投标文件格式</w:t>
            </w:r>
            <w:r>
              <w:rPr>
                <w:rFonts w:ascii="Times New Roman" w:hAnsi="Times New Roman" w:eastAsia="Times New Roman"/>
                <w:color w:val="auto"/>
                <w:spacing w:val="5"/>
                <w:highlight w:val="none"/>
              </w:rPr>
              <w:t>”</w:t>
            </w:r>
            <w:r>
              <w:rPr>
                <w:rFonts w:ascii="宋体" w:hAnsi="宋体" w:eastAsia="宋体"/>
                <w:color w:val="auto"/>
                <w:spacing w:val="-7"/>
                <w:highlight w:val="none"/>
              </w:rPr>
              <w:t>的</w:t>
            </w:r>
            <w:r>
              <w:rPr>
                <w:rFonts w:ascii="宋体" w:hAnsi="宋体" w:eastAsia="宋体"/>
                <w:color w:val="auto"/>
                <w:spacing w:val="-5"/>
                <w:highlight w:val="none"/>
              </w:rPr>
              <w:t>规定</w:t>
            </w:r>
          </w:p>
        </w:tc>
      </w:tr>
      <w:tr w14:paraId="710CC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904" w:type="dxa"/>
            <w:vMerge w:val="continue"/>
          </w:tcPr>
          <w:p w14:paraId="0FC12939">
            <w:pPr>
              <w:rPr>
                <w:color w:val="auto"/>
                <w:highlight w:val="none"/>
              </w:rPr>
            </w:pPr>
          </w:p>
        </w:tc>
        <w:tc>
          <w:tcPr>
            <w:tcW w:w="1124" w:type="dxa"/>
            <w:vMerge w:val="continue"/>
          </w:tcPr>
          <w:p w14:paraId="4C035760">
            <w:pPr>
              <w:rPr>
                <w:color w:val="auto"/>
                <w:highlight w:val="none"/>
              </w:rPr>
            </w:pPr>
          </w:p>
        </w:tc>
        <w:tc>
          <w:tcPr>
            <w:tcW w:w="2035" w:type="dxa"/>
            <w:vAlign w:val="center"/>
          </w:tcPr>
          <w:p w14:paraId="3C8F6506">
            <w:pPr>
              <w:spacing w:line="360" w:lineRule="auto"/>
              <w:jc w:val="center"/>
              <w:rPr>
                <w:rFonts w:hint="eastAsia" w:ascii="宋体" w:hAnsi="宋体" w:eastAsia="宋体"/>
                <w:color w:val="auto"/>
                <w:spacing w:val="-2"/>
                <w:highlight w:val="none"/>
              </w:rPr>
            </w:pPr>
            <w:r>
              <w:rPr>
                <w:rFonts w:ascii="宋体" w:hAnsi="宋体" w:eastAsia="宋体"/>
                <w:color w:val="auto"/>
                <w:spacing w:val="-2"/>
                <w:highlight w:val="none"/>
              </w:rPr>
              <w:t>投标文</w:t>
            </w:r>
            <w:r>
              <w:rPr>
                <w:rFonts w:ascii="宋体" w:hAnsi="宋体" w:eastAsia="宋体"/>
                <w:color w:val="auto"/>
                <w:spacing w:val="-1"/>
                <w:highlight w:val="none"/>
              </w:rPr>
              <w:t>件格式</w:t>
            </w:r>
          </w:p>
        </w:tc>
        <w:tc>
          <w:tcPr>
            <w:tcW w:w="5367" w:type="dxa"/>
          </w:tcPr>
          <w:p w14:paraId="1386782D">
            <w:pPr>
              <w:spacing w:before="172" w:line="220" w:lineRule="auto"/>
              <w:ind w:left="210" w:leftChars="100" w:right="210" w:rightChars="100"/>
              <w:rPr>
                <w:rFonts w:hint="eastAsia" w:ascii="宋体" w:hAnsi="宋体" w:eastAsia="宋体"/>
                <w:color w:val="auto"/>
                <w:spacing w:val="-1"/>
                <w:highlight w:val="none"/>
              </w:rPr>
            </w:pPr>
            <w:r>
              <w:rPr>
                <w:rFonts w:ascii="宋体" w:hAnsi="宋体" w:eastAsia="宋体"/>
                <w:color w:val="auto"/>
                <w:spacing w:val="-1"/>
                <w:highlight w:val="none"/>
              </w:rPr>
              <w:t>符合第六章</w:t>
            </w:r>
            <w:r>
              <w:rPr>
                <w:rFonts w:ascii="Times New Roman" w:hAnsi="Times New Roman" w:eastAsia="Times New Roman"/>
                <w:color w:val="auto"/>
                <w:spacing w:val="-1"/>
                <w:highlight w:val="none"/>
              </w:rPr>
              <w:t>“</w:t>
            </w:r>
            <w:r>
              <w:rPr>
                <w:rFonts w:ascii="宋体" w:hAnsi="宋体" w:eastAsia="宋体"/>
                <w:color w:val="auto"/>
                <w:spacing w:val="-1"/>
                <w:highlight w:val="none"/>
              </w:rPr>
              <w:t>投标文件格</w:t>
            </w:r>
            <w:r>
              <w:rPr>
                <w:rFonts w:ascii="宋体" w:hAnsi="宋体" w:eastAsia="宋体"/>
                <w:color w:val="auto"/>
                <w:highlight w:val="none"/>
              </w:rPr>
              <w:t>式</w:t>
            </w:r>
            <w:r>
              <w:rPr>
                <w:rFonts w:ascii="Times New Roman" w:hAnsi="Times New Roman" w:eastAsia="Times New Roman"/>
                <w:color w:val="auto"/>
                <w:highlight w:val="none"/>
              </w:rPr>
              <w:t>”</w:t>
            </w:r>
            <w:r>
              <w:rPr>
                <w:rFonts w:ascii="宋体" w:hAnsi="宋体" w:eastAsia="宋体"/>
                <w:color w:val="auto"/>
                <w:highlight w:val="none"/>
              </w:rPr>
              <w:t>的规定</w:t>
            </w:r>
          </w:p>
        </w:tc>
      </w:tr>
      <w:tr w14:paraId="4B570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continue"/>
          </w:tcPr>
          <w:p w14:paraId="262A942C">
            <w:pPr>
              <w:rPr>
                <w:color w:val="auto"/>
                <w:highlight w:val="none"/>
              </w:rPr>
            </w:pPr>
          </w:p>
        </w:tc>
        <w:tc>
          <w:tcPr>
            <w:tcW w:w="1124" w:type="dxa"/>
            <w:vMerge w:val="continue"/>
          </w:tcPr>
          <w:p w14:paraId="50F8CF01">
            <w:pPr>
              <w:rPr>
                <w:color w:val="auto"/>
                <w:highlight w:val="none"/>
              </w:rPr>
            </w:pPr>
          </w:p>
        </w:tc>
        <w:tc>
          <w:tcPr>
            <w:tcW w:w="2035" w:type="dxa"/>
            <w:vAlign w:val="center"/>
          </w:tcPr>
          <w:p w14:paraId="61EE86D6">
            <w:pPr>
              <w:spacing w:line="360" w:lineRule="auto"/>
              <w:jc w:val="center"/>
              <w:rPr>
                <w:rFonts w:hint="eastAsia" w:ascii="宋体" w:hAnsi="宋体" w:eastAsia="宋体"/>
                <w:color w:val="auto"/>
                <w:spacing w:val="-2"/>
                <w:highlight w:val="none"/>
              </w:rPr>
            </w:pPr>
            <w:r>
              <w:rPr>
                <w:rFonts w:ascii="宋体" w:hAnsi="宋体" w:eastAsia="宋体"/>
                <w:color w:val="auto"/>
                <w:spacing w:val="-2"/>
                <w:highlight w:val="none"/>
              </w:rPr>
              <w:t>联合</w:t>
            </w:r>
            <w:r>
              <w:rPr>
                <w:rFonts w:ascii="宋体" w:hAnsi="宋体" w:eastAsia="宋体"/>
                <w:color w:val="auto"/>
                <w:spacing w:val="-1"/>
                <w:highlight w:val="none"/>
              </w:rPr>
              <w:t>体投标人</w:t>
            </w:r>
          </w:p>
        </w:tc>
        <w:tc>
          <w:tcPr>
            <w:tcW w:w="5367" w:type="dxa"/>
            <w:vAlign w:val="center"/>
          </w:tcPr>
          <w:p w14:paraId="3EBE2B9A">
            <w:pPr>
              <w:spacing w:before="172" w:line="440" w:lineRule="exact"/>
              <w:ind w:left="114"/>
              <w:rPr>
                <w:rFonts w:ascii="宋体" w:hAnsi="宋体" w:eastAsia="宋体" w:cs="宋体"/>
                <w:color w:val="auto"/>
                <w:sz w:val="21"/>
                <w:szCs w:val="21"/>
                <w:highlight w:val="none"/>
              </w:rPr>
            </w:pPr>
            <w:r>
              <w:rPr>
                <w:rFonts w:ascii="宋体" w:hAnsi="宋体" w:eastAsia="宋体" w:cs="宋体"/>
                <w:color w:val="auto"/>
                <w:spacing w:val="2"/>
                <w:position w:val="17"/>
                <w:sz w:val="21"/>
                <w:szCs w:val="21"/>
                <w:highlight w:val="none"/>
              </w:rPr>
              <w:t>提交符合招标文件要求的联合体协议书，明确</w:t>
            </w:r>
            <w:r>
              <w:rPr>
                <w:rFonts w:ascii="宋体" w:hAnsi="宋体" w:eastAsia="宋体" w:cs="宋体"/>
                <w:color w:val="auto"/>
                <w:position w:val="17"/>
                <w:sz w:val="21"/>
                <w:szCs w:val="21"/>
                <w:highlight w:val="none"/>
              </w:rPr>
              <w:t>各</w:t>
            </w:r>
          </w:p>
          <w:p w14:paraId="62CABC9A">
            <w:pPr>
              <w:spacing w:line="217" w:lineRule="auto"/>
              <w:ind w:left="210" w:leftChars="100" w:right="210" w:rightChars="100"/>
              <w:rPr>
                <w:rFonts w:hint="eastAsia" w:ascii="宋体" w:hAnsi="宋体" w:eastAsia="宋体"/>
                <w:color w:val="auto"/>
                <w:spacing w:val="2"/>
                <w:position w:val="17"/>
                <w:highlight w:val="none"/>
              </w:rPr>
            </w:pPr>
            <w:r>
              <w:rPr>
                <w:rFonts w:ascii="宋体" w:hAnsi="宋体" w:eastAsia="宋体" w:cs="宋体"/>
                <w:color w:val="auto"/>
                <w:spacing w:val="-1"/>
                <w:sz w:val="21"/>
                <w:szCs w:val="21"/>
                <w:highlight w:val="none"/>
              </w:rPr>
              <w:t>方承担连带责任，并</w:t>
            </w:r>
            <w:r>
              <w:rPr>
                <w:rFonts w:ascii="宋体" w:hAnsi="宋体" w:eastAsia="宋体" w:cs="宋体"/>
                <w:color w:val="auto"/>
                <w:sz w:val="21"/>
                <w:szCs w:val="21"/>
                <w:highlight w:val="none"/>
              </w:rPr>
              <w:t>明确联合体</w:t>
            </w:r>
            <w:r>
              <w:rPr>
                <w:rFonts w:hint="eastAsia" w:ascii="宋体" w:hAnsi="宋体" w:eastAsia="宋体" w:cs="宋体"/>
                <w:color w:val="auto"/>
                <w:sz w:val="21"/>
                <w:szCs w:val="21"/>
                <w:highlight w:val="none"/>
                <w:lang w:eastAsia="zh-CN"/>
              </w:rPr>
              <w:t>主办方</w:t>
            </w:r>
          </w:p>
        </w:tc>
      </w:tr>
      <w:tr w14:paraId="4BE4E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904" w:type="dxa"/>
            <w:vMerge w:val="continue"/>
          </w:tcPr>
          <w:p w14:paraId="25B60BF8">
            <w:pPr>
              <w:rPr>
                <w:color w:val="auto"/>
                <w:highlight w:val="none"/>
              </w:rPr>
            </w:pPr>
          </w:p>
        </w:tc>
        <w:tc>
          <w:tcPr>
            <w:tcW w:w="1124" w:type="dxa"/>
            <w:vMerge w:val="continue"/>
          </w:tcPr>
          <w:p w14:paraId="4AFD0D77">
            <w:pPr>
              <w:rPr>
                <w:color w:val="auto"/>
                <w:highlight w:val="none"/>
              </w:rPr>
            </w:pPr>
          </w:p>
        </w:tc>
        <w:tc>
          <w:tcPr>
            <w:tcW w:w="2035" w:type="dxa"/>
            <w:vAlign w:val="center"/>
          </w:tcPr>
          <w:p w14:paraId="2DD629BE">
            <w:pPr>
              <w:spacing w:line="360" w:lineRule="auto"/>
              <w:jc w:val="center"/>
              <w:rPr>
                <w:rFonts w:hint="eastAsia" w:ascii="宋体" w:hAnsi="宋体" w:eastAsia="宋体"/>
                <w:color w:val="auto"/>
                <w:spacing w:val="-2"/>
                <w:highlight w:val="none"/>
              </w:rPr>
            </w:pPr>
            <w:r>
              <w:rPr>
                <w:rFonts w:ascii="宋体" w:hAnsi="宋体" w:eastAsia="宋体"/>
                <w:color w:val="auto"/>
                <w:spacing w:val="-2"/>
                <w:highlight w:val="none"/>
              </w:rPr>
              <w:t>备选投</w:t>
            </w:r>
            <w:r>
              <w:rPr>
                <w:rFonts w:ascii="宋体" w:hAnsi="宋体" w:eastAsia="宋体"/>
                <w:color w:val="auto"/>
                <w:spacing w:val="-1"/>
                <w:highlight w:val="none"/>
              </w:rPr>
              <w:t>标方案</w:t>
            </w:r>
          </w:p>
        </w:tc>
        <w:tc>
          <w:tcPr>
            <w:tcW w:w="5367" w:type="dxa"/>
          </w:tcPr>
          <w:p w14:paraId="4F0E527B">
            <w:pPr>
              <w:spacing w:before="172" w:line="220" w:lineRule="auto"/>
              <w:ind w:left="210" w:leftChars="100" w:right="210" w:rightChars="100"/>
              <w:rPr>
                <w:rFonts w:hint="eastAsia" w:ascii="宋体" w:hAnsi="宋体" w:eastAsia="宋体"/>
                <w:color w:val="auto"/>
                <w:spacing w:val="-1"/>
                <w:highlight w:val="none"/>
              </w:rPr>
            </w:pPr>
            <w:r>
              <w:rPr>
                <w:rFonts w:ascii="宋体" w:hAnsi="宋体" w:eastAsia="宋体"/>
                <w:color w:val="auto"/>
                <w:spacing w:val="-1"/>
                <w:highlight w:val="none"/>
              </w:rPr>
              <w:t>除招标文件明确允许提交备选投标方案外，投标人不得提交备选投标方案</w:t>
            </w:r>
          </w:p>
        </w:tc>
      </w:tr>
      <w:tr w14:paraId="02A69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904" w:type="dxa"/>
            <w:vMerge w:val="continue"/>
          </w:tcPr>
          <w:p w14:paraId="19284AA0">
            <w:pPr>
              <w:rPr>
                <w:color w:val="auto"/>
                <w:highlight w:val="none"/>
              </w:rPr>
            </w:pPr>
          </w:p>
        </w:tc>
        <w:tc>
          <w:tcPr>
            <w:tcW w:w="1124" w:type="dxa"/>
            <w:vMerge w:val="continue"/>
          </w:tcPr>
          <w:p w14:paraId="7EED7302">
            <w:pPr>
              <w:rPr>
                <w:color w:val="auto"/>
                <w:highlight w:val="none"/>
              </w:rPr>
            </w:pPr>
          </w:p>
        </w:tc>
        <w:tc>
          <w:tcPr>
            <w:tcW w:w="2035" w:type="dxa"/>
            <w:vAlign w:val="center"/>
          </w:tcPr>
          <w:p w14:paraId="30ECD1B9">
            <w:pPr>
              <w:jc w:val="center"/>
              <w:rPr>
                <w:color w:val="auto"/>
                <w:highlight w:val="none"/>
              </w:rPr>
            </w:pPr>
            <w:r>
              <w:rPr>
                <w:rFonts w:hint="eastAsia"/>
                <w:color w:val="auto"/>
                <w:highlight w:val="none"/>
              </w:rPr>
              <w:t>投标人机器码</w:t>
            </w:r>
          </w:p>
        </w:tc>
        <w:tc>
          <w:tcPr>
            <w:tcW w:w="5367" w:type="dxa"/>
            <w:vAlign w:val="center"/>
          </w:tcPr>
          <w:p w14:paraId="6B0F2695">
            <w:pPr>
              <w:ind w:left="210" w:leftChars="100" w:right="210" w:rightChars="100"/>
              <w:jc w:val="both"/>
              <w:rPr>
                <w:color w:val="auto"/>
                <w:highlight w:val="none"/>
              </w:rPr>
            </w:pPr>
            <w:r>
              <w:rPr>
                <w:rFonts w:hint="eastAsia"/>
                <w:color w:val="auto"/>
                <w:highlight w:val="none"/>
              </w:rPr>
              <w:t>投标人与本项目其他投标人加密打包投标文件电脑机器特征码不一致的(以广州交易集团有限公司（广州公共资源交易中心）交易平台</w:t>
            </w:r>
            <w:r>
              <w:rPr>
                <w:rFonts w:hint="eastAsia" w:eastAsia="宋体"/>
                <w:color w:val="auto"/>
                <w:highlight w:val="none"/>
              </w:rPr>
              <w:t>开标</w:t>
            </w:r>
            <w:r>
              <w:rPr>
                <w:rFonts w:hint="eastAsia"/>
                <w:color w:val="auto"/>
                <w:highlight w:val="none"/>
              </w:rPr>
              <w:t>系统的检索信息为准)</w:t>
            </w:r>
          </w:p>
        </w:tc>
      </w:tr>
      <w:tr w14:paraId="2DB57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04" w:type="dxa"/>
            <w:vMerge w:val="restart"/>
          </w:tcPr>
          <w:p w14:paraId="54F674D7">
            <w:pPr>
              <w:spacing w:line="269" w:lineRule="auto"/>
              <w:rPr>
                <w:color w:val="auto"/>
                <w:highlight w:val="none"/>
              </w:rPr>
            </w:pPr>
          </w:p>
          <w:p w14:paraId="7F6306A4">
            <w:pPr>
              <w:spacing w:line="269" w:lineRule="auto"/>
              <w:rPr>
                <w:color w:val="auto"/>
                <w:highlight w:val="none"/>
              </w:rPr>
            </w:pPr>
          </w:p>
          <w:p w14:paraId="4E539CBB">
            <w:pPr>
              <w:spacing w:line="269" w:lineRule="auto"/>
              <w:rPr>
                <w:color w:val="auto"/>
                <w:highlight w:val="none"/>
              </w:rPr>
            </w:pPr>
          </w:p>
          <w:p w14:paraId="412C1DF3">
            <w:pPr>
              <w:spacing w:line="270" w:lineRule="auto"/>
              <w:rPr>
                <w:color w:val="auto"/>
                <w:highlight w:val="none"/>
              </w:rPr>
            </w:pPr>
          </w:p>
          <w:p w14:paraId="5E9FEF2B">
            <w:pPr>
              <w:spacing w:line="270" w:lineRule="auto"/>
              <w:rPr>
                <w:color w:val="auto"/>
                <w:highlight w:val="none"/>
              </w:rPr>
            </w:pPr>
          </w:p>
          <w:p w14:paraId="4DA18482">
            <w:pPr>
              <w:spacing w:line="270" w:lineRule="auto"/>
              <w:rPr>
                <w:color w:val="auto"/>
                <w:highlight w:val="none"/>
              </w:rPr>
            </w:pPr>
          </w:p>
          <w:p w14:paraId="5D14B247">
            <w:pPr>
              <w:spacing w:line="270" w:lineRule="auto"/>
              <w:rPr>
                <w:color w:val="auto"/>
                <w:highlight w:val="none"/>
              </w:rPr>
            </w:pPr>
          </w:p>
          <w:p w14:paraId="06091AD9">
            <w:pPr>
              <w:spacing w:line="270" w:lineRule="auto"/>
              <w:rPr>
                <w:color w:val="auto"/>
                <w:highlight w:val="none"/>
              </w:rPr>
            </w:pPr>
          </w:p>
          <w:p w14:paraId="5A13CC0F">
            <w:pPr>
              <w:spacing w:before="61" w:line="186" w:lineRule="auto"/>
              <w:ind w:left="244"/>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2.1</w:t>
            </w:r>
            <w:r>
              <w:rPr>
                <w:rFonts w:ascii="Times New Roman" w:hAnsi="Times New Roman" w:eastAsia="Times New Roman"/>
                <w:color w:val="auto"/>
                <w:highlight w:val="none"/>
              </w:rPr>
              <w:t>.3</w:t>
            </w:r>
          </w:p>
        </w:tc>
        <w:tc>
          <w:tcPr>
            <w:tcW w:w="1124" w:type="dxa"/>
            <w:vMerge w:val="restart"/>
          </w:tcPr>
          <w:p w14:paraId="6E0D90BD">
            <w:pPr>
              <w:spacing w:line="270" w:lineRule="auto"/>
              <w:rPr>
                <w:color w:val="auto"/>
                <w:highlight w:val="none"/>
              </w:rPr>
            </w:pPr>
          </w:p>
          <w:p w14:paraId="232A149F">
            <w:pPr>
              <w:spacing w:line="270" w:lineRule="auto"/>
              <w:rPr>
                <w:color w:val="auto"/>
                <w:highlight w:val="none"/>
              </w:rPr>
            </w:pPr>
          </w:p>
          <w:p w14:paraId="16C989DF">
            <w:pPr>
              <w:spacing w:line="270" w:lineRule="auto"/>
              <w:rPr>
                <w:color w:val="auto"/>
                <w:highlight w:val="none"/>
              </w:rPr>
            </w:pPr>
          </w:p>
          <w:p w14:paraId="5F62C761">
            <w:pPr>
              <w:spacing w:before="202" w:line="221" w:lineRule="auto"/>
              <w:jc w:val="center"/>
              <w:rPr>
                <w:rFonts w:hint="eastAsia" w:ascii="宋体" w:hAnsi="宋体" w:eastAsia="宋体"/>
                <w:color w:val="auto"/>
                <w:spacing w:val="-4"/>
                <w:highlight w:val="none"/>
              </w:rPr>
            </w:pPr>
            <w:r>
              <w:rPr>
                <w:rFonts w:ascii="宋体" w:hAnsi="宋体" w:eastAsia="宋体"/>
                <w:color w:val="auto"/>
                <w:spacing w:val="-4"/>
                <w:highlight w:val="none"/>
              </w:rPr>
              <w:t>响应性评 审标准</w:t>
            </w:r>
          </w:p>
        </w:tc>
        <w:tc>
          <w:tcPr>
            <w:tcW w:w="2035" w:type="dxa"/>
            <w:vAlign w:val="center"/>
          </w:tcPr>
          <w:p w14:paraId="5464BFA9">
            <w:pPr>
              <w:spacing w:line="360" w:lineRule="auto"/>
              <w:jc w:val="center"/>
              <w:rPr>
                <w:rFonts w:hint="eastAsia" w:ascii="宋体" w:hAnsi="宋体" w:eastAsia="宋体"/>
                <w:color w:val="auto"/>
                <w:spacing w:val="-3"/>
                <w:highlight w:val="none"/>
              </w:rPr>
            </w:pPr>
            <w:r>
              <w:rPr>
                <w:rFonts w:ascii="宋体" w:hAnsi="宋体" w:eastAsia="宋体"/>
                <w:color w:val="auto"/>
                <w:spacing w:val="-3"/>
                <w:highlight w:val="none"/>
              </w:rPr>
              <w:t>投</w:t>
            </w:r>
            <w:r>
              <w:rPr>
                <w:rFonts w:ascii="宋体" w:hAnsi="宋体" w:eastAsia="宋体"/>
                <w:color w:val="auto"/>
                <w:spacing w:val="-2"/>
                <w:highlight w:val="none"/>
              </w:rPr>
              <w:t>标报价</w:t>
            </w:r>
          </w:p>
        </w:tc>
        <w:tc>
          <w:tcPr>
            <w:tcW w:w="5367" w:type="dxa"/>
          </w:tcPr>
          <w:p w14:paraId="0988A13C">
            <w:pPr>
              <w:spacing w:before="171" w:line="220" w:lineRule="auto"/>
              <w:ind w:left="210" w:leftChars="100" w:right="210" w:rightChars="100"/>
              <w:rPr>
                <w:rFonts w:hint="eastAsia" w:ascii="宋体" w:hAnsi="宋体" w:eastAsia="宋体"/>
                <w:color w:val="auto"/>
                <w:spacing w:val="-3"/>
                <w:highlight w:val="none"/>
              </w:rPr>
            </w:pPr>
            <w:r>
              <w:rPr>
                <w:rFonts w:ascii="宋体" w:hAnsi="宋体" w:eastAsia="宋体"/>
                <w:color w:val="auto"/>
                <w:spacing w:val="-3"/>
                <w:highlight w:val="none"/>
              </w:rPr>
              <w:t>符合第二章</w:t>
            </w:r>
            <w:r>
              <w:rPr>
                <w:rFonts w:ascii="Times New Roman" w:hAnsi="Times New Roman" w:eastAsia="Times New Roman"/>
                <w:color w:val="auto"/>
                <w:spacing w:val="-3"/>
                <w:highlight w:val="none"/>
              </w:rPr>
              <w:t>“</w:t>
            </w:r>
            <w:r>
              <w:rPr>
                <w:rFonts w:ascii="宋体" w:hAnsi="宋体" w:eastAsia="宋体"/>
                <w:color w:val="auto"/>
                <w:spacing w:val="-3"/>
                <w:highlight w:val="none"/>
              </w:rPr>
              <w:t>投标人须知</w:t>
            </w:r>
            <w:r>
              <w:rPr>
                <w:rFonts w:ascii="Times New Roman" w:hAnsi="Times New Roman" w:eastAsia="Times New Roman"/>
                <w:color w:val="auto"/>
                <w:spacing w:val="-3"/>
                <w:highlight w:val="none"/>
              </w:rPr>
              <w:t>”</w:t>
            </w:r>
            <w:r>
              <w:rPr>
                <w:rFonts w:ascii="宋体" w:hAnsi="宋体" w:eastAsia="宋体"/>
                <w:color w:val="auto"/>
                <w:spacing w:val="-3"/>
                <w:highlight w:val="none"/>
              </w:rPr>
              <w:t xml:space="preserve">第 </w:t>
            </w:r>
            <w:r>
              <w:rPr>
                <w:rFonts w:ascii="Times New Roman" w:hAnsi="Times New Roman" w:eastAsia="Times New Roman"/>
                <w:color w:val="auto"/>
                <w:spacing w:val="-3"/>
                <w:highlight w:val="none"/>
              </w:rPr>
              <w:t xml:space="preserve">3.2 </w:t>
            </w:r>
            <w:r>
              <w:rPr>
                <w:rFonts w:ascii="宋体" w:hAnsi="宋体" w:eastAsia="宋体"/>
                <w:color w:val="auto"/>
                <w:spacing w:val="-3"/>
                <w:highlight w:val="none"/>
              </w:rPr>
              <w:t>款规</w:t>
            </w:r>
            <w:r>
              <w:rPr>
                <w:rFonts w:ascii="宋体" w:hAnsi="宋体" w:eastAsia="宋体"/>
                <w:color w:val="auto"/>
                <w:spacing w:val="-2"/>
                <w:highlight w:val="none"/>
              </w:rPr>
              <w:t>定</w:t>
            </w:r>
          </w:p>
        </w:tc>
      </w:tr>
      <w:tr w14:paraId="39126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04" w:type="dxa"/>
            <w:vMerge w:val="continue"/>
          </w:tcPr>
          <w:p w14:paraId="1EDBD8D1">
            <w:pPr>
              <w:rPr>
                <w:color w:val="auto"/>
                <w:highlight w:val="none"/>
              </w:rPr>
            </w:pPr>
          </w:p>
        </w:tc>
        <w:tc>
          <w:tcPr>
            <w:tcW w:w="1124" w:type="dxa"/>
            <w:vMerge w:val="continue"/>
          </w:tcPr>
          <w:p w14:paraId="42D54871">
            <w:pPr>
              <w:rPr>
                <w:color w:val="auto"/>
                <w:highlight w:val="none"/>
              </w:rPr>
            </w:pPr>
          </w:p>
        </w:tc>
        <w:tc>
          <w:tcPr>
            <w:tcW w:w="2035" w:type="dxa"/>
            <w:vAlign w:val="center"/>
          </w:tcPr>
          <w:p w14:paraId="7DD389DE">
            <w:pPr>
              <w:spacing w:line="360" w:lineRule="auto"/>
              <w:jc w:val="center"/>
              <w:rPr>
                <w:rFonts w:hint="eastAsia" w:ascii="宋体" w:hAnsi="宋体" w:eastAsia="宋体"/>
                <w:color w:val="auto"/>
                <w:spacing w:val="-3"/>
                <w:highlight w:val="none"/>
              </w:rPr>
            </w:pPr>
            <w:r>
              <w:rPr>
                <w:rFonts w:ascii="宋体" w:hAnsi="宋体" w:eastAsia="宋体"/>
                <w:color w:val="auto"/>
                <w:spacing w:val="-3"/>
                <w:highlight w:val="none"/>
              </w:rPr>
              <w:t>投</w:t>
            </w:r>
            <w:r>
              <w:rPr>
                <w:rFonts w:ascii="宋体" w:hAnsi="宋体" w:eastAsia="宋体"/>
                <w:color w:val="auto"/>
                <w:spacing w:val="-2"/>
                <w:highlight w:val="none"/>
              </w:rPr>
              <w:t>标内容</w:t>
            </w:r>
          </w:p>
        </w:tc>
        <w:tc>
          <w:tcPr>
            <w:tcW w:w="5367" w:type="dxa"/>
          </w:tcPr>
          <w:p w14:paraId="64CAA455">
            <w:pPr>
              <w:spacing w:before="171" w:line="220" w:lineRule="auto"/>
              <w:ind w:left="210" w:leftChars="100" w:right="210" w:rightChars="100"/>
              <w:rPr>
                <w:rFonts w:hint="eastAsia" w:ascii="宋体" w:hAnsi="宋体" w:eastAsia="宋体"/>
                <w:color w:val="auto"/>
                <w:spacing w:val="-4"/>
                <w:highlight w:val="none"/>
              </w:rPr>
            </w:pPr>
            <w:r>
              <w:rPr>
                <w:rFonts w:ascii="宋体" w:hAnsi="宋体" w:eastAsia="宋体"/>
                <w:color w:val="auto"/>
                <w:spacing w:val="-4"/>
                <w:highlight w:val="none"/>
              </w:rPr>
              <w:t>符合第二章</w:t>
            </w:r>
            <w:r>
              <w:rPr>
                <w:rFonts w:ascii="Times New Roman" w:hAnsi="Times New Roman" w:eastAsia="Times New Roman"/>
                <w:color w:val="auto"/>
                <w:spacing w:val="-4"/>
                <w:highlight w:val="none"/>
              </w:rPr>
              <w:t>“</w:t>
            </w:r>
            <w:r>
              <w:rPr>
                <w:rFonts w:ascii="宋体" w:hAnsi="宋体" w:eastAsia="宋体"/>
                <w:color w:val="auto"/>
                <w:spacing w:val="-4"/>
                <w:highlight w:val="none"/>
              </w:rPr>
              <w:t>投</w:t>
            </w:r>
            <w:r>
              <w:rPr>
                <w:rFonts w:ascii="宋体" w:hAnsi="宋体" w:eastAsia="宋体"/>
                <w:color w:val="auto"/>
                <w:spacing w:val="-2"/>
                <w:highlight w:val="none"/>
              </w:rPr>
              <w:t>标人须知</w:t>
            </w:r>
            <w:r>
              <w:rPr>
                <w:rFonts w:ascii="Times New Roman" w:hAnsi="Times New Roman" w:eastAsia="Times New Roman"/>
                <w:color w:val="auto"/>
                <w:spacing w:val="-2"/>
                <w:highlight w:val="none"/>
              </w:rPr>
              <w:t>”</w:t>
            </w:r>
            <w:r>
              <w:rPr>
                <w:rFonts w:ascii="宋体" w:hAnsi="宋体" w:eastAsia="宋体"/>
                <w:color w:val="auto"/>
                <w:spacing w:val="-2"/>
                <w:highlight w:val="none"/>
              </w:rPr>
              <w:t xml:space="preserve">第 </w:t>
            </w:r>
            <w:r>
              <w:rPr>
                <w:rFonts w:ascii="Times New Roman" w:hAnsi="Times New Roman" w:eastAsia="Times New Roman"/>
                <w:color w:val="auto"/>
                <w:spacing w:val="-2"/>
                <w:highlight w:val="none"/>
              </w:rPr>
              <w:t xml:space="preserve">1.3.1 </w:t>
            </w:r>
            <w:r>
              <w:rPr>
                <w:rFonts w:ascii="宋体" w:hAnsi="宋体" w:eastAsia="宋体"/>
                <w:color w:val="auto"/>
                <w:spacing w:val="-2"/>
                <w:highlight w:val="none"/>
              </w:rPr>
              <w:t>项规定</w:t>
            </w:r>
          </w:p>
        </w:tc>
      </w:tr>
      <w:tr w14:paraId="3BD48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04" w:type="dxa"/>
            <w:vMerge w:val="continue"/>
          </w:tcPr>
          <w:p w14:paraId="57524C26">
            <w:pPr>
              <w:rPr>
                <w:color w:val="auto"/>
                <w:highlight w:val="none"/>
              </w:rPr>
            </w:pPr>
          </w:p>
        </w:tc>
        <w:tc>
          <w:tcPr>
            <w:tcW w:w="1124" w:type="dxa"/>
            <w:vMerge w:val="continue"/>
          </w:tcPr>
          <w:p w14:paraId="773188C6">
            <w:pPr>
              <w:rPr>
                <w:color w:val="auto"/>
                <w:highlight w:val="none"/>
              </w:rPr>
            </w:pPr>
          </w:p>
        </w:tc>
        <w:tc>
          <w:tcPr>
            <w:tcW w:w="2035" w:type="dxa"/>
            <w:vAlign w:val="center"/>
          </w:tcPr>
          <w:p w14:paraId="234C2A87">
            <w:pPr>
              <w:spacing w:line="360" w:lineRule="auto"/>
              <w:jc w:val="center"/>
              <w:rPr>
                <w:rFonts w:hint="eastAsia" w:ascii="宋体" w:hAnsi="宋体" w:eastAsia="宋体"/>
                <w:color w:val="auto"/>
                <w:spacing w:val="-2"/>
                <w:highlight w:val="none"/>
              </w:rPr>
            </w:pPr>
            <w:r>
              <w:rPr>
                <w:rFonts w:hint="eastAsia" w:ascii="宋体" w:hAnsi="宋体" w:eastAsia="宋体"/>
                <w:color w:val="auto"/>
                <w:spacing w:val="-2"/>
                <w:highlight w:val="none"/>
              </w:rPr>
              <w:t>勘察</w:t>
            </w:r>
            <w:r>
              <w:rPr>
                <w:rFonts w:ascii="宋体" w:hAnsi="宋体" w:eastAsia="宋体"/>
                <w:color w:val="auto"/>
                <w:spacing w:val="-2"/>
                <w:highlight w:val="none"/>
              </w:rPr>
              <w:t>设计服务</w:t>
            </w:r>
            <w:r>
              <w:rPr>
                <w:rFonts w:ascii="宋体" w:hAnsi="宋体" w:eastAsia="宋体"/>
                <w:color w:val="auto"/>
                <w:spacing w:val="-1"/>
                <w:highlight w:val="none"/>
              </w:rPr>
              <w:t>期限</w:t>
            </w:r>
          </w:p>
        </w:tc>
        <w:tc>
          <w:tcPr>
            <w:tcW w:w="5367" w:type="dxa"/>
          </w:tcPr>
          <w:p w14:paraId="2154E7CD">
            <w:pPr>
              <w:spacing w:before="171" w:line="220" w:lineRule="auto"/>
              <w:ind w:left="210" w:leftChars="100" w:right="210" w:rightChars="100"/>
              <w:rPr>
                <w:rFonts w:hint="eastAsia" w:ascii="宋体" w:hAnsi="宋体" w:eastAsia="宋体"/>
                <w:color w:val="auto"/>
                <w:spacing w:val="-4"/>
                <w:highlight w:val="none"/>
              </w:rPr>
            </w:pPr>
            <w:r>
              <w:rPr>
                <w:rFonts w:ascii="宋体" w:hAnsi="宋体" w:eastAsia="宋体"/>
                <w:color w:val="auto"/>
                <w:spacing w:val="-4"/>
                <w:highlight w:val="none"/>
              </w:rPr>
              <w:t>符合第二章</w:t>
            </w:r>
            <w:r>
              <w:rPr>
                <w:rFonts w:ascii="Times New Roman" w:hAnsi="Times New Roman" w:eastAsia="Times New Roman"/>
                <w:color w:val="auto"/>
                <w:spacing w:val="-4"/>
                <w:highlight w:val="none"/>
              </w:rPr>
              <w:t>“</w:t>
            </w:r>
            <w:r>
              <w:rPr>
                <w:rFonts w:ascii="宋体" w:hAnsi="宋体" w:eastAsia="宋体"/>
                <w:color w:val="auto"/>
                <w:spacing w:val="-4"/>
                <w:highlight w:val="none"/>
              </w:rPr>
              <w:t>投</w:t>
            </w:r>
            <w:r>
              <w:rPr>
                <w:rFonts w:ascii="宋体" w:hAnsi="宋体" w:eastAsia="宋体"/>
                <w:color w:val="auto"/>
                <w:spacing w:val="-2"/>
                <w:highlight w:val="none"/>
              </w:rPr>
              <w:t>标人须知</w:t>
            </w:r>
            <w:r>
              <w:rPr>
                <w:rFonts w:ascii="Times New Roman" w:hAnsi="Times New Roman" w:eastAsia="Times New Roman"/>
                <w:color w:val="auto"/>
                <w:spacing w:val="-2"/>
                <w:highlight w:val="none"/>
              </w:rPr>
              <w:t>”</w:t>
            </w:r>
            <w:r>
              <w:rPr>
                <w:rFonts w:ascii="宋体" w:hAnsi="宋体" w:eastAsia="宋体"/>
                <w:color w:val="auto"/>
                <w:spacing w:val="-2"/>
                <w:highlight w:val="none"/>
              </w:rPr>
              <w:t xml:space="preserve">第 </w:t>
            </w:r>
            <w:r>
              <w:rPr>
                <w:rFonts w:ascii="Times New Roman" w:hAnsi="Times New Roman" w:eastAsia="Times New Roman"/>
                <w:color w:val="auto"/>
                <w:spacing w:val="-2"/>
                <w:highlight w:val="none"/>
              </w:rPr>
              <w:t xml:space="preserve">1.3.2 </w:t>
            </w:r>
            <w:r>
              <w:rPr>
                <w:rFonts w:ascii="宋体" w:hAnsi="宋体" w:eastAsia="宋体"/>
                <w:color w:val="auto"/>
                <w:spacing w:val="-2"/>
                <w:highlight w:val="none"/>
              </w:rPr>
              <w:t>项规定</w:t>
            </w:r>
          </w:p>
        </w:tc>
      </w:tr>
      <w:tr w14:paraId="7533D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04" w:type="dxa"/>
            <w:vMerge w:val="continue"/>
          </w:tcPr>
          <w:p w14:paraId="1AD47AB6">
            <w:pPr>
              <w:rPr>
                <w:color w:val="auto"/>
                <w:highlight w:val="none"/>
              </w:rPr>
            </w:pPr>
          </w:p>
        </w:tc>
        <w:tc>
          <w:tcPr>
            <w:tcW w:w="1124" w:type="dxa"/>
            <w:vMerge w:val="continue"/>
          </w:tcPr>
          <w:p w14:paraId="25919E92">
            <w:pPr>
              <w:rPr>
                <w:color w:val="auto"/>
                <w:highlight w:val="none"/>
              </w:rPr>
            </w:pPr>
          </w:p>
        </w:tc>
        <w:tc>
          <w:tcPr>
            <w:tcW w:w="2035" w:type="dxa"/>
            <w:vAlign w:val="center"/>
          </w:tcPr>
          <w:p w14:paraId="7BBCF512">
            <w:pPr>
              <w:spacing w:line="360" w:lineRule="auto"/>
              <w:jc w:val="center"/>
              <w:rPr>
                <w:rFonts w:hint="eastAsia" w:ascii="宋体" w:hAnsi="宋体" w:eastAsia="宋体"/>
                <w:color w:val="auto"/>
                <w:spacing w:val="-2"/>
                <w:highlight w:val="none"/>
              </w:rPr>
            </w:pPr>
            <w:r>
              <w:rPr>
                <w:rFonts w:ascii="宋体" w:hAnsi="宋体" w:eastAsia="宋体"/>
                <w:color w:val="auto"/>
                <w:spacing w:val="-2"/>
                <w:highlight w:val="none"/>
              </w:rPr>
              <w:t>质量标</w:t>
            </w:r>
            <w:r>
              <w:rPr>
                <w:rFonts w:ascii="宋体" w:hAnsi="宋体" w:eastAsia="宋体"/>
                <w:color w:val="auto"/>
                <w:spacing w:val="-1"/>
                <w:highlight w:val="none"/>
              </w:rPr>
              <w:t>准</w:t>
            </w:r>
          </w:p>
        </w:tc>
        <w:tc>
          <w:tcPr>
            <w:tcW w:w="5367" w:type="dxa"/>
          </w:tcPr>
          <w:p w14:paraId="4938DC96">
            <w:pPr>
              <w:spacing w:before="171" w:line="220" w:lineRule="auto"/>
              <w:ind w:left="210" w:leftChars="100" w:right="210" w:rightChars="100"/>
              <w:rPr>
                <w:rFonts w:hint="eastAsia" w:ascii="宋体" w:hAnsi="宋体" w:eastAsia="宋体"/>
                <w:color w:val="auto"/>
                <w:spacing w:val="-4"/>
                <w:highlight w:val="none"/>
              </w:rPr>
            </w:pPr>
            <w:r>
              <w:rPr>
                <w:rFonts w:ascii="宋体" w:hAnsi="宋体" w:eastAsia="宋体"/>
                <w:color w:val="auto"/>
                <w:spacing w:val="-4"/>
                <w:highlight w:val="none"/>
              </w:rPr>
              <w:t>符合第二章</w:t>
            </w:r>
            <w:r>
              <w:rPr>
                <w:rFonts w:ascii="Times New Roman" w:hAnsi="Times New Roman" w:eastAsia="Times New Roman"/>
                <w:color w:val="auto"/>
                <w:spacing w:val="-4"/>
                <w:highlight w:val="none"/>
              </w:rPr>
              <w:t>“</w:t>
            </w:r>
            <w:r>
              <w:rPr>
                <w:rFonts w:ascii="宋体" w:hAnsi="宋体" w:eastAsia="宋体"/>
                <w:color w:val="auto"/>
                <w:spacing w:val="-4"/>
                <w:highlight w:val="none"/>
              </w:rPr>
              <w:t>投</w:t>
            </w:r>
            <w:r>
              <w:rPr>
                <w:rFonts w:ascii="宋体" w:hAnsi="宋体" w:eastAsia="宋体"/>
                <w:color w:val="auto"/>
                <w:spacing w:val="-2"/>
                <w:highlight w:val="none"/>
              </w:rPr>
              <w:t>标人须知</w:t>
            </w:r>
            <w:r>
              <w:rPr>
                <w:rFonts w:ascii="Times New Roman" w:hAnsi="Times New Roman" w:eastAsia="Times New Roman"/>
                <w:color w:val="auto"/>
                <w:spacing w:val="-2"/>
                <w:highlight w:val="none"/>
              </w:rPr>
              <w:t>”</w:t>
            </w:r>
            <w:r>
              <w:rPr>
                <w:rFonts w:ascii="宋体" w:hAnsi="宋体" w:eastAsia="宋体"/>
                <w:color w:val="auto"/>
                <w:spacing w:val="-2"/>
                <w:highlight w:val="none"/>
              </w:rPr>
              <w:t xml:space="preserve">第 </w:t>
            </w:r>
            <w:r>
              <w:rPr>
                <w:rFonts w:ascii="Times New Roman" w:hAnsi="Times New Roman" w:eastAsia="Times New Roman"/>
                <w:color w:val="auto"/>
                <w:spacing w:val="-2"/>
                <w:highlight w:val="none"/>
              </w:rPr>
              <w:t xml:space="preserve">1.3.3 </w:t>
            </w:r>
            <w:r>
              <w:rPr>
                <w:rFonts w:ascii="宋体" w:hAnsi="宋体" w:eastAsia="宋体"/>
                <w:color w:val="auto"/>
                <w:spacing w:val="-2"/>
                <w:highlight w:val="none"/>
              </w:rPr>
              <w:t>项规定</w:t>
            </w:r>
          </w:p>
        </w:tc>
      </w:tr>
      <w:tr w14:paraId="73486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904" w:type="dxa"/>
            <w:vMerge w:val="continue"/>
          </w:tcPr>
          <w:p w14:paraId="331466E0">
            <w:pPr>
              <w:rPr>
                <w:color w:val="auto"/>
                <w:highlight w:val="none"/>
              </w:rPr>
            </w:pPr>
          </w:p>
        </w:tc>
        <w:tc>
          <w:tcPr>
            <w:tcW w:w="1124" w:type="dxa"/>
            <w:vMerge w:val="continue"/>
          </w:tcPr>
          <w:p w14:paraId="6F0E2C9F">
            <w:pPr>
              <w:rPr>
                <w:color w:val="auto"/>
                <w:highlight w:val="none"/>
              </w:rPr>
            </w:pPr>
          </w:p>
        </w:tc>
        <w:tc>
          <w:tcPr>
            <w:tcW w:w="2035" w:type="dxa"/>
            <w:vAlign w:val="center"/>
          </w:tcPr>
          <w:p w14:paraId="6E8E670E">
            <w:pPr>
              <w:spacing w:line="360" w:lineRule="auto"/>
              <w:jc w:val="center"/>
              <w:rPr>
                <w:rFonts w:hint="eastAsia" w:ascii="宋体" w:hAnsi="宋体" w:eastAsia="宋体"/>
                <w:color w:val="auto"/>
                <w:spacing w:val="-2"/>
                <w:highlight w:val="none"/>
              </w:rPr>
            </w:pPr>
            <w:r>
              <w:rPr>
                <w:rFonts w:ascii="宋体" w:hAnsi="宋体" w:eastAsia="宋体"/>
                <w:color w:val="auto"/>
                <w:spacing w:val="-2"/>
                <w:highlight w:val="none"/>
              </w:rPr>
              <w:t>投标有效</w:t>
            </w:r>
            <w:r>
              <w:rPr>
                <w:rFonts w:ascii="宋体" w:hAnsi="宋体" w:eastAsia="宋体"/>
                <w:color w:val="auto"/>
                <w:spacing w:val="-1"/>
                <w:highlight w:val="none"/>
              </w:rPr>
              <w:t>期</w:t>
            </w:r>
          </w:p>
        </w:tc>
        <w:tc>
          <w:tcPr>
            <w:tcW w:w="5367" w:type="dxa"/>
          </w:tcPr>
          <w:p w14:paraId="66E0717A">
            <w:pPr>
              <w:spacing w:before="171" w:line="220" w:lineRule="auto"/>
              <w:ind w:left="210" w:leftChars="100" w:right="210" w:rightChars="100"/>
              <w:rPr>
                <w:rFonts w:hint="eastAsia" w:ascii="宋体" w:hAnsi="宋体" w:eastAsia="宋体"/>
                <w:color w:val="auto"/>
                <w:spacing w:val="-4"/>
                <w:highlight w:val="none"/>
              </w:rPr>
            </w:pPr>
            <w:r>
              <w:rPr>
                <w:rFonts w:ascii="宋体" w:hAnsi="宋体" w:eastAsia="宋体"/>
                <w:color w:val="auto"/>
                <w:spacing w:val="-4"/>
                <w:highlight w:val="none"/>
              </w:rPr>
              <w:t>符合第二章</w:t>
            </w:r>
            <w:r>
              <w:rPr>
                <w:rFonts w:ascii="Times New Roman" w:hAnsi="Times New Roman" w:eastAsia="Times New Roman"/>
                <w:color w:val="auto"/>
                <w:spacing w:val="-4"/>
                <w:highlight w:val="none"/>
              </w:rPr>
              <w:t>“</w:t>
            </w:r>
            <w:r>
              <w:rPr>
                <w:rFonts w:ascii="宋体" w:hAnsi="宋体" w:eastAsia="宋体"/>
                <w:color w:val="auto"/>
                <w:spacing w:val="-4"/>
                <w:highlight w:val="none"/>
              </w:rPr>
              <w:t>投</w:t>
            </w:r>
            <w:r>
              <w:rPr>
                <w:rFonts w:ascii="宋体" w:hAnsi="宋体" w:eastAsia="宋体"/>
                <w:color w:val="auto"/>
                <w:spacing w:val="-2"/>
                <w:highlight w:val="none"/>
              </w:rPr>
              <w:t>标人须知</w:t>
            </w:r>
            <w:r>
              <w:rPr>
                <w:rFonts w:ascii="Times New Roman" w:hAnsi="Times New Roman" w:eastAsia="Times New Roman"/>
                <w:color w:val="auto"/>
                <w:spacing w:val="-2"/>
                <w:highlight w:val="none"/>
              </w:rPr>
              <w:t>”</w:t>
            </w:r>
            <w:r>
              <w:rPr>
                <w:rFonts w:ascii="宋体" w:hAnsi="宋体" w:eastAsia="宋体"/>
                <w:color w:val="auto"/>
                <w:spacing w:val="-2"/>
                <w:highlight w:val="none"/>
              </w:rPr>
              <w:t xml:space="preserve">第 </w:t>
            </w:r>
            <w:r>
              <w:rPr>
                <w:rFonts w:ascii="Times New Roman" w:hAnsi="Times New Roman" w:eastAsia="Times New Roman"/>
                <w:color w:val="auto"/>
                <w:spacing w:val="-2"/>
                <w:highlight w:val="none"/>
              </w:rPr>
              <w:t xml:space="preserve">3.3.1 </w:t>
            </w:r>
            <w:r>
              <w:rPr>
                <w:rFonts w:ascii="宋体" w:hAnsi="宋体" w:eastAsia="宋体"/>
                <w:color w:val="auto"/>
                <w:spacing w:val="-2"/>
                <w:highlight w:val="none"/>
              </w:rPr>
              <w:t>项规定</w:t>
            </w:r>
          </w:p>
        </w:tc>
      </w:tr>
      <w:tr w14:paraId="3DDE7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04" w:type="dxa"/>
            <w:vMerge w:val="continue"/>
          </w:tcPr>
          <w:p w14:paraId="19722D65">
            <w:pPr>
              <w:rPr>
                <w:color w:val="auto"/>
                <w:highlight w:val="none"/>
              </w:rPr>
            </w:pPr>
          </w:p>
        </w:tc>
        <w:tc>
          <w:tcPr>
            <w:tcW w:w="1124" w:type="dxa"/>
            <w:vMerge w:val="continue"/>
          </w:tcPr>
          <w:p w14:paraId="30843A40">
            <w:pPr>
              <w:rPr>
                <w:color w:val="auto"/>
                <w:highlight w:val="none"/>
              </w:rPr>
            </w:pPr>
          </w:p>
        </w:tc>
        <w:tc>
          <w:tcPr>
            <w:tcW w:w="2035" w:type="dxa"/>
            <w:vAlign w:val="center"/>
          </w:tcPr>
          <w:p w14:paraId="42F23439">
            <w:pPr>
              <w:spacing w:line="360" w:lineRule="auto"/>
              <w:jc w:val="center"/>
              <w:rPr>
                <w:rFonts w:hint="eastAsia" w:ascii="宋体" w:hAnsi="宋体" w:eastAsia="宋体"/>
                <w:strike/>
                <w:color w:val="auto"/>
                <w:spacing w:val="-2"/>
                <w:highlight w:val="none"/>
              </w:rPr>
            </w:pPr>
            <w:r>
              <w:rPr>
                <w:rFonts w:ascii="宋体" w:hAnsi="宋体" w:eastAsia="宋体"/>
                <w:strike w:val="0"/>
                <w:color w:val="auto"/>
                <w:spacing w:val="-2"/>
                <w:highlight w:val="none"/>
              </w:rPr>
              <w:t>投标保证</w:t>
            </w:r>
            <w:r>
              <w:rPr>
                <w:rFonts w:ascii="宋体" w:hAnsi="宋体" w:eastAsia="宋体"/>
                <w:strike w:val="0"/>
                <w:color w:val="auto"/>
                <w:spacing w:val="-1"/>
                <w:highlight w:val="none"/>
              </w:rPr>
              <w:t>金</w:t>
            </w:r>
          </w:p>
        </w:tc>
        <w:tc>
          <w:tcPr>
            <w:tcW w:w="5367" w:type="dxa"/>
            <w:vAlign w:val="center"/>
          </w:tcPr>
          <w:p w14:paraId="5F3255A0">
            <w:pPr>
              <w:spacing w:before="172" w:line="220" w:lineRule="auto"/>
              <w:ind w:left="210" w:leftChars="100" w:right="210" w:rightChars="100"/>
              <w:jc w:val="both"/>
              <w:rPr>
                <w:rFonts w:hint="eastAsia" w:ascii="宋体" w:hAnsi="宋体" w:eastAsia="宋体"/>
                <w:strike/>
                <w:color w:val="auto"/>
                <w:spacing w:val="-4"/>
                <w:highlight w:val="none"/>
              </w:rPr>
            </w:pPr>
            <w:r>
              <w:rPr>
                <w:rFonts w:hint="eastAsia" w:ascii="宋体" w:hAnsi="宋体" w:eastAsia="宋体" w:cs="宋体"/>
                <w:color w:val="auto"/>
                <w:szCs w:val="21"/>
                <w:highlight w:val="none"/>
                <w:u w:val="single"/>
              </w:rPr>
              <w:t>有《关于投标保证金的承诺》的，并按规定的格式及内容签署。</w:t>
            </w:r>
          </w:p>
        </w:tc>
      </w:tr>
      <w:tr w14:paraId="1D135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904" w:type="dxa"/>
            <w:vMerge w:val="continue"/>
          </w:tcPr>
          <w:p w14:paraId="6D92D1C8">
            <w:pPr>
              <w:rPr>
                <w:color w:val="auto"/>
                <w:highlight w:val="none"/>
              </w:rPr>
            </w:pPr>
          </w:p>
        </w:tc>
        <w:tc>
          <w:tcPr>
            <w:tcW w:w="1124" w:type="dxa"/>
            <w:vMerge w:val="continue"/>
          </w:tcPr>
          <w:p w14:paraId="7827D18E">
            <w:pPr>
              <w:rPr>
                <w:color w:val="auto"/>
                <w:highlight w:val="none"/>
              </w:rPr>
            </w:pPr>
          </w:p>
        </w:tc>
        <w:tc>
          <w:tcPr>
            <w:tcW w:w="2035" w:type="dxa"/>
            <w:vAlign w:val="center"/>
          </w:tcPr>
          <w:p w14:paraId="132EE564">
            <w:pPr>
              <w:jc w:val="center"/>
              <w:rPr>
                <w:color w:val="auto"/>
                <w:highlight w:val="none"/>
              </w:rPr>
            </w:pPr>
            <w:r>
              <w:rPr>
                <w:rFonts w:hint="eastAsia"/>
                <w:color w:val="auto"/>
                <w:highlight w:val="none"/>
              </w:rPr>
              <w:t>其他否决情形</w:t>
            </w:r>
          </w:p>
        </w:tc>
        <w:tc>
          <w:tcPr>
            <w:tcW w:w="5367" w:type="dxa"/>
            <w:vAlign w:val="center"/>
          </w:tcPr>
          <w:p w14:paraId="78C1E60B">
            <w:pPr>
              <w:ind w:left="210" w:leftChars="100" w:right="210" w:rightChars="100"/>
              <w:jc w:val="both"/>
              <w:rPr>
                <w:color w:val="auto"/>
                <w:highlight w:val="none"/>
              </w:rPr>
            </w:pPr>
            <w:r>
              <w:rPr>
                <w:rFonts w:hint="eastAsia"/>
                <w:color w:val="auto"/>
                <w:highlight w:val="none"/>
              </w:rPr>
              <w:t>‌投标人</w:t>
            </w:r>
            <w:r>
              <w:rPr>
                <w:rFonts w:hint="eastAsia" w:eastAsia="宋体"/>
                <w:color w:val="auto"/>
                <w:highlight w:val="none"/>
              </w:rPr>
              <w:t>不</w:t>
            </w:r>
            <w:r>
              <w:rPr>
                <w:rFonts w:hint="eastAsia"/>
                <w:color w:val="auto"/>
                <w:highlight w:val="none"/>
              </w:rPr>
              <w:t>存在法律法规和招标文件规定的其他否决情形</w:t>
            </w:r>
          </w:p>
        </w:tc>
      </w:tr>
      <w:tr w14:paraId="69401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904" w:type="dxa"/>
            <w:vMerge w:val="restart"/>
            <w:shd w:val="clear" w:color="auto" w:fill="auto"/>
            <w:vAlign w:val="center"/>
          </w:tcPr>
          <w:p w14:paraId="04A1C142">
            <w:pPr>
              <w:spacing w:before="61" w:line="186" w:lineRule="auto"/>
              <w:ind w:left="244"/>
              <w:jc w:val="center"/>
              <w:rPr>
                <w:rFonts w:eastAsia="宋体"/>
                <w:color w:val="auto"/>
                <w:highlight w:val="none"/>
              </w:rPr>
            </w:pPr>
            <w:r>
              <w:rPr>
                <w:rFonts w:hint="eastAsia" w:eastAsia="宋体"/>
                <w:color w:val="auto"/>
                <w:highlight w:val="none"/>
              </w:rPr>
              <w:t>2.14</w:t>
            </w:r>
          </w:p>
        </w:tc>
        <w:tc>
          <w:tcPr>
            <w:tcW w:w="1124" w:type="dxa"/>
            <w:vMerge w:val="restart"/>
            <w:shd w:val="clear" w:color="auto" w:fill="auto"/>
            <w:vAlign w:val="center"/>
          </w:tcPr>
          <w:p w14:paraId="6A04A13E">
            <w:pPr>
              <w:jc w:val="center"/>
              <w:rPr>
                <w:color w:val="auto"/>
                <w:highlight w:val="none"/>
              </w:rPr>
            </w:pPr>
            <w:r>
              <w:rPr>
                <w:rFonts w:hint="eastAsia" w:ascii="宋体" w:hAnsi="宋体" w:eastAsia="宋体" w:cs="宋体"/>
                <w:color w:val="auto"/>
                <w:spacing w:val="-12"/>
                <w:highlight w:val="none"/>
              </w:rPr>
              <w:t>勘察</w:t>
            </w:r>
            <w:r>
              <w:rPr>
                <w:rFonts w:ascii="宋体" w:hAnsi="宋体" w:eastAsia="宋体" w:cs="宋体"/>
                <w:color w:val="auto"/>
                <w:spacing w:val="-12"/>
                <w:highlight w:val="none"/>
              </w:rPr>
              <w:t>设</w:t>
            </w:r>
            <w:r>
              <w:rPr>
                <w:rFonts w:ascii="宋体" w:hAnsi="宋体" w:eastAsia="宋体" w:cs="宋体"/>
                <w:color w:val="auto"/>
                <w:spacing w:val="-11"/>
                <w:highlight w:val="none"/>
              </w:rPr>
              <w:t>计</w:t>
            </w:r>
            <w:r>
              <w:rPr>
                <w:rFonts w:ascii="宋体" w:hAnsi="宋体" w:eastAsia="宋体" w:cs="宋体"/>
                <w:color w:val="auto"/>
                <w:spacing w:val="-6"/>
                <w:highlight w:val="none"/>
              </w:rPr>
              <w:t>方案</w:t>
            </w:r>
            <w:r>
              <w:rPr>
                <w:rFonts w:hint="eastAsia"/>
                <w:color w:val="auto"/>
                <w:highlight w:val="none"/>
              </w:rPr>
              <w:t>响应性评审标准</w:t>
            </w:r>
          </w:p>
        </w:tc>
        <w:tc>
          <w:tcPr>
            <w:tcW w:w="2035" w:type="dxa"/>
            <w:vAlign w:val="center"/>
          </w:tcPr>
          <w:p w14:paraId="7DCBD35F">
            <w:pPr>
              <w:jc w:val="center"/>
              <w:rPr>
                <w:color w:val="auto"/>
                <w:highlight w:val="none"/>
              </w:rPr>
            </w:pPr>
            <w:r>
              <w:rPr>
                <w:rFonts w:hint="eastAsia"/>
                <w:color w:val="auto"/>
                <w:highlight w:val="none"/>
              </w:rPr>
              <w:t>编制要求</w:t>
            </w:r>
          </w:p>
        </w:tc>
        <w:tc>
          <w:tcPr>
            <w:tcW w:w="5367" w:type="dxa"/>
            <w:vAlign w:val="center"/>
          </w:tcPr>
          <w:p w14:paraId="5D02BDCE">
            <w:pPr>
              <w:jc w:val="center"/>
              <w:rPr>
                <w:color w:val="auto"/>
                <w:highlight w:val="none"/>
              </w:rPr>
            </w:pPr>
            <w:r>
              <w:rPr>
                <w:rFonts w:hint="eastAsia"/>
                <w:color w:val="auto"/>
                <w:highlight w:val="none"/>
              </w:rPr>
              <w:t>未发现投标人在技术文件内标注名称、印章、商标、图形等记认符号，使人辨认出投标人或其专业技术人员的身份</w:t>
            </w:r>
          </w:p>
        </w:tc>
      </w:tr>
      <w:tr w14:paraId="0C52B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904" w:type="dxa"/>
            <w:vMerge w:val="continue"/>
          </w:tcPr>
          <w:p w14:paraId="58029FC9">
            <w:pPr>
              <w:rPr>
                <w:color w:val="auto"/>
                <w:highlight w:val="none"/>
              </w:rPr>
            </w:pPr>
          </w:p>
        </w:tc>
        <w:tc>
          <w:tcPr>
            <w:tcW w:w="1124" w:type="dxa"/>
            <w:vMerge w:val="continue"/>
          </w:tcPr>
          <w:p w14:paraId="470251CF">
            <w:pPr>
              <w:rPr>
                <w:color w:val="auto"/>
                <w:highlight w:val="none"/>
              </w:rPr>
            </w:pPr>
          </w:p>
        </w:tc>
        <w:tc>
          <w:tcPr>
            <w:tcW w:w="2035" w:type="dxa"/>
            <w:vAlign w:val="center"/>
          </w:tcPr>
          <w:p w14:paraId="3E4DCD28">
            <w:pPr>
              <w:jc w:val="center"/>
              <w:rPr>
                <w:color w:val="auto"/>
                <w:highlight w:val="none"/>
              </w:rPr>
            </w:pPr>
            <w:r>
              <w:rPr>
                <w:rFonts w:hint="eastAsia"/>
                <w:color w:val="auto"/>
                <w:highlight w:val="none"/>
              </w:rPr>
              <w:t>勘</w:t>
            </w:r>
            <w:r>
              <w:rPr>
                <w:rFonts w:hint="eastAsia" w:eastAsia="宋体"/>
                <w:color w:val="auto"/>
                <w:highlight w:val="none"/>
              </w:rPr>
              <w:t>察</w:t>
            </w:r>
            <w:r>
              <w:rPr>
                <w:rFonts w:hint="eastAsia"/>
                <w:color w:val="auto"/>
                <w:highlight w:val="none"/>
              </w:rPr>
              <w:t>设计方案</w:t>
            </w:r>
          </w:p>
        </w:tc>
        <w:tc>
          <w:tcPr>
            <w:tcW w:w="5367" w:type="dxa"/>
            <w:vAlign w:val="center"/>
          </w:tcPr>
          <w:p w14:paraId="467D6553">
            <w:pPr>
              <w:rPr>
                <w:color w:val="auto"/>
                <w:highlight w:val="none"/>
              </w:rPr>
            </w:pPr>
            <w:r>
              <w:rPr>
                <w:rFonts w:hint="eastAsia"/>
                <w:color w:val="auto"/>
                <w:highlight w:val="none"/>
              </w:rPr>
              <w:t>符合第</w:t>
            </w:r>
            <w:r>
              <w:rPr>
                <w:rFonts w:hint="eastAsia" w:eastAsia="宋体"/>
                <w:color w:val="auto"/>
                <w:highlight w:val="none"/>
              </w:rPr>
              <w:t>五</w:t>
            </w:r>
            <w:r>
              <w:rPr>
                <w:rFonts w:hint="eastAsia"/>
                <w:color w:val="auto"/>
                <w:highlight w:val="none"/>
              </w:rPr>
              <w:t>章“发包人要求”中的实质性要求和条件</w:t>
            </w:r>
          </w:p>
        </w:tc>
      </w:tr>
      <w:tr w14:paraId="3D303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904" w:type="dxa"/>
            <w:vMerge w:val="continue"/>
          </w:tcPr>
          <w:p w14:paraId="3780D28E">
            <w:pPr>
              <w:rPr>
                <w:color w:val="auto"/>
                <w:highlight w:val="none"/>
              </w:rPr>
            </w:pPr>
          </w:p>
        </w:tc>
        <w:tc>
          <w:tcPr>
            <w:tcW w:w="1124" w:type="dxa"/>
            <w:vMerge w:val="continue"/>
          </w:tcPr>
          <w:p w14:paraId="395C595E">
            <w:pPr>
              <w:rPr>
                <w:color w:val="auto"/>
                <w:highlight w:val="none"/>
              </w:rPr>
            </w:pPr>
          </w:p>
        </w:tc>
        <w:tc>
          <w:tcPr>
            <w:tcW w:w="2035" w:type="dxa"/>
            <w:shd w:val="clear" w:color="auto" w:fill="auto"/>
            <w:vAlign w:val="center"/>
          </w:tcPr>
          <w:p w14:paraId="1AF38E63">
            <w:pPr>
              <w:jc w:val="center"/>
              <w:rPr>
                <w:highlight w:val="none"/>
              </w:rPr>
            </w:pPr>
            <w:r>
              <w:rPr>
                <w:rFonts w:hint="eastAsia"/>
                <w:highlight w:val="none"/>
              </w:rPr>
              <w:t>串通投标情形</w:t>
            </w:r>
          </w:p>
        </w:tc>
        <w:tc>
          <w:tcPr>
            <w:tcW w:w="5367" w:type="dxa"/>
            <w:shd w:val="clear" w:color="auto" w:fill="auto"/>
            <w:vAlign w:val="center"/>
          </w:tcPr>
          <w:p w14:paraId="425DDDB8">
            <w:pPr>
              <w:rPr>
                <w:highlight w:val="none"/>
              </w:rPr>
            </w:pPr>
            <w:r>
              <w:rPr>
                <w:rFonts w:hint="eastAsia"/>
                <w:highlight w:val="none"/>
              </w:rPr>
              <w:t>未发现串通投标情形，且投标人之间不存在《广东省实施&lt;中华人民共和国招标投标法&gt;》第十六条所禁止的情形。</w:t>
            </w:r>
          </w:p>
        </w:tc>
      </w:tr>
      <w:tr w14:paraId="2309F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904" w:type="dxa"/>
            <w:vMerge w:val="continue"/>
          </w:tcPr>
          <w:p w14:paraId="3AB70397">
            <w:pPr>
              <w:rPr>
                <w:color w:val="auto"/>
                <w:highlight w:val="none"/>
              </w:rPr>
            </w:pPr>
          </w:p>
        </w:tc>
        <w:tc>
          <w:tcPr>
            <w:tcW w:w="1124" w:type="dxa"/>
            <w:vMerge w:val="continue"/>
          </w:tcPr>
          <w:p w14:paraId="1E159C09">
            <w:pPr>
              <w:rPr>
                <w:color w:val="auto"/>
                <w:highlight w:val="none"/>
              </w:rPr>
            </w:pPr>
          </w:p>
        </w:tc>
        <w:tc>
          <w:tcPr>
            <w:tcW w:w="2035" w:type="dxa"/>
            <w:shd w:val="clear" w:color="auto" w:fill="auto"/>
            <w:vAlign w:val="center"/>
          </w:tcPr>
          <w:p w14:paraId="0DAD0438">
            <w:pPr>
              <w:jc w:val="center"/>
              <w:rPr>
                <w:highlight w:val="none"/>
              </w:rPr>
            </w:pPr>
            <w:r>
              <w:rPr>
                <w:rFonts w:hint="eastAsia"/>
                <w:highlight w:val="none"/>
              </w:rPr>
              <w:t>抄袭行为</w:t>
            </w:r>
          </w:p>
        </w:tc>
        <w:tc>
          <w:tcPr>
            <w:tcW w:w="5367" w:type="dxa"/>
            <w:shd w:val="clear" w:color="auto" w:fill="auto"/>
            <w:vAlign w:val="center"/>
          </w:tcPr>
          <w:p w14:paraId="374C0CE8">
            <w:pPr>
              <w:rPr>
                <w:highlight w:val="none"/>
              </w:rPr>
            </w:pPr>
            <w:r>
              <w:rPr>
                <w:rFonts w:hint="eastAsia"/>
                <w:highlight w:val="none"/>
              </w:rPr>
              <w:t>未发现明显抄袭行为。</w:t>
            </w:r>
          </w:p>
        </w:tc>
      </w:tr>
      <w:tr w14:paraId="1D5D1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904" w:type="dxa"/>
            <w:vMerge w:val="continue"/>
          </w:tcPr>
          <w:p w14:paraId="50FAAB7B">
            <w:pPr>
              <w:rPr>
                <w:color w:val="auto"/>
                <w:highlight w:val="none"/>
              </w:rPr>
            </w:pPr>
          </w:p>
        </w:tc>
        <w:tc>
          <w:tcPr>
            <w:tcW w:w="1124" w:type="dxa"/>
            <w:vMerge w:val="continue"/>
          </w:tcPr>
          <w:p w14:paraId="42140DF9">
            <w:pPr>
              <w:rPr>
                <w:color w:val="auto"/>
                <w:highlight w:val="none"/>
              </w:rPr>
            </w:pPr>
          </w:p>
        </w:tc>
        <w:tc>
          <w:tcPr>
            <w:tcW w:w="2035" w:type="dxa"/>
            <w:shd w:val="clear" w:color="auto" w:fill="auto"/>
            <w:vAlign w:val="center"/>
          </w:tcPr>
          <w:p w14:paraId="36A4CDA0">
            <w:pPr>
              <w:jc w:val="center"/>
              <w:rPr>
                <w:highlight w:val="none"/>
              </w:rPr>
            </w:pPr>
            <w:r>
              <w:rPr>
                <w:rFonts w:hint="eastAsia"/>
                <w:highlight w:val="none"/>
              </w:rPr>
              <w:t>著作权和特许权</w:t>
            </w:r>
          </w:p>
        </w:tc>
        <w:tc>
          <w:tcPr>
            <w:tcW w:w="5367" w:type="dxa"/>
            <w:shd w:val="clear" w:color="auto" w:fill="auto"/>
            <w:vAlign w:val="center"/>
          </w:tcPr>
          <w:p w14:paraId="0B4467D1">
            <w:pPr>
              <w:rPr>
                <w:highlight w:val="none"/>
              </w:rPr>
            </w:pPr>
            <w:r>
              <w:rPr>
                <w:rFonts w:hint="eastAsia"/>
                <w:highlight w:val="none"/>
              </w:rPr>
              <w:t>未发现侵犯他人著作权和特许权。</w:t>
            </w:r>
          </w:p>
        </w:tc>
      </w:tr>
      <w:tr w14:paraId="73883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28" w:type="dxa"/>
            <w:gridSpan w:val="2"/>
          </w:tcPr>
          <w:p w14:paraId="23754DB4">
            <w:pPr>
              <w:spacing w:before="173" w:line="220" w:lineRule="auto"/>
              <w:ind w:left="705"/>
              <w:rPr>
                <w:rFonts w:hint="eastAsia" w:ascii="宋体" w:hAnsi="宋体" w:eastAsia="宋体"/>
                <w:color w:val="auto"/>
                <w:spacing w:val="-3"/>
                <w:highlight w:val="none"/>
              </w:rPr>
            </w:pPr>
            <w:r>
              <w:rPr>
                <w:rFonts w:ascii="宋体" w:hAnsi="宋体" w:eastAsia="宋体"/>
                <w:color w:val="auto"/>
                <w:spacing w:val="-3"/>
                <w:highlight w:val="none"/>
              </w:rPr>
              <w:t>条款号</w:t>
            </w:r>
          </w:p>
        </w:tc>
        <w:tc>
          <w:tcPr>
            <w:tcW w:w="2035" w:type="dxa"/>
          </w:tcPr>
          <w:p w14:paraId="69319B60">
            <w:pPr>
              <w:spacing w:before="173" w:line="220" w:lineRule="auto"/>
              <w:ind w:left="823"/>
              <w:rPr>
                <w:rFonts w:hint="eastAsia" w:ascii="宋体" w:hAnsi="宋体" w:eastAsia="宋体"/>
                <w:color w:val="auto"/>
                <w:spacing w:val="-2"/>
                <w:highlight w:val="none"/>
              </w:rPr>
            </w:pPr>
            <w:r>
              <w:rPr>
                <w:rFonts w:ascii="宋体" w:hAnsi="宋体" w:eastAsia="宋体"/>
                <w:color w:val="auto"/>
                <w:spacing w:val="-2"/>
                <w:highlight w:val="none"/>
              </w:rPr>
              <w:t>条款内容</w:t>
            </w:r>
          </w:p>
        </w:tc>
        <w:tc>
          <w:tcPr>
            <w:tcW w:w="5367" w:type="dxa"/>
          </w:tcPr>
          <w:p w14:paraId="5F11FA9B">
            <w:pPr>
              <w:spacing w:before="173" w:line="220" w:lineRule="auto"/>
              <w:ind w:left="210" w:leftChars="100" w:right="210" w:rightChars="100"/>
              <w:rPr>
                <w:rFonts w:hint="eastAsia" w:ascii="宋体" w:hAnsi="宋体" w:eastAsia="宋体"/>
                <w:color w:val="auto"/>
                <w:spacing w:val="-3"/>
                <w:highlight w:val="none"/>
              </w:rPr>
            </w:pPr>
            <w:r>
              <w:rPr>
                <w:rFonts w:ascii="宋体" w:hAnsi="宋体" w:eastAsia="宋体"/>
                <w:color w:val="auto"/>
                <w:spacing w:val="-3"/>
                <w:highlight w:val="none"/>
              </w:rPr>
              <w:t>编</w:t>
            </w:r>
            <w:r>
              <w:rPr>
                <w:rFonts w:ascii="宋体" w:hAnsi="宋体" w:eastAsia="宋体"/>
                <w:color w:val="auto"/>
                <w:spacing w:val="-2"/>
                <w:highlight w:val="none"/>
              </w:rPr>
              <w:t>列内容</w:t>
            </w:r>
          </w:p>
        </w:tc>
      </w:tr>
      <w:tr w14:paraId="3D7A2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2028" w:type="dxa"/>
            <w:gridSpan w:val="2"/>
          </w:tcPr>
          <w:p w14:paraId="2D34CE6C">
            <w:pPr>
              <w:spacing w:line="268" w:lineRule="auto"/>
              <w:rPr>
                <w:color w:val="auto"/>
                <w:highlight w:val="none"/>
              </w:rPr>
            </w:pPr>
          </w:p>
          <w:p w14:paraId="1C35AC2C">
            <w:pPr>
              <w:spacing w:line="269" w:lineRule="auto"/>
              <w:rPr>
                <w:color w:val="auto"/>
                <w:highlight w:val="none"/>
              </w:rPr>
            </w:pPr>
          </w:p>
          <w:p w14:paraId="0C48091D">
            <w:pPr>
              <w:spacing w:line="269" w:lineRule="auto"/>
              <w:rPr>
                <w:color w:val="auto"/>
                <w:highlight w:val="none"/>
              </w:rPr>
            </w:pPr>
          </w:p>
          <w:p w14:paraId="10C6B555">
            <w:pPr>
              <w:spacing w:before="61" w:line="186" w:lineRule="auto"/>
              <w:ind w:left="805"/>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2.2.</w:t>
            </w:r>
            <w:r>
              <w:rPr>
                <w:rFonts w:ascii="Times New Roman" w:hAnsi="Times New Roman" w:eastAsia="Times New Roman"/>
                <w:color w:val="auto"/>
                <w:highlight w:val="none"/>
              </w:rPr>
              <w:t>1</w:t>
            </w:r>
          </w:p>
        </w:tc>
        <w:tc>
          <w:tcPr>
            <w:tcW w:w="2035" w:type="dxa"/>
          </w:tcPr>
          <w:p w14:paraId="26695276">
            <w:pPr>
              <w:spacing w:line="271" w:lineRule="auto"/>
              <w:rPr>
                <w:color w:val="auto"/>
                <w:highlight w:val="none"/>
              </w:rPr>
            </w:pPr>
          </w:p>
          <w:p w14:paraId="5D9483FA">
            <w:pPr>
              <w:spacing w:line="271" w:lineRule="auto"/>
              <w:rPr>
                <w:color w:val="auto"/>
                <w:highlight w:val="none"/>
              </w:rPr>
            </w:pPr>
          </w:p>
          <w:p w14:paraId="23BF98D5">
            <w:pPr>
              <w:spacing w:before="68" w:line="401" w:lineRule="exact"/>
              <w:jc w:val="center"/>
              <w:rPr>
                <w:rFonts w:hint="eastAsia" w:ascii="宋体" w:hAnsi="宋体" w:eastAsia="宋体"/>
                <w:color w:val="auto"/>
                <w:spacing w:val="-3"/>
                <w:position w:val="14"/>
                <w:highlight w:val="none"/>
              </w:rPr>
            </w:pPr>
            <w:r>
              <w:rPr>
                <w:rFonts w:ascii="宋体" w:hAnsi="宋体" w:eastAsia="宋体"/>
                <w:color w:val="auto"/>
                <w:spacing w:val="-3"/>
                <w:position w:val="14"/>
                <w:highlight w:val="none"/>
              </w:rPr>
              <w:t>分</w:t>
            </w:r>
            <w:r>
              <w:rPr>
                <w:rFonts w:ascii="宋体" w:hAnsi="宋体" w:eastAsia="宋体"/>
                <w:color w:val="auto"/>
                <w:spacing w:val="-2"/>
                <w:position w:val="14"/>
                <w:highlight w:val="none"/>
              </w:rPr>
              <w:t>值构成</w:t>
            </w:r>
          </w:p>
          <w:p w14:paraId="55A33B9E">
            <w:pPr>
              <w:spacing w:line="282" w:lineRule="exact"/>
              <w:jc w:val="center"/>
              <w:rPr>
                <w:rFonts w:ascii="Times New Roman" w:hAnsi="Times New Roman" w:eastAsia="Times New Roman"/>
                <w:color w:val="auto"/>
                <w:spacing w:val="-9"/>
                <w:position w:val="2"/>
                <w:highlight w:val="none"/>
              </w:rPr>
            </w:pPr>
            <w:r>
              <w:rPr>
                <w:rFonts w:ascii="Times New Roman" w:hAnsi="Times New Roman" w:eastAsia="Times New Roman"/>
                <w:color w:val="auto"/>
                <w:spacing w:val="-9"/>
                <w:position w:val="2"/>
                <w:highlight w:val="none"/>
              </w:rPr>
              <w:t>(</w:t>
            </w:r>
            <w:r>
              <w:rPr>
                <w:rFonts w:ascii="宋体" w:hAnsi="宋体" w:eastAsia="宋体"/>
                <w:color w:val="auto"/>
                <w:spacing w:val="-6"/>
                <w:position w:val="2"/>
                <w:highlight w:val="none"/>
              </w:rPr>
              <w:t xml:space="preserve">总分 </w:t>
            </w:r>
            <w:r>
              <w:rPr>
                <w:rFonts w:ascii="Times New Roman" w:hAnsi="Times New Roman" w:eastAsia="Times New Roman"/>
                <w:color w:val="auto"/>
                <w:spacing w:val="-6"/>
                <w:position w:val="2"/>
                <w:highlight w:val="none"/>
              </w:rPr>
              <w:t xml:space="preserve">100 </w:t>
            </w:r>
            <w:r>
              <w:rPr>
                <w:rFonts w:ascii="宋体" w:hAnsi="宋体" w:eastAsia="宋体"/>
                <w:color w:val="auto"/>
                <w:spacing w:val="-6"/>
                <w:position w:val="2"/>
                <w:highlight w:val="none"/>
              </w:rPr>
              <w:t>分</w:t>
            </w:r>
            <w:r>
              <w:rPr>
                <w:rFonts w:ascii="Times New Roman" w:hAnsi="Times New Roman" w:eastAsia="Times New Roman"/>
                <w:color w:val="auto"/>
                <w:spacing w:val="-6"/>
                <w:position w:val="2"/>
                <w:highlight w:val="none"/>
              </w:rPr>
              <w:t>)</w:t>
            </w:r>
          </w:p>
        </w:tc>
        <w:tc>
          <w:tcPr>
            <w:tcW w:w="5367" w:type="dxa"/>
          </w:tcPr>
          <w:p w14:paraId="51FE8330">
            <w:pPr>
              <w:spacing w:before="191" w:line="218" w:lineRule="auto"/>
              <w:ind w:left="210" w:leftChars="100" w:right="210" w:rightChars="100"/>
              <w:rPr>
                <w:rFonts w:hint="eastAsia" w:ascii="宋体" w:hAnsi="宋体" w:eastAsia="宋体"/>
                <w:color w:val="auto"/>
                <w:spacing w:val="-7"/>
                <w:highlight w:val="none"/>
              </w:rPr>
            </w:pPr>
            <w:r>
              <w:rPr>
                <w:rFonts w:ascii="宋体" w:hAnsi="宋体" w:eastAsia="宋体"/>
                <w:color w:val="auto"/>
                <w:spacing w:val="-7"/>
                <w:highlight w:val="none"/>
              </w:rPr>
              <w:t>资信业绩部分：</w:t>
            </w:r>
            <w:r>
              <w:rPr>
                <w:rFonts w:ascii="宋体" w:hAnsi="宋体" w:eastAsia="宋体"/>
                <w:color w:val="auto"/>
                <w:spacing w:val="-7"/>
                <w:highlight w:val="none"/>
                <w:u w:val="single"/>
              </w:rPr>
              <w:t xml:space="preserve"> </w:t>
            </w:r>
            <w:r>
              <w:rPr>
                <w:rFonts w:hint="eastAsia" w:ascii="宋体" w:hAnsi="宋体" w:eastAsia="宋体"/>
                <w:color w:val="auto"/>
                <w:spacing w:val="-7"/>
                <w:highlight w:val="none"/>
                <w:u w:val="single"/>
              </w:rPr>
              <w:t>40</w:t>
            </w:r>
            <w:r>
              <w:rPr>
                <w:rFonts w:ascii="宋体" w:hAnsi="宋体" w:eastAsia="宋体"/>
                <w:color w:val="auto"/>
                <w:spacing w:val="-7"/>
                <w:highlight w:val="none"/>
                <w:u w:val="single"/>
              </w:rPr>
              <w:t xml:space="preserve"> </w:t>
            </w:r>
            <w:r>
              <w:rPr>
                <w:rFonts w:ascii="宋体" w:hAnsi="宋体" w:eastAsia="宋体"/>
                <w:color w:val="auto"/>
                <w:spacing w:val="-7"/>
                <w:highlight w:val="none"/>
              </w:rPr>
              <w:t>分</w:t>
            </w:r>
          </w:p>
          <w:p w14:paraId="10E01992">
            <w:pPr>
              <w:spacing w:before="191" w:line="218" w:lineRule="auto"/>
              <w:ind w:left="210" w:leftChars="100" w:right="210" w:rightChars="100"/>
              <w:rPr>
                <w:rFonts w:hint="eastAsia" w:ascii="宋体" w:hAnsi="宋体" w:eastAsia="宋体"/>
                <w:color w:val="auto"/>
                <w:spacing w:val="-12"/>
                <w:highlight w:val="none"/>
              </w:rPr>
            </w:pPr>
            <w:r>
              <w:rPr>
                <w:rFonts w:hint="eastAsia" w:ascii="宋体" w:hAnsi="宋体" w:eastAsia="宋体"/>
                <w:color w:val="auto"/>
                <w:spacing w:val="-12"/>
                <w:highlight w:val="none"/>
              </w:rPr>
              <w:t>勘察</w:t>
            </w:r>
            <w:r>
              <w:rPr>
                <w:rFonts w:ascii="宋体" w:hAnsi="宋体" w:eastAsia="宋体"/>
                <w:color w:val="auto"/>
                <w:spacing w:val="-12"/>
                <w:highlight w:val="none"/>
              </w:rPr>
              <w:t>设</w:t>
            </w:r>
            <w:r>
              <w:rPr>
                <w:rFonts w:ascii="宋体" w:hAnsi="宋体" w:eastAsia="宋体"/>
                <w:color w:val="auto"/>
                <w:spacing w:val="-11"/>
                <w:highlight w:val="none"/>
              </w:rPr>
              <w:t>计</w:t>
            </w:r>
            <w:r>
              <w:rPr>
                <w:rFonts w:ascii="宋体" w:hAnsi="宋体" w:eastAsia="宋体"/>
                <w:color w:val="auto"/>
                <w:spacing w:val="-6"/>
                <w:highlight w:val="none"/>
              </w:rPr>
              <w:t>方案部分：</w:t>
            </w:r>
            <w:r>
              <w:rPr>
                <w:rFonts w:ascii="宋体" w:hAnsi="宋体" w:eastAsia="宋体"/>
                <w:color w:val="auto"/>
                <w:spacing w:val="-6"/>
                <w:highlight w:val="none"/>
                <w:u w:val="single"/>
              </w:rPr>
              <w:t xml:space="preserve"> </w:t>
            </w:r>
            <w:r>
              <w:rPr>
                <w:rFonts w:hint="eastAsia" w:ascii="宋体" w:hAnsi="宋体" w:eastAsia="宋体"/>
                <w:color w:val="auto"/>
                <w:spacing w:val="-6"/>
                <w:highlight w:val="none"/>
                <w:u w:val="single"/>
              </w:rPr>
              <w:t>50</w:t>
            </w:r>
            <w:r>
              <w:rPr>
                <w:rFonts w:ascii="宋体" w:hAnsi="宋体" w:eastAsia="宋体"/>
                <w:color w:val="auto"/>
                <w:spacing w:val="-6"/>
                <w:highlight w:val="none"/>
                <w:u w:val="single"/>
              </w:rPr>
              <w:t xml:space="preserve"> </w:t>
            </w:r>
            <w:r>
              <w:rPr>
                <w:rFonts w:ascii="宋体" w:hAnsi="宋体" w:eastAsia="宋体"/>
                <w:color w:val="auto"/>
                <w:spacing w:val="-6"/>
                <w:highlight w:val="none"/>
              </w:rPr>
              <w:t>分</w:t>
            </w:r>
          </w:p>
          <w:p w14:paraId="63A0EA6D">
            <w:pPr>
              <w:spacing w:before="191" w:line="218" w:lineRule="auto"/>
              <w:ind w:left="210" w:leftChars="100" w:right="210" w:rightChars="100"/>
              <w:rPr>
                <w:rFonts w:hint="eastAsia" w:ascii="宋体" w:hAnsi="宋体" w:eastAsia="宋体"/>
                <w:color w:val="auto"/>
                <w:spacing w:val="-14"/>
                <w:highlight w:val="none"/>
              </w:rPr>
            </w:pPr>
            <w:r>
              <w:rPr>
                <w:rFonts w:ascii="宋体" w:hAnsi="宋体" w:eastAsia="宋体"/>
                <w:color w:val="auto"/>
                <w:spacing w:val="-14"/>
                <w:highlight w:val="none"/>
              </w:rPr>
              <w:t>投</w:t>
            </w:r>
            <w:r>
              <w:rPr>
                <w:rFonts w:ascii="宋体" w:hAnsi="宋体" w:eastAsia="宋体"/>
                <w:color w:val="auto"/>
                <w:spacing w:val="-8"/>
                <w:highlight w:val="none"/>
              </w:rPr>
              <w:t>标</w:t>
            </w:r>
            <w:r>
              <w:rPr>
                <w:rFonts w:ascii="宋体" w:hAnsi="宋体" w:eastAsia="宋体"/>
                <w:color w:val="auto"/>
                <w:spacing w:val="-7"/>
                <w:highlight w:val="none"/>
              </w:rPr>
              <w:t>报价：</w:t>
            </w:r>
            <w:r>
              <w:rPr>
                <w:rFonts w:hint="eastAsia" w:ascii="宋体" w:hAnsi="宋体" w:eastAsia="宋体"/>
                <w:color w:val="auto"/>
                <w:spacing w:val="-7"/>
                <w:highlight w:val="none"/>
                <w:u w:val="single"/>
              </w:rPr>
              <w:t xml:space="preserve"> 10 </w:t>
            </w:r>
            <w:r>
              <w:rPr>
                <w:rFonts w:ascii="宋体" w:hAnsi="宋体" w:eastAsia="宋体"/>
                <w:color w:val="auto"/>
                <w:spacing w:val="-7"/>
                <w:highlight w:val="none"/>
              </w:rPr>
              <w:t>分</w:t>
            </w:r>
          </w:p>
          <w:p w14:paraId="77386B92">
            <w:pPr>
              <w:spacing w:before="191" w:line="218" w:lineRule="auto"/>
              <w:ind w:left="210" w:leftChars="100" w:right="210" w:rightChars="100"/>
              <w:rPr>
                <w:rFonts w:hint="eastAsia" w:ascii="宋体" w:hAnsi="宋体" w:eastAsia="宋体"/>
                <w:color w:val="auto"/>
                <w:spacing w:val="-2"/>
                <w:highlight w:val="none"/>
              </w:rPr>
            </w:pPr>
            <w:r>
              <w:rPr>
                <w:rFonts w:ascii="宋体" w:hAnsi="宋体" w:eastAsia="宋体"/>
                <w:color w:val="auto"/>
                <w:spacing w:val="-2"/>
                <w:highlight w:val="none"/>
              </w:rPr>
              <w:t>其他评分</w:t>
            </w:r>
            <w:r>
              <w:rPr>
                <w:rFonts w:ascii="宋体" w:hAnsi="宋体" w:eastAsia="宋体"/>
                <w:color w:val="auto"/>
                <w:spacing w:val="-1"/>
                <w:highlight w:val="none"/>
              </w:rPr>
              <w:t>因素：</w:t>
            </w:r>
            <w:r>
              <w:rPr>
                <w:rFonts w:ascii="宋体" w:hAnsi="宋体" w:eastAsia="宋体"/>
                <w:color w:val="auto"/>
                <w:spacing w:val="-1"/>
                <w:highlight w:val="none"/>
                <w:u w:val="single"/>
              </w:rPr>
              <w:t xml:space="preserve"> </w:t>
            </w:r>
            <w:r>
              <w:rPr>
                <w:rFonts w:hint="eastAsia" w:ascii="宋体" w:hAnsi="宋体" w:eastAsia="宋体"/>
                <w:color w:val="auto"/>
                <w:spacing w:val="-1"/>
                <w:highlight w:val="none"/>
                <w:u w:val="single"/>
              </w:rPr>
              <w:t>/</w:t>
            </w:r>
            <w:r>
              <w:rPr>
                <w:rFonts w:ascii="宋体" w:hAnsi="宋体" w:eastAsia="宋体"/>
                <w:color w:val="auto"/>
                <w:spacing w:val="-1"/>
                <w:highlight w:val="none"/>
                <w:u w:val="single"/>
              </w:rPr>
              <w:t xml:space="preserve"> </w:t>
            </w:r>
            <w:r>
              <w:rPr>
                <w:rFonts w:ascii="宋体" w:hAnsi="宋体" w:eastAsia="宋体"/>
                <w:color w:val="auto"/>
                <w:spacing w:val="-1"/>
                <w:highlight w:val="none"/>
              </w:rPr>
              <w:t>分</w:t>
            </w:r>
          </w:p>
        </w:tc>
      </w:tr>
      <w:tr w14:paraId="2A08F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8" w:type="dxa"/>
            <w:gridSpan w:val="2"/>
            <w:vAlign w:val="center"/>
          </w:tcPr>
          <w:p w14:paraId="72C79731">
            <w:pPr>
              <w:spacing w:before="212" w:line="186" w:lineRule="auto"/>
              <w:ind w:left="805"/>
              <w:jc w:val="both"/>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2.2.</w:t>
            </w:r>
            <w:r>
              <w:rPr>
                <w:rFonts w:ascii="Times New Roman" w:hAnsi="Times New Roman" w:eastAsia="Times New Roman"/>
                <w:color w:val="auto"/>
                <w:highlight w:val="none"/>
              </w:rPr>
              <w:t>2</w:t>
            </w:r>
          </w:p>
        </w:tc>
        <w:tc>
          <w:tcPr>
            <w:tcW w:w="2035" w:type="dxa"/>
            <w:vAlign w:val="center"/>
          </w:tcPr>
          <w:p w14:paraId="0D8681E3">
            <w:pPr>
              <w:spacing w:line="360" w:lineRule="auto"/>
              <w:jc w:val="both"/>
              <w:rPr>
                <w:rFonts w:hint="eastAsia" w:ascii="宋体" w:hAnsi="宋体" w:eastAsia="宋体"/>
                <w:color w:val="auto"/>
                <w:spacing w:val="-1"/>
                <w:highlight w:val="none"/>
              </w:rPr>
            </w:pPr>
            <w:r>
              <w:rPr>
                <w:rFonts w:ascii="宋体" w:hAnsi="宋体" w:eastAsia="宋体"/>
                <w:color w:val="auto"/>
                <w:spacing w:val="-1"/>
                <w:highlight w:val="none"/>
              </w:rPr>
              <w:t>评标基准价计算</w:t>
            </w:r>
            <w:r>
              <w:rPr>
                <w:rFonts w:ascii="宋体" w:hAnsi="宋体" w:eastAsia="宋体"/>
                <w:color w:val="auto"/>
                <w:highlight w:val="none"/>
              </w:rPr>
              <w:t>方法</w:t>
            </w:r>
          </w:p>
        </w:tc>
        <w:tc>
          <w:tcPr>
            <w:tcW w:w="5367" w:type="dxa"/>
            <w:vAlign w:val="center"/>
          </w:tcPr>
          <w:p w14:paraId="51D5B268">
            <w:pPr>
              <w:spacing w:line="360" w:lineRule="auto"/>
              <w:ind w:left="210" w:leftChars="100" w:right="210" w:rightChars="100"/>
              <w:rPr>
                <w:rFonts w:ascii="宋体" w:hAnsi="宋体"/>
                <w:color w:val="auto"/>
                <w:highlight w:val="none"/>
              </w:rPr>
            </w:pPr>
            <w:r>
              <w:rPr>
                <w:rFonts w:hint="eastAsia" w:ascii="宋体" w:hAnsi="宋体"/>
                <w:color w:val="auto"/>
                <w:highlight w:val="none"/>
              </w:rPr>
              <w:t>当通过形式评审、资格评审、响应性评审的有效投标人大于或等于5名且投标报价为有效投标价时，去掉一个最高价和一个最低价，取余下有效投标价的算术平均值的作为评标基准价。</w:t>
            </w:r>
          </w:p>
          <w:p w14:paraId="74DC7C3B">
            <w:pPr>
              <w:spacing w:line="360" w:lineRule="auto"/>
              <w:ind w:left="210" w:leftChars="100" w:right="210" w:rightChars="100"/>
              <w:jc w:val="both"/>
              <w:rPr>
                <w:rFonts w:ascii="宋体" w:hAnsi="宋体"/>
                <w:color w:val="auto"/>
                <w:highlight w:val="none"/>
              </w:rPr>
            </w:pPr>
            <w:r>
              <w:rPr>
                <w:rFonts w:hint="eastAsia" w:ascii="宋体" w:hAnsi="宋体"/>
                <w:color w:val="auto"/>
                <w:highlight w:val="none"/>
              </w:rPr>
              <w:t>当通过形式评审、资格评审、响应性评审的有效投标人小于5名时，取所有入围的有效投标价的算术平均值的作为评标基准价。</w:t>
            </w:r>
          </w:p>
        </w:tc>
      </w:tr>
      <w:tr w14:paraId="6A123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2028" w:type="dxa"/>
            <w:gridSpan w:val="2"/>
          </w:tcPr>
          <w:p w14:paraId="6A972FC5">
            <w:pPr>
              <w:spacing w:line="381" w:lineRule="auto"/>
              <w:rPr>
                <w:color w:val="auto"/>
                <w:highlight w:val="none"/>
              </w:rPr>
            </w:pPr>
          </w:p>
          <w:p w14:paraId="578C1FFA">
            <w:pPr>
              <w:spacing w:before="61" w:line="186" w:lineRule="auto"/>
              <w:ind w:left="805"/>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2.2.</w:t>
            </w:r>
            <w:r>
              <w:rPr>
                <w:rFonts w:ascii="Times New Roman" w:hAnsi="Times New Roman" w:eastAsia="Times New Roman"/>
                <w:color w:val="auto"/>
                <w:highlight w:val="none"/>
              </w:rPr>
              <w:t>3</w:t>
            </w:r>
          </w:p>
        </w:tc>
        <w:tc>
          <w:tcPr>
            <w:tcW w:w="2035" w:type="dxa"/>
            <w:vAlign w:val="center"/>
          </w:tcPr>
          <w:p w14:paraId="0B15F2ED">
            <w:pPr>
              <w:spacing w:line="360" w:lineRule="auto"/>
              <w:jc w:val="center"/>
              <w:rPr>
                <w:rFonts w:hint="eastAsia" w:ascii="宋体" w:hAnsi="宋体" w:eastAsia="宋体"/>
                <w:color w:val="auto"/>
                <w:spacing w:val="-2"/>
                <w:position w:val="17"/>
                <w:highlight w:val="none"/>
              </w:rPr>
            </w:pPr>
            <w:r>
              <w:rPr>
                <w:rFonts w:ascii="宋体" w:hAnsi="宋体" w:eastAsia="宋体"/>
                <w:color w:val="auto"/>
                <w:spacing w:val="-2"/>
                <w:position w:val="17"/>
                <w:highlight w:val="none"/>
              </w:rPr>
              <w:t>投标</w:t>
            </w:r>
            <w:r>
              <w:rPr>
                <w:rFonts w:ascii="宋体" w:hAnsi="宋体" w:eastAsia="宋体"/>
                <w:color w:val="auto"/>
                <w:spacing w:val="-1"/>
                <w:position w:val="17"/>
                <w:highlight w:val="none"/>
              </w:rPr>
              <w:t>报价的偏差率</w:t>
            </w:r>
          </w:p>
          <w:p w14:paraId="405B47F9">
            <w:pPr>
              <w:spacing w:line="360" w:lineRule="auto"/>
              <w:jc w:val="center"/>
              <w:rPr>
                <w:rFonts w:hint="eastAsia" w:ascii="宋体" w:hAnsi="宋体" w:eastAsia="宋体"/>
                <w:color w:val="auto"/>
                <w:spacing w:val="-2"/>
                <w:highlight w:val="none"/>
              </w:rPr>
            </w:pPr>
            <w:r>
              <w:rPr>
                <w:rFonts w:ascii="宋体" w:hAnsi="宋体" w:eastAsia="宋体"/>
                <w:color w:val="auto"/>
                <w:spacing w:val="-2"/>
                <w:highlight w:val="none"/>
              </w:rPr>
              <w:t>计算公</w:t>
            </w:r>
            <w:r>
              <w:rPr>
                <w:rFonts w:ascii="宋体" w:hAnsi="宋体" w:eastAsia="宋体"/>
                <w:color w:val="auto"/>
                <w:spacing w:val="-1"/>
                <w:highlight w:val="none"/>
              </w:rPr>
              <w:t>式</w:t>
            </w:r>
          </w:p>
        </w:tc>
        <w:tc>
          <w:tcPr>
            <w:tcW w:w="5367" w:type="dxa"/>
            <w:vAlign w:val="center"/>
          </w:tcPr>
          <w:p w14:paraId="700AF768">
            <w:pPr>
              <w:spacing w:before="191" w:line="218" w:lineRule="auto"/>
              <w:ind w:left="210" w:leftChars="100" w:right="210" w:rightChars="100"/>
              <w:jc w:val="both"/>
              <w:rPr>
                <w:rFonts w:hint="eastAsia" w:ascii="宋体" w:hAnsi="宋体" w:eastAsia="宋体"/>
                <w:color w:val="auto"/>
                <w:highlight w:val="none"/>
              </w:rPr>
            </w:pPr>
            <w:r>
              <w:rPr>
                <w:rFonts w:ascii="宋体" w:hAnsi="宋体" w:eastAsia="宋体"/>
                <w:color w:val="auto"/>
                <w:highlight w:val="none"/>
              </w:rPr>
              <w:t>投标报价偏差率=（投标报价-评标基准价）/评标基准价×100%。</w:t>
            </w:r>
          </w:p>
        </w:tc>
      </w:tr>
      <w:tr w14:paraId="6AEC5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2028" w:type="dxa"/>
            <w:gridSpan w:val="2"/>
            <w:vAlign w:val="center"/>
          </w:tcPr>
          <w:p w14:paraId="0A754F4F">
            <w:pPr>
              <w:spacing w:line="360" w:lineRule="auto"/>
              <w:jc w:val="center"/>
              <w:rPr>
                <w:rFonts w:hint="eastAsia" w:ascii="宋体" w:hAnsi="宋体" w:eastAsia="宋体"/>
                <w:color w:val="auto"/>
                <w:spacing w:val="-3"/>
                <w:highlight w:val="none"/>
              </w:rPr>
            </w:pPr>
            <w:r>
              <w:rPr>
                <w:rFonts w:ascii="宋体" w:hAnsi="宋体" w:eastAsia="宋体"/>
                <w:color w:val="auto"/>
                <w:spacing w:val="-3"/>
                <w:highlight w:val="none"/>
              </w:rPr>
              <w:t>条款号</w:t>
            </w:r>
          </w:p>
        </w:tc>
        <w:tc>
          <w:tcPr>
            <w:tcW w:w="2035" w:type="dxa"/>
            <w:vAlign w:val="center"/>
          </w:tcPr>
          <w:p w14:paraId="38AB39F5">
            <w:pPr>
              <w:spacing w:line="360" w:lineRule="auto"/>
              <w:jc w:val="center"/>
              <w:rPr>
                <w:rFonts w:hint="eastAsia" w:ascii="宋体" w:hAnsi="宋体" w:eastAsia="宋体"/>
                <w:color w:val="auto"/>
                <w:spacing w:val="14"/>
                <w:highlight w:val="none"/>
              </w:rPr>
            </w:pPr>
            <w:r>
              <w:rPr>
                <w:rFonts w:ascii="宋体" w:hAnsi="宋体" w:eastAsia="宋体"/>
                <w:color w:val="auto"/>
                <w:spacing w:val="14"/>
                <w:highlight w:val="none"/>
              </w:rPr>
              <w:t>评</w:t>
            </w:r>
            <w:r>
              <w:rPr>
                <w:rFonts w:ascii="宋体" w:hAnsi="宋体" w:eastAsia="宋体"/>
                <w:color w:val="auto"/>
                <w:spacing w:val="11"/>
                <w:highlight w:val="none"/>
              </w:rPr>
              <w:t>分因素(偏差率)</w:t>
            </w:r>
          </w:p>
        </w:tc>
        <w:tc>
          <w:tcPr>
            <w:tcW w:w="5367" w:type="dxa"/>
            <w:vAlign w:val="center"/>
          </w:tcPr>
          <w:p w14:paraId="0EF073A3">
            <w:pPr>
              <w:spacing w:line="360" w:lineRule="auto"/>
              <w:ind w:left="210" w:leftChars="100" w:right="210" w:rightChars="100"/>
              <w:jc w:val="center"/>
              <w:rPr>
                <w:rFonts w:hint="eastAsia" w:ascii="宋体" w:hAnsi="宋体" w:eastAsia="宋体"/>
                <w:color w:val="auto"/>
                <w:spacing w:val="-2"/>
                <w:highlight w:val="none"/>
              </w:rPr>
            </w:pPr>
            <w:r>
              <w:rPr>
                <w:rFonts w:ascii="宋体" w:hAnsi="宋体" w:eastAsia="宋体"/>
                <w:color w:val="auto"/>
                <w:spacing w:val="-2"/>
                <w:highlight w:val="none"/>
              </w:rPr>
              <w:t>评分标</w:t>
            </w:r>
            <w:r>
              <w:rPr>
                <w:rFonts w:ascii="宋体" w:hAnsi="宋体" w:eastAsia="宋体"/>
                <w:color w:val="auto"/>
                <w:spacing w:val="-1"/>
                <w:highlight w:val="none"/>
              </w:rPr>
              <w:t>准</w:t>
            </w:r>
          </w:p>
        </w:tc>
      </w:tr>
      <w:tr w14:paraId="509EB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0" w:hRule="atLeast"/>
        </w:trPr>
        <w:tc>
          <w:tcPr>
            <w:tcW w:w="904" w:type="dxa"/>
            <w:vMerge w:val="restart"/>
            <w:vAlign w:val="center"/>
          </w:tcPr>
          <w:p w14:paraId="5E2F16B1">
            <w:pPr>
              <w:spacing w:line="292" w:lineRule="auto"/>
              <w:jc w:val="center"/>
              <w:rPr>
                <w:color w:val="auto"/>
                <w:highlight w:val="none"/>
              </w:rPr>
            </w:pPr>
          </w:p>
          <w:p w14:paraId="4F8661A9">
            <w:pPr>
              <w:spacing w:line="292" w:lineRule="auto"/>
              <w:jc w:val="center"/>
              <w:rPr>
                <w:color w:val="auto"/>
                <w:highlight w:val="none"/>
              </w:rPr>
            </w:pPr>
          </w:p>
          <w:p w14:paraId="715D76AB">
            <w:pPr>
              <w:spacing w:line="292" w:lineRule="auto"/>
              <w:jc w:val="center"/>
              <w:rPr>
                <w:color w:val="auto"/>
                <w:highlight w:val="none"/>
              </w:rPr>
            </w:pPr>
          </w:p>
          <w:p w14:paraId="299E7C01">
            <w:pPr>
              <w:spacing w:before="60" w:line="401" w:lineRule="exact"/>
              <w:ind w:left="244"/>
              <w:jc w:val="center"/>
              <w:rPr>
                <w:rFonts w:ascii="Times New Roman" w:hAnsi="Times New Roman" w:eastAsia="Times New Roman"/>
                <w:color w:val="auto"/>
                <w:spacing w:val="-1"/>
                <w:position w:val="18"/>
                <w:highlight w:val="none"/>
              </w:rPr>
            </w:pPr>
            <w:r>
              <w:rPr>
                <w:rFonts w:ascii="Times New Roman" w:hAnsi="Times New Roman" w:eastAsia="Times New Roman"/>
                <w:color w:val="auto"/>
                <w:spacing w:val="-1"/>
                <w:position w:val="18"/>
                <w:highlight w:val="none"/>
              </w:rPr>
              <w:t>2.2</w:t>
            </w:r>
            <w:r>
              <w:rPr>
                <w:rFonts w:ascii="Times New Roman" w:hAnsi="Times New Roman" w:eastAsia="Times New Roman"/>
                <w:color w:val="auto"/>
                <w:position w:val="18"/>
                <w:highlight w:val="none"/>
              </w:rPr>
              <w:t>.4</w:t>
            </w:r>
          </w:p>
          <w:p w14:paraId="5AB293B0">
            <w:pPr>
              <w:spacing w:line="223" w:lineRule="auto"/>
              <w:ind w:left="199"/>
              <w:jc w:val="center"/>
              <w:rPr>
                <w:rFonts w:hint="eastAsia" w:ascii="宋体" w:hAnsi="宋体" w:eastAsia="宋体"/>
                <w:color w:val="auto"/>
                <w:spacing w:val="31"/>
                <w:highlight w:val="none"/>
              </w:rPr>
            </w:pPr>
            <w:r>
              <w:rPr>
                <w:rFonts w:ascii="宋体" w:hAnsi="宋体" w:eastAsia="宋体"/>
                <w:color w:val="auto"/>
                <w:spacing w:val="31"/>
                <w:highlight w:val="none"/>
              </w:rPr>
              <w:t>(</w:t>
            </w:r>
            <w:r>
              <w:rPr>
                <w:rFonts w:ascii="Times New Roman" w:hAnsi="Times New Roman" w:eastAsia="Times New Roman"/>
                <w:color w:val="auto"/>
                <w:spacing w:val="30"/>
                <w:highlight w:val="none"/>
              </w:rPr>
              <w:t>1</w:t>
            </w:r>
            <w:r>
              <w:rPr>
                <w:rFonts w:ascii="宋体" w:hAnsi="宋体" w:eastAsia="宋体"/>
                <w:color w:val="auto"/>
                <w:spacing w:val="30"/>
                <w:highlight w:val="none"/>
              </w:rPr>
              <w:t>)</w:t>
            </w:r>
          </w:p>
        </w:tc>
        <w:tc>
          <w:tcPr>
            <w:tcW w:w="1124" w:type="dxa"/>
            <w:vMerge w:val="restart"/>
            <w:vAlign w:val="center"/>
          </w:tcPr>
          <w:p w14:paraId="1521D4F0">
            <w:pPr>
              <w:spacing w:line="276" w:lineRule="auto"/>
              <w:jc w:val="center"/>
              <w:rPr>
                <w:color w:val="auto"/>
                <w:highlight w:val="none"/>
              </w:rPr>
            </w:pPr>
          </w:p>
          <w:p w14:paraId="4DF2C105">
            <w:pPr>
              <w:spacing w:line="277" w:lineRule="auto"/>
              <w:jc w:val="center"/>
              <w:rPr>
                <w:color w:val="auto"/>
                <w:highlight w:val="none"/>
              </w:rPr>
            </w:pPr>
          </w:p>
          <w:p w14:paraId="74E3C1BE">
            <w:pPr>
              <w:spacing w:line="277" w:lineRule="auto"/>
              <w:jc w:val="center"/>
              <w:rPr>
                <w:color w:val="auto"/>
                <w:highlight w:val="none"/>
              </w:rPr>
            </w:pPr>
          </w:p>
          <w:p w14:paraId="608C8990">
            <w:pPr>
              <w:spacing w:before="68" w:line="394" w:lineRule="auto"/>
              <w:ind w:left="144" w:right="141" w:firstLine="9"/>
              <w:jc w:val="center"/>
              <w:rPr>
                <w:rFonts w:hint="eastAsia" w:ascii="宋体" w:hAnsi="宋体" w:eastAsia="宋体"/>
                <w:color w:val="auto"/>
                <w:spacing w:val="-6"/>
                <w:highlight w:val="none"/>
              </w:rPr>
            </w:pPr>
            <w:r>
              <w:rPr>
                <w:rFonts w:ascii="宋体" w:hAnsi="宋体" w:eastAsia="宋体"/>
                <w:color w:val="auto"/>
                <w:spacing w:val="-6"/>
                <w:highlight w:val="none"/>
              </w:rPr>
              <w:t>资</w:t>
            </w:r>
            <w:r>
              <w:rPr>
                <w:rFonts w:ascii="宋体" w:hAnsi="宋体" w:eastAsia="宋体"/>
                <w:color w:val="auto"/>
                <w:spacing w:val="-4"/>
                <w:highlight w:val="none"/>
              </w:rPr>
              <w:t>信业绩</w:t>
            </w:r>
            <w:r>
              <w:rPr>
                <w:rFonts w:ascii="宋体" w:hAnsi="宋体" w:eastAsia="宋体"/>
                <w:color w:val="auto"/>
                <w:highlight w:val="none"/>
              </w:rPr>
              <w:t xml:space="preserve"> </w:t>
            </w:r>
            <w:r>
              <w:rPr>
                <w:rFonts w:ascii="宋体" w:hAnsi="宋体" w:eastAsia="宋体"/>
                <w:color w:val="auto"/>
                <w:spacing w:val="-2"/>
                <w:highlight w:val="none"/>
              </w:rPr>
              <w:t>评分标准</w:t>
            </w:r>
          </w:p>
          <w:p w14:paraId="17115357">
            <w:pPr>
              <w:spacing w:before="68" w:line="394" w:lineRule="auto"/>
              <w:ind w:left="144" w:right="141"/>
              <w:rPr>
                <w:rFonts w:hint="eastAsia" w:ascii="宋体" w:hAnsi="宋体" w:eastAsia="宋体"/>
                <w:color w:val="auto"/>
                <w:spacing w:val="-2"/>
                <w:highlight w:val="none"/>
              </w:rPr>
            </w:pPr>
            <w:r>
              <w:rPr>
                <w:rFonts w:hint="eastAsia" w:ascii="宋体" w:hAnsi="宋体" w:eastAsia="宋体"/>
                <w:color w:val="auto"/>
                <w:spacing w:val="-2"/>
                <w:highlight w:val="none"/>
              </w:rPr>
              <w:t>（40分）</w:t>
            </w:r>
          </w:p>
        </w:tc>
        <w:tc>
          <w:tcPr>
            <w:tcW w:w="2035" w:type="dxa"/>
            <w:vAlign w:val="center"/>
          </w:tcPr>
          <w:p w14:paraId="4A25283B">
            <w:pPr>
              <w:spacing w:before="113" w:line="217" w:lineRule="auto"/>
              <w:jc w:val="center"/>
              <w:rPr>
                <w:rFonts w:hint="eastAsia" w:ascii="宋体" w:hAnsi="宋体" w:eastAsia="宋体" w:cs="宋体"/>
                <w:color w:val="auto"/>
                <w:spacing w:val="-1"/>
                <w:highlight w:val="none"/>
              </w:rPr>
            </w:pPr>
            <w:r>
              <w:rPr>
                <w:rFonts w:hint="eastAsia" w:ascii="宋体" w:hAnsi="宋体" w:eastAsia="宋体" w:cs="宋体"/>
                <w:spacing w:val="-7"/>
                <w:highlight w:val="none"/>
              </w:rPr>
              <w:t>项目</w:t>
            </w:r>
            <w:r>
              <w:rPr>
                <w:rFonts w:hint="eastAsia" w:ascii="宋体" w:hAnsi="宋体" w:eastAsia="宋体" w:cs="宋体"/>
                <w:spacing w:val="7"/>
                <w:highlight w:val="none"/>
              </w:rPr>
              <w:t>负责</w:t>
            </w:r>
            <w:r>
              <w:rPr>
                <w:rFonts w:hint="eastAsia" w:ascii="宋体" w:hAnsi="宋体" w:eastAsia="宋体" w:cs="宋体"/>
                <w:spacing w:val="8"/>
                <w:highlight w:val="none"/>
              </w:rPr>
              <w:t>人资</w:t>
            </w:r>
            <w:r>
              <w:rPr>
                <w:rFonts w:hint="eastAsia" w:ascii="宋体" w:hAnsi="宋体" w:eastAsia="宋体" w:cs="宋体"/>
                <w:highlight w:val="none"/>
              </w:rPr>
              <w:t>格</w:t>
            </w:r>
            <w:r>
              <w:rPr>
                <w:rFonts w:hint="eastAsia" w:ascii="宋体" w:hAnsi="宋体" w:eastAsia="宋体" w:cs="宋体"/>
                <w:color w:val="auto"/>
                <w:spacing w:val="-1"/>
                <w:highlight w:val="none"/>
              </w:rPr>
              <w:t xml:space="preserve">（9分）     </w:t>
            </w:r>
          </w:p>
        </w:tc>
        <w:tc>
          <w:tcPr>
            <w:tcW w:w="5367" w:type="dxa"/>
            <w:vAlign w:val="center"/>
          </w:tcPr>
          <w:p w14:paraId="15012441">
            <w:pPr>
              <w:pStyle w:val="52"/>
              <w:spacing w:line="360" w:lineRule="auto"/>
              <w:ind w:left="210" w:leftChars="100" w:right="210" w:rightChars="100"/>
              <w:rPr>
                <w:rFonts w:hint="eastAsia" w:ascii="宋体" w:hAnsi="宋体" w:eastAsia="宋体"/>
                <w:szCs w:val="21"/>
                <w:highlight w:val="none"/>
              </w:rPr>
            </w:pPr>
            <w:r>
              <w:rPr>
                <w:rFonts w:hint="eastAsia" w:ascii="宋体" w:hAnsi="宋体" w:eastAsia="宋体"/>
                <w:szCs w:val="21"/>
                <w:highlight w:val="none"/>
              </w:rPr>
              <w:t>1、</w:t>
            </w:r>
            <w:r>
              <w:rPr>
                <w:rFonts w:hint="eastAsia" w:ascii="宋体" w:hAnsi="宋体" w:eastAsia="宋体"/>
                <w:szCs w:val="21"/>
                <w:highlight w:val="none"/>
                <w:lang w:val="zh-CN"/>
              </w:rPr>
              <w:t>项目负责人设计经历及业务能力：</w:t>
            </w:r>
          </w:p>
          <w:p w14:paraId="67D87FB1">
            <w:pPr>
              <w:pStyle w:val="52"/>
              <w:spacing w:line="360" w:lineRule="auto"/>
              <w:ind w:left="210" w:leftChars="100" w:right="210" w:rightChars="100"/>
              <w:rPr>
                <w:rFonts w:hint="eastAsia" w:ascii="宋体" w:hAnsi="宋体" w:eastAsia="宋体"/>
                <w:szCs w:val="21"/>
                <w:highlight w:val="none"/>
              </w:rPr>
            </w:pPr>
            <w:r>
              <w:rPr>
                <w:rFonts w:hint="eastAsia" w:ascii="宋体" w:hAnsi="宋体" w:eastAsia="宋体"/>
                <w:szCs w:val="21"/>
                <w:highlight w:val="none"/>
              </w:rPr>
              <w:t>①、具备水利水电工程类专业正高级工程师职称得2分，具备水利水电工程类专业高级（副高）工程师职称得1分，本小项最高得2分。</w:t>
            </w:r>
          </w:p>
          <w:p w14:paraId="77A79E56">
            <w:pPr>
              <w:pStyle w:val="52"/>
              <w:spacing w:line="360" w:lineRule="auto"/>
              <w:ind w:left="210" w:leftChars="100" w:right="210" w:rightChars="100"/>
              <w:rPr>
                <w:rFonts w:hint="eastAsia" w:ascii="宋体" w:hAnsi="宋体" w:eastAsia="宋体"/>
                <w:szCs w:val="21"/>
                <w:highlight w:val="none"/>
              </w:rPr>
            </w:pPr>
            <w:r>
              <w:rPr>
                <w:rFonts w:hint="eastAsia" w:ascii="宋体" w:hAnsi="宋体" w:eastAsia="宋体"/>
                <w:szCs w:val="21"/>
                <w:highlight w:val="none"/>
              </w:rPr>
              <w:t>②、具备注册土木工程师(</w:t>
            </w:r>
            <w:r>
              <w:rPr>
                <w:rFonts w:hint="eastAsia" w:ascii="宋体" w:hAnsi="宋体" w:eastAsia="宋体"/>
                <w:szCs w:val="21"/>
                <w:highlight w:val="none"/>
                <w:lang w:val="zh-CN"/>
              </w:rPr>
              <w:t>水利水电工程</w:t>
            </w:r>
            <w:r>
              <w:rPr>
                <w:rFonts w:hint="eastAsia" w:ascii="宋体" w:hAnsi="宋体" w:eastAsia="宋体"/>
                <w:szCs w:val="21"/>
                <w:highlight w:val="none"/>
              </w:rPr>
              <w:t>)水工结构资格证书得1分，本小项最高得1分。</w:t>
            </w:r>
          </w:p>
          <w:p w14:paraId="74723ECD">
            <w:pPr>
              <w:pStyle w:val="52"/>
              <w:spacing w:line="360" w:lineRule="auto"/>
              <w:ind w:left="210" w:leftChars="100" w:right="210" w:rightChars="100"/>
              <w:rPr>
                <w:rFonts w:hint="eastAsia" w:ascii="宋体" w:hAnsi="宋体" w:eastAsia="宋体"/>
                <w:szCs w:val="21"/>
                <w:highlight w:val="none"/>
              </w:rPr>
            </w:pPr>
            <w:r>
              <w:rPr>
                <w:rFonts w:hint="eastAsia" w:ascii="宋体" w:hAnsi="宋体" w:eastAsia="宋体"/>
                <w:szCs w:val="21"/>
                <w:highlight w:val="none"/>
              </w:rPr>
              <w:t>③、具有一级造价工程师（含原注册造价工程师）</w:t>
            </w:r>
            <w:r>
              <w:rPr>
                <w:rFonts w:hint="eastAsia" w:ascii="宋体" w:hAnsi="宋体" w:eastAsia="宋体" w:cs="宋体"/>
                <w:color w:val="auto"/>
                <w:sz w:val="21"/>
                <w:szCs w:val="21"/>
                <w:highlight w:val="none"/>
                <w:lang w:val="en-US" w:eastAsia="zh-CN"/>
              </w:rPr>
              <w:t>注册证书</w:t>
            </w:r>
            <w:r>
              <w:rPr>
                <w:rFonts w:hint="eastAsia" w:ascii="宋体" w:hAnsi="宋体" w:eastAsia="宋体"/>
                <w:szCs w:val="21"/>
                <w:highlight w:val="none"/>
              </w:rPr>
              <w:t>的，得2分，具备二级造价工程师</w:t>
            </w:r>
            <w:r>
              <w:rPr>
                <w:rFonts w:hint="eastAsia" w:ascii="宋体" w:hAnsi="宋体" w:eastAsia="宋体" w:cs="宋体"/>
                <w:color w:val="auto"/>
                <w:sz w:val="21"/>
                <w:szCs w:val="21"/>
                <w:highlight w:val="none"/>
                <w:lang w:val="en-US" w:eastAsia="zh-CN"/>
              </w:rPr>
              <w:t>注册证书</w:t>
            </w:r>
            <w:r>
              <w:rPr>
                <w:rFonts w:hint="eastAsia" w:ascii="宋体" w:hAnsi="宋体" w:eastAsia="宋体"/>
                <w:szCs w:val="21"/>
                <w:highlight w:val="none"/>
              </w:rPr>
              <w:t>的，得1分，本小项最高得2分。</w:t>
            </w:r>
          </w:p>
          <w:p w14:paraId="5DE03E86">
            <w:pPr>
              <w:pStyle w:val="52"/>
              <w:spacing w:line="360" w:lineRule="auto"/>
              <w:ind w:left="210" w:leftChars="100" w:right="210" w:rightChars="100"/>
              <w:rPr>
                <w:rFonts w:hint="eastAsia" w:ascii="宋体" w:hAnsi="宋体" w:eastAsia="宋体"/>
                <w:szCs w:val="21"/>
                <w:highlight w:val="none"/>
              </w:rPr>
            </w:pPr>
            <w:r>
              <w:rPr>
                <w:rFonts w:hint="eastAsia" w:ascii="宋体" w:hAnsi="宋体" w:eastAsia="宋体"/>
                <w:szCs w:val="21"/>
                <w:highlight w:val="none"/>
                <w:lang w:val="zh-CN"/>
              </w:rPr>
              <w:t xml:space="preserve">以上各项合计最多得 </w:t>
            </w:r>
            <w:r>
              <w:rPr>
                <w:rFonts w:hint="eastAsia" w:ascii="宋体" w:hAnsi="宋体" w:eastAsia="宋体"/>
                <w:szCs w:val="21"/>
                <w:highlight w:val="none"/>
              </w:rPr>
              <w:t>5</w:t>
            </w:r>
            <w:r>
              <w:rPr>
                <w:rFonts w:hint="eastAsia" w:ascii="宋体" w:hAnsi="宋体" w:eastAsia="宋体"/>
                <w:szCs w:val="21"/>
                <w:highlight w:val="none"/>
                <w:lang w:val="zh-CN"/>
              </w:rPr>
              <w:t>分。</w:t>
            </w:r>
          </w:p>
          <w:p w14:paraId="7ECB84D9">
            <w:pPr>
              <w:pStyle w:val="52"/>
              <w:spacing w:line="360" w:lineRule="auto"/>
              <w:ind w:left="210" w:leftChars="100" w:right="210" w:rightChars="100"/>
              <w:rPr>
                <w:rFonts w:hint="eastAsia" w:ascii="宋体" w:hAnsi="宋体" w:eastAsia="宋体"/>
                <w:szCs w:val="21"/>
                <w:highlight w:val="none"/>
              </w:rPr>
            </w:pPr>
            <w:r>
              <w:rPr>
                <w:rFonts w:hint="eastAsia" w:ascii="宋体" w:hAnsi="宋体" w:eastAsia="宋体"/>
                <w:szCs w:val="21"/>
                <w:highlight w:val="none"/>
              </w:rPr>
              <w:t>2、20</w:t>
            </w:r>
            <w:r>
              <w:rPr>
                <w:rFonts w:hint="eastAsia" w:ascii="宋体" w:hAnsi="宋体" w:eastAsia="宋体"/>
                <w:szCs w:val="21"/>
                <w:highlight w:val="none"/>
                <w:lang w:val="en-US" w:eastAsia="zh-CN"/>
              </w:rPr>
              <w:t>20</w:t>
            </w:r>
            <w:r>
              <w:rPr>
                <w:rFonts w:hint="eastAsia" w:ascii="宋体" w:hAnsi="宋体" w:eastAsia="宋体"/>
                <w:szCs w:val="21"/>
                <w:highlight w:val="none"/>
                <w:lang w:val="zh-CN"/>
              </w:rPr>
              <w:t>年1月1日至今，参与或负责过水利水电项目</w:t>
            </w:r>
            <w:r>
              <w:rPr>
                <w:rFonts w:hint="eastAsia" w:ascii="宋体" w:hAnsi="宋体" w:eastAsia="宋体"/>
                <w:szCs w:val="21"/>
                <w:highlight w:val="none"/>
              </w:rPr>
              <w:t>勘察设计类或咨询类获奖证书</w:t>
            </w:r>
            <w:r>
              <w:rPr>
                <w:rFonts w:hint="eastAsia" w:ascii="宋体" w:hAnsi="宋体" w:eastAsia="宋体"/>
                <w:szCs w:val="21"/>
                <w:highlight w:val="none"/>
                <w:lang w:val="zh-CN"/>
              </w:rPr>
              <w:t>：获国家级奖项，每项得</w:t>
            </w:r>
            <w:r>
              <w:rPr>
                <w:rFonts w:hint="eastAsia" w:ascii="宋体" w:hAnsi="宋体" w:eastAsia="宋体"/>
                <w:szCs w:val="21"/>
                <w:highlight w:val="none"/>
              </w:rPr>
              <w:t>2</w:t>
            </w:r>
            <w:r>
              <w:rPr>
                <w:rFonts w:hint="eastAsia" w:ascii="宋体" w:hAnsi="宋体" w:eastAsia="宋体"/>
                <w:szCs w:val="21"/>
                <w:highlight w:val="none"/>
                <w:lang w:val="zh-CN"/>
              </w:rPr>
              <w:t>分；获省级奖项，每项得1分；获市（副省级）奖项，每项得0.5分。本项最多得</w:t>
            </w:r>
            <w:r>
              <w:rPr>
                <w:rFonts w:hint="eastAsia" w:ascii="宋体" w:hAnsi="宋体" w:eastAsia="宋体"/>
                <w:szCs w:val="21"/>
                <w:highlight w:val="none"/>
              </w:rPr>
              <w:t>4</w:t>
            </w:r>
            <w:r>
              <w:rPr>
                <w:rFonts w:hint="eastAsia" w:ascii="宋体" w:hAnsi="宋体" w:eastAsia="宋体"/>
                <w:szCs w:val="21"/>
                <w:highlight w:val="none"/>
                <w:lang w:val="zh-CN"/>
              </w:rPr>
              <w:t>分。</w:t>
            </w:r>
          </w:p>
          <w:p w14:paraId="60B487CB">
            <w:pPr>
              <w:pStyle w:val="52"/>
              <w:spacing w:line="360" w:lineRule="auto"/>
              <w:ind w:left="210" w:leftChars="100" w:right="210" w:rightChars="100"/>
              <w:rPr>
                <w:rFonts w:hint="eastAsia" w:ascii="宋体" w:hAnsi="宋体" w:eastAsia="宋体"/>
                <w:szCs w:val="21"/>
                <w:highlight w:val="none"/>
              </w:rPr>
            </w:pPr>
            <w:r>
              <w:rPr>
                <w:rFonts w:hint="eastAsia" w:ascii="宋体" w:hAnsi="宋体" w:eastAsia="宋体"/>
                <w:szCs w:val="21"/>
                <w:highlight w:val="none"/>
              </w:rPr>
              <w:t>注：①同一项目业绩获奖的按最高奖项只计算一次，不重复计算。须提供获奖证书等相关获奖证明材料，时间以获奖证书颁发日期为准。如颁奖单位为协会的，还须提供颁奖协会在“</w:t>
            </w:r>
            <w:bookmarkStart w:id="302" w:name="OLE_LINK1"/>
            <w:r>
              <w:rPr>
                <w:rFonts w:hint="eastAsia" w:ascii="宋体" w:hAnsi="宋体" w:eastAsia="宋体"/>
                <w:szCs w:val="21"/>
                <w:highlight w:val="none"/>
              </w:rPr>
              <w:t>全国社会组织信用信息公示平台（试运行）</w:t>
            </w:r>
            <w:bookmarkEnd w:id="302"/>
            <w:r>
              <w:rPr>
                <w:rFonts w:hint="eastAsia" w:ascii="宋体" w:hAnsi="宋体" w:eastAsia="宋体"/>
                <w:szCs w:val="21"/>
                <w:highlight w:val="none"/>
              </w:rPr>
              <w:t>”登记备案的查询网页截图，否则</w:t>
            </w:r>
            <w:r>
              <w:rPr>
                <w:rFonts w:hint="eastAsia" w:ascii="宋体" w:hAnsi="宋体" w:eastAsia="宋体"/>
                <w:szCs w:val="21"/>
                <w:highlight w:val="none"/>
                <w:lang w:val="zh-CN"/>
              </w:rPr>
              <w:t>不予计分</w:t>
            </w:r>
            <w:r>
              <w:rPr>
                <w:rFonts w:hint="eastAsia" w:ascii="宋体" w:hAnsi="宋体" w:eastAsia="宋体"/>
                <w:szCs w:val="21"/>
                <w:highlight w:val="none"/>
              </w:rPr>
              <w:t>。若上述资料无法体现项目负责人的“参加过获奖业绩”的则需提供业主盖章证明。</w:t>
            </w:r>
          </w:p>
          <w:p w14:paraId="35CB220A">
            <w:pPr>
              <w:pStyle w:val="52"/>
              <w:spacing w:line="360" w:lineRule="auto"/>
              <w:ind w:left="210" w:leftChars="100" w:right="210" w:rightChars="100"/>
              <w:rPr>
                <w:rFonts w:hint="eastAsia" w:ascii="宋体" w:hAnsi="宋体" w:eastAsia="宋体" w:cs="宋体"/>
                <w:szCs w:val="21"/>
                <w:highlight w:val="none"/>
              </w:rPr>
            </w:pPr>
            <w:r>
              <w:rPr>
                <w:rFonts w:hint="eastAsia" w:ascii="宋体" w:hAnsi="宋体" w:eastAsia="宋体"/>
                <w:szCs w:val="21"/>
                <w:highlight w:val="none"/>
              </w:rPr>
              <w:t>②需提供相关专业注册师执业证书、职称证书及近1个月（2025年</w:t>
            </w:r>
            <w:r>
              <w:rPr>
                <w:rFonts w:hint="eastAsia" w:ascii="宋体" w:hAnsi="宋体" w:eastAsia="宋体"/>
                <w:szCs w:val="21"/>
                <w:highlight w:val="none"/>
                <w:lang w:val="en-US" w:eastAsia="zh-CN"/>
              </w:rPr>
              <w:t>5</w:t>
            </w:r>
            <w:r>
              <w:rPr>
                <w:rFonts w:hint="eastAsia" w:ascii="宋体" w:hAnsi="宋体" w:eastAsia="宋体"/>
                <w:szCs w:val="21"/>
                <w:highlight w:val="none"/>
              </w:rPr>
              <w:t>月）有效社保证明扫描件。社保证明需能反映参保人在投标人单位缴纳（不含分公司或子公司）。如果职称证上没有显示专业，需用毕业证或注册证书或其它有效证明材料证明其专业。</w:t>
            </w:r>
          </w:p>
        </w:tc>
      </w:tr>
      <w:tr w14:paraId="68C4B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904" w:type="dxa"/>
            <w:vMerge w:val="continue"/>
            <w:vAlign w:val="center"/>
          </w:tcPr>
          <w:p w14:paraId="502EAB9E">
            <w:pPr>
              <w:spacing w:line="223" w:lineRule="auto"/>
              <w:ind w:left="199"/>
              <w:jc w:val="center"/>
              <w:rPr>
                <w:rFonts w:hint="eastAsia" w:ascii="宋体" w:hAnsi="宋体" w:eastAsia="宋体"/>
                <w:color w:val="auto"/>
                <w:spacing w:val="31"/>
                <w:highlight w:val="none"/>
              </w:rPr>
            </w:pPr>
          </w:p>
        </w:tc>
        <w:tc>
          <w:tcPr>
            <w:tcW w:w="1124" w:type="dxa"/>
            <w:vMerge w:val="continue"/>
            <w:vAlign w:val="center"/>
          </w:tcPr>
          <w:p w14:paraId="6F1B9EE2">
            <w:pPr>
              <w:spacing w:before="68" w:line="394" w:lineRule="auto"/>
              <w:ind w:left="144" w:right="141" w:firstLine="9"/>
              <w:jc w:val="center"/>
              <w:rPr>
                <w:rFonts w:hint="eastAsia" w:ascii="宋体" w:hAnsi="宋体" w:eastAsia="宋体"/>
                <w:color w:val="auto"/>
                <w:spacing w:val="-6"/>
                <w:highlight w:val="none"/>
              </w:rPr>
            </w:pPr>
          </w:p>
        </w:tc>
        <w:tc>
          <w:tcPr>
            <w:tcW w:w="2035" w:type="dxa"/>
            <w:vAlign w:val="center"/>
          </w:tcPr>
          <w:p w14:paraId="706758B8">
            <w:pPr>
              <w:spacing w:line="360" w:lineRule="auto"/>
              <w:jc w:val="center"/>
              <w:rPr>
                <w:rFonts w:hint="eastAsia" w:ascii="宋体" w:hAnsi="宋体" w:eastAsia="宋体"/>
                <w:color w:val="auto"/>
                <w:spacing w:val="-3"/>
                <w:highlight w:val="none"/>
              </w:rPr>
            </w:pPr>
          </w:p>
          <w:p w14:paraId="47C379BD">
            <w:pPr>
              <w:spacing w:before="113" w:line="217" w:lineRule="auto"/>
              <w:jc w:val="center"/>
              <w:rPr>
                <w:rFonts w:hint="eastAsia" w:ascii="宋体" w:hAnsi="宋体" w:eastAsia="宋体" w:cs="宋体"/>
                <w:spacing w:val="7"/>
                <w:highlight w:val="none"/>
              </w:rPr>
            </w:pPr>
            <w:r>
              <w:rPr>
                <w:rFonts w:hint="eastAsia" w:ascii="宋体" w:hAnsi="宋体" w:eastAsia="宋体" w:cs="宋体"/>
                <w:spacing w:val="7"/>
                <w:highlight w:val="none"/>
              </w:rPr>
              <w:t>技术负责人资格</w:t>
            </w:r>
          </w:p>
          <w:p w14:paraId="4B4FFA50">
            <w:pPr>
              <w:spacing w:before="113" w:line="217" w:lineRule="auto"/>
              <w:jc w:val="center"/>
              <w:rPr>
                <w:rFonts w:hint="eastAsia" w:ascii="宋体" w:hAnsi="宋体" w:eastAsia="宋体"/>
                <w:color w:val="auto"/>
                <w:spacing w:val="-1"/>
                <w:highlight w:val="none"/>
              </w:rPr>
            </w:pPr>
            <w:r>
              <w:rPr>
                <w:rFonts w:hint="eastAsia" w:ascii="宋体" w:hAnsi="宋体" w:eastAsia="宋体"/>
                <w:color w:val="auto"/>
                <w:spacing w:val="-1"/>
                <w:highlight w:val="none"/>
              </w:rPr>
              <w:t>（10分）</w:t>
            </w:r>
          </w:p>
        </w:tc>
        <w:tc>
          <w:tcPr>
            <w:tcW w:w="5367" w:type="dxa"/>
            <w:vAlign w:val="center"/>
          </w:tcPr>
          <w:p w14:paraId="32A7F3FF">
            <w:pPr>
              <w:pStyle w:val="52"/>
              <w:spacing w:line="360" w:lineRule="auto"/>
              <w:ind w:left="210" w:leftChars="100" w:right="210" w:rightChars="100"/>
              <w:rPr>
                <w:rFonts w:hint="eastAsia" w:ascii="宋体" w:hAnsi="宋体" w:eastAsia="宋体"/>
                <w:szCs w:val="21"/>
                <w:highlight w:val="none"/>
                <w:lang w:val="zh-CN"/>
              </w:rPr>
            </w:pPr>
            <w:r>
              <w:rPr>
                <w:rFonts w:hint="eastAsia" w:ascii="宋体" w:hAnsi="宋体" w:eastAsia="宋体"/>
                <w:szCs w:val="21"/>
                <w:highlight w:val="none"/>
              </w:rPr>
              <w:t>技术</w:t>
            </w:r>
            <w:r>
              <w:rPr>
                <w:rFonts w:hint="eastAsia" w:ascii="宋体" w:hAnsi="宋体" w:eastAsia="宋体"/>
                <w:szCs w:val="21"/>
                <w:highlight w:val="none"/>
                <w:lang w:val="zh-CN"/>
              </w:rPr>
              <w:t>负责人设计经历及业务能力：</w:t>
            </w:r>
          </w:p>
          <w:p w14:paraId="70485141">
            <w:pPr>
              <w:pStyle w:val="52"/>
              <w:spacing w:line="360" w:lineRule="auto"/>
              <w:ind w:left="210" w:leftChars="100" w:right="210" w:rightChars="100"/>
              <w:rPr>
                <w:rFonts w:hint="eastAsia" w:ascii="宋体" w:hAnsi="宋体" w:eastAsia="宋体"/>
                <w:szCs w:val="21"/>
                <w:highlight w:val="none"/>
              </w:rPr>
            </w:pPr>
            <w:r>
              <w:rPr>
                <w:rFonts w:hint="eastAsia" w:ascii="宋体" w:hAnsi="宋体" w:eastAsia="宋体"/>
                <w:szCs w:val="21"/>
                <w:highlight w:val="none"/>
              </w:rPr>
              <w:t>①、具备水利水电工程类专业正高级工程师职称得2分，具备水利水电工程类专业高级（副高）工程师职称得1分，具备水利水电工程类专业中级职称得0.5分，本小项最高得2分。</w:t>
            </w:r>
          </w:p>
          <w:p w14:paraId="21621FBA">
            <w:pPr>
              <w:pStyle w:val="52"/>
              <w:spacing w:line="360" w:lineRule="auto"/>
              <w:ind w:left="210" w:leftChars="100" w:right="210" w:rightChars="100"/>
              <w:rPr>
                <w:rFonts w:hint="eastAsia" w:ascii="宋体" w:hAnsi="宋体" w:eastAsia="宋体"/>
                <w:szCs w:val="21"/>
                <w:highlight w:val="none"/>
              </w:rPr>
            </w:pPr>
            <w:r>
              <w:rPr>
                <w:rFonts w:hint="eastAsia" w:ascii="宋体" w:hAnsi="宋体" w:eastAsia="宋体"/>
                <w:szCs w:val="21"/>
                <w:highlight w:val="none"/>
              </w:rPr>
              <w:t>②、具备注册土木工程师(岩土)资格证书得2分，本小项最高得2分。</w:t>
            </w:r>
          </w:p>
          <w:p w14:paraId="4C67F8D0">
            <w:pPr>
              <w:pStyle w:val="52"/>
              <w:spacing w:line="360" w:lineRule="auto"/>
              <w:ind w:left="210" w:leftChars="100" w:right="210" w:rightChars="100"/>
              <w:rPr>
                <w:rFonts w:hint="eastAsia" w:ascii="宋体" w:hAnsi="宋体" w:eastAsia="宋体"/>
                <w:szCs w:val="21"/>
                <w:highlight w:val="none"/>
              </w:rPr>
            </w:pPr>
            <w:r>
              <w:rPr>
                <w:rFonts w:hint="eastAsia" w:ascii="宋体" w:hAnsi="宋体" w:eastAsia="宋体"/>
                <w:szCs w:val="21"/>
                <w:highlight w:val="none"/>
              </w:rPr>
              <w:t>③、具有一级造价工程师（含原注册造价工程师）</w:t>
            </w:r>
            <w:r>
              <w:rPr>
                <w:rFonts w:hint="eastAsia" w:ascii="宋体" w:hAnsi="宋体" w:eastAsia="宋体" w:cs="宋体"/>
                <w:color w:val="auto"/>
                <w:sz w:val="21"/>
                <w:szCs w:val="21"/>
                <w:highlight w:val="none"/>
                <w:lang w:val="en-US" w:eastAsia="zh-CN"/>
              </w:rPr>
              <w:t>注册证书</w:t>
            </w:r>
            <w:r>
              <w:rPr>
                <w:rFonts w:hint="eastAsia" w:ascii="宋体" w:hAnsi="宋体" w:eastAsia="宋体"/>
                <w:szCs w:val="21"/>
                <w:highlight w:val="none"/>
              </w:rPr>
              <w:t>的，得2分，具备二级造价工程师</w:t>
            </w:r>
            <w:r>
              <w:rPr>
                <w:rFonts w:hint="eastAsia" w:ascii="宋体" w:hAnsi="宋体" w:eastAsia="宋体" w:cs="宋体"/>
                <w:color w:val="auto"/>
                <w:sz w:val="21"/>
                <w:szCs w:val="21"/>
                <w:highlight w:val="none"/>
                <w:lang w:val="en-US" w:eastAsia="zh-CN"/>
              </w:rPr>
              <w:t>注册证书</w:t>
            </w:r>
            <w:r>
              <w:rPr>
                <w:rFonts w:hint="eastAsia" w:ascii="宋体" w:hAnsi="宋体" w:eastAsia="宋体"/>
                <w:szCs w:val="21"/>
                <w:highlight w:val="none"/>
              </w:rPr>
              <w:t>的，得1分，本小项最高得2分。</w:t>
            </w:r>
          </w:p>
          <w:p w14:paraId="4BC12006">
            <w:pPr>
              <w:pStyle w:val="52"/>
              <w:spacing w:line="360" w:lineRule="auto"/>
              <w:ind w:left="210" w:leftChars="100" w:right="210" w:rightChars="100"/>
              <w:rPr>
                <w:rFonts w:hint="eastAsia" w:ascii="宋体" w:hAnsi="宋体" w:eastAsia="宋体"/>
                <w:szCs w:val="21"/>
                <w:highlight w:val="none"/>
              </w:rPr>
            </w:pPr>
            <w:r>
              <w:rPr>
                <w:rFonts w:hint="eastAsia" w:ascii="宋体" w:hAnsi="宋体" w:eastAsia="宋体"/>
                <w:szCs w:val="21"/>
                <w:highlight w:val="none"/>
              </w:rPr>
              <w:t>④、具备咨询工程师(投资)登记证书且专业包含水利水电的得1分，本小项最高得1分。</w:t>
            </w:r>
          </w:p>
          <w:p w14:paraId="4AF66590">
            <w:pPr>
              <w:pStyle w:val="52"/>
              <w:spacing w:line="360" w:lineRule="auto"/>
              <w:ind w:left="210" w:leftChars="100" w:right="210" w:rightChars="100"/>
              <w:rPr>
                <w:rFonts w:hint="eastAsia" w:ascii="宋体" w:hAnsi="宋体" w:eastAsia="宋体"/>
                <w:szCs w:val="21"/>
                <w:highlight w:val="none"/>
              </w:rPr>
            </w:pPr>
            <w:r>
              <w:rPr>
                <w:rFonts w:hint="eastAsia" w:ascii="宋体" w:hAnsi="宋体" w:eastAsia="宋体"/>
                <w:szCs w:val="21"/>
                <w:highlight w:val="none"/>
              </w:rPr>
              <w:t>⑤、具备注册土木工程师(</w:t>
            </w:r>
            <w:r>
              <w:rPr>
                <w:rFonts w:hint="eastAsia" w:ascii="宋体" w:hAnsi="宋体" w:eastAsia="宋体"/>
                <w:szCs w:val="21"/>
                <w:highlight w:val="none"/>
                <w:lang w:val="zh-CN"/>
              </w:rPr>
              <w:t>水利水电工程</w:t>
            </w:r>
            <w:r>
              <w:rPr>
                <w:rFonts w:hint="eastAsia" w:ascii="宋体" w:hAnsi="宋体" w:eastAsia="宋体"/>
                <w:szCs w:val="21"/>
                <w:highlight w:val="none"/>
              </w:rPr>
              <w:t>)水工结构资格证书得1分，本小项最高得1分。</w:t>
            </w:r>
          </w:p>
          <w:p w14:paraId="69A327EA">
            <w:pPr>
              <w:pStyle w:val="52"/>
              <w:spacing w:line="360" w:lineRule="auto"/>
              <w:ind w:left="210" w:leftChars="100" w:right="210" w:rightChars="100"/>
              <w:rPr>
                <w:rFonts w:hint="eastAsia" w:ascii="宋体" w:hAnsi="宋体" w:eastAsia="宋体"/>
                <w:szCs w:val="21"/>
                <w:highlight w:val="none"/>
                <w:lang w:val="zh-CN"/>
              </w:rPr>
            </w:pPr>
            <w:r>
              <w:rPr>
                <w:rFonts w:hint="eastAsia" w:ascii="宋体" w:hAnsi="宋体" w:eastAsia="宋体"/>
                <w:szCs w:val="21"/>
                <w:highlight w:val="none"/>
                <w:lang w:val="zh-CN"/>
              </w:rPr>
              <w:t>以上各项合计最多得</w:t>
            </w:r>
            <w:r>
              <w:rPr>
                <w:rFonts w:hint="eastAsia" w:ascii="宋体" w:hAnsi="宋体" w:eastAsia="宋体"/>
                <w:szCs w:val="21"/>
                <w:highlight w:val="none"/>
              </w:rPr>
              <w:t>8</w:t>
            </w:r>
            <w:r>
              <w:rPr>
                <w:rFonts w:hint="eastAsia" w:ascii="宋体" w:hAnsi="宋体" w:eastAsia="宋体"/>
                <w:szCs w:val="21"/>
                <w:highlight w:val="none"/>
                <w:lang w:val="zh-CN"/>
              </w:rPr>
              <w:t>分。</w:t>
            </w:r>
          </w:p>
          <w:p w14:paraId="333F3DB6">
            <w:pPr>
              <w:pStyle w:val="52"/>
              <w:spacing w:line="360" w:lineRule="auto"/>
              <w:ind w:left="210" w:leftChars="100" w:right="210" w:rightChars="100"/>
              <w:rPr>
                <w:rFonts w:hint="eastAsia" w:ascii="宋体" w:hAnsi="宋体" w:eastAsia="宋体"/>
                <w:szCs w:val="21"/>
                <w:highlight w:val="none"/>
              </w:rPr>
            </w:pPr>
            <w:r>
              <w:rPr>
                <w:rFonts w:hint="eastAsia" w:ascii="宋体" w:hAnsi="宋体" w:eastAsia="宋体"/>
                <w:szCs w:val="21"/>
                <w:highlight w:val="none"/>
              </w:rPr>
              <w:t>2、</w:t>
            </w:r>
            <w:r>
              <w:rPr>
                <w:rFonts w:hint="eastAsia" w:ascii="宋体" w:hAnsi="宋体" w:eastAsia="宋体"/>
                <w:szCs w:val="21"/>
                <w:highlight w:val="none"/>
                <w:lang w:val="en-US" w:eastAsia="zh-CN"/>
              </w:rPr>
              <w:t>2020</w:t>
            </w:r>
            <w:r>
              <w:rPr>
                <w:rFonts w:hint="eastAsia" w:ascii="宋体" w:hAnsi="宋体" w:eastAsia="宋体"/>
                <w:szCs w:val="21"/>
                <w:highlight w:val="none"/>
                <w:lang w:val="zh-CN"/>
              </w:rPr>
              <w:t>年1月1日至今，参与或负责过水利水电项目</w:t>
            </w:r>
            <w:r>
              <w:rPr>
                <w:rFonts w:hint="eastAsia" w:ascii="宋体" w:hAnsi="宋体" w:eastAsia="宋体"/>
                <w:szCs w:val="21"/>
                <w:highlight w:val="none"/>
              </w:rPr>
              <w:t>勘察设计类或咨询类获奖证书</w:t>
            </w:r>
            <w:r>
              <w:rPr>
                <w:rFonts w:hint="eastAsia" w:ascii="宋体" w:hAnsi="宋体" w:eastAsia="宋体"/>
                <w:szCs w:val="21"/>
                <w:highlight w:val="none"/>
                <w:lang w:val="zh-CN"/>
              </w:rPr>
              <w:t>：获国家级奖项，每项得</w:t>
            </w:r>
            <w:r>
              <w:rPr>
                <w:rFonts w:hint="eastAsia" w:ascii="宋体" w:hAnsi="宋体" w:eastAsia="宋体"/>
                <w:szCs w:val="21"/>
                <w:highlight w:val="none"/>
              </w:rPr>
              <w:t>2</w:t>
            </w:r>
            <w:r>
              <w:rPr>
                <w:rFonts w:hint="eastAsia" w:ascii="宋体" w:hAnsi="宋体" w:eastAsia="宋体"/>
                <w:szCs w:val="21"/>
                <w:highlight w:val="none"/>
                <w:lang w:val="zh-CN"/>
              </w:rPr>
              <w:t>分；获省级奖项，每项得1分；获市（副省级）奖项，每项得0.5分。本项最多得</w:t>
            </w:r>
            <w:r>
              <w:rPr>
                <w:rFonts w:hint="eastAsia" w:ascii="宋体" w:hAnsi="宋体" w:eastAsia="宋体"/>
                <w:szCs w:val="21"/>
                <w:highlight w:val="none"/>
              </w:rPr>
              <w:t>2</w:t>
            </w:r>
            <w:r>
              <w:rPr>
                <w:rFonts w:hint="eastAsia" w:ascii="宋体" w:hAnsi="宋体" w:eastAsia="宋体"/>
                <w:szCs w:val="21"/>
                <w:highlight w:val="none"/>
                <w:lang w:val="zh-CN"/>
              </w:rPr>
              <w:t>分。</w:t>
            </w:r>
          </w:p>
          <w:p w14:paraId="1AFD8B7B">
            <w:pPr>
              <w:pStyle w:val="52"/>
              <w:spacing w:line="360" w:lineRule="auto"/>
              <w:ind w:left="210" w:leftChars="100" w:right="210" w:rightChars="100"/>
              <w:rPr>
                <w:rFonts w:hint="eastAsia" w:ascii="宋体" w:hAnsi="宋体" w:eastAsia="宋体"/>
                <w:b/>
                <w:szCs w:val="21"/>
                <w:highlight w:val="none"/>
              </w:rPr>
            </w:pPr>
            <w:r>
              <w:rPr>
                <w:rFonts w:hint="eastAsia" w:ascii="宋体" w:hAnsi="宋体" w:eastAsia="宋体"/>
                <w:szCs w:val="21"/>
                <w:highlight w:val="none"/>
              </w:rPr>
              <w:t>注：需提供相关专业注册师执业证书、职称证书及近1个月（2025年</w:t>
            </w:r>
            <w:r>
              <w:rPr>
                <w:rFonts w:hint="eastAsia" w:ascii="宋体" w:hAnsi="宋体" w:eastAsia="宋体"/>
                <w:szCs w:val="21"/>
                <w:highlight w:val="none"/>
                <w:lang w:val="en-US" w:eastAsia="zh-CN"/>
              </w:rPr>
              <w:t>5</w:t>
            </w:r>
            <w:r>
              <w:rPr>
                <w:rFonts w:hint="eastAsia" w:ascii="宋体" w:hAnsi="宋体" w:eastAsia="宋体"/>
                <w:szCs w:val="21"/>
                <w:highlight w:val="none"/>
              </w:rPr>
              <w:t>月）有效社保证明扫描件。社保证明需能反映参保人在投标人单位缴纳（不含分公司或子公司）。如果职称证上没有显示专业，需用毕业证或注册证书或其它有效证明材料证明其专业。</w:t>
            </w:r>
          </w:p>
        </w:tc>
      </w:tr>
      <w:tr w14:paraId="6A3AB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4" w:type="dxa"/>
            <w:vMerge w:val="continue"/>
          </w:tcPr>
          <w:p w14:paraId="2675B76E">
            <w:pPr>
              <w:rPr>
                <w:color w:val="auto"/>
                <w:highlight w:val="none"/>
              </w:rPr>
            </w:pPr>
          </w:p>
        </w:tc>
        <w:tc>
          <w:tcPr>
            <w:tcW w:w="1124" w:type="dxa"/>
            <w:vMerge w:val="continue"/>
          </w:tcPr>
          <w:p w14:paraId="6356E8AE">
            <w:pPr>
              <w:rPr>
                <w:color w:val="auto"/>
                <w:highlight w:val="none"/>
              </w:rPr>
            </w:pPr>
          </w:p>
        </w:tc>
        <w:tc>
          <w:tcPr>
            <w:tcW w:w="2035" w:type="dxa"/>
            <w:vAlign w:val="center"/>
          </w:tcPr>
          <w:p w14:paraId="462F6980">
            <w:pPr>
              <w:spacing w:before="113" w:line="217" w:lineRule="auto"/>
              <w:ind w:left="194"/>
              <w:jc w:val="center"/>
              <w:rPr>
                <w:rFonts w:hint="eastAsia" w:ascii="宋体" w:hAnsi="宋体" w:eastAsia="宋体"/>
                <w:color w:val="auto"/>
                <w:spacing w:val="-2"/>
                <w:highlight w:val="none"/>
              </w:rPr>
            </w:pPr>
            <w:r>
              <w:rPr>
                <w:rFonts w:hint="eastAsia" w:ascii="宋体" w:hAnsi="宋体" w:eastAsia="宋体" w:cs="宋体"/>
                <w:spacing w:val="5"/>
                <w:highlight w:val="none"/>
              </w:rPr>
              <w:t>设计</w:t>
            </w:r>
            <w:r>
              <w:rPr>
                <w:rFonts w:hint="eastAsia" w:ascii="宋体" w:hAnsi="宋体" w:eastAsia="宋体" w:cs="宋体"/>
                <w:spacing w:val="16"/>
                <w:highlight w:val="none"/>
              </w:rPr>
              <w:t>人员</w:t>
            </w:r>
            <w:r>
              <w:rPr>
                <w:rFonts w:hint="eastAsia" w:ascii="宋体" w:hAnsi="宋体" w:eastAsia="宋体" w:cs="宋体"/>
                <w:spacing w:val="5"/>
                <w:highlight w:val="none"/>
              </w:rPr>
              <w:t>配备情况</w:t>
            </w:r>
            <w:r>
              <w:rPr>
                <w:rFonts w:hint="eastAsia" w:ascii="宋体" w:hAnsi="宋体" w:eastAsia="宋体"/>
                <w:color w:val="auto"/>
                <w:spacing w:val="-1"/>
                <w:highlight w:val="none"/>
              </w:rPr>
              <w:t>（9分）</w:t>
            </w:r>
          </w:p>
        </w:tc>
        <w:tc>
          <w:tcPr>
            <w:tcW w:w="5367" w:type="dxa"/>
            <w:vAlign w:val="center"/>
          </w:tcPr>
          <w:p w14:paraId="09CF9521">
            <w:pPr>
              <w:pStyle w:val="52"/>
              <w:spacing w:line="360" w:lineRule="auto"/>
              <w:ind w:left="210" w:leftChars="100" w:right="210" w:rightChars="100"/>
              <w:rPr>
                <w:rFonts w:hint="eastAsia" w:ascii="宋体" w:hAnsi="宋体" w:eastAsia="宋体"/>
                <w:szCs w:val="21"/>
                <w:highlight w:val="none"/>
              </w:rPr>
            </w:pPr>
            <w:r>
              <w:rPr>
                <w:rFonts w:hint="eastAsia" w:ascii="宋体" w:hAnsi="宋体" w:eastAsia="宋体"/>
                <w:szCs w:val="21"/>
                <w:highlight w:val="none"/>
              </w:rPr>
              <w:t>各专业负责人（不含项目负责人、技术负责人）设计经历及业务能力：</w:t>
            </w:r>
          </w:p>
          <w:p w14:paraId="7B98CC9B">
            <w:pPr>
              <w:pStyle w:val="52"/>
              <w:spacing w:line="360" w:lineRule="auto"/>
              <w:ind w:left="210" w:leftChars="100" w:right="210" w:rightChars="100"/>
              <w:rPr>
                <w:rFonts w:hint="eastAsia" w:ascii="宋体" w:hAnsi="宋体" w:eastAsia="宋体"/>
                <w:szCs w:val="21"/>
                <w:highlight w:val="none"/>
              </w:rPr>
            </w:pPr>
            <w:r>
              <w:rPr>
                <w:rFonts w:hint="eastAsia" w:ascii="宋体" w:hAnsi="宋体" w:eastAsia="宋体"/>
                <w:szCs w:val="21"/>
                <w:highlight w:val="none"/>
              </w:rPr>
              <w:t>（1）水工结构专业负责人：具备水利水电工程类专业高级工程师或以上职称的，得1分，具备水利水电工程类专业中级工程师职称的，得0.5分；具备注册土木工程师(</w:t>
            </w:r>
            <w:r>
              <w:rPr>
                <w:rFonts w:hint="eastAsia" w:ascii="宋体" w:hAnsi="宋体" w:eastAsia="宋体"/>
                <w:szCs w:val="21"/>
                <w:highlight w:val="none"/>
                <w:lang w:val="zh-CN"/>
              </w:rPr>
              <w:t>水利水电工程)</w:t>
            </w:r>
            <w:r>
              <w:rPr>
                <w:rFonts w:hint="eastAsia" w:ascii="宋体" w:hAnsi="宋体" w:eastAsia="宋体"/>
                <w:szCs w:val="21"/>
                <w:highlight w:val="none"/>
              </w:rPr>
              <w:t>水工结构资格的，得1分，本小项最高得2分。</w:t>
            </w:r>
          </w:p>
          <w:p w14:paraId="2FEE4A4D">
            <w:pPr>
              <w:pStyle w:val="52"/>
              <w:spacing w:line="360" w:lineRule="auto"/>
              <w:ind w:left="210" w:leftChars="100" w:right="210" w:rightChars="100"/>
              <w:rPr>
                <w:rFonts w:hint="eastAsia" w:ascii="宋体" w:hAnsi="宋体" w:eastAsia="宋体"/>
                <w:szCs w:val="21"/>
                <w:highlight w:val="none"/>
              </w:rPr>
            </w:pPr>
            <w:r>
              <w:rPr>
                <w:rFonts w:hint="eastAsia" w:ascii="宋体" w:hAnsi="宋体" w:eastAsia="宋体"/>
                <w:szCs w:val="21"/>
                <w:highlight w:val="none"/>
              </w:rPr>
              <w:t>（2）造价专业负责人：具有一级造价工程师（含原注册造价工程师）</w:t>
            </w:r>
            <w:r>
              <w:rPr>
                <w:rFonts w:hint="eastAsia" w:ascii="宋体" w:hAnsi="宋体" w:eastAsia="宋体" w:cs="宋体"/>
                <w:color w:val="auto"/>
                <w:sz w:val="21"/>
                <w:szCs w:val="21"/>
                <w:highlight w:val="none"/>
                <w:lang w:val="en-US" w:eastAsia="zh-CN"/>
              </w:rPr>
              <w:t>注册证书</w:t>
            </w:r>
            <w:r>
              <w:rPr>
                <w:rFonts w:hint="eastAsia" w:ascii="宋体" w:hAnsi="宋体" w:eastAsia="宋体"/>
                <w:szCs w:val="21"/>
                <w:highlight w:val="none"/>
              </w:rPr>
              <w:t>的，得1分，具备二级造价工程师</w:t>
            </w:r>
            <w:r>
              <w:rPr>
                <w:rFonts w:hint="eastAsia" w:ascii="宋体" w:hAnsi="宋体" w:eastAsia="宋体" w:cs="宋体"/>
                <w:color w:val="auto"/>
                <w:sz w:val="21"/>
                <w:szCs w:val="21"/>
                <w:highlight w:val="none"/>
                <w:lang w:val="en-US" w:eastAsia="zh-CN"/>
              </w:rPr>
              <w:t>注册证书</w:t>
            </w:r>
            <w:r>
              <w:rPr>
                <w:rFonts w:hint="eastAsia" w:ascii="宋体" w:hAnsi="宋体" w:eastAsia="宋体"/>
                <w:szCs w:val="21"/>
                <w:highlight w:val="none"/>
              </w:rPr>
              <w:t>的，得0.5分，本小项最高得1分。</w:t>
            </w:r>
          </w:p>
          <w:p w14:paraId="63A52657">
            <w:pPr>
              <w:pStyle w:val="52"/>
              <w:spacing w:line="360" w:lineRule="auto"/>
              <w:ind w:left="210" w:leftChars="100" w:right="210" w:rightChars="100"/>
              <w:rPr>
                <w:rFonts w:hint="eastAsia" w:ascii="宋体" w:hAnsi="宋体" w:eastAsia="宋体"/>
                <w:szCs w:val="21"/>
                <w:highlight w:val="none"/>
              </w:rPr>
            </w:pPr>
            <w:r>
              <w:rPr>
                <w:rFonts w:hint="eastAsia" w:ascii="宋体" w:hAnsi="宋体" w:eastAsia="宋体"/>
                <w:szCs w:val="21"/>
                <w:highlight w:val="none"/>
              </w:rPr>
              <w:t>（3）规划专业负责人：具备规划相关专业高级工程师或以上职称的，得1分，具备规划相关专业中级工程师职称的，得0.5分；具备注册土木工程师（水利水电工程）规划专业资格的，得1分，本小项最高得2分。</w:t>
            </w:r>
          </w:p>
          <w:p w14:paraId="51BCC48D">
            <w:pPr>
              <w:pStyle w:val="52"/>
              <w:spacing w:line="360" w:lineRule="auto"/>
              <w:ind w:left="210" w:leftChars="100" w:right="210" w:rightChars="100"/>
              <w:rPr>
                <w:rFonts w:hint="eastAsia" w:ascii="宋体" w:hAnsi="宋体" w:eastAsia="宋体"/>
                <w:szCs w:val="21"/>
                <w:highlight w:val="none"/>
              </w:rPr>
            </w:pPr>
            <w:r>
              <w:rPr>
                <w:rFonts w:hint="eastAsia" w:ascii="宋体" w:hAnsi="宋体" w:eastAsia="宋体"/>
                <w:szCs w:val="21"/>
                <w:highlight w:val="none"/>
              </w:rPr>
              <w:t>（4）测量专业负责人：具备测量相关专业高级工程师或以上职称的，得1分，具备测量相关专业中级工程师职称的，得0.5分；具备中华人民共和国注册测绘师执业凭证的，得1分，本小项最高得2分。</w:t>
            </w:r>
          </w:p>
          <w:p w14:paraId="51CD331B">
            <w:pPr>
              <w:pStyle w:val="52"/>
              <w:spacing w:line="360" w:lineRule="auto"/>
              <w:ind w:left="210" w:leftChars="100" w:right="210" w:rightChars="100"/>
              <w:rPr>
                <w:rFonts w:hint="eastAsia" w:ascii="宋体" w:hAnsi="宋体" w:eastAsia="宋体"/>
                <w:szCs w:val="21"/>
                <w:highlight w:val="none"/>
              </w:rPr>
            </w:pPr>
            <w:r>
              <w:rPr>
                <w:rFonts w:hint="eastAsia" w:ascii="宋体" w:hAnsi="宋体" w:eastAsia="宋体"/>
                <w:szCs w:val="21"/>
                <w:highlight w:val="none"/>
              </w:rPr>
              <w:t>（5）岩土专业负责人：具备岩土相关专业高级工程师或以上职称的，得1分，具备岩土相关专业中级工程师职称的，得0.5分；具备注册土木工程师（岩土）</w:t>
            </w:r>
            <w:r>
              <w:rPr>
                <w:rFonts w:hint="eastAsia" w:ascii="宋体" w:hAnsi="宋体" w:eastAsia="宋体"/>
                <w:szCs w:val="21"/>
                <w:highlight w:val="none"/>
                <w:lang w:val="en-US" w:eastAsia="zh-CN"/>
              </w:rPr>
              <w:t>职业凭证</w:t>
            </w:r>
            <w:r>
              <w:rPr>
                <w:rFonts w:hint="eastAsia" w:ascii="宋体" w:hAnsi="宋体" w:eastAsia="宋体"/>
                <w:szCs w:val="21"/>
                <w:highlight w:val="none"/>
              </w:rPr>
              <w:t>的，得1分，本小项最高得2分。</w:t>
            </w:r>
          </w:p>
          <w:p w14:paraId="4C4ED70C">
            <w:pPr>
              <w:pStyle w:val="52"/>
              <w:spacing w:line="360" w:lineRule="auto"/>
              <w:ind w:left="210" w:leftChars="100" w:right="210" w:rightChars="100"/>
              <w:rPr>
                <w:rFonts w:hint="eastAsia" w:ascii="宋体" w:hAnsi="宋体" w:eastAsia="宋体"/>
                <w:highlight w:val="none"/>
              </w:rPr>
            </w:pPr>
            <w:r>
              <w:rPr>
                <w:rFonts w:hint="eastAsia" w:ascii="宋体" w:hAnsi="宋体" w:eastAsia="宋体"/>
                <w:szCs w:val="21"/>
                <w:highlight w:val="none"/>
              </w:rPr>
              <w:t>注：需提供各专业负责人相关专业注册师执业证书、职称证书及近1个月（2025年</w:t>
            </w:r>
            <w:r>
              <w:rPr>
                <w:rFonts w:hint="eastAsia" w:ascii="宋体" w:hAnsi="宋体" w:eastAsia="宋体"/>
                <w:szCs w:val="21"/>
                <w:highlight w:val="none"/>
                <w:lang w:val="en-US" w:eastAsia="zh-CN"/>
              </w:rPr>
              <w:t>5</w:t>
            </w:r>
            <w:r>
              <w:rPr>
                <w:rFonts w:hint="eastAsia" w:ascii="宋体" w:hAnsi="宋体" w:eastAsia="宋体"/>
                <w:szCs w:val="21"/>
                <w:highlight w:val="none"/>
              </w:rPr>
              <w:t>月）有效社保证明扫描件。社保证明需能反映参保人在投标人单位缴纳（不含分公司或子公司）。如果职称证上没有显示专业，需用毕业证或注册证书或其它有效证明材料证明其专业。</w:t>
            </w:r>
          </w:p>
        </w:tc>
      </w:tr>
      <w:tr w14:paraId="53AB8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04" w:type="dxa"/>
            <w:vMerge w:val="continue"/>
          </w:tcPr>
          <w:p w14:paraId="6E5657E1">
            <w:pPr>
              <w:rPr>
                <w:color w:val="auto"/>
                <w:highlight w:val="none"/>
              </w:rPr>
            </w:pPr>
          </w:p>
        </w:tc>
        <w:tc>
          <w:tcPr>
            <w:tcW w:w="1124" w:type="dxa"/>
            <w:vMerge w:val="continue"/>
          </w:tcPr>
          <w:p w14:paraId="2FC75FCB">
            <w:pPr>
              <w:rPr>
                <w:color w:val="auto"/>
                <w:highlight w:val="none"/>
              </w:rPr>
            </w:pPr>
          </w:p>
        </w:tc>
        <w:tc>
          <w:tcPr>
            <w:tcW w:w="2035" w:type="dxa"/>
            <w:vAlign w:val="center"/>
          </w:tcPr>
          <w:p w14:paraId="783C91DC">
            <w:pPr>
              <w:spacing w:before="31"/>
              <w:jc w:val="center"/>
              <w:rPr>
                <w:rFonts w:hint="eastAsia" w:ascii="宋体" w:hAnsi="宋体" w:eastAsia="宋体"/>
                <w:color w:val="auto"/>
                <w:highlight w:val="none"/>
              </w:rPr>
            </w:pPr>
            <w:r>
              <w:rPr>
                <w:rFonts w:hint="eastAsia" w:ascii="宋体" w:hAnsi="宋体" w:eastAsia="宋体" w:cs="宋体"/>
                <w:spacing w:val="-5"/>
                <w:highlight w:val="none"/>
              </w:rPr>
              <w:t>类似</w:t>
            </w:r>
            <w:r>
              <w:rPr>
                <w:rFonts w:hint="eastAsia" w:ascii="宋体" w:hAnsi="宋体" w:eastAsia="宋体" w:cs="宋体"/>
                <w:spacing w:val="4"/>
                <w:highlight w:val="none"/>
              </w:rPr>
              <w:t>工程</w:t>
            </w:r>
            <w:r>
              <w:rPr>
                <w:rFonts w:hint="eastAsia" w:ascii="宋体" w:hAnsi="宋体" w:eastAsia="宋体" w:cs="宋体"/>
                <w:spacing w:val="5"/>
                <w:highlight w:val="none"/>
              </w:rPr>
              <w:t>设计</w:t>
            </w:r>
            <w:r>
              <w:rPr>
                <w:rFonts w:hint="eastAsia" w:ascii="宋体" w:hAnsi="宋体" w:eastAsia="宋体" w:cs="宋体"/>
                <w:spacing w:val="-3"/>
                <w:highlight w:val="none"/>
              </w:rPr>
              <w:t>业绩</w:t>
            </w:r>
          </w:p>
          <w:p w14:paraId="64F8AF07">
            <w:pPr>
              <w:spacing w:before="31"/>
              <w:jc w:val="center"/>
              <w:rPr>
                <w:rFonts w:hint="eastAsia" w:ascii="宋体" w:hAnsi="宋体" w:eastAsia="宋体"/>
                <w:color w:val="auto"/>
                <w:spacing w:val="-1"/>
                <w:highlight w:val="none"/>
              </w:rPr>
            </w:pPr>
            <w:r>
              <w:rPr>
                <w:rFonts w:hint="eastAsia" w:ascii="宋体" w:hAnsi="宋体" w:eastAsia="宋体"/>
                <w:color w:val="auto"/>
                <w:spacing w:val="-1"/>
                <w:highlight w:val="none"/>
              </w:rPr>
              <w:t>（3分）</w:t>
            </w:r>
          </w:p>
        </w:tc>
        <w:tc>
          <w:tcPr>
            <w:tcW w:w="5367" w:type="dxa"/>
            <w:vAlign w:val="center"/>
          </w:tcPr>
          <w:p w14:paraId="08CD0906">
            <w:pPr>
              <w:pStyle w:val="52"/>
              <w:spacing w:line="360" w:lineRule="auto"/>
              <w:ind w:left="210" w:leftChars="100" w:right="210" w:rightChars="100"/>
              <w:rPr>
                <w:rFonts w:hint="eastAsia" w:ascii="宋体" w:hAnsi="宋体" w:eastAsia="宋体"/>
                <w:szCs w:val="21"/>
                <w:highlight w:val="none"/>
              </w:rPr>
            </w:pPr>
            <w:r>
              <w:rPr>
                <w:rFonts w:hint="eastAsia" w:ascii="宋体" w:hAnsi="宋体" w:eastAsia="宋体"/>
                <w:szCs w:val="21"/>
                <w:highlight w:val="none"/>
              </w:rPr>
              <w:t>投标人（联合体投标，指联合体承担设计工作的一方）从20</w:t>
            </w:r>
            <w:r>
              <w:rPr>
                <w:rFonts w:hint="eastAsia" w:ascii="宋体" w:hAnsi="宋体" w:eastAsia="宋体"/>
                <w:szCs w:val="21"/>
                <w:highlight w:val="none"/>
                <w:lang w:val="en-US" w:eastAsia="zh-CN"/>
              </w:rPr>
              <w:t>20</w:t>
            </w:r>
            <w:r>
              <w:rPr>
                <w:rFonts w:hint="eastAsia" w:ascii="宋体" w:hAnsi="宋体" w:eastAsia="宋体"/>
                <w:szCs w:val="21"/>
                <w:highlight w:val="none"/>
              </w:rPr>
              <w:t>年1月1日至今(以合同签订时间为准)承揽过总投资额</w:t>
            </w:r>
            <w:r>
              <w:rPr>
                <w:rFonts w:hint="eastAsia" w:ascii="宋体" w:hAnsi="宋体" w:eastAsia="宋体"/>
                <w:szCs w:val="21"/>
                <w:highlight w:val="none"/>
                <w:lang w:val="en-US" w:eastAsia="zh-CN"/>
              </w:rPr>
              <w:t>8</w:t>
            </w:r>
            <w:r>
              <w:rPr>
                <w:rFonts w:hint="eastAsia" w:ascii="宋体" w:hAnsi="宋体" w:eastAsia="宋体"/>
                <w:szCs w:val="21"/>
                <w:highlight w:val="none"/>
              </w:rPr>
              <w:t>000万元以上的类似工程项目，每项得1分，本项最高得3分。</w:t>
            </w:r>
          </w:p>
          <w:p w14:paraId="3CDFDD75">
            <w:pPr>
              <w:pStyle w:val="52"/>
              <w:spacing w:line="360" w:lineRule="auto"/>
              <w:ind w:left="210" w:leftChars="100" w:right="210" w:rightChars="100"/>
              <w:rPr>
                <w:rFonts w:hint="eastAsia" w:ascii="宋体" w:hAnsi="宋体" w:eastAsia="宋体"/>
                <w:szCs w:val="21"/>
                <w:highlight w:val="none"/>
              </w:rPr>
            </w:pPr>
            <w:r>
              <w:rPr>
                <w:rFonts w:hint="eastAsia" w:ascii="宋体" w:hAnsi="宋体" w:eastAsia="宋体"/>
                <w:szCs w:val="21"/>
                <w:highlight w:val="none"/>
              </w:rPr>
              <w:t>注：1、类似工程指防洪工程、河道整治工程、堤防工程等。</w:t>
            </w:r>
          </w:p>
          <w:p w14:paraId="733FA6C5">
            <w:pPr>
              <w:pStyle w:val="52"/>
              <w:spacing w:line="360" w:lineRule="auto"/>
              <w:ind w:left="210" w:leftChars="100" w:right="210" w:rightChars="100"/>
              <w:rPr>
                <w:rFonts w:hint="eastAsia" w:ascii="宋体" w:hAnsi="宋体" w:eastAsia="宋体"/>
                <w:szCs w:val="21"/>
                <w:highlight w:val="none"/>
              </w:rPr>
            </w:pPr>
            <w:r>
              <w:rPr>
                <w:rFonts w:hint="eastAsia" w:ascii="宋体" w:hAnsi="宋体" w:eastAsia="宋体"/>
                <w:szCs w:val="21"/>
                <w:highlight w:val="none"/>
              </w:rPr>
              <w:t>2.以上业绩须提供合同复印件，不提供不得分，时间以合同签订时间为准。</w:t>
            </w:r>
          </w:p>
          <w:p w14:paraId="73A22840">
            <w:pPr>
              <w:pStyle w:val="52"/>
              <w:spacing w:line="360" w:lineRule="auto"/>
              <w:ind w:left="210" w:leftChars="100" w:right="210" w:rightChars="100"/>
              <w:rPr>
                <w:rFonts w:hint="eastAsia" w:ascii="宋体" w:hAnsi="宋体" w:eastAsia="宋体"/>
                <w:highlight w:val="none"/>
              </w:rPr>
            </w:pPr>
            <w:r>
              <w:rPr>
                <w:rFonts w:hint="eastAsia" w:ascii="宋体" w:hAnsi="宋体" w:eastAsia="宋体"/>
                <w:szCs w:val="21"/>
                <w:highlight w:val="none"/>
              </w:rPr>
              <w:t>3.项目总投资额以合同文件或中标通知书注明的项目投资额为准。合同文件或中标通知书没有注明的，以项目立项可研批复文件或初设批复文件的投资额为准(需提供项目立项文件或初设批复文件)。</w:t>
            </w:r>
          </w:p>
        </w:tc>
      </w:tr>
      <w:tr w14:paraId="769A4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04" w:type="dxa"/>
            <w:vMerge w:val="continue"/>
          </w:tcPr>
          <w:p w14:paraId="79A3D1A1">
            <w:pPr>
              <w:rPr>
                <w:color w:val="auto"/>
                <w:highlight w:val="none"/>
              </w:rPr>
            </w:pPr>
          </w:p>
        </w:tc>
        <w:tc>
          <w:tcPr>
            <w:tcW w:w="1124" w:type="dxa"/>
            <w:vMerge w:val="continue"/>
          </w:tcPr>
          <w:p w14:paraId="29061128">
            <w:pPr>
              <w:rPr>
                <w:color w:val="auto"/>
                <w:highlight w:val="none"/>
              </w:rPr>
            </w:pPr>
          </w:p>
        </w:tc>
        <w:tc>
          <w:tcPr>
            <w:tcW w:w="2035" w:type="dxa"/>
            <w:vAlign w:val="center"/>
          </w:tcPr>
          <w:p w14:paraId="78A3A2F4">
            <w:pPr>
              <w:spacing w:line="360" w:lineRule="auto"/>
              <w:jc w:val="center"/>
              <w:rPr>
                <w:rFonts w:hint="eastAsia" w:ascii="宋体" w:hAnsi="宋体" w:eastAsia="宋体"/>
                <w:color w:val="auto"/>
                <w:spacing w:val="-1"/>
                <w:highlight w:val="none"/>
              </w:rPr>
            </w:pPr>
            <w:r>
              <w:rPr>
                <w:rFonts w:hint="eastAsia" w:ascii="宋体" w:hAnsi="宋体" w:eastAsia="宋体" w:cs="宋体"/>
                <w:spacing w:val="4"/>
                <w:highlight w:val="none"/>
              </w:rPr>
              <w:t>企业</w:t>
            </w:r>
            <w:r>
              <w:rPr>
                <w:rFonts w:hint="eastAsia" w:ascii="宋体" w:hAnsi="宋体" w:eastAsia="宋体" w:cs="宋体"/>
                <w:spacing w:val="8"/>
                <w:highlight w:val="none"/>
              </w:rPr>
              <w:t>资信</w:t>
            </w:r>
            <w:r>
              <w:rPr>
                <w:rFonts w:hint="eastAsia" w:ascii="宋体" w:hAnsi="宋体" w:eastAsia="宋体"/>
                <w:color w:val="auto"/>
                <w:spacing w:val="-1"/>
                <w:highlight w:val="none"/>
              </w:rPr>
              <w:t>（3分）</w:t>
            </w:r>
          </w:p>
        </w:tc>
        <w:tc>
          <w:tcPr>
            <w:tcW w:w="5367" w:type="dxa"/>
            <w:vAlign w:val="center"/>
          </w:tcPr>
          <w:p w14:paraId="5026FE46">
            <w:pPr>
              <w:pStyle w:val="52"/>
              <w:spacing w:line="360" w:lineRule="auto"/>
              <w:ind w:left="210" w:leftChars="100" w:right="210" w:rightChars="100"/>
              <w:rPr>
                <w:rFonts w:hint="eastAsia" w:ascii="宋体" w:hAnsi="宋体" w:eastAsia="宋体"/>
                <w:szCs w:val="21"/>
                <w:highlight w:val="none"/>
              </w:rPr>
            </w:pPr>
            <w:r>
              <w:rPr>
                <w:rFonts w:hint="eastAsia" w:ascii="宋体" w:hAnsi="宋体" w:eastAsia="宋体"/>
                <w:szCs w:val="21"/>
                <w:highlight w:val="none"/>
              </w:rPr>
              <w:t>1、投标人（若为联合体，可由联合体任一方提供）具有在有效期内的质量管理体系认证证书、环境管理体系认证证书、职业健康安全管理体系认证证书、信息安全管理体系认证证书，每具备一项的得0.5分，本小项最高得2分。</w:t>
            </w:r>
          </w:p>
          <w:p w14:paraId="02F5A1FE">
            <w:pPr>
              <w:pStyle w:val="52"/>
              <w:spacing w:line="360" w:lineRule="auto"/>
              <w:ind w:left="210" w:leftChars="100" w:right="210" w:rightChars="100"/>
              <w:rPr>
                <w:rFonts w:hint="eastAsia" w:ascii="宋体" w:hAnsi="宋体" w:eastAsia="宋体"/>
                <w:szCs w:val="21"/>
                <w:highlight w:val="none"/>
              </w:rPr>
            </w:pPr>
            <w:r>
              <w:rPr>
                <w:rFonts w:hint="eastAsia" w:ascii="宋体" w:hAnsi="宋体" w:eastAsia="宋体"/>
                <w:szCs w:val="21"/>
                <w:highlight w:val="none"/>
              </w:rPr>
              <w:t>2、投标人（若为联合体，可由联合体任一方提供）获得行业协会发布的处于有效期内的勘察、设计、咨询类别AAA评价结果的，得1分；获得AA评价结果的，得0.5分，本小项最高得1分。</w:t>
            </w:r>
          </w:p>
          <w:p w14:paraId="0AB989FA">
            <w:pPr>
              <w:pStyle w:val="52"/>
              <w:spacing w:line="360" w:lineRule="auto"/>
              <w:ind w:left="210" w:leftChars="100" w:right="210" w:rightChars="100"/>
              <w:rPr>
                <w:rFonts w:hint="eastAsia" w:ascii="宋体" w:hAnsi="宋体" w:eastAsia="宋体"/>
                <w:highlight w:val="none"/>
              </w:rPr>
            </w:pPr>
            <w:r>
              <w:rPr>
                <w:rFonts w:hint="eastAsia" w:ascii="宋体" w:hAnsi="宋体" w:eastAsia="宋体"/>
                <w:szCs w:val="21"/>
                <w:highlight w:val="none"/>
              </w:rPr>
              <w:t>注：需提供证书复印件，否则不得分。企业管理体系需提供官方认可的第三方机构出具的有效的“管理体系认证证书”扫描件及全国认证认可信息公共服务平台（</w:t>
            </w:r>
            <w:r>
              <w:rPr>
                <w:highlight w:val="none"/>
              </w:rPr>
              <w:fldChar w:fldCharType="begin"/>
            </w:r>
            <w:r>
              <w:rPr>
                <w:highlight w:val="none"/>
              </w:rPr>
              <w:instrText xml:space="preserve"> HYPERLINK "http://cx.cnca.cn/" </w:instrText>
            </w:r>
            <w:r>
              <w:rPr>
                <w:highlight w:val="none"/>
              </w:rPr>
              <w:fldChar w:fldCharType="separate"/>
            </w:r>
            <w:r>
              <w:rPr>
                <w:rFonts w:hint="eastAsia" w:ascii="宋体" w:hAnsi="宋体" w:eastAsia="宋体"/>
                <w:szCs w:val="21"/>
                <w:highlight w:val="none"/>
              </w:rPr>
              <w:t>http://cx.cnca.cn/</w:t>
            </w:r>
            <w:r>
              <w:rPr>
                <w:rFonts w:hint="eastAsia" w:ascii="宋体" w:hAnsi="宋体" w:eastAsia="宋体"/>
                <w:szCs w:val="21"/>
                <w:highlight w:val="none"/>
              </w:rPr>
              <w:fldChar w:fldCharType="end"/>
            </w:r>
            <w:r>
              <w:rPr>
                <w:rFonts w:hint="eastAsia" w:ascii="宋体" w:hAnsi="宋体" w:eastAsia="宋体"/>
                <w:szCs w:val="21"/>
                <w:highlight w:val="none"/>
              </w:rPr>
              <w:t>）查询结果截图。</w:t>
            </w:r>
          </w:p>
        </w:tc>
      </w:tr>
      <w:tr w14:paraId="35680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04" w:type="dxa"/>
          </w:tcPr>
          <w:p w14:paraId="0E6AE28F">
            <w:pPr>
              <w:rPr>
                <w:color w:val="auto"/>
                <w:highlight w:val="none"/>
              </w:rPr>
            </w:pPr>
          </w:p>
        </w:tc>
        <w:tc>
          <w:tcPr>
            <w:tcW w:w="1124" w:type="dxa"/>
          </w:tcPr>
          <w:p w14:paraId="1BF01BAE">
            <w:pPr>
              <w:rPr>
                <w:color w:val="auto"/>
                <w:highlight w:val="none"/>
              </w:rPr>
            </w:pPr>
          </w:p>
        </w:tc>
        <w:tc>
          <w:tcPr>
            <w:tcW w:w="2035" w:type="dxa"/>
            <w:vAlign w:val="center"/>
          </w:tcPr>
          <w:p w14:paraId="758826EF">
            <w:pPr>
              <w:spacing w:line="360" w:lineRule="auto"/>
              <w:jc w:val="center"/>
              <w:rPr>
                <w:rFonts w:eastAsia="宋体"/>
                <w:spacing w:val="4"/>
                <w:highlight w:val="none"/>
              </w:rPr>
            </w:pPr>
            <w:r>
              <w:rPr>
                <w:rFonts w:hint="eastAsia" w:ascii="宋体" w:hAnsi="宋体" w:eastAsia="宋体" w:cs="宋体"/>
                <w:spacing w:val="4"/>
                <w:highlight w:val="none"/>
              </w:rPr>
              <w:t>获奖情况（6分）</w:t>
            </w:r>
          </w:p>
        </w:tc>
        <w:tc>
          <w:tcPr>
            <w:tcW w:w="5367" w:type="dxa"/>
            <w:vAlign w:val="center"/>
          </w:tcPr>
          <w:p w14:paraId="73BEAD7F">
            <w:pPr>
              <w:pStyle w:val="52"/>
              <w:spacing w:line="360" w:lineRule="auto"/>
              <w:ind w:left="210" w:leftChars="100" w:right="210" w:rightChars="100"/>
              <w:rPr>
                <w:rFonts w:hint="eastAsia" w:ascii="宋体" w:hAnsi="宋体" w:eastAsia="宋体"/>
                <w:szCs w:val="21"/>
                <w:highlight w:val="none"/>
              </w:rPr>
            </w:pPr>
            <w:r>
              <w:rPr>
                <w:rFonts w:hint="eastAsia" w:ascii="宋体" w:hAnsi="宋体" w:eastAsia="宋体"/>
                <w:szCs w:val="21"/>
                <w:highlight w:val="none"/>
                <w:lang w:val="zh-CN"/>
              </w:rPr>
              <w:t>投标人</w:t>
            </w:r>
            <w:r>
              <w:rPr>
                <w:rFonts w:hint="eastAsia" w:ascii="宋体" w:hAnsi="宋体" w:eastAsia="宋体"/>
                <w:szCs w:val="21"/>
                <w:highlight w:val="none"/>
              </w:rPr>
              <w:t>（联合体投标，指联合体承担设计工作的一方）</w:t>
            </w:r>
            <w:r>
              <w:rPr>
                <w:rFonts w:hint="eastAsia" w:ascii="宋体" w:hAnsi="宋体" w:eastAsia="宋体"/>
                <w:szCs w:val="21"/>
                <w:highlight w:val="none"/>
                <w:lang w:val="zh-CN"/>
              </w:rPr>
              <w:t>自20</w:t>
            </w:r>
            <w:r>
              <w:rPr>
                <w:rFonts w:hint="eastAsia" w:ascii="宋体" w:hAnsi="宋体" w:eastAsia="宋体"/>
                <w:szCs w:val="21"/>
                <w:highlight w:val="none"/>
                <w:lang w:val="en-US" w:eastAsia="zh-CN"/>
              </w:rPr>
              <w:t>20</w:t>
            </w:r>
            <w:r>
              <w:rPr>
                <w:rFonts w:hint="eastAsia" w:ascii="宋体" w:hAnsi="宋体" w:eastAsia="宋体"/>
                <w:szCs w:val="21"/>
                <w:highlight w:val="none"/>
                <w:lang w:val="zh-CN"/>
              </w:rPr>
              <w:t>年1月1日至今承担水利水电类项目获得</w:t>
            </w:r>
            <w:r>
              <w:rPr>
                <w:rFonts w:hint="eastAsia" w:ascii="宋体" w:hAnsi="宋体" w:eastAsia="宋体"/>
                <w:szCs w:val="21"/>
                <w:highlight w:val="none"/>
              </w:rPr>
              <w:t>国家级</w:t>
            </w:r>
            <w:r>
              <w:rPr>
                <w:rFonts w:hint="eastAsia" w:ascii="宋体" w:hAnsi="宋体" w:eastAsia="宋体"/>
                <w:szCs w:val="21"/>
                <w:highlight w:val="none"/>
                <w:lang w:val="zh-CN"/>
              </w:rPr>
              <w:t>奖项，</w:t>
            </w:r>
            <w:r>
              <w:rPr>
                <w:rFonts w:hint="eastAsia" w:ascii="宋体" w:hAnsi="宋体" w:eastAsia="宋体"/>
                <w:szCs w:val="21"/>
                <w:highlight w:val="none"/>
              </w:rPr>
              <w:t>每项</w:t>
            </w:r>
            <w:r>
              <w:rPr>
                <w:rFonts w:hint="eastAsia" w:ascii="宋体" w:hAnsi="宋体" w:eastAsia="宋体"/>
                <w:szCs w:val="21"/>
                <w:highlight w:val="none"/>
                <w:lang w:val="zh-CN"/>
              </w:rPr>
              <w:t>得</w:t>
            </w:r>
            <w:r>
              <w:rPr>
                <w:rFonts w:hint="eastAsia" w:ascii="宋体" w:hAnsi="宋体" w:eastAsia="宋体"/>
                <w:szCs w:val="21"/>
                <w:highlight w:val="none"/>
              </w:rPr>
              <w:t>2</w:t>
            </w:r>
            <w:r>
              <w:rPr>
                <w:rFonts w:hint="eastAsia" w:ascii="宋体" w:hAnsi="宋体" w:eastAsia="宋体"/>
                <w:szCs w:val="21"/>
                <w:highlight w:val="none"/>
                <w:lang w:val="zh-CN"/>
              </w:rPr>
              <w:t>分，</w:t>
            </w:r>
            <w:r>
              <w:rPr>
                <w:rFonts w:hint="eastAsia" w:ascii="宋体" w:hAnsi="宋体" w:eastAsia="宋体"/>
                <w:szCs w:val="21"/>
                <w:highlight w:val="none"/>
              </w:rPr>
              <w:t>获得省级奖项的，每一项得1分；获得市级奖项的，每一项得0.5分。</w:t>
            </w:r>
            <w:r>
              <w:rPr>
                <w:rFonts w:hint="eastAsia" w:ascii="宋体" w:hAnsi="宋体" w:eastAsia="宋体"/>
                <w:szCs w:val="21"/>
                <w:highlight w:val="none"/>
                <w:lang w:val="zh-CN"/>
              </w:rPr>
              <w:t>本项最高得</w:t>
            </w:r>
            <w:r>
              <w:rPr>
                <w:rFonts w:hint="eastAsia" w:ascii="宋体" w:hAnsi="宋体" w:eastAsia="宋体"/>
                <w:szCs w:val="21"/>
                <w:highlight w:val="none"/>
              </w:rPr>
              <w:t>6</w:t>
            </w:r>
            <w:r>
              <w:rPr>
                <w:rFonts w:hint="eastAsia" w:ascii="宋体" w:hAnsi="宋体" w:eastAsia="宋体"/>
                <w:szCs w:val="21"/>
                <w:highlight w:val="none"/>
                <w:lang w:val="zh-CN"/>
              </w:rPr>
              <w:t>分</w:t>
            </w:r>
            <w:r>
              <w:rPr>
                <w:rFonts w:hint="eastAsia" w:ascii="宋体" w:hAnsi="宋体" w:eastAsia="宋体"/>
                <w:szCs w:val="21"/>
                <w:highlight w:val="none"/>
              </w:rPr>
              <w:t>.</w:t>
            </w:r>
            <w:r>
              <w:rPr>
                <w:rFonts w:hint="eastAsia" w:ascii="宋体" w:hAnsi="宋体" w:eastAsia="宋体"/>
                <w:szCs w:val="21"/>
                <w:highlight w:val="none"/>
                <w:lang w:val="zh-CN"/>
              </w:rPr>
              <w:t>同一项目以</w:t>
            </w:r>
            <w:r>
              <w:rPr>
                <w:rFonts w:hint="eastAsia" w:ascii="宋体" w:hAnsi="宋体" w:eastAsia="宋体"/>
                <w:szCs w:val="21"/>
                <w:highlight w:val="none"/>
              </w:rPr>
              <w:t>所获</w:t>
            </w:r>
            <w:r>
              <w:rPr>
                <w:rFonts w:hint="eastAsia" w:ascii="宋体" w:hAnsi="宋体" w:eastAsia="宋体"/>
                <w:szCs w:val="21"/>
                <w:highlight w:val="none"/>
                <w:lang w:val="zh-CN"/>
              </w:rPr>
              <w:t>最高</w:t>
            </w:r>
            <w:r>
              <w:rPr>
                <w:rFonts w:hint="eastAsia" w:ascii="宋体" w:hAnsi="宋体" w:eastAsia="宋体"/>
                <w:szCs w:val="21"/>
                <w:highlight w:val="none"/>
              </w:rPr>
              <w:t>级别</w:t>
            </w:r>
            <w:r>
              <w:rPr>
                <w:rFonts w:hint="eastAsia" w:ascii="宋体" w:hAnsi="宋体" w:eastAsia="宋体"/>
                <w:szCs w:val="21"/>
                <w:highlight w:val="none"/>
                <w:lang w:val="zh-CN"/>
              </w:rPr>
              <w:t>奖项为准，不重复计算；获奖时间以证书颁发日期为准，否则不参与评分。</w:t>
            </w:r>
          </w:p>
          <w:p w14:paraId="2B22F72B">
            <w:pPr>
              <w:pStyle w:val="52"/>
              <w:spacing w:line="360" w:lineRule="auto"/>
              <w:ind w:left="210" w:leftChars="100" w:right="210" w:rightChars="100"/>
              <w:rPr>
                <w:rFonts w:hint="eastAsia" w:ascii="宋体" w:hAnsi="宋体" w:eastAsia="宋体"/>
                <w:szCs w:val="21"/>
                <w:highlight w:val="none"/>
              </w:rPr>
            </w:pPr>
            <w:r>
              <w:rPr>
                <w:rFonts w:hint="eastAsia" w:ascii="宋体" w:hAnsi="宋体" w:eastAsia="宋体"/>
                <w:szCs w:val="21"/>
                <w:highlight w:val="none"/>
              </w:rPr>
              <w:t>注：须提供获奖证书等。同一业绩的获奖按最高奖项只计算一次，不重复计分。时间以获奖证书颁发时间为准。国家级奖项颁发单位包括国务院（或其直接所属的行政机关）或全国性行业协会（学会）；省级奖项颁发单位包括省（自治区、直辖市）人民政府（或其直接所属的行政机关）或行业协会（学会）；市级奖项颁发单位包括市（地级市或以上级别）人民政府（或其直接所属的行政机关）或行业协会（学会）。若颁发机构为行业协会（学会），还需提供该组织在中国社会组织政务服务平台（网址：https://chinanpo.mca.gov.cn/）查询结果截图，证明其有登记备案，否则不得分。上述证明材料均需加盖投标人电子印章，不提供或不齐全均不得分。</w:t>
            </w:r>
          </w:p>
        </w:tc>
      </w:tr>
      <w:tr w14:paraId="16F7F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1" w:hRule="atLeast"/>
        </w:trPr>
        <w:tc>
          <w:tcPr>
            <w:tcW w:w="904" w:type="dxa"/>
            <w:vMerge w:val="restart"/>
            <w:vAlign w:val="center"/>
          </w:tcPr>
          <w:p w14:paraId="6B198906">
            <w:pPr>
              <w:spacing w:before="60" w:line="401" w:lineRule="exact"/>
              <w:ind w:left="244"/>
              <w:jc w:val="center"/>
              <w:rPr>
                <w:rFonts w:ascii="Times New Roman" w:hAnsi="Times New Roman" w:eastAsia="Times New Roman"/>
                <w:color w:val="auto"/>
                <w:spacing w:val="-1"/>
                <w:position w:val="18"/>
                <w:highlight w:val="none"/>
              </w:rPr>
            </w:pPr>
            <w:r>
              <w:rPr>
                <w:rFonts w:ascii="Times New Roman" w:hAnsi="Times New Roman" w:eastAsia="Times New Roman"/>
                <w:color w:val="auto"/>
                <w:spacing w:val="-1"/>
                <w:position w:val="18"/>
                <w:highlight w:val="none"/>
              </w:rPr>
              <w:t>2.2.4</w:t>
            </w:r>
          </w:p>
          <w:p w14:paraId="0C50B7E6">
            <w:pPr>
              <w:spacing w:before="60" w:line="401" w:lineRule="exact"/>
              <w:ind w:left="244"/>
              <w:jc w:val="center"/>
              <w:rPr>
                <w:color w:val="auto"/>
                <w:highlight w:val="none"/>
              </w:rPr>
            </w:pPr>
            <w:r>
              <w:rPr>
                <w:rFonts w:ascii="Times New Roman" w:hAnsi="Times New Roman" w:eastAsia="Times New Roman"/>
                <w:color w:val="auto"/>
                <w:spacing w:val="-1"/>
                <w:position w:val="18"/>
                <w:highlight w:val="none"/>
              </w:rPr>
              <w:t>(2)</w:t>
            </w:r>
          </w:p>
        </w:tc>
        <w:tc>
          <w:tcPr>
            <w:tcW w:w="1124" w:type="dxa"/>
            <w:vMerge w:val="restart"/>
            <w:vAlign w:val="center"/>
          </w:tcPr>
          <w:p w14:paraId="5CCD9449">
            <w:pPr>
              <w:spacing w:before="68" w:line="394" w:lineRule="auto"/>
              <w:ind w:left="144" w:right="141" w:firstLine="9"/>
              <w:jc w:val="center"/>
              <w:rPr>
                <w:rFonts w:hint="eastAsia" w:ascii="宋体" w:hAnsi="宋体" w:eastAsia="宋体"/>
                <w:color w:val="auto"/>
                <w:spacing w:val="-4"/>
                <w:highlight w:val="none"/>
              </w:rPr>
            </w:pPr>
            <w:r>
              <w:rPr>
                <w:rFonts w:hint="eastAsia" w:ascii="宋体" w:hAnsi="宋体" w:eastAsia="宋体"/>
                <w:color w:val="auto"/>
                <w:spacing w:val="-4"/>
                <w:highlight w:val="none"/>
              </w:rPr>
              <w:t>技术评审评分标准</w:t>
            </w:r>
          </w:p>
          <w:p w14:paraId="353BC20F">
            <w:pPr>
              <w:jc w:val="center"/>
              <w:rPr>
                <w:color w:val="auto"/>
                <w:highlight w:val="none"/>
              </w:rPr>
            </w:pPr>
            <w:r>
              <w:rPr>
                <w:rFonts w:hint="eastAsia" w:ascii="宋体" w:hAnsi="宋体" w:eastAsia="宋体"/>
                <w:color w:val="auto"/>
                <w:spacing w:val="-4"/>
                <w:highlight w:val="none"/>
              </w:rPr>
              <w:t>（50分）</w:t>
            </w:r>
          </w:p>
        </w:tc>
        <w:tc>
          <w:tcPr>
            <w:tcW w:w="2035" w:type="dxa"/>
            <w:vAlign w:val="center"/>
          </w:tcPr>
          <w:p w14:paraId="45EB29FE">
            <w:pPr>
              <w:pStyle w:val="52"/>
              <w:overflowPunct w:val="0"/>
              <w:snapToGrid w:val="0"/>
              <w:spacing w:line="360" w:lineRule="auto"/>
              <w:ind w:left="210" w:leftChars="100" w:right="210" w:rightChars="100"/>
              <w:jc w:val="center"/>
              <w:rPr>
                <w:rFonts w:hint="eastAsia" w:ascii="宋体" w:hAnsi="宋体" w:eastAsia="宋体"/>
                <w:szCs w:val="21"/>
                <w:highlight w:val="none"/>
                <w:lang w:val="zh-CN"/>
              </w:rPr>
            </w:pPr>
            <w:r>
              <w:rPr>
                <w:rFonts w:hint="eastAsia"/>
                <w:szCs w:val="21"/>
                <w:highlight w:val="none"/>
                <w:lang w:val="zh-CN" w:bidi="ar"/>
              </w:rPr>
              <w:t>投标文件的符合性</w:t>
            </w:r>
          </w:p>
          <w:p w14:paraId="7B037D7D">
            <w:pPr>
              <w:pStyle w:val="52"/>
              <w:overflowPunct w:val="0"/>
              <w:snapToGrid w:val="0"/>
              <w:spacing w:line="360" w:lineRule="auto"/>
              <w:ind w:left="210" w:leftChars="100" w:right="210" w:rightChars="100"/>
              <w:jc w:val="center"/>
              <w:rPr>
                <w:rFonts w:hint="eastAsia" w:ascii="宋体" w:hAnsi="宋体" w:eastAsia="宋体"/>
                <w:szCs w:val="21"/>
                <w:highlight w:val="none"/>
                <w:lang w:val="zh-CN"/>
              </w:rPr>
            </w:pPr>
            <w:r>
              <w:rPr>
                <w:rFonts w:hint="eastAsia" w:ascii="宋体" w:hAnsi="宋体" w:eastAsia="宋体"/>
                <w:szCs w:val="21"/>
                <w:highlight w:val="none"/>
                <w:lang w:val="zh-CN"/>
              </w:rPr>
              <w:t>（</w:t>
            </w:r>
            <w:r>
              <w:rPr>
                <w:rFonts w:hint="eastAsia" w:ascii="宋体" w:hAnsi="宋体" w:eastAsia="宋体"/>
                <w:szCs w:val="21"/>
                <w:highlight w:val="none"/>
              </w:rPr>
              <w:t>5</w:t>
            </w:r>
            <w:r>
              <w:rPr>
                <w:rFonts w:hint="eastAsia" w:ascii="宋体" w:hAnsi="宋体" w:eastAsia="宋体"/>
                <w:szCs w:val="21"/>
                <w:highlight w:val="none"/>
                <w:lang w:val="zh-CN"/>
              </w:rPr>
              <w:t>分）</w:t>
            </w:r>
          </w:p>
        </w:tc>
        <w:tc>
          <w:tcPr>
            <w:tcW w:w="5367" w:type="dxa"/>
            <w:vAlign w:val="center"/>
          </w:tcPr>
          <w:p w14:paraId="5DDD5A06">
            <w:pPr>
              <w:pStyle w:val="52"/>
              <w:overflowPunct w:val="0"/>
              <w:snapToGrid w:val="0"/>
              <w:spacing w:line="360" w:lineRule="auto"/>
              <w:ind w:left="210" w:leftChars="100" w:right="210" w:rightChars="100"/>
              <w:rPr>
                <w:rFonts w:hint="eastAsia" w:ascii="宋体" w:hAnsi="宋体" w:eastAsia="宋体"/>
                <w:szCs w:val="21"/>
                <w:highlight w:val="none"/>
                <w:lang w:val="zh-CN"/>
              </w:rPr>
            </w:pPr>
            <w:r>
              <w:rPr>
                <w:rFonts w:hint="eastAsia"/>
                <w:szCs w:val="21"/>
                <w:highlight w:val="none"/>
                <w:lang w:val="zh-CN"/>
              </w:rPr>
              <w:t>整个设计内容符合招标文件要求，内容全面，技术文件文字表达清楚、思路清晰、重点和难点突出、图纸及文卷质量高。（优得</w:t>
            </w:r>
            <w:r>
              <w:rPr>
                <w:rFonts w:hint="eastAsia"/>
                <w:szCs w:val="21"/>
                <w:highlight w:val="none"/>
              </w:rPr>
              <w:t>5分；良</w:t>
            </w:r>
            <w:r>
              <w:rPr>
                <w:rFonts w:hint="eastAsia"/>
                <w:szCs w:val="21"/>
                <w:highlight w:val="none"/>
                <w:lang w:val="zh-CN"/>
              </w:rPr>
              <w:t>得</w:t>
            </w:r>
            <w:r>
              <w:rPr>
                <w:rFonts w:hint="eastAsia"/>
                <w:szCs w:val="21"/>
                <w:highlight w:val="none"/>
              </w:rPr>
              <w:t>3.5</w:t>
            </w:r>
            <w:r>
              <w:rPr>
                <w:rFonts w:hint="eastAsia"/>
                <w:szCs w:val="21"/>
                <w:highlight w:val="none"/>
                <w:lang w:val="zh-CN"/>
              </w:rPr>
              <w:t>分</w:t>
            </w:r>
            <w:r>
              <w:rPr>
                <w:rFonts w:hint="eastAsia"/>
                <w:szCs w:val="21"/>
                <w:highlight w:val="none"/>
              </w:rPr>
              <w:t>；一般</w:t>
            </w:r>
            <w:r>
              <w:rPr>
                <w:rFonts w:hint="eastAsia"/>
                <w:szCs w:val="21"/>
                <w:highlight w:val="none"/>
                <w:lang w:val="zh-CN"/>
              </w:rPr>
              <w:t>得</w:t>
            </w:r>
            <w:r>
              <w:rPr>
                <w:rFonts w:hint="eastAsia"/>
                <w:szCs w:val="21"/>
                <w:highlight w:val="none"/>
              </w:rPr>
              <w:t>2</w:t>
            </w:r>
            <w:r>
              <w:rPr>
                <w:rFonts w:hint="eastAsia"/>
                <w:szCs w:val="21"/>
                <w:highlight w:val="none"/>
                <w:lang w:val="zh-CN"/>
              </w:rPr>
              <w:t>分；差</w:t>
            </w:r>
            <w:r>
              <w:rPr>
                <w:rFonts w:hint="eastAsia"/>
                <w:szCs w:val="21"/>
                <w:highlight w:val="none"/>
              </w:rPr>
              <w:t>得0.5分；无得0分）</w:t>
            </w:r>
            <w:r>
              <w:rPr>
                <w:rFonts w:hint="eastAsia"/>
                <w:szCs w:val="21"/>
                <w:highlight w:val="none"/>
                <w:lang w:val="zh-CN"/>
              </w:rPr>
              <w:t>。</w:t>
            </w:r>
          </w:p>
        </w:tc>
      </w:tr>
      <w:tr w14:paraId="4BDC3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04" w:type="dxa"/>
            <w:vMerge w:val="continue"/>
          </w:tcPr>
          <w:p w14:paraId="0BFAE479">
            <w:pPr>
              <w:rPr>
                <w:color w:val="auto"/>
                <w:highlight w:val="none"/>
              </w:rPr>
            </w:pPr>
          </w:p>
        </w:tc>
        <w:tc>
          <w:tcPr>
            <w:tcW w:w="1124" w:type="dxa"/>
            <w:vMerge w:val="continue"/>
          </w:tcPr>
          <w:p w14:paraId="5267F68E">
            <w:pPr>
              <w:rPr>
                <w:color w:val="auto"/>
                <w:highlight w:val="none"/>
              </w:rPr>
            </w:pPr>
          </w:p>
        </w:tc>
        <w:tc>
          <w:tcPr>
            <w:tcW w:w="2035" w:type="dxa"/>
            <w:vAlign w:val="center"/>
          </w:tcPr>
          <w:p w14:paraId="4F6400AA">
            <w:pPr>
              <w:pStyle w:val="52"/>
              <w:overflowPunct w:val="0"/>
              <w:snapToGrid w:val="0"/>
              <w:spacing w:line="360" w:lineRule="auto"/>
              <w:ind w:left="210" w:leftChars="100" w:right="210" w:rightChars="100"/>
              <w:jc w:val="center"/>
              <w:rPr>
                <w:rFonts w:hint="eastAsia" w:ascii="宋体" w:hAnsi="宋体" w:eastAsia="宋体"/>
                <w:szCs w:val="21"/>
                <w:highlight w:val="none"/>
                <w:lang w:val="zh-CN"/>
              </w:rPr>
            </w:pPr>
            <w:r>
              <w:rPr>
                <w:rFonts w:hint="eastAsia"/>
                <w:szCs w:val="21"/>
                <w:highlight w:val="none"/>
                <w:lang w:bidi="ar"/>
              </w:rPr>
              <w:t>对项目理解</w:t>
            </w:r>
          </w:p>
          <w:p w14:paraId="360E6B58">
            <w:pPr>
              <w:pStyle w:val="52"/>
              <w:overflowPunct w:val="0"/>
              <w:snapToGrid w:val="0"/>
              <w:spacing w:line="360" w:lineRule="auto"/>
              <w:ind w:left="210" w:leftChars="100" w:right="210" w:rightChars="100"/>
              <w:jc w:val="center"/>
              <w:rPr>
                <w:rFonts w:hint="eastAsia" w:ascii="宋体" w:hAnsi="宋体" w:eastAsia="宋体"/>
                <w:szCs w:val="21"/>
                <w:highlight w:val="none"/>
                <w:lang w:val="zh-CN"/>
              </w:rPr>
            </w:pPr>
            <w:r>
              <w:rPr>
                <w:rFonts w:hint="eastAsia" w:ascii="宋体" w:hAnsi="宋体" w:eastAsia="宋体"/>
                <w:szCs w:val="21"/>
                <w:highlight w:val="none"/>
                <w:lang w:val="zh-CN"/>
              </w:rPr>
              <w:t>（</w:t>
            </w:r>
            <w:r>
              <w:rPr>
                <w:rFonts w:hint="eastAsia" w:ascii="宋体" w:hAnsi="宋体" w:eastAsia="宋体"/>
                <w:szCs w:val="21"/>
                <w:highlight w:val="none"/>
              </w:rPr>
              <w:t>5</w:t>
            </w:r>
            <w:r>
              <w:rPr>
                <w:rFonts w:hint="eastAsia" w:ascii="宋体" w:hAnsi="宋体" w:eastAsia="宋体"/>
                <w:szCs w:val="21"/>
                <w:highlight w:val="none"/>
                <w:lang w:val="zh-CN"/>
              </w:rPr>
              <w:t>分）</w:t>
            </w:r>
          </w:p>
        </w:tc>
        <w:tc>
          <w:tcPr>
            <w:tcW w:w="5367" w:type="dxa"/>
            <w:vAlign w:val="center"/>
          </w:tcPr>
          <w:p w14:paraId="1558FE54">
            <w:pPr>
              <w:pStyle w:val="52"/>
              <w:overflowPunct w:val="0"/>
              <w:snapToGrid w:val="0"/>
              <w:spacing w:line="360" w:lineRule="auto"/>
              <w:ind w:left="210" w:leftChars="100" w:right="210" w:rightChars="100"/>
              <w:rPr>
                <w:rFonts w:hint="eastAsia" w:ascii="宋体" w:hAnsi="宋体" w:eastAsia="宋体"/>
                <w:szCs w:val="21"/>
                <w:highlight w:val="none"/>
                <w:lang w:val="zh-CN"/>
              </w:rPr>
            </w:pPr>
            <w:r>
              <w:rPr>
                <w:rFonts w:hint="eastAsia"/>
                <w:szCs w:val="21"/>
                <w:highlight w:val="none"/>
                <w:lang w:val="zh-CN" w:bidi="ar"/>
              </w:rPr>
              <w:t>对项目理解透彻，熟悉本项目所在区域特点，内容明确具体。（</w:t>
            </w:r>
            <w:r>
              <w:rPr>
                <w:rFonts w:hint="eastAsia"/>
                <w:szCs w:val="21"/>
                <w:highlight w:val="none"/>
                <w:lang w:val="zh-CN"/>
              </w:rPr>
              <w:t>优得</w:t>
            </w:r>
            <w:r>
              <w:rPr>
                <w:rFonts w:hint="eastAsia"/>
                <w:szCs w:val="21"/>
                <w:highlight w:val="none"/>
              </w:rPr>
              <w:t>5分；良</w:t>
            </w:r>
            <w:r>
              <w:rPr>
                <w:rFonts w:hint="eastAsia"/>
                <w:szCs w:val="21"/>
                <w:highlight w:val="none"/>
                <w:lang w:val="zh-CN"/>
              </w:rPr>
              <w:t>得</w:t>
            </w:r>
            <w:r>
              <w:rPr>
                <w:rFonts w:hint="eastAsia"/>
                <w:szCs w:val="21"/>
                <w:highlight w:val="none"/>
              </w:rPr>
              <w:t>3.5</w:t>
            </w:r>
            <w:r>
              <w:rPr>
                <w:rFonts w:hint="eastAsia"/>
                <w:szCs w:val="21"/>
                <w:highlight w:val="none"/>
                <w:lang w:val="zh-CN"/>
              </w:rPr>
              <w:t>分</w:t>
            </w:r>
            <w:r>
              <w:rPr>
                <w:rFonts w:hint="eastAsia"/>
                <w:szCs w:val="21"/>
                <w:highlight w:val="none"/>
              </w:rPr>
              <w:t>；一般</w:t>
            </w:r>
            <w:r>
              <w:rPr>
                <w:rFonts w:hint="eastAsia"/>
                <w:szCs w:val="21"/>
                <w:highlight w:val="none"/>
                <w:lang w:val="zh-CN"/>
              </w:rPr>
              <w:t>得</w:t>
            </w:r>
            <w:r>
              <w:rPr>
                <w:rFonts w:hint="eastAsia"/>
                <w:szCs w:val="21"/>
                <w:highlight w:val="none"/>
              </w:rPr>
              <w:t>2</w:t>
            </w:r>
            <w:r>
              <w:rPr>
                <w:rFonts w:hint="eastAsia"/>
                <w:szCs w:val="21"/>
                <w:highlight w:val="none"/>
                <w:lang w:val="zh-CN"/>
              </w:rPr>
              <w:t>分；差</w:t>
            </w:r>
            <w:r>
              <w:rPr>
                <w:rFonts w:hint="eastAsia"/>
                <w:szCs w:val="21"/>
                <w:highlight w:val="none"/>
              </w:rPr>
              <w:t>得0.5分；无得0分</w:t>
            </w:r>
            <w:r>
              <w:rPr>
                <w:rFonts w:hint="eastAsia"/>
                <w:szCs w:val="21"/>
                <w:highlight w:val="none"/>
                <w:lang w:val="zh-CN" w:bidi="ar"/>
              </w:rPr>
              <w:t>）。</w:t>
            </w:r>
          </w:p>
        </w:tc>
      </w:tr>
      <w:tr w14:paraId="745C9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04" w:type="dxa"/>
            <w:vMerge w:val="continue"/>
          </w:tcPr>
          <w:p w14:paraId="0C54BB90">
            <w:pPr>
              <w:rPr>
                <w:color w:val="auto"/>
                <w:highlight w:val="none"/>
              </w:rPr>
            </w:pPr>
          </w:p>
        </w:tc>
        <w:tc>
          <w:tcPr>
            <w:tcW w:w="1124" w:type="dxa"/>
            <w:vMerge w:val="continue"/>
          </w:tcPr>
          <w:p w14:paraId="6E0DBE5E">
            <w:pPr>
              <w:rPr>
                <w:color w:val="auto"/>
                <w:highlight w:val="none"/>
              </w:rPr>
            </w:pPr>
          </w:p>
        </w:tc>
        <w:tc>
          <w:tcPr>
            <w:tcW w:w="2035" w:type="dxa"/>
            <w:vAlign w:val="center"/>
          </w:tcPr>
          <w:p w14:paraId="0A11B966">
            <w:pPr>
              <w:pStyle w:val="52"/>
              <w:overflowPunct w:val="0"/>
              <w:snapToGrid w:val="0"/>
              <w:spacing w:line="360" w:lineRule="auto"/>
              <w:ind w:left="210" w:leftChars="100" w:right="210" w:rightChars="100"/>
              <w:jc w:val="center"/>
              <w:rPr>
                <w:rFonts w:hint="eastAsia" w:ascii="宋体" w:hAnsi="宋体" w:eastAsia="宋体"/>
                <w:szCs w:val="21"/>
                <w:highlight w:val="none"/>
                <w:lang w:val="zh-CN"/>
              </w:rPr>
            </w:pPr>
            <w:r>
              <w:rPr>
                <w:rFonts w:hint="eastAsia"/>
                <w:szCs w:val="21"/>
                <w:highlight w:val="none"/>
                <w:lang w:bidi="ar"/>
              </w:rPr>
              <w:t>难点和重点</w:t>
            </w:r>
          </w:p>
          <w:p w14:paraId="75EACF46">
            <w:pPr>
              <w:pStyle w:val="52"/>
              <w:overflowPunct w:val="0"/>
              <w:snapToGrid w:val="0"/>
              <w:spacing w:line="360" w:lineRule="auto"/>
              <w:ind w:left="210" w:leftChars="100" w:right="210" w:rightChars="100"/>
              <w:jc w:val="center"/>
              <w:rPr>
                <w:rFonts w:hint="eastAsia" w:ascii="宋体" w:hAnsi="宋体" w:eastAsia="宋体"/>
                <w:szCs w:val="21"/>
                <w:highlight w:val="none"/>
                <w:lang w:val="zh-CN"/>
              </w:rPr>
            </w:pPr>
            <w:r>
              <w:rPr>
                <w:rFonts w:hint="eastAsia" w:ascii="宋体" w:hAnsi="宋体" w:eastAsia="宋体"/>
                <w:szCs w:val="21"/>
                <w:highlight w:val="none"/>
                <w:lang w:val="zh-CN"/>
              </w:rPr>
              <w:t>（</w:t>
            </w:r>
            <w:r>
              <w:rPr>
                <w:rFonts w:hint="eastAsia" w:ascii="宋体" w:hAnsi="宋体" w:eastAsia="宋体"/>
                <w:szCs w:val="21"/>
                <w:highlight w:val="none"/>
              </w:rPr>
              <w:t>5</w:t>
            </w:r>
            <w:r>
              <w:rPr>
                <w:rFonts w:hint="eastAsia" w:ascii="宋体" w:hAnsi="宋体" w:eastAsia="宋体"/>
                <w:szCs w:val="21"/>
                <w:highlight w:val="none"/>
                <w:lang w:val="zh-CN"/>
              </w:rPr>
              <w:t>分）</w:t>
            </w:r>
          </w:p>
        </w:tc>
        <w:tc>
          <w:tcPr>
            <w:tcW w:w="5367" w:type="dxa"/>
            <w:vAlign w:val="center"/>
          </w:tcPr>
          <w:p w14:paraId="2D5AA1C9">
            <w:pPr>
              <w:pStyle w:val="52"/>
              <w:overflowPunct w:val="0"/>
              <w:snapToGrid w:val="0"/>
              <w:spacing w:line="360" w:lineRule="auto"/>
              <w:ind w:left="210" w:leftChars="100" w:right="210" w:rightChars="100"/>
              <w:rPr>
                <w:rFonts w:hint="eastAsia" w:ascii="宋体" w:hAnsi="宋体" w:eastAsia="宋体"/>
                <w:szCs w:val="21"/>
                <w:highlight w:val="none"/>
                <w:lang w:val="zh-CN"/>
              </w:rPr>
            </w:pPr>
            <w:r>
              <w:rPr>
                <w:rFonts w:hint="eastAsia"/>
                <w:szCs w:val="21"/>
                <w:highlight w:val="none"/>
                <w:lang w:val="zh-CN" w:bidi="ar"/>
              </w:rPr>
              <w:t>分析本项目勘察设计工作开展过程中的难点和重点，考虑到番禺区河网交错、水系条件复杂，为有效应对区内防洪排涝问题，结合本项目针对性地提出具有科学、合理、可行及具体的合理化建议及工程解决措施。（</w:t>
            </w:r>
            <w:r>
              <w:rPr>
                <w:rFonts w:hint="eastAsia"/>
                <w:szCs w:val="21"/>
                <w:highlight w:val="none"/>
                <w:lang w:val="zh-CN"/>
              </w:rPr>
              <w:t>优得</w:t>
            </w:r>
            <w:r>
              <w:rPr>
                <w:rFonts w:hint="eastAsia"/>
                <w:szCs w:val="21"/>
                <w:highlight w:val="none"/>
              </w:rPr>
              <w:t>5分；良</w:t>
            </w:r>
            <w:r>
              <w:rPr>
                <w:rFonts w:hint="eastAsia"/>
                <w:szCs w:val="21"/>
                <w:highlight w:val="none"/>
                <w:lang w:val="zh-CN"/>
              </w:rPr>
              <w:t>得</w:t>
            </w:r>
            <w:r>
              <w:rPr>
                <w:rFonts w:hint="eastAsia"/>
                <w:szCs w:val="21"/>
                <w:highlight w:val="none"/>
              </w:rPr>
              <w:t>3.5</w:t>
            </w:r>
            <w:r>
              <w:rPr>
                <w:rFonts w:hint="eastAsia"/>
                <w:szCs w:val="21"/>
                <w:highlight w:val="none"/>
                <w:lang w:val="zh-CN"/>
              </w:rPr>
              <w:t>分</w:t>
            </w:r>
            <w:r>
              <w:rPr>
                <w:rFonts w:hint="eastAsia"/>
                <w:szCs w:val="21"/>
                <w:highlight w:val="none"/>
              </w:rPr>
              <w:t>；一般</w:t>
            </w:r>
            <w:r>
              <w:rPr>
                <w:rFonts w:hint="eastAsia"/>
                <w:szCs w:val="21"/>
                <w:highlight w:val="none"/>
                <w:lang w:val="zh-CN"/>
              </w:rPr>
              <w:t>得</w:t>
            </w:r>
            <w:r>
              <w:rPr>
                <w:rFonts w:hint="eastAsia"/>
                <w:szCs w:val="21"/>
                <w:highlight w:val="none"/>
              </w:rPr>
              <w:t>2</w:t>
            </w:r>
            <w:r>
              <w:rPr>
                <w:rFonts w:hint="eastAsia"/>
                <w:szCs w:val="21"/>
                <w:highlight w:val="none"/>
                <w:lang w:val="zh-CN"/>
              </w:rPr>
              <w:t>分；差</w:t>
            </w:r>
            <w:r>
              <w:rPr>
                <w:rFonts w:hint="eastAsia"/>
                <w:szCs w:val="21"/>
                <w:highlight w:val="none"/>
              </w:rPr>
              <w:t>得0.5分；无得0分</w:t>
            </w:r>
            <w:r>
              <w:rPr>
                <w:rFonts w:hint="eastAsia"/>
                <w:szCs w:val="21"/>
                <w:highlight w:val="none"/>
                <w:lang w:val="zh-CN" w:bidi="ar"/>
              </w:rPr>
              <w:t>）。</w:t>
            </w:r>
          </w:p>
        </w:tc>
      </w:tr>
      <w:tr w14:paraId="5EE52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04" w:type="dxa"/>
            <w:vMerge w:val="continue"/>
          </w:tcPr>
          <w:p w14:paraId="73B09D31">
            <w:pPr>
              <w:rPr>
                <w:color w:val="auto"/>
                <w:highlight w:val="none"/>
              </w:rPr>
            </w:pPr>
          </w:p>
        </w:tc>
        <w:tc>
          <w:tcPr>
            <w:tcW w:w="1124" w:type="dxa"/>
            <w:vMerge w:val="continue"/>
          </w:tcPr>
          <w:p w14:paraId="18B22B22">
            <w:pPr>
              <w:rPr>
                <w:color w:val="auto"/>
                <w:highlight w:val="none"/>
              </w:rPr>
            </w:pPr>
          </w:p>
        </w:tc>
        <w:tc>
          <w:tcPr>
            <w:tcW w:w="2035" w:type="dxa"/>
            <w:vAlign w:val="center"/>
          </w:tcPr>
          <w:p w14:paraId="5AC96ACA">
            <w:pPr>
              <w:pStyle w:val="52"/>
              <w:overflowPunct w:val="0"/>
              <w:snapToGrid w:val="0"/>
              <w:spacing w:line="360" w:lineRule="auto"/>
              <w:ind w:left="210" w:leftChars="100" w:right="210" w:rightChars="100"/>
              <w:jc w:val="center"/>
              <w:rPr>
                <w:rFonts w:hint="eastAsia" w:ascii="宋体" w:hAnsi="宋体" w:eastAsia="宋体"/>
                <w:szCs w:val="21"/>
                <w:highlight w:val="none"/>
                <w:lang w:val="zh-CN"/>
              </w:rPr>
            </w:pPr>
            <w:r>
              <w:rPr>
                <w:rFonts w:hint="eastAsia"/>
                <w:szCs w:val="21"/>
                <w:highlight w:val="none"/>
                <w:lang w:bidi="ar"/>
              </w:rPr>
              <w:t>设计方案</w:t>
            </w:r>
          </w:p>
          <w:p w14:paraId="5626ABC8">
            <w:pPr>
              <w:pStyle w:val="52"/>
              <w:overflowPunct w:val="0"/>
              <w:snapToGrid w:val="0"/>
              <w:spacing w:line="360" w:lineRule="auto"/>
              <w:ind w:left="210" w:leftChars="100" w:right="210" w:rightChars="100"/>
              <w:jc w:val="center"/>
              <w:rPr>
                <w:rFonts w:hint="eastAsia" w:ascii="宋体" w:hAnsi="宋体" w:eastAsia="宋体"/>
                <w:szCs w:val="21"/>
                <w:highlight w:val="none"/>
                <w:lang w:val="zh-CN"/>
              </w:rPr>
            </w:pPr>
            <w:r>
              <w:rPr>
                <w:rFonts w:hint="eastAsia" w:ascii="宋体" w:hAnsi="宋体" w:eastAsia="宋体"/>
                <w:szCs w:val="21"/>
                <w:highlight w:val="none"/>
                <w:lang w:val="zh-CN"/>
              </w:rPr>
              <w:t>（</w:t>
            </w:r>
            <w:r>
              <w:rPr>
                <w:rFonts w:hint="eastAsia" w:ascii="宋体" w:hAnsi="宋体" w:eastAsia="宋体"/>
                <w:szCs w:val="21"/>
                <w:highlight w:val="none"/>
              </w:rPr>
              <w:t>5</w:t>
            </w:r>
            <w:r>
              <w:rPr>
                <w:rFonts w:hint="eastAsia" w:ascii="宋体" w:hAnsi="宋体" w:eastAsia="宋体"/>
                <w:szCs w:val="21"/>
                <w:highlight w:val="none"/>
                <w:lang w:val="zh-CN"/>
              </w:rPr>
              <w:t>分）</w:t>
            </w:r>
          </w:p>
        </w:tc>
        <w:tc>
          <w:tcPr>
            <w:tcW w:w="5367" w:type="dxa"/>
            <w:vAlign w:val="center"/>
          </w:tcPr>
          <w:p w14:paraId="5776EF6D">
            <w:pPr>
              <w:pStyle w:val="52"/>
              <w:overflowPunct w:val="0"/>
              <w:snapToGrid w:val="0"/>
              <w:spacing w:line="360" w:lineRule="auto"/>
              <w:ind w:left="210" w:leftChars="100" w:right="210" w:rightChars="100"/>
              <w:rPr>
                <w:rFonts w:hint="eastAsia" w:ascii="宋体" w:hAnsi="宋体" w:eastAsia="宋体"/>
                <w:szCs w:val="21"/>
                <w:highlight w:val="none"/>
                <w:lang w:val="zh-CN"/>
              </w:rPr>
            </w:pPr>
            <w:r>
              <w:rPr>
                <w:rFonts w:hint="eastAsia"/>
                <w:szCs w:val="21"/>
                <w:highlight w:val="none"/>
                <w:lang w:bidi="ar"/>
              </w:rPr>
              <w:t>设计方案、进度计划合理可行，内容全面完善，结合现状提出针对性的措施，有详细的方案设计</w:t>
            </w:r>
            <w:r>
              <w:rPr>
                <w:rFonts w:hint="eastAsia"/>
                <w:szCs w:val="21"/>
                <w:highlight w:val="none"/>
                <w:lang w:val="zh-CN"/>
              </w:rPr>
              <w:t>（优得</w:t>
            </w:r>
            <w:r>
              <w:rPr>
                <w:rFonts w:hint="eastAsia"/>
                <w:szCs w:val="21"/>
                <w:highlight w:val="none"/>
              </w:rPr>
              <w:t>5分；良</w:t>
            </w:r>
            <w:r>
              <w:rPr>
                <w:rFonts w:hint="eastAsia"/>
                <w:szCs w:val="21"/>
                <w:highlight w:val="none"/>
                <w:lang w:val="zh-CN"/>
              </w:rPr>
              <w:t>得</w:t>
            </w:r>
            <w:r>
              <w:rPr>
                <w:rFonts w:hint="eastAsia"/>
                <w:szCs w:val="21"/>
                <w:highlight w:val="none"/>
              </w:rPr>
              <w:t>3.5</w:t>
            </w:r>
            <w:r>
              <w:rPr>
                <w:rFonts w:hint="eastAsia"/>
                <w:szCs w:val="21"/>
                <w:highlight w:val="none"/>
                <w:lang w:val="zh-CN"/>
              </w:rPr>
              <w:t>分</w:t>
            </w:r>
            <w:r>
              <w:rPr>
                <w:rFonts w:hint="eastAsia"/>
                <w:szCs w:val="21"/>
                <w:highlight w:val="none"/>
              </w:rPr>
              <w:t>；一般</w:t>
            </w:r>
            <w:r>
              <w:rPr>
                <w:rFonts w:hint="eastAsia"/>
                <w:szCs w:val="21"/>
                <w:highlight w:val="none"/>
                <w:lang w:val="zh-CN"/>
              </w:rPr>
              <w:t>得</w:t>
            </w:r>
            <w:r>
              <w:rPr>
                <w:rFonts w:hint="eastAsia"/>
                <w:szCs w:val="21"/>
                <w:highlight w:val="none"/>
              </w:rPr>
              <w:t>2</w:t>
            </w:r>
            <w:r>
              <w:rPr>
                <w:rFonts w:hint="eastAsia"/>
                <w:szCs w:val="21"/>
                <w:highlight w:val="none"/>
                <w:lang w:val="zh-CN"/>
              </w:rPr>
              <w:t>分；差</w:t>
            </w:r>
            <w:r>
              <w:rPr>
                <w:rFonts w:hint="eastAsia"/>
                <w:szCs w:val="21"/>
                <w:highlight w:val="none"/>
              </w:rPr>
              <w:t>得0.5分；无得0分）</w:t>
            </w:r>
            <w:r>
              <w:rPr>
                <w:rFonts w:hint="eastAsia"/>
                <w:szCs w:val="21"/>
                <w:highlight w:val="none"/>
                <w:lang w:val="zh-CN" w:bidi="ar"/>
              </w:rPr>
              <w:t>。</w:t>
            </w:r>
          </w:p>
        </w:tc>
      </w:tr>
      <w:tr w14:paraId="76505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04" w:type="dxa"/>
            <w:vMerge w:val="continue"/>
          </w:tcPr>
          <w:p w14:paraId="39E6D47E">
            <w:pPr>
              <w:rPr>
                <w:color w:val="auto"/>
                <w:highlight w:val="none"/>
              </w:rPr>
            </w:pPr>
          </w:p>
        </w:tc>
        <w:tc>
          <w:tcPr>
            <w:tcW w:w="1124" w:type="dxa"/>
            <w:vMerge w:val="continue"/>
          </w:tcPr>
          <w:p w14:paraId="62680756">
            <w:pPr>
              <w:rPr>
                <w:color w:val="auto"/>
                <w:highlight w:val="none"/>
              </w:rPr>
            </w:pPr>
          </w:p>
        </w:tc>
        <w:tc>
          <w:tcPr>
            <w:tcW w:w="2035" w:type="dxa"/>
            <w:vAlign w:val="center"/>
          </w:tcPr>
          <w:p w14:paraId="6E46000B">
            <w:pPr>
              <w:pStyle w:val="52"/>
              <w:overflowPunct w:val="0"/>
              <w:snapToGrid w:val="0"/>
              <w:spacing w:line="360" w:lineRule="auto"/>
              <w:ind w:left="210" w:leftChars="100" w:right="210" w:rightChars="100"/>
              <w:jc w:val="center"/>
              <w:rPr>
                <w:rFonts w:hint="eastAsia" w:ascii="宋体" w:hAnsi="宋体" w:eastAsia="宋体"/>
                <w:szCs w:val="21"/>
                <w:highlight w:val="none"/>
                <w:lang w:val="zh-CN"/>
              </w:rPr>
            </w:pPr>
            <w:r>
              <w:rPr>
                <w:rFonts w:hint="eastAsia"/>
                <w:szCs w:val="21"/>
                <w:highlight w:val="none"/>
                <w:lang w:bidi="ar"/>
              </w:rPr>
              <w:t>勘察方案</w:t>
            </w:r>
          </w:p>
          <w:p w14:paraId="6B25AE82">
            <w:pPr>
              <w:pStyle w:val="52"/>
              <w:overflowPunct w:val="0"/>
              <w:snapToGrid w:val="0"/>
              <w:spacing w:line="360" w:lineRule="auto"/>
              <w:ind w:left="210" w:leftChars="100" w:right="210" w:rightChars="100"/>
              <w:jc w:val="center"/>
              <w:rPr>
                <w:rFonts w:hint="eastAsia" w:ascii="宋体" w:hAnsi="宋体" w:eastAsia="宋体"/>
                <w:szCs w:val="21"/>
                <w:highlight w:val="none"/>
                <w:lang w:val="zh-CN"/>
              </w:rPr>
            </w:pPr>
            <w:r>
              <w:rPr>
                <w:rFonts w:hint="eastAsia" w:ascii="宋体" w:hAnsi="宋体" w:eastAsia="宋体"/>
                <w:szCs w:val="21"/>
                <w:highlight w:val="none"/>
                <w:lang w:val="zh-CN"/>
              </w:rPr>
              <w:t>（</w:t>
            </w:r>
            <w:r>
              <w:rPr>
                <w:rFonts w:hint="eastAsia" w:ascii="宋体" w:hAnsi="宋体" w:eastAsia="宋体"/>
                <w:szCs w:val="21"/>
                <w:highlight w:val="none"/>
              </w:rPr>
              <w:t>5</w:t>
            </w:r>
            <w:r>
              <w:rPr>
                <w:rFonts w:hint="eastAsia" w:ascii="宋体" w:hAnsi="宋体" w:eastAsia="宋体"/>
                <w:szCs w:val="21"/>
                <w:highlight w:val="none"/>
                <w:lang w:val="zh-CN"/>
              </w:rPr>
              <w:t>分）</w:t>
            </w:r>
          </w:p>
        </w:tc>
        <w:tc>
          <w:tcPr>
            <w:tcW w:w="5367" w:type="dxa"/>
            <w:vAlign w:val="center"/>
          </w:tcPr>
          <w:p w14:paraId="6FDE0092">
            <w:pPr>
              <w:pStyle w:val="52"/>
              <w:overflowPunct w:val="0"/>
              <w:snapToGrid w:val="0"/>
              <w:spacing w:line="360" w:lineRule="auto"/>
              <w:ind w:left="210" w:leftChars="100" w:right="210" w:rightChars="100"/>
              <w:rPr>
                <w:rFonts w:hint="eastAsia" w:ascii="宋体" w:hAnsi="宋体" w:eastAsia="宋体"/>
                <w:szCs w:val="21"/>
                <w:highlight w:val="none"/>
                <w:lang w:val="zh-CN"/>
              </w:rPr>
            </w:pPr>
            <w:r>
              <w:rPr>
                <w:rFonts w:hint="eastAsia"/>
                <w:szCs w:val="21"/>
                <w:highlight w:val="none"/>
                <w:lang w:bidi="ar"/>
              </w:rPr>
              <w:t>勘察方案合理可行，</w:t>
            </w:r>
            <w:r>
              <w:rPr>
                <w:rFonts w:hint="eastAsia"/>
                <w:highlight w:val="none"/>
              </w:rPr>
              <w:t>勘察方案完全满足工程设计需要，勘察布局合理，勘察工作流程规范</w:t>
            </w:r>
            <w:r>
              <w:rPr>
                <w:rFonts w:hint="eastAsia"/>
                <w:szCs w:val="21"/>
                <w:highlight w:val="none"/>
                <w:lang w:val="zh-CN" w:bidi="ar"/>
              </w:rPr>
              <w:t>。</w:t>
            </w:r>
            <w:r>
              <w:rPr>
                <w:rFonts w:hint="eastAsia"/>
                <w:szCs w:val="21"/>
                <w:highlight w:val="none"/>
                <w:lang w:val="zh-CN"/>
              </w:rPr>
              <w:t>（优得</w:t>
            </w:r>
            <w:r>
              <w:rPr>
                <w:rFonts w:hint="eastAsia"/>
                <w:szCs w:val="21"/>
                <w:highlight w:val="none"/>
              </w:rPr>
              <w:t>5分；良</w:t>
            </w:r>
            <w:r>
              <w:rPr>
                <w:rFonts w:hint="eastAsia"/>
                <w:szCs w:val="21"/>
                <w:highlight w:val="none"/>
                <w:lang w:val="zh-CN"/>
              </w:rPr>
              <w:t>得</w:t>
            </w:r>
            <w:r>
              <w:rPr>
                <w:rFonts w:hint="eastAsia"/>
                <w:szCs w:val="21"/>
                <w:highlight w:val="none"/>
              </w:rPr>
              <w:t>3.5</w:t>
            </w:r>
            <w:r>
              <w:rPr>
                <w:rFonts w:hint="eastAsia"/>
                <w:szCs w:val="21"/>
                <w:highlight w:val="none"/>
                <w:lang w:val="zh-CN"/>
              </w:rPr>
              <w:t>分</w:t>
            </w:r>
            <w:r>
              <w:rPr>
                <w:rFonts w:hint="eastAsia"/>
                <w:szCs w:val="21"/>
                <w:highlight w:val="none"/>
              </w:rPr>
              <w:t>；一般</w:t>
            </w:r>
            <w:r>
              <w:rPr>
                <w:rFonts w:hint="eastAsia"/>
                <w:szCs w:val="21"/>
                <w:highlight w:val="none"/>
                <w:lang w:val="zh-CN"/>
              </w:rPr>
              <w:t>得</w:t>
            </w:r>
            <w:r>
              <w:rPr>
                <w:rFonts w:hint="eastAsia"/>
                <w:szCs w:val="21"/>
                <w:highlight w:val="none"/>
              </w:rPr>
              <w:t>2</w:t>
            </w:r>
            <w:r>
              <w:rPr>
                <w:rFonts w:hint="eastAsia"/>
                <w:szCs w:val="21"/>
                <w:highlight w:val="none"/>
                <w:lang w:val="zh-CN"/>
              </w:rPr>
              <w:t>分；差</w:t>
            </w:r>
            <w:r>
              <w:rPr>
                <w:rFonts w:hint="eastAsia"/>
                <w:szCs w:val="21"/>
                <w:highlight w:val="none"/>
              </w:rPr>
              <w:t>得0.5分；无得0分）</w:t>
            </w:r>
          </w:p>
        </w:tc>
      </w:tr>
      <w:tr w14:paraId="23E85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04" w:type="dxa"/>
            <w:vMerge w:val="continue"/>
          </w:tcPr>
          <w:p w14:paraId="0426A96A">
            <w:pPr>
              <w:rPr>
                <w:color w:val="auto"/>
                <w:highlight w:val="none"/>
              </w:rPr>
            </w:pPr>
          </w:p>
        </w:tc>
        <w:tc>
          <w:tcPr>
            <w:tcW w:w="1124" w:type="dxa"/>
            <w:vMerge w:val="continue"/>
          </w:tcPr>
          <w:p w14:paraId="754E6C76">
            <w:pPr>
              <w:rPr>
                <w:color w:val="auto"/>
                <w:highlight w:val="none"/>
              </w:rPr>
            </w:pPr>
          </w:p>
        </w:tc>
        <w:tc>
          <w:tcPr>
            <w:tcW w:w="2035" w:type="dxa"/>
            <w:vAlign w:val="center"/>
          </w:tcPr>
          <w:p w14:paraId="6FC34845">
            <w:pPr>
              <w:pStyle w:val="52"/>
              <w:overflowPunct w:val="0"/>
              <w:snapToGrid w:val="0"/>
              <w:spacing w:line="360" w:lineRule="auto"/>
              <w:ind w:left="210" w:leftChars="100" w:right="210" w:rightChars="100"/>
              <w:jc w:val="center"/>
              <w:rPr>
                <w:rFonts w:hint="eastAsia" w:ascii="宋体" w:hAnsi="宋体" w:eastAsia="宋体"/>
                <w:szCs w:val="21"/>
                <w:highlight w:val="none"/>
                <w:lang w:val="zh-CN"/>
              </w:rPr>
            </w:pPr>
            <w:r>
              <w:rPr>
                <w:rFonts w:hint="eastAsia"/>
                <w:szCs w:val="21"/>
                <w:highlight w:val="none"/>
                <w:lang w:bidi="ar"/>
              </w:rPr>
              <w:t>进度计划及保证措施</w:t>
            </w:r>
            <w:r>
              <w:rPr>
                <w:rFonts w:hint="eastAsia" w:ascii="宋体" w:hAnsi="宋体" w:eastAsia="宋体"/>
                <w:szCs w:val="21"/>
                <w:highlight w:val="none"/>
                <w:lang w:val="zh-CN"/>
              </w:rPr>
              <w:t>（</w:t>
            </w:r>
            <w:r>
              <w:rPr>
                <w:rFonts w:hint="eastAsia" w:ascii="宋体" w:hAnsi="宋体" w:eastAsia="宋体"/>
                <w:szCs w:val="21"/>
                <w:highlight w:val="none"/>
              </w:rPr>
              <w:t>5</w:t>
            </w:r>
            <w:r>
              <w:rPr>
                <w:rFonts w:hint="eastAsia" w:ascii="宋体" w:hAnsi="宋体" w:eastAsia="宋体"/>
                <w:szCs w:val="21"/>
                <w:highlight w:val="none"/>
                <w:lang w:val="zh-CN"/>
              </w:rPr>
              <w:t>分）</w:t>
            </w:r>
          </w:p>
        </w:tc>
        <w:tc>
          <w:tcPr>
            <w:tcW w:w="5367" w:type="dxa"/>
            <w:vAlign w:val="center"/>
          </w:tcPr>
          <w:p w14:paraId="400C9F45">
            <w:pPr>
              <w:pStyle w:val="52"/>
              <w:overflowPunct w:val="0"/>
              <w:snapToGrid w:val="0"/>
              <w:spacing w:line="360" w:lineRule="auto"/>
              <w:ind w:left="210" w:leftChars="100" w:right="210" w:rightChars="100"/>
              <w:rPr>
                <w:szCs w:val="21"/>
                <w:highlight w:val="none"/>
                <w:lang w:bidi="ar"/>
              </w:rPr>
            </w:pPr>
            <w:r>
              <w:rPr>
                <w:rFonts w:hint="eastAsia"/>
                <w:szCs w:val="21"/>
                <w:highlight w:val="none"/>
                <w:lang w:bidi="ar"/>
              </w:rPr>
              <w:t>勘察设计工期进度计划合理可行，进度保证措施具有针对性</w:t>
            </w:r>
            <w:r>
              <w:rPr>
                <w:rFonts w:hint="eastAsia"/>
                <w:szCs w:val="21"/>
                <w:highlight w:val="none"/>
                <w:lang w:val="zh-CN" w:bidi="ar"/>
              </w:rPr>
              <w:t>。</w:t>
            </w:r>
            <w:r>
              <w:rPr>
                <w:rFonts w:hint="eastAsia"/>
                <w:szCs w:val="21"/>
                <w:highlight w:val="none"/>
                <w:lang w:val="zh-CN"/>
              </w:rPr>
              <w:t>（优得</w:t>
            </w:r>
            <w:r>
              <w:rPr>
                <w:rFonts w:hint="eastAsia"/>
                <w:szCs w:val="21"/>
                <w:highlight w:val="none"/>
              </w:rPr>
              <w:t>5分；良</w:t>
            </w:r>
            <w:r>
              <w:rPr>
                <w:rFonts w:hint="eastAsia"/>
                <w:szCs w:val="21"/>
                <w:highlight w:val="none"/>
                <w:lang w:val="zh-CN"/>
              </w:rPr>
              <w:t>得</w:t>
            </w:r>
            <w:r>
              <w:rPr>
                <w:rFonts w:hint="eastAsia"/>
                <w:szCs w:val="21"/>
                <w:highlight w:val="none"/>
              </w:rPr>
              <w:t>3.5</w:t>
            </w:r>
            <w:r>
              <w:rPr>
                <w:rFonts w:hint="eastAsia"/>
                <w:szCs w:val="21"/>
                <w:highlight w:val="none"/>
                <w:lang w:val="zh-CN"/>
              </w:rPr>
              <w:t>分</w:t>
            </w:r>
            <w:r>
              <w:rPr>
                <w:rFonts w:hint="eastAsia"/>
                <w:szCs w:val="21"/>
                <w:highlight w:val="none"/>
              </w:rPr>
              <w:t>；一般</w:t>
            </w:r>
            <w:r>
              <w:rPr>
                <w:rFonts w:hint="eastAsia"/>
                <w:szCs w:val="21"/>
                <w:highlight w:val="none"/>
                <w:lang w:val="zh-CN"/>
              </w:rPr>
              <w:t>得</w:t>
            </w:r>
            <w:r>
              <w:rPr>
                <w:rFonts w:hint="eastAsia"/>
                <w:szCs w:val="21"/>
                <w:highlight w:val="none"/>
              </w:rPr>
              <w:t>2</w:t>
            </w:r>
            <w:r>
              <w:rPr>
                <w:rFonts w:hint="eastAsia"/>
                <w:szCs w:val="21"/>
                <w:highlight w:val="none"/>
                <w:lang w:val="zh-CN"/>
              </w:rPr>
              <w:t>分；差</w:t>
            </w:r>
            <w:r>
              <w:rPr>
                <w:rFonts w:hint="eastAsia"/>
                <w:szCs w:val="21"/>
                <w:highlight w:val="none"/>
              </w:rPr>
              <w:t>得0.5分；无得0分）</w:t>
            </w:r>
          </w:p>
        </w:tc>
      </w:tr>
      <w:tr w14:paraId="1D09E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04" w:type="dxa"/>
            <w:vMerge w:val="continue"/>
          </w:tcPr>
          <w:p w14:paraId="51AA6F3D">
            <w:pPr>
              <w:rPr>
                <w:color w:val="auto"/>
                <w:highlight w:val="none"/>
              </w:rPr>
            </w:pPr>
          </w:p>
        </w:tc>
        <w:tc>
          <w:tcPr>
            <w:tcW w:w="1124" w:type="dxa"/>
            <w:vMerge w:val="continue"/>
          </w:tcPr>
          <w:p w14:paraId="50BC24B6">
            <w:pPr>
              <w:rPr>
                <w:color w:val="auto"/>
                <w:highlight w:val="none"/>
              </w:rPr>
            </w:pPr>
          </w:p>
        </w:tc>
        <w:tc>
          <w:tcPr>
            <w:tcW w:w="2035" w:type="dxa"/>
            <w:vAlign w:val="center"/>
          </w:tcPr>
          <w:p w14:paraId="3CAA8D38">
            <w:pPr>
              <w:pStyle w:val="52"/>
              <w:overflowPunct w:val="0"/>
              <w:snapToGrid w:val="0"/>
              <w:spacing w:line="360" w:lineRule="auto"/>
              <w:ind w:left="210" w:leftChars="100" w:right="210" w:rightChars="100"/>
              <w:jc w:val="center"/>
              <w:rPr>
                <w:rFonts w:hint="eastAsia" w:ascii="宋体" w:hAnsi="宋体" w:eastAsia="宋体"/>
                <w:szCs w:val="21"/>
                <w:highlight w:val="none"/>
                <w:lang w:val="zh-CN"/>
              </w:rPr>
            </w:pPr>
            <w:r>
              <w:rPr>
                <w:rFonts w:hint="eastAsia"/>
                <w:szCs w:val="21"/>
                <w:highlight w:val="none"/>
                <w:lang w:bidi="ar"/>
              </w:rPr>
              <w:t>质量控制措施</w:t>
            </w:r>
            <w:r>
              <w:rPr>
                <w:rFonts w:hint="eastAsia" w:ascii="宋体" w:hAnsi="宋体" w:eastAsia="宋体"/>
                <w:szCs w:val="21"/>
                <w:highlight w:val="none"/>
                <w:lang w:val="zh-CN"/>
              </w:rPr>
              <w:t>（</w:t>
            </w:r>
            <w:r>
              <w:rPr>
                <w:rFonts w:hint="eastAsia" w:ascii="宋体" w:hAnsi="宋体" w:eastAsia="宋体"/>
                <w:szCs w:val="21"/>
                <w:highlight w:val="none"/>
              </w:rPr>
              <w:t>5</w:t>
            </w:r>
            <w:r>
              <w:rPr>
                <w:rFonts w:hint="eastAsia" w:ascii="宋体" w:hAnsi="宋体" w:eastAsia="宋体"/>
                <w:szCs w:val="21"/>
                <w:highlight w:val="none"/>
                <w:lang w:val="zh-CN"/>
              </w:rPr>
              <w:t>分）</w:t>
            </w:r>
          </w:p>
        </w:tc>
        <w:tc>
          <w:tcPr>
            <w:tcW w:w="5367" w:type="dxa"/>
            <w:vAlign w:val="center"/>
          </w:tcPr>
          <w:p w14:paraId="48FF3A87">
            <w:pPr>
              <w:pStyle w:val="52"/>
              <w:overflowPunct w:val="0"/>
              <w:snapToGrid w:val="0"/>
              <w:spacing w:line="360" w:lineRule="auto"/>
              <w:ind w:left="210" w:leftChars="100" w:right="210" w:rightChars="100"/>
              <w:rPr>
                <w:szCs w:val="21"/>
                <w:highlight w:val="none"/>
                <w:lang w:bidi="ar"/>
              </w:rPr>
            </w:pPr>
            <w:r>
              <w:rPr>
                <w:szCs w:val="21"/>
                <w:highlight w:val="none"/>
              </w:rPr>
              <w:t>投标人对项目编制质量控制</w:t>
            </w:r>
            <w:r>
              <w:rPr>
                <w:rFonts w:hint="eastAsia"/>
                <w:szCs w:val="21"/>
                <w:highlight w:val="none"/>
              </w:rPr>
              <w:t>措施</w:t>
            </w:r>
            <w:r>
              <w:rPr>
                <w:szCs w:val="21"/>
                <w:highlight w:val="none"/>
              </w:rPr>
              <w:t>，</w:t>
            </w:r>
            <w:r>
              <w:rPr>
                <w:rFonts w:hint="eastAsia"/>
                <w:szCs w:val="21"/>
                <w:highlight w:val="none"/>
              </w:rPr>
              <w:t>保证措施具体、合理可行</w:t>
            </w:r>
            <w:r>
              <w:rPr>
                <w:rFonts w:hint="eastAsia"/>
                <w:highlight w:val="none"/>
              </w:rPr>
              <w:t>。</w:t>
            </w:r>
            <w:r>
              <w:rPr>
                <w:rFonts w:hint="eastAsia"/>
                <w:szCs w:val="21"/>
                <w:highlight w:val="none"/>
                <w:lang w:val="zh-CN"/>
              </w:rPr>
              <w:t>（优得</w:t>
            </w:r>
            <w:r>
              <w:rPr>
                <w:rFonts w:hint="eastAsia"/>
                <w:szCs w:val="21"/>
                <w:highlight w:val="none"/>
              </w:rPr>
              <w:t>5分；良</w:t>
            </w:r>
            <w:r>
              <w:rPr>
                <w:rFonts w:hint="eastAsia"/>
                <w:szCs w:val="21"/>
                <w:highlight w:val="none"/>
                <w:lang w:val="zh-CN"/>
              </w:rPr>
              <w:t>得</w:t>
            </w:r>
            <w:r>
              <w:rPr>
                <w:rFonts w:hint="eastAsia"/>
                <w:szCs w:val="21"/>
                <w:highlight w:val="none"/>
              </w:rPr>
              <w:t>3.5</w:t>
            </w:r>
            <w:r>
              <w:rPr>
                <w:rFonts w:hint="eastAsia"/>
                <w:szCs w:val="21"/>
                <w:highlight w:val="none"/>
                <w:lang w:val="zh-CN"/>
              </w:rPr>
              <w:t>分</w:t>
            </w:r>
            <w:r>
              <w:rPr>
                <w:rFonts w:hint="eastAsia"/>
                <w:szCs w:val="21"/>
                <w:highlight w:val="none"/>
              </w:rPr>
              <w:t>；一般</w:t>
            </w:r>
            <w:r>
              <w:rPr>
                <w:rFonts w:hint="eastAsia"/>
                <w:szCs w:val="21"/>
                <w:highlight w:val="none"/>
                <w:lang w:val="zh-CN"/>
              </w:rPr>
              <w:t>得</w:t>
            </w:r>
            <w:r>
              <w:rPr>
                <w:rFonts w:hint="eastAsia"/>
                <w:szCs w:val="21"/>
                <w:highlight w:val="none"/>
              </w:rPr>
              <w:t>2</w:t>
            </w:r>
            <w:r>
              <w:rPr>
                <w:rFonts w:hint="eastAsia"/>
                <w:szCs w:val="21"/>
                <w:highlight w:val="none"/>
                <w:lang w:val="zh-CN"/>
              </w:rPr>
              <w:t>分；差</w:t>
            </w:r>
            <w:r>
              <w:rPr>
                <w:rFonts w:hint="eastAsia"/>
                <w:szCs w:val="21"/>
                <w:highlight w:val="none"/>
              </w:rPr>
              <w:t>得0.5分；无得0分）</w:t>
            </w:r>
          </w:p>
        </w:tc>
      </w:tr>
      <w:tr w14:paraId="0F2A1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04" w:type="dxa"/>
            <w:vMerge w:val="continue"/>
          </w:tcPr>
          <w:p w14:paraId="544FB620">
            <w:pPr>
              <w:rPr>
                <w:color w:val="auto"/>
                <w:highlight w:val="none"/>
              </w:rPr>
            </w:pPr>
          </w:p>
        </w:tc>
        <w:tc>
          <w:tcPr>
            <w:tcW w:w="1124" w:type="dxa"/>
            <w:vMerge w:val="continue"/>
          </w:tcPr>
          <w:p w14:paraId="593769A4">
            <w:pPr>
              <w:rPr>
                <w:color w:val="auto"/>
                <w:highlight w:val="none"/>
              </w:rPr>
            </w:pPr>
          </w:p>
        </w:tc>
        <w:tc>
          <w:tcPr>
            <w:tcW w:w="2035" w:type="dxa"/>
            <w:vAlign w:val="center"/>
          </w:tcPr>
          <w:p w14:paraId="3956DF94">
            <w:pPr>
              <w:pStyle w:val="52"/>
              <w:overflowPunct w:val="0"/>
              <w:snapToGrid w:val="0"/>
              <w:spacing w:line="360" w:lineRule="auto"/>
              <w:ind w:left="210" w:leftChars="100" w:right="210" w:rightChars="100"/>
              <w:jc w:val="center"/>
              <w:rPr>
                <w:rFonts w:hint="eastAsia" w:ascii="宋体" w:hAnsi="宋体" w:eastAsia="宋体"/>
                <w:szCs w:val="21"/>
                <w:highlight w:val="none"/>
                <w:lang w:val="zh-CN"/>
              </w:rPr>
            </w:pPr>
            <w:r>
              <w:rPr>
                <w:rFonts w:hint="eastAsia"/>
                <w:szCs w:val="21"/>
                <w:highlight w:val="none"/>
                <w:lang w:val="zh-CN" w:bidi="ar"/>
              </w:rPr>
              <w:t>投资控制（</w:t>
            </w:r>
            <w:r>
              <w:rPr>
                <w:rFonts w:hint="eastAsia"/>
                <w:szCs w:val="21"/>
                <w:highlight w:val="none"/>
                <w:lang w:bidi="ar"/>
              </w:rPr>
              <w:t>5分</w:t>
            </w:r>
            <w:r>
              <w:rPr>
                <w:rFonts w:hint="eastAsia"/>
                <w:szCs w:val="21"/>
                <w:highlight w:val="none"/>
                <w:lang w:val="zh-CN" w:bidi="ar"/>
              </w:rPr>
              <w:t>）</w:t>
            </w:r>
          </w:p>
        </w:tc>
        <w:tc>
          <w:tcPr>
            <w:tcW w:w="5367" w:type="dxa"/>
            <w:vAlign w:val="center"/>
          </w:tcPr>
          <w:p w14:paraId="221B277D">
            <w:pPr>
              <w:pStyle w:val="52"/>
              <w:overflowPunct w:val="0"/>
              <w:snapToGrid w:val="0"/>
              <w:spacing w:line="360" w:lineRule="auto"/>
              <w:ind w:right="210" w:rightChars="100"/>
              <w:rPr>
                <w:szCs w:val="21"/>
                <w:highlight w:val="none"/>
                <w:lang w:bidi="ar"/>
              </w:rPr>
            </w:pPr>
            <w:r>
              <w:rPr>
                <w:rFonts w:hint="eastAsia"/>
                <w:highlight w:val="none"/>
              </w:rPr>
              <w:t>工程总投资编制依据正确，工程总投资合理，节约工程总投资的措施及建议合理、可信、可行。（优得</w:t>
            </w:r>
            <w:r>
              <w:rPr>
                <w:highlight w:val="none"/>
              </w:rPr>
              <w:t>5</w:t>
            </w:r>
            <w:r>
              <w:rPr>
                <w:rFonts w:hint="eastAsia"/>
                <w:highlight w:val="none"/>
              </w:rPr>
              <w:t>分；良得</w:t>
            </w:r>
            <w:r>
              <w:rPr>
                <w:highlight w:val="none"/>
              </w:rPr>
              <w:t>3.5</w:t>
            </w:r>
            <w:r>
              <w:rPr>
                <w:rFonts w:hint="eastAsia"/>
                <w:highlight w:val="none"/>
              </w:rPr>
              <w:t>分；一般得</w:t>
            </w:r>
            <w:r>
              <w:rPr>
                <w:highlight w:val="none"/>
              </w:rPr>
              <w:t>2</w:t>
            </w:r>
            <w:r>
              <w:rPr>
                <w:rFonts w:hint="eastAsia"/>
                <w:highlight w:val="none"/>
              </w:rPr>
              <w:t>分；差得</w:t>
            </w:r>
            <w:r>
              <w:rPr>
                <w:highlight w:val="none"/>
              </w:rPr>
              <w:t>0.5</w:t>
            </w:r>
            <w:r>
              <w:rPr>
                <w:rFonts w:hint="eastAsia"/>
                <w:highlight w:val="none"/>
              </w:rPr>
              <w:t>分；无得</w:t>
            </w:r>
            <w:r>
              <w:rPr>
                <w:highlight w:val="none"/>
              </w:rPr>
              <w:t>0</w:t>
            </w:r>
            <w:r>
              <w:rPr>
                <w:rFonts w:hint="eastAsia"/>
                <w:highlight w:val="none"/>
              </w:rPr>
              <w:t>分）</w:t>
            </w:r>
          </w:p>
        </w:tc>
      </w:tr>
      <w:tr w14:paraId="2822B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04" w:type="dxa"/>
            <w:vMerge w:val="continue"/>
          </w:tcPr>
          <w:p w14:paraId="30F9DA45">
            <w:pPr>
              <w:rPr>
                <w:color w:val="auto"/>
                <w:highlight w:val="none"/>
              </w:rPr>
            </w:pPr>
          </w:p>
        </w:tc>
        <w:tc>
          <w:tcPr>
            <w:tcW w:w="1124" w:type="dxa"/>
            <w:vMerge w:val="continue"/>
          </w:tcPr>
          <w:p w14:paraId="3F579633">
            <w:pPr>
              <w:rPr>
                <w:color w:val="auto"/>
                <w:highlight w:val="none"/>
              </w:rPr>
            </w:pPr>
          </w:p>
        </w:tc>
        <w:tc>
          <w:tcPr>
            <w:tcW w:w="2035" w:type="dxa"/>
            <w:vAlign w:val="center"/>
          </w:tcPr>
          <w:p w14:paraId="01DC68B6">
            <w:pPr>
              <w:pStyle w:val="52"/>
              <w:overflowPunct w:val="0"/>
              <w:snapToGrid w:val="0"/>
              <w:spacing w:line="360" w:lineRule="auto"/>
              <w:ind w:left="210" w:leftChars="100" w:right="210" w:rightChars="100"/>
              <w:jc w:val="center"/>
              <w:rPr>
                <w:rFonts w:hint="eastAsia" w:ascii="宋体" w:hAnsi="宋体" w:eastAsia="宋体"/>
                <w:szCs w:val="21"/>
                <w:highlight w:val="none"/>
                <w:lang w:val="zh-CN"/>
              </w:rPr>
            </w:pPr>
            <w:r>
              <w:rPr>
                <w:rFonts w:hint="eastAsia"/>
                <w:szCs w:val="21"/>
                <w:highlight w:val="none"/>
                <w:lang w:bidi="ar"/>
              </w:rPr>
              <w:t>附图</w:t>
            </w:r>
            <w:r>
              <w:rPr>
                <w:rFonts w:hint="eastAsia" w:ascii="宋体" w:hAnsi="宋体" w:eastAsia="宋体"/>
                <w:szCs w:val="21"/>
                <w:highlight w:val="none"/>
                <w:lang w:val="zh-CN"/>
              </w:rPr>
              <w:t>（</w:t>
            </w:r>
            <w:r>
              <w:rPr>
                <w:rFonts w:hint="eastAsia" w:ascii="宋体" w:hAnsi="宋体" w:eastAsia="宋体"/>
                <w:szCs w:val="21"/>
                <w:highlight w:val="none"/>
              </w:rPr>
              <w:t>10</w:t>
            </w:r>
            <w:r>
              <w:rPr>
                <w:rFonts w:hint="eastAsia" w:ascii="宋体" w:hAnsi="宋体" w:eastAsia="宋体"/>
                <w:szCs w:val="21"/>
                <w:highlight w:val="none"/>
                <w:lang w:val="zh-CN"/>
              </w:rPr>
              <w:t>分）</w:t>
            </w:r>
          </w:p>
        </w:tc>
        <w:tc>
          <w:tcPr>
            <w:tcW w:w="5367" w:type="dxa"/>
            <w:vAlign w:val="center"/>
          </w:tcPr>
          <w:p w14:paraId="764C6FC9">
            <w:pPr>
              <w:pStyle w:val="52"/>
              <w:overflowPunct w:val="0"/>
              <w:snapToGrid w:val="0"/>
              <w:spacing w:line="360" w:lineRule="auto"/>
              <w:ind w:left="210" w:leftChars="100" w:right="210" w:rightChars="100"/>
              <w:rPr>
                <w:highlight w:val="none"/>
                <w:lang w:val="zh-CN"/>
              </w:rPr>
            </w:pPr>
            <w:r>
              <w:rPr>
                <w:rFonts w:hint="eastAsia"/>
                <w:highlight w:val="none"/>
              </w:rPr>
              <w:t>图纸设计内容反映全面，布置结合实际，设计合理，数据准确，图面清晰</w:t>
            </w:r>
            <w:r>
              <w:rPr>
                <w:rFonts w:hint="eastAsia"/>
                <w:highlight w:val="none"/>
                <w:lang w:val="zh-CN"/>
              </w:rPr>
              <w:t>。</w:t>
            </w:r>
            <w:r>
              <w:rPr>
                <w:rFonts w:hint="eastAsia"/>
                <w:highlight w:val="none"/>
              </w:rPr>
              <w:t>（优得</w:t>
            </w:r>
            <w:r>
              <w:rPr>
                <w:rFonts w:hint="eastAsia"/>
                <w:highlight w:val="none"/>
                <w:lang w:val="en-US" w:eastAsia="zh-CN"/>
              </w:rPr>
              <w:t>10</w:t>
            </w:r>
            <w:r>
              <w:rPr>
                <w:rFonts w:hint="eastAsia"/>
                <w:highlight w:val="none"/>
              </w:rPr>
              <w:t>分；良得</w:t>
            </w:r>
            <w:r>
              <w:rPr>
                <w:rFonts w:hint="eastAsia"/>
                <w:highlight w:val="none"/>
                <w:lang w:val="en-US" w:eastAsia="zh-CN"/>
              </w:rPr>
              <w:t>7</w:t>
            </w:r>
            <w:r>
              <w:rPr>
                <w:rFonts w:hint="eastAsia"/>
                <w:highlight w:val="none"/>
              </w:rPr>
              <w:t>分；一般得</w:t>
            </w:r>
            <w:r>
              <w:rPr>
                <w:rFonts w:hint="eastAsia"/>
                <w:highlight w:val="none"/>
                <w:lang w:val="en-US" w:eastAsia="zh-CN"/>
              </w:rPr>
              <w:t>4</w:t>
            </w:r>
            <w:r>
              <w:rPr>
                <w:rFonts w:hint="eastAsia"/>
                <w:highlight w:val="none"/>
              </w:rPr>
              <w:t>分；差得</w:t>
            </w:r>
            <w:r>
              <w:rPr>
                <w:rFonts w:hint="eastAsia"/>
                <w:highlight w:val="none"/>
                <w:lang w:val="en-US" w:eastAsia="zh-CN"/>
              </w:rPr>
              <w:t>1</w:t>
            </w:r>
            <w:r>
              <w:rPr>
                <w:rFonts w:hint="eastAsia"/>
                <w:highlight w:val="none"/>
              </w:rPr>
              <w:t>分；无得</w:t>
            </w:r>
            <w:r>
              <w:rPr>
                <w:highlight w:val="none"/>
              </w:rPr>
              <w:t>0</w:t>
            </w:r>
            <w:r>
              <w:rPr>
                <w:rFonts w:hint="eastAsia"/>
                <w:highlight w:val="none"/>
              </w:rPr>
              <w:t>分）</w:t>
            </w:r>
          </w:p>
        </w:tc>
      </w:tr>
      <w:tr w14:paraId="522C0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904" w:type="dxa"/>
            <w:vMerge w:val="restart"/>
            <w:vAlign w:val="center"/>
          </w:tcPr>
          <w:p w14:paraId="5628C46A">
            <w:pPr>
              <w:spacing w:before="60" w:line="401" w:lineRule="exact"/>
              <w:ind w:left="244"/>
              <w:jc w:val="center"/>
              <w:rPr>
                <w:rFonts w:ascii="Times New Roman" w:hAnsi="Times New Roman" w:eastAsia="Times New Roman"/>
                <w:color w:val="auto"/>
                <w:spacing w:val="-1"/>
                <w:position w:val="18"/>
                <w:highlight w:val="none"/>
              </w:rPr>
            </w:pPr>
            <w:r>
              <w:rPr>
                <w:rFonts w:ascii="Times New Roman" w:hAnsi="Times New Roman" w:eastAsia="Times New Roman"/>
                <w:color w:val="auto"/>
                <w:spacing w:val="-1"/>
                <w:position w:val="18"/>
                <w:highlight w:val="none"/>
              </w:rPr>
              <w:t>2.2.4</w:t>
            </w:r>
          </w:p>
          <w:p w14:paraId="7140D55F">
            <w:pPr>
              <w:spacing w:before="60" w:line="401" w:lineRule="exact"/>
              <w:ind w:left="244"/>
              <w:jc w:val="center"/>
              <w:rPr>
                <w:rFonts w:ascii="Times New Roman" w:hAnsi="Times New Roman" w:eastAsia="Times New Roman"/>
                <w:color w:val="auto"/>
                <w:spacing w:val="-1"/>
                <w:position w:val="18"/>
                <w:highlight w:val="none"/>
              </w:rPr>
            </w:pPr>
            <w:r>
              <w:rPr>
                <w:rFonts w:ascii="Times New Roman" w:hAnsi="Times New Roman" w:eastAsia="Times New Roman"/>
                <w:color w:val="auto"/>
                <w:spacing w:val="-1"/>
                <w:position w:val="18"/>
                <w:highlight w:val="none"/>
              </w:rPr>
              <w:t>(3)</w:t>
            </w:r>
          </w:p>
        </w:tc>
        <w:tc>
          <w:tcPr>
            <w:tcW w:w="1124" w:type="dxa"/>
            <w:vMerge w:val="restart"/>
            <w:vAlign w:val="center"/>
          </w:tcPr>
          <w:p w14:paraId="2FD30D50">
            <w:pPr>
              <w:jc w:val="center"/>
              <w:rPr>
                <w:color w:val="auto"/>
                <w:highlight w:val="none"/>
              </w:rPr>
            </w:pPr>
            <w:r>
              <w:rPr>
                <w:rFonts w:hint="eastAsia" w:ascii="宋体" w:hAnsi="宋体" w:eastAsia="宋体" w:cs="宋体"/>
                <w:color w:val="auto"/>
                <w:highlight w:val="none"/>
              </w:rPr>
              <w:t>投标报价</w:t>
            </w:r>
          </w:p>
          <w:p w14:paraId="0589CAC3">
            <w:pPr>
              <w:jc w:val="center"/>
              <w:rPr>
                <w:rFonts w:hint="eastAsia" w:ascii="宋体" w:hAnsi="宋体" w:eastAsia="宋体" w:cs="宋体"/>
                <w:color w:val="auto"/>
                <w:highlight w:val="none"/>
              </w:rPr>
            </w:pPr>
            <w:r>
              <w:rPr>
                <w:rFonts w:hint="eastAsia"/>
                <w:color w:val="auto"/>
                <w:highlight w:val="none"/>
              </w:rPr>
              <w:t>评分标</w:t>
            </w:r>
            <w:r>
              <w:rPr>
                <w:rFonts w:hint="eastAsia" w:ascii="宋体" w:hAnsi="宋体" w:eastAsia="宋体" w:cs="宋体"/>
                <w:color w:val="auto"/>
                <w:highlight w:val="none"/>
              </w:rPr>
              <w:t>准</w:t>
            </w:r>
          </w:p>
          <w:p w14:paraId="54F600D2">
            <w:pPr>
              <w:pStyle w:val="9"/>
              <w:rPr>
                <w:rFonts w:eastAsiaTheme="minorEastAsia"/>
                <w:highlight w:val="none"/>
              </w:rPr>
            </w:pPr>
            <w:r>
              <w:rPr>
                <w:rFonts w:hint="eastAsia" w:eastAsiaTheme="minorEastAsia"/>
                <w:highlight w:val="none"/>
              </w:rPr>
              <w:t>（</w:t>
            </w:r>
            <w:r>
              <w:rPr>
                <w:rFonts w:eastAsiaTheme="minorEastAsia"/>
                <w:highlight w:val="none"/>
              </w:rPr>
              <w:t xml:space="preserve"> 10 </w:t>
            </w:r>
            <w:r>
              <w:rPr>
                <w:rFonts w:hint="eastAsia" w:eastAsiaTheme="minorEastAsia"/>
                <w:highlight w:val="none"/>
              </w:rPr>
              <w:t>分）</w:t>
            </w:r>
          </w:p>
        </w:tc>
        <w:tc>
          <w:tcPr>
            <w:tcW w:w="2035" w:type="dxa"/>
            <w:vAlign w:val="center"/>
          </w:tcPr>
          <w:p w14:paraId="4411A260">
            <w:pPr>
              <w:pStyle w:val="52"/>
              <w:overflowPunct w:val="0"/>
              <w:snapToGrid w:val="0"/>
              <w:spacing w:line="360" w:lineRule="auto"/>
              <w:ind w:left="210" w:leftChars="100" w:right="210" w:rightChars="100"/>
              <w:jc w:val="center"/>
              <w:rPr>
                <w:rFonts w:hint="eastAsia" w:ascii="宋体" w:hAnsi="宋体" w:eastAsia="宋体"/>
                <w:szCs w:val="21"/>
                <w:highlight w:val="none"/>
                <w:lang w:val="zh-CN"/>
              </w:rPr>
            </w:pPr>
            <w:r>
              <w:rPr>
                <w:rFonts w:hint="eastAsia" w:ascii="宋体" w:hAnsi="宋体" w:eastAsia="宋体"/>
                <w:szCs w:val="21"/>
                <w:highlight w:val="none"/>
                <w:lang w:val="zh-CN"/>
              </w:rPr>
              <w:t>偏差率</w:t>
            </w:r>
          </w:p>
        </w:tc>
        <w:tc>
          <w:tcPr>
            <w:tcW w:w="5367" w:type="dxa"/>
            <w:vAlign w:val="center"/>
          </w:tcPr>
          <w:p w14:paraId="257BD0AD">
            <w:pPr>
              <w:pStyle w:val="52"/>
              <w:overflowPunct w:val="0"/>
              <w:snapToGrid w:val="0"/>
              <w:spacing w:line="360" w:lineRule="auto"/>
              <w:ind w:left="210" w:leftChars="100" w:right="210" w:rightChars="100"/>
              <w:rPr>
                <w:rFonts w:hint="eastAsia" w:ascii="宋体" w:hAnsi="宋体" w:eastAsia="宋体"/>
                <w:szCs w:val="21"/>
                <w:highlight w:val="none"/>
                <w:lang w:val="zh-CN"/>
              </w:rPr>
            </w:pPr>
            <w:r>
              <w:rPr>
                <w:rFonts w:hint="eastAsia" w:ascii="宋体" w:hAnsi="宋体" w:eastAsia="宋体"/>
                <w:szCs w:val="21"/>
                <w:highlight w:val="none"/>
                <w:lang w:val="zh-CN"/>
              </w:rPr>
              <w:t>投标报价偏差率</w:t>
            </w:r>
            <w:r>
              <w:rPr>
                <w:rFonts w:ascii="宋体" w:hAnsi="宋体" w:eastAsia="宋体"/>
                <w:szCs w:val="21"/>
                <w:highlight w:val="none"/>
                <w:lang w:val="zh-CN"/>
              </w:rPr>
              <w:t>=</w:t>
            </w:r>
            <w:r>
              <w:rPr>
                <w:rFonts w:hint="eastAsia" w:ascii="宋体" w:hAnsi="宋体" w:eastAsia="宋体"/>
                <w:szCs w:val="21"/>
                <w:highlight w:val="none"/>
                <w:lang w:val="zh-CN"/>
              </w:rPr>
              <w:t>（投标报价</w:t>
            </w:r>
            <w:r>
              <w:rPr>
                <w:rFonts w:ascii="宋体" w:hAnsi="宋体" w:eastAsia="宋体"/>
                <w:szCs w:val="21"/>
                <w:highlight w:val="none"/>
                <w:lang w:val="zh-CN"/>
              </w:rPr>
              <w:t>-</w:t>
            </w:r>
            <w:r>
              <w:rPr>
                <w:rFonts w:hint="eastAsia" w:ascii="宋体" w:hAnsi="宋体" w:eastAsia="宋体"/>
                <w:szCs w:val="21"/>
                <w:highlight w:val="none"/>
                <w:lang w:val="zh-CN"/>
              </w:rPr>
              <w:t>评标基准价）</w:t>
            </w:r>
            <w:r>
              <w:rPr>
                <w:rFonts w:ascii="宋体" w:hAnsi="宋体" w:eastAsia="宋体"/>
                <w:szCs w:val="21"/>
                <w:highlight w:val="none"/>
                <w:lang w:val="zh-CN"/>
              </w:rPr>
              <w:t>/</w:t>
            </w:r>
            <w:r>
              <w:rPr>
                <w:rFonts w:hint="eastAsia" w:ascii="宋体" w:hAnsi="宋体" w:eastAsia="宋体"/>
                <w:szCs w:val="21"/>
                <w:highlight w:val="none"/>
                <w:lang w:val="zh-CN"/>
              </w:rPr>
              <w:t>评标基准价×</w:t>
            </w:r>
            <w:r>
              <w:rPr>
                <w:rFonts w:ascii="宋体" w:hAnsi="宋体" w:eastAsia="宋体"/>
                <w:szCs w:val="21"/>
                <w:highlight w:val="none"/>
                <w:lang w:val="zh-CN"/>
              </w:rPr>
              <w:t>100%</w:t>
            </w:r>
            <w:r>
              <w:rPr>
                <w:rFonts w:hint="eastAsia" w:ascii="宋体" w:hAnsi="宋体" w:eastAsia="宋体"/>
                <w:szCs w:val="21"/>
                <w:highlight w:val="none"/>
                <w:lang w:val="zh-CN"/>
              </w:rPr>
              <w:t>。</w:t>
            </w:r>
          </w:p>
        </w:tc>
      </w:tr>
      <w:tr w14:paraId="6E827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2" w:hRule="atLeast"/>
        </w:trPr>
        <w:tc>
          <w:tcPr>
            <w:tcW w:w="904" w:type="dxa"/>
            <w:vMerge w:val="continue"/>
          </w:tcPr>
          <w:p w14:paraId="2378D406">
            <w:pPr>
              <w:spacing w:before="60" w:line="401" w:lineRule="exact"/>
              <w:ind w:left="244"/>
              <w:jc w:val="center"/>
              <w:rPr>
                <w:rFonts w:ascii="Times New Roman" w:hAnsi="Times New Roman" w:eastAsia="Times New Roman"/>
                <w:color w:val="auto"/>
                <w:spacing w:val="-1"/>
                <w:position w:val="18"/>
                <w:highlight w:val="none"/>
              </w:rPr>
            </w:pPr>
          </w:p>
        </w:tc>
        <w:tc>
          <w:tcPr>
            <w:tcW w:w="1124" w:type="dxa"/>
            <w:vMerge w:val="continue"/>
          </w:tcPr>
          <w:p w14:paraId="313BF5CE">
            <w:pPr>
              <w:rPr>
                <w:color w:val="auto"/>
                <w:highlight w:val="none"/>
              </w:rPr>
            </w:pPr>
          </w:p>
        </w:tc>
        <w:tc>
          <w:tcPr>
            <w:tcW w:w="2035" w:type="dxa"/>
            <w:vAlign w:val="center"/>
          </w:tcPr>
          <w:p w14:paraId="3A372E49">
            <w:pPr>
              <w:pStyle w:val="52"/>
              <w:overflowPunct w:val="0"/>
              <w:snapToGrid w:val="0"/>
              <w:spacing w:line="360" w:lineRule="auto"/>
              <w:ind w:left="210" w:leftChars="100" w:right="210" w:rightChars="100"/>
              <w:jc w:val="center"/>
              <w:rPr>
                <w:rFonts w:hint="eastAsia" w:ascii="宋体" w:hAnsi="宋体" w:eastAsia="宋体"/>
                <w:szCs w:val="21"/>
                <w:highlight w:val="none"/>
                <w:lang w:val="zh-CN"/>
              </w:rPr>
            </w:pPr>
          </w:p>
          <w:p w14:paraId="76E0BBE7">
            <w:pPr>
              <w:pStyle w:val="52"/>
              <w:overflowPunct w:val="0"/>
              <w:snapToGrid w:val="0"/>
              <w:spacing w:line="360" w:lineRule="auto"/>
              <w:ind w:left="210" w:leftChars="100" w:right="210" w:rightChars="100"/>
              <w:jc w:val="center"/>
              <w:rPr>
                <w:rFonts w:hint="eastAsia" w:ascii="宋体" w:hAnsi="宋体" w:eastAsia="宋体"/>
                <w:szCs w:val="21"/>
                <w:highlight w:val="none"/>
                <w:lang w:val="zh-CN"/>
              </w:rPr>
            </w:pPr>
            <w:r>
              <w:rPr>
                <w:rFonts w:hint="eastAsia" w:ascii="宋体" w:hAnsi="宋体" w:eastAsia="宋体"/>
                <w:szCs w:val="21"/>
                <w:highlight w:val="none"/>
                <w:lang w:val="zh-CN"/>
              </w:rPr>
              <w:t>投标报价评审</w:t>
            </w:r>
          </w:p>
          <w:p w14:paraId="6B7440E0">
            <w:pPr>
              <w:pStyle w:val="52"/>
              <w:overflowPunct w:val="0"/>
              <w:snapToGrid w:val="0"/>
              <w:spacing w:line="360" w:lineRule="auto"/>
              <w:ind w:left="210" w:leftChars="100" w:right="210" w:rightChars="100"/>
              <w:jc w:val="center"/>
              <w:rPr>
                <w:rFonts w:hint="eastAsia" w:ascii="宋体" w:hAnsi="宋体" w:eastAsia="宋体"/>
                <w:szCs w:val="21"/>
                <w:highlight w:val="none"/>
                <w:lang w:val="zh-CN"/>
              </w:rPr>
            </w:pPr>
            <w:r>
              <w:rPr>
                <w:rFonts w:hint="eastAsia" w:ascii="宋体" w:hAnsi="宋体" w:eastAsia="宋体"/>
                <w:szCs w:val="21"/>
                <w:highlight w:val="none"/>
                <w:lang w:val="zh-CN"/>
              </w:rPr>
              <w:t>（ 10 分）</w:t>
            </w:r>
          </w:p>
        </w:tc>
        <w:tc>
          <w:tcPr>
            <w:tcW w:w="5367" w:type="dxa"/>
            <w:vAlign w:val="center"/>
          </w:tcPr>
          <w:p w14:paraId="5C2BE6D7">
            <w:pPr>
              <w:pStyle w:val="52"/>
              <w:overflowPunct w:val="0"/>
              <w:snapToGrid w:val="0"/>
              <w:spacing w:line="360" w:lineRule="auto"/>
              <w:ind w:left="210" w:leftChars="100" w:right="210" w:rightChars="100"/>
              <w:rPr>
                <w:rFonts w:hint="eastAsia" w:ascii="宋体" w:hAnsi="宋体" w:eastAsia="宋体"/>
                <w:szCs w:val="21"/>
                <w:highlight w:val="none"/>
                <w:lang w:val="zh-CN"/>
              </w:rPr>
            </w:pPr>
            <w:r>
              <w:rPr>
                <w:rFonts w:ascii="宋体" w:hAnsi="宋体" w:eastAsia="宋体"/>
                <w:szCs w:val="21"/>
                <w:highlight w:val="none"/>
                <w:lang w:val="zh-CN"/>
              </w:rPr>
              <w:t>投标人的投标报价等于评标基准价的得10分，投标报价比评标基准价每高1%扣</w:t>
            </w:r>
            <w:r>
              <w:rPr>
                <w:rFonts w:hint="eastAsia" w:ascii="宋体" w:hAnsi="宋体" w:eastAsia="宋体"/>
                <w:szCs w:val="21"/>
                <w:highlight w:val="none"/>
                <w:lang w:val="zh-CN"/>
              </w:rPr>
              <w:t>0.</w:t>
            </w:r>
            <w:r>
              <w:rPr>
                <w:rFonts w:hint="eastAsia" w:ascii="宋体" w:hAnsi="宋体" w:eastAsia="宋体"/>
                <w:szCs w:val="21"/>
                <w:highlight w:val="none"/>
              </w:rPr>
              <w:t>4</w:t>
            </w:r>
            <w:r>
              <w:rPr>
                <w:rFonts w:ascii="宋体" w:hAnsi="宋体" w:eastAsia="宋体"/>
                <w:szCs w:val="21"/>
                <w:highlight w:val="none"/>
                <w:lang w:val="zh-CN"/>
              </w:rPr>
              <w:t xml:space="preserve">分；每低1%扣 </w:t>
            </w:r>
            <w:r>
              <w:rPr>
                <w:rFonts w:hint="eastAsia" w:ascii="宋体" w:hAnsi="宋体" w:eastAsia="宋体"/>
                <w:szCs w:val="21"/>
                <w:highlight w:val="none"/>
                <w:lang w:val="zh-CN"/>
              </w:rPr>
              <w:t>0.</w:t>
            </w:r>
            <w:r>
              <w:rPr>
                <w:rFonts w:ascii="宋体" w:hAnsi="宋体" w:eastAsia="宋体"/>
                <w:szCs w:val="21"/>
                <w:highlight w:val="none"/>
                <w:lang w:val="zh-CN"/>
              </w:rPr>
              <w:t>1 分，扣至0分为止。</w:t>
            </w:r>
          </w:p>
        </w:tc>
      </w:tr>
      <w:tr w14:paraId="43301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04" w:type="dxa"/>
            <w:vAlign w:val="center"/>
          </w:tcPr>
          <w:p w14:paraId="3939A737">
            <w:pPr>
              <w:spacing w:before="60" w:line="401" w:lineRule="exact"/>
              <w:ind w:left="244"/>
              <w:jc w:val="center"/>
              <w:rPr>
                <w:rFonts w:ascii="Times New Roman" w:hAnsi="Times New Roman" w:eastAsia="Times New Roman"/>
                <w:color w:val="auto"/>
                <w:spacing w:val="-1"/>
                <w:position w:val="18"/>
                <w:highlight w:val="none"/>
              </w:rPr>
            </w:pPr>
            <w:r>
              <w:rPr>
                <w:rFonts w:ascii="Times New Roman" w:hAnsi="Times New Roman" w:eastAsia="Times New Roman"/>
                <w:color w:val="auto"/>
                <w:spacing w:val="-1"/>
                <w:position w:val="18"/>
                <w:highlight w:val="none"/>
              </w:rPr>
              <w:t>2.2.4</w:t>
            </w:r>
          </w:p>
          <w:p w14:paraId="4113127B">
            <w:pPr>
              <w:spacing w:before="60" w:line="401" w:lineRule="exact"/>
              <w:ind w:left="244"/>
              <w:jc w:val="center"/>
              <w:rPr>
                <w:rFonts w:ascii="Times New Roman" w:hAnsi="Times New Roman" w:eastAsia="Times New Roman"/>
                <w:color w:val="auto"/>
                <w:spacing w:val="-1"/>
                <w:position w:val="18"/>
                <w:highlight w:val="none"/>
              </w:rPr>
            </w:pPr>
            <w:r>
              <w:rPr>
                <w:rFonts w:ascii="Times New Roman" w:hAnsi="Times New Roman" w:eastAsia="Times New Roman"/>
                <w:color w:val="auto"/>
                <w:spacing w:val="-1"/>
                <w:position w:val="18"/>
                <w:highlight w:val="none"/>
              </w:rPr>
              <w:t>(4)</w:t>
            </w:r>
          </w:p>
        </w:tc>
        <w:tc>
          <w:tcPr>
            <w:tcW w:w="1124" w:type="dxa"/>
            <w:vAlign w:val="center"/>
          </w:tcPr>
          <w:p w14:paraId="657E32F9">
            <w:pPr>
              <w:jc w:val="center"/>
              <w:rPr>
                <w:rFonts w:hint="eastAsia" w:ascii="宋体" w:hAnsi="宋体" w:eastAsia="宋体" w:cs="宋体"/>
                <w:color w:val="auto"/>
                <w:highlight w:val="none"/>
              </w:rPr>
            </w:pPr>
            <w:r>
              <w:rPr>
                <w:rFonts w:ascii="宋体" w:hAnsi="宋体" w:eastAsia="宋体" w:cs="宋体"/>
                <w:color w:val="auto"/>
                <w:highlight w:val="none"/>
              </w:rPr>
              <w:t>其他因素</w:t>
            </w:r>
          </w:p>
          <w:p w14:paraId="6E929E0A">
            <w:pPr>
              <w:jc w:val="center"/>
              <w:rPr>
                <w:color w:val="auto"/>
                <w:highlight w:val="none"/>
              </w:rPr>
            </w:pPr>
            <w:r>
              <w:rPr>
                <w:rFonts w:ascii="宋体" w:hAnsi="宋体" w:eastAsia="宋体" w:cs="宋体"/>
                <w:color w:val="auto"/>
                <w:highlight w:val="none"/>
              </w:rPr>
              <w:t>评分标准</w:t>
            </w:r>
          </w:p>
        </w:tc>
        <w:tc>
          <w:tcPr>
            <w:tcW w:w="2035" w:type="dxa"/>
            <w:vAlign w:val="center"/>
          </w:tcPr>
          <w:p w14:paraId="5C84FD77">
            <w:pPr>
              <w:spacing w:line="360" w:lineRule="auto"/>
              <w:jc w:val="center"/>
              <w:rPr>
                <w:rFonts w:eastAsia="宋体"/>
                <w:color w:val="auto"/>
                <w:highlight w:val="none"/>
              </w:rPr>
            </w:pPr>
            <w:r>
              <w:rPr>
                <w:rFonts w:hint="eastAsia" w:eastAsia="宋体"/>
                <w:color w:val="auto"/>
                <w:highlight w:val="none"/>
              </w:rPr>
              <w:t>/</w:t>
            </w:r>
          </w:p>
        </w:tc>
        <w:tc>
          <w:tcPr>
            <w:tcW w:w="5367" w:type="dxa"/>
            <w:vAlign w:val="center"/>
          </w:tcPr>
          <w:p w14:paraId="4A678975">
            <w:pPr>
              <w:spacing w:line="360" w:lineRule="auto"/>
              <w:jc w:val="center"/>
              <w:rPr>
                <w:rFonts w:eastAsia="宋体"/>
                <w:color w:val="auto"/>
                <w:highlight w:val="none"/>
              </w:rPr>
            </w:pPr>
            <w:r>
              <w:rPr>
                <w:rFonts w:hint="eastAsia" w:eastAsia="宋体"/>
                <w:color w:val="auto"/>
                <w:highlight w:val="none"/>
              </w:rPr>
              <w:t>/</w:t>
            </w:r>
          </w:p>
        </w:tc>
      </w:tr>
    </w:tbl>
    <w:p w14:paraId="47DEB595">
      <w:pPr>
        <w:rPr>
          <w:vanish/>
          <w:color w:val="auto"/>
          <w:highlight w:val="none"/>
        </w:rPr>
      </w:pPr>
    </w:p>
    <w:p w14:paraId="27C419BC">
      <w:pPr>
        <w:rPr>
          <w:vanish/>
          <w:color w:val="auto"/>
          <w:highlight w:val="none"/>
        </w:rPr>
      </w:pPr>
    </w:p>
    <w:p w14:paraId="48CD1850">
      <w:pPr>
        <w:pStyle w:val="54"/>
        <w:ind w:firstLine="0" w:firstLineChars="0"/>
        <w:rPr>
          <w:color w:val="auto"/>
          <w:highlight w:val="none"/>
        </w:rPr>
        <w:sectPr>
          <w:footerReference r:id="rId12" w:type="default"/>
          <w:pgSz w:w="12240" w:h="15840"/>
          <w:pgMar w:top="1346" w:right="1360" w:bottom="1104" w:left="1689" w:header="0" w:footer="940" w:gutter="0"/>
          <w:cols w:space="720" w:num="1"/>
        </w:sectPr>
      </w:pPr>
    </w:p>
    <w:p w14:paraId="435FA350">
      <w:pPr>
        <w:pStyle w:val="54"/>
        <w:ind w:firstLine="0" w:firstLineChars="0"/>
        <w:rPr>
          <w:color w:val="auto"/>
          <w:highlight w:val="none"/>
        </w:rPr>
      </w:pPr>
    </w:p>
    <w:p w14:paraId="75028302">
      <w:pPr>
        <w:spacing w:line="360" w:lineRule="auto"/>
        <w:ind w:firstLine="560" w:firstLineChars="200"/>
        <w:jc w:val="center"/>
        <w:rPr>
          <w:rFonts w:hint="eastAsia" w:ascii="黑体" w:hAnsi="黑体" w:eastAsia="黑体"/>
          <w:color w:val="auto"/>
          <w:sz w:val="28"/>
          <w:szCs w:val="27"/>
          <w:highlight w:val="none"/>
        </w:rPr>
      </w:pPr>
      <w:r>
        <w:rPr>
          <w:rFonts w:hint="eastAsia" w:ascii="黑体" w:hAnsi="黑体" w:eastAsia="黑体"/>
          <w:color w:val="auto"/>
          <w:sz w:val="28"/>
          <w:szCs w:val="27"/>
          <w:highlight w:val="none"/>
        </w:rPr>
        <w:t>评标办法修改表</w:t>
      </w:r>
    </w:p>
    <w:p w14:paraId="16AC9924">
      <w:pPr>
        <w:pStyle w:val="46"/>
        <w:spacing w:after="0" w:line="360" w:lineRule="auto"/>
        <w:rPr>
          <w:rFonts w:hint="eastAsia" w:ascii="宋体" w:hAnsi="宋体" w:eastAsia="宋体"/>
          <w:color w:val="auto"/>
          <w:sz w:val="24"/>
          <w:szCs w:val="24"/>
          <w:highlight w:val="none"/>
        </w:rPr>
      </w:pPr>
      <w:r>
        <w:rPr>
          <w:rFonts w:hint="eastAsia" w:ascii="宋体" w:hAnsi="宋体" w:eastAsia="宋体"/>
          <w:color w:val="auto"/>
          <w:sz w:val="24"/>
          <w:highlight w:val="none"/>
        </w:rPr>
        <w:t>声明：本评标办法使用</w:t>
      </w:r>
      <w:r>
        <w:rPr>
          <w:rFonts w:hint="eastAsia" w:ascii="仿宋_GB2312" w:hAnsi="宋体" w:eastAsia="仿宋_GB2312"/>
          <w:color w:val="auto"/>
          <w:sz w:val="24"/>
          <w:szCs w:val="24"/>
          <w:highlight w:val="none"/>
        </w:rPr>
        <w:t>SWZB2024-11</w:t>
      </w:r>
      <w:r>
        <w:rPr>
          <w:rFonts w:hint="eastAsia" w:ascii="宋体" w:hAnsi="宋体" w:eastAsia="宋体"/>
          <w:color w:val="auto"/>
          <w:sz w:val="24"/>
          <w:szCs w:val="24"/>
          <w:highlight w:val="none"/>
        </w:rPr>
        <w:t>招标文件范本的评标办法条款，与该条款不同之处，均在本表中列明，并以现文为准，原文不再有效。</w:t>
      </w:r>
    </w:p>
    <w:p w14:paraId="5CD240B9">
      <w:pPr>
        <w:spacing w:line="480" w:lineRule="auto"/>
        <w:ind w:firstLine="540" w:firstLineChars="224"/>
        <w:rPr>
          <w:rFonts w:hint="eastAsia" w:ascii="宋体" w:hAnsi="宋体" w:eastAsia="宋体"/>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评标办法</w:t>
      </w:r>
      <w:r>
        <w:rPr>
          <w:rFonts w:ascii="宋体" w:hAnsi="宋体" w:eastAsia="宋体"/>
          <w:color w:val="auto"/>
          <w:sz w:val="24"/>
          <w:szCs w:val="24"/>
          <w:highlight w:val="none"/>
        </w:rPr>
        <w:t>(</w:t>
      </w:r>
      <w:r>
        <w:rPr>
          <w:rFonts w:hint="eastAsia" w:ascii="宋体" w:hAnsi="宋体" w:eastAsia="宋体"/>
          <w:color w:val="auto"/>
          <w:sz w:val="24"/>
          <w:szCs w:val="24"/>
          <w:highlight w:val="none"/>
        </w:rPr>
        <w:t>综合评估法</w:t>
      </w:r>
      <w:r>
        <w:rPr>
          <w:rFonts w:ascii="宋体" w:hAnsi="宋体" w:eastAsia="宋体"/>
          <w:color w:val="auto"/>
          <w:sz w:val="24"/>
          <w:szCs w:val="24"/>
          <w:highlight w:val="none"/>
        </w:rPr>
        <w:t>)</w:t>
      </w:r>
      <w:r>
        <w:rPr>
          <w:rFonts w:hint="eastAsia" w:ascii="宋体" w:hAnsi="宋体" w:eastAsia="宋体"/>
          <w:color w:val="auto"/>
          <w:sz w:val="24"/>
          <w:szCs w:val="24"/>
          <w:highlight w:val="none"/>
        </w:rPr>
        <w:t>（非暗标形式）</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修改类型：删除</w:t>
      </w:r>
    </w:p>
    <w:p w14:paraId="527E83BA">
      <w:pPr>
        <w:spacing w:line="480" w:lineRule="auto"/>
        <w:ind w:firstLine="538" w:firstLineChars="224"/>
        <w:rPr>
          <w:rFonts w:ascii="宋体" w:hAnsi="宋体"/>
          <w:b/>
          <w:bCs/>
          <w:color w:val="auto"/>
          <w:sz w:val="24"/>
          <w:highlight w:val="none"/>
        </w:rPr>
      </w:pPr>
      <w:r>
        <w:rPr>
          <w:rFonts w:hint="eastAsia" w:ascii="宋体" w:hAnsi="宋体"/>
          <w:b/>
          <w:bCs/>
          <w:color w:val="auto"/>
          <w:sz w:val="24"/>
          <w:highlight w:val="none"/>
        </w:rPr>
        <w:t>条款号</w:t>
      </w:r>
      <w:r>
        <w:rPr>
          <w:rFonts w:hint="eastAsia" w:ascii="宋体" w:hAnsi="宋体"/>
          <w:color w:val="auto"/>
          <w:sz w:val="24"/>
          <w:highlight w:val="none"/>
        </w:rPr>
        <w:t>：</w:t>
      </w:r>
      <w:r>
        <w:rPr>
          <w:rFonts w:hint="eastAsia" w:ascii="宋体" w:hAnsi="宋体" w:eastAsia="宋体"/>
          <w:color w:val="auto"/>
          <w:sz w:val="24"/>
          <w:highlight w:val="none"/>
        </w:rPr>
        <w:t>3.2.1</w:t>
      </w:r>
      <w:r>
        <w:rPr>
          <w:rFonts w:hint="eastAsia" w:ascii="宋体" w:hAnsi="宋体"/>
          <w:color w:val="auto"/>
          <w:sz w:val="24"/>
          <w:highlight w:val="none"/>
        </w:rPr>
        <w:t xml:space="preserve">             </w:t>
      </w:r>
      <w:r>
        <w:rPr>
          <w:rFonts w:hint="eastAsia" w:ascii="宋体" w:hAnsi="宋体"/>
          <w:b/>
          <w:bCs/>
          <w:color w:val="auto"/>
          <w:sz w:val="24"/>
          <w:highlight w:val="none"/>
        </w:rPr>
        <w:t>修改类型：修改</w:t>
      </w:r>
    </w:p>
    <w:p w14:paraId="0590B996">
      <w:pPr>
        <w:tabs>
          <w:tab w:val="left" w:pos="532"/>
        </w:tabs>
        <w:spacing w:before="69" w:line="352" w:lineRule="auto"/>
        <w:ind w:left="428" w:hanging="5"/>
        <w:rPr>
          <w:rFonts w:ascii="宋体" w:hAnsi="宋体"/>
          <w:b/>
          <w:bCs/>
          <w:color w:val="auto"/>
          <w:sz w:val="24"/>
          <w:highlight w:val="none"/>
        </w:rPr>
      </w:pPr>
      <w:r>
        <w:rPr>
          <w:rFonts w:hint="eastAsia" w:ascii="宋体" w:hAnsi="宋体"/>
          <w:b/>
          <w:bCs/>
          <w:color w:val="auto"/>
          <w:sz w:val="24"/>
          <w:highlight w:val="none"/>
        </w:rPr>
        <w:t>原文</w:t>
      </w:r>
      <w:r>
        <w:rPr>
          <w:rFonts w:hint="eastAsia" w:ascii="宋体" w:hAnsi="宋体"/>
          <w:color w:val="auto"/>
          <w:sz w:val="24"/>
          <w:highlight w:val="none"/>
        </w:rPr>
        <w:t>：</w:t>
      </w:r>
      <w:r>
        <w:rPr>
          <w:rFonts w:ascii="宋体" w:hAnsi="宋体" w:eastAsia="宋体"/>
          <w:color w:val="auto"/>
          <w:spacing w:val="4"/>
          <w:highlight w:val="none"/>
        </w:rPr>
        <w:t>(</w:t>
      </w:r>
      <w:r>
        <w:rPr>
          <w:rFonts w:ascii="Times New Roman" w:hAnsi="Times New Roman" w:eastAsia="Times New Roman"/>
          <w:color w:val="auto"/>
          <w:spacing w:val="4"/>
          <w:highlight w:val="none"/>
        </w:rPr>
        <w:t>1</w:t>
      </w:r>
      <w:r>
        <w:rPr>
          <w:rFonts w:ascii="宋体" w:hAnsi="宋体" w:eastAsia="宋体"/>
          <w:color w:val="auto"/>
          <w:spacing w:val="3"/>
          <w:highlight w:val="none"/>
        </w:rPr>
        <w:t>)</w:t>
      </w:r>
      <w:r>
        <w:rPr>
          <w:rFonts w:ascii="宋体" w:hAnsi="宋体" w:eastAsia="宋体"/>
          <w:color w:val="auto"/>
          <w:spacing w:val="2"/>
          <w:highlight w:val="none"/>
        </w:rPr>
        <w:t xml:space="preserve">按本章第 </w:t>
      </w:r>
      <w:r>
        <w:rPr>
          <w:rFonts w:ascii="Times New Roman" w:hAnsi="Times New Roman" w:eastAsia="Times New Roman"/>
          <w:color w:val="auto"/>
          <w:spacing w:val="2"/>
          <w:highlight w:val="none"/>
        </w:rPr>
        <w:t xml:space="preserve">2.2.4  </w:t>
      </w:r>
      <w:r>
        <w:rPr>
          <w:rFonts w:ascii="宋体" w:hAnsi="宋体" w:eastAsia="宋体"/>
          <w:color w:val="auto"/>
          <w:spacing w:val="2"/>
          <w:highlight w:val="none"/>
        </w:rPr>
        <w:t>(</w:t>
      </w:r>
      <w:r>
        <w:rPr>
          <w:rFonts w:ascii="Times New Roman" w:hAnsi="Times New Roman" w:eastAsia="Times New Roman"/>
          <w:color w:val="auto"/>
          <w:spacing w:val="2"/>
          <w:highlight w:val="none"/>
        </w:rPr>
        <w:t>1</w:t>
      </w:r>
      <w:r>
        <w:rPr>
          <w:rFonts w:ascii="宋体" w:hAnsi="宋体" w:eastAsia="宋体"/>
          <w:color w:val="auto"/>
          <w:spacing w:val="2"/>
          <w:highlight w:val="none"/>
        </w:rPr>
        <w:t>)目规定的评审因素和分值对资信业绩部分计算出得分</w:t>
      </w:r>
      <w:r>
        <w:rPr>
          <w:rFonts w:ascii="Times New Roman" w:hAnsi="Times New Roman" w:eastAsia="Times New Roman"/>
          <w:color w:val="auto"/>
          <w:highlight w:val="none"/>
        </w:rPr>
        <w:t>A</w:t>
      </w:r>
      <w:r>
        <w:rPr>
          <w:rFonts w:hint="eastAsia" w:ascii="Times New Roman" w:hAnsi="Times New Roman" w:eastAsia="宋体"/>
          <w:color w:val="auto"/>
          <w:highlight w:val="none"/>
        </w:rPr>
        <w:t>，</w:t>
      </w:r>
      <w:r>
        <w:rPr>
          <w:color w:val="auto"/>
          <w:highlight w:val="none"/>
          <w:u w:val="single"/>
        </w:rPr>
        <w:t>资信业绩部分评审得分A为各评标专家打分的算术平均值</w:t>
      </w:r>
      <w:r>
        <w:rPr>
          <w:rFonts w:ascii="宋体" w:hAnsi="宋体" w:eastAsia="宋体"/>
          <w:color w:val="auto"/>
          <w:spacing w:val="2"/>
          <w:highlight w:val="none"/>
        </w:rPr>
        <w:t>；</w:t>
      </w:r>
    </w:p>
    <w:p w14:paraId="3CC8C518">
      <w:pPr>
        <w:tabs>
          <w:tab w:val="left" w:pos="532"/>
        </w:tabs>
        <w:spacing w:before="69" w:line="352" w:lineRule="auto"/>
        <w:ind w:left="428" w:hanging="5"/>
        <w:rPr>
          <w:rFonts w:hint="eastAsia" w:ascii="宋体" w:hAnsi="宋体" w:eastAsia="宋体"/>
          <w:color w:val="auto"/>
          <w:spacing w:val="2"/>
          <w:highlight w:val="none"/>
        </w:rPr>
      </w:pPr>
      <w:r>
        <w:rPr>
          <w:rFonts w:ascii="宋体" w:hAnsi="宋体" w:eastAsia="宋体"/>
          <w:color w:val="auto"/>
          <w:spacing w:val="2"/>
          <w:highlight w:val="none"/>
        </w:rPr>
        <w:t>(</w:t>
      </w:r>
      <w:r>
        <w:rPr>
          <w:rFonts w:ascii="Times New Roman" w:hAnsi="Times New Roman" w:eastAsia="Times New Roman"/>
          <w:color w:val="auto"/>
          <w:spacing w:val="2"/>
          <w:highlight w:val="none"/>
        </w:rPr>
        <w:t>2</w:t>
      </w:r>
      <w:r>
        <w:rPr>
          <w:rFonts w:ascii="宋体" w:hAnsi="宋体" w:eastAsia="宋体"/>
          <w:color w:val="auto"/>
          <w:spacing w:val="2"/>
          <w:highlight w:val="none"/>
        </w:rPr>
        <w:t xml:space="preserve">)按本章第 </w:t>
      </w:r>
      <w:r>
        <w:rPr>
          <w:rFonts w:ascii="Times New Roman" w:hAnsi="Times New Roman" w:eastAsia="Times New Roman"/>
          <w:color w:val="auto"/>
          <w:spacing w:val="2"/>
          <w:highlight w:val="none"/>
        </w:rPr>
        <w:t xml:space="preserve">2.2.4  </w:t>
      </w:r>
      <w:r>
        <w:rPr>
          <w:rFonts w:ascii="宋体" w:hAnsi="宋体" w:eastAsia="宋体"/>
          <w:color w:val="auto"/>
          <w:spacing w:val="2"/>
          <w:highlight w:val="none"/>
        </w:rPr>
        <w:t>(</w:t>
      </w:r>
      <w:r>
        <w:rPr>
          <w:rFonts w:ascii="Times New Roman" w:hAnsi="Times New Roman" w:eastAsia="Times New Roman"/>
          <w:color w:val="auto"/>
          <w:spacing w:val="2"/>
          <w:highlight w:val="none"/>
        </w:rPr>
        <w:t>2</w:t>
      </w:r>
      <w:r>
        <w:rPr>
          <w:rFonts w:ascii="宋体" w:hAnsi="宋体" w:eastAsia="宋体"/>
          <w:color w:val="auto"/>
          <w:spacing w:val="2"/>
          <w:highlight w:val="none"/>
        </w:rPr>
        <w:t>)目规定</w:t>
      </w:r>
      <w:r>
        <w:rPr>
          <w:rFonts w:ascii="宋体" w:hAnsi="宋体" w:eastAsia="宋体"/>
          <w:color w:val="auto"/>
          <w:spacing w:val="1"/>
          <w:highlight w:val="none"/>
        </w:rPr>
        <w:t>的评审因素和分值对</w:t>
      </w:r>
      <w:r>
        <w:rPr>
          <w:rFonts w:hint="eastAsia" w:ascii="宋体" w:hAnsi="宋体" w:eastAsia="宋体"/>
          <w:color w:val="auto"/>
          <w:spacing w:val="1"/>
          <w:highlight w:val="none"/>
        </w:rPr>
        <w:t>勘察</w:t>
      </w:r>
      <w:r>
        <w:rPr>
          <w:rFonts w:ascii="宋体" w:hAnsi="宋体" w:eastAsia="宋体"/>
          <w:color w:val="auto"/>
          <w:spacing w:val="1"/>
          <w:highlight w:val="none"/>
        </w:rPr>
        <w:t>设计方案部分计算出得分</w:t>
      </w:r>
      <w:r>
        <w:rPr>
          <w:rFonts w:ascii="Times New Roman" w:hAnsi="Times New Roman" w:eastAsia="Times New Roman"/>
          <w:color w:val="auto"/>
          <w:highlight w:val="none"/>
        </w:rPr>
        <w:t>B</w:t>
      </w:r>
      <w:r>
        <w:rPr>
          <w:color w:val="auto"/>
          <w:highlight w:val="none"/>
        </w:rPr>
        <w:t>，</w:t>
      </w:r>
      <w:r>
        <w:rPr>
          <w:color w:val="auto"/>
          <w:highlight w:val="none"/>
          <w:u w:val="single"/>
        </w:rPr>
        <w:fldChar w:fldCharType="begin"/>
      </w:r>
      <w:r>
        <w:rPr>
          <w:color w:val="auto"/>
          <w:highlight w:val="none"/>
          <w:u w:val="single"/>
        </w:rPr>
        <w:instrText xml:space="preserve"> = 1 \* GB3 \* MERGEFORMAT </w:instrText>
      </w:r>
      <w:r>
        <w:rPr>
          <w:color w:val="auto"/>
          <w:highlight w:val="none"/>
          <w:u w:val="single"/>
        </w:rPr>
        <w:fldChar w:fldCharType="separate"/>
      </w:r>
      <w:r>
        <w:rPr>
          <w:color w:val="auto"/>
          <w:highlight w:val="none"/>
          <w:u w:val="single"/>
        </w:rPr>
        <w:t>①</w:t>
      </w:r>
      <w:r>
        <w:rPr>
          <w:color w:val="auto"/>
          <w:highlight w:val="none"/>
          <w:u w:val="single"/>
        </w:rPr>
        <w:fldChar w:fldCharType="end"/>
      </w:r>
      <w:r>
        <w:rPr>
          <w:rFonts w:hint="eastAsia"/>
          <w:color w:val="auto"/>
          <w:highlight w:val="none"/>
          <w:u w:val="single"/>
        </w:rPr>
        <w:t>勘察设计方案</w:t>
      </w:r>
      <w:r>
        <w:rPr>
          <w:color w:val="auto"/>
          <w:highlight w:val="none"/>
          <w:u w:val="single"/>
        </w:rPr>
        <w:t>部分评审得分</w:t>
      </w:r>
      <w:r>
        <w:rPr>
          <w:color w:val="auto"/>
          <w:highlight w:val="none"/>
        </w:rPr>
        <w:t>B</w:t>
      </w:r>
      <w:r>
        <w:rPr>
          <w:color w:val="auto"/>
          <w:highlight w:val="none"/>
          <w:u w:val="single"/>
        </w:rPr>
        <w:t>为从各评标专家打分中去掉一个最高分和去掉一个最低分后的剩余评标专家打分的算术平均值或</w:t>
      </w:r>
      <w:r>
        <w:rPr>
          <w:color w:val="auto"/>
          <w:highlight w:val="none"/>
          <w:u w:val="single"/>
        </w:rPr>
        <w:fldChar w:fldCharType="begin"/>
      </w:r>
      <w:r>
        <w:rPr>
          <w:color w:val="auto"/>
          <w:highlight w:val="none"/>
          <w:u w:val="single"/>
        </w:rPr>
        <w:instrText xml:space="preserve"> = 2 \* GB3 \* MERGEFORMAT </w:instrText>
      </w:r>
      <w:r>
        <w:rPr>
          <w:color w:val="auto"/>
          <w:highlight w:val="none"/>
          <w:u w:val="single"/>
        </w:rPr>
        <w:fldChar w:fldCharType="separate"/>
      </w:r>
      <w:r>
        <w:rPr>
          <w:color w:val="auto"/>
          <w:highlight w:val="none"/>
          <w:u w:val="single"/>
        </w:rPr>
        <w:t>②</w:t>
      </w:r>
      <w:r>
        <w:rPr>
          <w:color w:val="auto"/>
          <w:highlight w:val="none"/>
          <w:u w:val="single"/>
        </w:rPr>
        <w:fldChar w:fldCharType="end"/>
      </w:r>
      <w:r>
        <w:rPr>
          <w:rFonts w:hint="eastAsia"/>
          <w:color w:val="auto"/>
          <w:highlight w:val="none"/>
          <w:u w:val="single"/>
        </w:rPr>
        <w:t>勘察设计方案</w:t>
      </w:r>
      <w:r>
        <w:rPr>
          <w:color w:val="auto"/>
          <w:highlight w:val="none"/>
          <w:u w:val="single"/>
        </w:rPr>
        <w:t>部分评审得分</w:t>
      </w:r>
      <w:r>
        <w:rPr>
          <w:color w:val="auto"/>
          <w:highlight w:val="none"/>
        </w:rPr>
        <w:t>B</w:t>
      </w:r>
      <w:r>
        <w:rPr>
          <w:color w:val="auto"/>
          <w:highlight w:val="none"/>
          <w:u w:val="single"/>
        </w:rPr>
        <w:t>为各评标专家打分的算术平均值</w:t>
      </w:r>
      <w:r>
        <w:rPr>
          <w:i/>
          <w:iCs/>
          <w:color w:val="auto"/>
          <w:highlight w:val="none"/>
          <w:u w:val="single"/>
        </w:rPr>
        <w:t>（二选一，招标人自行选择）</w:t>
      </w:r>
      <w:r>
        <w:rPr>
          <w:rFonts w:ascii="Times New Roman" w:hAnsi="Times New Roman" w:eastAsia="Times New Roman"/>
          <w:color w:val="auto"/>
          <w:spacing w:val="1"/>
          <w:highlight w:val="none"/>
        </w:rPr>
        <w:t xml:space="preserve"> </w:t>
      </w:r>
      <w:r>
        <w:rPr>
          <w:rFonts w:ascii="宋体" w:hAnsi="宋体" w:eastAsia="宋体"/>
          <w:color w:val="auto"/>
          <w:spacing w:val="1"/>
          <w:highlight w:val="none"/>
        </w:rPr>
        <w:t>；</w:t>
      </w:r>
    </w:p>
    <w:p w14:paraId="136FFE3E">
      <w:pPr>
        <w:tabs>
          <w:tab w:val="left" w:pos="532"/>
        </w:tabs>
        <w:spacing w:before="69" w:line="352" w:lineRule="auto"/>
        <w:ind w:left="428" w:hanging="5"/>
        <w:rPr>
          <w:rFonts w:hint="eastAsia" w:ascii="宋体" w:hAnsi="宋体" w:eastAsia="宋体"/>
          <w:color w:val="auto"/>
          <w:spacing w:val="4"/>
          <w:highlight w:val="none"/>
        </w:rPr>
      </w:pPr>
      <w:r>
        <w:rPr>
          <w:rFonts w:ascii="宋体" w:hAnsi="宋体" w:eastAsia="宋体"/>
          <w:color w:val="auto"/>
          <w:spacing w:val="4"/>
          <w:highlight w:val="none"/>
        </w:rPr>
        <w:t>(</w:t>
      </w:r>
      <w:r>
        <w:rPr>
          <w:rFonts w:ascii="Times New Roman" w:hAnsi="Times New Roman" w:eastAsia="Times New Roman"/>
          <w:color w:val="auto"/>
          <w:spacing w:val="4"/>
          <w:highlight w:val="none"/>
        </w:rPr>
        <w:t>3</w:t>
      </w:r>
      <w:r>
        <w:rPr>
          <w:rFonts w:ascii="宋体" w:hAnsi="宋体" w:eastAsia="宋体"/>
          <w:color w:val="auto"/>
          <w:spacing w:val="4"/>
          <w:highlight w:val="none"/>
        </w:rPr>
        <w:t>)按</w:t>
      </w:r>
      <w:r>
        <w:rPr>
          <w:rFonts w:ascii="宋体" w:hAnsi="宋体" w:eastAsia="宋体"/>
          <w:color w:val="auto"/>
          <w:spacing w:val="3"/>
          <w:highlight w:val="none"/>
        </w:rPr>
        <w:t>本</w:t>
      </w:r>
      <w:r>
        <w:rPr>
          <w:rFonts w:ascii="宋体" w:hAnsi="宋体" w:eastAsia="宋体"/>
          <w:color w:val="auto"/>
          <w:spacing w:val="2"/>
          <w:highlight w:val="none"/>
        </w:rPr>
        <w:t xml:space="preserve">章第 </w:t>
      </w:r>
      <w:r>
        <w:rPr>
          <w:rFonts w:ascii="Times New Roman" w:hAnsi="Times New Roman" w:eastAsia="Times New Roman"/>
          <w:color w:val="auto"/>
          <w:spacing w:val="2"/>
          <w:highlight w:val="none"/>
        </w:rPr>
        <w:t xml:space="preserve">2.2.4  </w:t>
      </w:r>
      <w:r>
        <w:rPr>
          <w:rFonts w:ascii="宋体" w:hAnsi="宋体" w:eastAsia="宋体"/>
          <w:color w:val="auto"/>
          <w:spacing w:val="2"/>
          <w:highlight w:val="none"/>
        </w:rPr>
        <w:t>(</w:t>
      </w:r>
      <w:r>
        <w:rPr>
          <w:rFonts w:ascii="Times New Roman" w:hAnsi="Times New Roman" w:eastAsia="Times New Roman"/>
          <w:color w:val="auto"/>
          <w:spacing w:val="2"/>
          <w:highlight w:val="none"/>
        </w:rPr>
        <w:t>3</w:t>
      </w:r>
      <w:r>
        <w:rPr>
          <w:rFonts w:ascii="宋体" w:hAnsi="宋体" w:eastAsia="宋体"/>
          <w:color w:val="auto"/>
          <w:spacing w:val="2"/>
          <w:highlight w:val="none"/>
        </w:rPr>
        <w:t>)目规定的评审因素和分值对投标报价计算出得分</w:t>
      </w:r>
      <w:r>
        <w:rPr>
          <w:rFonts w:ascii="Times New Roman" w:hAnsi="Times New Roman" w:eastAsia="Times New Roman"/>
          <w:color w:val="auto"/>
          <w:highlight w:val="none"/>
        </w:rPr>
        <w:t>C</w:t>
      </w:r>
      <w:r>
        <w:rPr>
          <w:rFonts w:ascii="宋体" w:hAnsi="宋体" w:eastAsia="宋体"/>
          <w:color w:val="auto"/>
          <w:spacing w:val="2"/>
          <w:highlight w:val="none"/>
        </w:rPr>
        <w:t>；</w:t>
      </w:r>
      <w:r>
        <w:rPr>
          <w:rFonts w:ascii="宋体" w:hAnsi="宋体" w:eastAsia="宋体"/>
          <w:color w:val="auto"/>
          <w:highlight w:val="none"/>
        </w:rPr>
        <w:t xml:space="preserve">           </w:t>
      </w:r>
    </w:p>
    <w:p w14:paraId="49720FE1">
      <w:pPr>
        <w:tabs>
          <w:tab w:val="left" w:pos="532"/>
        </w:tabs>
        <w:spacing w:before="69" w:line="352" w:lineRule="auto"/>
        <w:ind w:left="428" w:hanging="5"/>
        <w:rPr>
          <w:rFonts w:hint="eastAsia" w:ascii="宋体" w:hAnsi="宋体" w:eastAsia="宋体"/>
          <w:color w:val="auto"/>
          <w:spacing w:val="8"/>
          <w:highlight w:val="none"/>
        </w:rPr>
      </w:pPr>
      <w:r>
        <w:rPr>
          <w:rFonts w:ascii="宋体" w:hAnsi="宋体" w:eastAsia="宋体"/>
          <w:color w:val="auto"/>
          <w:spacing w:val="8"/>
          <w:highlight w:val="none"/>
        </w:rPr>
        <w:t>(</w:t>
      </w:r>
      <w:r>
        <w:rPr>
          <w:rFonts w:ascii="Times New Roman" w:hAnsi="Times New Roman" w:eastAsia="Times New Roman"/>
          <w:color w:val="auto"/>
          <w:spacing w:val="8"/>
          <w:highlight w:val="none"/>
        </w:rPr>
        <w:t>4</w:t>
      </w:r>
      <w:r>
        <w:rPr>
          <w:rFonts w:ascii="宋体" w:hAnsi="宋体" w:eastAsia="宋体"/>
          <w:color w:val="auto"/>
          <w:spacing w:val="8"/>
          <w:highlight w:val="none"/>
        </w:rPr>
        <w:t>)按本章第</w:t>
      </w:r>
      <w:r>
        <w:rPr>
          <w:rFonts w:ascii="宋体" w:hAnsi="宋体" w:eastAsia="宋体"/>
          <w:color w:val="auto"/>
          <w:spacing w:val="7"/>
          <w:highlight w:val="none"/>
        </w:rPr>
        <w:t xml:space="preserve"> </w:t>
      </w:r>
      <w:r>
        <w:rPr>
          <w:rFonts w:ascii="Times New Roman" w:hAnsi="Times New Roman" w:eastAsia="Times New Roman"/>
          <w:color w:val="auto"/>
          <w:spacing w:val="4"/>
          <w:highlight w:val="none"/>
        </w:rPr>
        <w:t xml:space="preserve">2.2.4  </w:t>
      </w:r>
      <w:r>
        <w:rPr>
          <w:rFonts w:ascii="宋体" w:hAnsi="宋体" w:eastAsia="宋体"/>
          <w:color w:val="auto"/>
          <w:spacing w:val="4"/>
          <w:highlight w:val="none"/>
        </w:rPr>
        <w:t>(</w:t>
      </w:r>
      <w:r>
        <w:rPr>
          <w:rFonts w:ascii="Times New Roman" w:hAnsi="Times New Roman" w:eastAsia="Times New Roman"/>
          <w:color w:val="auto"/>
          <w:spacing w:val="4"/>
          <w:highlight w:val="none"/>
        </w:rPr>
        <w:t>4</w:t>
      </w:r>
      <w:r>
        <w:rPr>
          <w:rFonts w:ascii="宋体" w:hAnsi="宋体" w:eastAsia="宋体"/>
          <w:color w:val="auto"/>
          <w:spacing w:val="4"/>
          <w:highlight w:val="none"/>
        </w:rPr>
        <w:t>)目规定的评审因素和分值对其他部分计算出得分</w:t>
      </w:r>
      <w:r>
        <w:rPr>
          <w:rFonts w:ascii="Times New Roman" w:hAnsi="Times New Roman" w:eastAsia="Times New Roman"/>
          <w:color w:val="auto"/>
          <w:highlight w:val="none"/>
        </w:rPr>
        <w:t>D</w:t>
      </w:r>
      <w:r>
        <w:rPr>
          <w:rFonts w:ascii="宋体" w:hAnsi="宋体" w:eastAsia="宋体"/>
          <w:color w:val="auto"/>
          <w:spacing w:val="4"/>
          <w:highlight w:val="none"/>
        </w:rPr>
        <w:t>。</w:t>
      </w:r>
    </w:p>
    <w:p w14:paraId="4627BE86">
      <w:pPr>
        <w:spacing w:before="1" w:line="220" w:lineRule="auto"/>
        <w:ind w:left="423"/>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3.2.2  </w:t>
      </w:r>
      <w:r>
        <w:rPr>
          <w:rFonts w:ascii="宋体" w:hAnsi="宋体" w:eastAsia="宋体"/>
          <w:color w:val="auto"/>
          <w:spacing w:val="-1"/>
          <w:highlight w:val="none"/>
        </w:rPr>
        <w:t>评分</w:t>
      </w:r>
      <w:r>
        <w:rPr>
          <w:rFonts w:ascii="宋体" w:hAnsi="宋体" w:eastAsia="宋体"/>
          <w:color w:val="auto"/>
          <w:highlight w:val="none"/>
        </w:rPr>
        <w:t>分值计算保留小数点后两位，小数点后第三位</w:t>
      </w:r>
      <w:r>
        <w:rPr>
          <w:rFonts w:ascii="Times New Roman" w:hAnsi="Times New Roman" w:eastAsia="Times New Roman"/>
          <w:color w:val="auto"/>
          <w:highlight w:val="none"/>
        </w:rPr>
        <w:t>“</w:t>
      </w:r>
      <w:r>
        <w:rPr>
          <w:rFonts w:ascii="宋体" w:hAnsi="宋体" w:eastAsia="宋体"/>
          <w:color w:val="auto"/>
          <w:highlight w:val="none"/>
        </w:rPr>
        <w:t>四舍五入</w:t>
      </w:r>
      <w:r>
        <w:rPr>
          <w:rFonts w:ascii="Times New Roman" w:hAnsi="Times New Roman" w:eastAsia="Times New Roman"/>
          <w:color w:val="auto"/>
          <w:highlight w:val="none"/>
        </w:rPr>
        <w:t>”</w:t>
      </w:r>
      <w:r>
        <w:rPr>
          <w:rFonts w:ascii="宋体" w:hAnsi="宋体" w:eastAsia="宋体"/>
          <w:color w:val="auto"/>
          <w:highlight w:val="none"/>
        </w:rPr>
        <w:t>。</w:t>
      </w:r>
    </w:p>
    <w:p w14:paraId="61CF6C4F">
      <w:pPr>
        <w:spacing w:before="150" w:line="220" w:lineRule="auto"/>
        <w:ind w:left="423"/>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3.2.3  </w:t>
      </w:r>
      <w:r>
        <w:rPr>
          <w:rFonts w:ascii="宋体" w:hAnsi="宋体" w:eastAsia="宋体"/>
          <w:color w:val="auto"/>
          <w:spacing w:val="-1"/>
          <w:highlight w:val="none"/>
        </w:rPr>
        <w:t>投标</w:t>
      </w:r>
      <w:r>
        <w:rPr>
          <w:rFonts w:ascii="宋体" w:hAnsi="宋体" w:eastAsia="宋体"/>
          <w:color w:val="auto"/>
          <w:highlight w:val="none"/>
        </w:rPr>
        <w:t>人得分</w:t>
      </w:r>
      <w:r>
        <w:rPr>
          <w:rFonts w:ascii="Times New Roman" w:hAnsi="Times New Roman" w:eastAsia="Times New Roman"/>
          <w:color w:val="auto"/>
          <w:highlight w:val="none"/>
        </w:rPr>
        <w:t>=A+B+C+D</w:t>
      </w:r>
      <w:r>
        <w:rPr>
          <w:rFonts w:ascii="宋体" w:hAnsi="宋体" w:eastAsia="宋体"/>
          <w:color w:val="auto"/>
          <w:highlight w:val="none"/>
        </w:rPr>
        <w:t>。</w:t>
      </w:r>
    </w:p>
    <w:p w14:paraId="0C9DBFD2">
      <w:pPr>
        <w:tabs>
          <w:tab w:val="left" w:pos="532"/>
        </w:tabs>
        <w:spacing w:before="69" w:line="352" w:lineRule="auto"/>
        <w:ind w:left="428" w:hanging="5"/>
        <w:rPr>
          <w:rFonts w:ascii="宋体" w:hAnsi="宋体"/>
          <w:b/>
          <w:bCs/>
          <w:color w:val="auto"/>
          <w:sz w:val="24"/>
          <w:highlight w:val="none"/>
        </w:rPr>
      </w:pPr>
      <w:r>
        <w:rPr>
          <w:rFonts w:hint="eastAsia" w:ascii="宋体" w:hAnsi="宋体"/>
          <w:b/>
          <w:bCs/>
          <w:color w:val="auto"/>
          <w:sz w:val="24"/>
          <w:highlight w:val="none"/>
        </w:rPr>
        <w:t>现文</w:t>
      </w:r>
      <w:r>
        <w:rPr>
          <w:rFonts w:hint="eastAsia" w:ascii="宋体" w:hAnsi="宋体"/>
          <w:color w:val="auto"/>
          <w:sz w:val="24"/>
          <w:highlight w:val="none"/>
        </w:rPr>
        <w:t>：</w:t>
      </w:r>
      <w:r>
        <w:rPr>
          <w:rFonts w:ascii="宋体" w:hAnsi="宋体" w:eastAsia="宋体"/>
          <w:color w:val="auto"/>
          <w:spacing w:val="4"/>
          <w:highlight w:val="none"/>
        </w:rPr>
        <w:t>(</w:t>
      </w:r>
      <w:r>
        <w:rPr>
          <w:rFonts w:ascii="Times New Roman" w:hAnsi="Times New Roman" w:eastAsia="Times New Roman"/>
          <w:color w:val="auto"/>
          <w:spacing w:val="4"/>
          <w:highlight w:val="none"/>
        </w:rPr>
        <w:t>1</w:t>
      </w:r>
      <w:r>
        <w:rPr>
          <w:rFonts w:ascii="宋体" w:hAnsi="宋体" w:eastAsia="宋体"/>
          <w:color w:val="auto"/>
          <w:spacing w:val="3"/>
          <w:highlight w:val="none"/>
        </w:rPr>
        <w:t>)</w:t>
      </w:r>
      <w:r>
        <w:rPr>
          <w:rFonts w:ascii="宋体" w:hAnsi="宋体" w:eastAsia="宋体"/>
          <w:color w:val="auto"/>
          <w:spacing w:val="2"/>
          <w:highlight w:val="none"/>
        </w:rPr>
        <w:t xml:space="preserve">按本章第 </w:t>
      </w:r>
      <w:r>
        <w:rPr>
          <w:rFonts w:ascii="Times New Roman" w:hAnsi="Times New Roman" w:eastAsia="Times New Roman"/>
          <w:color w:val="auto"/>
          <w:spacing w:val="2"/>
          <w:highlight w:val="none"/>
        </w:rPr>
        <w:t xml:space="preserve">2.2.4  </w:t>
      </w:r>
      <w:r>
        <w:rPr>
          <w:rFonts w:ascii="宋体" w:hAnsi="宋体" w:eastAsia="宋体"/>
          <w:color w:val="auto"/>
          <w:spacing w:val="2"/>
          <w:highlight w:val="none"/>
        </w:rPr>
        <w:t>(</w:t>
      </w:r>
      <w:r>
        <w:rPr>
          <w:rFonts w:ascii="Times New Roman" w:hAnsi="Times New Roman" w:eastAsia="Times New Roman"/>
          <w:color w:val="auto"/>
          <w:spacing w:val="2"/>
          <w:highlight w:val="none"/>
        </w:rPr>
        <w:t>1</w:t>
      </w:r>
      <w:r>
        <w:rPr>
          <w:rFonts w:ascii="宋体" w:hAnsi="宋体" w:eastAsia="宋体"/>
          <w:color w:val="auto"/>
          <w:spacing w:val="2"/>
          <w:highlight w:val="none"/>
        </w:rPr>
        <w:t>)目规定的评审因素和分值对资信业绩部分计算出得分</w:t>
      </w:r>
      <w:r>
        <w:rPr>
          <w:rFonts w:ascii="Times New Roman" w:hAnsi="Times New Roman" w:eastAsia="Times New Roman"/>
          <w:color w:val="auto"/>
          <w:highlight w:val="none"/>
        </w:rPr>
        <w:t>A</w:t>
      </w:r>
      <w:r>
        <w:rPr>
          <w:rFonts w:hint="eastAsia" w:ascii="Times New Roman" w:hAnsi="Times New Roman" w:eastAsia="宋体"/>
          <w:color w:val="auto"/>
          <w:highlight w:val="none"/>
        </w:rPr>
        <w:t>，</w:t>
      </w:r>
      <w:r>
        <w:rPr>
          <w:color w:val="auto"/>
          <w:highlight w:val="none"/>
          <w:u w:val="single"/>
        </w:rPr>
        <w:t>资信业绩部分评审得分A为各评标专家打分的算术平均值</w:t>
      </w:r>
      <w:r>
        <w:rPr>
          <w:rFonts w:ascii="宋体" w:hAnsi="宋体" w:eastAsia="宋体"/>
          <w:color w:val="auto"/>
          <w:spacing w:val="2"/>
          <w:highlight w:val="none"/>
        </w:rPr>
        <w:t>；</w:t>
      </w:r>
    </w:p>
    <w:p w14:paraId="4CD13238">
      <w:pPr>
        <w:tabs>
          <w:tab w:val="left" w:pos="532"/>
        </w:tabs>
        <w:spacing w:before="69" w:line="352" w:lineRule="auto"/>
        <w:ind w:left="428" w:hanging="5"/>
        <w:rPr>
          <w:rFonts w:hint="eastAsia" w:ascii="宋体" w:hAnsi="宋体" w:eastAsia="宋体"/>
          <w:color w:val="auto"/>
          <w:spacing w:val="2"/>
          <w:highlight w:val="none"/>
        </w:rPr>
      </w:pPr>
      <w:r>
        <w:rPr>
          <w:rFonts w:ascii="宋体" w:hAnsi="宋体" w:eastAsia="宋体"/>
          <w:color w:val="auto"/>
          <w:spacing w:val="2"/>
          <w:highlight w:val="none"/>
        </w:rPr>
        <w:t>(</w:t>
      </w:r>
      <w:r>
        <w:rPr>
          <w:rFonts w:ascii="Times New Roman" w:hAnsi="Times New Roman" w:eastAsia="Times New Roman"/>
          <w:color w:val="auto"/>
          <w:spacing w:val="2"/>
          <w:highlight w:val="none"/>
        </w:rPr>
        <w:t>2</w:t>
      </w:r>
      <w:r>
        <w:rPr>
          <w:rFonts w:ascii="宋体" w:hAnsi="宋体" w:eastAsia="宋体"/>
          <w:color w:val="auto"/>
          <w:spacing w:val="2"/>
          <w:highlight w:val="none"/>
        </w:rPr>
        <w:t xml:space="preserve">)按本章第 </w:t>
      </w:r>
      <w:r>
        <w:rPr>
          <w:rFonts w:ascii="Times New Roman" w:hAnsi="Times New Roman" w:eastAsia="Times New Roman"/>
          <w:color w:val="auto"/>
          <w:spacing w:val="2"/>
          <w:highlight w:val="none"/>
        </w:rPr>
        <w:t xml:space="preserve">2.2.4  </w:t>
      </w:r>
      <w:r>
        <w:rPr>
          <w:rFonts w:ascii="宋体" w:hAnsi="宋体" w:eastAsia="宋体"/>
          <w:color w:val="auto"/>
          <w:spacing w:val="2"/>
          <w:highlight w:val="none"/>
        </w:rPr>
        <w:t>(</w:t>
      </w:r>
      <w:r>
        <w:rPr>
          <w:rFonts w:ascii="Times New Roman" w:hAnsi="Times New Roman" w:eastAsia="Times New Roman"/>
          <w:color w:val="auto"/>
          <w:spacing w:val="2"/>
          <w:highlight w:val="none"/>
        </w:rPr>
        <w:t>2</w:t>
      </w:r>
      <w:r>
        <w:rPr>
          <w:rFonts w:ascii="宋体" w:hAnsi="宋体" w:eastAsia="宋体"/>
          <w:color w:val="auto"/>
          <w:spacing w:val="2"/>
          <w:highlight w:val="none"/>
        </w:rPr>
        <w:t>)目规定</w:t>
      </w:r>
      <w:r>
        <w:rPr>
          <w:rFonts w:ascii="宋体" w:hAnsi="宋体" w:eastAsia="宋体"/>
          <w:color w:val="auto"/>
          <w:spacing w:val="1"/>
          <w:highlight w:val="none"/>
        </w:rPr>
        <w:t>的评审因素和分值对</w:t>
      </w:r>
      <w:r>
        <w:rPr>
          <w:rFonts w:hint="eastAsia" w:ascii="宋体" w:hAnsi="宋体" w:eastAsia="宋体"/>
          <w:color w:val="auto"/>
          <w:spacing w:val="1"/>
          <w:highlight w:val="none"/>
        </w:rPr>
        <w:t>勘察</w:t>
      </w:r>
      <w:r>
        <w:rPr>
          <w:rFonts w:ascii="宋体" w:hAnsi="宋体" w:eastAsia="宋体"/>
          <w:color w:val="auto"/>
          <w:spacing w:val="1"/>
          <w:highlight w:val="none"/>
        </w:rPr>
        <w:t>设计方案部分计算出得分</w:t>
      </w:r>
      <w:r>
        <w:rPr>
          <w:rFonts w:ascii="Times New Roman" w:hAnsi="Times New Roman" w:eastAsia="Times New Roman"/>
          <w:color w:val="auto"/>
          <w:highlight w:val="none"/>
        </w:rPr>
        <w:t>B</w:t>
      </w:r>
      <w:r>
        <w:rPr>
          <w:color w:val="auto"/>
          <w:highlight w:val="none"/>
        </w:rPr>
        <w:t>，</w:t>
      </w:r>
      <w:r>
        <w:rPr>
          <w:rFonts w:hint="eastAsia"/>
          <w:color w:val="auto"/>
          <w:highlight w:val="none"/>
          <w:u w:val="single"/>
        </w:rPr>
        <w:t>勘察设计方案</w:t>
      </w:r>
      <w:r>
        <w:rPr>
          <w:color w:val="auto"/>
          <w:highlight w:val="none"/>
          <w:u w:val="single"/>
        </w:rPr>
        <w:t>部分评审得分</w:t>
      </w:r>
      <w:r>
        <w:rPr>
          <w:color w:val="auto"/>
          <w:highlight w:val="none"/>
        </w:rPr>
        <w:t>B</w:t>
      </w:r>
      <w:r>
        <w:rPr>
          <w:color w:val="auto"/>
          <w:highlight w:val="none"/>
          <w:u w:val="single"/>
        </w:rPr>
        <w:t>为从各评标专家打分中去掉一个最高分和去掉一个最低分后的剩余评标专家打分的算术平均值</w:t>
      </w:r>
      <w:r>
        <w:rPr>
          <w:rFonts w:ascii="宋体" w:hAnsi="宋体" w:eastAsia="宋体"/>
          <w:color w:val="auto"/>
          <w:spacing w:val="1"/>
          <w:highlight w:val="none"/>
        </w:rPr>
        <w:t>；</w:t>
      </w:r>
    </w:p>
    <w:p w14:paraId="5CAEF6AF">
      <w:pPr>
        <w:tabs>
          <w:tab w:val="left" w:pos="532"/>
        </w:tabs>
        <w:spacing w:before="69" w:line="352" w:lineRule="auto"/>
        <w:ind w:left="428" w:hanging="5"/>
        <w:rPr>
          <w:rFonts w:hint="eastAsia" w:ascii="宋体" w:hAnsi="宋体" w:eastAsia="宋体"/>
          <w:color w:val="auto"/>
          <w:spacing w:val="4"/>
          <w:highlight w:val="none"/>
        </w:rPr>
      </w:pPr>
      <w:r>
        <w:rPr>
          <w:rFonts w:ascii="宋体" w:hAnsi="宋体" w:eastAsia="宋体"/>
          <w:color w:val="auto"/>
          <w:spacing w:val="4"/>
          <w:highlight w:val="none"/>
        </w:rPr>
        <w:t>(</w:t>
      </w:r>
      <w:r>
        <w:rPr>
          <w:rFonts w:ascii="Times New Roman" w:hAnsi="Times New Roman" w:eastAsia="Times New Roman"/>
          <w:color w:val="auto"/>
          <w:spacing w:val="4"/>
          <w:highlight w:val="none"/>
        </w:rPr>
        <w:t>3</w:t>
      </w:r>
      <w:r>
        <w:rPr>
          <w:rFonts w:ascii="宋体" w:hAnsi="宋体" w:eastAsia="宋体"/>
          <w:color w:val="auto"/>
          <w:spacing w:val="4"/>
          <w:highlight w:val="none"/>
        </w:rPr>
        <w:t>)按</w:t>
      </w:r>
      <w:r>
        <w:rPr>
          <w:rFonts w:ascii="宋体" w:hAnsi="宋体" w:eastAsia="宋体"/>
          <w:color w:val="auto"/>
          <w:spacing w:val="3"/>
          <w:highlight w:val="none"/>
        </w:rPr>
        <w:t>本</w:t>
      </w:r>
      <w:r>
        <w:rPr>
          <w:rFonts w:ascii="宋体" w:hAnsi="宋体" w:eastAsia="宋体"/>
          <w:color w:val="auto"/>
          <w:spacing w:val="2"/>
          <w:highlight w:val="none"/>
        </w:rPr>
        <w:t xml:space="preserve">章第 </w:t>
      </w:r>
      <w:r>
        <w:rPr>
          <w:rFonts w:ascii="Times New Roman" w:hAnsi="Times New Roman" w:eastAsia="Times New Roman"/>
          <w:color w:val="auto"/>
          <w:spacing w:val="2"/>
          <w:highlight w:val="none"/>
        </w:rPr>
        <w:t xml:space="preserve">2.2.4  </w:t>
      </w:r>
      <w:r>
        <w:rPr>
          <w:rFonts w:ascii="宋体" w:hAnsi="宋体" w:eastAsia="宋体"/>
          <w:color w:val="auto"/>
          <w:spacing w:val="2"/>
          <w:highlight w:val="none"/>
        </w:rPr>
        <w:t>(</w:t>
      </w:r>
      <w:r>
        <w:rPr>
          <w:rFonts w:ascii="Times New Roman" w:hAnsi="Times New Roman" w:eastAsia="Times New Roman"/>
          <w:color w:val="auto"/>
          <w:spacing w:val="2"/>
          <w:highlight w:val="none"/>
        </w:rPr>
        <w:t>3</w:t>
      </w:r>
      <w:r>
        <w:rPr>
          <w:rFonts w:ascii="宋体" w:hAnsi="宋体" w:eastAsia="宋体"/>
          <w:color w:val="auto"/>
          <w:spacing w:val="2"/>
          <w:highlight w:val="none"/>
        </w:rPr>
        <w:t>)目规定的评审因素和分值对投标报价计算出得分</w:t>
      </w:r>
      <w:r>
        <w:rPr>
          <w:rFonts w:ascii="Times New Roman" w:hAnsi="Times New Roman" w:eastAsia="Times New Roman"/>
          <w:color w:val="auto"/>
          <w:highlight w:val="none"/>
        </w:rPr>
        <w:t>C</w:t>
      </w:r>
      <w:r>
        <w:rPr>
          <w:rFonts w:ascii="宋体" w:hAnsi="宋体" w:eastAsia="宋体"/>
          <w:color w:val="auto"/>
          <w:spacing w:val="2"/>
          <w:highlight w:val="none"/>
        </w:rPr>
        <w:t>；</w:t>
      </w:r>
      <w:r>
        <w:rPr>
          <w:rFonts w:ascii="宋体" w:hAnsi="宋体" w:eastAsia="宋体"/>
          <w:color w:val="auto"/>
          <w:highlight w:val="none"/>
        </w:rPr>
        <w:t xml:space="preserve">           </w:t>
      </w:r>
    </w:p>
    <w:p w14:paraId="3CE39B92">
      <w:pPr>
        <w:tabs>
          <w:tab w:val="left" w:pos="532"/>
        </w:tabs>
        <w:spacing w:before="69" w:line="352" w:lineRule="auto"/>
        <w:ind w:left="428" w:hanging="5"/>
        <w:rPr>
          <w:rFonts w:hint="eastAsia" w:ascii="宋体" w:hAnsi="宋体" w:eastAsia="宋体"/>
          <w:strike/>
          <w:color w:val="auto"/>
          <w:spacing w:val="8"/>
          <w:highlight w:val="none"/>
        </w:rPr>
      </w:pPr>
      <w:r>
        <w:rPr>
          <w:rFonts w:ascii="宋体" w:hAnsi="宋体" w:eastAsia="宋体"/>
          <w:strike/>
          <w:color w:val="auto"/>
          <w:spacing w:val="8"/>
          <w:highlight w:val="none"/>
        </w:rPr>
        <w:t>(</w:t>
      </w:r>
      <w:r>
        <w:rPr>
          <w:rFonts w:ascii="Times New Roman" w:hAnsi="Times New Roman" w:eastAsia="Times New Roman"/>
          <w:strike/>
          <w:color w:val="auto"/>
          <w:spacing w:val="8"/>
          <w:highlight w:val="none"/>
        </w:rPr>
        <w:t>4</w:t>
      </w:r>
      <w:r>
        <w:rPr>
          <w:rFonts w:ascii="宋体" w:hAnsi="宋体" w:eastAsia="宋体"/>
          <w:strike/>
          <w:color w:val="auto"/>
          <w:spacing w:val="8"/>
          <w:highlight w:val="none"/>
        </w:rPr>
        <w:t>)按本章第</w:t>
      </w:r>
      <w:r>
        <w:rPr>
          <w:rFonts w:ascii="宋体" w:hAnsi="宋体" w:eastAsia="宋体"/>
          <w:strike/>
          <w:color w:val="auto"/>
          <w:spacing w:val="7"/>
          <w:highlight w:val="none"/>
        </w:rPr>
        <w:t xml:space="preserve"> </w:t>
      </w:r>
      <w:r>
        <w:rPr>
          <w:rFonts w:ascii="Times New Roman" w:hAnsi="Times New Roman" w:eastAsia="Times New Roman"/>
          <w:strike/>
          <w:color w:val="auto"/>
          <w:spacing w:val="4"/>
          <w:highlight w:val="none"/>
        </w:rPr>
        <w:t xml:space="preserve">2.2.4  </w:t>
      </w:r>
      <w:r>
        <w:rPr>
          <w:rFonts w:ascii="宋体" w:hAnsi="宋体" w:eastAsia="宋体"/>
          <w:strike/>
          <w:color w:val="auto"/>
          <w:spacing w:val="4"/>
          <w:highlight w:val="none"/>
        </w:rPr>
        <w:t>(</w:t>
      </w:r>
      <w:r>
        <w:rPr>
          <w:rFonts w:ascii="Times New Roman" w:hAnsi="Times New Roman" w:eastAsia="Times New Roman"/>
          <w:strike/>
          <w:color w:val="auto"/>
          <w:spacing w:val="4"/>
          <w:highlight w:val="none"/>
        </w:rPr>
        <w:t>4</w:t>
      </w:r>
      <w:r>
        <w:rPr>
          <w:rFonts w:ascii="宋体" w:hAnsi="宋体" w:eastAsia="宋体"/>
          <w:strike/>
          <w:color w:val="auto"/>
          <w:spacing w:val="4"/>
          <w:highlight w:val="none"/>
        </w:rPr>
        <w:t>)目规定的评审因素和分值对其他部分计算出得分</w:t>
      </w:r>
      <w:r>
        <w:rPr>
          <w:rFonts w:ascii="Times New Roman" w:hAnsi="Times New Roman" w:eastAsia="Times New Roman"/>
          <w:strike/>
          <w:color w:val="auto"/>
          <w:highlight w:val="none"/>
        </w:rPr>
        <w:t>D</w:t>
      </w:r>
      <w:r>
        <w:rPr>
          <w:rFonts w:ascii="宋体" w:hAnsi="宋体" w:eastAsia="宋体"/>
          <w:strike/>
          <w:color w:val="auto"/>
          <w:spacing w:val="4"/>
          <w:highlight w:val="none"/>
        </w:rPr>
        <w:t>。</w:t>
      </w:r>
    </w:p>
    <w:p w14:paraId="342A651E">
      <w:pPr>
        <w:spacing w:before="1" w:line="220" w:lineRule="auto"/>
        <w:ind w:left="423"/>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3.2.2  </w:t>
      </w:r>
      <w:r>
        <w:rPr>
          <w:rFonts w:ascii="宋体" w:hAnsi="宋体" w:eastAsia="宋体"/>
          <w:color w:val="auto"/>
          <w:spacing w:val="-1"/>
          <w:highlight w:val="none"/>
        </w:rPr>
        <w:t>评分</w:t>
      </w:r>
      <w:r>
        <w:rPr>
          <w:rFonts w:ascii="宋体" w:hAnsi="宋体" w:eastAsia="宋体"/>
          <w:color w:val="auto"/>
          <w:highlight w:val="none"/>
        </w:rPr>
        <w:t>分值计算保留小数点后两位，小数点后第三位</w:t>
      </w:r>
      <w:r>
        <w:rPr>
          <w:rFonts w:ascii="Times New Roman" w:hAnsi="Times New Roman" w:eastAsia="Times New Roman"/>
          <w:color w:val="auto"/>
          <w:highlight w:val="none"/>
        </w:rPr>
        <w:t>“</w:t>
      </w:r>
      <w:r>
        <w:rPr>
          <w:rFonts w:ascii="宋体" w:hAnsi="宋体" w:eastAsia="宋体"/>
          <w:color w:val="auto"/>
          <w:highlight w:val="none"/>
        </w:rPr>
        <w:t>四舍五入</w:t>
      </w:r>
      <w:r>
        <w:rPr>
          <w:rFonts w:ascii="Times New Roman" w:hAnsi="Times New Roman" w:eastAsia="Times New Roman"/>
          <w:color w:val="auto"/>
          <w:highlight w:val="none"/>
        </w:rPr>
        <w:t>”</w:t>
      </w:r>
      <w:r>
        <w:rPr>
          <w:rFonts w:ascii="宋体" w:hAnsi="宋体" w:eastAsia="宋体"/>
          <w:color w:val="auto"/>
          <w:highlight w:val="none"/>
        </w:rPr>
        <w:t>。</w:t>
      </w:r>
    </w:p>
    <w:p w14:paraId="651929C4">
      <w:pPr>
        <w:spacing w:before="150" w:line="220" w:lineRule="auto"/>
        <w:ind w:left="423"/>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3.2.3  </w:t>
      </w:r>
      <w:r>
        <w:rPr>
          <w:rFonts w:ascii="宋体" w:hAnsi="宋体" w:eastAsia="宋体"/>
          <w:color w:val="auto"/>
          <w:spacing w:val="-1"/>
          <w:highlight w:val="none"/>
        </w:rPr>
        <w:t>投标</w:t>
      </w:r>
      <w:r>
        <w:rPr>
          <w:rFonts w:ascii="宋体" w:hAnsi="宋体" w:eastAsia="宋体"/>
          <w:color w:val="auto"/>
          <w:highlight w:val="none"/>
        </w:rPr>
        <w:t>人得分</w:t>
      </w:r>
      <w:r>
        <w:rPr>
          <w:rFonts w:ascii="Times New Roman" w:hAnsi="Times New Roman" w:eastAsia="Times New Roman"/>
          <w:color w:val="auto"/>
          <w:highlight w:val="none"/>
        </w:rPr>
        <w:t>=</w:t>
      </w:r>
      <w:r>
        <w:rPr>
          <w:rFonts w:ascii="Times New Roman" w:hAnsi="Times New Roman" w:eastAsia="Times New Roman"/>
          <w:color w:val="auto"/>
          <w:highlight w:val="none"/>
          <w:u w:val="single"/>
        </w:rPr>
        <w:t>A+B+C</w:t>
      </w:r>
      <w:r>
        <w:rPr>
          <w:rFonts w:ascii="宋体" w:hAnsi="宋体" w:eastAsia="宋体"/>
          <w:color w:val="auto"/>
          <w:highlight w:val="none"/>
        </w:rPr>
        <w:t>。</w:t>
      </w:r>
    </w:p>
    <w:p w14:paraId="576F573D">
      <w:pPr>
        <w:pBdr>
          <w:bottom w:val="single" w:color="auto" w:sz="6" w:space="1"/>
        </w:pBdr>
        <w:spacing w:line="480" w:lineRule="auto"/>
        <w:ind w:firstLine="537" w:firstLineChars="224"/>
        <w:rPr>
          <w:rFonts w:ascii="宋体" w:hAnsi="宋体"/>
          <w:color w:val="auto"/>
          <w:sz w:val="24"/>
          <w:highlight w:val="none"/>
        </w:rPr>
      </w:pPr>
    </w:p>
    <w:p w14:paraId="05A13DF8">
      <w:pPr>
        <w:spacing w:line="480" w:lineRule="auto"/>
        <w:ind w:firstLine="538" w:firstLineChars="224"/>
        <w:rPr>
          <w:rFonts w:ascii="宋体" w:hAnsi="宋体"/>
          <w:b/>
          <w:bCs/>
          <w:color w:val="auto"/>
          <w:sz w:val="24"/>
          <w:highlight w:val="none"/>
        </w:rPr>
      </w:pPr>
      <w:r>
        <w:rPr>
          <w:rFonts w:hint="eastAsia" w:ascii="宋体" w:hAnsi="宋体"/>
          <w:b/>
          <w:bCs/>
          <w:color w:val="auto"/>
          <w:sz w:val="24"/>
          <w:highlight w:val="none"/>
        </w:rPr>
        <w:t>注：以上修改，仅限于本范本中有可供选择条款的情形。</w:t>
      </w:r>
    </w:p>
    <w:p w14:paraId="4EA0FFE8">
      <w:pPr>
        <w:spacing w:line="480" w:lineRule="auto"/>
        <w:ind w:firstLine="538" w:firstLineChars="224"/>
        <w:rPr>
          <w:rFonts w:ascii="宋体" w:hAnsi="宋体"/>
          <w:b/>
          <w:bCs/>
          <w:color w:val="auto"/>
          <w:sz w:val="24"/>
          <w:highlight w:val="none"/>
        </w:rPr>
      </w:pPr>
      <w:r>
        <w:rPr>
          <w:rFonts w:hint="eastAsia" w:ascii="宋体" w:hAnsi="宋体"/>
          <w:b/>
          <w:bCs/>
          <w:color w:val="auto"/>
          <w:sz w:val="24"/>
          <w:highlight w:val="none"/>
        </w:rPr>
        <w:t>（以下无正文）</w:t>
      </w:r>
    </w:p>
    <w:p w14:paraId="44C786F2">
      <w:pPr>
        <w:pStyle w:val="26"/>
        <w:spacing w:before="120" w:after="120"/>
        <w:outlineLvl w:val="9"/>
        <w:rPr>
          <w:rFonts w:hint="eastAsia"/>
          <w:color w:val="auto"/>
          <w:sz w:val="24"/>
          <w:szCs w:val="21"/>
          <w:highlight w:val="none"/>
        </w:rPr>
      </w:pPr>
      <w:r>
        <w:rPr>
          <w:color w:val="auto"/>
          <w:sz w:val="24"/>
          <w:szCs w:val="21"/>
          <w:highlight w:val="none"/>
        </w:rPr>
        <w:br w:type="page"/>
      </w:r>
      <w:bookmarkStart w:id="303" w:name="_Toc4571"/>
      <w:bookmarkStart w:id="304" w:name="_Toc11950"/>
      <w:bookmarkStart w:id="305" w:name="_Toc7569"/>
      <w:bookmarkStart w:id="306" w:name="_Toc14199"/>
      <w:bookmarkStart w:id="307" w:name="_Toc31416"/>
      <w:r>
        <w:rPr>
          <w:rFonts w:ascii="Times New Roman" w:hAnsi="Times New Roman" w:eastAsia="Times New Roman"/>
          <w:bCs/>
          <w:color w:val="auto"/>
          <w:spacing w:val="7"/>
          <w:sz w:val="31"/>
          <w:szCs w:val="31"/>
          <w:highlight w:val="none"/>
        </w:rPr>
        <w:t>1</w:t>
      </w:r>
      <w:r>
        <w:rPr>
          <w:rFonts w:ascii="Times New Roman" w:hAnsi="Times New Roman" w:eastAsia="Times New Roman"/>
          <w:bCs/>
          <w:color w:val="auto"/>
          <w:spacing w:val="4"/>
          <w:sz w:val="31"/>
          <w:szCs w:val="31"/>
          <w:highlight w:val="none"/>
        </w:rPr>
        <w:t>.</w:t>
      </w:r>
      <w:r>
        <w:rPr>
          <w:rFonts w:ascii="Times New Roman" w:hAnsi="Times New Roman" w:eastAsia="Times New Roman"/>
          <w:color w:val="auto"/>
          <w:spacing w:val="4"/>
          <w:sz w:val="31"/>
          <w:szCs w:val="31"/>
          <w:highlight w:val="none"/>
        </w:rPr>
        <w:t xml:space="preserve">  </w:t>
      </w:r>
      <w:r>
        <w:rPr>
          <w:rFonts w:ascii="黑体" w:hAnsi="黑体" w:eastAsia="黑体"/>
          <w:color w:val="auto"/>
          <w:spacing w:val="4"/>
          <w:sz w:val="31"/>
          <w:szCs w:val="31"/>
          <w:highlight w:val="none"/>
        </w:rPr>
        <w:t>评标方法</w:t>
      </w:r>
      <w:bookmarkEnd w:id="303"/>
      <w:bookmarkEnd w:id="304"/>
      <w:bookmarkEnd w:id="305"/>
      <w:bookmarkEnd w:id="306"/>
      <w:bookmarkEnd w:id="307"/>
    </w:p>
    <w:p w14:paraId="59C23B24">
      <w:pPr>
        <w:spacing w:line="250" w:lineRule="auto"/>
        <w:rPr>
          <w:color w:val="auto"/>
          <w:highlight w:val="none"/>
        </w:rPr>
      </w:pPr>
    </w:p>
    <w:p w14:paraId="3961805E">
      <w:pPr>
        <w:spacing w:before="69" w:line="363" w:lineRule="auto"/>
        <w:ind w:firstLine="421"/>
        <w:rPr>
          <w:rFonts w:hint="eastAsia" w:ascii="宋体" w:hAnsi="宋体" w:eastAsia="宋体"/>
          <w:color w:val="auto"/>
          <w:spacing w:val="1"/>
          <w:highlight w:val="none"/>
        </w:rPr>
      </w:pPr>
      <w:r>
        <w:rPr>
          <w:rFonts w:ascii="宋体" w:hAnsi="宋体" w:eastAsia="宋体"/>
          <w:color w:val="auto"/>
          <w:spacing w:val="1"/>
          <w:highlight w:val="none"/>
        </w:rPr>
        <w:t>本次评标采用综合评估法。评标</w:t>
      </w:r>
      <w:r>
        <w:rPr>
          <w:rFonts w:ascii="宋体" w:hAnsi="宋体" w:eastAsia="宋体"/>
          <w:color w:val="auto"/>
          <w:highlight w:val="none"/>
        </w:rPr>
        <w:t xml:space="preserve">委员会对满足招标文件实质性要求的投标文件，按照本章 </w:t>
      </w:r>
      <w:r>
        <w:rPr>
          <w:rFonts w:ascii="宋体" w:hAnsi="宋体" w:eastAsia="宋体"/>
          <w:color w:val="auto"/>
          <w:spacing w:val="-4"/>
          <w:highlight w:val="none"/>
        </w:rPr>
        <w:t xml:space="preserve">第 </w:t>
      </w:r>
      <w:r>
        <w:rPr>
          <w:rFonts w:ascii="Times New Roman" w:hAnsi="Times New Roman" w:eastAsia="Times New Roman"/>
          <w:color w:val="auto"/>
          <w:spacing w:val="-4"/>
          <w:highlight w:val="none"/>
        </w:rPr>
        <w:t>2</w:t>
      </w:r>
      <w:r>
        <w:rPr>
          <w:rFonts w:ascii="Times New Roman" w:hAnsi="Times New Roman" w:eastAsia="Times New Roman"/>
          <w:color w:val="auto"/>
          <w:spacing w:val="-2"/>
          <w:highlight w:val="none"/>
        </w:rPr>
        <w:t xml:space="preserve">.2 </w:t>
      </w:r>
      <w:r>
        <w:rPr>
          <w:rFonts w:ascii="宋体" w:hAnsi="宋体" w:eastAsia="宋体"/>
          <w:color w:val="auto"/>
          <w:spacing w:val="-2"/>
          <w:highlight w:val="none"/>
        </w:rPr>
        <w:t>款规定的评分标准进行打分， 并按得分由高到低顺序推荐中标候选人，或根据招标人授</w:t>
      </w:r>
      <w:r>
        <w:rPr>
          <w:rFonts w:ascii="宋体" w:hAnsi="宋体" w:eastAsia="宋体"/>
          <w:color w:val="auto"/>
          <w:highlight w:val="none"/>
        </w:rPr>
        <w:t xml:space="preserve"> </w:t>
      </w:r>
      <w:r>
        <w:rPr>
          <w:rFonts w:ascii="宋体" w:hAnsi="宋体" w:eastAsia="宋体"/>
          <w:color w:val="auto"/>
          <w:spacing w:val="-4"/>
          <w:highlight w:val="none"/>
        </w:rPr>
        <w:t>权直接</w:t>
      </w:r>
      <w:r>
        <w:rPr>
          <w:rFonts w:ascii="宋体" w:hAnsi="宋体" w:eastAsia="宋体"/>
          <w:color w:val="auto"/>
          <w:spacing w:val="-2"/>
          <w:highlight w:val="none"/>
        </w:rPr>
        <w:t>确定中标人，但投标报价低于其成本的除外。综合评分相等时， 以投标报价低的优先；</w:t>
      </w:r>
      <w:r>
        <w:rPr>
          <w:rFonts w:ascii="宋体" w:hAnsi="宋体" w:eastAsia="宋体"/>
          <w:color w:val="auto"/>
          <w:highlight w:val="none"/>
        </w:rPr>
        <w:t xml:space="preserve"> </w:t>
      </w:r>
      <w:r>
        <w:rPr>
          <w:rFonts w:ascii="宋体" w:hAnsi="宋体" w:eastAsia="宋体"/>
          <w:color w:val="auto"/>
          <w:spacing w:val="1"/>
          <w:highlight w:val="none"/>
        </w:rPr>
        <w:t>投标报价也相等的，以</w:t>
      </w:r>
      <w:r>
        <w:rPr>
          <w:rFonts w:hint="eastAsia" w:ascii="宋体" w:hAnsi="宋体" w:eastAsia="宋体"/>
          <w:color w:val="auto"/>
          <w:spacing w:val="1"/>
          <w:highlight w:val="none"/>
        </w:rPr>
        <w:t>勘察</w:t>
      </w:r>
      <w:r>
        <w:rPr>
          <w:rFonts w:ascii="宋体" w:hAnsi="宋体" w:eastAsia="宋体"/>
          <w:color w:val="auto"/>
          <w:spacing w:val="1"/>
          <w:highlight w:val="none"/>
        </w:rPr>
        <w:t>设计方案得分</w:t>
      </w:r>
      <w:r>
        <w:rPr>
          <w:rFonts w:ascii="宋体" w:hAnsi="宋体" w:eastAsia="宋体"/>
          <w:color w:val="auto"/>
          <w:highlight w:val="none"/>
        </w:rPr>
        <w:t>高的优先；如果</w:t>
      </w:r>
      <w:r>
        <w:rPr>
          <w:rFonts w:hint="eastAsia" w:ascii="宋体" w:hAnsi="宋体" w:eastAsia="宋体"/>
          <w:color w:val="auto"/>
          <w:spacing w:val="1"/>
          <w:highlight w:val="none"/>
        </w:rPr>
        <w:t>勘察</w:t>
      </w:r>
      <w:r>
        <w:rPr>
          <w:rFonts w:ascii="宋体" w:hAnsi="宋体" w:eastAsia="宋体"/>
          <w:color w:val="auto"/>
          <w:highlight w:val="none"/>
        </w:rPr>
        <w:t>设计方案得分也相等，按照评标办法前附</w:t>
      </w:r>
      <w:r>
        <w:rPr>
          <w:rFonts w:ascii="宋体" w:hAnsi="宋体" w:eastAsia="宋体"/>
          <w:color w:val="auto"/>
          <w:spacing w:val="-4"/>
          <w:highlight w:val="none"/>
        </w:rPr>
        <w:t>表的规</w:t>
      </w:r>
      <w:r>
        <w:rPr>
          <w:rFonts w:ascii="宋体" w:hAnsi="宋体" w:eastAsia="宋体"/>
          <w:color w:val="auto"/>
          <w:spacing w:val="-3"/>
          <w:highlight w:val="none"/>
        </w:rPr>
        <w:t>定</w:t>
      </w:r>
      <w:r>
        <w:rPr>
          <w:rFonts w:ascii="宋体" w:hAnsi="宋体" w:eastAsia="宋体"/>
          <w:color w:val="auto"/>
          <w:spacing w:val="-2"/>
          <w:highlight w:val="none"/>
        </w:rPr>
        <w:t>确定中标候选人顺序。</w:t>
      </w:r>
    </w:p>
    <w:p w14:paraId="72DFB8F0">
      <w:pPr>
        <w:pStyle w:val="26"/>
        <w:spacing w:before="120" w:after="120"/>
        <w:outlineLvl w:val="9"/>
        <w:rPr>
          <w:rFonts w:ascii="Times New Roman" w:hAnsi="Times New Roman" w:eastAsia="Times New Roman"/>
          <w:bCs/>
          <w:color w:val="auto"/>
          <w:spacing w:val="7"/>
          <w:sz w:val="31"/>
          <w:szCs w:val="31"/>
          <w:highlight w:val="none"/>
        </w:rPr>
      </w:pPr>
      <w:bookmarkStart w:id="308" w:name="_Toc583"/>
      <w:bookmarkStart w:id="309" w:name="_Toc23823"/>
      <w:bookmarkStart w:id="310" w:name="_Toc21752"/>
      <w:bookmarkStart w:id="311" w:name="_Toc32401"/>
      <w:bookmarkStart w:id="312" w:name="_Toc20461"/>
      <w:r>
        <w:rPr>
          <w:rFonts w:ascii="Times New Roman" w:hAnsi="Times New Roman" w:eastAsia="Times New Roman"/>
          <w:bCs/>
          <w:color w:val="auto"/>
          <w:spacing w:val="7"/>
          <w:sz w:val="31"/>
          <w:szCs w:val="31"/>
          <w:highlight w:val="none"/>
        </w:rPr>
        <w:t>2</w:t>
      </w:r>
      <w:r>
        <w:rPr>
          <w:rFonts w:ascii="Times New Roman" w:hAnsi="Times New Roman" w:eastAsia="Times New Roman"/>
          <w:bCs/>
          <w:color w:val="auto"/>
          <w:spacing w:val="6"/>
          <w:sz w:val="31"/>
          <w:szCs w:val="31"/>
          <w:highlight w:val="none"/>
        </w:rPr>
        <w:t>.</w:t>
      </w:r>
      <w:r>
        <w:rPr>
          <w:rFonts w:ascii="Times New Roman" w:hAnsi="Times New Roman" w:eastAsia="Times New Roman"/>
          <w:color w:val="auto"/>
          <w:spacing w:val="6"/>
          <w:sz w:val="31"/>
          <w:szCs w:val="31"/>
          <w:highlight w:val="none"/>
        </w:rPr>
        <w:t xml:space="preserve">  </w:t>
      </w:r>
      <w:r>
        <w:rPr>
          <w:rFonts w:ascii="黑体" w:hAnsi="黑体" w:eastAsia="黑体"/>
          <w:color w:val="auto"/>
          <w:spacing w:val="6"/>
          <w:sz w:val="31"/>
          <w:szCs w:val="31"/>
          <w:highlight w:val="none"/>
        </w:rPr>
        <w:t>评审标准</w:t>
      </w:r>
      <w:bookmarkEnd w:id="308"/>
      <w:bookmarkEnd w:id="309"/>
      <w:bookmarkEnd w:id="310"/>
      <w:bookmarkEnd w:id="311"/>
      <w:bookmarkEnd w:id="312"/>
    </w:p>
    <w:p w14:paraId="355E0186">
      <w:pPr>
        <w:spacing w:line="247" w:lineRule="auto"/>
        <w:rPr>
          <w:color w:val="auto"/>
          <w:highlight w:val="none"/>
        </w:rPr>
      </w:pPr>
    </w:p>
    <w:p w14:paraId="2C8DCF0A">
      <w:pPr>
        <w:rPr>
          <w:rFonts w:ascii="Times New Roman" w:hAnsi="Times New Roman" w:eastAsia="Times New Roman"/>
          <w:color w:val="auto"/>
          <w:spacing w:val="12"/>
          <w:sz w:val="27"/>
          <w:szCs w:val="27"/>
          <w:highlight w:val="none"/>
        </w:rPr>
      </w:pPr>
      <w:bookmarkStart w:id="313" w:name="_Toc26285"/>
      <w:bookmarkStart w:id="314" w:name="_Toc28896"/>
      <w:bookmarkStart w:id="315" w:name="_Toc29338"/>
      <w:bookmarkStart w:id="316" w:name="_Toc31870"/>
      <w:bookmarkStart w:id="317" w:name="_Toc19634"/>
      <w:r>
        <w:rPr>
          <w:rFonts w:ascii="Times New Roman" w:hAnsi="Times New Roman" w:eastAsia="Times New Roman"/>
          <w:color w:val="auto"/>
          <w:spacing w:val="12"/>
          <w:sz w:val="27"/>
          <w:szCs w:val="27"/>
          <w:highlight w:val="none"/>
        </w:rPr>
        <w:t>2</w:t>
      </w:r>
      <w:r>
        <w:rPr>
          <w:rFonts w:ascii="Times New Roman" w:hAnsi="Times New Roman" w:eastAsia="Times New Roman"/>
          <w:color w:val="auto"/>
          <w:spacing w:val="7"/>
          <w:sz w:val="27"/>
          <w:szCs w:val="27"/>
          <w:highlight w:val="none"/>
        </w:rPr>
        <w:t>.</w:t>
      </w:r>
      <w:r>
        <w:rPr>
          <w:rFonts w:ascii="Times New Roman" w:hAnsi="Times New Roman" w:eastAsia="Times New Roman"/>
          <w:color w:val="auto"/>
          <w:spacing w:val="6"/>
          <w:sz w:val="27"/>
          <w:szCs w:val="27"/>
          <w:highlight w:val="none"/>
        </w:rPr>
        <w:t xml:space="preserve">1  </w:t>
      </w:r>
      <w:r>
        <w:rPr>
          <w:rFonts w:ascii="黑体" w:hAnsi="黑体" w:eastAsia="黑体"/>
          <w:color w:val="auto"/>
          <w:spacing w:val="6"/>
          <w:sz w:val="27"/>
          <w:szCs w:val="27"/>
          <w:highlight w:val="none"/>
        </w:rPr>
        <w:t>初步评审标准</w:t>
      </w:r>
      <w:bookmarkEnd w:id="313"/>
      <w:bookmarkEnd w:id="314"/>
      <w:bookmarkEnd w:id="315"/>
      <w:bookmarkEnd w:id="316"/>
      <w:bookmarkEnd w:id="317"/>
    </w:p>
    <w:p w14:paraId="2A997C9B">
      <w:pPr>
        <w:spacing w:line="315" w:lineRule="auto"/>
        <w:rPr>
          <w:color w:val="auto"/>
          <w:highlight w:val="none"/>
        </w:rPr>
      </w:pPr>
    </w:p>
    <w:p w14:paraId="10B6CBD5">
      <w:pPr>
        <w:spacing w:before="69" w:line="399" w:lineRule="exact"/>
        <w:ind w:left="417"/>
        <w:rPr>
          <w:rFonts w:ascii="Times New Roman" w:hAnsi="Times New Roman" w:eastAsia="Times New Roman"/>
          <w:color w:val="auto"/>
          <w:spacing w:val="-2"/>
          <w:position w:val="14"/>
          <w:highlight w:val="none"/>
        </w:rPr>
      </w:pPr>
      <w:r>
        <w:rPr>
          <w:rFonts w:ascii="Times New Roman" w:hAnsi="Times New Roman" w:eastAsia="Times New Roman"/>
          <w:color w:val="auto"/>
          <w:spacing w:val="-2"/>
          <w:position w:val="14"/>
          <w:highlight w:val="none"/>
        </w:rPr>
        <w:t xml:space="preserve">2.1.1  </w:t>
      </w:r>
      <w:r>
        <w:rPr>
          <w:rFonts w:hint="eastAsia" w:ascii="宋体" w:hAnsi="宋体" w:eastAsia="宋体"/>
          <w:color w:val="auto"/>
          <w:spacing w:val="-2"/>
          <w:position w:val="14"/>
          <w:highlight w:val="none"/>
        </w:rPr>
        <w:t>资格</w:t>
      </w:r>
      <w:r>
        <w:rPr>
          <w:rFonts w:ascii="宋体" w:hAnsi="宋体" w:eastAsia="宋体"/>
          <w:color w:val="auto"/>
          <w:spacing w:val="-2"/>
          <w:position w:val="14"/>
          <w:highlight w:val="none"/>
        </w:rPr>
        <w:t>评</w:t>
      </w:r>
      <w:r>
        <w:rPr>
          <w:rFonts w:ascii="宋体" w:hAnsi="宋体" w:eastAsia="宋体"/>
          <w:color w:val="auto"/>
          <w:spacing w:val="-1"/>
          <w:position w:val="14"/>
          <w:highlight w:val="none"/>
        </w:rPr>
        <w:t>审标准：见评标办法前附表。</w:t>
      </w:r>
    </w:p>
    <w:p w14:paraId="4E42EAEE">
      <w:pPr>
        <w:spacing w:before="1" w:line="218" w:lineRule="auto"/>
        <w:ind w:left="417"/>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2.1.2  </w:t>
      </w:r>
      <w:r>
        <w:rPr>
          <w:rFonts w:hint="eastAsia" w:ascii="宋体" w:hAnsi="宋体" w:eastAsia="宋体"/>
          <w:color w:val="auto"/>
          <w:spacing w:val="-2"/>
          <w:highlight w:val="none"/>
        </w:rPr>
        <w:t>形式</w:t>
      </w:r>
      <w:r>
        <w:rPr>
          <w:rFonts w:ascii="宋体" w:hAnsi="宋体" w:eastAsia="宋体"/>
          <w:color w:val="auto"/>
          <w:spacing w:val="-1"/>
          <w:highlight w:val="none"/>
        </w:rPr>
        <w:t>评审标准：见评标办法前附表。</w:t>
      </w:r>
    </w:p>
    <w:p w14:paraId="49793741">
      <w:pPr>
        <w:spacing w:before="152" w:line="220" w:lineRule="auto"/>
        <w:ind w:left="417"/>
        <w:rPr>
          <w:rFonts w:hint="eastAsia" w:ascii="宋体" w:hAnsi="宋体" w:eastAsia="宋体"/>
          <w:color w:val="auto"/>
          <w:spacing w:val="-1"/>
          <w:highlight w:val="none"/>
        </w:rPr>
      </w:pPr>
      <w:r>
        <w:rPr>
          <w:rFonts w:ascii="Times New Roman" w:hAnsi="Times New Roman" w:eastAsia="Times New Roman"/>
          <w:color w:val="auto"/>
          <w:spacing w:val="-2"/>
          <w:highlight w:val="none"/>
        </w:rPr>
        <w:t xml:space="preserve">2.1.3  </w:t>
      </w:r>
      <w:r>
        <w:rPr>
          <w:rFonts w:ascii="宋体" w:hAnsi="宋体" w:eastAsia="宋体"/>
          <w:color w:val="auto"/>
          <w:spacing w:val="-2"/>
          <w:highlight w:val="none"/>
        </w:rPr>
        <w:t>响</w:t>
      </w:r>
      <w:r>
        <w:rPr>
          <w:rFonts w:ascii="宋体" w:hAnsi="宋体" w:eastAsia="宋体"/>
          <w:color w:val="auto"/>
          <w:spacing w:val="-1"/>
          <w:highlight w:val="none"/>
        </w:rPr>
        <w:t>应性评审标准：见评标办法前附表。</w:t>
      </w:r>
    </w:p>
    <w:p w14:paraId="20A53CF3">
      <w:pPr>
        <w:spacing w:before="152" w:line="220" w:lineRule="auto"/>
        <w:ind w:left="417"/>
        <w:rPr>
          <w:rFonts w:hint="eastAsia" w:ascii="宋体" w:hAnsi="宋体" w:eastAsia="宋体"/>
          <w:color w:val="auto"/>
          <w:spacing w:val="-1"/>
          <w:highlight w:val="none"/>
        </w:rPr>
      </w:pPr>
      <w:r>
        <w:rPr>
          <w:rFonts w:hint="eastAsia" w:ascii="宋体" w:hAnsi="宋体" w:eastAsia="宋体" w:cs="宋体"/>
          <w:color w:val="auto"/>
          <w:spacing w:val="-1"/>
          <w:highlight w:val="none"/>
        </w:rPr>
        <w:t>2.1.4：</w:t>
      </w:r>
      <w:r>
        <w:rPr>
          <w:rFonts w:hint="eastAsia" w:ascii="宋体" w:hAnsi="宋体" w:eastAsia="宋体" w:cs="宋体"/>
          <w:color w:val="auto"/>
          <w:spacing w:val="-12"/>
          <w:highlight w:val="none"/>
        </w:rPr>
        <w:t>勘察</w:t>
      </w:r>
      <w:r>
        <w:rPr>
          <w:rFonts w:ascii="宋体" w:hAnsi="宋体" w:eastAsia="宋体" w:cs="宋体"/>
          <w:color w:val="auto"/>
          <w:spacing w:val="-12"/>
          <w:highlight w:val="none"/>
        </w:rPr>
        <w:t>设</w:t>
      </w:r>
      <w:r>
        <w:rPr>
          <w:rFonts w:ascii="宋体" w:hAnsi="宋体" w:eastAsia="宋体" w:cs="宋体"/>
          <w:color w:val="auto"/>
          <w:spacing w:val="-11"/>
          <w:highlight w:val="none"/>
        </w:rPr>
        <w:t>计</w:t>
      </w:r>
      <w:r>
        <w:rPr>
          <w:rFonts w:ascii="宋体" w:hAnsi="宋体" w:eastAsia="宋体" w:cs="宋体"/>
          <w:color w:val="auto"/>
          <w:spacing w:val="-6"/>
          <w:highlight w:val="none"/>
        </w:rPr>
        <w:t>方案</w:t>
      </w:r>
      <w:r>
        <w:rPr>
          <w:rFonts w:ascii="宋体" w:hAnsi="宋体" w:eastAsia="宋体" w:cs="宋体"/>
          <w:color w:val="auto"/>
          <w:spacing w:val="-2"/>
          <w:highlight w:val="none"/>
        </w:rPr>
        <w:t>响</w:t>
      </w:r>
      <w:r>
        <w:rPr>
          <w:rFonts w:ascii="宋体" w:hAnsi="宋体" w:eastAsia="宋体" w:cs="宋体"/>
          <w:color w:val="auto"/>
          <w:spacing w:val="-1"/>
          <w:highlight w:val="none"/>
        </w:rPr>
        <w:t>应性评审标准：见评标办法前附表。</w:t>
      </w:r>
    </w:p>
    <w:p w14:paraId="28E76733">
      <w:pPr>
        <w:rPr>
          <w:rFonts w:ascii="Times New Roman" w:hAnsi="Times New Roman" w:eastAsiaTheme="minorEastAsia"/>
          <w:color w:val="auto"/>
          <w:spacing w:val="13"/>
          <w:sz w:val="27"/>
          <w:szCs w:val="27"/>
          <w:highlight w:val="none"/>
        </w:rPr>
      </w:pPr>
      <w:bookmarkStart w:id="318" w:name="_Toc7108"/>
      <w:bookmarkStart w:id="319" w:name="_Toc32223"/>
      <w:bookmarkStart w:id="320" w:name="_Toc17564"/>
      <w:bookmarkStart w:id="321" w:name="_Toc4858"/>
      <w:bookmarkStart w:id="322" w:name="_Toc7416"/>
    </w:p>
    <w:p w14:paraId="638B7531">
      <w:pPr>
        <w:rPr>
          <w:rFonts w:ascii="Times New Roman" w:hAnsi="Times New Roman" w:eastAsia="Times New Roman"/>
          <w:color w:val="auto"/>
          <w:spacing w:val="13"/>
          <w:sz w:val="27"/>
          <w:szCs w:val="27"/>
          <w:highlight w:val="none"/>
        </w:rPr>
      </w:pPr>
      <w:r>
        <w:rPr>
          <w:rFonts w:ascii="Times New Roman" w:hAnsi="Times New Roman" w:eastAsia="Times New Roman"/>
          <w:color w:val="auto"/>
          <w:spacing w:val="13"/>
          <w:sz w:val="27"/>
          <w:szCs w:val="27"/>
          <w:highlight w:val="none"/>
        </w:rPr>
        <w:t>2</w:t>
      </w:r>
      <w:r>
        <w:rPr>
          <w:rFonts w:ascii="Times New Roman" w:hAnsi="Times New Roman" w:eastAsia="Times New Roman"/>
          <w:color w:val="auto"/>
          <w:spacing w:val="7"/>
          <w:sz w:val="27"/>
          <w:szCs w:val="27"/>
          <w:highlight w:val="none"/>
        </w:rPr>
        <w:t xml:space="preserve">.2  </w:t>
      </w:r>
      <w:r>
        <w:rPr>
          <w:rFonts w:ascii="黑体" w:hAnsi="黑体" w:eastAsia="黑体"/>
          <w:color w:val="auto"/>
          <w:spacing w:val="7"/>
          <w:sz w:val="27"/>
          <w:szCs w:val="27"/>
          <w:highlight w:val="none"/>
        </w:rPr>
        <w:t>分值构成与评分标准</w:t>
      </w:r>
      <w:bookmarkEnd w:id="318"/>
      <w:bookmarkEnd w:id="319"/>
      <w:bookmarkEnd w:id="320"/>
      <w:bookmarkEnd w:id="321"/>
      <w:bookmarkEnd w:id="322"/>
    </w:p>
    <w:p w14:paraId="06784886">
      <w:pPr>
        <w:spacing w:line="315" w:lineRule="auto"/>
        <w:rPr>
          <w:color w:val="auto"/>
          <w:highlight w:val="none"/>
        </w:rPr>
      </w:pPr>
    </w:p>
    <w:p w14:paraId="532E3E35">
      <w:pPr>
        <w:spacing w:before="69" w:line="399" w:lineRule="exact"/>
        <w:ind w:left="417"/>
        <w:rPr>
          <w:rFonts w:ascii="Times New Roman" w:hAnsi="Times New Roman" w:eastAsia="Times New Roman"/>
          <w:color w:val="auto"/>
          <w:spacing w:val="-1"/>
          <w:position w:val="14"/>
          <w:highlight w:val="none"/>
        </w:rPr>
      </w:pPr>
      <w:r>
        <w:rPr>
          <w:rFonts w:ascii="Times New Roman" w:hAnsi="Times New Roman" w:eastAsia="Times New Roman"/>
          <w:color w:val="auto"/>
          <w:spacing w:val="-1"/>
          <w:position w:val="14"/>
          <w:highlight w:val="none"/>
        </w:rPr>
        <w:t>2.2</w:t>
      </w:r>
      <w:r>
        <w:rPr>
          <w:rFonts w:ascii="Times New Roman" w:hAnsi="Times New Roman" w:eastAsia="Times New Roman"/>
          <w:color w:val="auto"/>
          <w:position w:val="14"/>
          <w:highlight w:val="none"/>
        </w:rPr>
        <w:t xml:space="preserve">.1  </w:t>
      </w:r>
      <w:r>
        <w:rPr>
          <w:rFonts w:ascii="宋体" w:hAnsi="宋体" w:eastAsia="宋体"/>
          <w:color w:val="auto"/>
          <w:position w:val="14"/>
          <w:highlight w:val="none"/>
        </w:rPr>
        <w:t>分值构成</w:t>
      </w:r>
    </w:p>
    <w:p w14:paraId="49C5CDB5">
      <w:pPr>
        <w:spacing w:before="1" w:line="217" w:lineRule="auto"/>
        <w:ind w:left="426"/>
        <w:rPr>
          <w:rFonts w:hint="eastAsia" w:ascii="宋体" w:hAnsi="宋体" w:eastAsia="宋体"/>
          <w:color w:val="auto"/>
          <w:spacing w:val="14"/>
          <w:highlight w:val="none"/>
        </w:rPr>
      </w:pPr>
      <w:r>
        <w:rPr>
          <w:rFonts w:ascii="宋体" w:hAnsi="宋体" w:eastAsia="宋体"/>
          <w:color w:val="auto"/>
          <w:spacing w:val="14"/>
          <w:highlight w:val="none"/>
        </w:rPr>
        <w:t>(</w:t>
      </w:r>
      <w:r>
        <w:rPr>
          <w:rFonts w:ascii="Times New Roman" w:hAnsi="Times New Roman" w:eastAsia="Times New Roman"/>
          <w:color w:val="auto"/>
          <w:spacing w:val="14"/>
          <w:highlight w:val="none"/>
        </w:rPr>
        <w:t>1</w:t>
      </w:r>
      <w:r>
        <w:rPr>
          <w:rFonts w:ascii="宋体" w:hAnsi="宋体" w:eastAsia="宋体"/>
          <w:color w:val="auto"/>
          <w:spacing w:val="7"/>
          <w:highlight w:val="none"/>
        </w:rPr>
        <w:t>)资信业绩部分：见评标办法前附表；</w:t>
      </w:r>
    </w:p>
    <w:p w14:paraId="61BA04C5">
      <w:pPr>
        <w:spacing w:before="153" w:line="220" w:lineRule="auto"/>
        <w:ind w:left="426"/>
        <w:rPr>
          <w:rFonts w:hint="eastAsia" w:ascii="宋体" w:hAnsi="宋体" w:eastAsia="宋体"/>
          <w:color w:val="auto"/>
          <w:spacing w:val="14"/>
          <w:highlight w:val="none"/>
        </w:rPr>
      </w:pPr>
      <w:r>
        <w:rPr>
          <w:rFonts w:ascii="宋体" w:hAnsi="宋体" w:eastAsia="宋体"/>
          <w:color w:val="auto"/>
          <w:spacing w:val="14"/>
          <w:highlight w:val="none"/>
        </w:rPr>
        <w:t>(</w:t>
      </w:r>
      <w:r>
        <w:rPr>
          <w:rFonts w:ascii="Times New Roman" w:hAnsi="Times New Roman" w:eastAsia="Times New Roman"/>
          <w:color w:val="auto"/>
          <w:spacing w:val="14"/>
          <w:highlight w:val="none"/>
        </w:rPr>
        <w:t>2</w:t>
      </w:r>
      <w:r>
        <w:rPr>
          <w:rFonts w:ascii="宋体" w:hAnsi="宋体" w:eastAsia="宋体"/>
          <w:color w:val="auto"/>
          <w:spacing w:val="7"/>
          <w:highlight w:val="none"/>
        </w:rPr>
        <w:t>)</w:t>
      </w:r>
      <w:r>
        <w:rPr>
          <w:rFonts w:hint="eastAsia" w:ascii="宋体" w:hAnsi="宋体" w:eastAsia="宋体"/>
          <w:color w:val="auto"/>
          <w:spacing w:val="7"/>
          <w:highlight w:val="none"/>
        </w:rPr>
        <w:t>勘察</w:t>
      </w:r>
      <w:r>
        <w:rPr>
          <w:rFonts w:ascii="宋体" w:hAnsi="宋体" w:eastAsia="宋体"/>
          <w:color w:val="auto"/>
          <w:spacing w:val="7"/>
          <w:highlight w:val="none"/>
        </w:rPr>
        <w:t>设计方案部分：见评标办法前附表；</w:t>
      </w:r>
    </w:p>
    <w:p w14:paraId="3CB11028">
      <w:pPr>
        <w:spacing w:before="150" w:line="219" w:lineRule="auto"/>
        <w:ind w:left="426"/>
        <w:rPr>
          <w:rFonts w:hint="eastAsia" w:ascii="宋体" w:hAnsi="宋体" w:eastAsia="宋体"/>
          <w:color w:val="auto"/>
          <w:spacing w:val="16"/>
          <w:highlight w:val="none"/>
        </w:rPr>
      </w:pPr>
      <w:r>
        <w:rPr>
          <w:rFonts w:ascii="宋体" w:hAnsi="宋体" w:eastAsia="宋体"/>
          <w:color w:val="auto"/>
          <w:spacing w:val="16"/>
          <w:highlight w:val="none"/>
        </w:rPr>
        <w:t>(</w:t>
      </w:r>
      <w:r>
        <w:rPr>
          <w:rFonts w:ascii="Times New Roman" w:hAnsi="Times New Roman" w:eastAsia="Times New Roman"/>
          <w:color w:val="auto"/>
          <w:spacing w:val="11"/>
          <w:highlight w:val="none"/>
        </w:rPr>
        <w:t>3</w:t>
      </w:r>
      <w:r>
        <w:rPr>
          <w:rFonts w:ascii="宋体" w:hAnsi="宋体" w:eastAsia="宋体"/>
          <w:color w:val="auto"/>
          <w:spacing w:val="8"/>
          <w:highlight w:val="none"/>
        </w:rPr>
        <w:t>)投标报价：见评标办法前附表；</w:t>
      </w:r>
    </w:p>
    <w:p w14:paraId="43920F36">
      <w:pPr>
        <w:spacing w:before="150" w:line="218" w:lineRule="auto"/>
        <w:ind w:left="426"/>
        <w:rPr>
          <w:rFonts w:hint="eastAsia" w:ascii="宋体" w:hAnsi="宋体" w:eastAsia="宋体"/>
          <w:color w:val="auto"/>
          <w:spacing w:val="16"/>
          <w:highlight w:val="none"/>
        </w:rPr>
      </w:pPr>
      <w:r>
        <w:rPr>
          <w:rFonts w:ascii="宋体" w:hAnsi="宋体" w:eastAsia="宋体"/>
          <w:color w:val="auto"/>
          <w:spacing w:val="16"/>
          <w:highlight w:val="none"/>
        </w:rPr>
        <w:t>(</w:t>
      </w:r>
      <w:r>
        <w:rPr>
          <w:rFonts w:ascii="Times New Roman" w:hAnsi="Times New Roman" w:eastAsia="Times New Roman"/>
          <w:color w:val="auto"/>
          <w:spacing w:val="13"/>
          <w:highlight w:val="none"/>
        </w:rPr>
        <w:t>4</w:t>
      </w:r>
      <w:r>
        <w:rPr>
          <w:rFonts w:ascii="宋体" w:hAnsi="宋体" w:eastAsia="宋体"/>
          <w:color w:val="auto"/>
          <w:spacing w:val="8"/>
          <w:highlight w:val="none"/>
        </w:rPr>
        <w:t>)其他评分因素：见评标办法前附表。</w:t>
      </w:r>
    </w:p>
    <w:p w14:paraId="73FCD9B0">
      <w:pPr>
        <w:spacing w:before="153" w:line="219" w:lineRule="auto"/>
        <w:ind w:left="417"/>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2.2.</w:t>
      </w:r>
      <w:r>
        <w:rPr>
          <w:rFonts w:ascii="Times New Roman" w:hAnsi="Times New Roman" w:eastAsia="Times New Roman"/>
          <w:color w:val="auto"/>
          <w:highlight w:val="none"/>
        </w:rPr>
        <w:t xml:space="preserve">2  </w:t>
      </w:r>
      <w:r>
        <w:rPr>
          <w:rFonts w:ascii="宋体" w:hAnsi="宋体" w:eastAsia="宋体"/>
          <w:color w:val="auto"/>
          <w:highlight w:val="none"/>
        </w:rPr>
        <w:t>评标基准价计算</w:t>
      </w:r>
    </w:p>
    <w:p w14:paraId="025DB6EA">
      <w:pPr>
        <w:spacing w:before="151" w:line="399" w:lineRule="exact"/>
        <w:ind w:left="420"/>
        <w:rPr>
          <w:rFonts w:hint="eastAsia" w:ascii="宋体" w:hAnsi="宋体" w:eastAsia="宋体"/>
          <w:color w:val="auto"/>
          <w:spacing w:val="-2"/>
          <w:position w:val="14"/>
          <w:highlight w:val="none"/>
        </w:rPr>
      </w:pPr>
      <w:r>
        <w:rPr>
          <w:rFonts w:ascii="宋体" w:hAnsi="宋体" w:eastAsia="宋体"/>
          <w:color w:val="auto"/>
          <w:spacing w:val="-2"/>
          <w:position w:val="14"/>
          <w:highlight w:val="none"/>
        </w:rPr>
        <w:t>评标基准价计算方法：见评标办法前附表</w:t>
      </w:r>
      <w:r>
        <w:rPr>
          <w:rFonts w:ascii="宋体" w:hAnsi="宋体" w:eastAsia="宋体"/>
          <w:color w:val="auto"/>
          <w:position w:val="14"/>
          <w:highlight w:val="none"/>
        </w:rPr>
        <w:t>。</w:t>
      </w:r>
    </w:p>
    <w:p w14:paraId="57223760">
      <w:pPr>
        <w:spacing w:before="1" w:line="218" w:lineRule="auto"/>
        <w:ind w:left="417"/>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2.2.</w:t>
      </w:r>
      <w:r>
        <w:rPr>
          <w:rFonts w:ascii="Times New Roman" w:hAnsi="Times New Roman" w:eastAsia="Times New Roman"/>
          <w:color w:val="auto"/>
          <w:highlight w:val="none"/>
        </w:rPr>
        <w:t xml:space="preserve">3  </w:t>
      </w:r>
      <w:r>
        <w:rPr>
          <w:rFonts w:ascii="宋体" w:hAnsi="宋体" w:eastAsia="宋体"/>
          <w:color w:val="auto"/>
          <w:highlight w:val="none"/>
        </w:rPr>
        <w:t>投标报价的偏差率计算</w:t>
      </w:r>
    </w:p>
    <w:p w14:paraId="37B911B9">
      <w:pPr>
        <w:spacing w:before="152" w:line="400" w:lineRule="exact"/>
        <w:ind w:left="423"/>
        <w:rPr>
          <w:rFonts w:hint="eastAsia" w:ascii="宋体" w:hAnsi="宋体" w:eastAsia="宋体"/>
          <w:color w:val="auto"/>
          <w:spacing w:val="-2"/>
          <w:position w:val="14"/>
          <w:highlight w:val="none"/>
        </w:rPr>
      </w:pPr>
      <w:r>
        <w:rPr>
          <w:rFonts w:ascii="宋体" w:hAnsi="宋体" w:eastAsia="宋体"/>
          <w:color w:val="auto"/>
          <w:spacing w:val="-2"/>
          <w:position w:val="14"/>
          <w:highlight w:val="none"/>
        </w:rPr>
        <w:t>投标报价的偏差率计算公式：见评标办</w:t>
      </w:r>
      <w:r>
        <w:rPr>
          <w:rFonts w:ascii="宋体" w:hAnsi="宋体" w:eastAsia="宋体"/>
          <w:color w:val="auto"/>
          <w:spacing w:val="-1"/>
          <w:position w:val="14"/>
          <w:highlight w:val="none"/>
        </w:rPr>
        <w:t>法前附表。</w:t>
      </w:r>
    </w:p>
    <w:p w14:paraId="75EBE2B8">
      <w:pPr>
        <w:spacing w:before="1" w:line="220" w:lineRule="auto"/>
        <w:ind w:left="417"/>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2.2.</w:t>
      </w:r>
      <w:r>
        <w:rPr>
          <w:rFonts w:ascii="Times New Roman" w:hAnsi="Times New Roman" w:eastAsia="Times New Roman"/>
          <w:color w:val="auto"/>
          <w:highlight w:val="none"/>
        </w:rPr>
        <w:t xml:space="preserve">4  </w:t>
      </w:r>
      <w:r>
        <w:rPr>
          <w:rFonts w:ascii="宋体" w:hAnsi="宋体" w:eastAsia="宋体"/>
          <w:color w:val="auto"/>
          <w:highlight w:val="none"/>
        </w:rPr>
        <w:t>评分标准</w:t>
      </w:r>
    </w:p>
    <w:p w14:paraId="02511712">
      <w:pPr>
        <w:spacing w:before="148" w:line="217" w:lineRule="auto"/>
        <w:ind w:left="426"/>
        <w:rPr>
          <w:rFonts w:hint="eastAsia" w:ascii="宋体" w:hAnsi="宋体" w:eastAsia="宋体"/>
          <w:color w:val="auto"/>
          <w:spacing w:val="7"/>
          <w:highlight w:val="none"/>
        </w:rPr>
      </w:pPr>
      <w:r>
        <w:rPr>
          <w:rFonts w:ascii="宋体" w:hAnsi="宋体" w:eastAsia="宋体"/>
          <w:color w:val="auto"/>
          <w:spacing w:val="7"/>
          <w:highlight w:val="none"/>
        </w:rPr>
        <w:t>(</w:t>
      </w:r>
      <w:r>
        <w:rPr>
          <w:rFonts w:ascii="Times New Roman" w:hAnsi="Times New Roman" w:eastAsia="Times New Roman"/>
          <w:color w:val="auto"/>
          <w:spacing w:val="7"/>
          <w:highlight w:val="none"/>
        </w:rPr>
        <w:t>1</w:t>
      </w:r>
      <w:r>
        <w:rPr>
          <w:rFonts w:ascii="宋体" w:hAnsi="宋体" w:eastAsia="宋体"/>
          <w:color w:val="auto"/>
          <w:spacing w:val="7"/>
          <w:highlight w:val="none"/>
        </w:rPr>
        <w:t>)资信业绩评分标准：见评标办法前附表；</w:t>
      </w:r>
    </w:p>
    <w:p w14:paraId="12116075">
      <w:pPr>
        <w:spacing w:before="153" w:line="220" w:lineRule="auto"/>
        <w:ind w:left="426"/>
        <w:rPr>
          <w:rFonts w:hint="eastAsia" w:ascii="宋体" w:hAnsi="宋体" w:eastAsia="宋体"/>
          <w:color w:val="auto"/>
          <w:spacing w:val="7"/>
          <w:highlight w:val="none"/>
        </w:rPr>
      </w:pPr>
      <w:r>
        <w:rPr>
          <w:rFonts w:ascii="宋体" w:hAnsi="宋体" w:eastAsia="宋体"/>
          <w:color w:val="auto"/>
          <w:spacing w:val="7"/>
          <w:highlight w:val="none"/>
        </w:rPr>
        <w:t>(</w:t>
      </w:r>
      <w:r>
        <w:rPr>
          <w:rFonts w:ascii="Times New Roman" w:hAnsi="Times New Roman" w:eastAsia="Times New Roman"/>
          <w:color w:val="auto"/>
          <w:spacing w:val="7"/>
          <w:highlight w:val="none"/>
        </w:rPr>
        <w:t>2</w:t>
      </w:r>
      <w:r>
        <w:rPr>
          <w:rFonts w:ascii="宋体" w:hAnsi="宋体" w:eastAsia="宋体"/>
          <w:color w:val="auto"/>
          <w:spacing w:val="7"/>
          <w:highlight w:val="none"/>
        </w:rPr>
        <w:t>)</w:t>
      </w:r>
      <w:r>
        <w:rPr>
          <w:rFonts w:hint="eastAsia" w:ascii="宋体" w:hAnsi="宋体" w:eastAsia="宋体"/>
          <w:color w:val="auto"/>
          <w:spacing w:val="7"/>
          <w:highlight w:val="none"/>
        </w:rPr>
        <w:t>勘察</w:t>
      </w:r>
      <w:r>
        <w:rPr>
          <w:rFonts w:ascii="宋体" w:hAnsi="宋体" w:eastAsia="宋体"/>
          <w:color w:val="auto"/>
          <w:spacing w:val="7"/>
          <w:highlight w:val="none"/>
        </w:rPr>
        <w:t>设计方案评分标准：见评标办法前附表；</w:t>
      </w:r>
    </w:p>
    <w:p w14:paraId="68448B61">
      <w:pPr>
        <w:spacing w:before="150" w:line="219" w:lineRule="auto"/>
        <w:ind w:left="426"/>
        <w:rPr>
          <w:rFonts w:hint="eastAsia" w:ascii="宋体" w:hAnsi="宋体" w:eastAsia="宋体"/>
          <w:color w:val="auto"/>
          <w:spacing w:val="7"/>
          <w:highlight w:val="none"/>
        </w:rPr>
      </w:pPr>
      <w:r>
        <w:rPr>
          <w:rFonts w:ascii="宋体" w:hAnsi="宋体" w:eastAsia="宋体"/>
          <w:color w:val="auto"/>
          <w:spacing w:val="7"/>
          <w:highlight w:val="none"/>
        </w:rPr>
        <w:t>(</w:t>
      </w:r>
      <w:r>
        <w:rPr>
          <w:rFonts w:ascii="Times New Roman" w:hAnsi="Times New Roman" w:eastAsia="Times New Roman"/>
          <w:color w:val="auto"/>
          <w:spacing w:val="7"/>
          <w:highlight w:val="none"/>
        </w:rPr>
        <w:t>3</w:t>
      </w:r>
      <w:r>
        <w:rPr>
          <w:rFonts w:ascii="宋体" w:hAnsi="宋体" w:eastAsia="宋体"/>
          <w:color w:val="auto"/>
          <w:spacing w:val="7"/>
          <w:highlight w:val="none"/>
        </w:rPr>
        <w:t>)投标报价评分标准：见评标办法前附表；</w:t>
      </w:r>
    </w:p>
    <w:p w14:paraId="675B3A64">
      <w:pPr>
        <w:spacing w:before="232" w:line="218" w:lineRule="auto"/>
        <w:ind w:left="428"/>
        <w:rPr>
          <w:rFonts w:hint="eastAsia" w:ascii="宋体" w:hAnsi="宋体" w:eastAsia="宋体"/>
          <w:color w:val="auto"/>
          <w:spacing w:val="5"/>
          <w:highlight w:val="none"/>
        </w:rPr>
      </w:pPr>
      <w:r>
        <w:rPr>
          <w:rFonts w:ascii="宋体" w:hAnsi="宋体" w:eastAsia="宋体"/>
          <w:color w:val="auto"/>
          <w:spacing w:val="8"/>
          <w:highlight w:val="none"/>
        </w:rPr>
        <w:t>(</w:t>
      </w:r>
      <w:r>
        <w:rPr>
          <w:rFonts w:ascii="Times New Roman" w:hAnsi="Times New Roman" w:eastAsia="Times New Roman"/>
          <w:color w:val="auto"/>
          <w:spacing w:val="8"/>
          <w:highlight w:val="none"/>
        </w:rPr>
        <w:t>4</w:t>
      </w:r>
      <w:r>
        <w:rPr>
          <w:rFonts w:ascii="宋体" w:hAnsi="宋体" w:eastAsia="宋体"/>
          <w:color w:val="auto"/>
          <w:spacing w:val="8"/>
          <w:highlight w:val="none"/>
        </w:rPr>
        <w:t>)其他因素评分标准：见评标办法前附表</w:t>
      </w:r>
      <w:r>
        <w:rPr>
          <w:rFonts w:ascii="宋体" w:hAnsi="宋体" w:eastAsia="宋体"/>
          <w:color w:val="auto"/>
          <w:spacing w:val="5"/>
          <w:highlight w:val="none"/>
        </w:rPr>
        <w:t>。</w:t>
      </w:r>
    </w:p>
    <w:p w14:paraId="06AD931B">
      <w:pPr>
        <w:spacing w:before="312" w:line="229" w:lineRule="auto"/>
        <w:ind w:left="135"/>
        <w:rPr>
          <w:rFonts w:hint="eastAsia" w:ascii="黑体" w:hAnsi="黑体" w:eastAsia="黑体" w:cs="黑体"/>
          <w:color w:val="auto"/>
          <w:spacing w:val="7"/>
          <w:sz w:val="27"/>
          <w:szCs w:val="27"/>
          <w:highlight w:val="none"/>
        </w:rPr>
      </w:pPr>
      <w:r>
        <w:rPr>
          <w:rFonts w:ascii="黑体" w:hAnsi="黑体" w:eastAsia="黑体" w:cs="黑体"/>
          <w:color w:val="auto"/>
          <w:spacing w:val="7"/>
          <w:sz w:val="27"/>
          <w:szCs w:val="27"/>
          <w:highlight w:val="none"/>
        </w:rPr>
        <w:t>2.3</w:t>
      </w:r>
      <w:bookmarkStart w:id="323" w:name="_Toc87007453"/>
      <w:r>
        <w:rPr>
          <w:rFonts w:ascii="黑体" w:hAnsi="黑体" w:eastAsia="黑体" w:cs="黑体"/>
          <w:color w:val="auto"/>
          <w:spacing w:val="7"/>
          <w:sz w:val="27"/>
          <w:szCs w:val="27"/>
          <w:highlight w:val="none"/>
        </w:rPr>
        <w:t xml:space="preserve"> 揭晓技术文件评审结果</w:t>
      </w:r>
      <w:bookmarkEnd w:id="323"/>
    </w:p>
    <w:p w14:paraId="3F20D090">
      <w:pPr>
        <w:spacing w:before="152" w:line="400" w:lineRule="exact"/>
        <w:ind w:left="423"/>
        <w:rPr>
          <w:rFonts w:hint="eastAsia" w:ascii="宋体" w:hAnsi="宋体" w:eastAsia="宋体"/>
          <w:color w:val="auto"/>
          <w:spacing w:val="5"/>
          <w:highlight w:val="none"/>
        </w:rPr>
      </w:pPr>
      <w:r>
        <w:rPr>
          <w:rFonts w:hint="eastAsia" w:eastAsia="宋体"/>
          <w:color w:val="auto"/>
          <w:highlight w:val="none"/>
        </w:rPr>
        <w:t>2.3</w:t>
      </w:r>
      <w:r>
        <w:rPr>
          <w:rFonts w:hint="eastAsia"/>
          <w:color w:val="auto"/>
          <w:highlight w:val="none"/>
        </w:rPr>
        <w:t>.1 由评标委员会在</w:t>
      </w:r>
      <w:r>
        <w:rPr>
          <w:rFonts w:hint="eastAsia" w:ascii="宋体" w:hAnsi="宋体" w:eastAsia="宋体"/>
          <w:color w:val="auto"/>
          <w:highlight w:val="none"/>
        </w:rPr>
        <w:t>中心</w:t>
      </w:r>
      <w:r>
        <w:rPr>
          <w:rFonts w:hint="eastAsia"/>
          <w:color w:val="auto"/>
          <w:highlight w:val="none"/>
        </w:rPr>
        <w:t>系统揭晓，系统自动形成暗标编码表显示各投标单位对应的编码，并由评标委员会确认投标人技术文件的评审得分。</w:t>
      </w:r>
    </w:p>
    <w:p w14:paraId="0BA74683">
      <w:pPr>
        <w:pStyle w:val="26"/>
        <w:spacing w:before="120" w:after="120"/>
        <w:outlineLvl w:val="9"/>
        <w:rPr>
          <w:rFonts w:ascii="Times New Roman" w:hAnsi="Times New Roman" w:eastAsiaTheme="minorEastAsia"/>
          <w:bCs/>
          <w:color w:val="auto"/>
          <w:spacing w:val="9"/>
          <w:sz w:val="31"/>
          <w:szCs w:val="31"/>
          <w:highlight w:val="none"/>
        </w:rPr>
      </w:pPr>
      <w:bookmarkStart w:id="324" w:name="_Toc24443"/>
      <w:bookmarkStart w:id="325" w:name="_Toc6084"/>
      <w:bookmarkStart w:id="326" w:name="_Toc14114"/>
      <w:bookmarkStart w:id="327" w:name="_Toc16620"/>
      <w:bookmarkStart w:id="328" w:name="_Toc15057"/>
    </w:p>
    <w:p w14:paraId="2846C192">
      <w:pPr>
        <w:pStyle w:val="26"/>
        <w:spacing w:before="120" w:after="120"/>
        <w:outlineLvl w:val="9"/>
        <w:rPr>
          <w:rFonts w:ascii="Times New Roman" w:hAnsi="Times New Roman" w:eastAsia="Times New Roman"/>
          <w:bCs/>
          <w:color w:val="auto"/>
          <w:spacing w:val="9"/>
          <w:sz w:val="31"/>
          <w:szCs w:val="31"/>
          <w:highlight w:val="none"/>
        </w:rPr>
      </w:pPr>
      <w:r>
        <w:rPr>
          <w:rFonts w:ascii="Times New Roman" w:hAnsi="Times New Roman" w:eastAsia="Times New Roman"/>
          <w:bCs/>
          <w:color w:val="auto"/>
          <w:spacing w:val="9"/>
          <w:sz w:val="31"/>
          <w:szCs w:val="31"/>
          <w:highlight w:val="none"/>
        </w:rPr>
        <w:t>3</w:t>
      </w:r>
      <w:r>
        <w:rPr>
          <w:rFonts w:ascii="Times New Roman" w:hAnsi="Times New Roman" w:eastAsia="Times New Roman"/>
          <w:bCs/>
          <w:color w:val="auto"/>
          <w:spacing w:val="6"/>
          <w:sz w:val="31"/>
          <w:szCs w:val="31"/>
          <w:highlight w:val="none"/>
        </w:rPr>
        <w:t>.</w:t>
      </w:r>
      <w:r>
        <w:rPr>
          <w:rFonts w:ascii="Times New Roman" w:hAnsi="Times New Roman" w:eastAsia="Times New Roman"/>
          <w:color w:val="auto"/>
          <w:spacing w:val="6"/>
          <w:sz w:val="31"/>
          <w:szCs w:val="31"/>
          <w:highlight w:val="none"/>
        </w:rPr>
        <w:t xml:space="preserve">  </w:t>
      </w:r>
      <w:r>
        <w:rPr>
          <w:rFonts w:ascii="黑体" w:hAnsi="黑体" w:eastAsia="黑体"/>
          <w:color w:val="auto"/>
          <w:spacing w:val="6"/>
          <w:sz w:val="31"/>
          <w:szCs w:val="31"/>
          <w:highlight w:val="none"/>
        </w:rPr>
        <w:t>评标程序</w:t>
      </w:r>
      <w:bookmarkEnd w:id="324"/>
      <w:bookmarkEnd w:id="325"/>
      <w:bookmarkEnd w:id="326"/>
      <w:bookmarkEnd w:id="327"/>
      <w:bookmarkEnd w:id="328"/>
    </w:p>
    <w:p w14:paraId="378D3DE1">
      <w:pPr>
        <w:spacing w:line="247" w:lineRule="auto"/>
        <w:rPr>
          <w:color w:val="auto"/>
          <w:highlight w:val="none"/>
        </w:rPr>
      </w:pPr>
    </w:p>
    <w:p w14:paraId="3E2550A1">
      <w:pPr>
        <w:rPr>
          <w:rFonts w:ascii="Times New Roman" w:hAnsi="Times New Roman" w:eastAsia="Times New Roman"/>
          <w:color w:val="auto"/>
          <w:spacing w:val="7"/>
          <w:sz w:val="27"/>
          <w:szCs w:val="27"/>
          <w:highlight w:val="none"/>
        </w:rPr>
      </w:pPr>
      <w:bookmarkStart w:id="329" w:name="_Toc27749"/>
      <w:bookmarkStart w:id="330" w:name="_Toc12442"/>
      <w:bookmarkStart w:id="331" w:name="_Toc6976"/>
      <w:bookmarkStart w:id="332" w:name="_Toc15440"/>
      <w:bookmarkStart w:id="333" w:name="_Toc18050"/>
      <w:r>
        <w:rPr>
          <w:rFonts w:ascii="Times New Roman" w:hAnsi="Times New Roman" w:eastAsia="Times New Roman"/>
          <w:color w:val="auto"/>
          <w:spacing w:val="7"/>
          <w:sz w:val="27"/>
          <w:szCs w:val="27"/>
          <w:highlight w:val="none"/>
        </w:rPr>
        <w:t>3</w:t>
      </w:r>
      <w:r>
        <w:rPr>
          <w:rFonts w:ascii="Times New Roman" w:hAnsi="Times New Roman" w:eastAsia="Times New Roman"/>
          <w:color w:val="auto"/>
          <w:spacing w:val="5"/>
          <w:sz w:val="27"/>
          <w:szCs w:val="27"/>
          <w:highlight w:val="none"/>
        </w:rPr>
        <w:t xml:space="preserve">.1  </w:t>
      </w:r>
      <w:r>
        <w:rPr>
          <w:rFonts w:ascii="黑体" w:hAnsi="黑体" w:eastAsia="黑体"/>
          <w:color w:val="auto"/>
          <w:spacing w:val="5"/>
          <w:sz w:val="27"/>
          <w:szCs w:val="27"/>
          <w:highlight w:val="none"/>
        </w:rPr>
        <w:t>初步评审</w:t>
      </w:r>
      <w:bookmarkEnd w:id="329"/>
      <w:bookmarkEnd w:id="330"/>
      <w:bookmarkEnd w:id="331"/>
      <w:bookmarkEnd w:id="332"/>
      <w:bookmarkEnd w:id="333"/>
    </w:p>
    <w:p w14:paraId="090C7B77">
      <w:pPr>
        <w:spacing w:line="314" w:lineRule="auto"/>
        <w:rPr>
          <w:color w:val="auto"/>
          <w:highlight w:val="none"/>
        </w:rPr>
      </w:pPr>
    </w:p>
    <w:p w14:paraId="75DC70E4">
      <w:pPr>
        <w:spacing w:before="68" w:line="352" w:lineRule="auto"/>
        <w:ind w:left="2" w:right="67" w:firstLine="421"/>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3.1.1  </w:t>
      </w:r>
      <w:r>
        <w:rPr>
          <w:rFonts w:ascii="宋体" w:hAnsi="宋体" w:eastAsia="宋体"/>
          <w:color w:val="auto"/>
          <w:spacing w:val="-2"/>
          <w:highlight w:val="none"/>
        </w:rPr>
        <w:t>评</w:t>
      </w:r>
      <w:r>
        <w:rPr>
          <w:rFonts w:ascii="宋体" w:hAnsi="宋体" w:eastAsia="宋体"/>
          <w:color w:val="auto"/>
          <w:spacing w:val="-1"/>
          <w:highlight w:val="none"/>
        </w:rPr>
        <w:t>标委员会可以要求投标人提交第二章</w:t>
      </w:r>
      <w:r>
        <w:rPr>
          <w:rFonts w:ascii="Times New Roman" w:hAnsi="Times New Roman" w:eastAsia="Times New Roman"/>
          <w:color w:val="auto"/>
          <w:spacing w:val="-1"/>
          <w:highlight w:val="none"/>
        </w:rPr>
        <w:t>“</w:t>
      </w:r>
      <w:r>
        <w:rPr>
          <w:rFonts w:ascii="宋体" w:hAnsi="宋体" w:eastAsia="宋体"/>
          <w:color w:val="auto"/>
          <w:spacing w:val="-1"/>
          <w:highlight w:val="none"/>
        </w:rPr>
        <w:t>投标人须知</w:t>
      </w:r>
      <w:r>
        <w:rPr>
          <w:rFonts w:ascii="Times New Roman" w:hAnsi="Times New Roman" w:eastAsia="Times New Roman"/>
          <w:color w:val="auto"/>
          <w:spacing w:val="-1"/>
          <w:highlight w:val="none"/>
        </w:rPr>
        <w:t>”</w:t>
      </w:r>
      <w:r>
        <w:rPr>
          <w:rFonts w:ascii="宋体" w:hAnsi="宋体" w:eastAsia="宋体"/>
          <w:color w:val="auto"/>
          <w:spacing w:val="-1"/>
          <w:highlight w:val="none"/>
        </w:rPr>
        <w:t>规定的有关证明和证件的原件，</w:t>
      </w:r>
      <w:r>
        <w:rPr>
          <w:rFonts w:ascii="宋体" w:hAnsi="宋体" w:eastAsia="宋体"/>
          <w:color w:val="auto"/>
          <w:highlight w:val="none"/>
        </w:rPr>
        <w:t xml:space="preserve"> </w:t>
      </w:r>
      <w:r>
        <w:rPr>
          <w:rFonts w:ascii="宋体" w:hAnsi="宋体" w:eastAsia="宋体"/>
          <w:color w:val="auto"/>
          <w:spacing w:val="1"/>
          <w:highlight w:val="none"/>
        </w:rPr>
        <w:t>以便核验。评标委员会依据本章</w:t>
      </w:r>
      <w:r>
        <w:rPr>
          <w:rFonts w:ascii="宋体" w:hAnsi="宋体" w:eastAsia="宋体"/>
          <w:color w:val="auto"/>
          <w:highlight w:val="none"/>
        </w:rPr>
        <w:t>第</w:t>
      </w:r>
      <w:r>
        <w:rPr>
          <w:rFonts w:ascii="Times New Roman" w:hAnsi="Times New Roman" w:eastAsia="Times New Roman"/>
          <w:color w:val="auto"/>
          <w:highlight w:val="none"/>
        </w:rPr>
        <w:t xml:space="preserve">2.1 </w:t>
      </w:r>
      <w:r>
        <w:rPr>
          <w:rFonts w:ascii="宋体" w:hAnsi="宋体" w:eastAsia="宋体"/>
          <w:color w:val="auto"/>
          <w:highlight w:val="none"/>
        </w:rPr>
        <w:t>款规定的标准对投标文件进行初步评审。有一项不符合</w:t>
      </w:r>
      <w:r>
        <w:rPr>
          <w:rFonts w:ascii="宋体" w:hAnsi="宋体" w:eastAsia="宋体"/>
          <w:color w:val="auto"/>
          <w:spacing w:val="-2"/>
          <w:highlight w:val="none"/>
        </w:rPr>
        <w:t>评审标准的，评标委员会应当否决其投标</w:t>
      </w:r>
      <w:r>
        <w:rPr>
          <w:rFonts w:ascii="宋体" w:hAnsi="宋体" w:eastAsia="宋体"/>
          <w:color w:val="auto"/>
          <w:highlight w:val="none"/>
        </w:rPr>
        <w:t>。</w:t>
      </w:r>
    </w:p>
    <w:p w14:paraId="0502BC8E">
      <w:pPr>
        <w:spacing w:before="1" w:line="216" w:lineRule="auto"/>
        <w:ind w:left="423"/>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3.1.2  </w:t>
      </w:r>
      <w:r>
        <w:rPr>
          <w:rFonts w:ascii="宋体" w:hAnsi="宋体" w:eastAsia="宋体"/>
          <w:color w:val="auto"/>
          <w:spacing w:val="-2"/>
          <w:highlight w:val="none"/>
        </w:rPr>
        <w:t>投标人有以下情形之一的，评标委员会</w:t>
      </w:r>
      <w:r>
        <w:rPr>
          <w:rFonts w:ascii="宋体" w:hAnsi="宋体" w:eastAsia="宋体"/>
          <w:color w:val="auto"/>
          <w:spacing w:val="-1"/>
          <w:highlight w:val="none"/>
        </w:rPr>
        <w:t>应当否决其投标：</w:t>
      </w:r>
    </w:p>
    <w:p w14:paraId="60D6A6FB">
      <w:pPr>
        <w:spacing w:before="152" w:line="352" w:lineRule="auto"/>
        <w:ind w:left="3" w:right="74" w:firstLine="424"/>
        <w:rPr>
          <w:rFonts w:hint="eastAsia" w:ascii="宋体" w:hAnsi="宋体" w:eastAsia="宋体"/>
          <w:color w:val="auto"/>
          <w:spacing w:val="1"/>
          <w:highlight w:val="none"/>
        </w:rPr>
      </w:pPr>
      <w:r>
        <w:rPr>
          <w:rFonts w:ascii="宋体" w:hAnsi="宋体" w:eastAsia="宋体"/>
          <w:color w:val="auto"/>
          <w:spacing w:val="1"/>
          <w:highlight w:val="none"/>
        </w:rPr>
        <w:t>(</w:t>
      </w:r>
      <w:r>
        <w:rPr>
          <w:rFonts w:ascii="Times New Roman" w:hAnsi="Times New Roman" w:eastAsia="Times New Roman"/>
          <w:color w:val="auto"/>
          <w:spacing w:val="1"/>
          <w:highlight w:val="none"/>
        </w:rPr>
        <w:t>1</w:t>
      </w:r>
      <w:r>
        <w:rPr>
          <w:rFonts w:ascii="宋体" w:hAnsi="宋体" w:eastAsia="宋体"/>
          <w:color w:val="auto"/>
          <w:spacing w:val="1"/>
          <w:highlight w:val="none"/>
        </w:rPr>
        <w:t>) 投标文件没有对招标文件的</w:t>
      </w:r>
      <w:r>
        <w:rPr>
          <w:rFonts w:ascii="宋体" w:hAnsi="宋体" w:eastAsia="宋体"/>
          <w:color w:val="auto"/>
          <w:highlight w:val="none"/>
        </w:rPr>
        <w:t xml:space="preserve">实质性要求和条件作出响应，或者对招标文件的偏差超出 </w:t>
      </w:r>
      <w:r>
        <w:rPr>
          <w:rFonts w:ascii="宋体" w:hAnsi="宋体" w:eastAsia="宋体"/>
          <w:color w:val="auto"/>
          <w:spacing w:val="-6"/>
          <w:highlight w:val="none"/>
        </w:rPr>
        <w:t>招</w:t>
      </w:r>
      <w:r>
        <w:rPr>
          <w:rFonts w:ascii="宋体" w:hAnsi="宋体" w:eastAsia="宋体"/>
          <w:color w:val="auto"/>
          <w:spacing w:val="-3"/>
          <w:highlight w:val="none"/>
        </w:rPr>
        <w:t>标文件规定的偏差范围或最高项数；</w:t>
      </w:r>
    </w:p>
    <w:p w14:paraId="44A9B21B">
      <w:pPr>
        <w:spacing w:before="1" w:line="219" w:lineRule="auto"/>
        <w:ind w:left="428"/>
        <w:rPr>
          <w:rFonts w:hint="eastAsia" w:ascii="宋体" w:hAnsi="宋体" w:eastAsia="宋体"/>
          <w:color w:val="auto"/>
          <w:spacing w:val="14"/>
          <w:highlight w:val="none"/>
        </w:rPr>
      </w:pPr>
      <w:r>
        <w:rPr>
          <w:rFonts w:ascii="宋体" w:hAnsi="宋体" w:eastAsia="宋体"/>
          <w:color w:val="auto"/>
          <w:spacing w:val="14"/>
          <w:highlight w:val="none"/>
        </w:rPr>
        <w:t>(</w:t>
      </w:r>
      <w:r>
        <w:rPr>
          <w:rFonts w:ascii="Times New Roman" w:hAnsi="Times New Roman" w:eastAsia="Times New Roman"/>
          <w:color w:val="auto"/>
          <w:spacing w:val="11"/>
          <w:highlight w:val="none"/>
        </w:rPr>
        <w:t>2</w:t>
      </w:r>
      <w:r>
        <w:rPr>
          <w:rFonts w:ascii="宋体" w:hAnsi="宋体" w:eastAsia="宋体"/>
          <w:color w:val="auto"/>
          <w:spacing w:val="7"/>
          <w:highlight w:val="none"/>
        </w:rPr>
        <w:t>)有</w:t>
      </w:r>
      <w:r>
        <w:rPr>
          <w:rFonts w:hint="eastAsia" w:ascii="宋体" w:hAnsi="宋体" w:eastAsia="宋体"/>
          <w:color w:val="auto"/>
          <w:spacing w:val="7"/>
          <w:highlight w:val="none"/>
        </w:rPr>
        <w:t>以他人名义投标、</w:t>
      </w:r>
      <w:r>
        <w:rPr>
          <w:rFonts w:ascii="宋体" w:hAnsi="宋体" w:eastAsia="宋体"/>
          <w:color w:val="auto"/>
          <w:spacing w:val="7"/>
          <w:highlight w:val="none"/>
        </w:rPr>
        <w:t>串通投标、弄虚作假、行贿等违法行为。</w:t>
      </w:r>
    </w:p>
    <w:p w14:paraId="57F5453B">
      <w:pPr>
        <w:spacing w:before="152" w:line="352" w:lineRule="auto"/>
        <w:ind w:left="3" w:right="74" w:firstLine="424"/>
        <w:rPr>
          <w:rFonts w:hint="eastAsia" w:ascii="宋体" w:hAnsi="宋体" w:eastAsia="宋体"/>
          <w:color w:val="auto"/>
          <w:spacing w:val="1"/>
          <w:highlight w:val="none"/>
        </w:rPr>
      </w:pPr>
      <w:r>
        <w:rPr>
          <w:rFonts w:ascii="宋体" w:hAnsi="宋体" w:eastAsia="宋体"/>
          <w:color w:val="auto"/>
          <w:spacing w:val="1"/>
          <w:highlight w:val="none"/>
        </w:rPr>
        <w:t>（3）以向招标人或者评标委员会成员行贿的手段谋取中标</w:t>
      </w:r>
      <w:r>
        <w:rPr>
          <w:rFonts w:hint="eastAsia" w:ascii="宋体" w:hAnsi="宋体" w:eastAsia="宋体"/>
          <w:color w:val="auto"/>
          <w:spacing w:val="1"/>
          <w:highlight w:val="none"/>
        </w:rPr>
        <w:t>。</w:t>
      </w:r>
    </w:p>
    <w:p w14:paraId="582C4216">
      <w:pPr>
        <w:spacing w:before="149" w:line="352" w:lineRule="auto"/>
        <w:ind w:left="6" w:right="74" w:firstLine="417"/>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3.</w:t>
      </w:r>
      <w:r>
        <w:rPr>
          <w:rFonts w:ascii="Times New Roman" w:hAnsi="Times New Roman" w:eastAsia="Times New Roman"/>
          <w:color w:val="auto"/>
          <w:spacing w:val="-5"/>
          <w:highlight w:val="none"/>
        </w:rPr>
        <w:t>1</w:t>
      </w:r>
      <w:r>
        <w:rPr>
          <w:rFonts w:ascii="Times New Roman" w:hAnsi="Times New Roman" w:eastAsia="Times New Roman"/>
          <w:color w:val="auto"/>
          <w:spacing w:val="-4"/>
          <w:highlight w:val="none"/>
        </w:rPr>
        <w:t xml:space="preserve">.3  </w:t>
      </w:r>
      <w:r>
        <w:rPr>
          <w:rFonts w:ascii="宋体" w:hAnsi="宋体" w:eastAsia="宋体"/>
          <w:color w:val="auto"/>
          <w:spacing w:val="-4"/>
          <w:highlight w:val="none"/>
        </w:rPr>
        <w:t>投标报价有算术错误及其他错误的，评标委员会按以下原则要求投标人对投标报价进</w:t>
      </w:r>
      <w:r>
        <w:rPr>
          <w:rFonts w:ascii="宋体" w:hAnsi="宋体" w:eastAsia="宋体"/>
          <w:color w:val="auto"/>
          <w:spacing w:val="-2"/>
          <w:highlight w:val="none"/>
        </w:rPr>
        <w:t>行修正，并要求投标人书面澄清确认。投</w:t>
      </w:r>
      <w:r>
        <w:rPr>
          <w:rFonts w:ascii="宋体" w:hAnsi="宋体" w:eastAsia="宋体"/>
          <w:color w:val="auto"/>
          <w:spacing w:val="-1"/>
          <w:highlight w:val="none"/>
        </w:rPr>
        <w:t>标人拒不澄清确认的，评标委员会应当否决其投标：</w:t>
      </w:r>
    </w:p>
    <w:p w14:paraId="00B26E91">
      <w:pPr>
        <w:spacing w:before="1" w:line="218" w:lineRule="auto"/>
        <w:ind w:left="428"/>
        <w:rPr>
          <w:rFonts w:hint="eastAsia" w:ascii="宋体" w:hAnsi="宋体" w:eastAsia="宋体"/>
          <w:color w:val="auto"/>
          <w:spacing w:val="8"/>
          <w:highlight w:val="none"/>
        </w:rPr>
      </w:pPr>
      <w:r>
        <w:rPr>
          <w:rFonts w:ascii="宋体" w:hAnsi="宋体" w:eastAsia="宋体"/>
          <w:color w:val="auto"/>
          <w:spacing w:val="8"/>
          <w:highlight w:val="none"/>
        </w:rPr>
        <w:t>(</w:t>
      </w:r>
      <w:r>
        <w:rPr>
          <w:rFonts w:ascii="Times New Roman" w:hAnsi="Times New Roman" w:eastAsia="Times New Roman"/>
          <w:color w:val="auto"/>
          <w:spacing w:val="8"/>
          <w:highlight w:val="none"/>
        </w:rPr>
        <w:t>1</w:t>
      </w:r>
      <w:r>
        <w:rPr>
          <w:rFonts w:ascii="宋体" w:hAnsi="宋体" w:eastAsia="宋体"/>
          <w:color w:val="auto"/>
          <w:spacing w:val="8"/>
          <w:highlight w:val="none"/>
        </w:rPr>
        <w:t>)投标</w:t>
      </w:r>
      <w:r>
        <w:rPr>
          <w:rFonts w:ascii="宋体" w:hAnsi="宋体" w:eastAsia="宋体"/>
          <w:color w:val="auto"/>
          <w:spacing w:val="7"/>
          <w:highlight w:val="none"/>
        </w:rPr>
        <w:t>文</w:t>
      </w:r>
      <w:r>
        <w:rPr>
          <w:rFonts w:ascii="宋体" w:hAnsi="宋体" w:eastAsia="宋体"/>
          <w:color w:val="auto"/>
          <w:spacing w:val="4"/>
          <w:highlight w:val="none"/>
        </w:rPr>
        <w:t>件中的大写金额与小写金额不一致的，以大写金额为准；</w:t>
      </w:r>
    </w:p>
    <w:p w14:paraId="3B867484">
      <w:pPr>
        <w:spacing w:before="151" w:line="362" w:lineRule="auto"/>
        <w:ind w:left="7" w:right="74" w:firstLine="421"/>
        <w:rPr>
          <w:rFonts w:hint="eastAsia" w:ascii="宋体" w:hAnsi="宋体" w:eastAsia="宋体"/>
          <w:color w:val="auto"/>
          <w:spacing w:val="-10"/>
          <w:highlight w:val="none"/>
        </w:rPr>
      </w:pPr>
      <w:r>
        <w:rPr>
          <w:rFonts w:ascii="宋体" w:hAnsi="宋体" w:eastAsia="宋体"/>
          <w:color w:val="auto"/>
          <w:spacing w:val="-8"/>
          <w:highlight w:val="none"/>
        </w:rPr>
        <w:t>(</w:t>
      </w:r>
      <w:r>
        <w:rPr>
          <w:rFonts w:ascii="Times New Roman" w:hAnsi="Times New Roman" w:eastAsia="Times New Roman"/>
          <w:color w:val="auto"/>
          <w:spacing w:val="-8"/>
          <w:highlight w:val="none"/>
        </w:rPr>
        <w:t>2</w:t>
      </w:r>
      <w:r>
        <w:rPr>
          <w:rFonts w:ascii="宋体" w:hAnsi="宋体" w:eastAsia="宋体"/>
          <w:color w:val="auto"/>
          <w:spacing w:val="-8"/>
          <w:highlight w:val="none"/>
        </w:rPr>
        <w:t>) 总</w:t>
      </w:r>
      <w:r>
        <w:rPr>
          <w:rFonts w:ascii="宋体" w:hAnsi="宋体" w:eastAsia="宋体"/>
          <w:color w:val="auto"/>
          <w:spacing w:val="-6"/>
          <w:highlight w:val="none"/>
        </w:rPr>
        <w:t>价</w:t>
      </w:r>
      <w:r>
        <w:rPr>
          <w:rFonts w:ascii="宋体" w:hAnsi="宋体" w:eastAsia="宋体"/>
          <w:color w:val="auto"/>
          <w:spacing w:val="-4"/>
          <w:highlight w:val="none"/>
        </w:rPr>
        <w:t>金额与单价金额不一致的，以单价金额为准，但单价金额小数点有明显错误的除</w:t>
      </w:r>
      <w:r>
        <w:rPr>
          <w:rFonts w:ascii="宋体" w:hAnsi="宋体" w:eastAsia="宋体"/>
          <w:color w:val="auto"/>
          <w:spacing w:val="-11"/>
          <w:highlight w:val="none"/>
        </w:rPr>
        <w:t>外</w:t>
      </w:r>
      <w:r>
        <w:rPr>
          <w:rFonts w:ascii="宋体" w:hAnsi="宋体" w:eastAsia="宋体"/>
          <w:color w:val="auto"/>
          <w:spacing w:val="-10"/>
          <w:highlight w:val="none"/>
        </w:rPr>
        <w:t>。</w:t>
      </w:r>
    </w:p>
    <w:p w14:paraId="64D84527">
      <w:pPr>
        <w:pStyle w:val="9"/>
        <w:rPr>
          <w:rFonts w:eastAsiaTheme="minorEastAsia"/>
          <w:color w:val="auto"/>
          <w:highlight w:val="none"/>
        </w:rPr>
      </w:pPr>
    </w:p>
    <w:p w14:paraId="45DE76FC">
      <w:pPr>
        <w:rPr>
          <w:rFonts w:ascii="Times New Roman" w:hAnsi="Times New Roman" w:eastAsia="Times New Roman"/>
          <w:color w:val="auto"/>
          <w:spacing w:val="7"/>
          <w:sz w:val="27"/>
          <w:szCs w:val="27"/>
          <w:highlight w:val="none"/>
        </w:rPr>
      </w:pPr>
      <w:bookmarkStart w:id="334" w:name="_Toc11953"/>
      <w:bookmarkStart w:id="335" w:name="_Toc28201"/>
      <w:bookmarkStart w:id="336" w:name="_Toc22441"/>
      <w:bookmarkStart w:id="337" w:name="_Toc23010"/>
      <w:bookmarkStart w:id="338" w:name="_Toc6309"/>
      <w:r>
        <w:rPr>
          <w:rFonts w:ascii="Times New Roman" w:hAnsi="Times New Roman" w:eastAsia="Times New Roman"/>
          <w:color w:val="auto"/>
          <w:spacing w:val="7"/>
          <w:sz w:val="27"/>
          <w:szCs w:val="27"/>
          <w:highlight w:val="none"/>
        </w:rPr>
        <w:t>3</w:t>
      </w:r>
      <w:r>
        <w:rPr>
          <w:rFonts w:ascii="Times New Roman" w:hAnsi="Times New Roman" w:eastAsia="Times New Roman"/>
          <w:color w:val="auto"/>
          <w:spacing w:val="5"/>
          <w:sz w:val="27"/>
          <w:szCs w:val="27"/>
          <w:highlight w:val="none"/>
        </w:rPr>
        <w:t xml:space="preserve">.2  </w:t>
      </w:r>
      <w:r>
        <w:rPr>
          <w:rFonts w:ascii="黑体" w:hAnsi="黑体" w:eastAsia="黑体"/>
          <w:color w:val="auto"/>
          <w:spacing w:val="5"/>
          <w:sz w:val="27"/>
          <w:szCs w:val="27"/>
          <w:highlight w:val="none"/>
        </w:rPr>
        <w:t>详细评审</w:t>
      </w:r>
      <w:bookmarkEnd w:id="334"/>
      <w:bookmarkEnd w:id="335"/>
      <w:bookmarkEnd w:id="336"/>
      <w:bookmarkEnd w:id="337"/>
      <w:bookmarkEnd w:id="338"/>
    </w:p>
    <w:p w14:paraId="0DD77FE2">
      <w:pPr>
        <w:spacing w:line="312" w:lineRule="auto"/>
        <w:rPr>
          <w:color w:val="auto"/>
          <w:highlight w:val="none"/>
        </w:rPr>
      </w:pPr>
    </w:p>
    <w:p w14:paraId="3221BCE9">
      <w:pPr>
        <w:tabs>
          <w:tab w:val="left" w:pos="532"/>
        </w:tabs>
        <w:spacing w:before="69" w:line="352" w:lineRule="auto"/>
        <w:ind w:left="428" w:hanging="5"/>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 xml:space="preserve">3.2.1 </w:t>
      </w:r>
      <w:r>
        <w:rPr>
          <w:rFonts w:ascii="Times New Roman" w:hAnsi="Times New Roman" w:eastAsia="Times New Roman"/>
          <w:color w:val="auto"/>
          <w:spacing w:val="-7"/>
          <w:highlight w:val="none"/>
        </w:rPr>
        <w:t xml:space="preserve"> </w:t>
      </w:r>
      <w:r>
        <w:rPr>
          <w:rFonts w:ascii="宋体" w:hAnsi="宋体" w:eastAsia="宋体"/>
          <w:color w:val="auto"/>
          <w:spacing w:val="-4"/>
          <w:highlight w:val="none"/>
        </w:rPr>
        <w:t xml:space="preserve">评标委员会按本章第 </w:t>
      </w:r>
      <w:r>
        <w:rPr>
          <w:rFonts w:ascii="Times New Roman" w:hAnsi="Times New Roman" w:eastAsia="Times New Roman"/>
          <w:color w:val="auto"/>
          <w:spacing w:val="-4"/>
          <w:highlight w:val="none"/>
        </w:rPr>
        <w:t xml:space="preserve">2.2 </w:t>
      </w:r>
      <w:r>
        <w:rPr>
          <w:rFonts w:ascii="宋体" w:hAnsi="宋体" w:eastAsia="宋体"/>
          <w:color w:val="auto"/>
          <w:spacing w:val="-4"/>
          <w:highlight w:val="none"/>
        </w:rPr>
        <w:t>款规定的量化因素和分值进行打分，并计算出综合评估得分。</w:t>
      </w:r>
      <w:r>
        <w:rPr>
          <w:rFonts w:ascii="宋体" w:hAnsi="宋体" w:eastAsia="宋体"/>
          <w:color w:val="auto"/>
          <w:highlight w:val="none"/>
        </w:rPr>
        <w:t xml:space="preserve"> </w:t>
      </w:r>
      <w:r>
        <w:rPr>
          <w:rFonts w:ascii="宋体" w:hAnsi="宋体" w:eastAsia="宋体"/>
          <w:color w:val="auto"/>
          <w:highlight w:val="none"/>
        </w:rPr>
        <w:tab/>
      </w:r>
      <w:r>
        <w:rPr>
          <w:rFonts w:ascii="宋体" w:hAnsi="宋体" w:eastAsia="宋体"/>
          <w:color w:val="auto"/>
          <w:spacing w:val="4"/>
          <w:highlight w:val="none"/>
        </w:rPr>
        <w:t>(</w:t>
      </w:r>
      <w:r>
        <w:rPr>
          <w:rFonts w:ascii="Times New Roman" w:hAnsi="Times New Roman" w:eastAsia="Times New Roman"/>
          <w:color w:val="auto"/>
          <w:spacing w:val="4"/>
          <w:highlight w:val="none"/>
        </w:rPr>
        <w:t>1</w:t>
      </w:r>
      <w:r>
        <w:rPr>
          <w:rFonts w:ascii="宋体" w:hAnsi="宋体" w:eastAsia="宋体"/>
          <w:color w:val="auto"/>
          <w:spacing w:val="3"/>
          <w:highlight w:val="none"/>
        </w:rPr>
        <w:t>)</w:t>
      </w:r>
      <w:r>
        <w:rPr>
          <w:rFonts w:ascii="宋体" w:hAnsi="宋体" w:eastAsia="宋体"/>
          <w:color w:val="auto"/>
          <w:spacing w:val="2"/>
          <w:highlight w:val="none"/>
        </w:rPr>
        <w:t xml:space="preserve">按本章第 </w:t>
      </w:r>
      <w:r>
        <w:rPr>
          <w:rFonts w:ascii="Times New Roman" w:hAnsi="Times New Roman" w:eastAsia="Times New Roman"/>
          <w:color w:val="auto"/>
          <w:spacing w:val="2"/>
          <w:highlight w:val="none"/>
        </w:rPr>
        <w:t xml:space="preserve">2.2.4  </w:t>
      </w:r>
      <w:r>
        <w:rPr>
          <w:rFonts w:ascii="宋体" w:hAnsi="宋体" w:eastAsia="宋体"/>
          <w:color w:val="auto"/>
          <w:spacing w:val="2"/>
          <w:highlight w:val="none"/>
        </w:rPr>
        <w:t>(</w:t>
      </w:r>
      <w:r>
        <w:rPr>
          <w:rFonts w:ascii="Times New Roman" w:hAnsi="Times New Roman" w:eastAsia="Times New Roman"/>
          <w:color w:val="auto"/>
          <w:spacing w:val="2"/>
          <w:highlight w:val="none"/>
        </w:rPr>
        <w:t>1</w:t>
      </w:r>
      <w:r>
        <w:rPr>
          <w:rFonts w:ascii="宋体" w:hAnsi="宋体" w:eastAsia="宋体"/>
          <w:color w:val="auto"/>
          <w:spacing w:val="2"/>
          <w:highlight w:val="none"/>
        </w:rPr>
        <w:t>)目规定的评审因素和分值对资信业绩部分计算出得分</w:t>
      </w:r>
      <w:r>
        <w:rPr>
          <w:rFonts w:ascii="Times New Roman" w:hAnsi="Times New Roman" w:eastAsia="Times New Roman"/>
          <w:color w:val="auto"/>
          <w:highlight w:val="none"/>
        </w:rPr>
        <w:t>A</w:t>
      </w:r>
      <w:r>
        <w:rPr>
          <w:rFonts w:hint="eastAsia" w:ascii="Times New Roman" w:hAnsi="Times New Roman" w:eastAsia="宋体"/>
          <w:color w:val="auto"/>
          <w:highlight w:val="none"/>
        </w:rPr>
        <w:t>，</w:t>
      </w:r>
      <w:r>
        <w:rPr>
          <w:rFonts w:hint="eastAsia" w:ascii="宋体" w:hAnsi="宋体" w:eastAsia="宋体"/>
          <w:color w:val="auto"/>
          <w:highlight w:val="none"/>
          <w:u w:val="single"/>
        </w:rPr>
        <w:t>资信业绩部分评审得分</w:t>
      </w:r>
      <w:r>
        <w:rPr>
          <w:color w:val="auto"/>
          <w:highlight w:val="none"/>
          <w:u w:val="single"/>
        </w:rPr>
        <w:t>A</w:t>
      </w:r>
      <w:r>
        <w:rPr>
          <w:rFonts w:hint="eastAsia"/>
          <w:color w:val="auto"/>
          <w:highlight w:val="none"/>
          <w:u w:val="single"/>
        </w:rPr>
        <w:t>为各评标专家打分的算术平均</w:t>
      </w:r>
      <w:r>
        <w:rPr>
          <w:rFonts w:hint="eastAsia" w:ascii="宋体" w:hAnsi="宋体" w:eastAsia="宋体"/>
          <w:color w:val="auto"/>
          <w:highlight w:val="none"/>
          <w:u w:val="single"/>
        </w:rPr>
        <w:t>值</w:t>
      </w:r>
      <w:r>
        <w:rPr>
          <w:rFonts w:ascii="宋体" w:hAnsi="宋体" w:eastAsia="宋体"/>
          <w:color w:val="auto"/>
          <w:spacing w:val="2"/>
          <w:highlight w:val="none"/>
        </w:rPr>
        <w:t>；</w:t>
      </w:r>
    </w:p>
    <w:p w14:paraId="1029EAA2">
      <w:pPr>
        <w:tabs>
          <w:tab w:val="left" w:pos="532"/>
        </w:tabs>
        <w:spacing w:before="69" w:line="352" w:lineRule="auto"/>
        <w:ind w:left="428" w:hanging="5"/>
        <w:rPr>
          <w:rFonts w:hint="eastAsia" w:ascii="宋体" w:hAnsi="宋体" w:eastAsia="宋体"/>
          <w:color w:val="auto"/>
          <w:spacing w:val="2"/>
          <w:highlight w:val="none"/>
        </w:rPr>
      </w:pPr>
      <w:r>
        <w:rPr>
          <w:rFonts w:ascii="宋体" w:hAnsi="宋体" w:eastAsia="宋体"/>
          <w:color w:val="auto"/>
          <w:spacing w:val="2"/>
          <w:highlight w:val="none"/>
        </w:rPr>
        <w:t>(</w:t>
      </w:r>
      <w:r>
        <w:rPr>
          <w:rFonts w:ascii="Times New Roman" w:hAnsi="Times New Roman" w:eastAsia="Times New Roman"/>
          <w:color w:val="auto"/>
          <w:spacing w:val="2"/>
          <w:highlight w:val="none"/>
        </w:rPr>
        <w:t>2</w:t>
      </w:r>
      <w:r>
        <w:rPr>
          <w:rFonts w:ascii="宋体" w:hAnsi="宋体" w:eastAsia="宋体"/>
          <w:color w:val="auto"/>
          <w:spacing w:val="2"/>
          <w:highlight w:val="none"/>
        </w:rPr>
        <w:t xml:space="preserve">)按本章第 </w:t>
      </w:r>
      <w:r>
        <w:rPr>
          <w:rFonts w:ascii="Times New Roman" w:hAnsi="Times New Roman" w:eastAsia="Times New Roman"/>
          <w:color w:val="auto"/>
          <w:spacing w:val="2"/>
          <w:highlight w:val="none"/>
        </w:rPr>
        <w:t xml:space="preserve">2.2.4  </w:t>
      </w:r>
      <w:r>
        <w:rPr>
          <w:rFonts w:ascii="宋体" w:hAnsi="宋体" w:eastAsia="宋体"/>
          <w:color w:val="auto"/>
          <w:spacing w:val="2"/>
          <w:highlight w:val="none"/>
        </w:rPr>
        <w:t>(</w:t>
      </w:r>
      <w:r>
        <w:rPr>
          <w:rFonts w:ascii="Times New Roman" w:hAnsi="Times New Roman" w:eastAsia="Times New Roman"/>
          <w:color w:val="auto"/>
          <w:spacing w:val="2"/>
          <w:highlight w:val="none"/>
        </w:rPr>
        <w:t>2</w:t>
      </w:r>
      <w:r>
        <w:rPr>
          <w:rFonts w:ascii="宋体" w:hAnsi="宋体" w:eastAsia="宋体"/>
          <w:color w:val="auto"/>
          <w:spacing w:val="2"/>
          <w:highlight w:val="none"/>
        </w:rPr>
        <w:t>)目规定</w:t>
      </w:r>
      <w:r>
        <w:rPr>
          <w:rFonts w:ascii="宋体" w:hAnsi="宋体" w:eastAsia="宋体"/>
          <w:color w:val="auto"/>
          <w:spacing w:val="1"/>
          <w:highlight w:val="none"/>
        </w:rPr>
        <w:t>的评审因素和分值对</w:t>
      </w:r>
      <w:r>
        <w:rPr>
          <w:rFonts w:hint="eastAsia" w:ascii="宋体" w:hAnsi="宋体" w:eastAsia="宋体"/>
          <w:color w:val="auto"/>
          <w:spacing w:val="1"/>
          <w:highlight w:val="none"/>
        </w:rPr>
        <w:t>勘察</w:t>
      </w:r>
      <w:r>
        <w:rPr>
          <w:rFonts w:ascii="宋体" w:hAnsi="宋体" w:eastAsia="宋体"/>
          <w:color w:val="auto"/>
          <w:spacing w:val="1"/>
          <w:highlight w:val="none"/>
        </w:rPr>
        <w:t>设计方案部分计算出得分</w:t>
      </w:r>
      <w:r>
        <w:rPr>
          <w:rFonts w:ascii="Times New Roman" w:hAnsi="Times New Roman" w:eastAsia="Times New Roman"/>
          <w:color w:val="auto"/>
          <w:highlight w:val="none"/>
        </w:rPr>
        <w:t>B</w:t>
      </w:r>
      <w:r>
        <w:rPr>
          <w:color w:val="auto"/>
          <w:highlight w:val="none"/>
        </w:rPr>
        <w:t>，</w:t>
      </w:r>
      <w:r>
        <w:rPr>
          <w:rFonts w:hint="eastAsia"/>
          <w:color w:val="auto"/>
          <w:highlight w:val="none"/>
          <w:u w:val="single"/>
        </w:rPr>
        <w:t>勘察设计方案</w:t>
      </w:r>
      <w:r>
        <w:rPr>
          <w:color w:val="auto"/>
          <w:highlight w:val="none"/>
          <w:u w:val="single"/>
        </w:rPr>
        <w:t>部分评审得分</w:t>
      </w:r>
      <w:r>
        <w:rPr>
          <w:color w:val="auto"/>
          <w:highlight w:val="none"/>
        </w:rPr>
        <w:t>B</w:t>
      </w:r>
      <w:r>
        <w:rPr>
          <w:color w:val="auto"/>
          <w:highlight w:val="none"/>
          <w:u w:val="single"/>
        </w:rPr>
        <w:t>为从各评标专家打分中去掉一个最高分和去掉一个最低分后的剩余评标专家打分的算术平均值</w:t>
      </w:r>
      <w:r>
        <w:rPr>
          <w:rFonts w:ascii="宋体" w:hAnsi="宋体" w:eastAsia="宋体"/>
          <w:color w:val="auto"/>
          <w:spacing w:val="1"/>
          <w:highlight w:val="none"/>
        </w:rPr>
        <w:t>；</w:t>
      </w:r>
    </w:p>
    <w:p w14:paraId="7423DE91">
      <w:pPr>
        <w:tabs>
          <w:tab w:val="left" w:pos="532"/>
        </w:tabs>
        <w:spacing w:before="69" w:line="352" w:lineRule="auto"/>
        <w:ind w:left="428" w:hanging="5"/>
        <w:rPr>
          <w:rFonts w:hint="eastAsia" w:ascii="宋体" w:hAnsi="宋体" w:eastAsia="宋体"/>
          <w:color w:val="auto"/>
          <w:spacing w:val="4"/>
          <w:highlight w:val="none"/>
        </w:rPr>
      </w:pPr>
      <w:r>
        <w:rPr>
          <w:rFonts w:ascii="宋体" w:hAnsi="宋体" w:eastAsia="宋体"/>
          <w:color w:val="auto"/>
          <w:spacing w:val="4"/>
          <w:highlight w:val="none"/>
        </w:rPr>
        <w:t>(</w:t>
      </w:r>
      <w:r>
        <w:rPr>
          <w:rFonts w:ascii="Times New Roman" w:hAnsi="Times New Roman" w:eastAsia="Times New Roman"/>
          <w:color w:val="auto"/>
          <w:spacing w:val="4"/>
          <w:highlight w:val="none"/>
        </w:rPr>
        <w:t>3</w:t>
      </w:r>
      <w:r>
        <w:rPr>
          <w:rFonts w:ascii="宋体" w:hAnsi="宋体" w:eastAsia="宋体"/>
          <w:color w:val="auto"/>
          <w:spacing w:val="4"/>
          <w:highlight w:val="none"/>
        </w:rPr>
        <w:t>)按</w:t>
      </w:r>
      <w:r>
        <w:rPr>
          <w:rFonts w:ascii="宋体" w:hAnsi="宋体" w:eastAsia="宋体"/>
          <w:color w:val="auto"/>
          <w:spacing w:val="3"/>
          <w:highlight w:val="none"/>
        </w:rPr>
        <w:t>本</w:t>
      </w:r>
      <w:r>
        <w:rPr>
          <w:rFonts w:ascii="宋体" w:hAnsi="宋体" w:eastAsia="宋体"/>
          <w:color w:val="auto"/>
          <w:spacing w:val="2"/>
          <w:highlight w:val="none"/>
        </w:rPr>
        <w:t xml:space="preserve">章第 </w:t>
      </w:r>
      <w:r>
        <w:rPr>
          <w:rFonts w:ascii="Times New Roman" w:hAnsi="Times New Roman" w:eastAsia="Times New Roman"/>
          <w:color w:val="auto"/>
          <w:spacing w:val="2"/>
          <w:highlight w:val="none"/>
        </w:rPr>
        <w:t xml:space="preserve">2.2.4  </w:t>
      </w:r>
      <w:r>
        <w:rPr>
          <w:rFonts w:ascii="宋体" w:hAnsi="宋体" w:eastAsia="宋体"/>
          <w:color w:val="auto"/>
          <w:spacing w:val="2"/>
          <w:highlight w:val="none"/>
        </w:rPr>
        <w:t>(</w:t>
      </w:r>
      <w:r>
        <w:rPr>
          <w:rFonts w:ascii="Times New Roman" w:hAnsi="Times New Roman" w:eastAsia="Times New Roman"/>
          <w:color w:val="auto"/>
          <w:spacing w:val="2"/>
          <w:highlight w:val="none"/>
        </w:rPr>
        <w:t>3</w:t>
      </w:r>
      <w:r>
        <w:rPr>
          <w:rFonts w:ascii="宋体" w:hAnsi="宋体" w:eastAsia="宋体"/>
          <w:color w:val="auto"/>
          <w:spacing w:val="2"/>
          <w:highlight w:val="none"/>
        </w:rPr>
        <w:t>)目规定的评审因素和分值对投标报价计算出得分</w:t>
      </w:r>
      <w:r>
        <w:rPr>
          <w:rFonts w:ascii="Times New Roman" w:hAnsi="Times New Roman" w:eastAsia="Times New Roman"/>
          <w:color w:val="auto"/>
          <w:highlight w:val="none"/>
        </w:rPr>
        <w:t>C</w:t>
      </w:r>
      <w:r>
        <w:rPr>
          <w:rFonts w:ascii="宋体" w:hAnsi="宋体" w:eastAsia="宋体"/>
          <w:color w:val="auto"/>
          <w:spacing w:val="2"/>
          <w:highlight w:val="none"/>
        </w:rPr>
        <w:t>；</w:t>
      </w:r>
      <w:r>
        <w:rPr>
          <w:rFonts w:ascii="宋体" w:hAnsi="宋体" w:eastAsia="宋体"/>
          <w:color w:val="auto"/>
          <w:highlight w:val="none"/>
        </w:rPr>
        <w:t xml:space="preserve">           </w:t>
      </w:r>
    </w:p>
    <w:p w14:paraId="35E4034D">
      <w:pPr>
        <w:tabs>
          <w:tab w:val="left" w:pos="532"/>
        </w:tabs>
        <w:spacing w:before="69" w:line="352" w:lineRule="auto"/>
        <w:ind w:left="428" w:hanging="5"/>
        <w:rPr>
          <w:rFonts w:hint="eastAsia" w:ascii="宋体" w:hAnsi="宋体" w:eastAsia="宋体"/>
          <w:strike/>
          <w:color w:val="auto"/>
          <w:spacing w:val="8"/>
          <w:highlight w:val="none"/>
        </w:rPr>
      </w:pPr>
      <w:r>
        <w:rPr>
          <w:rFonts w:ascii="宋体" w:hAnsi="宋体" w:eastAsia="宋体"/>
          <w:strike/>
          <w:color w:val="auto"/>
          <w:spacing w:val="8"/>
          <w:highlight w:val="none"/>
        </w:rPr>
        <w:t>(</w:t>
      </w:r>
      <w:r>
        <w:rPr>
          <w:rFonts w:ascii="Times New Roman" w:hAnsi="Times New Roman" w:eastAsia="Times New Roman"/>
          <w:strike/>
          <w:color w:val="auto"/>
          <w:spacing w:val="8"/>
          <w:highlight w:val="none"/>
        </w:rPr>
        <w:t>4</w:t>
      </w:r>
      <w:r>
        <w:rPr>
          <w:rFonts w:ascii="宋体" w:hAnsi="宋体" w:eastAsia="宋体"/>
          <w:strike/>
          <w:color w:val="auto"/>
          <w:spacing w:val="8"/>
          <w:highlight w:val="none"/>
        </w:rPr>
        <w:t>)按本章第</w:t>
      </w:r>
      <w:r>
        <w:rPr>
          <w:rFonts w:ascii="宋体" w:hAnsi="宋体" w:eastAsia="宋体"/>
          <w:strike/>
          <w:color w:val="auto"/>
          <w:spacing w:val="7"/>
          <w:highlight w:val="none"/>
        </w:rPr>
        <w:t xml:space="preserve"> </w:t>
      </w:r>
      <w:r>
        <w:rPr>
          <w:rFonts w:ascii="Times New Roman" w:hAnsi="Times New Roman" w:eastAsia="Times New Roman"/>
          <w:strike/>
          <w:color w:val="auto"/>
          <w:spacing w:val="4"/>
          <w:highlight w:val="none"/>
        </w:rPr>
        <w:t xml:space="preserve">2.2.4  </w:t>
      </w:r>
      <w:r>
        <w:rPr>
          <w:rFonts w:ascii="宋体" w:hAnsi="宋体" w:eastAsia="宋体"/>
          <w:strike/>
          <w:color w:val="auto"/>
          <w:spacing w:val="4"/>
          <w:highlight w:val="none"/>
        </w:rPr>
        <w:t>(</w:t>
      </w:r>
      <w:r>
        <w:rPr>
          <w:rFonts w:ascii="Times New Roman" w:hAnsi="Times New Roman" w:eastAsia="Times New Roman"/>
          <w:strike/>
          <w:color w:val="auto"/>
          <w:spacing w:val="4"/>
          <w:highlight w:val="none"/>
        </w:rPr>
        <w:t>4</w:t>
      </w:r>
      <w:r>
        <w:rPr>
          <w:rFonts w:ascii="宋体" w:hAnsi="宋体" w:eastAsia="宋体"/>
          <w:strike/>
          <w:color w:val="auto"/>
          <w:spacing w:val="4"/>
          <w:highlight w:val="none"/>
        </w:rPr>
        <w:t>)目规定的评审因素和分值对其他部分计算出得分</w:t>
      </w:r>
      <w:r>
        <w:rPr>
          <w:rFonts w:ascii="Times New Roman" w:hAnsi="Times New Roman" w:eastAsia="Times New Roman"/>
          <w:strike/>
          <w:color w:val="auto"/>
          <w:highlight w:val="none"/>
        </w:rPr>
        <w:t>D</w:t>
      </w:r>
      <w:r>
        <w:rPr>
          <w:rFonts w:ascii="宋体" w:hAnsi="宋体" w:eastAsia="宋体"/>
          <w:strike/>
          <w:color w:val="auto"/>
          <w:spacing w:val="4"/>
          <w:highlight w:val="none"/>
        </w:rPr>
        <w:t>。</w:t>
      </w:r>
    </w:p>
    <w:p w14:paraId="3A4D438E">
      <w:pPr>
        <w:spacing w:before="1" w:line="220" w:lineRule="auto"/>
        <w:ind w:left="423"/>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3.2.2  </w:t>
      </w:r>
      <w:r>
        <w:rPr>
          <w:rFonts w:ascii="宋体" w:hAnsi="宋体" w:eastAsia="宋体"/>
          <w:color w:val="auto"/>
          <w:spacing w:val="-1"/>
          <w:highlight w:val="none"/>
        </w:rPr>
        <w:t>评分</w:t>
      </w:r>
      <w:r>
        <w:rPr>
          <w:rFonts w:ascii="宋体" w:hAnsi="宋体" w:eastAsia="宋体"/>
          <w:color w:val="auto"/>
          <w:highlight w:val="none"/>
        </w:rPr>
        <w:t>分值计算保留小数点后两位，小数点后第三位</w:t>
      </w:r>
      <w:r>
        <w:rPr>
          <w:rFonts w:ascii="Times New Roman" w:hAnsi="Times New Roman" w:eastAsia="Times New Roman"/>
          <w:color w:val="auto"/>
          <w:highlight w:val="none"/>
        </w:rPr>
        <w:t>“</w:t>
      </w:r>
      <w:r>
        <w:rPr>
          <w:rFonts w:ascii="宋体" w:hAnsi="宋体" w:eastAsia="宋体"/>
          <w:color w:val="auto"/>
          <w:highlight w:val="none"/>
        </w:rPr>
        <w:t>四舍五入</w:t>
      </w:r>
      <w:r>
        <w:rPr>
          <w:rFonts w:ascii="Times New Roman" w:hAnsi="Times New Roman" w:eastAsia="Times New Roman"/>
          <w:color w:val="auto"/>
          <w:highlight w:val="none"/>
        </w:rPr>
        <w:t>”</w:t>
      </w:r>
      <w:r>
        <w:rPr>
          <w:rFonts w:ascii="宋体" w:hAnsi="宋体" w:eastAsia="宋体"/>
          <w:color w:val="auto"/>
          <w:highlight w:val="none"/>
        </w:rPr>
        <w:t>。</w:t>
      </w:r>
    </w:p>
    <w:p w14:paraId="597B16CE">
      <w:pPr>
        <w:spacing w:before="150" w:line="220" w:lineRule="auto"/>
        <w:ind w:left="423"/>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3.2.3  </w:t>
      </w:r>
      <w:r>
        <w:rPr>
          <w:rFonts w:ascii="宋体" w:hAnsi="宋体" w:eastAsia="宋体"/>
          <w:color w:val="auto"/>
          <w:spacing w:val="-1"/>
          <w:highlight w:val="none"/>
        </w:rPr>
        <w:t>投标</w:t>
      </w:r>
      <w:r>
        <w:rPr>
          <w:rFonts w:ascii="宋体" w:hAnsi="宋体" w:eastAsia="宋体"/>
          <w:color w:val="auto"/>
          <w:highlight w:val="none"/>
        </w:rPr>
        <w:t>人得分</w:t>
      </w:r>
      <w:r>
        <w:rPr>
          <w:rFonts w:ascii="Times New Roman" w:hAnsi="Times New Roman" w:eastAsia="Times New Roman"/>
          <w:color w:val="auto"/>
          <w:highlight w:val="none"/>
        </w:rPr>
        <w:t>=</w:t>
      </w:r>
      <w:r>
        <w:rPr>
          <w:rFonts w:ascii="Times New Roman" w:hAnsi="Times New Roman" w:eastAsia="Times New Roman"/>
          <w:color w:val="auto"/>
          <w:highlight w:val="none"/>
          <w:u w:val="single"/>
        </w:rPr>
        <w:t>A+B+C</w:t>
      </w:r>
      <w:r>
        <w:rPr>
          <w:rFonts w:ascii="宋体" w:hAnsi="宋体" w:eastAsia="宋体"/>
          <w:color w:val="auto"/>
          <w:highlight w:val="none"/>
        </w:rPr>
        <w:t>。</w:t>
      </w:r>
    </w:p>
    <w:p w14:paraId="320D1C00">
      <w:pPr>
        <w:spacing w:before="148" w:line="357" w:lineRule="auto"/>
        <w:ind w:left="5" w:firstLine="417"/>
        <w:rPr>
          <w:rFonts w:hint="eastAsia" w:ascii="宋体" w:hAnsi="宋体" w:eastAsia="宋体"/>
          <w:color w:val="auto"/>
          <w:spacing w:val="-7"/>
          <w:highlight w:val="none"/>
        </w:rPr>
      </w:pPr>
      <w:r>
        <w:rPr>
          <w:rFonts w:ascii="Times New Roman" w:hAnsi="Times New Roman" w:eastAsia="Times New Roman"/>
          <w:color w:val="auto"/>
          <w:spacing w:val="-8"/>
          <w:highlight w:val="none"/>
        </w:rPr>
        <w:t>3.</w:t>
      </w:r>
      <w:r>
        <w:rPr>
          <w:rFonts w:ascii="Times New Roman" w:hAnsi="Times New Roman" w:eastAsia="Times New Roman"/>
          <w:color w:val="auto"/>
          <w:spacing w:val="-5"/>
          <w:highlight w:val="none"/>
        </w:rPr>
        <w:t>2</w:t>
      </w:r>
      <w:r>
        <w:rPr>
          <w:rFonts w:ascii="Times New Roman" w:hAnsi="Times New Roman" w:eastAsia="Times New Roman"/>
          <w:color w:val="auto"/>
          <w:spacing w:val="-4"/>
          <w:highlight w:val="none"/>
        </w:rPr>
        <w:t xml:space="preserve">.4  </w:t>
      </w:r>
      <w:r>
        <w:rPr>
          <w:rFonts w:ascii="宋体" w:hAnsi="宋体" w:eastAsia="宋体"/>
          <w:color w:val="auto"/>
          <w:spacing w:val="-4"/>
          <w:highlight w:val="none"/>
        </w:rPr>
        <w:t>评标委员会发现投标人的报价明显低于其他投标报价， 使得其投标报价可能低于其个</w:t>
      </w:r>
      <w:r>
        <w:rPr>
          <w:rFonts w:ascii="宋体" w:hAnsi="宋体" w:eastAsia="宋体"/>
          <w:color w:val="auto"/>
          <w:highlight w:val="none"/>
        </w:rPr>
        <w:t xml:space="preserve"> </w:t>
      </w:r>
      <w:r>
        <w:rPr>
          <w:rFonts w:ascii="宋体" w:hAnsi="宋体" w:eastAsia="宋体"/>
          <w:color w:val="auto"/>
          <w:spacing w:val="1"/>
          <w:highlight w:val="none"/>
        </w:rPr>
        <w:t>别成本的，应当要求该投标人</w:t>
      </w:r>
      <w:r>
        <w:rPr>
          <w:rFonts w:ascii="宋体" w:hAnsi="宋体" w:eastAsia="宋体"/>
          <w:color w:val="auto"/>
          <w:highlight w:val="none"/>
        </w:rPr>
        <w:t>作出书面说明并提供相应的证明材料。投标人不能合理说明或者</w:t>
      </w:r>
      <w:r>
        <w:rPr>
          <w:rFonts w:ascii="宋体" w:hAnsi="宋体" w:eastAsia="宋体"/>
          <w:color w:val="auto"/>
          <w:spacing w:val="-14"/>
          <w:highlight w:val="none"/>
        </w:rPr>
        <w:t>不能</w:t>
      </w:r>
      <w:r>
        <w:rPr>
          <w:rFonts w:ascii="宋体" w:hAnsi="宋体" w:eastAsia="宋体"/>
          <w:color w:val="auto"/>
          <w:spacing w:val="-11"/>
          <w:highlight w:val="none"/>
        </w:rPr>
        <w:t>提</w:t>
      </w:r>
      <w:r>
        <w:rPr>
          <w:rFonts w:ascii="宋体" w:hAnsi="宋体" w:eastAsia="宋体"/>
          <w:color w:val="auto"/>
          <w:spacing w:val="-7"/>
          <w:highlight w:val="none"/>
        </w:rPr>
        <w:t>供相应证明材料的，评标委员会应当认定该投标人以低于成本报价竞标，并否决其投标。</w:t>
      </w:r>
    </w:p>
    <w:p w14:paraId="3C242E54">
      <w:pPr>
        <w:pStyle w:val="9"/>
        <w:rPr>
          <w:rFonts w:eastAsiaTheme="minorEastAsia"/>
          <w:color w:val="auto"/>
          <w:highlight w:val="none"/>
        </w:rPr>
      </w:pPr>
    </w:p>
    <w:p w14:paraId="724BCF4C">
      <w:pPr>
        <w:rPr>
          <w:rFonts w:ascii="Times New Roman" w:hAnsi="Times New Roman" w:eastAsia="Times New Roman"/>
          <w:color w:val="auto"/>
          <w:spacing w:val="10"/>
          <w:sz w:val="27"/>
          <w:szCs w:val="27"/>
          <w:highlight w:val="none"/>
        </w:rPr>
      </w:pPr>
      <w:bookmarkStart w:id="339" w:name="_Toc6194"/>
      <w:bookmarkStart w:id="340" w:name="_Toc28101"/>
      <w:bookmarkStart w:id="341" w:name="_Toc4481"/>
      <w:bookmarkStart w:id="342" w:name="_Toc19706"/>
      <w:bookmarkStart w:id="343" w:name="_Toc31386"/>
      <w:r>
        <w:rPr>
          <w:rFonts w:ascii="Times New Roman" w:hAnsi="Times New Roman" w:eastAsia="Times New Roman"/>
          <w:color w:val="auto"/>
          <w:spacing w:val="10"/>
          <w:sz w:val="27"/>
          <w:szCs w:val="27"/>
          <w:highlight w:val="none"/>
        </w:rPr>
        <w:t>3</w:t>
      </w:r>
      <w:r>
        <w:rPr>
          <w:rFonts w:ascii="Times New Roman" w:hAnsi="Times New Roman" w:eastAsia="Times New Roman"/>
          <w:color w:val="auto"/>
          <w:spacing w:val="6"/>
          <w:sz w:val="27"/>
          <w:szCs w:val="27"/>
          <w:highlight w:val="none"/>
        </w:rPr>
        <w:t xml:space="preserve">.3  </w:t>
      </w:r>
      <w:r>
        <w:rPr>
          <w:rFonts w:ascii="黑体" w:hAnsi="黑体" w:eastAsia="黑体"/>
          <w:color w:val="auto"/>
          <w:spacing w:val="6"/>
          <w:sz w:val="27"/>
          <w:szCs w:val="27"/>
          <w:highlight w:val="none"/>
        </w:rPr>
        <w:t>投标文件的澄清</w:t>
      </w:r>
      <w:bookmarkEnd w:id="339"/>
      <w:bookmarkEnd w:id="340"/>
      <w:bookmarkEnd w:id="341"/>
      <w:bookmarkEnd w:id="342"/>
      <w:bookmarkEnd w:id="343"/>
    </w:p>
    <w:p w14:paraId="5E0DCFCD">
      <w:pPr>
        <w:spacing w:line="314" w:lineRule="auto"/>
        <w:rPr>
          <w:color w:val="auto"/>
          <w:highlight w:val="none"/>
        </w:rPr>
      </w:pPr>
    </w:p>
    <w:p w14:paraId="2978B244">
      <w:pPr>
        <w:spacing w:before="68" w:line="352" w:lineRule="auto"/>
        <w:ind w:right="73" w:firstLine="420"/>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3.</w:t>
      </w:r>
      <w:r>
        <w:rPr>
          <w:rFonts w:ascii="Times New Roman" w:hAnsi="Times New Roman" w:eastAsia="Times New Roman"/>
          <w:color w:val="auto"/>
          <w:spacing w:val="-4"/>
          <w:highlight w:val="none"/>
        </w:rPr>
        <w:t xml:space="preserve">3.1  </w:t>
      </w:r>
      <w:r>
        <w:rPr>
          <w:rFonts w:ascii="宋体" w:hAnsi="宋体" w:eastAsia="宋体"/>
          <w:color w:val="auto"/>
          <w:spacing w:val="-4"/>
          <w:highlight w:val="none"/>
        </w:rPr>
        <w:t>在评标过程中，</w:t>
      </w:r>
      <w:r>
        <w:rPr>
          <w:rFonts w:hint="eastAsia" w:ascii="宋体" w:hAnsi="宋体" w:eastAsia="宋体"/>
          <w:color w:val="auto"/>
          <w:highlight w:val="none"/>
        </w:rPr>
        <w:t>经评标委员会中两人以上（含两人）以书面形式提出动议，评标委员会</w:t>
      </w:r>
      <w:r>
        <w:rPr>
          <w:rFonts w:ascii="宋体" w:hAnsi="宋体" w:eastAsia="宋体"/>
          <w:color w:val="auto"/>
          <w:spacing w:val="-4"/>
          <w:highlight w:val="none"/>
        </w:rPr>
        <w:t>可以书面形式要求投标人对投标文件中含义不明确、对同</w:t>
      </w:r>
      <w:r>
        <w:rPr>
          <w:rFonts w:ascii="宋体" w:hAnsi="宋体" w:eastAsia="宋体"/>
          <w:color w:val="auto"/>
          <w:highlight w:val="none"/>
        </w:rPr>
        <w:t xml:space="preserve"> </w:t>
      </w:r>
      <w:r>
        <w:rPr>
          <w:rFonts w:ascii="宋体" w:hAnsi="宋体" w:eastAsia="宋体"/>
          <w:color w:val="auto"/>
          <w:spacing w:val="1"/>
          <w:highlight w:val="none"/>
        </w:rPr>
        <w:t>类问题表述不一致或者有明显文字</w:t>
      </w:r>
      <w:r>
        <w:rPr>
          <w:rFonts w:ascii="宋体" w:hAnsi="宋体" w:eastAsia="宋体"/>
          <w:color w:val="auto"/>
          <w:highlight w:val="none"/>
        </w:rPr>
        <w:t xml:space="preserve">和计算错误的内容作必要的澄清、说明或补正。澄清、说明 </w:t>
      </w:r>
      <w:r>
        <w:rPr>
          <w:rFonts w:ascii="宋体" w:hAnsi="宋体" w:eastAsia="宋体"/>
          <w:color w:val="auto"/>
          <w:spacing w:val="-1"/>
          <w:highlight w:val="none"/>
        </w:rPr>
        <w:t>或补正应以书面方式进行。评标委员会不接受投标人主动提出的澄清、说明或补正。</w:t>
      </w:r>
    </w:p>
    <w:p w14:paraId="7DD5B2F0">
      <w:pPr>
        <w:spacing w:before="1" w:line="351" w:lineRule="auto"/>
        <w:ind w:left="1" w:right="73" w:firstLine="418"/>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3.</w:t>
      </w:r>
      <w:r>
        <w:rPr>
          <w:rFonts w:ascii="Times New Roman" w:hAnsi="Times New Roman" w:eastAsia="Times New Roman"/>
          <w:color w:val="auto"/>
          <w:spacing w:val="-4"/>
          <w:highlight w:val="none"/>
        </w:rPr>
        <w:t xml:space="preserve">3.2  </w:t>
      </w:r>
      <w:r>
        <w:rPr>
          <w:rFonts w:ascii="宋体" w:hAnsi="宋体" w:eastAsia="宋体"/>
          <w:color w:val="auto"/>
          <w:spacing w:val="-4"/>
          <w:highlight w:val="none"/>
        </w:rPr>
        <w:t>澄清、说明或补正不得超出投标文件的范围且不得改变投标文件的实质性内容， 并构</w:t>
      </w:r>
      <w:r>
        <w:rPr>
          <w:rFonts w:ascii="宋体" w:hAnsi="宋体" w:eastAsia="宋体"/>
          <w:color w:val="auto"/>
          <w:highlight w:val="none"/>
        </w:rPr>
        <w:t xml:space="preserve"> </w:t>
      </w:r>
      <w:r>
        <w:rPr>
          <w:rFonts w:ascii="宋体" w:hAnsi="宋体" w:eastAsia="宋体"/>
          <w:color w:val="auto"/>
          <w:spacing w:val="-6"/>
          <w:highlight w:val="none"/>
        </w:rPr>
        <w:t>成</w:t>
      </w:r>
      <w:r>
        <w:rPr>
          <w:rFonts w:ascii="宋体" w:hAnsi="宋体" w:eastAsia="宋体"/>
          <w:color w:val="auto"/>
          <w:spacing w:val="-3"/>
          <w:highlight w:val="none"/>
        </w:rPr>
        <w:t>投标文件的组成部分。</w:t>
      </w:r>
    </w:p>
    <w:p w14:paraId="10A69F73">
      <w:pPr>
        <w:spacing w:before="1" w:line="358" w:lineRule="auto"/>
        <w:ind w:left="2" w:firstLine="417"/>
        <w:rPr>
          <w:rFonts w:ascii="Times New Roman" w:hAnsi="Times New Roman" w:eastAsia="Times New Roman"/>
          <w:color w:val="auto"/>
          <w:spacing w:val="-9"/>
          <w:highlight w:val="none"/>
        </w:rPr>
      </w:pPr>
      <w:r>
        <w:rPr>
          <w:rFonts w:ascii="Times New Roman" w:hAnsi="Times New Roman" w:eastAsia="Times New Roman"/>
          <w:color w:val="auto"/>
          <w:spacing w:val="-9"/>
          <w:highlight w:val="none"/>
        </w:rPr>
        <w:t>3</w:t>
      </w:r>
      <w:r>
        <w:rPr>
          <w:rFonts w:ascii="Times New Roman" w:hAnsi="Times New Roman" w:eastAsia="Times New Roman"/>
          <w:color w:val="auto"/>
          <w:spacing w:val="-7"/>
          <w:highlight w:val="none"/>
        </w:rPr>
        <w:t xml:space="preserve">.3.3  </w:t>
      </w:r>
      <w:r>
        <w:rPr>
          <w:rFonts w:ascii="宋体" w:hAnsi="宋体" w:eastAsia="宋体"/>
          <w:color w:val="auto"/>
          <w:spacing w:val="-7"/>
          <w:highlight w:val="none"/>
        </w:rPr>
        <w:t>评标委员会对投标人提交的澄清、说明或补正有疑问的，可以要求投标人进一步澄清、</w:t>
      </w:r>
      <w:r>
        <w:rPr>
          <w:rFonts w:ascii="宋体" w:hAnsi="宋体" w:eastAsia="宋体"/>
          <w:color w:val="auto"/>
          <w:highlight w:val="none"/>
        </w:rPr>
        <w:t xml:space="preserve"> </w:t>
      </w:r>
      <w:r>
        <w:rPr>
          <w:rFonts w:ascii="宋体" w:hAnsi="宋体" w:eastAsia="宋体"/>
          <w:color w:val="auto"/>
          <w:spacing w:val="-3"/>
          <w:highlight w:val="none"/>
        </w:rPr>
        <w:t>说</w:t>
      </w:r>
      <w:r>
        <w:rPr>
          <w:rFonts w:ascii="宋体" w:hAnsi="宋体" w:eastAsia="宋体"/>
          <w:color w:val="auto"/>
          <w:spacing w:val="-2"/>
          <w:highlight w:val="none"/>
        </w:rPr>
        <w:t>明或补正，直至满足评标委员会的要求。</w:t>
      </w:r>
    </w:p>
    <w:p w14:paraId="0A508AF8">
      <w:pPr>
        <w:rPr>
          <w:rFonts w:ascii="Times New Roman" w:hAnsi="Times New Roman" w:eastAsiaTheme="minorEastAsia"/>
          <w:color w:val="auto"/>
          <w:spacing w:val="7"/>
          <w:sz w:val="27"/>
          <w:szCs w:val="27"/>
          <w:highlight w:val="none"/>
        </w:rPr>
      </w:pPr>
      <w:bookmarkStart w:id="344" w:name="_Toc12541"/>
      <w:bookmarkStart w:id="345" w:name="_Toc19969"/>
      <w:bookmarkStart w:id="346" w:name="_Toc17553"/>
      <w:bookmarkStart w:id="347" w:name="_Toc15725"/>
      <w:bookmarkStart w:id="348" w:name="_Toc22248"/>
    </w:p>
    <w:p w14:paraId="1D1F9553">
      <w:pPr>
        <w:rPr>
          <w:rFonts w:ascii="Times New Roman" w:hAnsi="Times New Roman" w:eastAsia="Times New Roman"/>
          <w:color w:val="auto"/>
          <w:spacing w:val="7"/>
          <w:sz w:val="27"/>
          <w:szCs w:val="27"/>
          <w:highlight w:val="none"/>
        </w:rPr>
      </w:pPr>
      <w:r>
        <w:rPr>
          <w:rFonts w:ascii="Times New Roman" w:hAnsi="Times New Roman" w:eastAsia="Times New Roman"/>
          <w:color w:val="auto"/>
          <w:spacing w:val="7"/>
          <w:sz w:val="27"/>
          <w:szCs w:val="27"/>
          <w:highlight w:val="none"/>
        </w:rPr>
        <w:t>3</w:t>
      </w:r>
      <w:r>
        <w:rPr>
          <w:rFonts w:ascii="Times New Roman" w:hAnsi="Times New Roman" w:eastAsia="Times New Roman"/>
          <w:color w:val="auto"/>
          <w:spacing w:val="5"/>
          <w:sz w:val="27"/>
          <w:szCs w:val="27"/>
          <w:highlight w:val="none"/>
        </w:rPr>
        <w:t xml:space="preserve">.4  </w:t>
      </w:r>
      <w:r>
        <w:rPr>
          <w:rFonts w:ascii="黑体" w:hAnsi="黑体" w:eastAsia="黑体"/>
          <w:color w:val="auto"/>
          <w:spacing w:val="5"/>
          <w:sz w:val="27"/>
          <w:szCs w:val="27"/>
          <w:highlight w:val="none"/>
        </w:rPr>
        <w:t>评标结果</w:t>
      </w:r>
      <w:bookmarkEnd w:id="344"/>
      <w:bookmarkEnd w:id="345"/>
      <w:bookmarkEnd w:id="346"/>
      <w:bookmarkEnd w:id="347"/>
      <w:bookmarkEnd w:id="348"/>
    </w:p>
    <w:p w14:paraId="5EEC5959">
      <w:pPr>
        <w:spacing w:line="315" w:lineRule="auto"/>
        <w:rPr>
          <w:color w:val="auto"/>
          <w:highlight w:val="none"/>
        </w:rPr>
      </w:pPr>
    </w:p>
    <w:p w14:paraId="0E310FD1">
      <w:pPr>
        <w:spacing w:before="68" w:line="352" w:lineRule="auto"/>
        <w:ind w:left="17" w:right="72" w:firstLine="403"/>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3.4.1  </w:t>
      </w:r>
      <w:r>
        <w:rPr>
          <w:rFonts w:ascii="宋体" w:hAnsi="宋体" w:eastAsia="宋体"/>
          <w:color w:val="auto"/>
          <w:spacing w:val="-2"/>
          <w:highlight w:val="none"/>
        </w:rPr>
        <w:t>除第二章</w:t>
      </w:r>
      <w:r>
        <w:rPr>
          <w:rFonts w:ascii="Times New Roman" w:hAnsi="Times New Roman" w:eastAsia="Times New Roman"/>
          <w:color w:val="auto"/>
          <w:spacing w:val="-2"/>
          <w:highlight w:val="none"/>
        </w:rPr>
        <w:t>“</w:t>
      </w:r>
      <w:r>
        <w:rPr>
          <w:rFonts w:ascii="宋体" w:hAnsi="宋体" w:eastAsia="宋体"/>
          <w:color w:val="auto"/>
          <w:spacing w:val="-2"/>
          <w:highlight w:val="none"/>
        </w:rPr>
        <w:t>投</w:t>
      </w:r>
      <w:r>
        <w:rPr>
          <w:rFonts w:ascii="宋体" w:hAnsi="宋体" w:eastAsia="宋体"/>
          <w:color w:val="auto"/>
          <w:spacing w:val="-1"/>
          <w:highlight w:val="none"/>
        </w:rPr>
        <w:t>标人须知</w:t>
      </w:r>
      <w:r>
        <w:rPr>
          <w:rFonts w:ascii="Times New Roman" w:hAnsi="Times New Roman" w:eastAsia="Times New Roman"/>
          <w:color w:val="auto"/>
          <w:spacing w:val="-1"/>
          <w:highlight w:val="none"/>
        </w:rPr>
        <w:t>”</w:t>
      </w:r>
      <w:r>
        <w:rPr>
          <w:rFonts w:ascii="宋体" w:hAnsi="宋体" w:eastAsia="宋体"/>
          <w:color w:val="auto"/>
          <w:spacing w:val="-1"/>
          <w:highlight w:val="none"/>
        </w:rPr>
        <w:t>前附表授权直接确定中标人外，评标委员会按照得分由高到低</w:t>
      </w:r>
      <w:r>
        <w:rPr>
          <w:rFonts w:ascii="宋体" w:hAnsi="宋体" w:eastAsia="宋体"/>
          <w:color w:val="auto"/>
          <w:highlight w:val="none"/>
        </w:rPr>
        <w:t xml:space="preserve"> </w:t>
      </w:r>
      <w:r>
        <w:rPr>
          <w:rFonts w:ascii="宋体" w:hAnsi="宋体" w:eastAsia="宋体"/>
          <w:color w:val="auto"/>
          <w:spacing w:val="-4"/>
          <w:highlight w:val="none"/>
        </w:rPr>
        <w:t>的</w:t>
      </w:r>
      <w:r>
        <w:rPr>
          <w:rFonts w:ascii="宋体" w:hAnsi="宋体" w:eastAsia="宋体"/>
          <w:color w:val="auto"/>
          <w:spacing w:val="-3"/>
          <w:highlight w:val="none"/>
        </w:rPr>
        <w:t>顺序推荐中标候选人，并标明排序。</w:t>
      </w:r>
    </w:p>
    <w:p w14:paraId="7F705CED">
      <w:pPr>
        <w:spacing w:before="1" w:line="216" w:lineRule="auto"/>
        <w:ind w:left="420"/>
        <w:rPr>
          <w:rFonts w:ascii="Times New Roman" w:hAnsi="Times New Roman" w:eastAsia="Times New Roman"/>
          <w:color w:val="auto"/>
          <w:spacing w:val="-1"/>
          <w:highlight w:val="none"/>
        </w:rPr>
        <w:sectPr>
          <w:footerReference r:id="rId13" w:type="default"/>
          <w:pgSz w:w="12240" w:h="15840"/>
          <w:pgMar w:top="1346" w:right="1467" w:bottom="1104" w:left="1808" w:header="0" w:footer="940" w:gutter="0"/>
          <w:cols w:space="720" w:num="1"/>
        </w:sectPr>
      </w:pPr>
      <w:r>
        <w:rPr>
          <w:rFonts w:ascii="Times New Roman" w:hAnsi="Times New Roman" w:eastAsia="Times New Roman"/>
          <w:color w:val="auto"/>
          <w:spacing w:val="-1"/>
          <w:highlight w:val="none"/>
        </w:rPr>
        <w:t xml:space="preserve">3.4.2  </w:t>
      </w:r>
      <w:r>
        <w:rPr>
          <w:rFonts w:ascii="宋体" w:hAnsi="宋体" w:eastAsia="宋体"/>
          <w:color w:val="auto"/>
          <w:spacing w:val="-1"/>
          <w:highlight w:val="none"/>
        </w:rPr>
        <w:t>评标委员会完成评标后，应当向招标人提交书面评标报告和中标候选人</w:t>
      </w:r>
      <w:r>
        <w:rPr>
          <w:rFonts w:ascii="宋体" w:hAnsi="宋体" w:eastAsia="宋体"/>
          <w:color w:val="auto"/>
          <w:highlight w:val="none"/>
        </w:rPr>
        <w:t>名单。</w:t>
      </w:r>
    </w:p>
    <w:p w14:paraId="18A65AD1">
      <w:pPr>
        <w:pStyle w:val="25"/>
        <w:rPr>
          <w:rFonts w:hint="eastAsia" w:ascii="宋体" w:hAnsi="宋体"/>
          <w:color w:val="auto"/>
          <w:spacing w:val="11"/>
          <w:sz w:val="43"/>
          <w:szCs w:val="43"/>
          <w:highlight w:val="none"/>
        </w:rPr>
      </w:pPr>
      <w:bookmarkStart w:id="349" w:name="_Toc183207164"/>
      <w:bookmarkStart w:id="350" w:name="_Toc29015"/>
      <w:bookmarkStart w:id="351" w:name="_Toc96"/>
      <w:bookmarkStart w:id="352" w:name="_Toc32495"/>
      <w:r>
        <w:rPr>
          <w:rFonts w:ascii="宋体" w:hAnsi="宋体"/>
          <w:color w:val="auto"/>
          <w:spacing w:val="11"/>
          <w:sz w:val="43"/>
          <w:szCs w:val="43"/>
          <w:highlight w:val="none"/>
        </w:rPr>
        <w:t>第</w:t>
      </w:r>
      <w:r>
        <w:rPr>
          <w:rFonts w:ascii="宋体" w:hAnsi="宋体"/>
          <w:color w:val="auto"/>
          <w:spacing w:val="10"/>
          <w:sz w:val="43"/>
          <w:szCs w:val="43"/>
          <w:highlight w:val="none"/>
        </w:rPr>
        <w:t>四章合同条款及格式</w:t>
      </w:r>
      <w:bookmarkEnd w:id="349"/>
      <w:bookmarkEnd w:id="350"/>
      <w:bookmarkEnd w:id="351"/>
      <w:bookmarkEnd w:id="352"/>
    </w:p>
    <w:p w14:paraId="15D9FE12">
      <w:pPr>
        <w:jc w:val="center"/>
        <w:rPr>
          <w:color w:val="auto"/>
          <w:highlight w:val="none"/>
        </w:rPr>
      </w:pPr>
      <w:r>
        <w:rPr>
          <w:rFonts w:hint="eastAsia"/>
          <w:color w:val="auto"/>
          <w:highlight w:val="none"/>
        </w:rPr>
        <w:t>（</w:t>
      </w:r>
      <w:r>
        <w:rPr>
          <w:rFonts w:hint="eastAsia" w:eastAsia="宋体"/>
          <w:color w:val="auto"/>
          <w:highlight w:val="none"/>
          <w:lang w:val="en-US" w:eastAsia="zh-CN"/>
        </w:rPr>
        <w:t>另册</w:t>
      </w:r>
      <w:r>
        <w:rPr>
          <w:rFonts w:hint="eastAsia"/>
          <w:color w:val="auto"/>
          <w:highlight w:val="none"/>
        </w:rPr>
        <w:t>）</w:t>
      </w:r>
    </w:p>
    <w:p w14:paraId="0AC92FAF">
      <w:pPr>
        <w:kinsoku/>
        <w:autoSpaceDE/>
        <w:autoSpaceDN/>
        <w:snapToGrid/>
        <w:rPr>
          <w:rFonts w:hint="eastAsia" w:ascii="仿宋_GB2312" w:hAnsi="宋体" w:eastAsia="仿宋_GB2312"/>
          <w:b/>
          <w:color w:val="auto"/>
          <w:kern w:val="2"/>
          <w:sz w:val="48"/>
          <w:szCs w:val="48"/>
          <w:highlight w:val="none"/>
          <w:u w:val="single"/>
          <w:lang w:eastAsia="zh-CN"/>
        </w:rPr>
      </w:pPr>
      <w:bookmarkStart w:id="353" w:name="_Toc183207165"/>
      <w:r>
        <w:rPr>
          <w:rFonts w:ascii="宋体" w:hAnsi="宋体"/>
          <w:color w:val="auto"/>
          <w:spacing w:val="5"/>
          <w:sz w:val="52"/>
          <w:szCs w:val="52"/>
          <w:highlight w:val="none"/>
        </w:rPr>
        <w:br w:type="page"/>
      </w:r>
    </w:p>
    <w:p w14:paraId="00BCDA0F">
      <w:pPr>
        <w:widowControl w:val="0"/>
        <w:kinsoku/>
        <w:autoSpaceDE/>
        <w:autoSpaceDN/>
        <w:snapToGrid/>
        <w:spacing w:line="276" w:lineRule="auto"/>
        <w:ind w:firstLine="420"/>
        <w:jc w:val="both"/>
        <w:rPr>
          <w:rFonts w:hint="eastAsia" w:ascii="宋体" w:hAnsi="宋体" w:eastAsia="宋体"/>
          <w:color w:val="auto"/>
          <w:kern w:val="2"/>
          <w:sz w:val="24"/>
          <w:szCs w:val="24"/>
          <w:highlight w:val="none"/>
        </w:rPr>
      </w:pPr>
    </w:p>
    <w:p w14:paraId="034EBBC9">
      <w:pPr>
        <w:pStyle w:val="24"/>
        <w:spacing w:before="5280"/>
        <w:rPr>
          <w:rFonts w:hint="eastAsia" w:ascii="宋体" w:hAnsi="宋体"/>
          <w:color w:val="auto"/>
          <w:spacing w:val="5"/>
          <w:sz w:val="52"/>
          <w:szCs w:val="52"/>
          <w:highlight w:val="none"/>
        </w:rPr>
      </w:pPr>
      <w:r>
        <w:rPr>
          <w:rFonts w:ascii="宋体" w:hAnsi="宋体"/>
          <w:color w:val="auto"/>
          <w:spacing w:val="5"/>
          <w:sz w:val="52"/>
          <w:szCs w:val="52"/>
          <w:highlight w:val="none"/>
        </w:rPr>
        <w:t>第二卷</w:t>
      </w:r>
      <w:bookmarkEnd w:id="353"/>
    </w:p>
    <w:p w14:paraId="2BA74D66">
      <w:pPr>
        <w:pStyle w:val="24"/>
        <w:spacing w:before="5280"/>
        <w:rPr>
          <w:rFonts w:hint="eastAsia" w:ascii="宋体" w:hAnsi="宋体"/>
          <w:color w:val="auto"/>
          <w:spacing w:val="5"/>
          <w:sz w:val="52"/>
          <w:szCs w:val="52"/>
          <w:highlight w:val="none"/>
        </w:rPr>
        <w:sectPr>
          <w:footerReference r:id="rId14" w:type="default"/>
          <w:pgSz w:w="12240" w:h="15840"/>
          <w:pgMar w:top="1346" w:right="1836" w:bottom="1104" w:left="1836" w:header="0" w:footer="940" w:gutter="0"/>
          <w:cols w:space="720" w:num="1"/>
        </w:sectPr>
      </w:pPr>
    </w:p>
    <w:p w14:paraId="51417B57">
      <w:pPr>
        <w:spacing w:line="279" w:lineRule="auto"/>
        <w:rPr>
          <w:color w:val="auto"/>
          <w:highlight w:val="none"/>
        </w:rPr>
      </w:pPr>
    </w:p>
    <w:p w14:paraId="729B2D5E">
      <w:pPr>
        <w:spacing w:line="280" w:lineRule="auto"/>
        <w:rPr>
          <w:color w:val="auto"/>
          <w:highlight w:val="none"/>
        </w:rPr>
      </w:pPr>
    </w:p>
    <w:p w14:paraId="320B4120">
      <w:pPr>
        <w:spacing w:line="280" w:lineRule="auto"/>
        <w:rPr>
          <w:color w:val="auto"/>
          <w:highlight w:val="none"/>
        </w:rPr>
      </w:pPr>
    </w:p>
    <w:p w14:paraId="1602A0B9">
      <w:pPr>
        <w:spacing w:before="140" w:line="224" w:lineRule="auto"/>
        <w:ind w:left="2537"/>
        <w:outlineLvl w:val="0"/>
        <w:rPr>
          <w:rFonts w:hint="eastAsia" w:ascii="宋体" w:hAnsi="宋体" w:eastAsia="宋体"/>
          <w:color w:val="auto"/>
          <w:spacing w:val="14"/>
          <w:sz w:val="43"/>
          <w:szCs w:val="43"/>
          <w:highlight w:val="none"/>
          <w:lang w:eastAsia="zh-CN"/>
        </w:rPr>
      </w:pPr>
      <w:bookmarkStart w:id="354" w:name="_Toc183207166"/>
      <w:bookmarkStart w:id="355" w:name="_Toc10009"/>
      <w:bookmarkStart w:id="356" w:name="_Toc22402"/>
      <w:bookmarkStart w:id="357" w:name="_Toc2562"/>
      <w:r>
        <w:rPr>
          <w:rFonts w:ascii="宋体" w:hAnsi="宋体" w:eastAsia="宋体"/>
          <w:color w:val="auto"/>
          <w:spacing w:val="14"/>
          <w:sz w:val="43"/>
          <w:szCs w:val="43"/>
          <w:highlight w:val="none"/>
        </w:rPr>
        <w:t>第</w:t>
      </w:r>
      <w:r>
        <w:rPr>
          <w:rFonts w:ascii="宋体" w:hAnsi="宋体" w:eastAsia="宋体"/>
          <w:color w:val="auto"/>
          <w:spacing w:val="9"/>
          <w:sz w:val="43"/>
          <w:szCs w:val="43"/>
          <w:highlight w:val="none"/>
        </w:rPr>
        <w:t>五章发包人要求</w:t>
      </w:r>
      <w:bookmarkEnd w:id="354"/>
      <w:bookmarkEnd w:id="355"/>
      <w:bookmarkEnd w:id="356"/>
      <w:bookmarkEnd w:id="357"/>
      <w:r>
        <w:rPr>
          <w:rFonts w:hint="eastAsia" w:ascii="宋体" w:hAnsi="宋体" w:eastAsia="宋体"/>
          <w:color w:val="auto"/>
          <w:spacing w:val="9"/>
          <w:sz w:val="43"/>
          <w:szCs w:val="43"/>
          <w:highlight w:val="none"/>
          <w:lang w:eastAsia="zh-CN"/>
        </w:rPr>
        <w:t>（</w:t>
      </w:r>
      <w:r>
        <w:rPr>
          <w:rFonts w:hint="eastAsia" w:ascii="宋体" w:hAnsi="宋体" w:eastAsia="宋体"/>
          <w:color w:val="auto"/>
          <w:spacing w:val="9"/>
          <w:sz w:val="43"/>
          <w:szCs w:val="43"/>
          <w:highlight w:val="none"/>
          <w:lang w:val="en-US" w:eastAsia="zh-CN"/>
        </w:rPr>
        <w:t>另册</w:t>
      </w:r>
      <w:r>
        <w:rPr>
          <w:rFonts w:hint="eastAsia" w:ascii="宋体" w:hAnsi="宋体" w:eastAsia="宋体"/>
          <w:color w:val="auto"/>
          <w:spacing w:val="9"/>
          <w:sz w:val="43"/>
          <w:szCs w:val="43"/>
          <w:highlight w:val="none"/>
          <w:lang w:eastAsia="zh-CN"/>
        </w:rPr>
        <w:t>）</w:t>
      </w:r>
    </w:p>
    <w:p w14:paraId="4645E57B">
      <w:pPr>
        <w:pStyle w:val="25"/>
        <w:rPr>
          <w:rFonts w:hint="eastAsia"/>
          <w:color w:val="auto"/>
          <w:highlight w:val="none"/>
        </w:rPr>
        <w:sectPr>
          <w:footerReference r:id="rId15" w:type="default"/>
          <w:pgSz w:w="12240" w:h="15840"/>
          <w:pgMar w:top="1346" w:right="1836" w:bottom="1104" w:left="1836" w:header="0" w:footer="940" w:gutter="0"/>
          <w:cols w:space="720" w:num="1"/>
        </w:sectPr>
      </w:pPr>
    </w:p>
    <w:p w14:paraId="0731F629">
      <w:pPr>
        <w:spacing w:line="360" w:lineRule="auto"/>
        <w:ind w:firstLine="423"/>
        <w:rPr>
          <w:rFonts w:hint="eastAsia" w:ascii="宋体" w:hAnsi="宋体" w:eastAsia="宋体"/>
          <w:color w:val="auto"/>
          <w:highlight w:val="none"/>
        </w:rPr>
      </w:pPr>
    </w:p>
    <w:p w14:paraId="2F94F567">
      <w:pPr>
        <w:pStyle w:val="24"/>
        <w:spacing w:before="5280"/>
        <w:rPr>
          <w:rFonts w:hint="eastAsia" w:ascii="宋体" w:hAnsi="宋体"/>
          <w:color w:val="auto"/>
          <w:spacing w:val="5"/>
          <w:sz w:val="52"/>
          <w:szCs w:val="52"/>
          <w:highlight w:val="none"/>
        </w:rPr>
      </w:pPr>
      <w:bookmarkStart w:id="358" w:name="_Toc183207167"/>
      <w:r>
        <w:rPr>
          <w:rFonts w:ascii="宋体" w:hAnsi="宋体"/>
          <w:color w:val="auto"/>
          <w:spacing w:val="5"/>
          <w:sz w:val="52"/>
          <w:szCs w:val="52"/>
          <w:highlight w:val="none"/>
        </w:rPr>
        <w:t>第三卷</w:t>
      </w:r>
      <w:bookmarkEnd w:id="358"/>
    </w:p>
    <w:p w14:paraId="5A6AAA4F">
      <w:pPr>
        <w:pStyle w:val="24"/>
        <w:spacing w:before="5280"/>
        <w:rPr>
          <w:rFonts w:hint="eastAsia" w:ascii="宋体" w:hAnsi="宋体"/>
          <w:color w:val="auto"/>
          <w:spacing w:val="5"/>
          <w:sz w:val="52"/>
          <w:szCs w:val="52"/>
          <w:highlight w:val="none"/>
        </w:rPr>
        <w:sectPr>
          <w:footerReference r:id="rId16" w:type="default"/>
          <w:pgSz w:w="12240" w:h="15840"/>
          <w:pgMar w:top="1346" w:right="1836" w:bottom="1103" w:left="1836" w:header="0" w:footer="940" w:gutter="0"/>
          <w:cols w:space="720" w:num="1"/>
        </w:sectPr>
      </w:pPr>
    </w:p>
    <w:p w14:paraId="26E35DD5">
      <w:pPr>
        <w:spacing w:line="250" w:lineRule="auto"/>
        <w:rPr>
          <w:color w:val="auto"/>
          <w:highlight w:val="none"/>
        </w:rPr>
      </w:pPr>
    </w:p>
    <w:p w14:paraId="67FF165F">
      <w:pPr>
        <w:spacing w:line="251" w:lineRule="auto"/>
        <w:rPr>
          <w:color w:val="auto"/>
          <w:highlight w:val="none"/>
        </w:rPr>
      </w:pPr>
    </w:p>
    <w:p w14:paraId="7A021527">
      <w:pPr>
        <w:spacing w:line="251" w:lineRule="auto"/>
        <w:rPr>
          <w:color w:val="auto"/>
          <w:highlight w:val="none"/>
        </w:rPr>
      </w:pPr>
    </w:p>
    <w:p w14:paraId="4A696F52">
      <w:pPr>
        <w:pStyle w:val="25"/>
        <w:rPr>
          <w:rFonts w:hint="eastAsia" w:ascii="宋体" w:hAnsi="宋体"/>
          <w:color w:val="auto"/>
          <w:spacing w:val="10"/>
          <w:sz w:val="43"/>
          <w:szCs w:val="43"/>
          <w:highlight w:val="none"/>
        </w:rPr>
      </w:pPr>
      <w:bookmarkStart w:id="359" w:name="_Toc18917"/>
      <w:bookmarkStart w:id="360" w:name="_Toc31817"/>
      <w:bookmarkStart w:id="361" w:name="_Toc27544"/>
      <w:bookmarkStart w:id="362" w:name="_Toc183207168"/>
      <w:r>
        <w:rPr>
          <w:rFonts w:ascii="宋体" w:hAnsi="宋体"/>
          <w:color w:val="auto"/>
          <w:spacing w:val="10"/>
          <w:sz w:val="43"/>
          <w:szCs w:val="43"/>
          <w:highlight w:val="none"/>
        </w:rPr>
        <w:t>第六章投标文件格</w:t>
      </w:r>
      <w:r>
        <w:rPr>
          <w:rFonts w:ascii="宋体" w:hAnsi="宋体"/>
          <w:color w:val="auto"/>
          <w:spacing w:val="8"/>
          <w:sz w:val="43"/>
          <w:szCs w:val="43"/>
          <w:highlight w:val="none"/>
        </w:rPr>
        <w:t>式</w:t>
      </w:r>
      <w:bookmarkEnd w:id="359"/>
      <w:bookmarkEnd w:id="360"/>
      <w:bookmarkEnd w:id="361"/>
      <w:bookmarkEnd w:id="362"/>
    </w:p>
    <w:p w14:paraId="0E2C392D">
      <w:pPr>
        <w:rPr>
          <w:color w:val="auto"/>
          <w:highlight w:val="none"/>
        </w:rPr>
        <w:sectPr>
          <w:footerReference r:id="rId17" w:type="default"/>
          <w:pgSz w:w="12240" w:h="15840"/>
          <w:pgMar w:top="1346" w:right="1836" w:bottom="1104" w:left="1836" w:header="0" w:footer="940" w:gutter="0"/>
          <w:cols w:space="720" w:num="1"/>
        </w:sectPr>
      </w:pPr>
    </w:p>
    <w:p w14:paraId="57089070">
      <w:pPr>
        <w:spacing w:line="279" w:lineRule="auto"/>
        <w:rPr>
          <w:color w:val="auto"/>
          <w:highlight w:val="none"/>
        </w:rPr>
      </w:pPr>
    </w:p>
    <w:p w14:paraId="5578165B">
      <w:pPr>
        <w:spacing w:line="279" w:lineRule="auto"/>
        <w:rPr>
          <w:color w:val="auto"/>
          <w:highlight w:val="none"/>
        </w:rPr>
      </w:pPr>
    </w:p>
    <w:p w14:paraId="72F9A270">
      <w:pPr>
        <w:spacing w:line="279" w:lineRule="auto"/>
        <w:rPr>
          <w:color w:val="auto"/>
          <w:highlight w:val="none"/>
        </w:rPr>
      </w:pPr>
    </w:p>
    <w:p w14:paraId="6A0B4604">
      <w:pPr>
        <w:spacing w:line="279" w:lineRule="auto"/>
        <w:rPr>
          <w:color w:val="auto"/>
          <w:highlight w:val="none"/>
        </w:rPr>
      </w:pPr>
    </w:p>
    <w:p w14:paraId="57BEE2A1">
      <w:pPr>
        <w:spacing w:line="280" w:lineRule="auto"/>
        <w:rPr>
          <w:color w:val="auto"/>
          <w:highlight w:val="none"/>
        </w:rPr>
      </w:pPr>
    </w:p>
    <w:p w14:paraId="0AD82C7E">
      <w:pPr>
        <w:spacing w:line="280" w:lineRule="auto"/>
        <w:rPr>
          <w:color w:val="auto"/>
          <w:highlight w:val="none"/>
        </w:rPr>
      </w:pPr>
    </w:p>
    <w:p w14:paraId="45D1EEB5">
      <w:pPr>
        <w:tabs>
          <w:tab w:val="left" w:pos="3332"/>
        </w:tabs>
        <w:spacing w:before="88" w:line="229" w:lineRule="auto"/>
        <w:ind w:left="1480"/>
        <w:rPr>
          <w:rFonts w:hint="eastAsia" w:ascii="黑体" w:hAnsi="黑体" w:eastAsia="黑体"/>
          <w:color w:val="auto"/>
          <w:sz w:val="32"/>
          <w:szCs w:val="32"/>
          <w:highlight w:val="none"/>
          <w:u w:val="single"/>
        </w:rPr>
      </w:pPr>
      <w:r>
        <w:rPr>
          <w:rFonts w:ascii="黑体" w:hAnsi="黑体" w:eastAsia="黑体"/>
          <w:color w:val="auto"/>
          <w:sz w:val="32"/>
          <w:szCs w:val="32"/>
          <w:highlight w:val="none"/>
          <w:u w:val="single"/>
        </w:rPr>
        <w:tab/>
      </w:r>
      <w:r>
        <w:rPr>
          <w:rFonts w:ascii="黑体" w:hAnsi="黑体" w:eastAsia="黑体"/>
          <w:color w:val="auto"/>
          <w:spacing w:val="16"/>
          <w:sz w:val="32"/>
          <w:szCs w:val="32"/>
          <w:highlight w:val="none"/>
          <w:u w:val="single"/>
        </w:rPr>
        <w:t>(</w:t>
      </w:r>
      <w:r>
        <w:rPr>
          <w:rFonts w:ascii="黑体" w:hAnsi="黑体" w:eastAsia="黑体"/>
          <w:color w:val="auto"/>
          <w:spacing w:val="15"/>
          <w:sz w:val="32"/>
          <w:szCs w:val="32"/>
          <w:highlight w:val="none"/>
          <w:u w:val="single"/>
        </w:rPr>
        <w:t>项目名称)</w:t>
      </w:r>
      <w:r>
        <w:rPr>
          <w:rFonts w:hint="eastAsia" w:ascii="黑体" w:hAnsi="黑体" w:eastAsia="黑体"/>
          <w:color w:val="auto"/>
          <w:spacing w:val="15"/>
          <w:sz w:val="32"/>
          <w:szCs w:val="32"/>
          <w:highlight w:val="none"/>
          <w:u w:val="single"/>
        </w:rPr>
        <w:t xml:space="preserve">   </w:t>
      </w:r>
    </w:p>
    <w:p w14:paraId="7789BE04">
      <w:pPr>
        <w:pStyle w:val="57"/>
        <w:rPr>
          <w:color w:val="auto"/>
          <w:highlight w:val="none"/>
        </w:rPr>
      </w:pPr>
    </w:p>
    <w:p w14:paraId="34FB1817">
      <w:pPr>
        <w:spacing w:line="368" w:lineRule="auto"/>
        <w:rPr>
          <w:color w:val="auto"/>
          <w:highlight w:val="none"/>
        </w:rPr>
      </w:pPr>
    </w:p>
    <w:p w14:paraId="41DFB077">
      <w:pPr>
        <w:pStyle w:val="57"/>
        <w:rPr>
          <w:color w:val="auto"/>
          <w:highlight w:val="none"/>
        </w:rPr>
      </w:pPr>
    </w:p>
    <w:p w14:paraId="62BA52EC">
      <w:pPr>
        <w:pStyle w:val="57"/>
        <w:rPr>
          <w:color w:val="auto"/>
          <w:highlight w:val="none"/>
        </w:rPr>
      </w:pPr>
    </w:p>
    <w:p w14:paraId="2A4E6E17">
      <w:pPr>
        <w:spacing w:before="140" w:line="226" w:lineRule="auto"/>
        <w:ind w:left="2100"/>
        <w:rPr>
          <w:rFonts w:hint="eastAsia" w:ascii="黑体" w:hAnsi="黑体" w:eastAsia="黑体"/>
          <w:color w:val="auto"/>
          <w:spacing w:val="8"/>
          <w:sz w:val="84"/>
          <w:szCs w:val="84"/>
          <w:highlight w:val="none"/>
        </w:rPr>
      </w:pPr>
      <w:r>
        <w:rPr>
          <w:rFonts w:ascii="黑体" w:hAnsi="黑体" w:eastAsia="黑体"/>
          <w:color w:val="auto"/>
          <w:spacing w:val="8"/>
          <w:sz w:val="84"/>
          <w:szCs w:val="84"/>
          <w:highlight w:val="none"/>
        </w:rPr>
        <w:t>投</w:t>
      </w:r>
      <w:r>
        <w:rPr>
          <w:rFonts w:ascii="黑体" w:hAnsi="黑体" w:eastAsia="黑体"/>
          <w:color w:val="auto"/>
          <w:spacing w:val="6"/>
          <w:sz w:val="84"/>
          <w:szCs w:val="84"/>
          <w:highlight w:val="none"/>
        </w:rPr>
        <w:t>标文件</w:t>
      </w:r>
    </w:p>
    <w:p w14:paraId="431C5319">
      <w:pPr>
        <w:spacing w:line="246" w:lineRule="auto"/>
        <w:rPr>
          <w:color w:val="auto"/>
          <w:highlight w:val="none"/>
        </w:rPr>
      </w:pPr>
    </w:p>
    <w:p w14:paraId="50E52DC9">
      <w:pPr>
        <w:spacing w:line="246" w:lineRule="auto"/>
        <w:rPr>
          <w:color w:val="auto"/>
          <w:highlight w:val="none"/>
        </w:rPr>
      </w:pPr>
    </w:p>
    <w:p w14:paraId="0D9454F9">
      <w:pPr>
        <w:spacing w:line="246" w:lineRule="auto"/>
        <w:rPr>
          <w:color w:val="auto"/>
          <w:highlight w:val="none"/>
        </w:rPr>
      </w:pPr>
    </w:p>
    <w:p w14:paraId="2DD725D9">
      <w:pPr>
        <w:spacing w:line="246" w:lineRule="auto"/>
        <w:rPr>
          <w:color w:val="auto"/>
          <w:highlight w:val="none"/>
        </w:rPr>
      </w:pPr>
    </w:p>
    <w:p w14:paraId="76044E4E">
      <w:pPr>
        <w:spacing w:line="246" w:lineRule="auto"/>
        <w:rPr>
          <w:color w:val="auto"/>
          <w:highlight w:val="none"/>
        </w:rPr>
      </w:pPr>
    </w:p>
    <w:p w14:paraId="355EB0F1">
      <w:pPr>
        <w:spacing w:line="246" w:lineRule="auto"/>
        <w:rPr>
          <w:color w:val="auto"/>
          <w:highlight w:val="none"/>
        </w:rPr>
      </w:pPr>
    </w:p>
    <w:p w14:paraId="4DEC5167">
      <w:pPr>
        <w:spacing w:line="246" w:lineRule="auto"/>
        <w:rPr>
          <w:color w:val="auto"/>
          <w:highlight w:val="none"/>
        </w:rPr>
      </w:pPr>
    </w:p>
    <w:p w14:paraId="68FA7DB1">
      <w:pPr>
        <w:spacing w:line="247" w:lineRule="auto"/>
        <w:rPr>
          <w:color w:val="auto"/>
          <w:highlight w:val="none"/>
        </w:rPr>
      </w:pPr>
    </w:p>
    <w:p w14:paraId="404ED29E">
      <w:pPr>
        <w:spacing w:line="247" w:lineRule="auto"/>
        <w:rPr>
          <w:color w:val="auto"/>
          <w:highlight w:val="none"/>
        </w:rPr>
      </w:pPr>
    </w:p>
    <w:p w14:paraId="008C077F">
      <w:pPr>
        <w:spacing w:line="247" w:lineRule="auto"/>
        <w:rPr>
          <w:color w:val="auto"/>
          <w:highlight w:val="none"/>
        </w:rPr>
      </w:pPr>
    </w:p>
    <w:p w14:paraId="08D79421">
      <w:pPr>
        <w:spacing w:line="247" w:lineRule="auto"/>
        <w:rPr>
          <w:color w:val="auto"/>
          <w:highlight w:val="none"/>
        </w:rPr>
      </w:pPr>
    </w:p>
    <w:p w14:paraId="16675BD6">
      <w:pPr>
        <w:spacing w:line="247" w:lineRule="auto"/>
        <w:rPr>
          <w:color w:val="auto"/>
          <w:highlight w:val="none"/>
        </w:rPr>
      </w:pPr>
    </w:p>
    <w:p w14:paraId="54CB5673">
      <w:pPr>
        <w:spacing w:line="247" w:lineRule="auto"/>
        <w:rPr>
          <w:color w:val="auto"/>
          <w:highlight w:val="none"/>
        </w:rPr>
      </w:pPr>
    </w:p>
    <w:p w14:paraId="0954A94B">
      <w:pPr>
        <w:spacing w:line="247" w:lineRule="auto"/>
        <w:rPr>
          <w:color w:val="auto"/>
          <w:highlight w:val="none"/>
        </w:rPr>
      </w:pPr>
    </w:p>
    <w:p w14:paraId="5B831140">
      <w:pPr>
        <w:spacing w:line="247" w:lineRule="auto"/>
        <w:rPr>
          <w:color w:val="auto"/>
          <w:highlight w:val="none"/>
        </w:rPr>
      </w:pPr>
    </w:p>
    <w:p w14:paraId="2C14A4E1">
      <w:pPr>
        <w:spacing w:line="247" w:lineRule="auto"/>
        <w:rPr>
          <w:color w:val="auto"/>
          <w:highlight w:val="none"/>
        </w:rPr>
      </w:pPr>
    </w:p>
    <w:p w14:paraId="1DC63C81">
      <w:pPr>
        <w:spacing w:line="247" w:lineRule="auto"/>
        <w:rPr>
          <w:color w:val="auto"/>
          <w:highlight w:val="none"/>
        </w:rPr>
      </w:pPr>
    </w:p>
    <w:p w14:paraId="794EED18">
      <w:pPr>
        <w:spacing w:line="247" w:lineRule="auto"/>
        <w:rPr>
          <w:color w:val="auto"/>
          <w:highlight w:val="none"/>
        </w:rPr>
      </w:pPr>
    </w:p>
    <w:p w14:paraId="322C23D2">
      <w:pPr>
        <w:spacing w:line="247" w:lineRule="auto"/>
        <w:rPr>
          <w:color w:val="auto"/>
          <w:highlight w:val="none"/>
        </w:rPr>
      </w:pPr>
    </w:p>
    <w:p w14:paraId="5BC8555C">
      <w:pPr>
        <w:spacing w:line="247" w:lineRule="auto"/>
        <w:rPr>
          <w:color w:val="auto"/>
          <w:highlight w:val="none"/>
        </w:rPr>
      </w:pPr>
    </w:p>
    <w:p w14:paraId="26872AA1">
      <w:pPr>
        <w:spacing w:line="247" w:lineRule="auto"/>
        <w:rPr>
          <w:color w:val="auto"/>
          <w:highlight w:val="none"/>
        </w:rPr>
      </w:pPr>
    </w:p>
    <w:p w14:paraId="25778E38">
      <w:pPr>
        <w:spacing w:line="247" w:lineRule="auto"/>
        <w:rPr>
          <w:color w:val="auto"/>
          <w:highlight w:val="none"/>
        </w:rPr>
      </w:pPr>
    </w:p>
    <w:p w14:paraId="45187C74">
      <w:pPr>
        <w:spacing w:line="247" w:lineRule="auto"/>
        <w:rPr>
          <w:color w:val="auto"/>
          <w:highlight w:val="none"/>
        </w:rPr>
      </w:pPr>
    </w:p>
    <w:p w14:paraId="1D6A3F92">
      <w:pPr>
        <w:spacing w:line="247" w:lineRule="auto"/>
        <w:rPr>
          <w:color w:val="auto"/>
          <w:highlight w:val="none"/>
        </w:rPr>
      </w:pPr>
    </w:p>
    <w:p w14:paraId="68416847">
      <w:pPr>
        <w:spacing w:before="88" w:line="380" w:lineRule="auto"/>
        <w:ind w:left="1096" w:right="97" w:hanging="4"/>
        <w:rPr>
          <w:rFonts w:hint="eastAsia" w:ascii="黑体" w:hAnsi="黑体" w:eastAsia="黑体"/>
          <w:color w:val="auto"/>
          <w:spacing w:val="-2"/>
          <w:sz w:val="28"/>
          <w:szCs w:val="28"/>
          <w:highlight w:val="none"/>
        </w:rPr>
      </w:pPr>
      <w:r>
        <w:rPr>
          <w:rFonts w:ascii="黑体" w:hAnsi="黑体" w:eastAsia="黑体"/>
          <w:color w:val="auto"/>
          <w:spacing w:val="-2"/>
          <w:sz w:val="28"/>
          <w:szCs w:val="28"/>
          <w:highlight w:val="none"/>
        </w:rPr>
        <w:t>投</w:t>
      </w:r>
      <w:r>
        <w:rPr>
          <w:rFonts w:ascii="黑体" w:hAnsi="黑体" w:eastAsia="黑体"/>
          <w:color w:val="auto"/>
          <w:spacing w:val="-1"/>
          <w:sz w:val="28"/>
          <w:szCs w:val="28"/>
          <w:highlight w:val="none"/>
        </w:rPr>
        <w:t>标人：</w:t>
      </w:r>
      <w:r>
        <w:rPr>
          <w:rFonts w:ascii="黑体" w:hAnsi="黑体" w:eastAsia="黑体"/>
          <w:color w:val="auto"/>
          <w:spacing w:val="-1"/>
          <w:sz w:val="28"/>
          <w:szCs w:val="28"/>
          <w:highlight w:val="none"/>
          <w:u w:val="single"/>
        </w:rPr>
        <w:t xml:space="preserve">                               </w:t>
      </w:r>
      <w:r>
        <w:rPr>
          <w:rFonts w:ascii="黑体" w:hAnsi="黑体" w:eastAsia="黑体"/>
          <w:color w:val="auto"/>
          <w:spacing w:val="-1"/>
          <w:sz w:val="28"/>
          <w:szCs w:val="28"/>
          <w:highlight w:val="none"/>
        </w:rPr>
        <w:t>(盖单位章)</w:t>
      </w:r>
      <w:r>
        <w:rPr>
          <w:rFonts w:ascii="黑体" w:hAnsi="黑体" w:eastAsia="黑体"/>
          <w:color w:val="auto"/>
          <w:sz w:val="28"/>
          <w:szCs w:val="28"/>
          <w:highlight w:val="none"/>
        </w:rPr>
        <w:t xml:space="preserve"> </w:t>
      </w:r>
    </w:p>
    <w:p w14:paraId="24B2CC86">
      <w:pPr>
        <w:spacing w:before="88" w:line="380" w:lineRule="auto"/>
        <w:ind w:left="1096" w:right="97" w:hanging="4"/>
        <w:rPr>
          <w:rFonts w:hint="eastAsia" w:ascii="黑体" w:hAnsi="黑体" w:eastAsia="黑体"/>
          <w:color w:val="auto"/>
          <w:spacing w:val="-6"/>
          <w:sz w:val="28"/>
          <w:szCs w:val="28"/>
          <w:highlight w:val="none"/>
        </w:rPr>
      </w:pPr>
      <w:r>
        <w:rPr>
          <w:rFonts w:ascii="黑体" w:hAnsi="黑体" w:eastAsia="黑体"/>
          <w:color w:val="auto"/>
          <w:spacing w:val="-6"/>
          <w:sz w:val="28"/>
          <w:szCs w:val="28"/>
          <w:highlight w:val="none"/>
        </w:rPr>
        <w:t>法定</w:t>
      </w:r>
      <w:r>
        <w:rPr>
          <w:rFonts w:ascii="黑体" w:hAnsi="黑体" w:eastAsia="黑体"/>
          <w:color w:val="auto"/>
          <w:spacing w:val="-3"/>
          <w:sz w:val="28"/>
          <w:szCs w:val="28"/>
          <w:highlight w:val="none"/>
        </w:rPr>
        <w:t>代表人或其委托代理人：</w:t>
      </w:r>
      <w:r>
        <w:rPr>
          <w:rFonts w:ascii="黑体" w:hAnsi="黑体" w:eastAsia="黑体"/>
          <w:color w:val="auto"/>
          <w:spacing w:val="-3"/>
          <w:sz w:val="28"/>
          <w:szCs w:val="28"/>
          <w:highlight w:val="none"/>
          <w:u w:val="single"/>
        </w:rPr>
        <w:t xml:space="preserve">       </w:t>
      </w:r>
      <w:r>
        <w:rPr>
          <w:rFonts w:hint="eastAsia" w:ascii="黑体" w:hAnsi="黑体" w:eastAsia="黑体"/>
          <w:color w:val="auto"/>
          <w:spacing w:val="-3"/>
          <w:sz w:val="28"/>
          <w:szCs w:val="28"/>
          <w:highlight w:val="none"/>
          <w:u w:val="single"/>
        </w:rPr>
        <w:t xml:space="preserve">   </w:t>
      </w:r>
      <w:r>
        <w:rPr>
          <w:rFonts w:ascii="黑体" w:hAnsi="黑体" w:eastAsia="黑体"/>
          <w:color w:val="auto"/>
          <w:spacing w:val="-3"/>
          <w:sz w:val="28"/>
          <w:szCs w:val="28"/>
          <w:highlight w:val="none"/>
          <w:u w:val="single"/>
        </w:rPr>
        <w:t xml:space="preserve"> </w:t>
      </w:r>
      <w:r>
        <w:rPr>
          <w:rFonts w:ascii="黑体" w:hAnsi="黑体" w:eastAsia="黑体"/>
          <w:color w:val="auto"/>
          <w:spacing w:val="-3"/>
          <w:sz w:val="28"/>
          <w:szCs w:val="28"/>
          <w:highlight w:val="none"/>
        </w:rPr>
        <w:t>(签字</w:t>
      </w:r>
      <w:r>
        <w:rPr>
          <w:rFonts w:hint="eastAsia" w:ascii="黑体" w:hAnsi="黑体" w:eastAsia="黑体"/>
          <w:color w:val="auto"/>
          <w:spacing w:val="-3"/>
          <w:sz w:val="28"/>
          <w:szCs w:val="28"/>
          <w:highlight w:val="none"/>
        </w:rPr>
        <w:t>或盖章</w:t>
      </w:r>
      <w:r>
        <w:rPr>
          <w:rFonts w:ascii="黑体" w:hAnsi="黑体" w:eastAsia="黑体"/>
          <w:color w:val="auto"/>
          <w:spacing w:val="-3"/>
          <w:sz w:val="28"/>
          <w:szCs w:val="28"/>
          <w:highlight w:val="none"/>
        </w:rPr>
        <w:t>)</w:t>
      </w:r>
    </w:p>
    <w:p w14:paraId="0E02AE5F">
      <w:pPr>
        <w:spacing w:line="249" w:lineRule="auto"/>
        <w:rPr>
          <w:color w:val="auto"/>
          <w:sz w:val="28"/>
          <w:szCs w:val="28"/>
          <w:highlight w:val="none"/>
        </w:rPr>
      </w:pPr>
    </w:p>
    <w:p w14:paraId="6EDB97E3">
      <w:pPr>
        <w:tabs>
          <w:tab w:val="left" w:pos="3507"/>
        </w:tabs>
        <w:spacing w:before="87" w:line="230" w:lineRule="auto"/>
        <w:ind w:left="2761"/>
        <w:rPr>
          <w:rFonts w:hint="eastAsia" w:ascii="黑体" w:hAnsi="黑体" w:eastAsia="黑体"/>
          <w:color w:val="auto"/>
          <w:sz w:val="28"/>
          <w:szCs w:val="28"/>
          <w:highlight w:val="none"/>
          <w:u w:val="single"/>
        </w:rPr>
      </w:pPr>
      <w:r>
        <w:rPr>
          <w:rFonts w:ascii="黑体" w:hAnsi="黑体" w:eastAsia="黑体"/>
          <w:color w:val="auto"/>
          <w:sz w:val="28"/>
          <w:szCs w:val="28"/>
          <w:highlight w:val="none"/>
          <w:u w:val="single"/>
        </w:rPr>
        <w:tab/>
      </w:r>
      <w:r>
        <w:rPr>
          <w:rFonts w:ascii="黑体" w:hAnsi="黑体" w:eastAsia="黑体"/>
          <w:color w:val="auto"/>
          <w:spacing w:val="6"/>
          <w:sz w:val="28"/>
          <w:szCs w:val="28"/>
          <w:highlight w:val="none"/>
        </w:rPr>
        <w:t>年</w:t>
      </w:r>
      <w:r>
        <w:rPr>
          <w:rFonts w:ascii="黑体" w:hAnsi="黑体" w:eastAsia="黑体"/>
          <w:color w:val="auto"/>
          <w:spacing w:val="6"/>
          <w:sz w:val="28"/>
          <w:szCs w:val="28"/>
          <w:highlight w:val="none"/>
          <w:u w:val="single"/>
        </w:rPr>
        <w:t xml:space="preserve"> </w:t>
      </w:r>
      <w:r>
        <w:rPr>
          <w:rFonts w:ascii="黑体" w:hAnsi="黑体" w:eastAsia="黑体"/>
          <w:color w:val="auto"/>
          <w:spacing w:val="3"/>
          <w:sz w:val="28"/>
          <w:szCs w:val="28"/>
          <w:highlight w:val="none"/>
          <w:u w:val="single"/>
        </w:rPr>
        <w:t xml:space="preserve">    </w:t>
      </w:r>
      <w:r>
        <w:rPr>
          <w:rFonts w:ascii="黑体" w:hAnsi="黑体" w:eastAsia="黑体"/>
          <w:color w:val="auto"/>
          <w:spacing w:val="3"/>
          <w:sz w:val="28"/>
          <w:szCs w:val="28"/>
          <w:highlight w:val="none"/>
        </w:rPr>
        <w:t>月</w:t>
      </w:r>
      <w:r>
        <w:rPr>
          <w:rFonts w:ascii="黑体" w:hAnsi="黑体" w:eastAsia="黑体"/>
          <w:color w:val="auto"/>
          <w:spacing w:val="3"/>
          <w:sz w:val="28"/>
          <w:szCs w:val="28"/>
          <w:highlight w:val="none"/>
          <w:u w:val="single"/>
        </w:rPr>
        <w:t xml:space="preserve">     </w:t>
      </w:r>
      <w:r>
        <w:rPr>
          <w:rFonts w:ascii="黑体" w:hAnsi="黑体" w:eastAsia="黑体"/>
          <w:color w:val="auto"/>
          <w:spacing w:val="3"/>
          <w:sz w:val="28"/>
          <w:szCs w:val="28"/>
          <w:highlight w:val="none"/>
        </w:rPr>
        <w:t xml:space="preserve"> 日</w:t>
      </w:r>
    </w:p>
    <w:p w14:paraId="34EA89BD">
      <w:pPr>
        <w:rPr>
          <w:color w:val="auto"/>
          <w:highlight w:val="none"/>
        </w:rPr>
        <w:sectPr>
          <w:footerReference r:id="rId18" w:type="default"/>
          <w:pgSz w:w="12240" w:h="15840"/>
          <w:pgMar w:top="1346" w:right="1836" w:bottom="1104" w:left="1836" w:header="0" w:footer="940" w:gutter="0"/>
          <w:cols w:space="720" w:num="1"/>
        </w:sectPr>
      </w:pPr>
    </w:p>
    <w:p w14:paraId="3FF9437C">
      <w:pPr>
        <w:spacing w:line="347" w:lineRule="auto"/>
        <w:rPr>
          <w:color w:val="auto"/>
          <w:highlight w:val="none"/>
        </w:rPr>
      </w:pPr>
    </w:p>
    <w:p w14:paraId="5CD31B12">
      <w:pPr>
        <w:spacing w:before="101" w:line="228" w:lineRule="auto"/>
        <w:ind w:left="4043"/>
        <w:rPr>
          <w:rFonts w:hint="eastAsia" w:ascii="黑体" w:hAnsi="黑体" w:eastAsia="黑体"/>
          <w:color w:val="auto"/>
          <w:spacing w:val="-9"/>
          <w:sz w:val="31"/>
          <w:szCs w:val="31"/>
          <w:highlight w:val="none"/>
        </w:rPr>
      </w:pPr>
      <w:r>
        <w:rPr>
          <w:rFonts w:ascii="黑体" w:hAnsi="黑体" w:eastAsia="黑体"/>
          <w:color w:val="auto"/>
          <w:spacing w:val="-9"/>
          <w:sz w:val="31"/>
          <w:szCs w:val="31"/>
          <w:highlight w:val="none"/>
        </w:rPr>
        <w:t>目</w:t>
      </w:r>
      <w:r>
        <w:rPr>
          <w:rFonts w:ascii="黑体" w:hAnsi="黑体" w:eastAsia="黑体"/>
          <w:color w:val="auto"/>
          <w:spacing w:val="-7"/>
          <w:sz w:val="31"/>
          <w:szCs w:val="31"/>
          <w:highlight w:val="none"/>
        </w:rPr>
        <w:t>录</w:t>
      </w:r>
    </w:p>
    <w:p w14:paraId="1DD7FA02">
      <w:pPr>
        <w:spacing w:line="251" w:lineRule="auto"/>
        <w:rPr>
          <w:color w:val="auto"/>
          <w:highlight w:val="none"/>
        </w:rPr>
      </w:pPr>
    </w:p>
    <w:p w14:paraId="49317490">
      <w:pPr>
        <w:spacing w:line="251" w:lineRule="auto"/>
        <w:rPr>
          <w:color w:val="auto"/>
          <w:highlight w:val="none"/>
        </w:rPr>
      </w:pPr>
    </w:p>
    <w:p w14:paraId="4D04FED6">
      <w:pPr>
        <w:spacing w:line="251" w:lineRule="auto"/>
        <w:rPr>
          <w:color w:val="auto"/>
          <w:highlight w:val="none"/>
        </w:rPr>
      </w:pPr>
    </w:p>
    <w:p w14:paraId="4C0C8734">
      <w:pPr>
        <w:spacing w:line="251" w:lineRule="auto"/>
        <w:rPr>
          <w:color w:val="auto"/>
          <w:highlight w:val="none"/>
        </w:rPr>
      </w:pPr>
    </w:p>
    <w:p w14:paraId="24343721">
      <w:pPr>
        <w:spacing w:line="252" w:lineRule="auto"/>
        <w:rPr>
          <w:color w:val="auto"/>
          <w:highlight w:val="none"/>
        </w:rPr>
      </w:pPr>
    </w:p>
    <w:p w14:paraId="3D5DFDF3">
      <w:pPr>
        <w:spacing w:before="69" w:line="220" w:lineRule="auto"/>
        <w:ind w:left="4"/>
        <w:rPr>
          <w:rFonts w:hint="eastAsia" w:ascii="宋体" w:hAnsi="宋体" w:eastAsia="宋体"/>
          <w:color w:val="auto"/>
          <w:spacing w:val="-1"/>
          <w:highlight w:val="none"/>
        </w:rPr>
      </w:pPr>
      <w:r>
        <w:rPr>
          <w:rFonts w:ascii="宋体" w:hAnsi="宋体" w:eastAsia="宋体"/>
          <w:color w:val="auto"/>
          <w:spacing w:val="-1"/>
          <w:highlight w:val="none"/>
        </w:rPr>
        <w:t>一、投标函及投标函附录</w:t>
      </w:r>
    </w:p>
    <w:p w14:paraId="2DBC9AAD">
      <w:pPr>
        <w:spacing w:before="293" w:line="217" w:lineRule="auto"/>
        <w:ind w:left="4"/>
        <w:rPr>
          <w:rFonts w:hint="eastAsia" w:ascii="宋体" w:hAnsi="宋体" w:eastAsia="宋体"/>
          <w:color w:val="auto"/>
          <w:spacing w:val="6"/>
          <w:highlight w:val="none"/>
        </w:rPr>
      </w:pPr>
      <w:r>
        <w:rPr>
          <w:rFonts w:ascii="宋体" w:hAnsi="宋体" w:eastAsia="宋体"/>
          <w:color w:val="auto"/>
          <w:spacing w:val="6"/>
          <w:highlight w:val="none"/>
        </w:rPr>
        <w:t>二</w:t>
      </w:r>
      <w:r>
        <w:rPr>
          <w:rFonts w:ascii="宋体" w:hAnsi="宋体" w:eastAsia="宋体"/>
          <w:color w:val="auto"/>
          <w:spacing w:val="4"/>
          <w:highlight w:val="none"/>
        </w:rPr>
        <w:t>、</w:t>
      </w:r>
      <w:r>
        <w:rPr>
          <w:rFonts w:ascii="宋体" w:hAnsi="宋体" w:eastAsia="宋体"/>
          <w:color w:val="auto"/>
          <w:spacing w:val="3"/>
          <w:highlight w:val="none"/>
        </w:rPr>
        <w:t>法定代表人身份证明</w:t>
      </w:r>
      <w:r>
        <w:rPr>
          <w:rFonts w:hint="eastAsia" w:ascii="宋体" w:hAnsi="宋体" w:eastAsia="宋体"/>
          <w:color w:val="auto"/>
          <w:spacing w:val="3"/>
          <w:highlight w:val="none"/>
        </w:rPr>
        <w:t>及</w:t>
      </w:r>
      <w:r>
        <w:rPr>
          <w:rFonts w:ascii="宋体" w:hAnsi="宋体" w:eastAsia="宋体"/>
          <w:color w:val="auto"/>
          <w:spacing w:val="6"/>
          <w:highlight w:val="none"/>
        </w:rPr>
        <w:t>授权委</w:t>
      </w:r>
      <w:r>
        <w:rPr>
          <w:rFonts w:ascii="宋体" w:hAnsi="宋体" w:eastAsia="宋体"/>
          <w:color w:val="auto"/>
          <w:spacing w:val="4"/>
          <w:highlight w:val="none"/>
        </w:rPr>
        <w:t>托</w:t>
      </w:r>
      <w:r>
        <w:rPr>
          <w:rFonts w:ascii="宋体" w:hAnsi="宋体" w:eastAsia="宋体"/>
          <w:color w:val="auto"/>
          <w:spacing w:val="3"/>
          <w:highlight w:val="none"/>
        </w:rPr>
        <w:t>书(适用于有委托代理人的情况)</w:t>
      </w:r>
    </w:p>
    <w:p w14:paraId="70A5158E">
      <w:pPr>
        <w:spacing w:before="293" w:line="220" w:lineRule="auto"/>
        <w:rPr>
          <w:rFonts w:hint="eastAsia" w:ascii="宋体" w:hAnsi="宋体" w:eastAsia="宋体"/>
          <w:color w:val="auto"/>
          <w:spacing w:val="-1"/>
          <w:highlight w:val="none"/>
        </w:rPr>
      </w:pPr>
      <w:r>
        <w:rPr>
          <w:rFonts w:ascii="宋体" w:hAnsi="宋体" w:eastAsia="宋体"/>
          <w:color w:val="auto"/>
          <w:spacing w:val="-1"/>
          <w:highlight w:val="none"/>
        </w:rPr>
        <w:t>三、联合体协议书</w:t>
      </w:r>
    </w:p>
    <w:p w14:paraId="54B21C9B">
      <w:pPr>
        <w:spacing w:before="290" w:line="221" w:lineRule="auto"/>
        <w:ind w:left="20"/>
        <w:rPr>
          <w:rFonts w:hint="eastAsia" w:ascii="宋体" w:hAnsi="宋体" w:eastAsia="宋体"/>
          <w:color w:val="auto"/>
          <w:spacing w:val="-6"/>
          <w:highlight w:val="none"/>
        </w:rPr>
      </w:pPr>
      <w:r>
        <w:rPr>
          <w:rFonts w:ascii="宋体" w:hAnsi="宋体" w:eastAsia="宋体"/>
          <w:color w:val="auto"/>
          <w:spacing w:val="-6"/>
          <w:highlight w:val="none"/>
        </w:rPr>
        <w:t>四</w:t>
      </w:r>
      <w:r>
        <w:rPr>
          <w:rFonts w:ascii="宋体" w:hAnsi="宋体" w:eastAsia="宋体"/>
          <w:color w:val="auto"/>
          <w:spacing w:val="-3"/>
          <w:highlight w:val="none"/>
        </w:rPr>
        <w:t>、</w:t>
      </w:r>
      <w:r>
        <w:rPr>
          <w:rFonts w:hint="default" w:ascii="宋体" w:hAnsi="宋体" w:eastAsia="宋体" w:cs="宋体"/>
          <w:color w:val="auto"/>
          <w:spacing w:val="-1"/>
          <w:sz w:val="21"/>
          <w:szCs w:val="21"/>
          <w:highlight w:val="none"/>
        </w:rPr>
        <w:t>关于投标保证金的承诺</w:t>
      </w:r>
    </w:p>
    <w:p w14:paraId="3E8F56FC">
      <w:pPr>
        <w:spacing w:before="288" w:line="220" w:lineRule="auto"/>
        <w:ind w:left="4"/>
        <w:rPr>
          <w:rFonts w:hint="eastAsia" w:ascii="宋体" w:hAnsi="宋体" w:eastAsia="宋体"/>
          <w:color w:val="auto"/>
          <w:spacing w:val="-2"/>
          <w:highlight w:val="none"/>
        </w:rPr>
      </w:pPr>
      <w:r>
        <w:rPr>
          <w:rFonts w:ascii="宋体" w:hAnsi="宋体" w:eastAsia="宋体"/>
          <w:color w:val="auto"/>
          <w:spacing w:val="-2"/>
          <w:highlight w:val="none"/>
        </w:rPr>
        <w:t>五、</w:t>
      </w:r>
      <w:r>
        <w:rPr>
          <w:rFonts w:hint="eastAsia" w:ascii="宋体" w:hAnsi="宋体" w:eastAsia="宋体"/>
          <w:color w:val="auto"/>
          <w:spacing w:val="-2"/>
          <w:highlight w:val="none"/>
        </w:rPr>
        <w:t>勘察</w:t>
      </w:r>
      <w:r>
        <w:rPr>
          <w:rFonts w:ascii="宋体" w:hAnsi="宋体" w:eastAsia="宋体"/>
          <w:color w:val="auto"/>
          <w:spacing w:val="-2"/>
          <w:highlight w:val="none"/>
        </w:rPr>
        <w:t>设</w:t>
      </w:r>
      <w:r>
        <w:rPr>
          <w:rFonts w:ascii="宋体" w:hAnsi="宋体" w:eastAsia="宋体"/>
          <w:color w:val="auto"/>
          <w:spacing w:val="-1"/>
          <w:highlight w:val="none"/>
        </w:rPr>
        <w:t>计费</w:t>
      </w:r>
      <w:r>
        <w:rPr>
          <w:rFonts w:hint="eastAsia" w:ascii="宋体" w:hAnsi="宋体" w:eastAsia="宋体"/>
          <w:color w:val="auto"/>
          <w:spacing w:val="-1"/>
          <w:highlight w:val="none"/>
        </w:rPr>
        <w:t>报价表</w:t>
      </w:r>
    </w:p>
    <w:p w14:paraId="75CAAA2E">
      <w:pPr>
        <w:spacing w:before="290" w:line="219" w:lineRule="auto"/>
        <w:ind w:left="2"/>
        <w:rPr>
          <w:rFonts w:hint="eastAsia" w:ascii="宋体" w:hAnsi="宋体" w:eastAsia="宋体"/>
          <w:color w:val="auto"/>
          <w:spacing w:val="-2"/>
          <w:highlight w:val="none"/>
        </w:rPr>
      </w:pPr>
      <w:r>
        <w:rPr>
          <w:rFonts w:ascii="宋体" w:hAnsi="宋体" w:eastAsia="宋体"/>
          <w:color w:val="auto"/>
          <w:spacing w:val="-2"/>
          <w:highlight w:val="none"/>
        </w:rPr>
        <w:t>六</w:t>
      </w:r>
      <w:r>
        <w:rPr>
          <w:rFonts w:ascii="宋体" w:hAnsi="宋体" w:eastAsia="宋体"/>
          <w:color w:val="auto"/>
          <w:spacing w:val="-1"/>
          <w:highlight w:val="none"/>
        </w:rPr>
        <w:t>、资格审查资料</w:t>
      </w:r>
    </w:p>
    <w:p w14:paraId="1C84D3C6">
      <w:pPr>
        <w:spacing w:before="291" w:line="221" w:lineRule="auto"/>
        <w:rPr>
          <w:rFonts w:hint="eastAsia" w:ascii="宋体" w:hAnsi="宋体" w:eastAsia="宋体"/>
          <w:color w:val="auto"/>
          <w:spacing w:val="-2"/>
          <w:highlight w:val="none"/>
        </w:rPr>
      </w:pPr>
      <w:r>
        <w:rPr>
          <w:rFonts w:ascii="宋体" w:hAnsi="宋体" w:eastAsia="宋体"/>
          <w:color w:val="auto"/>
          <w:spacing w:val="-2"/>
          <w:highlight w:val="none"/>
        </w:rPr>
        <w:t>七</w:t>
      </w:r>
      <w:r>
        <w:rPr>
          <w:rFonts w:ascii="宋体" w:hAnsi="宋体" w:eastAsia="宋体"/>
          <w:color w:val="auto"/>
          <w:spacing w:val="-1"/>
          <w:highlight w:val="none"/>
        </w:rPr>
        <w:t>、</w:t>
      </w:r>
      <w:r>
        <w:rPr>
          <w:rFonts w:hint="eastAsia" w:ascii="宋体" w:hAnsi="宋体" w:eastAsia="宋体"/>
          <w:color w:val="auto"/>
          <w:spacing w:val="-1"/>
          <w:highlight w:val="none"/>
        </w:rPr>
        <w:t>勘察</w:t>
      </w:r>
      <w:r>
        <w:rPr>
          <w:rFonts w:ascii="宋体" w:hAnsi="宋体" w:eastAsia="宋体"/>
          <w:color w:val="auto"/>
          <w:spacing w:val="-1"/>
          <w:highlight w:val="none"/>
        </w:rPr>
        <w:t>设计方案</w:t>
      </w:r>
    </w:p>
    <w:p w14:paraId="0EDEA8CA">
      <w:pPr>
        <w:spacing w:before="288" w:line="218" w:lineRule="auto"/>
        <w:ind w:left="4"/>
        <w:rPr>
          <w:rFonts w:hint="eastAsia" w:ascii="宋体" w:hAnsi="宋体" w:eastAsia="宋体"/>
          <w:color w:val="auto"/>
          <w:spacing w:val="-2"/>
          <w:highlight w:val="none"/>
        </w:rPr>
      </w:pPr>
      <w:r>
        <w:rPr>
          <w:rFonts w:ascii="宋体" w:hAnsi="宋体" w:eastAsia="宋体"/>
          <w:color w:val="auto"/>
          <w:spacing w:val="-2"/>
          <w:highlight w:val="none"/>
        </w:rPr>
        <w:t>八、其他</w:t>
      </w:r>
      <w:r>
        <w:rPr>
          <w:rFonts w:ascii="宋体" w:hAnsi="宋体" w:eastAsia="宋体"/>
          <w:color w:val="auto"/>
          <w:spacing w:val="-1"/>
          <w:highlight w:val="none"/>
        </w:rPr>
        <w:t>资料</w:t>
      </w:r>
    </w:p>
    <w:p w14:paraId="643ACB48">
      <w:pPr>
        <w:rPr>
          <w:color w:val="auto"/>
          <w:highlight w:val="none"/>
        </w:rPr>
        <w:sectPr>
          <w:footerReference r:id="rId19" w:type="default"/>
          <w:pgSz w:w="12240" w:h="15840"/>
          <w:pgMar w:top="1346" w:right="1836" w:bottom="1103" w:left="1807" w:header="0" w:footer="940" w:gutter="0"/>
          <w:cols w:space="720" w:num="1"/>
        </w:sectPr>
      </w:pPr>
    </w:p>
    <w:p w14:paraId="216E065D">
      <w:pPr>
        <w:spacing w:line="278" w:lineRule="auto"/>
        <w:rPr>
          <w:color w:val="auto"/>
          <w:highlight w:val="none"/>
        </w:rPr>
      </w:pPr>
    </w:p>
    <w:p w14:paraId="03A8C275">
      <w:pPr>
        <w:pStyle w:val="26"/>
        <w:spacing w:before="120" w:after="120"/>
        <w:jc w:val="center"/>
        <w:outlineLvl w:val="9"/>
        <w:rPr>
          <w:rFonts w:hint="eastAsia" w:ascii="黑体" w:hAnsi="黑体" w:eastAsia="黑体"/>
          <w:color w:val="auto"/>
          <w:spacing w:val="10"/>
          <w:sz w:val="31"/>
          <w:szCs w:val="31"/>
          <w:highlight w:val="none"/>
        </w:rPr>
      </w:pPr>
      <w:bookmarkStart w:id="363" w:name="_Toc19895"/>
      <w:bookmarkStart w:id="364" w:name="_Toc9600"/>
      <w:bookmarkStart w:id="365" w:name="_Toc28826"/>
      <w:bookmarkStart w:id="366" w:name="_Toc5146"/>
      <w:bookmarkStart w:id="367" w:name="_Toc5060"/>
      <w:r>
        <w:rPr>
          <w:rFonts w:ascii="黑体" w:hAnsi="黑体" w:eastAsia="黑体"/>
          <w:color w:val="auto"/>
          <w:spacing w:val="10"/>
          <w:sz w:val="31"/>
          <w:szCs w:val="31"/>
          <w:highlight w:val="none"/>
        </w:rPr>
        <w:t>一、投标函及投标函附</w:t>
      </w:r>
      <w:r>
        <w:rPr>
          <w:rFonts w:ascii="黑体" w:hAnsi="黑体" w:eastAsia="黑体"/>
          <w:color w:val="auto"/>
          <w:spacing w:val="7"/>
          <w:sz w:val="31"/>
          <w:szCs w:val="31"/>
          <w:highlight w:val="none"/>
        </w:rPr>
        <w:t>录</w:t>
      </w:r>
      <w:bookmarkEnd w:id="363"/>
      <w:bookmarkEnd w:id="364"/>
      <w:bookmarkEnd w:id="365"/>
      <w:bookmarkEnd w:id="366"/>
      <w:bookmarkEnd w:id="367"/>
    </w:p>
    <w:p w14:paraId="7B82F19B">
      <w:pPr>
        <w:spacing w:line="247" w:lineRule="auto"/>
        <w:rPr>
          <w:color w:val="auto"/>
          <w:highlight w:val="none"/>
        </w:rPr>
      </w:pPr>
    </w:p>
    <w:p w14:paraId="1158E889">
      <w:pPr>
        <w:spacing w:line="247" w:lineRule="auto"/>
        <w:rPr>
          <w:color w:val="auto"/>
          <w:highlight w:val="none"/>
        </w:rPr>
      </w:pPr>
    </w:p>
    <w:p w14:paraId="335358E7">
      <w:pPr>
        <w:rPr>
          <w:rFonts w:hint="eastAsia" w:ascii="黑体" w:hAnsi="黑体" w:eastAsia="黑体"/>
          <w:color w:val="auto"/>
          <w:spacing w:val="52"/>
          <w:sz w:val="27"/>
          <w:szCs w:val="27"/>
          <w:highlight w:val="none"/>
        </w:rPr>
      </w:pPr>
      <w:bookmarkStart w:id="368" w:name="_Toc20818"/>
      <w:bookmarkStart w:id="369" w:name="_Toc8025"/>
      <w:bookmarkStart w:id="370" w:name="_Toc31094"/>
      <w:bookmarkStart w:id="371" w:name="_Toc13536"/>
      <w:bookmarkStart w:id="372" w:name="_Toc12396"/>
      <w:r>
        <w:rPr>
          <w:rFonts w:ascii="黑体" w:hAnsi="黑体" w:eastAsia="黑体"/>
          <w:color w:val="auto"/>
          <w:spacing w:val="52"/>
          <w:sz w:val="27"/>
          <w:szCs w:val="27"/>
          <w:highlight w:val="none"/>
        </w:rPr>
        <w:t>(</w:t>
      </w:r>
      <w:r>
        <w:rPr>
          <w:rFonts w:ascii="黑体" w:hAnsi="黑体" w:eastAsia="黑体"/>
          <w:color w:val="auto"/>
          <w:spacing w:val="49"/>
          <w:sz w:val="27"/>
          <w:szCs w:val="27"/>
          <w:highlight w:val="none"/>
        </w:rPr>
        <w:t>一)投标函</w:t>
      </w:r>
      <w:bookmarkEnd w:id="368"/>
      <w:bookmarkEnd w:id="369"/>
      <w:bookmarkEnd w:id="370"/>
      <w:bookmarkEnd w:id="371"/>
      <w:bookmarkEnd w:id="372"/>
    </w:p>
    <w:p w14:paraId="4EA0AEFF">
      <w:pPr>
        <w:spacing w:line="302" w:lineRule="auto"/>
        <w:rPr>
          <w:color w:val="auto"/>
          <w:highlight w:val="none"/>
        </w:rPr>
      </w:pPr>
    </w:p>
    <w:p w14:paraId="5B9B1098">
      <w:pPr>
        <w:spacing w:line="302" w:lineRule="auto"/>
        <w:rPr>
          <w:color w:val="auto"/>
          <w:highlight w:val="none"/>
        </w:rPr>
      </w:pPr>
    </w:p>
    <w:p w14:paraId="0F4386A8">
      <w:pPr>
        <w:tabs>
          <w:tab w:val="left" w:pos="2048"/>
        </w:tabs>
        <w:spacing w:line="360" w:lineRule="auto"/>
        <w:ind w:left="39"/>
        <w:rPr>
          <w:rFonts w:hint="eastAsia" w:ascii="宋体" w:hAnsi="宋体" w:eastAsia="宋体"/>
          <w:color w:val="auto"/>
          <w:highlight w:val="none"/>
          <w:u w:val="single"/>
        </w:rPr>
      </w:pPr>
      <w:r>
        <w:rPr>
          <w:rFonts w:ascii="宋体" w:hAnsi="宋体" w:eastAsia="宋体"/>
          <w:color w:val="auto"/>
          <w:highlight w:val="none"/>
          <w:u w:val="single"/>
        </w:rPr>
        <w:tab/>
      </w:r>
      <w:r>
        <w:rPr>
          <w:rFonts w:ascii="宋体" w:hAnsi="宋体" w:eastAsia="宋体"/>
          <w:color w:val="auto"/>
          <w:spacing w:val="-6"/>
          <w:highlight w:val="none"/>
        </w:rPr>
        <w:t>(</w:t>
      </w:r>
      <w:r>
        <w:rPr>
          <w:rFonts w:ascii="宋体" w:hAnsi="宋体" w:eastAsia="宋体"/>
          <w:color w:val="auto"/>
          <w:spacing w:val="-4"/>
          <w:highlight w:val="none"/>
        </w:rPr>
        <w:t>招</w:t>
      </w:r>
      <w:r>
        <w:rPr>
          <w:rFonts w:ascii="宋体" w:hAnsi="宋体" w:eastAsia="宋体"/>
          <w:color w:val="auto"/>
          <w:spacing w:val="-3"/>
          <w:highlight w:val="none"/>
        </w:rPr>
        <w:t>标人名称)：</w:t>
      </w:r>
    </w:p>
    <w:p w14:paraId="0412D40D">
      <w:pPr>
        <w:spacing w:line="360" w:lineRule="auto"/>
        <w:ind w:left="49" w:firstLine="419"/>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w:t>
      </w:r>
      <w:r>
        <w:rPr>
          <w:rFonts w:ascii="宋体" w:hAnsi="宋体" w:eastAsia="宋体"/>
          <w:color w:val="auto"/>
          <w:spacing w:val="-4"/>
          <w:highlight w:val="none"/>
        </w:rPr>
        <w:t>．我方已仔细研究了</w:t>
      </w:r>
      <w:r>
        <w:rPr>
          <w:rFonts w:ascii="宋体" w:hAnsi="宋体" w:eastAsia="宋体"/>
          <w:color w:val="auto"/>
          <w:spacing w:val="-4"/>
          <w:highlight w:val="none"/>
          <w:u w:val="single"/>
        </w:rPr>
        <w:t xml:space="preserve">    </w:t>
      </w:r>
      <w:r>
        <w:rPr>
          <w:rFonts w:ascii="宋体" w:hAnsi="宋体" w:eastAsia="宋体"/>
          <w:color w:val="auto"/>
          <w:spacing w:val="-2"/>
          <w:highlight w:val="none"/>
          <w:u w:val="single"/>
        </w:rPr>
        <w:t xml:space="preserve">         (项目名称)     </w:t>
      </w:r>
      <w:r>
        <w:rPr>
          <w:rFonts w:ascii="宋体" w:hAnsi="宋体" w:eastAsia="宋体"/>
          <w:color w:val="auto"/>
          <w:spacing w:val="-2"/>
          <w:highlight w:val="none"/>
        </w:rPr>
        <w:t xml:space="preserve"> </w:t>
      </w:r>
      <w:r>
        <w:rPr>
          <w:rFonts w:hint="eastAsia" w:ascii="宋体" w:hAnsi="宋体" w:eastAsia="宋体"/>
          <w:color w:val="auto"/>
          <w:spacing w:val="-2"/>
          <w:highlight w:val="none"/>
        </w:rPr>
        <w:t>招标项目的</w:t>
      </w:r>
      <w:r>
        <w:rPr>
          <w:rFonts w:ascii="宋体" w:hAnsi="宋体" w:eastAsia="宋体"/>
          <w:color w:val="auto"/>
          <w:spacing w:val="-2"/>
          <w:highlight w:val="none"/>
        </w:rPr>
        <w:t>招标文件</w:t>
      </w:r>
      <w:r>
        <w:rPr>
          <w:rFonts w:hint="eastAsia" w:ascii="宋体" w:hAnsi="宋体" w:eastAsia="宋体"/>
          <w:color w:val="auto"/>
          <w:spacing w:val="-2"/>
          <w:highlight w:val="none"/>
        </w:rPr>
        <w:t>、合同条件、招标人要求、资料表、附件、补充文件和技术规范等文件</w:t>
      </w:r>
      <w:r>
        <w:rPr>
          <w:rFonts w:ascii="宋体" w:hAnsi="宋体" w:eastAsia="宋体"/>
          <w:color w:val="auto"/>
          <w:spacing w:val="-2"/>
          <w:highlight w:val="none"/>
        </w:rPr>
        <w:t>，</w:t>
      </w:r>
      <w:r>
        <w:rPr>
          <w:rFonts w:ascii="宋体" w:hAnsi="宋体" w:eastAsia="宋体"/>
          <w:color w:val="auto"/>
          <w:spacing w:val="-1"/>
          <w:highlight w:val="none"/>
        </w:rPr>
        <w:t>愿意以人民币(大写)</w:t>
      </w:r>
      <w:r>
        <w:rPr>
          <w:rFonts w:ascii="宋体" w:hAnsi="宋体" w:eastAsia="宋体"/>
          <w:color w:val="auto"/>
          <w:spacing w:val="-1"/>
          <w:highlight w:val="none"/>
          <w:u w:val="single"/>
        </w:rPr>
        <w:t xml:space="preserve">              </w:t>
      </w:r>
      <w:r>
        <w:rPr>
          <w:rFonts w:ascii="宋体" w:hAnsi="宋体" w:eastAsia="宋体"/>
          <w:color w:val="auto"/>
          <w:spacing w:val="-1"/>
          <w:highlight w:val="none"/>
        </w:rPr>
        <w:t>(</w:t>
      </w:r>
      <w:r>
        <w:rPr>
          <w:rFonts w:ascii="Times New Roman" w:hAnsi="Times New Roman" w:eastAsia="Times New Roman"/>
          <w:color w:val="auto"/>
          <w:spacing w:val="-1"/>
          <w:highlight w:val="none"/>
        </w:rPr>
        <w:t>¥</w:t>
      </w:r>
      <w:r>
        <w:rPr>
          <w:rFonts w:ascii="Times New Roman" w:hAnsi="Times New Roman" w:eastAsia="Times New Roman"/>
          <w:color w:val="auto"/>
          <w:spacing w:val="-1"/>
          <w:highlight w:val="none"/>
          <w:u w:val="single"/>
        </w:rPr>
        <w:t xml:space="preserve"> </w:t>
      </w:r>
      <w:r>
        <w:rPr>
          <w:rFonts w:ascii="Times New Roman" w:hAnsi="Times New Roman" w:eastAsia="Times New Roman"/>
          <w:color w:val="auto"/>
          <w:highlight w:val="none"/>
          <w:u w:val="single"/>
        </w:rPr>
        <w:t xml:space="preserve">                 </w:t>
      </w:r>
      <w:r>
        <w:rPr>
          <w:rFonts w:ascii="Times New Roman" w:hAnsi="Times New Roman" w:eastAsia="Times New Roman"/>
          <w:color w:val="auto"/>
          <w:highlight w:val="none"/>
        </w:rPr>
        <w:t xml:space="preserve"> </w:t>
      </w:r>
      <w:r>
        <w:rPr>
          <w:rFonts w:ascii="宋体" w:hAnsi="宋体" w:eastAsia="宋体"/>
          <w:color w:val="auto"/>
          <w:highlight w:val="none"/>
        </w:rPr>
        <w:t>) 的投标总报价</w:t>
      </w:r>
      <w:r>
        <w:rPr>
          <w:rFonts w:ascii="宋体" w:hAnsi="宋体" w:eastAsia="宋体" w:cs="宋体"/>
          <w:color w:val="auto"/>
          <w:spacing w:val="-5"/>
          <w:highlight w:val="none"/>
        </w:rPr>
        <w:t>按合同约定完成</w:t>
      </w:r>
      <w:r>
        <w:rPr>
          <w:rFonts w:hint="eastAsia" w:ascii="宋体" w:hAnsi="宋体" w:eastAsia="宋体" w:cs="宋体"/>
          <w:color w:val="auto"/>
          <w:spacing w:val="-5"/>
          <w:highlight w:val="none"/>
        </w:rPr>
        <w:t>勘察</w:t>
      </w:r>
      <w:r>
        <w:rPr>
          <w:rFonts w:ascii="宋体" w:hAnsi="宋体" w:eastAsia="宋体" w:cs="宋体"/>
          <w:color w:val="auto"/>
          <w:spacing w:val="-5"/>
          <w:highlight w:val="none"/>
        </w:rPr>
        <w:t>设计工作</w:t>
      </w:r>
      <w:r>
        <w:rPr>
          <w:rFonts w:ascii="宋体" w:hAnsi="宋体" w:eastAsia="宋体"/>
          <w:color w:val="auto"/>
          <w:spacing w:val="-5"/>
          <w:highlight w:val="none"/>
        </w:rPr>
        <w:t>。</w:t>
      </w:r>
      <w:r>
        <w:rPr>
          <w:rFonts w:hint="eastAsia" w:ascii="宋体" w:hAnsi="宋体" w:eastAsia="宋体"/>
          <w:color w:val="auto"/>
          <w:spacing w:val="-5"/>
          <w:highlight w:val="none"/>
        </w:rPr>
        <w:t>我方</w:t>
      </w:r>
      <w:r>
        <w:rPr>
          <w:rFonts w:hint="eastAsia" w:ascii="宋体" w:hAnsi="宋体" w:eastAsia="宋体"/>
          <w:color w:val="auto"/>
          <w:highlight w:val="none"/>
        </w:rPr>
        <w:t>项目负责人是</w:t>
      </w:r>
      <w:r>
        <w:rPr>
          <w:rFonts w:ascii="宋体" w:hAnsi="宋体" w:eastAsia="宋体"/>
          <w:color w:val="auto"/>
          <w:spacing w:val="-5"/>
          <w:highlight w:val="none"/>
          <w:u w:val="single"/>
        </w:rPr>
        <w:t xml:space="preserve">  </w:t>
      </w:r>
      <w:r>
        <w:rPr>
          <w:rFonts w:hint="eastAsia" w:ascii="宋体" w:hAnsi="宋体" w:eastAsia="宋体"/>
          <w:color w:val="auto"/>
          <w:spacing w:val="-5"/>
          <w:highlight w:val="none"/>
          <w:u w:val="single"/>
        </w:rPr>
        <w:t xml:space="preserve">   </w:t>
      </w:r>
      <w:r>
        <w:rPr>
          <w:rFonts w:ascii="宋体" w:hAnsi="宋体" w:eastAsia="宋体"/>
          <w:color w:val="auto"/>
          <w:spacing w:val="-5"/>
          <w:highlight w:val="none"/>
          <w:u w:val="single"/>
        </w:rPr>
        <w:t xml:space="preserve">   </w:t>
      </w:r>
      <w:r>
        <w:rPr>
          <w:rFonts w:hint="eastAsia" w:ascii="宋体" w:hAnsi="宋体" w:eastAsia="宋体"/>
          <w:color w:val="auto"/>
          <w:spacing w:val="-5"/>
          <w:highlight w:val="none"/>
        </w:rPr>
        <w:t>。</w:t>
      </w:r>
    </w:p>
    <w:p w14:paraId="49D2A8AB">
      <w:pPr>
        <w:spacing w:line="360" w:lineRule="auto"/>
        <w:ind w:left="464"/>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 xml:space="preserve">2.  </w:t>
      </w:r>
      <w:r>
        <w:rPr>
          <w:rFonts w:ascii="宋体" w:hAnsi="宋体" w:eastAsia="宋体"/>
          <w:color w:val="auto"/>
          <w:spacing w:val="-4"/>
          <w:highlight w:val="none"/>
        </w:rPr>
        <w:t>我方的</w:t>
      </w:r>
      <w:r>
        <w:rPr>
          <w:rFonts w:ascii="宋体" w:hAnsi="宋体" w:eastAsia="宋体"/>
          <w:color w:val="auto"/>
          <w:spacing w:val="-2"/>
          <w:highlight w:val="none"/>
        </w:rPr>
        <w:t>投标文件包括下列内容：</w:t>
      </w:r>
    </w:p>
    <w:p w14:paraId="5B40CE69">
      <w:pPr>
        <w:spacing w:line="360" w:lineRule="auto"/>
        <w:ind w:left="457"/>
        <w:rPr>
          <w:rFonts w:hint="eastAsia" w:ascii="宋体" w:hAnsi="宋体" w:eastAsia="宋体"/>
          <w:color w:val="auto"/>
          <w:spacing w:val="16"/>
          <w:highlight w:val="none"/>
        </w:rPr>
      </w:pPr>
      <w:r>
        <w:rPr>
          <w:rFonts w:ascii="宋体" w:hAnsi="宋体" w:eastAsia="宋体"/>
          <w:color w:val="auto"/>
          <w:spacing w:val="16"/>
          <w:highlight w:val="none"/>
        </w:rPr>
        <w:t>(</w:t>
      </w:r>
      <w:r>
        <w:rPr>
          <w:rFonts w:ascii="Times New Roman" w:hAnsi="Times New Roman" w:eastAsia="Times New Roman"/>
          <w:color w:val="auto"/>
          <w:spacing w:val="11"/>
          <w:highlight w:val="none"/>
        </w:rPr>
        <w:t>1</w:t>
      </w:r>
      <w:r>
        <w:rPr>
          <w:rFonts w:ascii="宋体" w:hAnsi="宋体" w:eastAsia="宋体"/>
          <w:color w:val="auto"/>
          <w:spacing w:val="11"/>
          <w:highlight w:val="none"/>
        </w:rPr>
        <w:t>)投标函及投标函附录；</w:t>
      </w:r>
    </w:p>
    <w:p w14:paraId="18BC0654">
      <w:pPr>
        <w:spacing w:line="360" w:lineRule="auto"/>
        <w:ind w:left="457"/>
        <w:rPr>
          <w:rFonts w:hint="eastAsia" w:ascii="宋体" w:hAnsi="宋体" w:eastAsia="宋体"/>
          <w:color w:val="auto"/>
          <w:spacing w:val="8"/>
          <w:highlight w:val="none"/>
        </w:rPr>
      </w:pPr>
      <w:r>
        <w:rPr>
          <w:rFonts w:ascii="宋体" w:hAnsi="宋体" w:eastAsia="宋体"/>
          <w:color w:val="auto"/>
          <w:spacing w:val="8"/>
          <w:highlight w:val="none"/>
        </w:rPr>
        <w:t>(2)法定代表人身份证明</w:t>
      </w:r>
      <w:r>
        <w:rPr>
          <w:rFonts w:hint="eastAsia" w:ascii="宋体" w:hAnsi="宋体" w:eastAsia="宋体"/>
          <w:color w:val="auto"/>
          <w:spacing w:val="8"/>
          <w:highlight w:val="none"/>
        </w:rPr>
        <w:t>或附有法定代表人身份证明的授权委托书</w:t>
      </w:r>
      <w:r>
        <w:rPr>
          <w:rFonts w:ascii="宋体" w:hAnsi="宋体" w:eastAsia="宋体"/>
          <w:color w:val="auto"/>
          <w:spacing w:val="8"/>
          <w:highlight w:val="none"/>
        </w:rPr>
        <w:t>；</w:t>
      </w:r>
    </w:p>
    <w:p w14:paraId="534735C9">
      <w:pPr>
        <w:spacing w:line="360" w:lineRule="auto"/>
        <w:ind w:left="457"/>
        <w:rPr>
          <w:rFonts w:hint="eastAsia" w:ascii="宋体" w:hAnsi="宋体" w:eastAsia="宋体"/>
          <w:color w:val="auto"/>
          <w:spacing w:val="27"/>
          <w:highlight w:val="none"/>
        </w:rPr>
      </w:pPr>
      <w:r>
        <w:rPr>
          <w:rFonts w:ascii="宋体" w:hAnsi="宋体" w:eastAsia="宋体"/>
          <w:color w:val="auto"/>
          <w:spacing w:val="27"/>
          <w:highlight w:val="none"/>
        </w:rPr>
        <w:t>(</w:t>
      </w:r>
      <w:r>
        <w:rPr>
          <w:rFonts w:ascii="Times New Roman" w:hAnsi="Times New Roman" w:eastAsia="Times New Roman"/>
          <w:color w:val="auto"/>
          <w:spacing w:val="20"/>
          <w:highlight w:val="none"/>
        </w:rPr>
        <w:t>3</w:t>
      </w:r>
      <w:r>
        <w:rPr>
          <w:rFonts w:ascii="宋体" w:hAnsi="宋体" w:eastAsia="宋体"/>
          <w:color w:val="auto"/>
          <w:spacing w:val="20"/>
          <w:highlight w:val="none"/>
        </w:rPr>
        <w:t>)联合体协议书(如有)；</w:t>
      </w:r>
    </w:p>
    <w:p w14:paraId="18B00C28">
      <w:pPr>
        <w:spacing w:line="360" w:lineRule="auto"/>
        <w:ind w:left="457"/>
        <w:rPr>
          <w:rFonts w:hint="eastAsia" w:ascii="宋体" w:hAnsi="宋体" w:eastAsia="宋体"/>
          <w:color w:val="auto"/>
          <w:spacing w:val="23"/>
          <w:highlight w:val="none"/>
        </w:rPr>
      </w:pPr>
      <w:r>
        <w:rPr>
          <w:rFonts w:ascii="宋体" w:hAnsi="宋体" w:eastAsia="宋体" w:cs="宋体"/>
          <w:color w:val="auto"/>
          <w:spacing w:val="23"/>
          <w:sz w:val="21"/>
          <w:szCs w:val="21"/>
          <w:highlight w:val="none"/>
        </w:rPr>
        <w:t>(</w:t>
      </w:r>
      <w:r>
        <w:rPr>
          <w:rFonts w:ascii="Times New Roman" w:hAnsi="Times New Roman" w:eastAsia="Times New Roman" w:cs="Times New Roman"/>
          <w:color w:val="auto"/>
          <w:spacing w:val="22"/>
          <w:sz w:val="21"/>
          <w:szCs w:val="21"/>
          <w:highlight w:val="none"/>
        </w:rPr>
        <w:t>4</w:t>
      </w:r>
      <w:r>
        <w:rPr>
          <w:rFonts w:ascii="宋体" w:hAnsi="宋体" w:eastAsia="宋体" w:cs="宋体"/>
          <w:color w:val="auto"/>
          <w:spacing w:val="22"/>
          <w:sz w:val="21"/>
          <w:szCs w:val="21"/>
          <w:highlight w:val="none"/>
        </w:rPr>
        <w:t>)投标保证金(如有)；</w:t>
      </w:r>
    </w:p>
    <w:p w14:paraId="64BAE984">
      <w:pPr>
        <w:spacing w:line="360" w:lineRule="auto"/>
        <w:ind w:left="457"/>
        <w:rPr>
          <w:rFonts w:hint="eastAsia" w:ascii="宋体" w:hAnsi="宋体" w:eastAsia="宋体"/>
          <w:color w:val="auto"/>
          <w:spacing w:val="15"/>
          <w:highlight w:val="none"/>
        </w:rPr>
      </w:pPr>
      <w:r>
        <w:rPr>
          <w:rFonts w:ascii="宋体" w:hAnsi="宋体" w:eastAsia="宋体"/>
          <w:color w:val="auto"/>
          <w:spacing w:val="15"/>
          <w:highlight w:val="none"/>
        </w:rPr>
        <w:t>(</w:t>
      </w:r>
      <w:r>
        <w:rPr>
          <w:rFonts w:ascii="Times New Roman" w:hAnsi="Times New Roman" w:eastAsia="Times New Roman"/>
          <w:color w:val="auto"/>
          <w:spacing w:val="15"/>
          <w:highlight w:val="none"/>
        </w:rPr>
        <w:t>5</w:t>
      </w:r>
      <w:r>
        <w:rPr>
          <w:rFonts w:ascii="宋体" w:hAnsi="宋体" w:eastAsia="宋体"/>
          <w:color w:val="auto"/>
          <w:spacing w:val="15"/>
          <w:highlight w:val="none"/>
        </w:rPr>
        <w:t>)</w:t>
      </w:r>
      <w:r>
        <w:rPr>
          <w:rFonts w:hint="eastAsia" w:ascii="宋体" w:hAnsi="宋体" w:eastAsia="宋体"/>
          <w:color w:val="auto"/>
          <w:spacing w:val="15"/>
          <w:highlight w:val="none"/>
        </w:rPr>
        <w:t>勘察</w:t>
      </w:r>
      <w:r>
        <w:rPr>
          <w:rFonts w:ascii="宋体" w:hAnsi="宋体" w:eastAsia="宋体"/>
          <w:color w:val="auto"/>
          <w:spacing w:val="15"/>
          <w:highlight w:val="none"/>
        </w:rPr>
        <w:t>设计费</w:t>
      </w:r>
      <w:r>
        <w:rPr>
          <w:rFonts w:hint="eastAsia" w:ascii="宋体" w:hAnsi="宋体" w:eastAsia="宋体"/>
          <w:color w:val="auto"/>
          <w:spacing w:val="15"/>
          <w:highlight w:val="none"/>
        </w:rPr>
        <w:t>报价表</w:t>
      </w:r>
      <w:r>
        <w:rPr>
          <w:rFonts w:ascii="宋体" w:hAnsi="宋体" w:eastAsia="宋体"/>
          <w:color w:val="auto"/>
          <w:spacing w:val="13"/>
          <w:highlight w:val="none"/>
        </w:rPr>
        <w:t>；</w:t>
      </w:r>
    </w:p>
    <w:p w14:paraId="41E652CC">
      <w:pPr>
        <w:spacing w:line="360" w:lineRule="auto"/>
        <w:ind w:left="457"/>
        <w:rPr>
          <w:rFonts w:hint="eastAsia" w:ascii="宋体" w:hAnsi="宋体" w:eastAsia="宋体"/>
          <w:color w:val="auto"/>
          <w:spacing w:val="15"/>
          <w:highlight w:val="none"/>
        </w:rPr>
      </w:pPr>
      <w:r>
        <w:rPr>
          <w:rFonts w:ascii="宋体" w:hAnsi="宋体" w:eastAsia="宋体"/>
          <w:color w:val="auto"/>
          <w:spacing w:val="15"/>
          <w:highlight w:val="none"/>
        </w:rPr>
        <w:t>(</w:t>
      </w:r>
      <w:r>
        <w:rPr>
          <w:rFonts w:ascii="Times New Roman" w:hAnsi="Times New Roman" w:eastAsia="Times New Roman"/>
          <w:color w:val="auto"/>
          <w:spacing w:val="15"/>
          <w:highlight w:val="none"/>
        </w:rPr>
        <w:t>6</w:t>
      </w:r>
      <w:r>
        <w:rPr>
          <w:rFonts w:ascii="宋体" w:hAnsi="宋体" w:eastAsia="宋体"/>
          <w:color w:val="auto"/>
          <w:spacing w:val="15"/>
          <w:highlight w:val="none"/>
        </w:rPr>
        <w:t>)资格审查资料</w:t>
      </w:r>
      <w:r>
        <w:rPr>
          <w:rFonts w:ascii="宋体" w:hAnsi="宋体" w:eastAsia="宋体"/>
          <w:color w:val="auto"/>
          <w:spacing w:val="13"/>
          <w:highlight w:val="none"/>
        </w:rPr>
        <w:t>；</w:t>
      </w:r>
    </w:p>
    <w:p w14:paraId="4476566C">
      <w:pPr>
        <w:spacing w:line="360" w:lineRule="auto"/>
        <w:ind w:left="457"/>
        <w:rPr>
          <w:rFonts w:hint="eastAsia" w:ascii="宋体" w:hAnsi="宋体" w:eastAsia="宋体"/>
          <w:color w:val="auto"/>
          <w:spacing w:val="22"/>
          <w:highlight w:val="none"/>
        </w:rPr>
      </w:pPr>
      <w:r>
        <w:rPr>
          <w:rFonts w:ascii="宋体" w:hAnsi="宋体" w:eastAsia="宋体"/>
          <w:color w:val="auto"/>
          <w:spacing w:val="22"/>
          <w:highlight w:val="none"/>
        </w:rPr>
        <w:t>(</w:t>
      </w:r>
      <w:r>
        <w:rPr>
          <w:rFonts w:ascii="Times New Roman" w:hAnsi="Times New Roman" w:eastAsia="Times New Roman"/>
          <w:color w:val="auto"/>
          <w:spacing w:val="18"/>
          <w:highlight w:val="none"/>
        </w:rPr>
        <w:t>7</w:t>
      </w:r>
      <w:r>
        <w:rPr>
          <w:rFonts w:ascii="宋体" w:hAnsi="宋体" w:eastAsia="宋体"/>
          <w:color w:val="auto"/>
          <w:spacing w:val="18"/>
          <w:highlight w:val="none"/>
        </w:rPr>
        <w:t>)</w:t>
      </w:r>
      <w:r>
        <w:rPr>
          <w:rFonts w:hint="eastAsia" w:ascii="宋体" w:hAnsi="宋体" w:eastAsia="宋体"/>
          <w:color w:val="auto"/>
          <w:spacing w:val="18"/>
          <w:highlight w:val="none"/>
        </w:rPr>
        <w:t>勘察</w:t>
      </w:r>
      <w:r>
        <w:rPr>
          <w:rFonts w:ascii="宋体" w:hAnsi="宋体" w:eastAsia="宋体"/>
          <w:color w:val="auto"/>
          <w:spacing w:val="18"/>
          <w:highlight w:val="none"/>
        </w:rPr>
        <w:t>设计方案；</w:t>
      </w:r>
    </w:p>
    <w:p w14:paraId="0E0DB71C">
      <w:pPr>
        <w:spacing w:line="360" w:lineRule="auto"/>
        <w:ind w:left="470"/>
        <w:rPr>
          <w:rFonts w:hint="eastAsia" w:ascii="宋体" w:hAnsi="宋体" w:eastAsia="宋体"/>
          <w:color w:val="auto"/>
          <w:spacing w:val="-2"/>
          <w:highlight w:val="none"/>
        </w:rPr>
      </w:pPr>
      <w:r>
        <w:rPr>
          <w:rFonts w:ascii="宋体" w:hAnsi="宋体" w:eastAsia="宋体"/>
          <w:color w:val="auto"/>
          <w:spacing w:val="-2"/>
          <w:highlight w:val="none"/>
        </w:rPr>
        <w:t>投标文件的上述组成部分</w:t>
      </w:r>
      <w:r>
        <w:rPr>
          <w:rFonts w:ascii="宋体" w:hAnsi="宋体" w:eastAsia="宋体"/>
          <w:color w:val="auto"/>
          <w:spacing w:val="-1"/>
          <w:highlight w:val="none"/>
        </w:rPr>
        <w:t>如存在内容不一致的，以投标函为准。</w:t>
      </w:r>
    </w:p>
    <w:p w14:paraId="281D9FAD">
      <w:pPr>
        <w:spacing w:line="360" w:lineRule="auto"/>
        <w:ind w:left="468"/>
        <w:rPr>
          <w:rFonts w:ascii="Times New Roman" w:hAnsi="Times New Roman" w:eastAsia="Times New Roman"/>
          <w:color w:val="auto"/>
          <w:spacing w:val="-6"/>
          <w:highlight w:val="none"/>
        </w:rPr>
      </w:pPr>
      <w:r>
        <w:rPr>
          <w:rFonts w:ascii="Times New Roman" w:hAnsi="Times New Roman" w:eastAsia="Times New Roman"/>
          <w:color w:val="auto"/>
          <w:spacing w:val="-6"/>
          <w:highlight w:val="none"/>
        </w:rPr>
        <w:t>3</w:t>
      </w:r>
      <w:r>
        <w:rPr>
          <w:rFonts w:ascii="Times New Roman" w:hAnsi="Times New Roman" w:eastAsia="Times New Roman"/>
          <w:color w:val="auto"/>
          <w:spacing w:val="-3"/>
          <w:highlight w:val="none"/>
        </w:rPr>
        <w:t xml:space="preserve"> </w:t>
      </w:r>
      <w:r>
        <w:rPr>
          <w:rFonts w:ascii="宋体" w:hAnsi="宋体" w:eastAsia="宋体"/>
          <w:color w:val="auto"/>
          <w:spacing w:val="-3"/>
          <w:highlight w:val="none"/>
        </w:rPr>
        <w:t>．我方承诺在招标文件规定的投标有效期内不撤销投标文件。</w:t>
      </w:r>
    </w:p>
    <w:p w14:paraId="12287452">
      <w:pPr>
        <w:spacing w:line="360" w:lineRule="auto"/>
        <w:ind w:left="463"/>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4</w:t>
      </w:r>
      <w:r>
        <w:rPr>
          <w:rFonts w:ascii="Times New Roman" w:hAnsi="Times New Roman" w:eastAsia="Times New Roman"/>
          <w:color w:val="auto"/>
          <w:spacing w:val="-7"/>
          <w:highlight w:val="none"/>
        </w:rPr>
        <w:t xml:space="preserve"> </w:t>
      </w:r>
      <w:r>
        <w:rPr>
          <w:rFonts w:ascii="宋体" w:hAnsi="宋体" w:eastAsia="宋体"/>
          <w:color w:val="auto"/>
          <w:spacing w:val="-7"/>
          <w:highlight w:val="none"/>
        </w:rPr>
        <w:t>．如我方中标，我方承诺：</w:t>
      </w:r>
    </w:p>
    <w:p w14:paraId="7C13D344">
      <w:pPr>
        <w:spacing w:line="360" w:lineRule="auto"/>
        <w:ind w:left="893"/>
        <w:rPr>
          <w:rFonts w:hint="eastAsia" w:ascii="宋体" w:hAnsi="宋体" w:eastAsia="宋体"/>
          <w:color w:val="auto"/>
          <w:spacing w:val="8"/>
          <w:highlight w:val="none"/>
        </w:rPr>
      </w:pPr>
      <w:r>
        <w:rPr>
          <w:rFonts w:ascii="宋体" w:hAnsi="宋体" w:eastAsia="宋体"/>
          <w:color w:val="auto"/>
          <w:spacing w:val="8"/>
          <w:highlight w:val="none"/>
        </w:rPr>
        <w:t>(</w:t>
      </w:r>
      <w:r>
        <w:rPr>
          <w:rFonts w:ascii="Times New Roman" w:hAnsi="Times New Roman" w:eastAsia="Times New Roman"/>
          <w:color w:val="auto"/>
          <w:spacing w:val="8"/>
          <w:highlight w:val="none"/>
        </w:rPr>
        <w:t>1</w:t>
      </w:r>
      <w:r>
        <w:rPr>
          <w:rFonts w:ascii="宋体" w:hAnsi="宋体" w:eastAsia="宋体"/>
          <w:color w:val="auto"/>
          <w:spacing w:val="8"/>
          <w:highlight w:val="none"/>
        </w:rPr>
        <w:t>)</w:t>
      </w:r>
      <w:r>
        <w:rPr>
          <w:rFonts w:ascii="宋体" w:hAnsi="宋体" w:eastAsia="宋体"/>
          <w:color w:val="auto"/>
          <w:spacing w:val="7"/>
          <w:highlight w:val="none"/>
        </w:rPr>
        <w:t>在</w:t>
      </w:r>
      <w:r>
        <w:rPr>
          <w:rFonts w:ascii="宋体" w:hAnsi="宋体" w:eastAsia="宋体"/>
          <w:color w:val="auto"/>
          <w:spacing w:val="4"/>
          <w:highlight w:val="none"/>
        </w:rPr>
        <w:t>收到中标通知书后，在中标通知书规定的期限内与你方签订合同；</w:t>
      </w:r>
    </w:p>
    <w:p w14:paraId="13F5CA6B">
      <w:pPr>
        <w:spacing w:line="360" w:lineRule="auto"/>
        <w:ind w:left="893"/>
        <w:rPr>
          <w:rFonts w:hint="eastAsia" w:ascii="宋体" w:hAnsi="宋体" w:eastAsia="宋体"/>
          <w:color w:val="auto"/>
          <w:spacing w:val="14"/>
          <w:highlight w:val="none"/>
        </w:rPr>
      </w:pPr>
      <w:r>
        <w:rPr>
          <w:rFonts w:ascii="宋体" w:hAnsi="宋体" w:eastAsia="宋体"/>
          <w:color w:val="auto"/>
          <w:spacing w:val="14"/>
          <w:highlight w:val="none"/>
        </w:rPr>
        <w:t>(</w:t>
      </w:r>
      <w:r>
        <w:rPr>
          <w:rFonts w:ascii="Times New Roman" w:hAnsi="Times New Roman" w:eastAsia="Times New Roman"/>
          <w:color w:val="auto"/>
          <w:spacing w:val="7"/>
          <w:highlight w:val="none"/>
        </w:rPr>
        <w:t>2</w:t>
      </w:r>
      <w:r>
        <w:rPr>
          <w:rFonts w:ascii="宋体" w:hAnsi="宋体" w:eastAsia="宋体"/>
          <w:color w:val="auto"/>
          <w:spacing w:val="7"/>
          <w:highlight w:val="none"/>
        </w:rPr>
        <w:t>)在签订合同时不向你方提出附加条件；</w:t>
      </w:r>
    </w:p>
    <w:p w14:paraId="77AB9E09">
      <w:pPr>
        <w:spacing w:line="360" w:lineRule="auto"/>
        <w:ind w:left="893"/>
        <w:rPr>
          <w:rFonts w:hint="eastAsia" w:ascii="宋体" w:hAnsi="宋体" w:eastAsia="宋体"/>
          <w:color w:val="auto"/>
          <w:spacing w:val="14"/>
          <w:highlight w:val="none"/>
        </w:rPr>
      </w:pPr>
      <w:r>
        <w:rPr>
          <w:rFonts w:ascii="宋体" w:hAnsi="宋体" w:eastAsia="宋体"/>
          <w:color w:val="auto"/>
          <w:spacing w:val="14"/>
          <w:highlight w:val="none"/>
        </w:rPr>
        <w:t>(</w:t>
      </w:r>
      <w:r>
        <w:rPr>
          <w:rFonts w:ascii="Times New Roman" w:hAnsi="Times New Roman" w:eastAsia="Times New Roman"/>
          <w:color w:val="auto"/>
          <w:spacing w:val="14"/>
          <w:highlight w:val="none"/>
        </w:rPr>
        <w:t>3</w:t>
      </w:r>
      <w:r>
        <w:rPr>
          <w:rFonts w:ascii="宋体" w:hAnsi="宋体" w:eastAsia="宋体"/>
          <w:color w:val="auto"/>
          <w:spacing w:val="7"/>
          <w:highlight w:val="none"/>
        </w:rPr>
        <w:t>)按照招标文件要求提交履约保证金；</w:t>
      </w:r>
    </w:p>
    <w:p w14:paraId="75A9C70F">
      <w:pPr>
        <w:spacing w:line="360" w:lineRule="auto"/>
        <w:ind w:left="893"/>
        <w:rPr>
          <w:rFonts w:hint="eastAsia" w:ascii="宋体" w:hAnsi="宋体" w:eastAsia="宋体"/>
          <w:color w:val="auto"/>
          <w:spacing w:val="7"/>
          <w:highlight w:val="none"/>
        </w:rPr>
      </w:pPr>
      <w:r>
        <w:rPr>
          <w:rFonts w:ascii="宋体" w:hAnsi="宋体" w:eastAsia="宋体"/>
          <w:color w:val="auto"/>
          <w:spacing w:val="7"/>
          <w:highlight w:val="none"/>
        </w:rPr>
        <w:t>(</w:t>
      </w:r>
      <w:r>
        <w:rPr>
          <w:rFonts w:ascii="Times New Roman" w:hAnsi="Times New Roman" w:eastAsia="Times New Roman"/>
          <w:color w:val="auto"/>
          <w:spacing w:val="7"/>
          <w:highlight w:val="none"/>
        </w:rPr>
        <w:t>4</w:t>
      </w:r>
      <w:r>
        <w:rPr>
          <w:rFonts w:ascii="宋体" w:hAnsi="宋体" w:eastAsia="宋体"/>
          <w:color w:val="auto"/>
          <w:spacing w:val="7"/>
          <w:highlight w:val="none"/>
        </w:rPr>
        <w:t>)在合同约定的期限内完成合同规定的全部义务</w:t>
      </w:r>
      <w:r>
        <w:rPr>
          <w:rFonts w:ascii="宋体" w:hAnsi="宋体" w:eastAsia="宋体"/>
          <w:color w:val="auto"/>
          <w:spacing w:val="4"/>
          <w:highlight w:val="none"/>
        </w:rPr>
        <w:t>。</w:t>
      </w:r>
    </w:p>
    <w:p w14:paraId="482D140C">
      <w:pPr>
        <w:spacing w:line="360" w:lineRule="auto"/>
        <w:ind w:left="469"/>
        <w:rPr>
          <w:rFonts w:ascii="Times New Roman" w:hAnsi="Times New Roman" w:eastAsia="Times New Roman"/>
          <w:color w:val="auto"/>
          <w:spacing w:val="-2"/>
          <w:highlight w:val="none"/>
        </w:rPr>
      </w:pPr>
      <w:r>
        <w:rPr>
          <w:rFonts w:ascii="Times New Roman" w:hAnsi="Times New Roman" w:eastAsia="Times New Roman"/>
          <w:color w:val="auto"/>
          <w:spacing w:val="-7"/>
          <w:highlight w:val="none"/>
        </w:rPr>
        <w:t>5</w:t>
      </w:r>
      <w:r>
        <w:rPr>
          <w:rFonts w:ascii="宋体" w:hAnsi="宋体" w:eastAsia="宋体"/>
          <w:color w:val="auto"/>
          <w:spacing w:val="-7"/>
          <w:highlight w:val="none"/>
        </w:rPr>
        <w:t>．我方在此声明， 所递交的投标文件及有关资料内容完整、真实和准确， 且不存在第二章</w:t>
      </w:r>
      <w:r>
        <w:rPr>
          <w:rFonts w:ascii="Times New Roman" w:hAnsi="Times New Roman" w:eastAsia="Times New Roman"/>
          <w:color w:val="auto"/>
          <w:spacing w:val="-2"/>
          <w:highlight w:val="none"/>
        </w:rPr>
        <w:t>“</w:t>
      </w:r>
      <w:r>
        <w:rPr>
          <w:rFonts w:ascii="宋体" w:hAnsi="宋体" w:eastAsia="宋体"/>
          <w:color w:val="auto"/>
          <w:spacing w:val="-2"/>
          <w:highlight w:val="none"/>
        </w:rPr>
        <w:t>投标人须知</w:t>
      </w:r>
      <w:r>
        <w:rPr>
          <w:rFonts w:ascii="Times New Roman" w:hAnsi="Times New Roman" w:eastAsia="Times New Roman"/>
          <w:color w:val="auto"/>
          <w:spacing w:val="-2"/>
          <w:highlight w:val="none"/>
        </w:rPr>
        <w:t>”</w:t>
      </w:r>
      <w:r>
        <w:rPr>
          <w:rFonts w:ascii="宋体" w:hAnsi="宋体" w:eastAsia="宋体"/>
          <w:color w:val="auto"/>
          <w:spacing w:val="-2"/>
          <w:highlight w:val="none"/>
        </w:rPr>
        <w:t xml:space="preserve">第 </w:t>
      </w:r>
      <w:r>
        <w:rPr>
          <w:rFonts w:ascii="Times New Roman" w:hAnsi="Times New Roman" w:eastAsia="Times New Roman"/>
          <w:color w:val="auto"/>
          <w:spacing w:val="-2"/>
          <w:highlight w:val="none"/>
        </w:rPr>
        <w:t>1.4.3</w:t>
      </w:r>
      <w:r>
        <w:rPr>
          <w:rFonts w:ascii="Times New Roman" w:hAnsi="Times New Roman" w:eastAsia="Times New Roman"/>
          <w:color w:val="auto"/>
          <w:spacing w:val="-1"/>
          <w:highlight w:val="none"/>
        </w:rPr>
        <w:t xml:space="preserve"> </w:t>
      </w:r>
      <w:r>
        <w:rPr>
          <w:rFonts w:ascii="宋体" w:hAnsi="宋体" w:eastAsia="宋体"/>
          <w:color w:val="auto"/>
          <w:spacing w:val="-1"/>
          <w:highlight w:val="none"/>
        </w:rPr>
        <w:t>项规定的任何一种情形。</w:t>
      </w:r>
    </w:p>
    <w:p w14:paraId="5881811D">
      <w:pPr>
        <w:spacing w:line="360" w:lineRule="auto"/>
        <w:ind w:left="468"/>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 xml:space="preserve">6 </w:t>
      </w:r>
      <w:r>
        <w:rPr>
          <w:rFonts w:ascii="宋体" w:hAnsi="宋体" w:eastAsia="宋体"/>
          <w:color w:val="auto"/>
          <w:spacing w:val="-5"/>
          <w:highlight w:val="none"/>
        </w:rPr>
        <w:t>．</w:t>
      </w:r>
      <w:r>
        <w:rPr>
          <w:rFonts w:ascii="宋体" w:hAnsi="宋体" w:eastAsia="宋体"/>
          <w:color w:val="auto"/>
          <w:spacing w:val="-4"/>
          <w:highlight w:val="none"/>
          <w:u w:val="single"/>
        </w:rPr>
        <w:t xml:space="preserve">               </w:t>
      </w:r>
      <w:r>
        <w:rPr>
          <w:rFonts w:hint="eastAsia" w:ascii="宋体" w:hAnsi="宋体" w:eastAsia="宋体"/>
          <w:color w:val="auto"/>
          <w:spacing w:val="-4"/>
          <w:highlight w:val="none"/>
          <w:u w:val="single"/>
        </w:rPr>
        <w:t>/</w:t>
      </w:r>
      <w:r>
        <w:rPr>
          <w:rFonts w:ascii="宋体" w:hAnsi="宋体" w:eastAsia="宋体"/>
          <w:color w:val="auto"/>
          <w:spacing w:val="-4"/>
          <w:highlight w:val="none"/>
          <w:u w:val="single"/>
        </w:rPr>
        <w:t xml:space="preserve">                </w:t>
      </w:r>
      <w:r>
        <w:rPr>
          <w:rFonts w:ascii="宋体" w:hAnsi="宋体" w:eastAsia="宋体"/>
          <w:color w:val="auto"/>
          <w:spacing w:val="-4"/>
          <w:highlight w:val="none"/>
        </w:rPr>
        <w:t>(其他补充说明)。</w:t>
      </w:r>
    </w:p>
    <w:p w14:paraId="04FEE5D9">
      <w:pPr>
        <w:rPr>
          <w:color w:val="auto"/>
          <w:highlight w:val="none"/>
        </w:rPr>
      </w:pPr>
    </w:p>
    <w:p w14:paraId="31D50E71">
      <w:pPr>
        <w:spacing w:line="360" w:lineRule="auto"/>
        <w:ind w:left="2493" w:right="253" w:firstLine="1"/>
        <w:rPr>
          <w:rFonts w:hint="eastAsia" w:ascii="宋体" w:hAnsi="宋体" w:eastAsia="宋体"/>
          <w:color w:val="auto"/>
          <w:spacing w:val="-4"/>
          <w:highlight w:val="none"/>
        </w:rPr>
      </w:pPr>
      <w:r>
        <w:rPr>
          <w:rFonts w:ascii="宋体" w:hAnsi="宋体" w:eastAsia="宋体"/>
          <w:color w:val="auto"/>
          <w:spacing w:val="-4"/>
          <w:highlight w:val="none"/>
        </w:rPr>
        <w:t>投 标 人：</w:t>
      </w:r>
      <w:r>
        <w:rPr>
          <w:rFonts w:ascii="宋体" w:hAnsi="宋体" w:eastAsia="宋体"/>
          <w:color w:val="auto"/>
          <w:spacing w:val="-4"/>
          <w:highlight w:val="none"/>
          <w:u w:val="single"/>
        </w:rPr>
        <w:t xml:space="preserve">           </w:t>
      </w:r>
      <w:r>
        <w:rPr>
          <w:rFonts w:ascii="宋体" w:hAnsi="宋体" w:eastAsia="宋体"/>
          <w:color w:val="auto"/>
          <w:spacing w:val="-2"/>
          <w:highlight w:val="none"/>
          <w:u w:val="single"/>
        </w:rPr>
        <w:t xml:space="preserve">                         </w:t>
      </w:r>
      <w:r>
        <w:rPr>
          <w:rFonts w:ascii="宋体" w:hAnsi="宋体" w:eastAsia="宋体"/>
          <w:color w:val="auto"/>
          <w:spacing w:val="-2"/>
          <w:highlight w:val="none"/>
        </w:rPr>
        <w:t>(盖单位章)</w:t>
      </w:r>
      <w:r>
        <w:rPr>
          <w:rFonts w:ascii="宋体" w:hAnsi="宋体" w:eastAsia="宋体"/>
          <w:color w:val="auto"/>
          <w:highlight w:val="none"/>
        </w:rPr>
        <w:t xml:space="preserve"> </w:t>
      </w:r>
      <w:r>
        <w:rPr>
          <w:rFonts w:ascii="宋体" w:hAnsi="宋体" w:eastAsia="宋体"/>
          <w:color w:val="auto"/>
          <w:spacing w:val="-8"/>
          <w:highlight w:val="none"/>
        </w:rPr>
        <w:t>法定</w:t>
      </w:r>
      <w:r>
        <w:rPr>
          <w:rFonts w:ascii="宋体" w:hAnsi="宋体" w:eastAsia="宋体"/>
          <w:color w:val="auto"/>
          <w:spacing w:val="-4"/>
          <w:highlight w:val="none"/>
        </w:rPr>
        <w:t>代表人</w:t>
      </w:r>
      <w:r>
        <w:rPr>
          <w:rFonts w:hint="eastAsia" w:ascii="宋体" w:hAnsi="宋体" w:eastAsia="宋体"/>
          <w:color w:val="auto"/>
          <w:spacing w:val="-4"/>
          <w:highlight w:val="none"/>
        </w:rPr>
        <w:t>：</w:t>
      </w:r>
      <w:r>
        <w:rPr>
          <w:rFonts w:ascii="宋体" w:hAnsi="宋体" w:eastAsia="宋体"/>
          <w:color w:val="auto"/>
          <w:spacing w:val="-4"/>
          <w:highlight w:val="none"/>
          <w:u w:val="single"/>
        </w:rPr>
        <w:t xml:space="preserve">            </w:t>
      </w:r>
      <w:r>
        <w:rPr>
          <w:rFonts w:ascii="宋体" w:hAnsi="宋体" w:eastAsia="宋体"/>
          <w:color w:val="auto"/>
          <w:spacing w:val="-4"/>
          <w:highlight w:val="none"/>
        </w:rPr>
        <w:t>(签字</w:t>
      </w:r>
      <w:r>
        <w:rPr>
          <w:rFonts w:hint="eastAsia" w:ascii="宋体" w:hAnsi="宋体" w:eastAsia="宋体"/>
          <w:color w:val="auto"/>
          <w:spacing w:val="-4"/>
          <w:highlight w:val="none"/>
        </w:rPr>
        <w:t>或盖章</w:t>
      </w:r>
      <w:r>
        <w:rPr>
          <w:rFonts w:ascii="宋体" w:hAnsi="宋体" w:eastAsia="宋体"/>
          <w:color w:val="auto"/>
          <w:spacing w:val="-4"/>
          <w:highlight w:val="none"/>
        </w:rPr>
        <w:t>)</w:t>
      </w:r>
    </w:p>
    <w:p w14:paraId="35E15459">
      <w:pPr>
        <w:spacing w:line="360" w:lineRule="auto"/>
        <w:ind w:left="2493" w:right="253" w:firstLine="1"/>
        <w:rPr>
          <w:rFonts w:hint="eastAsia" w:ascii="宋体" w:hAnsi="宋体" w:eastAsia="宋体"/>
          <w:color w:val="auto"/>
          <w:spacing w:val="-4"/>
          <w:highlight w:val="none"/>
        </w:rPr>
      </w:pPr>
      <w:r>
        <w:rPr>
          <w:rFonts w:ascii="宋体" w:hAnsi="宋体" w:eastAsia="宋体"/>
          <w:color w:val="auto"/>
          <w:spacing w:val="-4"/>
          <w:highlight w:val="none"/>
        </w:rPr>
        <w:t>委托代理人：</w:t>
      </w:r>
      <w:r>
        <w:rPr>
          <w:rFonts w:ascii="宋体" w:hAnsi="宋体" w:eastAsia="宋体"/>
          <w:color w:val="auto"/>
          <w:spacing w:val="-4"/>
          <w:highlight w:val="none"/>
          <w:u w:val="single"/>
        </w:rPr>
        <w:t xml:space="preserve">            </w:t>
      </w:r>
      <w:r>
        <w:rPr>
          <w:rFonts w:ascii="宋体" w:hAnsi="宋体" w:eastAsia="宋体"/>
          <w:color w:val="auto"/>
          <w:spacing w:val="-4"/>
          <w:highlight w:val="none"/>
        </w:rPr>
        <w:t>(签字)</w:t>
      </w:r>
    </w:p>
    <w:p w14:paraId="26B2AEF7">
      <w:pPr>
        <w:pStyle w:val="57"/>
        <w:spacing w:line="360" w:lineRule="auto"/>
        <w:ind w:left="2520" w:leftChars="1200"/>
        <w:jc w:val="left"/>
        <w:rPr>
          <w:rFonts w:hint="eastAsia" w:ascii="宋体" w:hAnsi="宋体" w:eastAsia="宋体"/>
          <w:b w:val="0"/>
          <w:color w:val="auto"/>
          <w:spacing w:val="-4"/>
          <w:highlight w:val="none"/>
        </w:rPr>
      </w:pPr>
      <w:r>
        <w:rPr>
          <w:rFonts w:hint="eastAsia" w:ascii="宋体" w:hAnsi="宋体" w:eastAsia="宋体"/>
          <w:b w:val="0"/>
          <w:color w:val="auto"/>
          <w:spacing w:val="-4"/>
          <w:highlight w:val="none"/>
        </w:rPr>
        <w:t>项目负责人：</w:t>
      </w:r>
      <w:r>
        <w:rPr>
          <w:rFonts w:ascii="宋体" w:hAnsi="宋体" w:eastAsia="宋体"/>
          <w:color w:val="auto"/>
          <w:spacing w:val="-4"/>
          <w:highlight w:val="none"/>
          <w:u w:val="single"/>
        </w:rPr>
        <w:t xml:space="preserve">          </w:t>
      </w:r>
      <w:r>
        <w:rPr>
          <w:rFonts w:hint="eastAsia" w:ascii="宋体" w:hAnsi="宋体" w:eastAsia="宋体"/>
          <w:color w:val="auto"/>
          <w:spacing w:val="-4"/>
          <w:highlight w:val="none"/>
          <w:u w:val="single"/>
        </w:rPr>
        <w:t xml:space="preserve">    </w:t>
      </w:r>
      <w:r>
        <w:rPr>
          <w:rFonts w:ascii="宋体" w:hAnsi="宋体" w:eastAsia="宋体"/>
          <w:color w:val="auto"/>
          <w:spacing w:val="-4"/>
          <w:highlight w:val="none"/>
          <w:u w:val="single"/>
        </w:rPr>
        <w:t xml:space="preserve">  </w:t>
      </w:r>
      <w:r>
        <w:rPr>
          <w:rFonts w:ascii="宋体" w:hAnsi="宋体" w:eastAsia="宋体"/>
          <w:b w:val="0"/>
          <w:bCs/>
          <w:color w:val="auto"/>
          <w:spacing w:val="-4"/>
          <w:highlight w:val="none"/>
        </w:rPr>
        <w:t>(签字)</w:t>
      </w:r>
    </w:p>
    <w:p w14:paraId="4F9B86C8">
      <w:pPr>
        <w:spacing w:line="360" w:lineRule="auto"/>
        <w:ind w:left="2490" w:right="239" w:firstLine="1"/>
        <w:rPr>
          <w:rFonts w:hint="eastAsia" w:ascii="宋体" w:hAnsi="宋体" w:eastAsia="宋体"/>
          <w:color w:val="auto"/>
          <w:spacing w:val="-4"/>
          <w:highlight w:val="none"/>
        </w:rPr>
      </w:pPr>
      <w:r>
        <w:rPr>
          <w:rFonts w:ascii="宋体" w:hAnsi="宋体" w:eastAsia="宋体"/>
          <w:color w:val="auto"/>
          <w:spacing w:val="-4"/>
          <w:highlight w:val="none"/>
        </w:rPr>
        <w:t xml:space="preserve">地  </w:t>
      </w:r>
      <w:r>
        <w:rPr>
          <w:rFonts w:ascii="宋体" w:hAnsi="宋体" w:eastAsia="宋体"/>
          <w:color w:val="auto"/>
          <w:spacing w:val="-2"/>
          <w:highlight w:val="none"/>
        </w:rPr>
        <w:t xml:space="preserve">  址：</w:t>
      </w:r>
      <w:r>
        <w:rPr>
          <w:rFonts w:ascii="宋体" w:hAnsi="宋体" w:eastAsia="宋体"/>
          <w:color w:val="auto"/>
          <w:spacing w:val="-2"/>
          <w:highlight w:val="none"/>
          <w:u w:val="single"/>
        </w:rPr>
        <w:t xml:space="preserve">                                               </w:t>
      </w:r>
      <w:r>
        <w:rPr>
          <w:rFonts w:ascii="宋体" w:hAnsi="宋体" w:eastAsia="宋体"/>
          <w:color w:val="auto"/>
          <w:highlight w:val="none"/>
        </w:rPr>
        <w:t xml:space="preserve"> </w:t>
      </w:r>
      <w:r>
        <w:rPr>
          <w:rFonts w:ascii="宋体" w:hAnsi="宋体" w:eastAsia="宋体"/>
          <w:color w:val="auto"/>
          <w:spacing w:val="-4"/>
          <w:highlight w:val="none"/>
        </w:rPr>
        <w:t xml:space="preserve">网 </w:t>
      </w:r>
      <w:r>
        <w:rPr>
          <w:rFonts w:ascii="宋体" w:hAnsi="宋体" w:eastAsia="宋体"/>
          <w:color w:val="auto"/>
          <w:spacing w:val="-2"/>
          <w:highlight w:val="none"/>
        </w:rPr>
        <w:t xml:space="preserve">   址：</w:t>
      </w:r>
      <w:r>
        <w:rPr>
          <w:rFonts w:ascii="宋体" w:hAnsi="宋体" w:eastAsia="宋体"/>
          <w:color w:val="auto"/>
          <w:spacing w:val="-2"/>
          <w:highlight w:val="none"/>
          <w:u w:val="single"/>
        </w:rPr>
        <w:t xml:space="preserve">                                               </w:t>
      </w:r>
      <w:r>
        <w:rPr>
          <w:rFonts w:ascii="宋体" w:hAnsi="宋体" w:eastAsia="宋体"/>
          <w:color w:val="auto"/>
          <w:highlight w:val="none"/>
        </w:rPr>
        <w:t xml:space="preserve"> </w:t>
      </w:r>
      <w:r>
        <w:rPr>
          <w:rFonts w:ascii="宋体" w:hAnsi="宋体" w:eastAsia="宋体"/>
          <w:color w:val="auto"/>
          <w:spacing w:val="-4"/>
          <w:highlight w:val="none"/>
        </w:rPr>
        <w:t xml:space="preserve">电 </w:t>
      </w:r>
      <w:r>
        <w:rPr>
          <w:rFonts w:ascii="宋体" w:hAnsi="宋体" w:eastAsia="宋体"/>
          <w:color w:val="auto"/>
          <w:spacing w:val="-2"/>
          <w:highlight w:val="none"/>
        </w:rPr>
        <w:t xml:space="preserve">   话：</w:t>
      </w:r>
      <w:r>
        <w:rPr>
          <w:rFonts w:ascii="宋体" w:hAnsi="宋体" w:eastAsia="宋体"/>
          <w:color w:val="auto"/>
          <w:spacing w:val="-2"/>
          <w:highlight w:val="none"/>
          <w:u w:val="single"/>
        </w:rPr>
        <w:t xml:space="preserve">                                               </w:t>
      </w:r>
      <w:r>
        <w:rPr>
          <w:rFonts w:ascii="宋体" w:hAnsi="宋体" w:eastAsia="宋体"/>
          <w:color w:val="auto"/>
          <w:highlight w:val="none"/>
        </w:rPr>
        <w:t xml:space="preserve"> </w:t>
      </w:r>
      <w:r>
        <w:rPr>
          <w:rFonts w:ascii="宋体" w:hAnsi="宋体" w:eastAsia="宋体"/>
          <w:color w:val="auto"/>
          <w:spacing w:val="-4"/>
          <w:highlight w:val="none"/>
        </w:rPr>
        <w:t xml:space="preserve">传 </w:t>
      </w:r>
      <w:r>
        <w:rPr>
          <w:rFonts w:ascii="宋体" w:hAnsi="宋体" w:eastAsia="宋体"/>
          <w:color w:val="auto"/>
          <w:spacing w:val="-2"/>
          <w:highlight w:val="none"/>
        </w:rPr>
        <w:t xml:space="preserve">   真：</w:t>
      </w:r>
      <w:r>
        <w:rPr>
          <w:rFonts w:ascii="宋体" w:hAnsi="宋体" w:eastAsia="宋体"/>
          <w:color w:val="auto"/>
          <w:spacing w:val="-2"/>
          <w:highlight w:val="none"/>
          <w:u w:val="single"/>
        </w:rPr>
        <w:t xml:space="preserve">                                               </w:t>
      </w:r>
      <w:r>
        <w:rPr>
          <w:rFonts w:ascii="宋体" w:hAnsi="宋体" w:eastAsia="宋体"/>
          <w:color w:val="auto"/>
          <w:highlight w:val="none"/>
        </w:rPr>
        <w:t xml:space="preserve"> </w:t>
      </w:r>
      <w:r>
        <w:rPr>
          <w:rFonts w:ascii="宋体" w:hAnsi="宋体" w:eastAsia="宋体"/>
          <w:color w:val="auto"/>
          <w:spacing w:val="-28"/>
          <w:highlight w:val="none"/>
        </w:rPr>
        <w:t>邮</w:t>
      </w:r>
      <w:r>
        <w:rPr>
          <w:rFonts w:ascii="宋体" w:hAnsi="宋体" w:eastAsia="宋体"/>
          <w:color w:val="auto"/>
          <w:spacing w:val="-25"/>
          <w:highlight w:val="none"/>
        </w:rPr>
        <w:t>政编码：</w:t>
      </w:r>
      <w:r>
        <w:rPr>
          <w:rFonts w:ascii="宋体" w:hAnsi="宋体" w:eastAsia="宋体"/>
          <w:color w:val="auto"/>
          <w:highlight w:val="none"/>
          <w:u w:val="single"/>
        </w:rPr>
        <w:t xml:space="preserve">                                               </w:t>
      </w:r>
    </w:p>
    <w:p w14:paraId="33EB9C51">
      <w:pPr>
        <w:tabs>
          <w:tab w:val="left" w:pos="6722"/>
        </w:tabs>
        <w:spacing w:line="360" w:lineRule="auto"/>
        <w:ind w:left="6084"/>
        <w:rPr>
          <w:rFonts w:hint="eastAsia" w:ascii="宋体" w:hAnsi="宋体" w:eastAsia="宋体"/>
          <w:color w:val="auto"/>
          <w:highlight w:val="none"/>
          <w:u w:val="single"/>
        </w:rPr>
      </w:pPr>
      <w:r>
        <w:rPr>
          <w:rFonts w:ascii="宋体" w:hAnsi="宋体" w:eastAsia="宋体"/>
          <w:color w:val="auto"/>
          <w:highlight w:val="none"/>
          <w:u w:val="single"/>
        </w:rPr>
        <w:tab/>
      </w:r>
      <w:r>
        <w:rPr>
          <w:rFonts w:ascii="宋体" w:hAnsi="宋体" w:eastAsia="宋体"/>
          <w:color w:val="auto"/>
          <w:spacing w:val="-1"/>
          <w:highlight w:val="none"/>
        </w:rPr>
        <w:t>年</w:t>
      </w:r>
      <w:r>
        <w:rPr>
          <w:rFonts w:ascii="宋体" w:hAnsi="宋体" w:eastAsia="宋体"/>
          <w:color w:val="auto"/>
          <w:spacing w:val="-1"/>
          <w:highlight w:val="none"/>
          <w:u w:val="single"/>
        </w:rPr>
        <w:t xml:space="preserve">      </w:t>
      </w:r>
      <w:r>
        <w:rPr>
          <w:rFonts w:ascii="宋体" w:hAnsi="宋体" w:eastAsia="宋体"/>
          <w:color w:val="auto"/>
          <w:spacing w:val="-1"/>
          <w:highlight w:val="none"/>
        </w:rPr>
        <w:t>月</w:t>
      </w:r>
      <w:r>
        <w:rPr>
          <w:rFonts w:ascii="宋体" w:hAnsi="宋体" w:eastAsia="宋体"/>
          <w:color w:val="auto"/>
          <w:spacing w:val="-1"/>
          <w:highlight w:val="none"/>
          <w:u w:val="single"/>
        </w:rPr>
        <w:t xml:space="preserve">  </w:t>
      </w:r>
      <w:r>
        <w:rPr>
          <w:rFonts w:ascii="宋体" w:hAnsi="宋体" w:eastAsia="宋体"/>
          <w:color w:val="auto"/>
          <w:highlight w:val="none"/>
          <w:u w:val="single"/>
        </w:rPr>
        <w:t xml:space="preserve">    </w:t>
      </w:r>
      <w:r>
        <w:rPr>
          <w:rFonts w:ascii="宋体" w:hAnsi="宋体" w:eastAsia="宋体"/>
          <w:color w:val="auto"/>
          <w:highlight w:val="none"/>
        </w:rPr>
        <w:t>日</w:t>
      </w:r>
    </w:p>
    <w:p w14:paraId="1481D681">
      <w:pPr>
        <w:spacing w:line="360" w:lineRule="auto"/>
        <w:rPr>
          <w:color w:val="auto"/>
          <w:highlight w:val="none"/>
        </w:rPr>
        <w:sectPr>
          <w:footerReference r:id="rId20" w:type="default"/>
          <w:pgSz w:w="12240" w:h="15840"/>
          <w:pgMar w:top="1346" w:right="1800" w:bottom="1104" w:left="1836" w:header="0" w:footer="940" w:gutter="0"/>
          <w:cols w:space="720" w:num="1"/>
        </w:sectPr>
      </w:pPr>
    </w:p>
    <w:p w14:paraId="6256A500">
      <w:pPr>
        <w:spacing w:line="247" w:lineRule="auto"/>
        <w:rPr>
          <w:color w:val="auto"/>
          <w:highlight w:val="none"/>
        </w:rPr>
      </w:pPr>
    </w:p>
    <w:p w14:paraId="39D5CF23">
      <w:pPr>
        <w:rPr>
          <w:rFonts w:hint="eastAsia" w:ascii="黑体" w:hAnsi="黑体" w:eastAsia="黑体"/>
          <w:color w:val="auto"/>
          <w:spacing w:val="44"/>
          <w:sz w:val="27"/>
          <w:szCs w:val="27"/>
          <w:highlight w:val="none"/>
        </w:rPr>
      </w:pPr>
      <w:bookmarkStart w:id="373" w:name="_Toc30357"/>
      <w:bookmarkStart w:id="374" w:name="_Toc23934"/>
      <w:bookmarkStart w:id="375" w:name="_Toc8334"/>
      <w:bookmarkStart w:id="376" w:name="_Toc20683"/>
      <w:bookmarkStart w:id="377" w:name="_Toc164"/>
      <w:r>
        <w:rPr>
          <w:rFonts w:ascii="黑体" w:hAnsi="黑体" w:eastAsia="黑体"/>
          <w:color w:val="auto"/>
          <w:spacing w:val="44"/>
          <w:sz w:val="27"/>
          <w:szCs w:val="27"/>
          <w:highlight w:val="none"/>
        </w:rPr>
        <w:t>(</w:t>
      </w:r>
      <w:r>
        <w:rPr>
          <w:rFonts w:ascii="黑体" w:hAnsi="黑体" w:eastAsia="黑体"/>
          <w:color w:val="auto"/>
          <w:spacing w:val="39"/>
          <w:sz w:val="27"/>
          <w:szCs w:val="27"/>
          <w:highlight w:val="none"/>
        </w:rPr>
        <w:t>二)投标函附录</w:t>
      </w:r>
      <w:bookmarkEnd w:id="373"/>
      <w:bookmarkEnd w:id="374"/>
      <w:bookmarkEnd w:id="375"/>
      <w:bookmarkEnd w:id="376"/>
      <w:bookmarkEnd w:id="377"/>
    </w:p>
    <w:p w14:paraId="6BB78E0C">
      <w:pPr>
        <w:spacing w:line="269" w:lineRule="auto"/>
        <w:rPr>
          <w:color w:val="auto"/>
          <w:highlight w:val="none"/>
        </w:rPr>
      </w:pPr>
    </w:p>
    <w:tbl>
      <w:tblPr>
        <w:tblStyle w:val="19"/>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108"/>
        <w:gridCol w:w="6245"/>
      </w:tblGrid>
      <w:tr w14:paraId="044C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753" w:type="dxa"/>
            <w:gridSpan w:val="2"/>
            <w:vAlign w:val="center"/>
          </w:tcPr>
          <w:p w14:paraId="37BC06FF">
            <w:pPr>
              <w:pStyle w:val="57"/>
              <w:widowControl w:val="0"/>
              <w:rPr>
                <w:rFonts w:hint="eastAsia" w:ascii="宋体" w:hAnsi="宋体" w:eastAsia="宋体"/>
                <w:b w:val="0"/>
                <w:bCs/>
                <w:color w:val="auto"/>
                <w:highlight w:val="none"/>
              </w:rPr>
            </w:pPr>
            <w:r>
              <w:rPr>
                <w:rFonts w:hint="eastAsia" w:ascii="宋体" w:hAnsi="宋体" w:eastAsia="宋体"/>
                <w:b w:val="0"/>
                <w:bCs/>
                <w:color w:val="auto"/>
                <w:highlight w:val="none"/>
              </w:rPr>
              <w:t>项目名称</w:t>
            </w:r>
          </w:p>
        </w:tc>
        <w:tc>
          <w:tcPr>
            <w:tcW w:w="6245" w:type="dxa"/>
            <w:vAlign w:val="center"/>
          </w:tcPr>
          <w:p w14:paraId="405D2D1A">
            <w:pPr>
              <w:pStyle w:val="57"/>
              <w:widowControl w:val="0"/>
              <w:ind w:firstLine="480"/>
              <w:rPr>
                <w:rFonts w:hint="eastAsia" w:ascii="宋体" w:hAnsi="宋体" w:eastAsia="宋体"/>
                <w:b w:val="0"/>
                <w:bCs/>
                <w:color w:val="auto"/>
                <w:highlight w:val="none"/>
              </w:rPr>
            </w:pPr>
          </w:p>
        </w:tc>
      </w:tr>
      <w:tr w14:paraId="55C9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753" w:type="dxa"/>
            <w:gridSpan w:val="2"/>
            <w:vAlign w:val="center"/>
          </w:tcPr>
          <w:p w14:paraId="5BCC6B7C">
            <w:pPr>
              <w:pStyle w:val="57"/>
              <w:widowControl w:val="0"/>
              <w:rPr>
                <w:rFonts w:hint="eastAsia" w:ascii="宋体" w:hAnsi="宋体" w:eastAsia="宋体"/>
                <w:b w:val="0"/>
                <w:bCs/>
                <w:color w:val="auto"/>
                <w:highlight w:val="none"/>
              </w:rPr>
            </w:pPr>
            <w:r>
              <w:rPr>
                <w:rFonts w:hint="eastAsia" w:ascii="宋体" w:hAnsi="宋体" w:eastAsia="宋体"/>
                <w:b w:val="0"/>
                <w:bCs/>
                <w:color w:val="auto"/>
                <w:highlight w:val="none"/>
              </w:rPr>
              <w:t>投标总报价（元）</w:t>
            </w:r>
          </w:p>
        </w:tc>
        <w:tc>
          <w:tcPr>
            <w:tcW w:w="6245" w:type="dxa"/>
            <w:vAlign w:val="center"/>
          </w:tcPr>
          <w:p w14:paraId="5B6EE2FC">
            <w:pPr>
              <w:pStyle w:val="57"/>
              <w:widowControl w:val="0"/>
              <w:ind w:firstLine="480"/>
              <w:rPr>
                <w:rFonts w:hint="eastAsia" w:ascii="宋体" w:hAnsi="宋体" w:eastAsia="宋体"/>
                <w:b w:val="0"/>
                <w:bCs/>
                <w:color w:val="auto"/>
                <w:highlight w:val="none"/>
              </w:rPr>
            </w:pPr>
          </w:p>
        </w:tc>
      </w:tr>
      <w:tr w14:paraId="4892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5" w:type="dxa"/>
            <w:vMerge w:val="restart"/>
            <w:vAlign w:val="center"/>
          </w:tcPr>
          <w:p w14:paraId="2A93407A">
            <w:pPr>
              <w:pStyle w:val="57"/>
              <w:widowControl w:val="0"/>
              <w:jc w:val="left"/>
              <w:rPr>
                <w:rFonts w:hint="eastAsia" w:ascii="宋体" w:hAnsi="宋体" w:eastAsia="宋体"/>
                <w:b w:val="0"/>
                <w:bCs/>
                <w:color w:val="auto"/>
                <w:highlight w:val="none"/>
              </w:rPr>
            </w:pPr>
            <w:r>
              <w:rPr>
                <w:rFonts w:hint="eastAsia" w:ascii="宋体" w:hAnsi="宋体" w:eastAsia="宋体"/>
                <w:b w:val="0"/>
                <w:bCs/>
                <w:color w:val="auto"/>
                <w:highlight w:val="none"/>
              </w:rPr>
              <w:t>其中</w:t>
            </w:r>
          </w:p>
        </w:tc>
        <w:tc>
          <w:tcPr>
            <w:tcW w:w="2108" w:type="dxa"/>
            <w:vAlign w:val="center"/>
          </w:tcPr>
          <w:p w14:paraId="569283A1">
            <w:pPr>
              <w:pStyle w:val="57"/>
              <w:widowControl w:val="0"/>
              <w:jc w:val="left"/>
              <w:rPr>
                <w:rFonts w:hint="eastAsia" w:ascii="宋体" w:hAnsi="宋体" w:eastAsia="宋体"/>
                <w:b w:val="0"/>
                <w:bCs/>
                <w:color w:val="auto"/>
                <w:highlight w:val="none"/>
              </w:rPr>
            </w:pPr>
            <w:r>
              <w:rPr>
                <w:rFonts w:hint="eastAsia" w:ascii="宋体" w:hAnsi="宋体" w:eastAsia="宋体"/>
                <w:b w:val="0"/>
                <w:bCs/>
                <w:color w:val="auto"/>
                <w:highlight w:val="none"/>
              </w:rPr>
              <w:t>勘察费报价（元）</w:t>
            </w:r>
          </w:p>
        </w:tc>
        <w:tc>
          <w:tcPr>
            <w:tcW w:w="6245" w:type="dxa"/>
            <w:vAlign w:val="center"/>
          </w:tcPr>
          <w:p w14:paraId="50EBBEE2">
            <w:pPr>
              <w:pStyle w:val="57"/>
              <w:widowControl w:val="0"/>
              <w:ind w:firstLine="480"/>
              <w:rPr>
                <w:rFonts w:hint="eastAsia" w:ascii="宋体" w:hAnsi="宋体" w:eastAsia="宋体"/>
                <w:b w:val="0"/>
                <w:bCs/>
                <w:color w:val="auto"/>
                <w:highlight w:val="none"/>
              </w:rPr>
            </w:pPr>
          </w:p>
        </w:tc>
      </w:tr>
      <w:tr w14:paraId="36C0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45" w:type="dxa"/>
            <w:vMerge w:val="continue"/>
            <w:vAlign w:val="center"/>
          </w:tcPr>
          <w:p w14:paraId="7F53D826">
            <w:pPr>
              <w:pStyle w:val="57"/>
              <w:widowControl w:val="0"/>
              <w:ind w:firstLine="480"/>
              <w:rPr>
                <w:rFonts w:hint="eastAsia" w:ascii="宋体" w:hAnsi="宋体" w:eastAsia="宋体"/>
                <w:b w:val="0"/>
                <w:bCs/>
                <w:color w:val="auto"/>
                <w:highlight w:val="none"/>
              </w:rPr>
            </w:pPr>
          </w:p>
        </w:tc>
        <w:tc>
          <w:tcPr>
            <w:tcW w:w="2108" w:type="dxa"/>
            <w:vAlign w:val="center"/>
          </w:tcPr>
          <w:p w14:paraId="0C00FAEE">
            <w:pPr>
              <w:pStyle w:val="57"/>
              <w:widowControl w:val="0"/>
              <w:jc w:val="left"/>
              <w:rPr>
                <w:rFonts w:hint="eastAsia" w:ascii="宋体" w:hAnsi="宋体" w:eastAsia="宋体"/>
                <w:b w:val="0"/>
                <w:bCs/>
                <w:color w:val="auto"/>
                <w:highlight w:val="none"/>
              </w:rPr>
            </w:pPr>
            <w:r>
              <w:rPr>
                <w:rFonts w:hint="eastAsia" w:ascii="宋体" w:hAnsi="宋体" w:eastAsia="宋体"/>
                <w:b w:val="0"/>
                <w:bCs/>
                <w:color w:val="auto"/>
                <w:highlight w:val="none"/>
              </w:rPr>
              <w:t>勘察费投标下浮率</w:t>
            </w:r>
          </w:p>
        </w:tc>
        <w:tc>
          <w:tcPr>
            <w:tcW w:w="6245" w:type="dxa"/>
            <w:vAlign w:val="center"/>
          </w:tcPr>
          <w:p w14:paraId="7350E51B">
            <w:pPr>
              <w:pStyle w:val="57"/>
              <w:ind w:firstLine="420"/>
              <w:jc w:val="left"/>
              <w:rPr>
                <w:rFonts w:hint="eastAsia" w:ascii="宋体" w:hAnsi="宋体" w:eastAsia="宋体"/>
                <w:b w:val="0"/>
                <w:bCs/>
                <w:color w:val="auto"/>
                <w:highlight w:val="none"/>
                <w:u w:val="single"/>
              </w:rPr>
            </w:pPr>
            <w:r>
              <w:rPr>
                <w:rFonts w:hint="eastAsia" w:ascii="宋体" w:hAnsi="宋体" w:eastAsia="宋体"/>
                <w:b w:val="0"/>
                <w:bCs/>
                <w:color w:val="auto"/>
                <w:highlight w:val="none"/>
                <w:u w:val="single"/>
              </w:rPr>
              <w:t xml:space="preserve">       </w:t>
            </w:r>
            <w:r>
              <w:rPr>
                <w:rFonts w:hint="eastAsia" w:ascii="宋体" w:hAnsi="宋体" w:eastAsia="宋体"/>
                <w:b w:val="0"/>
                <w:bCs/>
                <w:color w:val="auto"/>
                <w:highlight w:val="none"/>
              </w:rPr>
              <w:t xml:space="preserve"> %</w:t>
            </w:r>
          </w:p>
        </w:tc>
      </w:tr>
      <w:tr w14:paraId="636F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45" w:type="dxa"/>
            <w:vMerge w:val="continue"/>
            <w:vAlign w:val="center"/>
          </w:tcPr>
          <w:p w14:paraId="519939C3">
            <w:pPr>
              <w:pStyle w:val="57"/>
              <w:widowControl w:val="0"/>
              <w:ind w:firstLine="480"/>
              <w:rPr>
                <w:rFonts w:hint="eastAsia" w:ascii="宋体" w:hAnsi="宋体" w:eastAsia="宋体"/>
                <w:b w:val="0"/>
                <w:bCs/>
                <w:color w:val="auto"/>
                <w:highlight w:val="none"/>
              </w:rPr>
            </w:pPr>
          </w:p>
        </w:tc>
        <w:tc>
          <w:tcPr>
            <w:tcW w:w="2108" w:type="dxa"/>
            <w:vAlign w:val="center"/>
          </w:tcPr>
          <w:p w14:paraId="24A2BFE6">
            <w:pPr>
              <w:pStyle w:val="57"/>
              <w:widowControl w:val="0"/>
              <w:jc w:val="left"/>
              <w:rPr>
                <w:rFonts w:hint="eastAsia" w:ascii="宋体" w:hAnsi="宋体" w:eastAsia="宋体"/>
                <w:b w:val="0"/>
                <w:bCs/>
                <w:color w:val="auto"/>
                <w:highlight w:val="none"/>
              </w:rPr>
            </w:pPr>
            <w:r>
              <w:rPr>
                <w:rFonts w:hint="eastAsia" w:ascii="宋体" w:hAnsi="宋体" w:eastAsia="宋体"/>
                <w:b w:val="0"/>
                <w:bCs/>
                <w:color w:val="auto"/>
                <w:highlight w:val="none"/>
              </w:rPr>
              <w:t>设计费报价（元）</w:t>
            </w:r>
          </w:p>
        </w:tc>
        <w:tc>
          <w:tcPr>
            <w:tcW w:w="6245" w:type="dxa"/>
            <w:vAlign w:val="center"/>
          </w:tcPr>
          <w:p w14:paraId="3805A814">
            <w:pPr>
              <w:pStyle w:val="57"/>
              <w:widowControl w:val="0"/>
              <w:ind w:firstLine="480"/>
              <w:rPr>
                <w:rFonts w:hint="eastAsia" w:ascii="宋体" w:hAnsi="宋体" w:eastAsia="宋体"/>
                <w:b w:val="0"/>
                <w:bCs/>
                <w:color w:val="auto"/>
                <w:highlight w:val="none"/>
              </w:rPr>
            </w:pPr>
          </w:p>
        </w:tc>
      </w:tr>
      <w:tr w14:paraId="295A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5" w:type="dxa"/>
            <w:vMerge w:val="continue"/>
            <w:vAlign w:val="center"/>
          </w:tcPr>
          <w:p w14:paraId="7387EF7A">
            <w:pPr>
              <w:pStyle w:val="57"/>
              <w:widowControl w:val="0"/>
              <w:ind w:firstLine="480"/>
              <w:rPr>
                <w:rFonts w:hint="eastAsia" w:ascii="宋体" w:hAnsi="宋体" w:eastAsia="宋体"/>
                <w:b w:val="0"/>
                <w:bCs/>
                <w:color w:val="auto"/>
                <w:highlight w:val="none"/>
              </w:rPr>
            </w:pPr>
          </w:p>
        </w:tc>
        <w:tc>
          <w:tcPr>
            <w:tcW w:w="2108" w:type="dxa"/>
            <w:vAlign w:val="center"/>
          </w:tcPr>
          <w:p w14:paraId="3F13DE73">
            <w:pPr>
              <w:pStyle w:val="57"/>
              <w:widowControl w:val="0"/>
              <w:jc w:val="left"/>
              <w:rPr>
                <w:rFonts w:hint="eastAsia" w:ascii="宋体" w:hAnsi="宋体" w:eastAsia="宋体"/>
                <w:b w:val="0"/>
                <w:bCs/>
                <w:color w:val="auto"/>
                <w:highlight w:val="none"/>
              </w:rPr>
            </w:pPr>
            <w:r>
              <w:rPr>
                <w:rFonts w:hint="eastAsia" w:ascii="宋体" w:hAnsi="宋体" w:eastAsia="宋体"/>
                <w:b w:val="0"/>
                <w:bCs/>
                <w:color w:val="auto"/>
                <w:highlight w:val="none"/>
              </w:rPr>
              <w:t>设计费投标下浮率</w:t>
            </w:r>
          </w:p>
        </w:tc>
        <w:tc>
          <w:tcPr>
            <w:tcW w:w="6245" w:type="dxa"/>
            <w:vAlign w:val="center"/>
          </w:tcPr>
          <w:p w14:paraId="4E3B20A8">
            <w:pPr>
              <w:ind w:firstLine="420" w:firstLineChars="200"/>
              <w:rPr>
                <w:color w:val="auto"/>
                <w:highlight w:val="none"/>
              </w:rPr>
            </w:pPr>
            <w:r>
              <w:rPr>
                <w:rFonts w:hint="eastAsia" w:ascii="宋体" w:hAnsi="宋体" w:eastAsia="宋体"/>
                <w:bCs/>
                <w:color w:val="auto"/>
                <w:highlight w:val="none"/>
                <w:u w:val="single"/>
              </w:rPr>
              <w:t xml:space="preserve">       </w:t>
            </w:r>
            <w:r>
              <w:rPr>
                <w:rFonts w:hint="eastAsia" w:ascii="宋体" w:hAnsi="宋体" w:eastAsia="宋体"/>
                <w:bCs/>
                <w:color w:val="auto"/>
                <w:highlight w:val="none"/>
              </w:rPr>
              <w:t xml:space="preserve"> </w:t>
            </w:r>
            <w:r>
              <w:rPr>
                <w:rFonts w:hint="eastAsia"/>
                <w:color w:val="auto"/>
                <w:highlight w:val="none"/>
              </w:rPr>
              <w:t>%</w:t>
            </w:r>
          </w:p>
        </w:tc>
      </w:tr>
      <w:tr w14:paraId="6BA1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753" w:type="dxa"/>
            <w:gridSpan w:val="2"/>
            <w:vAlign w:val="center"/>
          </w:tcPr>
          <w:p w14:paraId="6FD3AE6E">
            <w:pPr>
              <w:pStyle w:val="57"/>
              <w:widowControl w:val="0"/>
              <w:rPr>
                <w:rFonts w:hint="eastAsia" w:ascii="宋体" w:hAnsi="宋体" w:eastAsia="宋体"/>
                <w:b w:val="0"/>
                <w:bCs/>
                <w:color w:val="auto"/>
                <w:highlight w:val="none"/>
              </w:rPr>
            </w:pPr>
            <w:r>
              <w:rPr>
                <w:rFonts w:hint="eastAsia" w:ascii="宋体" w:hAnsi="宋体" w:eastAsia="宋体"/>
                <w:b w:val="0"/>
                <w:bCs/>
                <w:color w:val="auto"/>
                <w:highlight w:val="none"/>
              </w:rPr>
              <w:t>勘察设计服务期限</w:t>
            </w:r>
          </w:p>
        </w:tc>
        <w:tc>
          <w:tcPr>
            <w:tcW w:w="6245" w:type="dxa"/>
            <w:vAlign w:val="center"/>
          </w:tcPr>
          <w:p w14:paraId="5A387E41">
            <w:pPr>
              <w:pStyle w:val="57"/>
              <w:widowControl w:val="0"/>
              <w:ind w:firstLine="480"/>
              <w:rPr>
                <w:rFonts w:hint="eastAsia" w:ascii="宋体" w:hAnsi="宋体" w:eastAsia="宋体"/>
                <w:b w:val="0"/>
                <w:bCs/>
                <w:color w:val="auto"/>
                <w:highlight w:val="none"/>
              </w:rPr>
            </w:pPr>
          </w:p>
        </w:tc>
      </w:tr>
      <w:tr w14:paraId="2164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753" w:type="dxa"/>
            <w:gridSpan w:val="2"/>
            <w:vAlign w:val="center"/>
          </w:tcPr>
          <w:p w14:paraId="708E507A">
            <w:pPr>
              <w:pStyle w:val="57"/>
              <w:widowControl w:val="0"/>
              <w:rPr>
                <w:rFonts w:hint="eastAsia" w:ascii="宋体" w:hAnsi="宋体" w:eastAsia="宋体"/>
                <w:b w:val="0"/>
                <w:bCs/>
                <w:color w:val="auto"/>
                <w:highlight w:val="none"/>
              </w:rPr>
            </w:pPr>
            <w:r>
              <w:rPr>
                <w:rFonts w:hint="eastAsia" w:ascii="宋体" w:hAnsi="宋体" w:eastAsia="宋体"/>
                <w:b w:val="0"/>
                <w:bCs/>
                <w:color w:val="auto"/>
                <w:highlight w:val="none"/>
              </w:rPr>
              <w:t>项目负责人</w:t>
            </w:r>
          </w:p>
        </w:tc>
        <w:tc>
          <w:tcPr>
            <w:tcW w:w="6245" w:type="dxa"/>
            <w:vAlign w:val="center"/>
          </w:tcPr>
          <w:p w14:paraId="641AAFFF">
            <w:pPr>
              <w:pStyle w:val="57"/>
              <w:widowControl w:val="0"/>
              <w:spacing w:line="360" w:lineRule="auto"/>
              <w:ind w:firstLine="420"/>
              <w:jc w:val="left"/>
              <w:rPr>
                <w:rFonts w:hint="eastAsia" w:ascii="宋体" w:hAnsi="宋体" w:eastAsia="宋体"/>
                <w:b w:val="0"/>
                <w:bCs/>
                <w:color w:val="auto"/>
                <w:highlight w:val="none"/>
              </w:rPr>
            </w:pPr>
            <w:r>
              <w:rPr>
                <w:rFonts w:hint="eastAsia" w:ascii="宋体" w:hAnsi="宋体" w:eastAsia="宋体"/>
                <w:b w:val="0"/>
                <w:bCs/>
                <w:color w:val="auto"/>
                <w:highlight w:val="none"/>
              </w:rPr>
              <w:t>姓名：</w:t>
            </w:r>
          </w:p>
          <w:p w14:paraId="37AB1CE0">
            <w:pPr>
              <w:pStyle w:val="57"/>
              <w:widowControl w:val="0"/>
              <w:spacing w:line="360" w:lineRule="auto"/>
              <w:ind w:firstLine="420"/>
              <w:jc w:val="left"/>
              <w:rPr>
                <w:rFonts w:hint="eastAsia" w:ascii="宋体" w:hAnsi="宋体" w:eastAsia="宋体"/>
                <w:b w:val="0"/>
                <w:bCs/>
                <w:color w:val="auto"/>
                <w:highlight w:val="none"/>
              </w:rPr>
            </w:pPr>
            <w:r>
              <w:rPr>
                <w:rFonts w:hint="eastAsia" w:ascii="宋体" w:hAnsi="宋体" w:eastAsia="宋体"/>
                <w:b w:val="0"/>
                <w:bCs/>
                <w:color w:val="auto"/>
                <w:highlight w:val="none"/>
              </w:rPr>
              <w:t>证书编号：</w:t>
            </w:r>
          </w:p>
        </w:tc>
      </w:tr>
    </w:tbl>
    <w:p w14:paraId="3B65B569">
      <w:pPr>
        <w:spacing w:line="269" w:lineRule="auto"/>
        <w:rPr>
          <w:color w:val="auto"/>
          <w:highlight w:val="none"/>
        </w:rPr>
      </w:pPr>
    </w:p>
    <w:p w14:paraId="35467BBB">
      <w:pPr>
        <w:pStyle w:val="57"/>
        <w:rPr>
          <w:color w:val="auto"/>
          <w:highlight w:val="none"/>
        </w:rPr>
      </w:pPr>
    </w:p>
    <w:p w14:paraId="7D70CF0B">
      <w:pPr>
        <w:pStyle w:val="57"/>
        <w:jc w:val="left"/>
        <w:rPr>
          <w:color w:val="auto"/>
          <w:highlight w:val="none"/>
        </w:rPr>
      </w:pPr>
    </w:p>
    <w:p w14:paraId="7A38D524">
      <w:pPr>
        <w:spacing w:before="68" w:line="387" w:lineRule="auto"/>
        <w:ind w:left="2599" w:right="324" w:firstLine="1"/>
        <w:rPr>
          <w:rFonts w:hint="eastAsia" w:ascii="宋体" w:hAnsi="宋体" w:eastAsia="宋体"/>
          <w:color w:val="auto"/>
          <w:spacing w:val="-4"/>
          <w:highlight w:val="none"/>
        </w:rPr>
      </w:pPr>
    </w:p>
    <w:p w14:paraId="09D07EF5">
      <w:pPr>
        <w:spacing w:before="68" w:line="387" w:lineRule="auto"/>
        <w:ind w:left="2599" w:right="324" w:firstLine="1"/>
        <w:rPr>
          <w:rFonts w:hint="eastAsia" w:ascii="宋体" w:hAnsi="宋体" w:eastAsia="宋体"/>
          <w:color w:val="auto"/>
          <w:spacing w:val="-4"/>
          <w:highlight w:val="none"/>
        </w:rPr>
      </w:pPr>
      <w:r>
        <w:rPr>
          <w:rFonts w:ascii="宋体" w:hAnsi="宋体" w:eastAsia="宋体"/>
          <w:color w:val="auto"/>
          <w:spacing w:val="-4"/>
          <w:highlight w:val="none"/>
        </w:rPr>
        <w:t>投 标 人：</w:t>
      </w:r>
      <w:r>
        <w:rPr>
          <w:rFonts w:ascii="宋体" w:hAnsi="宋体" w:eastAsia="宋体"/>
          <w:color w:val="auto"/>
          <w:spacing w:val="-4"/>
          <w:highlight w:val="none"/>
          <w:u w:val="single"/>
        </w:rPr>
        <w:t xml:space="preserve">           </w:t>
      </w:r>
      <w:r>
        <w:rPr>
          <w:rFonts w:ascii="宋体" w:hAnsi="宋体" w:eastAsia="宋体"/>
          <w:color w:val="auto"/>
          <w:spacing w:val="-2"/>
          <w:highlight w:val="none"/>
          <w:u w:val="single"/>
        </w:rPr>
        <w:t xml:space="preserve">                         </w:t>
      </w:r>
      <w:r>
        <w:rPr>
          <w:rFonts w:ascii="宋体" w:hAnsi="宋体" w:eastAsia="宋体"/>
          <w:color w:val="auto"/>
          <w:spacing w:val="-2"/>
          <w:highlight w:val="none"/>
        </w:rPr>
        <w:t>(盖单位章)</w:t>
      </w:r>
      <w:r>
        <w:rPr>
          <w:rFonts w:ascii="宋体" w:hAnsi="宋体" w:eastAsia="宋体"/>
          <w:color w:val="auto"/>
          <w:highlight w:val="none"/>
        </w:rPr>
        <w:t xml:space="preserve"> </w:t>
      </w:r>
      <w:r>
        <w:rPr>
          <w:rFonts w:ascii="宋体" w:hAnsi="宋体" w:eastAsia="宋体"/>
          <w:color w:val="auto"/>
          <w:spacing w:val="-8"/>
          <w:highlight w:val="none"/>
        </w:rPr>
        <w:t>法定</w:t>
      </w:r>
      <w:r>
        <w:rPr>
          <w:rFonts w:ascii="宋体" w:hAnsi="宋体" w:eastAsia="宋体"/>
          <w:color w:val="auto"/>
          <w:spacing w:val="-4"/>
          <w:highlight w:val="none"/>
        </w:rPr>
        <w:t>代表人或其委托代理人：</w:t>
      </w:r>
      <w:r>
        <w:rPr>
          <w:rFonts w:ascii="宋体" w:hAnsi="宋体" w:eastAsia="宋体"/>
          <w:color w:val="auto"/>
          <w:spacing w:val="-4"/>
          <w:highlight w:val="none"/>
          <w:u w:val="single"/>
        </w:rPr>
        <w:t xml:space="preserve">            </w:t>
      </w:r>
      <w:r>
        <w:rPr>
          <w:rFonts w:ascii="宋体" w:hAnsi="宋体" w:eastAsia="宋体"/>
          <w:color w:val="auto"/>
          <w:spacing w:val="-4"/>
          <w:highlight w:val="none"/>
        </w:rPr>
        <w:t>(签字</w:t>
      </w:r>
      <w:r>
        <w:rPr>
          <w:rFonts w:hint="eastAsia" w:ascii="宋体" w:hAnsi="宋体" w:eastAsia="宋体"/>
          <w:color w:val="auto"/>
          <w:spacing w:val="-4"/>
          <w:highlight w:val="none"/>
        </w:rPr>
        <w:t>或盖章</w:t>
      </w:r>
      <w:r>
        <w:rPr>
          <w:rFonts w:ascii="宋体" w:hAnsi="宋体" w:eastAsia="宋体"/>
          <w:color w:val="auto"/>
          <w:spacing w:val="-4"/>
          <w:highlight w:val="none"/>
        </w:rPr>
        <w:t>)</w:t>
      </w:r>
    </w:p>
    <w:p w14:paraId="5EBFE7A0">
      <w:pPr>
        <w:tabs>
          <w:tab w:val="left" w:pos="6829"/>
        </w:tabs>
        <w:spacing w:line="220" w:lineRule="auto"/>
        <w:ind w:left="6190"/>
        <w:rPr>
          <w:rFonts w:hint="eastAsia" w:ascii="宋体" w:hAnsi="宋体" w:eastAsia="宋体"/>
          <w:color w:val="auto"/>
          <w:highlight w:val="none"/>
          <w:u w:val="single"/>
        </w:rPr>
      </w:pPr>
      <w:r>
        <w:rPr>
          <w:rFonts w:ascii="宋体" w:hAnsi="宋体" w:eastAsia="宋体"/>
          <w:color w:val="auto"/>
          <w:highlight w:val="none"/>
          <w:u w:val="single"/>
        </w:rPr>
        <w:tab/>
      </w:r>
      <w:r>
        <w:rPr>
          <w:rFonts w:ascii="宋体" w:hAnsi="宋体" w:eastAsia="宋体"/>
          <w:color w:val="auto"/>
          <w:spacing w:val="4"/>
          <w:highlight w:val="none"/>
        </w:rPr>
        <w:t>年</w:t>
      </w:r>
      <w:r>
        <w:rPr>
          <w:rFonts w:ascii="宋体" w:hAnsi="宋体" w:eastAsia="宋体"/>
          <w:color w:val="auto"/>
          <w:spacing w:val="4"/>
          <w:highlight w:val="none"/>
          <w:u w:val="single"/>
        </w:rPr>
        <w:t xml:space="preserve">  </w:t>
      </w:r>
      <w:r>
        <w:rPr>
          <w:rFonts w:ascii="宋体" w:hAnsi="宋体" w:eastAsia="宋体"/>
          <w:color w:val="auto"/>
          <w:spacing w:val="2"/>
          <w:highlight w:val="none"/>
          <w:u w:val="single"/>
        </w:rPr>
        <w:t xml:space="preserve">    </w:t>
      </w:r>
      <w:r>
        <w:rPr>
          <w:rFonts w:ascii="宋体" w:hAnsi="宋体" w:eastAsia="宋体"/>
          <w:color w:val="auto"/>
          <w:spacing w:val="2"/>
          <w:highlight w:val="none"/>
        </w:rPr>
        <w:t>月</w:t>
      </w:r>
      <w:r>
        <w:rPr>
          <w:rFonts w:ascii="宋体" w:hAnsi="宋体" w:eastAsia="宋体"/>
          <w:color w:val="auto"/>
          <w:spacing w:val="2"/>
          <w:highlight w:val="none"/>
          <w:u w:val="single"/>
        </w:rPr>
        <w:t xml:space="preserve">      </w:t>
      </w:r>
      <w:r>
        <w:rPr>
          <w:rFonts w:ascii="宋体" w:hAnsi="宋体" w:eastAsia="宋体"/>
          <w:color w:val="auto"/>
          <w:spacing w:val="2"/>
          <w:highlight w:val="none"/>
        </w:rPr>
        <w:t>日</w:t>
      </w:r>
    </w:p>
    <w:p w14:paraId="56F5BB86">
      <w:pPr>
        <w:rPr>
          <w:color w:val="auto"/>
          <w:highlight w:val="none"/>
        </w:rPr>
        <w:sectPr>
          <w:footerReference r:id="rId21" w:type="default"/>
          <w:pgSz w:w="12240" w:h="15840"/>
          <w:pgMar w:top="1346" w:right="1729" w:bottom="1102" w:left="1729" w:header="0" w:footer="940" w:gutter="0"/>
          <w:cols w:space="720" w:num="1"/>
        </w:sectPr>
      </w:pPr>
    </w:p>
    <w:p w14:paraId="692A561E">
      <w:pPr>
        <w:spacing w:line="245" w:lineRule="auto"/>
        <w:rPr>
          <w:color w:val="auto"/>
          <w:highlight w:val="none"/>
        </w:rPr>
      </w:pPr>
    </w:p>
    <w:p w14:paraId="124AAFF6">
      <w:pPr>
        <w:pStyle w:val="26"/>
        <w:spacing w:before="120" w:after="120"/>
        <w:jc w:val="center"/>
        <w:outlineLvl w:val="9"/>
        <w:rPr>
          <w:rFonts w:hint="eastAsia" w:ascii="黑体" w:hAnsi="黑体" w:eastAsia="黑体"/>
          <w:color w:val="auto"/>
          <w:spacing w:val="10"/>
          <w:sz w:val="31"/>
          <w:szCs w:val="31"/>
          <w:highlight w:val="none"/>
        </w:rPr>
      </w:pPr>
      <w:bookmarkStart w:id="378" w:name="_Toc7326"/>
      <w:bookmarkStart w:id="379" w:name="_Toc30933"/>
      <w:bookmarkStart w:id="380" w:name="_Toc18738"/>
      <w:bookmarkStart w:id="381" w:name="_Toc16241"/>
      <w:bookmarkStart w:id="382" w:name="_Toc20211"/>
      <w:r>
        <w:rPr>
          <w:rFonts w:ascii="黑体" w:hAnsi="黑体" w:eastAsia="黑体"/>
          <w:color w:val="auto"/>
          <w:spacing w:val="10"/>
          <w:sz w:val="31"/>
          <w:szCs w:val="31"/>
          <w:highlight w:val="none"/>
        </w:rPr>
        <w:t>二、法定代表人身份证</w:t>
      </w:r>
      <w:r>
        <w:rPr>
          <w:rFonts w:ascii="黑体" w:hAnsi="黑体" w:eastAsia="黑体"/>
          <w:color w:val="auto"/>
          <w:spacing w:val="7"/>
          <w:sz w:val="31"/>
          <w:szCs w:val="31"/>
          <w:highlight w:val="none"/>
        </w:rPr>
        <w:t>明</w:t>
      </w:r>
      <w:bookmarkEnd w:id="378"/>
      <w:bookmarkEnd w:id="379"/>
      <w:bookmarkEnd w:id="380"/>
      <w:bookmarkEnd w:id="381"/>
      <w:bookmarkEnd w:id="382"/>
      <w:r>
        <w:rPr>
          <w:rFonts w:hint="eastAsia" w:ascii="黑体" w:hAnsi="黑体" w:eastAsia="黑体"/>
          <w:color w:val="auto"/>
          <w:spacing w:val="7"/>
          <w:sz w:val="31"/>
          <w:szCs w:val="31"/>
          <w:highlight w:val="none"/>
        </w:rPr>
        <w:t>及</w:t>
      </w:r>
      <w:r>
        <w:rPr>
          <w:rFonts w:ascii="黑体" w:hAnsi="黑体" w:eastAsia="黑体"/>
          <w:color w:val="auto"/>
          <w:spacing w:val="8"/>
          <w:sz w:val="31"/>
          <w:szCs w:val="31"/>
          <w:highlight w:val="none"/>
        </w:rPr>
        <w:t>授权委托书</w:t>
      </w:r>
    </w:p>
    <w:p w14:paraId="61D7270A">
      <w:pPr>
        <w:spacing w:line="252" w:lineRule="auto"/>
        <w:rPr>
          <w:color w:val="auto"/>
          <w:highlight w:val="none"/>
        </w:rPr>
      </w:pPr>
    </w:p>
    <w:p w14:paraId="46C26EF5">
      <w:pPr>
        <w:spacing w:line="252" w:lineRule="auto"/>
        <w:rPr>
          <w:color w:val="auto"/>
          <w:highlight w:val="none"/>
        </w:rPr>
      </w:pPr>
    </w:p>
    <w:p w14:paraId="692F5E36">
      <w:pPr>
        <w:spacing w:line="253" w:lineRule="auto"/>
        <w:jc w:val="center"/>
        <w:rPr>
          <w:rFonts w:hint="eastAsia" w:ascii="黑体" w:hAnsi="黑体" w:eastAsia="黑体"/>
          <w:color w:val="auto"/>
          <w:spacing w:val="10"/>
          <w:sz w:val="31"/>
          <w:szCs w:val="31"/>
          <w:highlight w:val="none"/>
        </w:rPr>
      </w:pPr>
      <w:r>
        <w:rPr>
          <w:rFonts w:ascii="黑体" w:hAnsi="黑体" w:eastAsia="黑体"/>
          <w:color w:val="auto"/>
          <w:spacing w:val="10"/>
          <w:sz w:val="31"/>
          <w:szCs w:val="31"/>
          <w:highlight w:val="none"/>
        </w:rPr>
        <w:t>法定代表人身份证</w:t>
      </w:r>
      <w:r>
        <w:rPr>
          <w:rFonts w:ascii="黑体" w:hAnsi="黑体" w:eastAsia="黑体"/>
          <w:color w:val="auto"/>
          <w:spacing w:val="7"/>
          <w:sz w:val="31"/>
          <w:szCs w:val="31"/>
          <w:highlight w:val="none"/>
        </w:rPr>
        <w:t>明</w:t>
      </w:r>
    </w:p>
    <w:p w14:paraId="0704BA19">
      <w:pPr>
        <w:spacing w:line="253" w:lineRule="auto"/>
        <w:rPr>
          <w:color w:val="auto"/>
          <w:highlight w:val="none"/>
        </w:rPr>
      </w:pPr>
    </w:p>
    <w:p w14:paraId="5FA62573">
      <w:pPr>
        <w:spacing w:line="253" w:lineRule="auto"/>
        <w:rPr>
          <w:color w:val="auto"/>
          <w:highlight w:val="none"/>
        </w:rPr>
      </w:pPr>
    </w:p>
    <w:p w14:paraId="7931D036">
      <w:pPr>
        <w:spacing w:line="253" w:lineRule="auto"/>
        <w:rPr>
          <w:color w:val="auto"/>
          <w:highlight w:val="none"/>
        </w:rPr>
      </w:pPr>
    </w:p>
    <w:p w14:paraId="475DFA53">
      <w:pPr>
        <w:spacing w:before="68" w:line="221" w:lineRule="auto"/>
        <w:ind w:left="2"/>
        <w:rPr>
          <w:rFonts w:hint="eastAsia" w:ascii="宋体" w:hAnsi="宋体" w:eastAsia="宋体"/>
          <w:color w:val="auto"/>
          <w:spacing w:val="-30"/>
          <w:highlight w:val="none"/>
        </w:rPr>
      </w:pPr>
      <w:r>
        <w:rPr>
          <w:rFonts w:ascii="宋体" w:hAnsi="宋体" w:eastAsia="宋体"/>
          <w:color w:val="auto"/>
          <w:spacing w:val="-30"/>
          <w:highlight w:val="none"/>
        </w:rPr>
        <w:t>投</w:t>
      </w:r>
      <w:r>
        <w:rPr>
          <w:rFonts w:ascii="宋体" w:hAnsi="宋体" w:eastAsia="宋体"/>
          <w:color w:val="auto"/>
          <w:spacing w:val="-27"/>
          <w:highlight w:val="none"/>
        </w:rPr>
        <w:t>标人名称：</w:t>
      </w:r>
      <w:r>
        <w:rPr>
          <w:rFonts w:ascii="宋体" w:hAnsi="宋体" w:eastAsia="宋体"/>
          <w:color w:val="auto"/>
          <w:highlight w:val="none"/>
          <w:u w:val="single"/>
        </w:rPr>
        <w:t xml:space="preserve">                         </w:t>
      </w:r>
    </w:p>
    <w:p w14:paraId="1C090CA8">
      <w:pPr>
        <w:spacing w:before="189" w:line="386" w:lineRule="auto"/>
        <w:rPr>
          <w:rFonts w:hint="eastAsia" w:ascii="宋体" w:hAnsi="宋体" w:eastAsia="宋体"/>
          <w:color w:val="auto"/>
          <w:spacing w:val="-9"/>
          <w:highlight w:val="none"/>
        </w:rPr>
      </w:pPr>
      <w:r>
        <w:rPr>
          <w:rFonts w:ascii="宋体" w:hAnsi="宋体" w:eastAsia="宋体"/>
          <w:color w:val="auto"/>
          <w:spacing w:val="-9"/>
          <w:highlight w:val="none"/>
        </w:rPr>
        <w:t>姓名：</w:t>
      </w:r>
      <w:r>
        <w:rPr>
          <w:rFonts w:ascii="宋体" w:hAnsi="宋体" w:eastAsia="宋体"/>
          <w:color w:val="auto"/>
          <w:spacing w:val="-9"/>
          <w:highlight w:val="none"/>
          <w:u w:val="single"/>
        </w:rPr>
        <w:t xml:space="preserve">          </w:t>
      </w:r>
      <w:r>
        <w:rPr>
          <w:rFonts w:ascii="宋体" w:hAnsi="宋体" w:eastAsia="宋体"/>
          <w:color w:val="auto"/>
          <w:spacing w:val="-9"/>
          <w:highlight w:val="none"/>
        </w:rPr>
        <w:t>性别：</w:t>
      </w:r>
      <w:r>
        <w:rPr>
          <w:rFonts w:ascii="宋体" w:hAnsi="宋体" w:eastAsia="宋体"/>
          <w:color w:val="auto"/>
          <w:spacing w:val="-9"/>
          <w:highlight w:val="none"/>
          <w:u w:val="single"/>
        </w:rPr>
        <w:t xml:space="preserve">         </w:t>
      </w:r>
      <w:r>
        <w:rPr>
          <w:rFonts w:ascii="宋体" w:hAnsi="宋体" w:eastAsia="宋体"/>
          <w:color w:val="auto"/>
          <w:spacing w:val="-9"/>
          <w:highlight w:val="none"/>
        </w:rPr>
        <w:t>年龄：</w:t>
      </w:r>
      <w:r>
        <w:rPr>
          <w:rFonts w:ascii="宋体" w:hAnsi="宋体" w:eastAsia="宋体"/>
          <w:color w:val="auto"/>
          <w:spacing w:val="-9"/>
          <w:highlight w:val="none"/>
          <w:u w:val="single"/>
        </w:rPr>
        <w:t xml:space="preserve">         </w:t>
      </w:r>
      <w:r>
        <w:rPr>
          <w:rFonts w:ascii="宋体" w:hAnsi="宋体" w:eastAsia="宋体"/>
          <w:color w:val="auto"/>
          <w:spacing w:val="-9"/>
          <w:highlight w:val="none"/>
        </w:rPr>
        <w:t>职务：</w:t>
      </w:r>
      <w:r>
        <w:rPr>
          <w:rFonts w:ascii="宋体" w:hAnsi="宋体" w:eastAsia="宋体"/>
          <w:color w:val="auto"/>
          <w:highlight w:val="none"/>
          <w:u w:val="single"/>
        </w:rPr>
        <w:t xml:space="preserve">         </w:t>
      </w:r>
      <w:r>
        <w:rPr>
          <w:rFonts w:hint="eastAsia" w:ascii="宋体" w:hAnsi="宋体" w:eastAsia="宋体"/>
          <w:color w:val="auto"/>
          <w:highlight w:val="none"/>
        </w:rPr>
        <w:t>身份证号码：</w:t>
      </w:r>
      <w:r>
        <w:rPr>
          <w:rFonts w:hint="eastAsia" w:ascii="宋体" w:hAnsi="宋体" w:eastAsia="宋体"/>
          <w:color w:val="auto"/>
          <w:highlight w:val="none"/>
          <w:u w:val="single"/>
        </w:rPr>
        <w:t xml:space="preserve">       </w:t>
      </w:r>
    </w:p>
    <w:p w14:paraId="7A0F12EF">
      <w:pPr>
        <w:spacing w:line="218" w:lineRule="auto"/>
        <w:ind w:left="4"/>
        <w:rPr>
          <w:rFonts w:hint="eastAsia" w:ascii="宋体" w:hAnsi="宋体" w:eastAsia="宋体"/>
          <w:color w:val="auto"/>
          <w:spacing w:val="2"/>
          <w:highlight w:val="none"/>
        </w:rPr>
      </w:pPr>
      <w:r>
        <w:rPr>
          <w:rFonts w:ascii="宋体" w:hAnsi="宋体" w:eastAsia="宋体"/>
          <w:color w:val="auto"/>
          <w:spacing w:val="2"/>
          <w:highlight w:val="none"/>
        </w:rPr>
        <w:t>系</w:t>
      </w:r>
      <w:r>
        <w:rPr>
          <w:rFonts w:ascii="宋体" w:hAnsi="宋体" w:eastAsia="宋体"/>
          <w:color w:val="auto"/>
          <w:spacing w:val="2"/>
          <w:highlight w:val="none"/>
          <w:u w:val="single"/>
        </w:rPr>
        <w:t xml:space="preserve">                     </w:t>
      </w:r>
      <w:r>
        <w:rPr>
          <w:rFonts w:ascii="宋体" w:hAnsi="宋体" w:eastAsia="宋体"/>
          <w:color w:val="auto"/>
          <w:spacing w:val="1"/>
          <w:highlight w:val="none"/>
          <w:u w:val="single"/>
        </w:rPr>
        <w:t xml:space="preserve">    </w:t>
      </w:r>
      <w:r>
        <w:rPr>
          <w:rFonts w:ascii="宋体" w:hAnsi="宋体" w:eastAsia="宋体"/>
          <w:color w:val="auto"/>
          <w:spacing w:val="1"/>
          <w:highlight w:val="none"/>
        </w:rPr>
        <w:t>(投标人名称)的法定代表人。</w:t>
      </w:r>
    </w:p>
    <w:p w14:paraId="3F862714">
      <w:pPr>
        <w:spacing w:before="191" w:line="220" w:lineRule="auto"/>
        <w:ind w:left="420"/>
        <w:rPr>
          <w:rFonts w:hint="eastAsia" w:ascii="宋体" w:hAnsi="宋体" w:eastAsia="宋体"/>
          <w:color w:val="auto"/>
          <w:spacing w:val="-7"/>
          <w:highlight w:val="none"/>
        </w:rPr>
      </w:pPr>
      <w:r>
        <w:rPr>
          <w:rFonts w:ascii="宋体" w:hAnsi="宋体" w:eastAsia="宋体"/>
          <w:color w:val="auto"/>
          <w:spacing w:val="-7"/>
          <w:highlight w:val="none"/>
        </w:rPr>
        <w:t>特</w:t>
      </w:r>
      <w:r>
        <w:rPr>
          <w:rFonts w:ascii="宋体" w:hAnsi="宋体" w:eastAsia="宋体"/>
          <w:color w:val="auto"/>
          <w:spacing w:val="-6"/>
          <w:highlight w:val="none"/>
        </w:rPr>
        <w:t>此证明。</w:t>
      </w:r>
    </w:p>
    <w:p w14:paraId="3CEAC891">
      <w:pPr>
        <w:spacing w:line="278" w:lineRule="auto"/>
        <w:rPr>
          <w:color w:val="auto"/>
          <w:highlight w:val="none"/>
        </w:rPr>
      </w:pPr>
    </w:p>
    <w:p w14:paraId="04678532">
      <w:pPr>
        <w:spacing w:line="279" w:lineRule="auto"/>
        <w:rPr>
          <w:color w:val="auto"/>
          <w:highlight w:val="none"/>
        </w:rPr>
      </w:pPr>
    </w:p>
    <w:p w14:paraId="0F801E1E">
      <w:pPr>
        <w:spacing w:before="69" w:line="219" w:lineRule="auto"/>
        <w:ind w:left="16"/>
        <w:rPr>
          <w:rFonts w:hint="eastAsia" w:ascii="宋体" w:hAnsi="宋体" w:eastAsia="宋体"/>
          <w:color w:val="auto"/>
          <w:spacing w:val="-6"/>
          <w:highlight w:val="none"/>
        </w:rPr>
      </w:pPr>
      <w:r>
        <w:rPr>
          <w:rFonts w:ascii="宋体" w:hAnsi="宋体" w:eastAsia="宋体"/>
          <w:color w:val="auto"/>
          <w:spacing w:val="-6"/>
          <w:highlight w:val="none"/>
        </w:rPr>
        <w:t>附：法</w:t>
      </w:r>
      <w:r>
        <w:rPr>
          <w:rFonts w:ascii="宋体" w:hAnsi="宋体" w:eastAsia="宋体"/>
          <w:color w:val="auto"/>
          <w:spacing w:val="-3"/>
          <w:highlight w:val="none"/>
        </w:rPr>
        <w:t>定代表人身份证</w:t>
      </w:r>
      <w:r>
        <w:rPr>
          <w:rFonts w:hint="eastAsia" w:ascii="宋体" w:hAnsi="宋体" w:eastAsia="宋体"/>
          <w:color w:val="auto"/>
          <w:spacing w:val="-3"/>
          <w:highlight w:val="none"/>
        </w:rPr>
        <w:t>正反面扫描</w:t>
      </w:r>
      <w:r>
        <w:rPr>
          <w:rFonts w:ascii="宋体" w:hAnsi="宋体" w:eastAsia="宋体"/>
          <w:color w:val="auto"/>
          <w:spacing w:val="-3"/>
          <w:highlight w:val="none"/>
        </w:rPr>
        <w:t>件。</w:t>
      </w:r>
    </w:p>
    <w:p w14:paraId="7C2FF086">
      <w:pPr>
        <w:spacing w:line="279" w:lineRule="auto"/>
        <w:rPr>
          <w:color w:val="auto"/>
          <w:highlight w:val="none"/>
        </w:rPr>
      </w:pPr>
    </w:p>
    <w:p w14:paraId="637662AD">
      <w:pPr>
        <w:spacing w:line="280" w:lineRule="auto"/>
        <w:rPr>
          <w:color w:val="auto"/>
          <w:highlight w:val="none"/>
        </w:rPr>
      </w:pPr>
    </w:p>
    <w:p w14:paraId="5E013D31">
      <w:pPr>
        <w:spacing w:line="248" w:lineRule="auto"/>
        <w:rPr>
          <w:color w:val="auto"/>
          <w:highlight w:val="none"/>
        </w:rPr>
      </w:pPr>
    </w:p>
    <w:p w14:paraId="410F7645">
      <w:pPr>
        <w:spacing w:line="249" w:lineRule="auto"/>
        <w:rPr>
          <w:color w:val="auto"/>
          <w:highlight w:val="none"/>
        </w:rPr>
      </w:pPr>
    </w:p>
    <w:p w14:paraId="2EA1D94B">
      <w:pPr>
        <w:spacing w:line="249" w:lineRule="auto"/>
        <w:rPr>
          <w:color w:val="auto"/>
          <w:highlight w:val="none"/>
        </w:rPr>
      </w:pPr>
    </w:p>
    <w:p w14:paraId="3E5D6026">
      <w:pPr>
        <w:spacing w:line="249" w:lineRule="auto"/>
        <w:rPr>
          <w:color w:val="auto"/>
          <w:highlight w:val="none"/>
        </w:rPr>
      </w:pPr>
    </w:p>
    <w:p w14:paraId="329F431F">
      <w:pPr>
        <w:spacing w:before="68" w:line="220" w:lineRule="auto"/>
        <w:ind w:left="4112"/>
        <w:rPr>
          <w:rFonts w:hint="eastAsia" w:ascii="宋体" w:hAnsi="宋体" w:eastAsia="宋体"/>
          <w:color w:val="auto"/>
          <w:spacing w:val="-5"/>
          <w:highlight w:val="none"/>
        </w:rPr>
      </w:pPr>
      <w:r>
        <w:rPr>
          <w:rFonts w:ascii="宋体" w:hAnsi="宋体" w:eastAsia="宋体"/>
          <w:color w:val="auto"/>
          <w:spacing w:val="-5"/>
          <w:highlight w:val="none"/>
        </w:rPr>
        <w:t>投标人：</w:t>
      </w:r>
      <w:r>
        <w:rPr>
          <w:rFonts w:ascii="宋体" w:hAnsi="宋体" w:eastAsia="宋体"/>
          <w:color w:val="auto"/>
          <w:spacing w:val="-5"/>
          <w:highlight w:val="none"/>
          <w:u w:val="single"/>
        </w:rPr>
        <w:t xml:space="preserve">                </w:t>
      </w:r>
      <w:r>
        <w:rPr>
          <w:rFonts w:ascii="宋体" w:hAnsi="宋体" w:eastAsia="宋体"/>
          <w:color w:val="auto"/>
          <w:spacing w:val="-5"/>
          <w:highlight w:val="none"/>
        </w:rPr>
        <w:t>(盖单位章</w:t>
      </w:r>
      <w:r>
        <w:rPr>
          <w:rFonts w:ascii="宋体" w:hAnsi="宋体" w:eastAsia="宋体"/>
          <w:color w:val="auto"/>
          <w:spacing w:val="-2"/>
          <w:highlight w:val="none"/>
        </w:rPr>
        <w:t>)</w:t>
      </w:r>
    </w:p>
    <w:p w14:paraId="07AE5A91">
      <w:pPr>
        <w:spacing w:line="279" w:lineRule="auto"/>
        <w:rPr>
          <w:color w:val="auto"/>
          <w:highlight w:val="none"/>
        </w:rPr>
      </w:pPr>
    </w:p>
    <w:p w14:paraId="45231C24">
      <w:pPr>
        <w:spacing w:line="279" w:lineRule="auto"/>
        <w:rPr>
          <w:color w:val="auto"/>
          <w:highlight w:val="none"/>
        </w:rPr>
      </w:pPr>
    </w:p>
    <w:p w14:paraId="489404E9">
      <w:pPr>
        <w:tabs>
          <w:tab w:val="left" w:pos="5250"/>
        </w:tabs>
        <w:spacing w:before="69" w:line="220" w:lineRule="auto"/>
        <w:ind w:left="4611"/>
        <w:rPr>
          <w:rFonts w:hint="eastAsia" w:ascii="宋体" w:hAnsi="宋体" w:eastAsia="宋体"/>
          <w:color w:val="auto"/>
          <w:highlight w:val="none"/>
          <w:u w:val="single"/>
        </w:rPr>
      </w:pPr>
      <w:r>
        <w:rPr>
          <w:rFonts w:ascii="宋体" w:hAnsi="宋体" w:eastAsia="宋体"/>
          <w:color w:val="auto"/>
          <w:highlight w:val="none"/>
          <w:u w:val="single"/>
        </w:rPr>
        <w:tab/>
      </w:r>
      <w:r>
        <w:rPr>
          <w:rFonts w:ascii="宋体" w:hAnsi="宋体" w:eastAsia="宋体"/>
          <w:color w:val="auto"/>
          <w:spacing w:val="4"/>
          <w:highlight w:val="none"/>
        </w:rPr>
        <w:t>年</w:t>
      </w:r>
      <w:r>
        <w:rPr>
          <w:rFonts w:ascii="宋体" w:hAnsi="宋体" w:eastAsia="宋体"/>
          <w:color w:val="auto"/>
          <w:spacing w:val="4"/>
          <w:highlight w:val="none"/>
          <w:u w:val="single"/>
        </w:rPr>
        <w:t xml:space="preserve">  </w:t>
      </w:r>
      <w:r>
        <w:rPr>
          <w:rFonts w:ascii="宋体" w:hAnsi="宋体" w:eastAsia="宋体"/>
          <w:color w:val="auto"/>
          <w:spacing w:val="2"/>
          <w:highlight w:val="none"/>
          <w:u w:val="single"/>
        </w:rPr>
        <w:t xml:space="preserve">    </w:t>
      </w:r>
      <w:r>
        <w:rPr>
          <w:rFonts w:ascii="宋体" w:hAnsi="宋体" w:eastAsia="宋体"/>
          <w:color w:val="auto"/>
          <w:spacing w:val="2"/>
          <w:highlight w:val="none"/>
        </w:rPr>
        <w:t>月</w:t>
      </w:r>
      <w:r>
        <w:rPr>
          <w:rFonts w:ascii="宋体" w:hAnsi="宋体" w:eastAsia="宋体"/>
          <w:color w:val="auto"/>
          <w:spacing w:val="2"/>
          <w:highlight w:val="none"/>
          <w:u w:val="single"/>
        </w:rPr>
        <w:t xml:space="preserve">      </w:t>
      </w:r>
      <w:r>
        <w:rPr>
          <w:rFonts w:ascii="宋体" w:hAnsi="宋体" w:eastAsia="宋体"/>
          <w:color w:val="auto"/>
          <w:spacing w:val="2"/>
          <w:highlight w:val="none"/>
        </w:rPr>
        <w:t>日</w:t>
      </w:r>
    </w:p>
    <w:p w14:paraId="30B9CAE0">
      <w:pPr>
        <w:rPr>
          <w:color w:val="auto"/>
          <w:highlight w:val="none"/>
        </w:rPr>
        <w:sectPr>
          <w:footerReference r:id="rId22" w:type="default"/>
          <w:pgSz w:w="12240" w:h="15840"/>
          <w:pgMar w:top="1346" w:right="1836" w:bottom="1104" w:left="1808" w:header="0" w:footer="940" w:gutter="0"/>
          <w:cols w:space="720" w:num="1"/>
        </w:sectPr>
      </w:pPr>
    </w:p>
    <w:p w14:paraId="79B5AB90">
      <w:pPr>
        <w:spacing w:line="268" w:lineRule="auto"/>
        <w:jc w:val="center"/>
        <w:rPr>
          <w:rFonts w:hint="eastAsia" w:ascii="黑体" w:hAnsi="黑体" w:eastAsia="黑体"/>
          <w:color w:val="auto"/>
          <w:spacing w:val="8"/>
          <w:sz w:val="31"/>
          <w:szCs w:val="31"/>
          <w:highlight w:val="none"/>
        </w:rPr>
      </w:pPr>
      <w:r>
        <w:rPr>
          <w:rFonts w:ascii="黑体" w:hAnsi="黑体" w:eastAsia="黑体"/>
          <w:color w:val="auto"/>
          <w:spacing w:val="8"/>
          <w:sz w:val="31"/>
          <w:szCs w:val="31"/>
          <w:highlight w:val="none"/>
        </w:rPr>
        <w:t>授权委托书</w:t>
      </w:r>
    </w:p>
    <w:p w14:paraId="76004BBD">
      <w:pPr>
        <w:spacing w:line="269" w:lineRule="auto"/>
        <w:rPr>
          <w:color w:val="auto"/>
          <w:highlight w:val="none"/>
        </w:rPr>
      </w:pPr>
    </w:p>
    <w:p w14:paraId="76BB67AC">
      <w:pPr>
        <w:spacing w:line="269" w:lineRule="auto"/>
        <w:rPr>
          <w:color w:val="auto"/>
          <w:highlight w:val="none"/>
        </w:rPr>
      </w:pPr>
    </w:p>
    <w:p w14:paraId="2FDDAA7D">
      <w:pPr>
        <w:spacing w:line="269" w:lineRule="auto"/>
        <w:rPr>
          <w:color w:val="auto"/>
          <w:highlight w:val="none"/>
        </w:rPr>
      </w:pPr>
    </w:p>
    <w:p w14:paraId="7295F13D">
      <w:pPr>
        <w:spacing w:before="68" w:line="387" w:lineRule="auto"/>
        <w:ind w:right="2" w:firstLine="421"/>
        <w:rPr>
          <w:rFonts w:hint="eastAsia" w:ascii="宋体" w:hAnsi="宋体" w:eastAsia="宋体"/>
          <w:color w:val="auto"/>
          <w:spacing w:val="4"/>
          <w:highlight w:val="none"/>
        </w:rPr>
      </w:pPr>
      <w:r>
        <w:rPr>
          <w:rFonts w:ascii="宋体" w:hAnsi="宋体" w:eastAsia="宋体"/>
          <w:color w:val="auto"/>
          <w:spacing w:val="4"/>
          <w:highlight w:val="none"/>
        </w:rPr>
        <w:t>本人</w:t>
      </w:r>
      <w:r>
        <w:rPr>
          <w:rFonts w:ascii="宋体" w:hAnsi="宋体" w:eastAsia="宋体"/>
          <w:color w:val="auto"/>
          <w:spacing w:val="3"/>
          <w:highlight w:val="none"/>
          <w:u w:val="single"/>
        </w:rPr>
        <w:t xml:space="preserve"> </w:t>
      </w:r>
      <w:r>
        <w:rPr>
          <w:rFonts w:ascii="宋体" w:hAnsi="宋体" w:eastAsia="宋体"/>
          <w:color w:val="auto"/>
          <w:spacing w:val="2"/>
          <w:highlight w:val="none"/>
          <w:u w:val="single"/>
        </w:rPr>
        <w:t xml:space="preserve">              </w:t>
      </w:r>
      <w:r>
        <w:rPr>
          <w:rFonts w:ascii="宋体" w:hAnsi="宋体" w:eastAsia="宋体"/>
          <w:color w:val="auto"/>
          <w:spacing w:val="2"/>
          <w:highlight w:val="none"/>
        </w:rPr>
        <w:t>(姓名) 系</w:t>
      </w:r>
      <w:r>
        <w:rPr>
          <w:rFonts w:ascii="宋体" w:hAnsi="宋体" w:eastAsia="宋体"/>
          <w:color w:val="auto"/>
          <w:spacing w:val="2"/>
          <w:highlight w:val="none"/>
          <w:u w:val="single"/>
        </w:rPr>
        <w:t xml:space="preserve">                     </w:t>
      </w:r>
      <w:r>
        <w:rPr>
          <w:rFonts w:ascii="宋体" w:hAnsi="宋体" w:eastAsia="宋体"/>
          <w:color w:val="auto"/>
          <w:spacing w:val="2"/>
          <w:highlight w:val="none"/>
        </w:rPr>
        <w:t>(投标人名称)的法定代表人，现</w:t>
      </w:r>
      <w:r>
        <w:rPr>
          <w:rFonts w:ascii="宋体" w:hAnsi="宋体" w:eastAsia="宋体"/>
          <w:color w:val="auto"/>
          <w:highlight w:val="none"/>
        </w:rPr>
        <w:t xml:space="preserve"> </w:t>
      </w:r>
      <w:r>
        <w:rPr>
          <w:rFonts w:ascii="宋体" w:hAnsi="宋体" w:eastAsia="宋体"/>
          <w:color w:val="auto"/>
          <w:spacing w:val="4"/>
          <w:highlight w:val="none"/>
        </w:rPr>
        <w:t>委托</w:t>
      </w:r>
      <w:r>
        <w:rPr>
          <w:rFonts w:ascii="宋体" w:hAnsi="宋体" w:eastAsia="宋体"/>
          <w:color w:val="auto"/>
          <w:spacing w:val="4"/>
          <w:highlight w:val="none"/>
          <w:u w:val="single"/>
        </w:rPr>
        <w:t xml:space="preserve">      </w:t>
      </w:r>
      <w:r>
        <w:rPr>
          <w:rFonts w:ascii="宋体" w:hAnsi="宋体" w:eastAsia="宋体"/>
          <w:color w:val="auto"/>
          <w:spacing w:val="3"/>
          <w:highlight w:val="none"/>
          <w:u w:val="single"/>
        </w:rPr>
        <w:t xml:space="preserve"> </w:t>
      </w:r>
      <w:r>
        <w:rPr>
          <w:rFonts w:ascii="宋体" w:hAnsi="宋体" w:eastAsia="宋体"/>
          <w:color w:val="auto"/>
          <w:spacing w:val="2"/>
          <w:highlight w:val="none"/>
          <w:u w:val="single"/>
        </w:rPr>
        <w:t xml:space="preserve">      </w:t>
      </w:r>
      <w:r>
        <w:rPr>
          <w:rFonts w:ascii="宋体" w:hAnsi="宋体" w:eastAsia="宋体"/>
          <w:color w:val="auto"/>
          <w:spacing w:val="2"/>
          <w:highlight w:val="none"/>
        </w:rPr>
        <w:t>(姓名)为我方代理人。代理人根据授权，以我方名义签署、澄清确认、递</w:t>
      </w:r>
      <w:r>
        <w:rPr>
          <w:rFonts w:ascii="宋体" w:hAnsi="宋体" w:eastAsia="宋体"/>
          <w:color w:val="auto"/>
          <w:highlight w:val="none"/>
        </w:rPr>
        <w:t xml:space="preserve"> </w:t>
      </w:r>
      <w:r>
        <w:rPr>
          <w:rFonts w:ascii="宋体" w:hAnsi="宋体" w:eastAsia="宋体"/>
          <w:color w:val="auto"/>
          <w:spacing w:val="-1"/>
          <w:highlight w:val="none"/>
        </w:rPr>
        <w:t>交、撤回、修改设计招标项目投标文件、签订合同和处理有关事宜，其法律后果由我</w:t>
      </w:r>
      <w:r>
        <w:rPr>
          <w:rFonts w:ascii="宋体" w:hAnsi="宋体" w:eastAsia="宋体"/>
          <w:color w:val="auto"/>
          <w:highlight w:val="none"/>
        </w:rPr>
        <w:t xml:space="preserve">方承担。 </w:t>
      </w:r>
      <w:r>
        <w:rPr>
          <w:rFonts w:ascii="宋体" w:hAnsi="宋体" w:eastAsia="宋体"/>
          <w:color w:val="auto"/>
          <w:spacing w:val="-6"/>
          <w:highlight w:val="none"/>
        </w:rPr>
        <w:t>委托期限：</w:t>
      </w:r>
      <w:r>
        <w:rPr>
          <w:rFonts w:ascii="宋体" w:hAnsi="宋体" w:eastAsia="宋体"/>
          <w:color w:val="auto"/>
          <w:spacing w:val="-6"/>
          <w:highlight w:val="none"/>
          <w:u w:val="single"/>
        </w:rPr>
        <w:t xml:space="preserve">  </w:t>
      </w:r>
      <w:r>
        <w:rPr>
          <w:rFonts w:ascii="宋体" w:hAnsi="宋体" w:eastAsia="宋体"/>
          <w:color w:val="auto"/>
          <w:spacing w:val="-5"/>
          <w:highlight w:val="none"/>
          <w:u w:val="single"/>
        </w:rPr>
        <w:t xml:space="preserve"> </w:t>
      </w:r>
      <w:r>
        <w:rPr>
          <w:rFonts w:ascii="宋体" w:hAnsi="宋体" w:eastAsia="宋体"/>
          <w:color w:val="auto"/>
          <w:spacing w:val="-3"/>
          <w:highlight w:val="none"/>
          <w:u w:val="single"/>
        </w:rPr>
        <w:t xml:space="preserve">                     </w:t>
      </w:r>
      <w:r>
        <w:rPr>
          <w:rFonts w:ascii="宋体" w:hAnsi="宋体" w:eastAsia="宋体"/>
          <w:color w:val="auto"/>
          <w:spacing w:val="-3"/>
          <w:highlight w:val="none"/>
        </w:rPr>
        <w:t>。</w:t>
      </w:r>
    </w:p>
    <w:p w14:paraId="069AAFF0">
      <w:pPr>
        <w:spacing w:line="216" w:lineRule="auto"/>
        <w:ind w:left="420"/>
        <w:rPr>
          <w:rFonts w:hint="eastAsia" w:ascii="宋体" w:hAnsi="宋体" w:eastAsia="宋体"/>
          <w:color w:val="auto"/>
          <w:spacing w:val="-6"/>
          <w:highlight w:val="none"/>
        </w:rPr>
      </w:pPr>
      <w:r>
        <w:rPr>
          <w:rFonts w:ascii="宋体" w:hAnsi="宋体" w:eastAsia="宋体"/>
          <w:color w:val="auto"/>
          <w:spacing w:val="-6"/>
          <w:highlight w:val="none"/>
        </w:rPr>
        <w:t>代理</w:t>
      </w:r>
      <w:r>
        <w:rPr>
          <w:rFonts w:ascii="宋体" w:hAnsi="宋体" w:eastAsia="宋体"/>
          <w:color w:val="auto"/>
          <w:spacing w:val="-3"/>
          <w:highlight w:val="none"/>
        </w:rPr>
        <w:t>人无转委托权。</w:t>
      </w:r>
      <w:r>
        <w:rPr>
          <w:rFonts w:hint="eastAsia"/>
          <w:color w:val="auto"/>
          <w:highlight w:val="none"/>
        </w:rPr>
        <w:t>代理人为投标人正式职工</w:t>
      </w:r>
      <w:r>
        <w:rPr>
          <w:rFonts w:hint="eastAsia" w:eastAsia="宋体"/>
          <w:color w:val="auto"/>
          <w:highlight w:val="none"/>
        </w:rPr>
        <w:t>，</w:t>
      </w:r>
      <w:r>
        <w:rPr>
          <w:rFonts w:hint="eastAsia"/>
          <w:color w:val="auto"/>
          <w:highlight w:val="none"/>
        </w:rPr>
        <w:t>必须具有离投标截止时间最近的至少1个月在本单位缴纳的社保证明文件。</w:t>
      </w:r>
    </w:p>
    <w:p w14:paraId="7A52F16F">
      <w:pPr>
        <w:spacing w:line="280" w:lineRule="auto"/>
        <w:rPr>
          <w:color w:val="auto"/>
          <w:highlight w:val="none"/>
        </w:rPr>
      </w:pPr>
    </w:p>
    <w:p w14:paraId="7BA78183">
      <w:pPr>
        <w:spacing w:line="281" w:lineRule="auto"/>
        <w:rPr>
          <w:color w:val="auto"/>
          <w:highlight w:val="none"/>
        </w:rPr>
      </w:pPr>
    </w:p>
    <w:p w14:paraId="6B9757E3">
      <w:pPr>
        <w:spacing w:line="280" w:lineRule="auto"/>
        <w:rPr>
          <w:color w:val="auto"/>
          <w:highlight w:val="none"/>
        </w:rPr>
      </w:pPr>
    </w:p>
    <w:p w14:paraId="2795861C">
      <w:pPr>
        <w:spacing w:before="69" w:line="220" w:lineRule="auto"/>
        <w:ind w:right="251"/>
        <w:jc w:val="right"/>
        <w:rPr>
          <w:rFonts w:hint="eastAsia" w:ascii="宋体" w:hAnsi="宋体" w:eastAsia="宋体"/>
          <w:color w:val="auto"/>
          <w:spacing w:val="-2"/>
          <w:highlight w:val="none"/>
        </w:rPr>
      </w:pPr>
      <w:r>
        <w:rPr>
          <w:rFonts w:ascii="宋体" w:hAnsi="宋体" w:eastAsia="宋体"/>
          <w:color w:val="auto"/>
          <w:spacing w:val="-2"/>
          <w:highlight w:val="none"/>
        </w:rPr>
        <w:t>投  标  人：</w:t>
      </w:r>
      <w:r>
        <w:rPr>
          <w:rFonts w:ascii="宋体" w:hAnsi="宋体" w:eastAsia="宋体"/>
          <w:color w:val="auto"/>
          <w:spacing w:val="-2"/>
          <w:highlight w:val="none"/>
          <w:u w:val="single"/>
        </w:rPr>
        <w:t xml:space="preserve">                                </w:t>
      </w:r>
      <w:r>
        <w:rPr>
          <w:rFonts w:ascii="宋体" w:hAnsi="宋体" w:eastAsia="宋体"/>
          <w:color w:val="auto"/>
          <w:spacing w:val="-2"/>
          <w:highlight w:val="none"/>
        </w:rPr>
        <w:t>(盖单位</w:t>
      </w:r>
      <w:r>
        <w:rPr>
          <w:rFonts w:ascii="宋体" w:hAnsi="宋体" w:eastAsia="宋体"/>
          <w:color w:val="auto"/>
          <w:spacing w:val="-1"/>
          <w:highlight w:val="none"/>
        </w:rPr>
        <w:t>章</w:t>
      </w:r>
      <w:r>
        <w:rPr>
          <w:rFonts w:ascii="宋体" w:hAnsi="宋体" w:eastAsia="宋体"/>
          <w:color w:val="auto"/>
          <w:highlight w:val="none"/>
        </w:rPr>
        <w:t>)</w:t>
      </w:r>
    </w:p>
    <w:p w14:paraId="14D78697">
      <w:pPr>
        <w:spacing w:line="278" w:lineRule="auto"/>
        <w:rPr>
          <w:color w:val="auto"/>
          <w:highlight w:val="none"/>
        </w:rPr>
      </w:pPr>
    </w:p>
    <w:p w14:paraId="478DF001">
      <w:pPr>
        <w:spacing w:line="279" w:lineRule="auto"/>
        <w:rPr>
          <w:color w:val="auto"/>
          <w:highlight w:val="none"/>
        </w:rPr>
      </w:pPr>
    </w:p>
    <w:p w14:paraId="245A292D">
      <w:pPr>
        <w:spacing w:before="70" w:line="219" w:lineRule="auto"/>
        <w:ind w:left="2692"/>
        <w:rPr>
          <w:rFonts w:hint="eastAsia" w:ascii="宋体" w:hAnsi="宋体" w:eastAsia="宋体"/>
          <w:color w:val="auto"/>
          <w:spacing w:val="-4"/>
          <w:highlight w:val="none"/>
        </w:rPr>
      </w:pPr>
      <w:r>
        <w:rPr>
          <w:rFonts w:ascii="宋体" w:hAnsi="宋体" w:eastAsia="宋体"/>
          <w:color w:val="auto"/>
          <w:spacing w:val="-4"/>
          <w:highlight w:val="none"/>
        </w:rPr>
        <w:t>法定代表人：</w:t>
      </w:r>
      <w:r>
        <w:rPr>
          <w:rFonts w:ascii="宋体" w:hAnsi="宋体" w:eastAsia="宋体"/>
          <w:color w:val="auto"/>
          <w:spacing w:val="-4"/>
          <w:highlight w:val="none"/>
          <w:u w:val="single"/>
        </w:rPr>
        <w:t xml:space="preserve">  </w:t>
      </w:r>
      <w:r>
        <w:rPr>
          <w:rFonts w:ascii="宋体" w:hAnsi="宋体" w:eastAsia="宋体"/>
          <w:color w:val="auto"/>
          <w:spacing w:val="-2"/>
          <w:highlight w:val="none"/>
          <w:u w:val="single"/>
        </w:rPr>
        <w:t xml:space="preserve">                      </w:t>
      </w:r>
      <w:r>
        <w:rPr>
          <w:rFonts w:ascii="宋体" w:hAnsi="宋体" w:eastAsia="宋体"/>
          <w:color w:val="auto"/>
          <w:spacing w:val="-2"/>
          <w:highlight w:val="none"/>
        </w:rPr>
        <w:t>(签字</w:t>
      </w:r>
      <w:r>
        <w:rPr>
          <w:rFonts w:hint="eastAsia" w:ascii="宋体" w:hAnsi="宋体" w:eastAsia="宋体"/>
          <w:color w:val="auto"/>
          <w:spacing w:val="-2"/>
          <w:highlight w:val="none"/>
        </w:rPr>
        <w:t>或盖章</w:t>
      </w:r>
      <w:r>
        <w:rPr>
          <w:rFonts w:ascii="宋体" w:hAnsi="宋体" w:eastAsia="宋体"/>
          <w:color w:val="auto"/>
          <w:spacing w:val="-2"/>
          <w:highlight w:val="none"/>
        </w:rPr>
        <w:t>)</w:t>
      </w:r>
    </w:p>
    <w:p w14:paraId="1BBED6BD">
      <w:pPr>
        <w:spacing w:line="280" w:lineRule="auto"/>
        <w:rPr>
          <w:color w:val="auto"/>
          <w:highlight w:val="none"/>
        </w:rPr>
      </w:pPr>
    </w:p>
    <w:p w14:paraId="018853CC">
      <w:pPr>
        <w:spacing w:line="280" w:lineRule="auto"/>
        <w:rPr>
          <w:color w:val="auto"/>
          <w:highlight w:val="none"/>
        </w:rPr>
      </w:pPr>
    </w:p>
    <w:p w14:paraId="2C5C0B3C">
      <w:pPr>
        <w:spacing w:before="68" w:line="220" w:lineRule="auto"/>
        <w:ind w:left="2698"/>
        <w:rPr>
          <w:rFonts w:hint="eastAsia" w:ascii="宋体" w:hAnsi="宋体" w:eastAsia="宋体"/>
          <w:color w:val="auto"/>
          <w:spacing w:val="-28"/>
          <w:highlight w:val="none"/>
        </w:rPr>
      </w:pPr>
      <w:r>
        <w:rPr>
          <w:rFonts w:ascii="宋体" w:hAnsi="宋体" w:eastAsia="宋体"/>
          <w:color w:val="auto"/>
          <w:spacing w:val="-28"/>
          <w:highlight w:val="none"/>
        </w:rPr>
        <w:t>身份证号码：</w:t>
      </w:r>
      <w:r>
        <w:rPr>
          <w:rFonts w:ascii="宋体" w:hAnsi="宋体" w:eastAsia="宋体"/>
          <w:color w:val="auto"/>
          <w:highlight w:val="none"/>
          <w:u w:val="single"/>
        </w:rPr>
        <w:t xml:space="preserve">                                           </w:t>
      </w:r>
    </w:p>
    <w:p w14:paraId="7B1BE54C">
      <w:pPr>
        <w:spacing w:line="278" w:lineRule="auto"/>
        <w:rPr>
          <w:color w:val="auto"/>
          <w:highlight w:val="none"/>
        </w:rPr>
      </w:pPr>
    </w:p>
    <w:p w14:paraId="0E7A66F3">
      <w:pPr>
        <w:spacing w:line="278" w:lineRule="auto"/>
        <w:rPr>
          <w:color w:val="auto"/>
          <w:highlight w:val="none"/>
        </w:rPr>
      </w:pPr>
    </w:p>
    <w:p w14:paraId="6F97C858">
      <w:pPr>
        <w:spacing w:before="70" w:line="217" w:lineRule="auto"/>
        <w:ind w:right="249"/>
        <w:jc w:val="right"/>
        <w:rPr>
          <w:rFonts w:hint="eastAsia" w:ascii="宋体" w:hAnsi="宋体" w:eastAsia="宋体"/>
          <w:color w:val="auto"/>
          <w:spacing w:val="-2"/>
          <w:highlight w:val="none"/>
        </w:rPr>
      </w:pPr>
      <w:r>
        <w:rPr>
          <w:rFonts w:ascii="宋体" w:hAnsi="宋体" w:eastAsia="宋体"/>
          <w:color w:val="auto"/>
          <w:spacing w:val="-2"/>
          <w:highlight w:val="none"/>
        </w:rPr>
        <w:t>委托代理人：</w:t>
      </w:r>
      <w:r>
        <w:rPr>
          <w:rFonts w:ascii="宋体" w:hAnsi="宋体" w:eastAsia="宋体"/>
          <w:color w:val="auto"/>
          <w:spacing w:val="-2"/>
          <w:highlight w:val="none"/>
          <w:u w:val="single"/>
        </w:rPr>
        <w:t xml:space="preserve">                                    </w:t>
      </w:r>
      <w:r>
        <w:rPr>
          <w:rFonts w:ascii="宋体" w:hAnsi="宋体" w:eastAsia="宋体"/>
          <w:color w:val="auto"/>
          <w:highlight w:val="none"/>
        </w:rPr>
        <w:t>(签字)</w:t>
      </w:r>
    </w:p>
    <w:p w14:paraId="08DC3E88">
      <w:pPr>
        <w:spacing w:line="280" w:lineRule="auto"/>
        <w:rPr>
          <w:color w:val="auto"/>
          <w:highlight w:val="none"/>
        </w:rPr>
      </w:pPr>
    </w:p>
    <w:p w14:paraId="48403470">
      <w:pPr>
        <w:spacing w:line="281" w:lineRule="auto"/>
        <w:rPr>
          <w:color w:val="auto"/>
          <w:highlight w:val="none"/>
        </w:rPr>
      </w:pPr>
    </w:p>
    <w:p w14:paraId="1282D6EB">
      <w:pPr>
        <w:spacing w:before="69" w:line="220" w:lineRule="auto"/>
        <w:ind w:left="2698"/>
        <w:rPr>
          <w:rFonts w:hint="eastAsia" w:ascii="宋体" w:hAnsi="宋体" w:eastAsia="宋体"/>
          <w:color w:val="auto"/>
          <w:spacing w:val="-28"/>
          <w:highlight w:val="none"/>
        </w:rPr>
      </w:pPr>
      <w:r>
        <w:rPr>
          <w:rFonts w:ascii="宋体" w:hAnsi="宋体" w:eastAsia="宋体"/>
          <w:color w:val="auto"/>
          <w:spacing w:val="-28"/>
          <w:highlight w:val="none"/>
        </w:rPr>
        <w:t>身份证号码：</w:t>
      </w:r>
      <w:r>
        <w:rPr>
          <w:rFonts w:ascii="宋体" w:hAnsi="宋体" w:eastAsia="宋体"/>
          <w:color w:val="auto"/>
          <w:highlight w:val="none"/>
          <w:u w:val="single"/>
        </w:rPr>
        <w:t xml:space="preserve">                                           </w:t>
      </w:r>
    </w:p>
    <w:p w14:paraId="26A03069">
      <w:pPr>
        <w:spacing w:line="248" w:lineRule="auto"/>
        <w:rPr>
          <w:color w:val="auto"/>
          <w:highlight w:val="none"/>
        </w:rPr>
      </w:pPr>
    </w:p>
    <w:p w14:paraId="4C59E934">
      <w:pPr>
        <w:spacing w:line="249" w:lineRule="auto"/>
        <w:rPr>
          <w:color w:val="auto"/>
          <w:highlight w:val="none"/>
        </w:rPr>
      </w:pPr>
    </w:p>
    <w:p w14:paraId="22ADBE6B">
      <w:pPr>
        <w:spacing w:line="249" w:lineRule="auto"/>
        <w:rPr>
          <w:color w:val="auto"/>
          <w:highlight w:val="none"/>
        </w:rPr>
      </w:pPr>
    </w:p>
    <w:p w14:paraId="2C6906FC">
      <w:pPr>
        <w:spacing w:line="249" w:lineRule="auto"/>
        <w:rPr>
          <w:color w:val="auto"/>
          <w:highlight w:val="none"/>
        </w:rPr>
      </w:pPr>
    </w:p>
    <w:p w14:paraId="5106B521">
      <w:pPr>
        <w:tabs>
          <w:tab w:val="left" w:pos="6540"/>
        </w:tabs>
        <w:spacing w:before="68" w:line="220" w:lineRule="auto"/>
        <w:ind w:left="5797"/>
        <w:rPr>
          <w:rFonts w:hint="eastAsia" w:ascii="宋体" w:hAnsi="宋体" w:eastAsia="宋体"/>
          <w:color w:val="auto"/>
          <w:highlight w:val="none"/>
          <w:u w:val="single"/>
        </w:rPr>
      </w:pPr>
      <w:r>
        <w:rPr>
          <w:rFonts w:ascii="宋体" w:hAnsi="宋体" w:eastAsia="宋体"/>
          <w:color w:val="auto"/>
          <w:highlight w:val="none"/>
          <w:u w:val="single"/>
        </w:rPr>
        <w:tab/>
      </w:r>
      <w:r>
        <w:rPr>
          <w:rFonts w:ascii="宋体" w:hAnsi="宋体" w:eastAsia="宋体"/>
          <w:color w:val="auto"/>
          <w:spacing w:val="-1"/>
          <w:highlight w:val="none"/>
        </w:rPr>
        <w:t>年</w:t>
      </w:r>
      <w:r>
        <w:rPr>
          <w:rFonts w:ascii="宋体" w:hAnsi="宋体" w:eastAsia="宋体"/>
          <w:color w:val="auto"/>
          <w:spacing w:val="-1"/>
          <w:highlight w:val="none"/>
          <w:u w:val="single"/>
        </w:rPr>
        <w:t xml:space="preserve">       </w:t>
      </w:r>
      <w:r>
        <w:rPr>
          <w:rFonts w:ascii="宋体" w:hAnsi="宋体" w:eastAsia="宋体"/>
          <w:color w:val="auto"/>
          <w:spacing w:val="-1"/>
          <w:highlight w:val="none"/>
        </w:rPr>
        <w:t>月</w:t>
      </w:r>
      <w:r>
        <w:rPr>
          <w:rFonts w:ascii="宋体" w:hAnsi="宋体" w:eastAsia="宋体"/>
          <w:color w:val="auto"/>
          <w:highlight w:val="none"/>
          <w:u w:val="single"/>
        </w:rPr>
        <w:t xml:space="preserve">       </w:t>
      </w:r>
      <w:r>
        <w:rPr>
          <w:rFonts w:ascii="宋体" w:hAnsi="宋体" w:eastAsia="宋体"/>
          <w:color w:val="auto"/>
          <w:highlight w:val="none"/>
        </w:rPr>
        <w:t>日</w:t>
      </w:r>
    </w:p>
    <w:p w14:paraId="125BDBBA">
      <w:pPr>
        <w:rPr>
          <w:color w:val="auto"/>
          <w:highlight w:val="none"/>
        </w:rPr>
      </w:pPr>
    </w:p>
    <w:p w14:paraId="02646892">
      <w:pPr>
        <w:spacing w:before="68" w:line="217" w:lineRule="auto"/>
        <w:ind w:left="17"/>
        <w:rPr>
          <w:rFonts w:hint="eastAsia" w:ascii="宋体" w:hAnsi="宋体" w:eastAsia="宋体"/>
          <w:color w:val="auto"/>
          <w:spacing w:val="-1"/>
          <w:highlight w:val="none"/>
        </w:rPr>
      </w:pPr>
    </w:p>
    <w:p w14:paraId="778288E0">
      <w:pPr>
        <w:spacing w:before="68" w:line="217" w:lineRule="auto"/>
        <w:ind w:left="17"/>
        <w:rPr>
          <w:rFonts w:hint="eastAsia" w:ascii="宋体" w:hAnsi="宋体" w:eastAsia="宋体"/>
          <w:color w:val="auto"/>
          <w:spacing w:val="-1"/>
          <w:highlight w:val="none"/>
        </w:rPr>
      </w:pPr>
      <w:r>
        <w:rPr>
          <w:rFonts w:ascii="宋体" w:hAnsi="宋体" w:eastAsia="宋体"/>
          <w:color w:val="auto"/>
          <w:spacing w:val="-1"/>
          <w:highlight w:val="none"/>
        </w:rPr>
        <w:t>附：</w:t>
      </w:r>
      <w:r>
        <w:rPr>
          <w:rFonts w:hint="eastAsia"/>
          <w:color w:val="auto"/>
          <w:highlight w:val="none"/>
        </w:rPr>
        <w:t>委托代理人身份证正反面和社保证明扫描件</w:t>
      </w:r>
      <w:r>
        <w:rPr>
          <w:rFonts w:hint="eastAsia" w:eastAsia="宋体"/>
          <w:color w:val="auto"/>
          <w:highlight w:val="none"/>
        </w:rPr>
        <w:t>。</w:t>
      </w:r>
    </w:p>
    <w:p w14:paraId="58946B34">
      <w:pPr>
        <w:rPr>
          <w:color w:val="auto"/>
          <w:highlight w:val="none"/>
        </w:rPr>
        <w:sectPr>
          <w:footerReference r:id="rId23" w:type="default"/>
          <w:pgSz w:w="12240" w:h="15840"/>
          <w:pgMar w:top="1346" w:right="1800" w:bottom="1104" w:left="1807" w:header="0" w:footer="940" w:gutter="0"/>
          <w:cols w:space="720" w:num="1"/>
        </w:sectPr>
      </w:pPr>
    </w:p>
    <w:p w14:paraId="32CE72CD">
      <w:pPr>
        <w:pStyle w:val="26"/>
        <w:spacing w:before="120" w:after="120"/>
        <w:jc w:val="center"/>
        <w:outlineLvl w:val="9"/>
        <w:rPr>
          <w:rFonts w:hint="eastAsia" w:ascii="黑体" w:hAnsi="黑体" w:eastAsia="黑体"/>
          <w:color w:val="auto"/>
          <w:spacing w:val="9"/>
          <w:sz w:val="31"/>
          <w:szCs w:val="31"/>
          <w:highlight w:val="none"/>
        </w:rPr>
      </w:pPr>
      <w:bookmarkStart w:id="383" w:name="_Toc23897"/>
      <w:bookmarkStart w:id="384" w:name="_Toc29507"/>
      <w:bookmarkStart w:id="385" w:name="_Toc11767"/>
      <w:bookmarkStart w:id="386" w:name="_Toc27563"/>
      <w:bookmarkStart w:id="387" w:name="_Toc23163"/>
      <w:r>
        <w:rPr>
          <w:rFonts w:ascii="黑体" w:hAnsi="黑体" w:eastAsia="黑体"/>
          <w:color w:val="auto"/>
          <w:spacing w:val="9"/>
          <w:sz w:val="31"/>
          <w:szCs w:val="31"/>
          <w:highlight w:val="none"/>
        </w:rPr>
        <w:t>三、联合体协议</w:t>
      </w:r>
      <w:r>
        <w:rPr>
          <w:rFonts w:ascii="黑体" w:hAnsi="黑体" w:eastAsia="黑体"/>
          <w:color w:val="auto"/>
          <w:spacing w:val="8"/>
          <w:sz w:val="31"/>
          <w:szCs w:val="31"/>
          <w:highlight w:val="none"/>
        </w:rPr>
        <w:t>书</w:t>
      </w:r>
      <w:bookmarkEnd w:id="383"/>
      <w:bookmarkEnd w:id="384"/>
      <w:bookmarkEnd w:id="385"/>
      <w:bookmarkEnd w:id="386"/>
      <w:bookmarkEnd w:id="387"/>
    </w:p>
    <w:p w14:paraId="33A9D5DF">
      <w:pPr>
        <w:spacing w:line="320" w:lineRule="auto"/>
        <w:rPr>
          <w:color w:val="auto"/>
          <w:highlight w:val="none"/>
        </w:rPr>
      </w:pPr>
    </w:p>
    <w:p w14:paraId="33A6F387">
      <w:pPr>
        <w:tabs>
          <w:tab w:val="left" w:pos="2210"/>
        </w:tabs>
        <w:spacing w:line="360" w:lineRule="auto"/>
        <w:ind w:left="1" w:right="29" w:firstLine="410"/>
        <w:rPr>
          <w:rFonts w:hint="eastAsia" w:ascii="宋体" w:hAnsi="宋体" w:eastAsia="宋体"/>
          <w:color w:val="auto"/>
          <w:highlight w:val="none"/>
          <w:u w:val="single"/>
        </w:rPr>
      </w:pPr>
      <w:r>
        <w:rPr>
          <w:rFonts w:hint="eastAsia" w:ascii="宋体" w:hAnsi="宋体" w:eastAsia="宋体"/>
          <w:color w:val="auto"/>
          <w:highlight w:val="none"/>
          <w:u w:val="single"/>
        </w:rPr>
        <w:tab/>
      </w:r>
      <w:r>
        <w:rPr>
          <w:rFonts w:hint="eastAsia" w:ascii="宋体" w:hAnsi="宋体" w:eastAsia="宋体"/>
          <w:color w:val="auto"/>
          <w:spacing w:val="-1"/>
          <w:highlight w:val="none"/>
        </w:rPr>
        <w:t>(所有成员</w:t>
      </w:r>
      <w:r>
        <w:rPr>
          <w:rFonts w:hint="eastAsia" w:ascii="宋体" w:hAnsi="宋体" w:eastAsia="宋体"/>
          <w:color w:val="auto"/>
          <w:highlight w:val="none"/>
        </w:rPr>
        <w:t>单位名称) 自愿组成</w:t>
      </w:r>
      <w:r>
        <w:rPr>
          <w:rFonts w:hint="eastAsia" w:ascii="宋体" w:hAnsi="宋体" w:eastAsia="宋体"/>
          <w:color w:val="auto"/>
          <w:highlight w:val="none"/>
          <w:u w:val="single"/>
        </w:rPr>
        <w:t xml:space="preserve">         </w:t>
      </w:r>
      <w:r>
        <w:rPr>
          <w:rFonts w:hint="eastAsia" w:ascii="宋体" w:hAnsi="宋体" w:eastAsia="宋体"/>
          <w:color w:val="auto"/>
          <w:highlight w:val="none"/>
        </w:rPr>
        <w:t>(联合体名称) 联合体，共同</w:t>
      </w:r>
      <w:r>
        <w:rPr>
          <w:rFonts w:hint="eastAsia" w:ascii="宋体" w:hAnsi="宋体" w:eastAsia="宋体"/>
          <w:color w:val="auto"/>
          <w:spacing w:val="6"/>
          <w:highlight w:val="none"/>
        </w:rPr>
        <w:t>参加</w:t>
      </w:r>
      <w:r>
        <w:rPr>
          <w:rFonts w:hint="eastAsia" w:ascii="宋体" w:hAnsi="宋体" w:eastAsia="宋体"/>
          <w:color w:val="auto"/>
          <w:spacing w:val="6"/>
          <w:highlight w:val="none"/>
          <w:u w:val="single"/>
        </w:rPr>
        <w:t xml:space="preserve">    </w:t>
      </w:r>
      <w:r>
        <w:rPr>
          <w:rFonts w:hint="eastAsia" w:ascii="宋体" w:hAnsi="宋体" w:eastAsia="宋体"/>
          <w:color w:val="auto"/>
          <w:spacing w:val="4"/>
          <w:highlight w:val="none"/>
          <w:u w:val="single"/>
        </w:rPr>
        <w:t xml:space="preserve"> </w:t>
      </w:r>
      <w:r>
        <w:rPr>
          <w:rFonts w:hint="eastAsia" w:ascii="宋体" w:hAnsi="宋体" w:eastAsia="宋体"/>
          <w:color w:val="auto"/>
          <w:spacing w:val="3"/>
          <w:highlight w:val="none"/>
          <w:u w:val="single"/>
        </w:rPr>
        <w:t xml:space="preserve">           </w:t>
      </w:r>
      <w:r>
        <w:rPr>
          <w:rFonts w:hint="eastAsia" w:ascii="宋体" w:hAnsi="宋体" w:eastAsia="宋体"/>
          <w:color w:val="auto"/>
          <w:spacing w:val="3"/>
          <w:highlight w:val="none"/>
        </w:rPr>
        <w:t xml:space="preserve"> (项目名称)招标项目投标。现就联合体投标事宜订立如下协议。</w:t>
      </w:r>
    </w:p>
    <w:p w14:paraId="6DFF1263">
      <w:pPr>
        <w:spacing w:line="360" w:lineRule="auto"/>
        <w:ind w:left="436"/>
        <w:rPr>
          <w:rFonts w:hint="eastAsia" w:ascii="宋体" w:hAnsi="宋体" w:eastAsia="宋体"/>
          <w:color w:val="auto"/>
          <w:spacing w:val="4"/>
          <w:highlight w:val="none"/>
        </w:rPr>
      </w:pPr>
      <w:r>
        <w:rPr>
          <w:rFonts w:hint="eastAsia" w:ascii="宋体" w:hAnsi="宋体" w:eastAsia="宋体"/>
          <w:color w:val="auto"/>
          <w:spacing w:val="4"/>
          <w:highlight w:val="none"/>
        </w:rPr>
        <w:t>1.</w:t>
      </w:r>
      <w:r>
        <w:rPr>
          <w:rFonts w:hint="eastAsia" w:ascii="宋体" w:hAnsi="宋体" w:eastAsia="宋体"/>
          <w:color w:val="auto"/>
          <w:spacing w:val="4"/>
          <w:highlight w:val="none"/>
          <w:u w:val="single"/>
        </w:rPr>
        <w:t xml:space="preserve">   </w:t>
      </w:r>
      <w:r>
        <w:rPr>
          <w:rFonts w:hint="eastAsia" w:ascii="宋体" w:hAnsi="宋体" w:eastAsia="宋体"/>
          <w:color w:val="auto"/>
          <w:spacing w:val="2"/>
          <w:highlight w:val="none"/>
          <w:u w:val="single"/>
        </w:rPr>
        <w:t xml:space="preserve">                                     </w:t>
      </w:r>
      <w:r>
        <w:rPr>
          <w:rFonts w:hint="eastAsia" w:ascii="宋体" w:hAnsi="宋体" w:eastAsia="宋体"/>
          <w:color w:val="auto"/>
          <w:spacing w:val="2"/>
          <w:highlight w:val="none"/>
        </w:rPr>
        <w:t>(某成员单位名称)为</w:t>
      </w:r>
      <w:r>
        <w:rPr>
          <w:rFonts w:hint="eastAsia" w:ascii="宋体" w:hAnsi="宋体" w:eastAsia="宋体"/>
          <w:color w:val="auto"/>
          <w:spacing w:val="2"/>
          <w:highlight w:val="none"/>
          <w:u w:val="single"/>
        </w:rPr>
        <w:t xml:space="preserve">         </w:t>
      </w:r>
      <w:r>
        <w:rPr>
          <w:rFonts w:hint="eastAsia" w:ascii="宋体" w:hAnsi="宋体" w:eastAsia="宋体"/>
          <w:color w:val="auto"/>
          <w:spacing w:val="2"/>
          <w:highlight w:val="none"/>
        </w:rPr>
        <w:t>(联合体名称)主办方。</w:t>
      </w:r>
    </w:p>
    <w:p w14:paraId="40EAC2DF">
      <w:pPr>
        <w:spacing w:line="360" w:lineRule="auto"/>
        <w:ind w:firstLine="416"/>
        <w:rPr>
          <w:rFonts w:hint="eastAsia" w:ascii="宋体" w:hAnsi="宋体" w:eastAsia="宋体"/>
          <w:color w:val="auto"/>
          <w:spacing w:val="-10"/>
          <w:highlight w:val="none"/>
        </w:rPr>
      </w:pPr>
      <w:r>
        <w:rPr>
          <w:rFonts w:hint="eastAsia" w:ascii="宋体" w:hAnsi="宋体" w:eastAsia="宋体"/>
          <w:color w:val="auto"/>
          <w:spacing w:val="-10"/>
          <w:highlight w:val="none"/>
        </w:rPr>
        <w:t>2</w:t>
      </w:r>
      <w:r>
        <w:rPr>
          <w:rFonts w:hint="eastAsia" w:ascii="宋体" w:hAnsi="宋体" w:eastAsia="宋体"/>
          <w:color w:val="auto"/>
          <w:spacing w:val="-6"/>
          <w:highlight w:val="none"/>
        </w:rPr>
        <w:t>.联合体各成员授权主办方代表联合体参加投标活动，签署文件，提交和接收相关的资料、</w:t>
      </w:r>
      <w:r>
        <w:rPr>
          <w:rFonts w:hint="eastAsia" w:ascii="宋体" w:hAnsi="宋体" w:eastAsia="宋体"/>
          <w:color w:val="auto"/>
          <w:highlight w:val="none"/>
        </w:rPr>
        <w:t xml:space="preserve"> </w:t>
      </w:r>
      <w:r>
        <w:rPr>
          <w:rFonts w:hint="eastAsia" w:ascii="宋体" w:hAnsi="宋体" w:eastAsia="宋体"/>
          <w:color w:val="auto"/>
          <w:spacing w:val="-8"/>
          <w:highlight w:val="none"/>
        </w:rPr>
        <w:t>信息及指示</w:t>
      </w:r>
      <w:r>
        <w:rPr>
          <w:rFonts w:hint="eastAsia" w:ascii="宋体" w:hAnsi="宋体" w:eastAsia="宋体"/>
          <w:color w:val="auto"/>
          <w:spacing w:val="-7"/>
          <w:highlight w:val="none"/>
        </w:rPr>
        <w:t>，</w:t>
      </w:r>
      <w:r>
        <w:rPr>
          <w:rFonts w:hint="eastAsia" w:ascii="宋体" w:hAnsi="宋体" w:eastAsia="宋体"/>
          <w:color w:val="auto"/>
          <w:spacing w:val="-4"/>
          <w:highlight w:val="none"/>
        </w:rPr>
        <w:t>进行合同谈判活动，负责合同实施阶段的组织和协调工作，以及处理与本招标项</w:t>
      </w:r>
      <w:r>
        <w:rPr>
          <w:rFonts w:hint="eastAsia" w:ascii="宋体" w:hAnsi="宋体" w:eastAsia="宋体"/>
          <w:color w:val="auto"/>
          <w:highlight w:val="none"/>
        </w:rPr>
        <w:t xml:space="preserve"> </w:t>
      </w:r>
      <w:r>
        <w:rPr>
          <w:rFonts w:hint="eastAsia" w:ascii="宋体" w:hAnsi="宋体" w:eastAsia="宋体"/>
          <w:color w:val="auto"/>
          <w:spacing w:val="-6"/>
          <w:highlight w:val="none"/>
        </w:rPr>
        <w:t>目有</w:t>
      </w:r>
      <w:r>
        <w:rPr>
          <w:rFonts w:hint="eastAsia" w:ascii="宋体" w:hAnsi="宋体" w:eastAsia="宋体"/>
          <w:color w:val="auto"/>
          <w:spacing w:val="-4"/>
          <w:highlight w:val="none"/>
        </w:rPr>
        <w:t>关</w:t>
      </w:r>
      <w:r>
        <w:rPr>
          <w:rFonts w:hint="eastAsia" w:ascii="宋体" w:hAnsi="宋体" w:eastAsia="宋体"/>
          <w:color w:val="auto"/>
          <w:spacing w:val="-3"/>
          <w:highlight w:val="none"/>
        </w:rPr>
        <w:t>的一切事宜。</w:t>
      </w:r>
    </w:p>
    <w:p w14:paraId="664A8EE3">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3.联合体主办方在本项目中签署的一切文件和处理的一切事宜，联合体各成员均予以承 认。联合体各成员将严格按照招标文件、投标文件和合同的要求全面履行义务，并向招标人承担连带责任。</w:t>
      </w:r>
    </w:p>
    <w:p w14:paraId="5ED0FD04">
      <w:pPr>
        <w:spacing w:line="360" w:lineRule="auto"/>
        <w:ind w:right="70" w:firstLine="420"/>
        <w:rPr>
          <w:rFonts w:hint="eastAsia" w:ascii="宋体" w:hAnsi="宋体" w:eastAsia="宋体"/>
          <w:color w:val="auto"/>
          <w:spacing w:val="8"/>
          <w:highlight w:val="none"/>
        </w:rPr>
      </w:pPr>
      <w:r>
        <w:rPr>
          <w:rFonts w:hint="eastAsia" w:ascii="宋体" w:hAnsi="宋体" w:eastAsia="宋体"/>
          <w:color w:val="auto"/>
          <w:spacing w:val="8"/>
          <w:highlight w:val="none"/>
        </w:rPr>
        <w:t>4.</w:t>
      </w:r>
      <w:r>
        <w:rPr>
          <w:rFonts w:hint="eastAsia" w:ascii="宋体" w:hAnsi="宋体" w:eastAsia="宋体"/>
          <w:color w:val="auto"/>
          <w:spacing w:val="-4"/>
          <w:highlight w:val="none"/>
        </w:rPr>
        <w:t>联合体各成员单位内部的</w:t>
      </w:r>
      <w:r>
        <w:rPr>
          <w:rFonts w:hint="eastAsia" w:ascii="宋体" w:hAnsi="宋体" w:eastAsia="宋体"/>
          <w:color w:val="auto"/>
          <w:spacing w:val="-3"/>
          <w:highlight w:val="none"/>
        </w:rPr>
        <w:t>职</w:t>
      </w:r>
      <w:r>
        <w:rPr>
          <w:rFonts w:hint="eastAsia" w:ascii="宋体" w:hAnsi="宋体" w:eastAsia="宋体"/>
          <w:color w:val="auto"/>
          <w:spacing w:val="-2"/>
          <w:highlight w:val="none"/>
        </w:rPr>
        <w:t>责分工如下：</w:t>
      </w:r>
      <w:r>
        <w:rPr>
          <w:rFonts w:hint="eastAsia" w:ascii="宋体" w:hAnsi="宋体" w:eastAsia="宋体"/>
          <w:color w:val="auto"/>
          <w:spacing w:val="-2"/>
          <w:highlight w:val="none"/>
          <w:u w:val="single"/>
        </w:rPr>
        <w:t xml:space="preserve">                </w:t>
      </w:r>
      <w:r>
        <w:rPr>
          <w:rFonts w:hint="eastAsia" w:ascii="宋体" w:hAnsi="宋体" w:eastAsia="宋体"/>
          <w:color w:val="auto"/>
          <w:spacing w:val="8"/>
          <w:highlight w:val="none"/>
        </w:rPr>
        <w:t>。</w:t>
      </w:r>
    </w:p>
    <w:p w14:paraId="3EFF5046">
      <w:pPr>
        <w:spacing w:line="360" w:lineRule="auto"/>
        <w:ind w:right="70" w:firstLine="420"/>
        <w:rPr>
          <w:rFonts w:hint="eastAsia" w:ascii="宋体" w:hAnsi="宋体" w:eastAsia="宋体"/>
          <w:color w:val="auto"/>
          <w:spacing w:val="-6"/>
          <w:highlight w:val="none"/>
        </w:rPr>
      </w:pPr>
      <w:r>
        <w:rPr>
          <w:rFonts w:hint="eastAsia" w:ascii="宋体" w:hAnsi="宋体" w:eastAsia="宋体"/>
          <w:color w:val="auto"/>
          <w:spacing w:val="-6"/>
          <w:highlight w:val="none"/>
        </w:rPr>
        <w:t>5.</w:t>
      </w:r>
      <w:r>
        <w:rPr>
          <w:rFonts w:hint="eastAsia" w:ascii="宋体" w:hAnsi="宋体" w:eastAsia="宋体"/>
          <w:color w:val="auto"/>
          <w:spacing w:val="-3"/>
          <w:highlight w:val="none"/>
        </w:rPr>
        <w:t>本协议书自所有成员单位法定代表人或其委托代理人签字或盖单位章之日起生效， 合同</w:t>
      </w:r>
      <w:r>
        <w:rPr>
          <w:rFonts w:hint="eastAsia" w:ascii="宋体" w:hAnsi="宋体" w:eastAsia="宋体"/>
          <w:color w:val="auto"/>
          <w:spacing w:val="-6"/>
          <w:highlight w:val="none"/>
        </w:rPr>
        <w:t>履行</w:t>
      </w:r>
      <w:r>
        <w:rPr>
          <w:rFonts w:hint="eastAsia" w:ascii="宋体" w:hAnsi="宋体" w:eastAsia="宋体"/>
          <w:color w:val="auto"/>
          <w:spacing w:val="-5"/>
          <w:highlight w:val="none"/>
        </w:rPr>
        <w:t>完</w:t>
      </w:r>
      <w:r>
        <w:rPr>
          <w:rFonts w:hint="eastAsia" w:ascii="宋体" w:hAnsi="宋体" w:eastAsia="宋体"/>
          <w:color w:val="auto"/>
          <w:spacing w:val="-3"/>
          <w:highlight w:val="none"/>
        </w:rPr>
        <w:t>毕后自动失效。</w:t>
      </w:r>
    </w:p>
    <w:p w14:paraId="2932EC61">
      <w:pPr>
        <w:spacing w:line="360" w:lineRule="auto"/>
        <w:ind w:right="70" w:firstLine="420"/>
        <w:rPr>
          <w:rFonts w:hint="eastAsia" w:ascii="宋体" w:hAnsi="宋体" w:eastAsia="宋体"/>
          <w:color w:val="auto"/>
          <w:spacing w:val="-6"/>
          <w:highlight w:val="none"/>
        </w:rPr>
      </w:pPr>
      <w:bookmarkStart w:id="388" w:name="_Toc14217"/>
      <w:bookmarkStart w:id="389" w:name="_Toc16142"/>
      <w:bookmarkStart w:id="390" w:name="_Toc21878"/>
      <w:bookmarkStart w:id="391" w:name="_Toc9934"/>
      <w:bookmarkStart w:id="392" w:name="_Toc29005"/>
      <w:bookmarkStart w:id="393" w:name="_Toc10851"/>
      <w:r>
        <w:rPr>
          <w:rFonts w:hint="eastAsia" w:ascii="宋体" w:hAnsi="宋体" w:eastAsia="宋体"/>
          <w:color w:val="auto"/>
          <w:spacing w:val="-6"/>
          <w:highlight w:val="none"/>
        </w:rPr>
        <w:t>6.本协议书一式</w:t>
      </w:r>
      <w:r>
        <w:rPr>
          <w:rFonts w:hint="eastAsia" w:ascii="宋体" w:hAnsi="宋体" w:eastAsia="宋体"/>
          <w:color w:val="auto"/>
          <w:spacing w:val="-6"/>
          <w:highlight w:val="none"/>
          <w:u w:val="single"/>
        </w:rPr>
        <w:t xml:space="preserve"> </w:t>
      </w:r>
      <w:r>
        <w:rPr>
          <w:rFonts w:ascii="宋体" w:hAnsi="宋体" w:eastAsia="宋体"/>
          <w:color w:val="auto"/>
          <w:spacing w:val="-6"/>
          <w:highlight w:val="none"/>
          <w:u w:val="single"/>
        </w:rPr>
        <w:t xml:space="preserve"> </w:t>
      </w:r>
      <w:r>
        <w:rPr>
          <w:rFonts w:hint="eastAsia" w:ascii="宋体" w:hAnsi="宋体" w:eastAsia="宋体"/>
          <w:color w:val="auto"/>
          <w:spacing w:val="-6"/>
          <w:highlight w:val="none"/>
          <w:u w:val="single"/>
          <w:lang w:val="en-US" w:eastAsia="zh-CN"/>
        </w:rPr>
        <w:t xml:space="preserve">  </w:t>
      </w:r>
      <w:r>
        <w:rPr>
          <w:rFonts w:hint="eastAsia" w:ascii="宋体" w:hAnsi="宋体" w:eastAsia="宋体"/>
          <w:color w:val="auto"/>
          <w:spacing w:val="-6"/>
          <w:highlight w:val="none"/>
          <w:u w:val="single"/>
        </w:rPr>
        <w:t xml:space="preserve"> </w:t>
      </w:r>
      <w:r>
        <w:rPr>
          <w:rFonts w:hint="eastAsia" w:ascii="宋体" w:hAnsi="宋体" w:eastAsia="宋体"/>
          <w:color w:val="auto"/>
          <w:spacing w:val="-6"/>
          <w:highlight w:val="none"/>
        </w:rPr>
        <w:t>份，联合体成员及招标人各执一份。</w:t>
      </w:r>
      <w:bookmarkEnd w:id="388"/>
      <w:bookmarkEnd w:id="389"/>
      <w:bookmarkEnd w:id="390"/>
      <w:bookmarkEnd w:id="391"/>
      <w:bookmarkEnd w:id="392"/>
      <w:bookmarkEnd w:id="393"/>
    </w:p>
    <w:p w14:paraId="34E316FE">
      <w:pPr>
        <w:spacing w:line="360" w:lineRule="auto"/>
        <w:rPr>
          <w:rFonts w:hint="eastAsia" w:ascii="宋体" w:hAnsi="宋体" w:eastAsia="宋体"/>
          <w:color w:val="auto"/>
          <w:highlight w:val="none"/>
        </w:rPr>
      </w:pPr>
    </w:p>
    <w:p w14:paraId="1EABCA29">
      <w:pPr>
        <w:spacing w:line="360" w:lineRule="auto"/>
        <w:ind w:right="327"/>
        <w:jc w:val="right"/>
        <w:rPr>
          <w:rFonts w:hint="eastAsia" w:ascii="宋体" w:hAnsi="宋体" w:eastAsia="宋体"/>
          <w:color w:val="auto"/>
          <w:highlight w:val="none"/>
        </w:rPr>
      </w:pPr>
      <w:r>
        <w:rPr>
          <w:rFonts w:hint="eastAsia" w:ascii="宋体" w:hAnsi="宋体" w:eastAsia="宋体"/>
          <w:color w:val="auto"/>
          <w:spacing w:val="-4"/>
          <w:highlight w:val="none"/>
        </w:rPr>
        <w:t>联合体主办方名称：</w:t>
      </w:r>
      <w:r>
        <w:rPr>
          <w:rFonts w:hint="eastAsia" w:ascii="宋体" w:hAnsi="宋体" w:eastAsia="宋体"/>
          <w:color w:val="auto"/>
          <w:spacing w:val="-4"/>
          <w:highlight w:val="none"/>
          <w:u w:val="single"/>
        </w:rPr>
        <w:t xml:space="preserve">        </w:t>
      </w:r>
      <w:r>
        <w:rPr>
          <w:rFonts w:hint="eastAsia" w:ascii="宋体" w:hAnsi="宋体" w:eastAsia="宋体"/>
          <w:color w:val="auto"/>
          <w:spacing w:val="-2"/>
          <w:highlight w:val="none"/>
          <w:u w:val="single"/>
        </w:rPr>
        <w:t xml:space="preserve">                     </w:t>
      </w:r>
      <w:r>
        <w:rPr>
          <w:rFonts w:hint="eastAsia" w:ascii="宋体" w:hAnsi="宋体" w:eastAsia="宋体"/>
          <w:color w:val="auto"/>
          <w:spacing w:val="-2"/>
          <w:highlight w:val="none"/>
        </w:rPr>
        <w:t>(盖单位章)</w:t>
      </w:r>
      <w:r>
        <w:rPr>
          <w:rFonts w:hint="eastAsia" w:ascii="宋体" w:hAnsi="宋体" w:eastAsia="宋体"/>
          <w:color w:val="auto"/>
          <w:highlight w:val="none"/>
        </w:rPr>
        <w:t xml:space="preserve"> </w:t>
      </w:r>
    </w:p>
    <w:p w14:paraId="560DCC44">
      <w:pPr>
        <w:spacing w:line="360" w:lineRule="auto"/>
        <w:ind w:right="327"/>
        <w:jc w:val="right"/>
        <w:rPr>
          <w:rFonts w:hint="eastAsia" w:ascii="宋体" w:hAnsi="宋体" w:eastAsia="宋体"/>
          <w:color w:val="auto"/>
          <w:spacing w:val="-4"/>
          <w:highlight w:val="none"/>
        </w:rPr>
      </w:pPr>
      <w:r>
        <w:rPr>
          <w:rFonts w:hint="eastAsia" w:ascii="宋体" w:hAnsi="宋体" w:eastAsia="宋体"/>
          <w:color w:val="auto"/>
          <w:spacing w:val="-4"/>
          <w:highlight w:val="none"/>
        </w:rPr>
        <w:t>法定代表人：</w:t>
      </w:r>
      <w:r>
        <w:rPr>
          <w:rFonts w:hint="eastAsia" w:ascii="宋体" w:hAnsi="宋体" w:eastAsia="宋体"/>
          <w:color w:val="auto"/>
          <w:spacing w:val="-4"/>
          <w:highlight w:val="none"/>
          <w:u w:val="single"/>
        </w:rPr>
        <w:t xml:space="preserve">                 </w:t>
      </w:r>
      <w:r>
        <w:rPr>
          <w:rFonts w:hint="eastAsia" w:ascii="宋体" w:hAnsi="宋体" w:eastAsia="宋体"/>
          <w:color w:val="auto"/>
          <w:spacing w:val="-4"/>
          <w:highlight w:val="none"/>
        </w:rPr>
        <w:t>(签字或盖章</w:t>
      </w:r>
      <w:r>
        <w:rPr>
          <w:rFonts w:hint="eastAsia" w:ascii="宋体" w:hAnsi="宋体" w:eastAsia="宋体"/>
          <w:color w:val="auto"/>
          <w:spacing w:val="-1"/>
          <w:highlight w:val="none"/>
        </w:rPr>
        <w:t>)</w:t>
      </w:r>
    </w:p>
    <w:p w14:paraId="0424E67A">
      <w:pPr>
        <w:spacing w:line="360" w:lineRule="auto"/>
        <w:jc w:val="right"/>
        <w:rPr>
          <w:rFonts w:hint="eastAsia" w:ascii="宋体" w:hAnsi="宋体" w:eastAsia="宋体"/>
          <w:color w:val="auto"/>
          <w:highlight w:val="none"/>
        </w:rPr>
      </w:pPr>
    </w:p>
    <w:p w14:paraId="6474CF5B">
      <w:pPr>
        <w:spacing w:line="360" w:lineRule="auto"/>
        <w:ind w:right="327"/>
        <w:jc w:val="right"/>
        <w:rPr>
          <w:rFonts w:hint="eastAsia" w:ascii="宋体" w:hAnsi="宋体" w:eastAsia="宋体"/>
          <w:color w:val="auto"/>
          <w:highlight w:val="none"/>
        </w:rPr>
      </w:pPr>
      <w:r>
        <w:rPr>
          <w:rFonts w:hint="eastAsia" w:ascii="宋体" w:hAnsi="宋体" w:eastAsia="宋体"/>
          <w:color w:val="auto"/>
          <w:spacing w:val="-4"/>
          <w:highlight w:val="none"/>
        </w:rPr>
        <w:t>联合体成员名称：</w:t>
      </w:r>
      <w:r>
        <w:rPr>
          <w:rFonts w:hint="eastAsia" w:ascii="宋体" w:hAnsi="宋体" w:eastAsia="宋体"/>
          <w:color w:val="auto"/>
          <w:spacing w:val="-4"/>
          <w:highlight w:val="none"/>
          <w:u w:val="single"/>
        </w:rPr>
        <w:t xml:space="preserve">        </w:t>
      </w:r>
      <w:r>
        <w:rPr>
          <w:rFonts w:hint="eastAsia" w:ascii="宋体" w:hAnsi="宋体" w:eastAsia="宋体"/>
          <w:color w:val="auto"/>
          <w:spacing w:val="-2"/>
          <w:highlight w:val="none"/>
          <w:u w:val="single"/>
        </w:rPr>
        <w:t xml:space="preserve">                       </w:t>
      </w:r>
      <w:r>
        <w:rPr>
          <w:rFonts w:hint="eastAsia" w:ascii="宋体" w:hAnsi="宋体" w:eastAsia="宋体"/>
          <w:color w:val="auto"/>
          <w:spacing w:val="-2"/>
          <w:highlight w:val="none"/>
        </w:rPr>
        <w:t>(盖单位章)</w:t>
      </w:r>
      <w:r>
        <w:rPr>
          <w:rFonts w:hint="eastAsia" w:ascii="宋体" w:hAnsi="宋体" w:eastAsia="宋体"/>
          <w:color w:val="auto"/>
          <w:highlight w:val="none"/>
        </w:rPr>
        <w:t xml:space="preserve"> </w:t>
      </w:r>
    </w:p>
    <w:p w14:paraId="453CFFAD">
      <w:pPr>
        <w:spacing w:line="360" w:lineRule="auto"/>
        <w:ind w:right="327"/>
        <w:jc w:val="right"/>
        <w:rPr>
          <w:rFonts w:hint="eastAsia" w:ascii="宋体" w:hAnsi="宋体" w:eastAsia="宋体"/>
          <w:color w:val="auto"/>
          <w:spacing w:val="-4"/>
          <w:highlight w:val="none"/>
        </w:rPr>
      </w:pPr>
      <w:r>
        <w:rPr>
          <w:rFonts w:hint="eastAsia" w:ascii="宋体" w:hAnsi="宋体" w:eastAsia="宋体"/>
          <w:color w:val="auto"/>
          <w:spacing w:val="-8"/>
          <w:highlight w:val="none"/>
        </w:rPr>
        <w:t>法定</w:t>
      </w:r>
      <w:r>
        <w:rPr>
          <w:rFonts w:hint="eastAsia" w:ascii="宋体" w:hAnsi="宋体" w:eastAsia="宋体"/>
          <w:color w:val="auto"/>
          <w:spacing w:val="-7"/>
          <w:highlight w:val="none"/>
        </w:rPr>
        <w:t>代</w:t>
      </w:r>
      <w:r>
        <w:rPr>
          <w:rFonts w:hint="eastAsia" w:ascii="宋体" w:hAnsi="宋体" w:eastAsia="宋体"/>
          <w:color w:val="auto"/>
          <w:spacing w:val="-4"/>
          <w:highlight w:val="none"/>
        </w:rPr>
        <w:t>表人：</w:t>
      </w:r>
      <w:r>
        <w:rPr>
          <w:rFonts w:hint="eastAsia" w:ascii="宋体" w:hAnsi="宋体" w:eastAsia="宋体"/>
          <w:color w:val="auto"/>
          <w:spacing w:val="-4"/>
          <w:highlight w:val="none"/>
          <w:u w:val="single"/>
        </w:rPr>
        <w:t xml:space="preserve">           </w:t>
      </w:r>
      <w:r>
        <w:rPr>
          <w:rFonts w:hint="eastAsia" w:ascii="宋体" w:hAnsi="宋体" w:eastAsia="宋体"/>
          <w:color w:val="auto"/>
          <w:spacing w:val="-4"/>
          <w:highlight w:val="none"/>
        </w:rPr>
        <w:t>(签字或盖章)</w:t>
      </w:r>
    </w:p>
    <w:p w14:paraId="3C132E90">
      <w:pPr>
        <w:spacing w:line="360" w:lineRule="auto"/>
        <w:rPr>
          <w:rFonts w:hint="eastAsia" w:ascii="宋体" w:hAnsi="宋体" w:eastAsia="宋体"/>
          <w:color w:val="auto"/>
          <w:highlight w:val="none"/>
        </w:rPr>
      </w:pPr>
    </w:p>
    <w:p w14:paraId="620F33B4">
      <w:pPr>
        <w:spacing w:line="360" w:lineRule="auto"/>
        <w:rPr>
          <w:rFonts w:hint="eastAsia" w:ascii="宋体" w:hAnsi="宋体" w:eastAsia="宋体"/>
          <w:color w:val="auto"/>
          <w:highlight w:val="none"/>
        </w:rPr>
      </w:pPr>
    </w:p>
    <w:p w14:paraId="060E1D48">
      <w:pPr>
        <w:tabs>
          <w:tab w:val="left" w:pos="4407"/>
        </w:tabs>
        <w:spacing w:line="360" w:lineRule="auto"/>
        <w:ind w:left="3663"/>
        <w:rPr>
          <w:rFonts w:hint="eastAsia" w:ascii="宋体" w:hAnsi="宋体" w:eastAsia="宋体"/>
          <w:color w:val="auto"/>
          <w:highlight w:val="none"/>
          <w:u w:val="single"/>
        </w:rPr>
      </w:pPr>
      <w:r>
        <w:rPr>
          <w:rFonts w:hint="eastAsia" w:ascii="宋体" w:hAnsi="宋体" w:eastAsia="宋体"/>
          <w:color w:val="auto"/>
          <w:highlight w:val="none"/>
          <w:u w:val="single"/>
        </w:rPr>
        <w:tab/>
      </w:r>
      <w:r>
        <w:rPr>
          <w:rFonts w:hint="eastAsia" w:ascii="宋体" w:hAnsi="宋体" w:eastAsia="宋体"/>
          <w:color w:val="auto"/>
          <w:spacing w:val="3"/>
          <w:highlight w:val="none"/>
        </w:rPr>
        <w:t>年</w:t>
      </w:r>
      <w:r>
        <w:rPr>
          <w:rFonts w:hint="eastAsia" w:ascii="宋体" w:hAnsi="宋体" w:eastAsia="宋体"/>
          <w:color w:val="auto"/>
          <w:spacing w:val="2"/>
          <w:highlight w:val="none"/>
          <w:u w:val="single"/>
        </w:rPr>
        <w:t xml:space="preserve">       </w:t>
      </w:r>
      <w:r>
        <w:rPr>
          <w:rFonts w:hint="eastAsia" w:ascii="宋体" w:hAnsi="宋体" w:eastAsia="宋体"/>
          <w:color w:val="auto"/>
          <w:spacing w:val="2"/>
          <w:highlight w:val="none"/>
        </w:rPr>
        <w:t>月</w:t>
      </w:r>
      <w:r>
        <w:rPr>
          <w:rFonts w:hint="eastAsia" w:ascii="宋体" w:hAnsi="宋体" w:eastAsia="宋体"/>
          <w:color w:val="auto"/>
          <w:spacing w:val="2"/>
          <w:highlight w:val="none"/>
          <w:u w:val="single"/>
        </w:rPr>
        <w:t xml:space="preserve">       </w:t>
      </w:r>
      <w:r>
        <w:rPr>
          <w:rFonts w:hint="eastAsia" w:ascii="宋体" w:hAnsi="宋体" w:eastAsia="宋体"/>
          <w:color w:val="auto"/>
          <w:spacing w:val="2"/>
          <w:highlight w:val="none"/>
        </w:rPr>
        <w:t>日</w:t>
      </w:r>
    </w:p>
    <w:p w14:paraId="27BF421E">
      <w:pPr>
        <w:spacing w:line="360" w:lineRule="auto"/>
        <w:rPr>
          <w:rFonts w:hint="eastAsia" w:ascii="宋体" w:hAnsi="宋体" w:eastAsia="宋体"/>
          <w:color w:val="auto"/>
          <w:highlight w:val="none"/>
        </w:rPr>
        <w:sectPr>
          <w:footerReference r:id="rId24" w:type="default"/>
          <w:pgSz w:w="12240" w:h="15840"/>
          <w:pgMar w:top="1346" w:right="1836" w:bottom="1104" w:left="1836" w:header="0" w:footer="940" w:gutter="0"/>
          <w:cols w:space="720" w:num="1"/>
        </w:sectPr>
      </w:pPr>
    </w:p>
    <w:p w14:paraId="52D1B3C9">
      <w:pPr>
        <w:spacing w:line="245" w:lineRule="auto"/>
        <w:rPr>
          <w:color w:val="auto"/>
          <w:highlight w:val="none"/>
        </w:rPr>
      </w:pPr>
    </w:p>
    <w:p w14:paraId="78519A85">
      <w:pPr>
        <w:pStyle w:val="3"/>
        <w:jc w:val="center"/>
        <w:rPr>
          <w:rFonts w:hint="default" w:ascii="黑体" w:hAnsi="黑体" w:eastAsia="黑体" w:cs="黑体"/>
          <w:color w:val="auto"/>
          <w:spacing w:val="6"/>
          <w:sz w:val="31"/>
          <w:szCs w:val="31"/>
          <w:highlight w:val="none"/>
          <w14:textOutline w14:w="4064" w14:cap="flat" w14:cmpd="sng">
            <w14:solidFill>
              <w14:srgbClr w14:val="000000"/>
            </w14:solidFill>
            <w14:prstDash w14:val="solid"/>
            <w14:miter w14:val="0"/>
          </w14:textOutline>
        </w:rPr>
      </w:pPr>
      <w:r>
        <w:rPr>
          <w:rFonts w:hint="eastAsia" w:eastAsia="黑体" w:cs="黑体"/>
          <w:color w:val="auto"/>
          <w:spacing w:val="6"/>
          <w:sz w:val="31"/>
          <w:szCs w:val="31"/>
          <w:highlight w:val="none"/>
          <w:lang w:val="en-US" w:eastAsia="zh-CN"/>
          <w14:textOutline w14:w="4064" w14:cap="flat" w14:cmpd="sng">
            <w14:solidFill>
              <w14:srgbClr w14:val="000000"/>
            </w14:solidFill>
            <w14:prstDash w14:val="solid"/>
            <w14:miter w14:val="0"/>
          </w14:textOutline>
        </w:rPr>
        <w:t>四、</w:t>
      </w:r>
      <w:r>
        <w:rPr>
          <w:rFonts w:hint="default" w:ascii="黑体" w:hAnsi="黑体" w:eastAsia="黑体" w:cs="黑体"/>
          <w:color w:val="auto"/>
          <w:spacing w:val="6"/>
          <w:sz w:val="31"/>
          <w:szCs w:val="31"/>
          <w:highlight w:val="none"/>
          <w14:textOutline w14:w="4064" w14:cap="flat" w14:cmpd="sng">
            <w14:solidFill>
              <w14:srgbClr w14:val="000000"/>
            </w14:solidFill>
            <w14:prstDash w14:val="solid"/>
            <w14:miter w14:val="0"/>
          </w14:textOutline>
        </w:rPr>
        <w:t>关于投标保证金的承诺</w:t>
      </w:r>
    </w:p>
    <w:p w14:paraId="2653FB76">
      <w:pPr>
        <w:pStyle w:val="4"/>
        <w:numPr>
          <w:ilvl w:val="-1"/>
          <w:numId w:val="0"/>
        </w:numPr>
        <w:bidi w:val="0"/>
        <w:jc w:val="both"/>
        <w:rPr>
          <w:rFonts w:ascii="黑体" w:hAnsi="黑体" w:eastAsia="黑体" w:cs="黑体"/>
          <w:color w:val="auto"/>
          <w:spacing w:val="6"/>
          <w:sz w:val="31"/>
          <w:szCs w:val="31"/>
          <w:highlight w:val="none"/>
          <w14:textOutline w14:w="4064" w14:cap="flat" w14:cmpd="sng">
            <w14:solidFill>
              <w14:srgbClr w14:val="000000"/>
            </w14:solidFill>
            <w14:prstDash w14:val="solid"/>
            <w14:miter w14:val="0"/>
          </w14:textOutline>
        </w:rPr>
      </w:pPr>
    </w:p>
    <w:p w14:paraId="6884E47F">
      <w:pPr>
        <w:pStyle w:val="58"/>
        <w:spacing w:line="400" w:lineRule="exact"/>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广州市</w:t>
      </w:r>
      <w:r>
        <w:rPr>
          <w:rFonts w:hint="eastAsia" w:ascii="宋体" w:hAnsi="宋体" w:eastAsia="宋体"/>
          <w:color w:val="auto"/>
          <w:sz w:val="21"/>
          <w:szCs w:val="21"/>
          <w:highlight w:val="none"/>
          <w:lang w:eastAsia="zh-CN"/>
        </w:rPr>
        <w:t>水务</w:t>
      </w:r>
      <w:r>
        <w:rPr>
          <w:rFonts w:hint="eastAsia" w:ascii="宋体" w:hAnsi="宋体" w:eastAsia="宋体"/>
          <w:color w:val="auto"/>
          <w:sz w:val="21"/>
          <w:szCs w:val="21"/>
          <w:highlight w:val="none"/>
        </w:rPr>
        <w:t>局、本招标项目招标人及招标监管机构：</w:t>
      </w:r>
    </w:p>
    <w:p w14:paraId="0223A1E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本公司就参加</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项目的投标工作，作出郑重声明：</w:t>
      </w:r>
    </w:p>
    <w:p w14:paraId="70C31DE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在投标时未提交投标保证金。我司理解在投标时免交投标保证金是为企业减负的举措，并未免除我司的投标义务，本公司一旦发生符合招标文件规定的不予退还投标保证金情形的，将按照招标人的要求，在规定的时间内向招标人足额补交投标保证金。</w:t>
      </w:r>
    </w:p>
    <w:p w14:paraId="5C92AAE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本公司违反上述保证的，将被视为虚假承诺，按相关规定进行信用记录。本公司对失信行为产生的一切后果已知悉，并承担由此产生的相应责任。</w:t>
      </w:r>
    </w:p>
    <w:p w14:paraId="222AB25A">
      <w:pPr>
        <w:spacing w:line="360" w:lineRule="auto"/>
        <w:jc w:val="left"/>
        <w:rPr>
          <w:rFonts w:hint="eastAsia" w:ascii="宋体" w:hAnsi="宋体" w:eastAsia="宋体" w:cs="宋体"/>
          <w:color w:val="auto"/>
          <w:spacing w:val="4"/>
          <w:kern w:val="0"/>
          <w:szCs w:val="21"/>
          <w:highlight w:val="none"/>
        </w:rPr>
      </w:pPr>
      <w:r>
        <w:rPr>
          <w:rFonts w:hint="eastAsia" w:ascii="宋体" w:hAnsi="宋体" w:eastAsia="宋体" w:cs="宋体"/>
          <w:color w:val="auto"/>
          <w:szCs w:val="21"/>
          <w:highlight w:val="none"/>
        </w:rPr>
        <w:t>特此承诺。</w:t>
      </w:r>
    </w:p>
    <w:p w14:paraId="558D05CA">
      <w:pPr>
        <w:spacing w:line="360" w:lineRule="auto"/>
        <w:jc w:val="left"/>
        <w:rPr>
          <w:rFonts w:hint="eastAsia" w:ascii="宋体" w:hAnsi="宋体" w:eastAsia="宋体" w:cs="宋体"/>
          <w:color w:val="auto"/>
          <w:spacing w:val="4"/>
          <w:kern w:val="0"/>
          <w:szCs w:val="21"/>
          <w:highlight w:val="none"/>
        </w:rPr>
      </w:pPr>
    </w:p>
    <w:p w14:paraId="6332357A">
      <w:pPr>
        <w:spacing w:line="360" w:lineRule="auto"/>
        <w:jc w:val="left"/>
        <w:rPr>
          <w:rFonts w:hint="eastAsia" w:ascii="宋体" w:hAnsi="宋体" w:eastAsia="宋体" w:cs="宋体"/>
          <w:color w:val="auto"/>
          <w:spacing w:val="4"/>
          <w:kern w:val="0"/>
          <w:szCs w:val="21"/>
          <w:highlight w:val="none"/>
        </w:rPr>
      </w:pPr>
    </w:p>
    <w:p w14:paraId="1E6B3A13">
      <w:pPr>
        <w:pStyle w:val="2"/>
        <w:spacing w:line="360" w:lineRule="auto"/>
        <w:rPr>
          <w:rFonts w:hint="eastAsia" w:ascii="宋体" w:hAnsi="宋体" w:eastAsia="宋体" w:cs="宋体"/>
          <w:color w:val="auto"/>
          <w:spacing w:val="4"/>
          <w:sz w:val="21"/>
          <w:szCs w:val="21"/>
          <w:highlight w:val="none"/>
        </w:rPr>
      </w:pPr>
    </w:p>
    <w:p w14:paraId="78BECBBE">
      <w:pPr>
        <w:spacing w:line="360" w:lineRule="auto"/>
        <w:rPr>
          <w:rFonts w:hint="eastAsia" w:ascii="宋体" w:hAnsi="宋体" w:eastAsia="宋体" w:cs="宋体"/>
          <w:color w:val="auto"/>
          <w:szCs w:val="21"/>
          <w:highlight w:val="none"/>
        </w:rPr>
      </w:pPr>
    </w:p>
    <w:p w14:paraId="59CABE6D">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（盖章）</w:t>
      </w:r>
    </w:p>
    <w:p w14:paraId="22E35670">
      <w:pPr>
        <w:spacing w:line="360" w:lineRule="auto"/>
        <w:jc w:val="right"/>
        <w:rPr>
          <w:rFonts w:hint="eastAsia" w:ascii="宋体" w:hAnsi="宋体" w:eastAsia="宋体" w:cs="宋体"/>
          <w:color w:val="auto"/>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p>
    <w:p w14:paraId="5EB67116">
      <w:pPr>
        <w:pStyle w:val="26"/>
        <w:spacing w:before="120" w:after="120"/>
        <w:jc w:val="center"/>
        <w:outlineLvl w:val="9"/>
        <w:rPr>
          <w:rFonts w:hint="eastAsia" w:ascii="黑体" w:hAnsi="黑体" w:eastAsia="黑体"/>
          <w:strike/>
          <w:color w:val="auto"/>
          <w:spacing w:val="11"/>
          <w:sz w:val="31"/>
          <w:szCs w:val="31"/>
          <w:highlight w:val="none"/>
        </w:rPr>
      </w:pPr>
    </w:p>
    <w:p w14:paraId="2C2299A7">
      <w:pPr>
        <w:spacing w:line="319" w:lineRule="auto"/>
        <w:rPr>
          <w:color w:val="auto"/>
          <w:highlight w:val="none"/>
        </w:rPr>
      </w:pPr>
    </w:p>
    <w:p w14:paraId="41C94026">
      <w:pPr>
        <w:spacing w:line="320" w:lineRule="auto"/>
        <w:rPr>
          <w:color w:val="auto"/>
          <w:highlight w:val="none"/>
        </w:rPr>
      </w:pPr>
    </w:p>
    <w:p w14:paraId="3A796669">
      <w:pPr>
        <w:spacing w:line="360" w:lineRule="auto"/>
        <w:ind w:left="416" w:leftChars="198" w:firstLine="3"/>
        <w:rPr>
          <w:rFonts w:ascii="宋体" w:hAnsi="宋体"/>
          <w:color w:val="auto"/>
          <w:highlight w:val="none"/>
          <w:u w:val="single"/>
          <w:lang w:bidi="ar"/>
        </w:rPr>
      </w:pPr>
    </w:p>
    <w:p w14:paraId="547FF733">
      <w:pPr>
        <w:spacing w:line="360" w:lineRule="auto"/>
        <w:rPr>
          <w:rFonts w:ascii="宋体" w:hAnsi="宋体"/>
          <w:color w:val="auto"/>
          <w:highlight w:val="none"/>
          <w:u w:val="single"/>
          <w:lang w:bidi="ar"/>
        </w:rPr>
        <w:sectPr>
          <w:footerReference r:id="rId25" w:type="default"/>
          <w:pgSz w:w="12240" w:h="15840"/>
          <w:pgMar w:top="1346" w:right="1797" w:bottom="1104" w:left="1800" w:header="0" w:footer="940" w:gutter="0"/>
          <w:cols w:space="720" w:num="1"/>
        </w:sectPr>
      </w:pPr>
    </w:p>
    <w:p w14:paraId="55C783F1">
      <w:pPr>
        <w:spacing w:line="245" w:lineRule="auto"/>
        <w:rPr>
          <w:color w:val="auto"/>
          <w:highlight w:val="none"/>
        </w:rPr>
      </w:pPr>
    </w:p>
    <w:p w14:paraId="73688F07">
      <w:pPr>
        <w:pStyle w:val="26"/>
        <w:spacing w:before="120" w:after="120"/>
        <w:jc w:val="center"/>
        <w:outlineLvl w:val="9"/>
        <w:rPr>
          <w:rFonts w:hint="eastAsia" w:ascii="黑体" w:hAnsi="黑体" w:eastAsia="黑体"/>
          <w:color w:val="auto"/>
          <w:spacing w:val="13"/>
          <w:sz w:val="31"/>
          <w:szCs w:val="31"/>
          <w:highlight w:val="none"/>
        </w:rPr>
      </w:pPr>
      <w:bookmarkStart w:id="394" w:name="_Toc18526"/>
      <w:bookmarkStart w:id="395" w:name="_Toc13037"/>
      <w:bookmarkStart w:id="396" w:name="_Toc30528"/>
      <w:bookmarkStart w:id="397" w:name="_Toc10176"/>
      <w:bookmarkStart w:id="398" w:name="_Toc7200"/>
      <w:r>
        <w:rPr>
          <w:rFonts w:ascii="黑体" w:hAnsi="黑体" w:eastAsia="黑体"/>
          <w:color w:val="auto"/>
          <w:spacing w:val="13"/>
          <w:sz w:val="31"/>
          <w:szCs w:val="31"/>
          <w:highlight w:val="none"/>
        </w:rPr>
        <w:t>五</w:t>
      </w:r>
      <w:r>
        <w:rPr>
          <w:rFonts w:ascii="黑体" w:hAnsi="黑体" w:eastAsia="黑体"/>
          <w:color w:val="auto"/>
          <w:spacing w:val="8"/>
          <w:sz w:val="31"/>
          <w:szCs w:val="31"/>
          <w:highlight w:val="none"/>
        </w:rPr>
        <w:t>、</w:t>
      </w:r>
      <w:r>
        <w:rPr>
          <w:rFonts w:hint="eastAsia" w:ascii="黑体" w:hAnsi="黑体" w:eastAsia="黑体"/>
          <w:color w:val="auto"/>
          <w:spacing w:val="8"/>
          <w:sz w:val="31"/>
          <w:szCs w:val="31"/>
          <w:highlight w:val="none"/>
        </w:rPr>
        <w:t>勘察</w:t>
      </w:r>
      <w:r>
        <w:rPr>
          <w:rFonts w:ascii="黑体" w:hAnsi="黑体" w:eastAsia="黑体"/>
          <w:color w:val="auto"/>
          <w:spacing w:val="8"/>
          <w:sz w:val="31"/>
          <w:szCs w:val="31"/>
          <w:highlight w:val="none"/>
        </w:rPr>
        <w:t>设计费</w:t>
      </w:r>
      <w:r>
        <w:rPr>
          <w:rFonts w:hint="eastAsia" w:ascii="黑体" w:hAnsi="黑体" w:eastAsia="黑体"/>
          <w:color w:val="auto"/>
          <w:spacing w:val="8"/>
          <w:sz w:val="31"/>
          <w:szCs w:val="31"/>
          <w:highlight w:val="none"/>
        </w:rPr>
        <w:t>报价表</w:t>
      </w:r>
      <w:bookmarkEnd w:id="394"/>
      <w:bookmarkEnd w:id="395"/>
      <w:bookmarkEnd w:id="396"/>
      <w:bookmarkEnd w:id="397"/>
      <w:bookmarkEnd w:id="398"/>
    </w:p>
    <w:p w14:paraId="1F898034">
      <w:pPr>
        <w:spacing w:line="320" w:lineRule="auto"/>
        <w:rPr>
          <w:color w:val="auto"/>
          <w:highlight w:val="none"/>
        </w:rPr>
      </w:pPr>
    </w:p>
    <w:p w14:paraId="007AE162">
      <w:pPr>
        <w:spacing w:line="320" w:lineRule="auto"/>
        <w:rPr>
          <w:color w:val="auto"/>
          <w:highlight w:val="none"/>
        </w:rPr>
      </w:pPr>
    </w:p>
    <w:p w14:paraId="528B117B">
      <w:pPr>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勘察设计费报价表</w:t>
      </w:r>
    </w:p>
    <w:p w14:paraId="6AD00F7E">
      <w:pPr>
        <w:spacing w:after="120" w:line="540" w:lineRule="atLeast"/>
        <w:rPr>
          <w:rFonts w:ascii="宋体" w:hAnsi="宋体"/>
          <w:color w:val="auto"/>
          <w:highlight w:val="none"/>
        </w:rPr>
      </w:pPr>
      <w:r>
        <w:rPr>
          <w:rFonts w:hint="eastAsia" w:ascii="宋体" w:hAnsi="宋体"/>
          <w:color w:val="auto"/>
          <w:highlight w:val="none"/>
        </w:rPr>
        <w:t>项目名称：</w:t>
      </w:r>
      <w:r>
        <w:rPr>
          <w:rFonts w:hint="eastAsia" w:ascii="宋体" w:hAnsi="宋体"/>
          <w:color w:val="auto"/>
          <w:highlight w:val="none"/>
          <w:u w:val="single"/>
        </w:rPr>
        <w:t xml:space="preserve">                       </w:t>
      </w:r>
    </w:p>
    <w:tbl>
      <w:tblPr>
        <w:tblStyle w:val="19"/>
        <w:tblpPr w:leftFromText="180" w:rightFromText="180" w:vertAnchor="text" w:horzAnchor="page" w:tblpX="833" w:tblpY="720"/>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2370"/>
        <w:gridCol w:w="1894"/>
        <w:gridCol w:w="1279"/>
        <w:gridCol w:w="2304"/>
        <w:gridCol w:w="10"/>
        <w:gridCol w:w="1085"/>
      </w:tblGrid>
      <w:tr w14:paraId="28D7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3" w:hRule="atLeast"/>
        </w:trPr>
        <w:tc>
          <w:tcPr>
            <w:tcW w:w="698" w:type="dxa"/>
            <w:vAlign w:val="center"/>
          </w:tcPr>
          <w:p w14:paraId="4104772B">
            <w:pPr>
              <w:jc w:val="center"/>
              <w:rPr>
                <w:color w:val="auto"/>
                <w:highlight w:val="none"/>
              </w:rPr>
            </w:pPr>
            <w:r>
              <w:rPr>
                <w:rFonts w:hint="eastAsia"/>
                <w:color w:val="auto"/>
                <w:highlight w:val="none"/>
              </w:rPr>
              <w:t>序号</w:t>
            </w:r>
          </w:p>
        </w:tc>
        <w:tc>
          <w:tcPr>
            <w:tcW w:w="2370" w:type="dxa"/>
            <w:vAlign w:val="center"/>
          </w:tcPr>
          <w:p w14:paraId="67E85A73">
            <w:pPr>
              <w:jc w:val="center"/>
              <w:rPr>
                <w:color w:val="auto"/>
                <w:highlight w:val="none"/>
              </w:rPr>
            </w:pPr>
            <w:r>
              <w:rPr>
                <w:rFonts w:hint="eastAsia"/>
                <w:color w:val="auto"/>
                <w:highlight w:val="none"/>
              </w:rPr>
              <w:t>项目费用名称</w:t>
            </w:r>
          </w:p>
        </w:tc>
        <w:tc>
          <w:tcPr>
            <w:tcW w:w="1894" w:type="dxa"/>
            <w:vAlign w:val="center"/>
          </w:tcPr>
          <w:p w14:paraId="6DC68361">
            <w:pPr>
              <w:jc w:val="center"/>
              <w:rPr>
                <w:color w:val="auto"/>
                <w:highlight w:val="none"/>
              </w:rPr>
            </w:pPr>
            <w:r>
              <w:rPr>
                <w:rFonts w:hint="eastAsia"/>
                <w:color w:val="auto"/>
                <w:highlight w:val="none"/>
              </w:rPr>
              <w:t>费用（元）</w:t>
            </w:r>
          </w:p>
        </w:tc>
        <w:tc>
          <w:tcPr>
            <w:tcW w:w="1279" w:type="dxa"/>
            <w:vAlign w:val="center"/>
          </w:tcPr>
          <w:p w14:paraId="3B09C8E7">
            <w:pPr>
              <w:jc w:val="center"/>
              <w:rPr>
                <w:color w:val="auto"/>
                <w:highlight w:val="none"/>
              </w:rPr>
            </w:pPr>
            <w:r>
              <w:rPr>
                <w:rFonts w:hint="eastAsia"/>
                <w:color w:val="auto"/>
                <w:highlight w:val="none"/>
              </w:rPr>
              <w:t>投标下浮率</w:t>
            </w:r>
          </w:p>
        </w:tc>
        <w:tc>
          <w:tcPr>
            <w:tcW w:w="2304" w:type="dxa"/>
            <w:vAlign w:val="center"/>
          </w:tcPr>
          <w:p w14:paraId="09B5D212">
            <w:pPr>
              <w:jc w:val="center"/>
              <w:rPr>
                <w:color w:val="auto"/>
                <w:highlight w:val="none"/>
              </w:rPr>
            </w:pPr>
            <w:r>
              <w:rPr>
                <w:rFonts w:hint="eastAsia"/>
                <w:color w:val="auto"/>
                <w:highlight w:val="none"/>
              </w:rPr>
              <w:t>投标报价（元）</w:t>
            </w:r>
          </w:p>
          <w:p w14:paraId="5671F491">
            <w:pPr>
              <w:jc w:val="center"/>
              <w:rPr>
                <w:color w:val="auto"/>
                <w:highlight w:val="none"/>
              </w:rPr>
            </w:pPr>
            <w:r>
              <w:rPr>
                <w:rFonts w:hint="eastAsia"/>
                <w:color w:val="auto"/>
                <w:highlight w:val="none"/>
              </w:rPr>
              <w:t>（下浮后费用）</w:t>
            </w:r>
          </w:p>
        </w:tc>
        <w:tc>
          <w:tcPr>
            <w:tcW w:w="1095" w:type="dxa"/>
            <w:gridSpan w:val="2"/>
            <w:vAlign w:val="center"/>
          </w:tcPr>
          <w:p w14:paraId="10BC901A">
            <w:pPr>
              <w:jc w:val="center"/>
              <w:rPr>
                <w:color w:val="auto"/>
                <w:highlight w:val="none"/>
              </w:rPr>
            </w:pPr>
            <w:r>
              <w:rPr>
                <w:rFonts w:hint="eastAsia"/>
                <w:color w:val="auto"/>
                <w:highlight w:val="none"/>
              </w:rPr>
              <w:t>备注</w:t>
            </w:r>
          </w:p>
        </w:tc>
      </w:tr>
      <w:tr w14:paraId="03BD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2" w:hRule="atLeast"/>
        </w:trPr>
        <w:tc>
          <w:tcPr>
            <w:tcW w:w="698" w:type="dxa"/>
            <w:vAlign w:val="center"/>
          </w:tcPr>
          <w:p w14:paraId="27B98C3C">
            <w:pPr>
              <w:jc w:val="center"/>
              <w:rPr>
                <w:bCs/>
                <w:color w:val="auto"/>
                <w:highlight w:val="none"/>
              </w:rPr>
            </w:pPr>
            <w:r>
              <w:rPr>
                <w:rFonts w:hint="eastAsia"/>
                <w:bCs/>
                <w:color w:val="auto"/>
                <w:highlight w:val="none"/>
              </w:rPr>
              <w:t>1</w:t>
            </w:r>
          </w:p>
        </w:tc>
        <w:tc>
          <w:tcPr>
            <w:tcW w:w="2370" w:type="dxa"/>
            <w:vAlign w:val="center"/>
          </w:tcPr>
          <w:p w14:paraId="1EFB4EE9">
            <w:pPr>
              <w:rPr>
                <w:color w:val="auto"/>
                <w:highlight w:val="none"/>
              </w:rPr>
            </w:pPr>
            <w:r>
              <w:rPr>
                <w:rFonts w:hint="eastAsia"/>
                <w:color w:val="auto"/>
                <w:highlight w:val="none"/>
              </w:rPr>
              <w:t>勘察费</w:t>
            </w:r>
          </w:p>
        </w:tc>
        <w:tc>
          <w:tcPr>
            <w:tcW w:w="1894" w:type="dxa"/>
            <w:vAlign w:val="center"/>
          </w:tcPr>
          <w:p w14:paraId="69644EA9">
            <w:pPr>
              <w:jc w:val="center"/>
              <w:rPr>
                <w:rFonts w:eastAsiaTheme="minorEastAsia"/>
                <w:bCs/>
                <w:color w:val="auto"/>
                <w:highlight w:val="none"/>
              </w:rPr>
            </w:pPr>
          </w:p>
        </w:tc>
        <w:tc>
          <w:tcPr>
            <w:tcW w:w="1279" w:type="dxa"/>
            <w:vAlign w:val="center"/>
          </w:tcPr>
          <w:p w14:paraId="2281FF9A">
            <w:pPr>
              <w:ind w:firstLine="210" w:firstLineChars="100"/>
              <w:rPr>
                <w:bCs/>
                <w:color w:val="auto"/>
                <w:highlight w:val="none"/>
                <w:u w:val="single"/>
              </w:rPr>
            </w:pPr>
            <w:r>
              <w:rPr>
                <w:rFonts w:hint="eastAsia"/>
                <w:bCs/>
                <w:color w:val="auto"/>
                <w:highlight w:val="none"/>
                <w:u w:val="single"/>
              </w:rPr>
              <w:t xml:space="preserve">           </w:t>
            </w:r>
            <w:r>
              <w:rPr>
                <w:rFonts w:hint="eastAsia"/>
                <w:bCs/>
                <w:color w:val="auto"/>
                <w:highlight w:val="none"/>
              </w:rPr>
              <w:t>%</w:t>
            </w:r>
          </w:p>
        </w:tc>
        <w:tc>
          <w:tcPr>
            <w:tcW w:w="2304" w:type="dxa"/>
            <w:vAlign w:val="center"/>
          </w:tcPr>
          <w:p w14:paraId="3027BB49">
            <w:pPr>
              <w:jc w:val="center"/>
              <w:rPr>
                <w:bCs/>
                <w:color w:val="auto"/>
                <w:highlight w:val="none"/>
              </w:rPr>
            </w:pPr>
          </w:p>
        </w:tc>
        <w:tc>
          <w:tcPr>
            <w:tcW w:w="1095" w:type="dxa"/>
            <w:gridSpan w:val="2"/>
            <w:vAlign w:val="center"/>
          </w:tcPr>
          <w:p w14:paraId="3997C58B">
            <w:pPr>
              <w:jc w:val="center"/>
              <w:rPr>
                <w:bCs/>
                <w:color w:val="auto"/>
                <w:highlight w:val="none"/>
              </w:rPr>
            </w:pPr>
          </w:p>
        </w:tc>
      </w:tr>
      <w:tr w14:paraId="2955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0" w:hRule="atLeast"/>
        </w:trPr>
        <w:tc>
          <w:tcPr>
            <w:tcW w:w="698" w:type="dxa"/>
            <w:vAlign w:val="center"/>
          </w:tcPr>
          <w:p w14:paraId="043AA6AC">
            <w:pPr>
              <w:jc w:val="center"/>
              <w:rPr>
                <w:bCs/>
                <w:color w:val="auto"/>
                <w:highlight w:val="none"/>
              </w:rPr>
            </w:pPr>
            <w:r>
              <w:rPr>
                <w:rFonts w:hint="eastAsia"/>
                <w:bCs/>
                <w:color w:val="auto"/>
                <w:highlight w:val="none"/>
              </w:rPr>
              <w:t>2</w:t>
            </w:r>
          </w:p>
        </w:tc>
        <w:tc>
          <w:tcPr>
            <w:tcW w:w="2370" w:type="dxa"/>
            <w:vAlign w:val="center"/>
          </w:tcPr>
          <w:p w14:paraId="262DD3AE">
            <w:pPr>
              <w:rPr>
                <w:color w:val="auto"/>
                <w:highlight w:val="none"/>
              </w:rPr>
            </w:pPr>
            <w:r>
              <w:rPr>
                <w:rFonts w:hint="eastAsia"/>
                <w:color w:val="auto"/>
                <w:highlight w:val="none"/>
              </w:rPr>
              <w:t>设计费</w:t>
            </w:r>
          </w:p>
        </w:tc>
        <w:tc>
          <w:tcPr>
            <w:tcW w:w="1894" w:type="dxa"/>
            <w:vAlign w:val="center"/>
          </w:tcPr>
          <w:p w14:paraId="4E61C827">
            <w:pPr>
              <w:jc w:val="center"/>
              <w:rPr>
                <w:rFonts w:eastAsiaTheme="minorEastAsia"/>
                <w:bCs/>
                <w:color w:val="auto"/>
                <w:highlight w:val="none"/>
              </w:rPr>
            </w:pPr>
          </w:p>
        </w:tc>
        <w:tc>
          <w:tcPr>
            <w:tcW w:w="1279" w:type="dxa"/>
            <w:vAlign w:val="center"/>
          </w:tcPr>
          <w:p w14:paraId="3C1386DA">
            <w:pPr>
              <w:jc w:val="center"/>
              <w:rPr>
                <w:bCs/>
                <w:color w:val="auto"/>
                <w:highlight w:val="none"/>
                <w:u w:val="single"/>
              </w:rPr>
            </w:pPr>
            <w:r>
              <w:rPr>
                <w:rFonts w:hint="eastAsia"/>
                <w:bCs/>
                <w:color w:val="auto"/>
                <w:highlight w:val="none"/>
                <w:u w:val="single"/>
              </w:rPr>
              <w:t xml:space="preserve">           </w:t>
            </w:r>
            <w:r>
              <w:rPr>
                <w:rFonts w:hint="eastAsia"/>
                <w:bCs/>
                <w:color w:val="auto"/>
                <w:highlight w:val="none"/>
              </w:rPr>
              <w:t>%</w:t>
            </w:r>
          </w:p>
        </w:tc>
        <w:tc>
          <w:tcPr>
            <w:tcW w:w="2304" w:type="dxa"/>
            <w:vAlign w:val="center"/>
          </w:tcPr>
          <w:p w14:paraId="5CCF08C8">
            <w:pPr>
              <w:jc w:val="center"/>
              <w:rPr>
                <w:bCs/>
                <w:color w:val="auto"/>
                <w:highlight w:val="none"/>
              </w:rPr>
            </w:pPr>
          </w:p>
        </w:tc>
        <w:tc>
          <w:tcPr>
            <w:tcW w:w="1095" w:type="dxa"/>
            <w:gridSpan w:val="2"/>
            <w:vAlign w:val="center"/>
          </w:tcPr>
          <w:p w14:paraId="259E53D7">
            <w:pPr>
              <w:jc w:val="center"/>
              <w:rPr>
                <w:bCs/>
                <w:color w:val="auto"/>
                <w:highlight w:val="none"/>
              </w:rPr>
            </w:pPr>
          </w:p>
        </w:tc>
      </w:tr>
      <w:tr w14:paraId="3287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2" w:hRule="atLeast"/>
        </w:trPr>
        <w:tc>
          <w:tcPr>
            <w:tcW w:w="6241" w:type="dxa"/>
            <w:gridSpan w:val="4"/>
            <w:vAlign w:val="center"/>
          </w:tcPr>
          <w:p w14:paraId="22ED6AF1">
            <w:pPr>
              <w:jc w:val="center"/>
              <w:rPr>
                <w:color w:val="auto"/>
                <w:highlight w:val="none"/>
              </w:rPr>
            </w:pPr>
            <w:r>
              <w:rPr>
                <w:rFonts w:hint="eastAsia"/>
                <w:color w:val="auto"/>
                <w:highlight w:val="none"/>
              </w:rPr>
              <w:t>合计</w:t>
            </w:r>
            <w:r>
              <w:rPr>
                <w:rFonts w:hint="eastAsia" w:eastAsia="宋体"/>
                <w:color w:val="auto"/>
                <w:highlight w:val="none"/>
              </w:rPr>
              <w:t>（元）</w:t>
            </w:r>
          </w:p>
        </w:tc>
        <w:tc>
          <w:tcPr>
            <w:tcW w:w="2314" w:type="dxa"/>
            <w:gridSpan w:val="2"/>
            <w:vAlign w:val="center"/>
          </w:tcPr>
          <w:p w14:paraId="555F5C42">
            <w:pPr>
              <w:jc w:val="center"/>
              <w:rPr>
                <w:color w:val="auto"/>
                <w:highlight w:val="none"/>
              </w:rPr>
            </w:pPr>
          </w:p>
        </w:tc>
        <w:tc>
          <w:tcPr>
            <w:tcW w:w="1085" w:type="dxa"/>
            <w:vAlign w:val="center"/>
          </w:tcPr>
          <w:p w14:paraId="16A5FEC3">
            <w:pPr>
              <w:jc w:val="center"/>
              <w:rPr>
                <w:color w:val="auto"/>
                <w:highlight w:val="none"/>
              </w:rPr>
            </w:pPr>
          </w:p>
        </w:tc>
      </w:tr>
    </w:tbl>
    <w:p w14:paraId="3E24A354">
      <w:pPr>
        <w:ind w:firstLine="360" w:firstLineChars="150"/>
        <w:rPr>
          <w:rFonts w:ascii="宋体" w:hAnsi="宋体"/>
          <w:bCs/>
          <w:color w:val="auto"/>
          <w:sz w:val="24"/>
          <w:highlight w:val="none"/>
        </w:rPr>
      </w:pPr>
    </w:p>
    <w:p w14:paraId="751C047D">
      <w:pPr>
        <w:rPr>
          <w:rFonts w:hint="eastAsia" w:ascii="宋体" w:hAnsi="宋体" w:eastAsia="宋体"/>
          <w:color w:val="auto"/>
          <w:highlight w:val="none"/>
        </w:rPr>
      </w:pPr>
    </w:p>
    <w:p w14:paraId="1BBBDC5B">
      <w:pPr>
        <w:rPr>
          <w:rFonts w:hint="eastAsia" w:ascii="宋体" w:hAnsi="宋体" w:eastAsia="宋体"/>
          <w:color w:val="auto"/>
          <w:highlight w:val="none"/>
        </w:rPr>
      </w:pPr>
      <w:r>
        <w:rPr>
          <w:rFonts w:hint="eastAsia" w:ascii="宋体" w:hAnsi="宋体" w:eastAsia="宋体"/>
          <w:color w:val="auto"/>
          <w:highlight w:val="none"/>
        </w:rPr>
        <w:t>注：1、投标报价填报保留到小数点后</w:t>
      </w:r>
      <w:r>
        <w:rPr>
          <w:rFonts w:hint="eastAsia" w:ascii="宋体" w:hAnsi="宋体" w:eastAsia="宋体"/>
          <w:color w:val="auto"/>
          <w:highlight w:val="none"/>
          <w:u w:val="single"/>
        </w:rPr>
        <w:t>两</w:t>
      </w:r>
      <w:r>
        <w:rPr>
          <w:rFonts w:hint="eastAsia" w:ascii="宋体" w:hAnsi="宋体" w:eastAsia="宋体"/>
          <w:color w:val="auto"/>
          <w:highlight w:val="none"/>
        </w:rPr>
        <w:t>位。</w:t>
      </w:r>
    </w:p>
    <w:p w14:paraId="164F80D0">
      <w:pPr>
        <w:ind w:firstLine="420" w:firstLineChars="200"/>
        <w:rPr>
          <w:rFonts w:hint="eastAsia" w:ascii="宋体" w:hAnsi="宋体" w:eastAsia="宋体"/>
          <w:color w:val="auto"/>
          <w:highlight w:val="none"/>
        </w:rPr>
      </w:pPr>
      <w:r>
        <w:rPr>
          <w:rFonts w:hint="eastAsia" w:ascii="宋体" w:hAnsi="宋体" w:eastAsia="宋体"/>
          <w:color w:val="auto"/>
          <w:highlight w:val="none"/>
        </w:rPr>
        <w:t>2、</w:t>
      </w:r>
      <w:r>
        <w:rPr>
          <w:rFonts w:hint="eastAsia" w:ascii="宋体" w:hAnsi="宋体" w:eastAsia="宋体"/>
          <w:color w:val="auto"/>
          <w:highlight w:val="none"/>
          <w:lang w:val="zh-CN"/>
        </w:rPr>
        <w:t>投标下浮率以百分比为单位，保留到小数点后</w:t>
      </w:r>
      <w:r>
        <w:rPr>
          <w:rFonts w:hint="eastAsia" w:ascii="宋体" w:hAnsi="宋体" w:eastAsia="宋体"/>
          <w:color w:val="auto"/>
          <w:highlight w:val="none"/>
          <w:u w:val="single"/>
        </w:rPr>
        <w:t>两</w:t>
      </w:r>
      <w:r>
        <w:rPr>
          <w:rFonts w:hint="eastAsia" w:ascii="宋体" w:hAnsi="宋体" w:eastAsia="宋体"/>
          <w:color w:val="auto"/>
          <w:highlight w:val="none"/>
          <w:lang w:val="zh-CN"/>
        </w:rPr>
        <w:t>位。</w:t>
      </w:r>
      <w:r>
        <w:rPr>
          <w:rFonts w:hint="eastAsia" w:ascii="宋体" w:hAnsi="宋体" w:eastAsia="宋体"/>
          <w:color w:val="auto"/>
          <w:highlight w:val="none"/>
        </w:rPr>
        <w:t>投标报价与投标下浮率不符时，以投标下浮率为准修正总价。</w:t>
      </w:r>
    </w:p>
    <w:p w14:paraId="2A7170BA">
      <w:pPr>
        <w:spacing w:line="500" w:lineRule="exact"/>
        <w:ind w:firstLine="3960"/>
        <w:rPr>
          <w:color w:val="auto"/>
          <w:highlight w:val="none"/>
        </w:rPr>
      </w:pPr>
    </w:p>
    <w:p w14:paraId="3B9099FB">
      <w:pPr>
        <w:pStyle w:val="26"/>
        <w:spacing w:before="120" w:after="120"/>
        <w:jc w:val="center"/>
        <w:outlineLvl w:val="9"/>
        <w:rPr>
          <w:rFonts w:hint="eastAsia" w:ascii="黑体" w:hAnsi="黑体" w:eastAsia="黑体"/>
          <w:color w:val="auto"/>
          <w:spacing w:val="11"/>
          <w:sz w:val="31"/>
          <w:szCs w:val="31"/>
          <w:highlight w:val="none"/>
        </w:rPr>
      </w:pPr>
      <w:bookmarkStart w:id="399" w:name="_Toc22077"/>
      <w:bookmarkStart w:id="400" w:name="_Toc32085"/>
      <w:bookmarkStart w:id="401" w:name="_Toc55"/>
      <w:bookmarkStart w:id="402" w:name="_Toc11187"/>
      <w:bookmarkStart w:id="403" w:name="_Toc24354"/>
      <w:r>
        <w:rPr>
          <w:rFonts w:ascii="黑体" w:hAnsi="黑体" w:eastAsia="黑体"/>
          <w:color w:val="auto"/>
          <w:spacing w:val="11"/>
          <w:sz w:val="31"/>
          <w:szCs w:val="31"/>
          <w:highlight w:val="none"/>
        </w:rPr>
        <w:br w:type="page"/>
      </w:r>
      <w:r>
        <w:rPr>
          <w:rFonts w:ascii="黑体" w:hAnsi="黑体" w:eastAsia="黑体"/>
          <w:color w:val="auto"/>
          <w:spacing w:val="11"/>
          <w:sz w:val="31"/>
          <w:szCs w:val="31"/>
          <w:highlight w:val="none"/>
        </w:rPr>
        <w:t>六</w:t>
      </w:r>
      <w:r>
        <w:rPr>
          <w:rFonts w:ascii="黑体" w:hAnsi="黑体" w:eastAsia="黑体"/>
          <w:color w:val="auto"/>
          <w:spacing w:val="8"/>
          <w:sz w:val="31"/>
          <w:szCs w:val="31"/>
          <w:highlight w:val="none"/>
        </w:rPr>
        <w:t>、资格审查资料</w:t>
      </w:r>
      <w:bookmarkEnd w:id="399"/>
      <w:bookmarkEnd w:id="400"/>
      <w:bookmarkEnd w:id="401"/>
      <w:bookmarkEnd w:id="402"/>
      <w:bookmarkEnd w:id="403"/>
    </w:p>
    <w:p w14:paraId="65AEFA2B">
      <w:pPr>
        <w:spacing w:line="255" w:lineRule="auto"/>
        <w:rPr>
          <w:color w:val="auto"/>
          <w:highlight w:val="none"/>
        </w:rPr>
      </w:pPr>
    </w:p>
    <w:p w14:paraId="448277D8">
      <w:pPr>
        <w:rPr>
          <w:rFonts w:hint="eastAsia" w:ascii="黑体" w:hAnsi="黑体" w:eastAsia="黑体"/>
          <w:color w:val="auto"/>
          <w:spacing w:val="44"/>
          <w:sz w:val="27"/>
          <w:szCs w:val="27"/>
          <w:highlight w:val="none"/>
        </w:rPr>
      </w:pPr>
      <w:bookmarkStart w:id="404" w:name="_Toc11958"/>
      <w:bookmarkStart w:id="405" w:name="_Toc4472"/>
      <w:bookmarkStart w:id="406" w:name="_Toc11798"/>
      <w:bookmarkStart w:id="407" w:name="_Toc12157"/>
      <w:bookmarkStart w:id="408" w:name="_Toc27883"/>
      <w:r>
        <w:rPr>
          <w:rFonts w:ascii="黑体" w:hAnsi="黑体" w:eastAsia="黑体"/>
          <w:color w:val="auto"/>
          <w:spacing w:val="44"/>
          <w:sz w:val="27"/>
          <w:szCs w:val="27"/>
          <w:highlight w:val="none"/>
        </w:rPr>
        <w:t>(</w:t>
      </w:r>
      <w:r>
        <w:rPr>
          <w:rFonts w:ascii="黑体" w:hAnsi="黑体" w:eastAsia="黑体"/>
          <w:color w:val="auto"/>
          <w:spacing w:val="39"/>
          <w:sz w:val="27"/>
          <w:szCs w:val="27"/>
          <w:highlight w:val="none"/>
        </w:rPr>
        <w:t>一)基本情况表</w:t>
      </w:r>
      <w:bookmarkEnd w:id="404"/>
      <w:bookmarkEnd w:id="405"/>
      <w:bookmarkEnd w:id="406"/>
      <w:bookmarkEnd w:id="407"/>
      <w:bookmarkEnd w:id="408"/>
    </w:p>
    <w:p w14:paraId="32E7B6AD">
      <w:pPr>
        <w:rPr>
          <w:color w:val="auto"/>
          <w:highlight w:val="none"/>
        </w:rPr>
      </w:pPr>
    </w:p>
    <w:p w14:paraId="3578C8E3">
      <w:pPr>
        <w:spacing w:line="49" w:lineRule="auto"/>
        <w:rPr>
          <w:color w:val="auto"/>
          <w:sz w:val="2"/>
          <w:highlight w:val="none"/>
        </w:rPr>
      </w:pPr>
    </w:p>
    <w:tbl>
      <w:tblPr>
        <w:tblStyle w:val="19"/>
        <w:tblW w:w="8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0"/>
        <w:gridCol w:w="897"/>
        <w:gridCol w:w="1025"/>
        <w:gridCol w:w="1287"/>
        <w:gridCol w:w="414"/>
        <w:gridCol w:w="872"/>
        <w:gridCol w:w="827"/>
        <w:gridCol w:w="284"/>
        <w:gridCol w:w="1234"/>
      </w:tblGrid>
      <w:tr w14:paraId="6D193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50" w:type="dxa"/>
          </w:tcPr>
          <w:p w14:paraId="358D334B">
            <w:pPr>
              <w:spacing w:before="174" w:line="221" w:lineRule="auto"/>
              <w:ind w:left="507"/>
              <w:rPr>
                <w:rFonts w:hint="eastAsia" w:ascii="宋体" w:hAnsi="宋体" w:eastAsia="宋体"/>
                <w:color w:val="auto"/>
                <w:spacing w:val="-2"/>
                <w:highlight w:val="none"/>
              </w:rPr>
            </w:pPr>
            <w:r>
              <w:rPr>
                <w:rFonts w:ascii="宋体" w:hAnsi="宋体" w:eastAsia="宋体"/>
                <w:color w:val="auto"/>
                <w:spacing w:val="-2"/>
                <w:highlight w:val="none"/>
              </w:rPr>
              <w:t>投标人名</w:t>
            </w:r>
            <w:r>
              <w:rPr>
                <w:rFonts w:ascii="宋体" w:hAnsi="宋体" w:eastAsia="宋体"/>
                <w:color w:val="auto"/>
                <w:spacing w:val="-1"/>
                <w:highlight w:val="none"/>
              </w:rPr>
              <w:t>称</w:t>
            </w:r>
          </w:p>
        </w:tc>
        <w:tc>
          <w:tcPr>
            <w:tcW w:w="6840" w:type="dxa"/>
            <w:gridSpan w:val="8"/>
          </w:tcPr>
          <w:p w14:paraId="1213A0DD">
            <w:pPr>
              <w:rPr>
                <w:color w:val="auto"/>
                <w:highlight w:val="none"/>
              </w:rPr>
            </w:pPr>
          </w:p>
        </w:tc>
      </w:tr>
      <w:tr w14:paraId="3E81D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50" w:type="dxa"/>
          </w:tcPr>
          <w:p w14:paraId="7E238961">
            <w:pPr>
              <w:spacing w:before="170" w:line="222" w:lineRule="auto"/>
              <w:ind w:left="610"/>
              <w:rPr>
                <w:rFonts w:hint="eastAsia" w:ascii="宋体" w:hAnsi="宋体" w:eastAsia="宋体"/>
                <w:color w:val="auto"/>
                <w:spacing w:val="-2"/>
                <w:highlight w:val="none"/>
              </w:rPr>
            </w:pPr>
            <w:r>
              <w:rPr>
                <w:rFonts w:ascii="宋体" w:hAnsi="宋体" w:eastAsia="宋体"/>
                <w:color w:val="auto"/>
                <w:spacing w:val="-2"/>
                <w:highlight w:val="none"/>
              </w:rPr>
              <w:t>注册地</w:t>
            </w:r>
            <w:r>
              <w:rPr>
                <w:rFonts w:ascii="宋体" w:hAnsi="宋体" w:eastAsia="宋体"/>
                <w:color w:val="auto"/>
                <w:spacing w:val="-1"/>
                <w:highlight w:val="none"/>
              </w:rPr>
              <w:t>址</w:t>
            </w:r>
          </w:p>
        </w:tc>
        <w:tc>
          <w:tcPr>
            <w:tcW w:w="3209" w:type="dxa"/>
            <w:gridSpan w:val="3"/>
          </w:tcPr>
          <w:p w14:paraId="4CCE368E">
            <w:pPr>
              <w:rPr>
                <w:color w:val="auto"/>
                <w:highlight w:val="none"/>
              </w:rPr>
            </w:pPr>
          </w:p>
        </w:tc>
        <w:tc>
          <w:tcPr>
            <w:tcW w:w="1286" w:type="dxa"/>
            <w:gridSpan w:val="2"/>
          </w:tcPr>
          <w:p w14:paraId="12DA9A37">
            <w:pPr>
              <w:spacing w:before="170" w:line="220" w:lineRule="auto"/>
              <w:ind w:left="243"/>
              <w:rPr>
                <w:rFonts w:hint="eastAsia" w:ascii="宋体" w:hAnsi="宋体" w:eastAsia="宋体"/>
                <w:color w:val="auto"/>
                <w:spacing w:val="-6"/>
                <w:highlight w:val="none"/>
              </w:rPr>
            </w:pPr>
            <w:r>
              <w:rPr>
                <w:rFonts w:ascii="宋体" w:hAnsi="宋体" w:eastAsia="宋体"/>
                <w:color w:val="auto"/>
                <w:spacing w:val="-6"/>
                <w:highlight w:val="none"/>
              </w:rPr>
              <w:t>邮</w:t>
            </w:r>
            <w:r>
              <w:rPr>
                <w:rFonts w:ascii="宋体" w:hAnsi="宋体" w:eastAsia="宋体"/>
                <w:color w:val="auto"/>
                <w:spacing w:val="-4"/>
                <w:highlight w:val="none"/>
              </w:rPr>
              <w:t>政编码</w:t>
            </w:r>
          </w:p>
        </w:tc>
        <w:tc>
          <w:tcPr>
            <w:tcW w:w="2345" w:type="dxa"/>
            <w:gridSpan w:val="3"/>
          </w:tcPr>
          <w:p w14:paraId="3AB35A01">
            <w:pPr>
              <w:rPr>
                <w:color w:val="auto"/>
                <w:highlight w:val="none"/>
              </w:rPr>
            </w:pPr>
          </w:p>
        </w:tc>
      </w:tr>
      <w:tr w14:paraId="5FB91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Merge w:val="restart"/>
          </w:tcPr>
          <w:p w14:paraId="5D2A4FFF">
            <w:pPr>
              <w:spacing w:line="325" w:lineRule="auto"/>
              <w:rPr>
                <w:color w:val="auto"/>
                <w:highlight w:val="none"/>
              </w:rPr>
            </w:pPr>
          </w:p>
          <w:p w14:paraId="34180F03">
            <w:pPr>
              <w:spacing w:before="68" w:line="220" w:lineRule="auto"/>
              <w:ind w:left="611"/>
              <w:rPr>
                <w:rFonts w:hint="eastAsia" w:ascii="宋体" w:hAnsi="宋体" w:eastAsia="宋体"/>
                <w:color w:val="auto"/>
                <w:spacing w:val="-2"/>
                <w:highlight w:val="none"/>
              </w:rPr>
            </w:pPr>
            <w:r>
              <w:rPr>
                <w:rFonts w:ascii="宋体" w:hAnsi="宋体" w:eastAsia="宋体"/>
                <w:color w:val="auto"/>
                <w:spacing w:val="-2"/>
                <w:highlight w:val="none"/>
              </w:rPr>
              <w:t>联系方</w:t>
            </w:r>
            <w:r>
              <w:rPr>
                <w:rFonts w:ascii="宋体" w:hAnsi="宋体" w:eastAsia="宋体"/>
                <w:color w:val="auto"/>
                <w:spacing w:val="-1"/>
                <w:highlight w:val="none"/>
              </w:rPr>
              <w:t>式</w:t>
            </w:r>
          </w:p>
        </w:tc>
        <w:tc>
          <w:tcPr>
            <w:tcW w:w="897" w:type="dxa"/>
          </w:tcPr>
          <w:p w14:paraId="3837CC8F">
            <w:pPr>
              <w:spacing w:before="172" w:line="222" w:lineRule="auto"/>
              <w:ind w:left="138"/>
              <w:rPr>
                <w:rFonts w:hint="eastAsia" w:ascii="宋体" w:hAnsi="宋体" w:eastAsia="宋体"/>
                <w:color w:val="auto"/>
                <w:spacing w:val="-3"/>
                <w:highlight w:val="none"/>
              </w:rPr>
            </w:pPr>
            <w:r>
              <w:rPr>
                <w:rFonts w:ascii="宋体" w:hAnsi="宋体" w:eastAsia="宋体"/>
                <w:color w:val="auto"/>
                <w:spacing w:val="-3"/>
                <w:highlight w:val="none"/>
              </w:rPr>
              <w:t>联</w:t>
            </w:r>
            <w:r>
              <w:rPr>
                <w:rFonts w:ascii="宋体" w:hAnsi="宋体" w:eastAsia="宋体"/>
                <w:color w:val="auto"/>
                <w:spacing w:val="-2"/>
                <w:highlight w:val="none"/>
              </w:rPr>
              <w:t>系人</w:t>
            </w:r>
          </w:p>
        </w:tc>
        <w:tc>
          <w:tcPr>
            <w:tcW w:w="2312" w:type="dxa"/>
            <w:gridSpan w:val="2"/>
          </w:tcPr>
          <w:p w14:paraId="7607C1C9">
            <w:pPr>
              <w:rPr>
                <w:color w:val="auto"/>
                <w:highlight w:val="none"/>
              </w:rPr>
            </w:pPr>
          </w:p>
        </w:tc>
        <w:tc>
          <w:tcPr>
            <w:tcW w:w="1286" w:type="dxa"/>
            <w:gridSpan w:val="2"/>
          </w:tcPr>
          <w:p w14:paraId="7FE2A584">
            <w:pPr>
              <w:spacing w:before="172" w:line="222" w:lineRule="auto"/>
              <w:ind w:left="411"/>
              <w:rPr>
                <w:rFonts w:hint="eastAsia" w:ascii="宋体" w:hAnsi="宋体" w:eastAsia="宋体"/>
                <w:color w:val="auto"/>
                <w:spacing w:val="-10"/>
                <w:highlight w:val="none"/>
              </w:rPr>
            </w:pPr>
            <w:r>
              <w:rPr>
                <w:rFonts w:ascii="宋体" w:hAnsi="宋体" w:eastAsia="宋体"/>
                <w:color w:val="auto"/>
                <w:spacing w:val="-10"/>
                <w:highlight w:val="none"/>
              </w:rPr>
              <w:t>电</w:t>
            </w:r>
            <w:r>
              <w:rPr>
                <w:rFonts w:ascii="宋体" w:hAnsi="宋体" w:eastAsia="宋体"/>
                <w:color w:val="auto"/>
                <w:spacing w:val="-8"/>
                <w:highlight w:val="none"/>
              </w:rPr>
              <w:t xml:space="preserve"> 话</w:t>
            </w:r>
          </w:p>
        </w:tc>
        <w:tc>
          <w:tcPr>
            <w:tcW w:w="2345" w:type="dxa"/>
            <w:gridSpan w:val="3"/>
          </w:tcPr>
          <w:p w14:paraId="109BCBD4">
            <w:pPr>
              <w:rPr>
                <w:color w:val="auto"/>
                <w:highlight w:val="none"/>
              </w:rPr>
            </w:pPr>
          </w:p>
        </w:tc>
      </w:tr>
      <w:tr w14:paraId="45A50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Merge w:val="continue"/>
          </w:tcPr>
          <w:p w14:paraId="409EAC3E">
            <w:pPr>
              <w:rPr>
                <w:color w:val="auto"/>
                <w:highlight w:val="none"/>
              </w:rPr>
            </w:pPr>
          </w:p>
        </w:tc>
        <w:tc>
          <w:tcPr>
            <w:tcW w:w="897" w:type="dxa"/>
          </w:tcPr>
          <w:p w14:paraId="3B4128C1">
            <w:pPr>
              <w:spacing w:before="171" w:line="217" w:lineRule="auto"/>
              <w:ind w:left="135"/>
              <w:rPr>
                <w:rFonts w:hint="eastAsia" w:ascii="宋体" w:hAnsi="宋体" w:eastAsia="宋体"/>
                <w:color w:val="auto"/>
                <w:spacing w:val="1"/>
                <w:highlight w:val="none"/>
              </w:rPr>
            </w:pPr>
            <w:r>
              <w:rPr>
                <w:rFonts w:ascii="宋体" w:hAnsi="宋体" w:eastAsia="宋体"/>
                <w:color w:val="auto"/>
                <w:spacing w:val="1"/>
                <w:highlight w:val="none"/>
              </w:rPr>
              <w:t>传  真</w:t>
            </w:r>
          </w:p>
        </w:tc>
        <w:tc>
          <w:tcPr>
            <w:tcW w:w="2312" w:type="dxa"/>
            <w:gridSpan w:val="2"/>
          </w:tcPr>
          <w:p w14:paraId="24812CAF">
            <w:pPr>
              <w:rPr>
                <w:color w:val="auto"/>
                <w:highlight w:val="none"/>
              </w:rPr>
            </w:pPr>
          </w:p>
        </w:tc>
        <w:tc>
          <w:tcPr>
            <w:tcW w:w="1286" w:type="dxa"/>
            <w:gridSpan w:val="2"/>
          </w:tcPr>
          <w:p w14:paraId="18130E0D">
            <w:pPr>
              <w:spacing w:before="171" w:line="225" w:lineRule="auto"/>
              <w:ind w:left="402"/>
              <w:rPr>
                <w:rFonts w:hint="eastAsia" w:ascii="宋体" w:hAnsi="宋体" w:eastAsia="宋体"/>
                <w:color w:val="auto"/>
                <w:spacing w:val="-7"/>
                <w:highlight w:val="none"/>
              </w:rPr>
            </w:pPr>
            <w:r>
              <w:rPr>
                <w:rFonts w:ascii="宋体" w:hAnsi="宋体" w:eastAsia="宋体"/>
                <w:color w:val="auto"/>
                <w:spacing w:val="-7"/>
                <w:highlight w:val="none"/>
              </w:rPr>
              <w:t>网</w:t>
            </w:r>
            <w:r>
              <w:rPr>
                <w:rFonts w:ascii="宋体" w:hAnsi="宋体" w:eastAsia="宋体"/>
                <w:color w:val="auto"/>
                <w:spacing w:val="-5"/>
                <w:highlight w:val="none"/>
              </w:rPr>
              <w:t xml:space="preserve"> 址</w:t>
            </w:r>
          </w:p>
        </w:tc>
        <w:tc>
          <w:tcPr>
            <w:tcW w:w="2345" w:type="dxa"/>
            <w:gridSpan w:val="3"/>
          </w:tcPr>
          <w:p w14:paraId="499E0518">
            <w:pPr>
              <w:rPr>
                <w:color w:val="auto"/>
                <w:highlight w:val="none"/>
              </w:rPr>
            </w:pPr>
          </w:p>
        </w:tc>
      </w:tr>
      <w:tr w14:paraId="54CD4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1A9C4B7D">
            <w:pPr>
              <w:spacing w:before="171" w:line="219" w:lineRule="auto"/>
              <w:ind w:left="505"/>
              <w:rPr>
                <w:rFonts w:hint="eastAsia" w:ascii="宋体" w:hAnsi="宋体" w:eastAsia="宋体"/>
                <w:color w:val="auto"/>
                <w:spacing w:val="-2"/>
                <w:highlight w:val="none"/>
              </w:rPr>
            </w:pPr>
            <w:r>
              <w:rPr>
                <w:rFonts w:ascii="宋体" w:hAnsi="宋体" w:eastAsia="宋体"/>
                <w:color w:val="auto"/>
                <w:spacing w:val="-2"/>
                <w:highlight w:val="none"/>
              </w:rPr>
              <w:t>法定代</w:t>
            </w:r>
            <w:r>
              <w:rPr>
                <w:rFonts w:ascii="宋体" w:hAnsi="宋体" w:eastAsia="宋体"/>
                <w:color w:val="auto"/>
                <w:spacing w:val="-1"/>
                <w:highlight w:val="none"/>
              </w:rPr>
              <w:t>表人</w:t>
            </w:r>
          </w:p>
        </w:tc>
        <w:tc>
          <w:tcPr>
            <w:tcW w:w="897" w:type="dxa"/>
          </w:tcPr>
          <w:p w14:paraId="69F12FA5">
            <w:pPr>
              <w:spacing w:before="171" w:line="220" w:lineRule="auto"/>
              <w:ind w:left="242"/>
              <w:rPr>
                <w:rFonts w:hint="eastAsia" w:ascii="宋体" w:hAnsi="宋体" w:eastAsia="宋体"/>
                <w:color w:val="auto"/>
                <w:spacing w:val="-3"/>
                <w:highlight w:val="none"/>
              </w:rPr>
            </w:pPr>
            <w:r>
              <w:rPr>
                <w:rFonts w:ascii="宋体" w:hAnsi="宋体" w:eastAsia="宋体"/>
                <w:color w:val="auto"/>
                <w:spacing w:val="-3"/>
                <w:highlight w:val="none"/>
              </w:rPr>
              <w:t>姓</w:t>
            </w:r>
            <w:r>
              <w:rPr>
                <w:rFonts w:ascii="宋体" w:hAnsi="宋体" w:eastAsia="宋体"/>
                <w:color w:val="auto"/>
                <w:spacing w:val="-2"/>
                <w:highlight w:val="none"/>
              </w:rPr>
              <w:t>名</w:t>
            </w:r>
          </w:p>
        </w:tc>
        <w:tc>
          <w:tcPr>
            <w:tcW w:w="1025" w:type="dxa"/>
          </w:tcPr>
          <w:p w14:paraId="7067D12F">
            <w:pPr>
              <w:rPr>
                <w:color w:val="auto"/>
                <w:highlight w:val="none"/>
              </w:rPr>
            </w:pPr>
          </w:p>
        </w:tc>
        <w:tc>
          <w:tcPr>
            <w:tcW w:w="1287" w:type="dxa"/>
          </w:tcPr>
          <w:p w14:paraId="34DAD165">
            <w:pPr>
              <w:spacing w:before="171" w:line="220" w:lineRule="auto"/>
              <w:ind w:left="229"/>
              <w:rPr>
                <w:rFonts w:hint="eastAsia" w:ascii="宋体" w:hAnsi="宋体" w:eastAsia="宋体"/>
                <w:color w:val="auto"/>
                <w:spacing w:val="-2"/>
                <w:highlight w:val="none"/>
              </w:rPr>
            </w:pPr>
            <w:r>
              <w:rPr>
                <w:rFonts w:ascii="宋体" w:hAnsi="宋体" w:eastAsia="宋体"/>
                <w:color w:val="auto"/>
                <w:spacing w:val="-2"/>
                <w:highlight w:val="none"/>
              </w:rPr>
              <w:t>技术职</w:t>
            </w:r>
            <w:r>
              <w:rPr>
                <w:rFonts w:ascii="宋体" w:hAnsi="宋体" w:eastAsia="宋体"/>
                <w:color w:val="auto"/>
                <w:spacing w:val="-1"/>
                <w:highlight w:val="none"/>
              </w:rPr>
              <w:t>称</w:t>
            </w:r>
          </w:p>
        </w:tc>
        <w:tc>
          <w:tcPr>
            <w:tcW w:w="1286" w:type="dxa"/>
            <w:gridSpan w:val="2"/>
          </w:tcPr>
          <w:p w14:paraId="1847DF17">
            <w:pPr>
              <w:rPr>
                <w:color w:val="auto"/>
                <w:highlight w:val="none"/>
              </w:rPr>
            </w:pPr>
          </w:p>
        </w:tc>
        <w:tc>
          <w:tcPr>
            <w:tcW w:w="1111" w:type="dxa"/>
            <w:gridSpan w:val="2"/>
          </w:tcPr>
          <w:p w14:paraId="65910EA3">
            <w:pPr>
              <w:spacing w:before="172" w:line="222" w:lineRule="auto"/>
              <w:ind w:left="376"/>
              <w:rPr>
                <w:rFonts w:hint="eastAsia" w:ascii="宋体" w:hAnsi="宋体" w:eastAsia="宋体"/>
                <w:color w:val="auto"/>
                <w:spacing w:val="-9"/>
                <w:highlight w:val="none"/>
              </w:rPr>
            </w:pPr>
            <w:r>
              <w:rPr>
                <w:rFonts w:ascii="宋体" w:hAnsi="宋体" w:eastAsia="宋体"/>
                <w:color w:val="auto"/>
                <w:spacing w:val="-9"/>
                <w:highlight w:val="none"/>
              </w:rPr>
              <w:t>电</w:t>
            </w:r>
            <w:r>
              <w:rPr>
                <w:rFonts w:ascii="宋体" w:hAnsi="宋体" w:eastAsia="宋体"/>
                <w:color w:val="auto"/>
                <w:spacing w:val="-8"/>
                <w:highlight w:val="none"/>
              </w:rPr>
              <w:t>话</w:t>
            </w:r>
          </w:p>
        </w:tc>
        <w:tc>
          <w:tcPr>
            <w:tcW w:w="1234" w:type="dxa"/>
          </w:tcPr>
          <w:p w14:paraId="062B3B8C">
            <w:pPr>
              <w:rPr>
                <w:color w:val="auto"/>
                <w:highlight w:val="none"/>
              </w:rPr>
            </w:pPr>
          </w:p>
        </w:tc>
      </w:tr>
      <w:tr w14:paraId="16406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5F915F9B">
            <w:pPr>
              <w:spacing w:before="172" w:line="217" w:lineRule="auto"/>
              <w:ind w:left="505"/>
              <w:rPr>
                <w:rFonts w:hint="eastAsia" w:ascii="宋体" w:hAnsi="宋体" w:eastAsia="宋体"/>
                <w:color w:val="auto"/>
                <w:spacing w:val="-2"/>
                <w:highlight w:val="none"/>
              </w:rPr>
            </w:pPr>
            <w:r>
              <w:rPr>
                <w:rFonts w:ascii="宋体" w:hAnsi="宋体" w:eastAsia="宋体"/>
                <w:color w:val="auto"/>
                <w:spacing w:val="-2"/>
                <w:highlight w:val="none"/>
              </w:rPr>
              <w:t>技术负</w:t>
            </w:r>
            <w:r>
              <w:rPr>
                <w:rFonts w:ascii="宋体" w:hAnsi="宋体" w:eastAsia="宋体"/>
                <w:color w:val="auto"/>
                <w:spacing w:val="-1"/>
                <w:highlight w:val="none"/>
              </w:rPr>
              <w:t>责人</w:t>
            </w:r>
          </w:p>
        </w:tc>
        <w:tc>
          <w:tcPr>
            <w:tcW w:w="897" w:type="dxa"/>
          </w:tcPr>
          <w:p w14:paraId="463635F5">
            <w:pPr>
              <w:spacing w:before="171" w:line="220" w:lineRule="auto"/>
              <w:ind w:left="242"/>
              <w:rPr>
                <w:rFonts w:hint="eastAsia" w:ascii="宋体" w:hAnsi="宋体" w:eastAsia="宋体"/>
                <w:color w:val="auto"/>
                <w:spacing w:val="-3"/>
                <w:highlight w:val="none"/>
              </w:rPr>
            </w:pPr>
            <w:r>
              <w:rPr>
                <w:rFonts w:ascii="宋体" w:hAnsi="宋体" w:eastAsia="宋体"/>
                <w:color w:val="auto"/>
                <w:spacing w:val="-3"/>
                <w:highlight w:val="none"/>
              </w:rPr>
              <w:t>姓</w:t>
            </w:r>
            <w:r>
              <w:rPr>
                <w:rFonts w:ascii="宋体" w:hAnsi="宋体" w:eastAsia="宋体"/>
                <w:color w:val="auto"/>
                <w:spacing w:val="-2"/>
                <w:highlight w:val="none"/>
              </w:rPr>
              <w:t>名</w:t>
            </w:r>
          </w:p>
        </w:tc>
        <w:tc>
          <w:tcPr>
            <w:tcW w:w="1025" w:type="dxa"/>
          </w:tcPr>
          <w:p w14:paraId="0FEFF9EC">
            <w:pPr>
              <w:rPr>
                <w:color w:val="auto"/>
                <w:highlight w:val="none"/>
              </w:rPr>
            </w:pPr>
          </w:p>
        </w:tc>
        <w:tc>
          <w:tcPr>
            <w:tcW w:w="1287" w:type="dxa"/>
          </w:tcPr>
          <w:p w14:paraId="0A85E82D">
            <w:pPr>
              <w:spacing w:before="171" w:line="220" w:lineRule="auto"/>
              <w:ind w:left="229"/>
              <w:rPr>
                <w:rFonts w:hint="eastAsia" w:ascii="宋体" w:hAnsi="宋体" w:eastAsia="宋体"/>
                <w:color w:val="auto"/>
                <w:spacing w:val="-2"/>
                <w:highlight w:val="none"/>
              </w:rPr>
            </w:pPr>
            <w:r>
              <w:rPr>
                <w:rFonts w:ascii="宋体" w:hAnsi="宋体" w:eastAsia="宋体"/>
                <w:color w:val="auto"/>
                <w:spacing w:val="-2"/>
                <w:highlight w:val="none"/>
              </w:rPr>
              <w:t>技术职</w:t>
            </w:r>
            <w:r>
              <w:rPr>
                <w:rFonts w:ascii="宋体" w:hAnsi="宋体" w:eastAsia="宋体"/>
                <w:color w:val="auto"/>
                <w:spacing w:val="-1"/>
                <w:highlight w:val="none"/>
              </w:rPr>
              <w:t>称</w:t>
            </w:r>
          </w:p>
        </w:tc>
        <w:tc>
          <w:tcPr>
            <w:tcW w:w="1286" w:type="dxa"/>
            <w:gridSpan w:val="2"/>
          </w:tcPr>
          <w:p w14:paraId="48B1B9F1">
            <w:pPr>
              <w:rPr>
                <w:color w:val="auto"/>
                <w:highlight w:val="none"/>
              </w:rPr>
            </w:pPr>
          </w:p>
        </w:tc>
        <w:tc>
          <w:tcPr>
            <w:tcW w:w="1111" w:type="dxa"/>
            <w:gridSpan w:val="2"/>
          </w:tcPr>
          <w:p w14:paraId="078AF27C">
            <w:pPr>
              <w:spacing w:before="172" w:line="222" w:lineRule="auto"/>
              <w:ind w:left="376"/>
              <w:rPr>
                <w:rFonts w:hint="eastAsia" w:ascii="宋体" w:hAnsi="宋体" w:eastAsia="宋体"/>
                <w:color w:val="auto"/>
                <w:spacing w:val="-9"/>
                <w:highlight w:val="none"/>
              </w:rPr>
            </w:pPr>
            <w:r>
              <w:rPr>
                <w:rFonts w:ascii="宋体" w:hAnsi="宋体" w:eastAsia="宋体"/>
                <w:color w:val="auto"/>
                <w:spacing w:val="-9"/>
                <w:highlight w:val="none"/>
              </w:rPr>
              <w:t>电</w:t>
            </w:r>
            <w:r>
              <w:rPr>
                <w:rFonts w:ascii="宋体" w:hAnsi="宋体" w:eastAsia="宋体"/>
                <w:color w:val="auto"/>
                <w:spacing w:val="-8"/>
                <w:highlight w:val="none"/>
              </w:rPr>
              <w:t>话</w:t>
            </w:r>
          </w:p>
        </w:tc>
        <w:tc>
          <w:tcPr>
            <w:tcW w:w="1234" w:type="dxa"/>
          </w:tcPr>
          <w:p w14:paraId="6AA0EAE0">
            <w:pPr>
              <w:rPr>
                <w:color w:val="auto"/>
                <w:highlight w:val="none"/>
              </w:rPr>
            </w:pPr>
          </w:p>
        </w:tc>
      </w:tr>
      <w:tr w14:paraId="438D8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39142C20">
            <w:pPr>
              <w:spacing w:before="172" w:line="219" w:lineRule="auto"/>
              <w:ind w:left="193"/>
              <w:rPr>
                <w:rFonts w:hint="eastAsia" w:ascii="宋体" w:hAnsi="宋体" w:eastAsia="宋体"/>
                <w:color w:val="auto"/>
                <w:spacing w:val="-2"/>
                <w:highlight w:val="none"/>
              </w:rPr>
            </w:pPr>
            <w:r>
              <w:rPr>
                <w:rFonts w:ascii="宋体" w:hAnsi="宋体" w:eastAsia="宋体"/>
                <w:color w:val="auto"/>
                <w:spacing w:val="-2"/>
                <w:highlight w:val="none"/>
              </w:rPr>
              <w:t>企</w:t>
            </w:r>
            <w:r>
              <w:rPr>
                <w:rFonts w:ascii="宋体" w:hAnsi="宋体" w:eastAsia="宋体"/>
                <w:color w:val="auto"/>
                <w:spacing w:val="-1"/>
                <w:highlight w:val="none"/>
              </w:rPr>
              <w:t>业勘察资质证书</w:t>
            </w:r>
          </w:p>
        </w:tc>
        <w:tc>
          <w:tcPr>
            <w:tcW w:w="1922" w:type="dxa"/>
            <w:gridSpan w:val="2"/>
          </w:tcPr>
          <w:p w14:paraId="3FEC0E64">
            <w:pPr>
              <w:spacing w:before="172" w:line="221" w:lineRule="auto"/>
              <w:ind w:left="1063"/>
              <w:rPr>
                <w:rFonts w:hint="eastAsia" w:ascii="宋体" w:hAnsi="宋体" w:eastAsia="宋体"/>
                <w:color w:val="auto"/>
                <w:spacing w:val="-12"/>
                <w:highlight w:val="none"/>
              </w:rPr>
            </w:pPr>
            <w:r>
              <w:rPr>
                <w:rFonts w:ascii="宋体" w:hAnsi="宋体" w:eastAsia="宋体"/>
                <w:color w:val="auto"/>
                <w:spacing w:val="-12"/>
                <w:highlight w:val="none"/>
              </w:rPr>
              <w:t>类型：</w:t>
            </w:r>
          </w:p>
        </w:tc>
        <w:tc>
          <w:tcPr>
            <w:tcW w:w="4918" w:type="dxa"/>
            <w:gridSpan w:val="6"/>
          </w:tcPr>
          <w:p w14:paraId="7423C8DD">
            <w:pPr>
              <w:spacing w:before="172" w:line="220" w:lineRule="auto"/>
              <w:ind w:left="1874"/>
              <w:rPr>
                <w:rFonts w:hint="eastAsia" w:ascii="宋体" w:hAnsi="宋体" w:eastAsia="宋体"/>
                <w:color w:val="auto"/>
                <w:spacing w:val="-10"/>
                <w:highlight w:val="none"/>
              </w:rPr>
            </w:pPr>
            <w:r>
              <w:rPr>
                <w:rFonts w:ascii="宋体" w:hAnsi="宋体" w:eastAsia="宋体"/>
                <w:color w:val="auto"/>
                <w:spacing w:val="-10"/>
                <w:highlight w:val="none"/>
              </w:rPr>
              <w:t>等</w:t>
            </w:r>
            <w:r>
              <w:rPr>
                <w:rFonts w:ascii="宋体" w:hAnsi="宋体" w:eastAsia="宋体"/>
                <w:color w:val="auto"/>
                <w:spacing w:val="-8"/>
                <w:highlight w:val="none"/>
              </w:rPr>
              <w:t>级：       证书号：</w:t>
            </w:r>
          </w:p>
        </w:tc>
      </w:tr>
      <w:tr w14:paraId="4324E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0BC2DDC5">
            <w:pPr>
              <w:spacing w:before="171" w:line="219" w:lineRule="auto"/>
              <w:ind w:left="193"/>
              <w:rPr>
                <w:rFonts w:hint="eastAsia" w:ascii="宋体" w:hAnsi="宋体" w:eastAsia="宋体"/>
                <w:color w:val="auto"/>
                <w:spacing w:val="-2"/>
                <w:highlight w:val="none"/>
              </w:rPr>
            </w:pPr>
            <w:r>
              <w:rPr>
                <w:rFonts w:ascii="宋体" w:hAnsi="宋体" w:eastAsia="宋体"/>
                <w:color w:val="auto"/>
                <w:spacing w:val="-2"/>
                <w:highlight w:val="none"/>
              </w:rPr>
              <w:t>企业设</w:t>
            </w:r>
            <w:r>
              <w:rPr>
                <w:rFonts w:ascii="宋体" w:hAnsi="宋体" w:eastAsia="宋体"/>
                <w:color w:val="auto"/>
                <w:spacing w:val="-1"/>
                <w:highlight w:val="none"/>
              </w:rPr>
              <w:t>计资质证书</w:t>
            </w:r>
          </w:p>
        </w:tc>
        <w:tc>
          <w:tcPr>
            <w:tcW w:w="1922" w:type="dxa"/>
            <w:gridSpan w:val="2"/>
          </w:tcPr>
          <w:p w14:paraId="22981F94">
            <w:pPr>
              <w:spacing w:before="171" w:line="220" w:lineRule="auto"/>
              <w:ind w:left="1060"/>
              <w:rPr>
                <w:rFonts w:hint="eastAsia" w:ascii="宋体" w:hAnsi="宋体" w:eastAsia="宋体"/>
                <w:color w:val="auto"/>
                <w:spacing w:val="-14"/>
                <w:highlight w:val="none"/>
              </w:rPr>
            </w:pPr>
            <w:r>
              <w:rPr>
                <w:rFonts w:ascii="宋体" w:hAnsi="宋体" w:eastAsia="宋体"/>
                <w:color w:val="auto"/>
                <w:spacing w:val="-14"/>
                <w:highlight w:val="none"/>
              </w:rPr>
              <w:t>类</w:t>
            </w:r>
            <w:r>
              <w:rPr>
                <w:rFonts w:ascii="宋体" w:hAnsi="宋体" w:eastAsia="宋体"/>
                <w:color w:val="auto"/>
                <w:spacing w:val="-12"/>
                <w:highlight w:val="none"/>
              </w:rPr>
              <w:t>型：</w:t>
            </w:r>
          </w:p>
        </w:tc>
        <w:tc>
          <w:tcPr>
            <w:tcW w:w="4918" w:type="dxa"/>
            <w:gridSpan w:val="6"/>
          </w:tcPr>
          <w:p w14:paraId="61A499D2">
            <w:pPr>
              <w:spacing w:before="171" w:line="220" w:lineRule="auto"/>
              <w:ind w:left="1872"/>
              <w:rPr>
                <w:rFonts w:hint="eastAsia" w:ascii="宋体" w:hAnsi="宋体" w:eastAsia="宋体"/>
                <w:color w:val="auto"/>
                <w:spacing w:val="-20"/>
                <w:highlight w:val="none"/>
              </w:rPr>
            </w:pPr>
            <w:r>
              <w:rPr>
                <w:rFonts w:ascii="宋体" w:hAnsi="宋体" w:eastAsia="宋体"/>
                <w:color w:val="auto"/>
                <w:spacing w:val="-20"/>
                <w:highlight w:val="none"/>
              </w:rPr>
              <w:t>等</w:t>
            </w:r>
            <w:r>
              <w:rPr>
                <w:rFonts w:ascii="宋体" w:hAnsi="宋体" w:eastAsia="宋体"/>
                <w:color w:val="auto"/>
                <w:spacing w:val="-10"/>
                <w:highlight w:val="none"/>
              </w:rPr>
              <w:t>级：       证书号：</w:t>
            </w:r>
          </w:p>
        </w:tc>
      </w:tr>
      <w:tr w14:paraId="63092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2050" w:type="dxa"/>
          </w:tcPr>
          <w:p w14:paraId="4066867F">
            <w:pPr>
              <w:spacing w:before="171" w:line="220" w:lineRule="auto"/>
              <w:ind w:left="191"/>
              <w:rPr>
                <w:rFonts w:hint="eastAsia" w:ascii="宋体" w:hAnsi="宋体" w:eastAsia="宋体"/>
                <w:color w:val="auto"/>
                <w:spacing w:val="-1"/>
                <w:highlight w:val="none"/>
              </w:rPr>
            </w:pPr>
            <w:r>
              <w:rPr>
                <w:rFonts w:ascii="宋体" w:hAnsi="宋体" w:eastAsia="宋体"/>
                <w:color w:val="auto"/>
                <w:spacing w:val="-1"/>
                <w:highlight w:val="none"/>
              </w:rPr>
              <w:t>质量管理体系证书</w:t>
            </w:r>
          </w:p>
          <w:p w14:paraId="07CDE302">
            <w:pPr>
              <w:spacing w:before="189" w:line="221" w:lineRule="auto"/>
              <w:ind w:left="563"/>
              <w:rPr>
                <w:rFonts w:hint="eastAsia" w:ascii="宋体" w:hAnsi="宋体" w:eastAsia="宋体"/>
                <w:color w:val="auto"/>
                <w:spacing w:val="20"/>
                <w:highlight w:val="none"/>
              </w:rPr>
            </w:pPr>
            <w:r>
              <w:rPr>
                <w:rFonts w:ascii="宋体" w:hAnsi="宋体" w:eastAsia="宋体"/>
                <w:color w:val="auto"/>
                <w:spacing w:val="20"/>
                <w:highlight w:val="none"/>
              </w:rPr>
              <w:t>(</w:t>
            </w:r>
            <w:r>
              <w:rPr>
                <w:rFonts w:ascii="宋体" w:hAnsi="宋体" w:eastAsia="宋体"/>
                <w:color w:val="auto"/>
                <w:spacing w:val="19"/>
                <w:highlight w:val="none"/>
              </w:rPr>
              <w:t>如有)</w:t>
            </w:r>
          </w:p>
        </w:tc>
        <w:tc>
          <w:tcPr>
            <w:tcW w:w="1922" w:type="dxa"/>
            <w:gridSpan w:val="2"/>
          </w:tcPr>
          <w:p w14:paraId="651A7BA2">
            <w:pPr>
              <w:spacing w:line="321" w:lineRule="auto"/>
              <w:rPr>
                <w:color w:val="auto"/>
                <w:highlight w:val="none"/>
              </w:rPr>
            </w:pPr>
          </w:p>
          <w:p w14:paraId="67876FDB">
            <w:pPr>
              <w:spacing w:before="68" w:line="220" w:lineRule="auto"/>
              <w:ind w:left="1060"/>
              <w:rPr>
                <w:rFonts w:hint="eastAsia" w:ascii="宋体" w:hAnsi="宋体" w:eastAsia="宋体"/>
                <w:color w:val="auto"/>
                <w:spacing w:val="-14"/>
                <w:highlight w:val="none"/>
              </w:rPr>
            </w:pPr>
            <w:r>
              <w:rPr>
                <w:rFonts w:ascii="宋体" w:hAnsi="宋体" w:eastAsia="宋体"/>
                <w:color w:val="auto"/>
                <w:spacing w:val="-14"/>
                <w:highlight w:val="none"/>
              </w:rPr>
              <w:t>类</w:t>
            </w:r>
            <w:r>
              <w:rPr>
                <w:rFonts w:ascii="宋体" w:hAnsi="宋体" w:eastAsia="宋体"/>
                <w:color w:val="auto"/>
                <w:spacing w:val="-12"/>
                <w:highlight w:val="none"/>
              </w:rPr>
              <w:t>型：</w:t>
            </w:r>
          </w:p>
        </w:tc>
        <w:tc>
          <w:tcPr>
            <w:tcW w:w="4918" w:type="dxa"/>
            <w:gridSpan w:val="6"/>
          </w:tcPr>
          <w:p w14:paraId="26E7E1B5">
            <w:pPr>
              <w:spacing w:line="320" w:lineRule="auto"/>
              <w:rPr>
                <w:color w:val="auto"/>
                <w:highlight w:val="none"/>
              </w:rPr>
            </w:pPr>
          </w:p>
          <w:p w14:paraId="61D7056E">
            <w:pPr>
              <w:spacing w:before="68" w:line="220" w:lineRule="auto"/>
              <w:ind w:left="1872"/>
              <w:rPr>
                <w:rFonts w:hint="eastAsia" w:ascii="宋体" w:hAnsi="宋体" w:eastAsia="宋体"/>
                <w:color w:val="auto"/>
                <w:spacing w:val="-20"/>
                <w:highlight w:val="none"/>
              </w:rPr>
            </w:pPr>
            <w:r>
              <w:rPr>
                <w:rFonts w:ascii="宋体" w:hAnsi="宋体" w:eastAsia="宋体"/>
                <w:color w:val="auto"/>
                <w:spacing w:val="-20"/>
                <w:highlight w:val="none"/>
              </w:rPr>
              <w:t>等</w:t>
            </w:r>
            <w:r>
              <w:rPr>
                <w:rFonts w:ascii="宋体" w:hAnsi="宋体" w:eastAsia="宋体"/>
                <w:color w:val="auto"/>
                <w:spacing w:val="-10"/>
                <w:highlight w:val="none"/>
              </w:rPr>
              <w:t>级：       证书号：</w:t>
            </w:r>
          </w:p>
        </w:tc>
      </w:tr>
      <w:tr w14:paraId="03177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35BCD58E">
            <w:pPr>
              <w:spacing w:before="171" w:line="220" w:lineRule="auto"/>
              <w:ind w:left="511"/>
              <w:rPr>
                <w:rFonts w:hint="eastAsia" w:ascii="宋体" w:hAnsi="宋体" w:eastAsia="宋体"/>
                <w:color w:val="auto"/>
                <w:spacing w:val="-4"/>
                <w:highlight w:val="none"/>
              </w:rPr>
            </w:pPr>
            <w:r>
              <w:rPr>
                <w:rFonts w:ascii="宋体" w:hAnsi="宋体" w:eastAsia="宋体"/>
                <w:color w:val="auto"/>
                <w:spacing w:val="-4"/>
                <w:highlight w:val="none"/>
              </w:rPr>
              <w:t>营</w:t>
            </w:r>
            <w:r>
              <w:rPr>
                <w:rFonts w:ascii="宋体" w:hAnsi="宋体" w:eastAsia="宋体"/>
                <w:color w:val="auto"/>
                <w:spacing w:val="-2"/>
                <w:highlight w:val="none"/>
              </w:rPr>
              <w:t>业执照号</w:t>
            </w:r>
          </w:p>
        </w:tc>
        <w:tc>
          <w:tcPr>
            <w:tcW w:w="3209" w:type="dxa"/>
            <w:gridSpan w:val="3"/>
          </w:tcPr>
          <w:p w14:paraId="721D0725">
            <w:pPr>
              <w:rPr>
                <w:color w:val="auto"/>
                <w:highlight w:val="none"/>
              </w:rPr>
            </w:pPr>
          </w:p>
        </w:tc>
        <w:tc>
          <w:tcPr>
            <w:tcW w:w="3631" w:type="dxa"/>
            <w:gridSpan w:val="5"/>
          </w:tcPr>
          <w:p w14:paraId="2A913B68">
            <w:pPr>
              <w:spacing w:before="171" w:line="220" w:lineRule="auto"/>
              <w:ind w:left="1197"/>
              <w:rPr>
                <w:rFonts w:hint="eastAsia" w:ascii="宋体" w:hAnsi="宋体" w:eastAsia="宋体"/>
                <w:color w:val="auto"/>
                <w:spacing w:val="-9"/>
                <w:highlight w:val="none"/>
              </w:rPr>
            </w:pPr>
            <w:r>
              <w:rPr>
                <w:rFonts w:ascii="宋体" w:hAnsi="宋体" w:eastAsia="宋体"/>
                <w:color w:val="auto"/>
                <w:spacing w:val="-9"/>
                <w:highlight w:val="none"/>
              </w:rPr>
              <w:t>员工总人数：</w:t>
            </w:r>
          </w:p>
        </w:tc>
      </w:tr>
      <w:tr w14:paraId="4B34A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541949BB">
            <w:pPr>
              <w:spacing w:before="170" w:line="219" w:lineRule="auto"/>
              <w:ind w:left="610"/>
              <w:rPr>
                <w:rFonts w:hint="eastAsia" w:ascii="宋体" w:hAnsi="宋体" w:eastAsia="宋体"/>
                <w:color w:val="auto"/>
                <w:spacing w:val="-2"/>
                <w:highlight w:val="none"/>
              </w:rPr>
            </w:pPr>
            <w:r>
              <w:rPr>
                <w:rFonts w:ascii="宋体" w:hAnsi="宋体" w:eastAsia="宋体"/>
                <w:color w:val="auto"/>
                <w:spacing w:val="-2"/>
                <w:highlight w:val="none"/>
              </w:rPr>
              <w:t>注册资</w:t>
            </w:r>
            <w:r>
              <w:rPr>
                <w:rFonts w:ascii="宋体" w:hAnsi="宋体" w:eastAsia="宋体"/>
                <w:color w:val="auto"/>
                <w:spacing w:val="-1"/>
                <w:highlight w:val="none"/>
              </w:rPr>
              <w:t>本</w:t>
            </w:r>
          </w:p>
        </w:tc>
        <w:tc>
          <w:tcPr>
            <w:tcW w:w="3209" w:type="dxa"/>
            <w:gridSpan w:val="3"/>
          </w:tcPr>
          <w:p w14:paraId="07F87309">
            <w:pPr>
              <w:rPr>
                <w:color w:val="auto"/>
                <w:highlight w:val="none"/>
              </w:rPr>
            </w:pPr>
          </w:p>
        </w:tc>
        <w:tc>
          <w:tcPr>
            <w:tcW w:w="414" w:type="dxa"/>
            <w:vMerge w:val="restart"/>
            <w:textDirection w:val="tbRlV"/>
          </w:tcPr>
          <w:p w14:paraId="4EEB9B77">
            <w:pPr>
              <w:spacing w:before="94" w:line="205" w:lineRule="auto"/>
              <w:ind w:left="625"/>
              <w:rPr>
                <w:rFonts w:hint="eastAsia" w:ascii="宋体" w:hAnsi="宋体" w:eastAsia="宋体"/>
                <w:color w:val="auto"/>
                <w:spacing w:val="6"/>
                <w:highlight w:val="none"/>
              </w:rPr>
            </w:pPr>
            <w:r>
              <w:rPr>
                <w:rFonts w:ascii="宋体" w:hAnsi="宋体" w:eastAsia="宋体"/>
                <w:color w:val="auto"/>
                <w:spacing w:val="6"/>
                <w:highlight w:val="none"/>
              </w:rPr>
              <w:t>其</w:t>
            </w:r>
            <w:r>
              <w:rPr>
                <w:rFonts w:ascii="宋体" w:hAnsi="宋体" w:eastAsia="宋体"/>
                <w:color w:val="auto"/>
                <w:spacing w:val="5"/>
                <w:highlight w:val="none"/>
              </w:rPr>
              <w:t xml:space="preserve">  中</w:t>
            </w:r>
          </w:p>
        </w:tc>
        <w:tc>
          <w:tcPr>
            <w:tcW w:w="1699" w:type="dxa"/>
            <w:gridSpan w:val="2"/>
          </w:tcPr>
          <w:p w14:paraId="709FD8B9">
            <w:pPr>
              <w:spacing w:before="171" w:line="220" w:lineRule="auto"/>
              <w:ind w:left="231"/>
              <w:rPr>
                <w:rFonts w:hint="eastAsia" w:ascii="宋体" w:hAnsi="宋体" w:eastAsia="宋体"/>
                <w:color w:val="auto"/>
                <w:spacing w:val="-2"/>
                <w:highlight w:val="none"/>
              </w:rPr>
            </w:pPr>
            <w:r>
              <w:rPr>
                <w:rFonts w:ascii="宋体" w:hAnsi="宋体" w:eastAsia="宋体"/>
                <w:color w:val="auto"/>
                <w:spacing w:val="-2"/>
                <w:highlight w:val="none"/>
              </w:rPr>
              <w:t>高级职称人员</w:t>
            </w:r>
          </w:p>
        </w:tc>
        <w:tc>
          <w:tcPr>
            <w:tcW w:w="1518" w:type="dxa"/>
            <w:gridSpan w:val="2"/>
          </w:tcPr>
          <w:p w14:paraId="14163C05">
            <w:pPr>
              <w:rPr>
                <w:color w:val="auto"/>
                <w:highlight w:val="none"/>
              </w:rPr>
            </w:pPr>
          </w:p>
        </w:tc>
      </w:tr>
      <w:tr w14:paraId="08EE0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31986609">
            <w:pPr>
              <w:spacing w:before="170" w:line="221" w:lineRule="auto"/>
              <w:ind w:left="612"/>
              <w:rPr>
                <w:rFonts w:hint="eastAsia" w:ascii="宋体" w:hAnsi="宋体" w:eastAsia="宋体"/>
                <w:color w:val="auto"/>
                <w:spacing w:val="-2"/>
                <w:highlight w:val="none"/>
              </w:rPr>
            </w:pPr>
            <w:r>
              <w:rPr>
                <w:rFonts w:ascii="宋体" w:hAnsi="宋体" w:eastAsia="宋体"/>
                <w:color w:val="auto"/>
                <w:spacing w:val="-2"/>
                <w:highlight w:val="none"/>
              </w:rPr>
              <w:t>成立日期</w:t>
            </w:r>
          </w:p>
        </w:tc>
        <w:tc>
          <w:tcPr>
            <w:tcW w:w="3209" w:type="dxa"/>
            <w:gridSpan w:val="3"/>
          </w:tcPr>
          <w:p w14:paraId="5C5F53A2">
            <w:pPr>
              <w:rPr>
                <w:color w:val="auto"/>
                <w:highlight w:val="none"/>
              </w:rPr>
            </w:pPr>
          </w:p>
        </w:tc>
        <w:tc>
          <w:tcPr>
            <w:tcW w:w="414" w:type="dxa"/>
            <w:vMerge w:val="continue"/>
            <w:textDirection w:val="tbRlV"/>
          </w:tcPr>
          <w:p w14:paraId="1DB2DFFA">
            <w:pPr>
              <w:rPr>
                <w:color w:val="auto"/>
                <w:highlight w:val="none"/>
              </w:rPr>
            </w:pPr>
          </w:p>
        </w:tc>
        <w:tc>
          <w:tcPr>
            <w:tcW w:w="1699" w:type="dxa"/>
            <w:gridSpan w:val="2"/>
          </w:tcPr>
          <w:p w14:paraId="3F563FF6">
            <w:pPr>
              <w:spacing w:before="170" w:line="221" w:lineRule="auto"/>
              <w:ind w:left="245"/>
              <w:rPr>
                <w:rFonts w:hint="eastAsia" w:ascii="宋体" w:hAnsi="宋体" w:eastAsia="宋体"/>
                <w:color w:val="auto"/>
                <w:spacing w:val="-4"/>
                <w:highlight w:val="none"/>
              </w:rPr>
            </w:pPr>
            <w:r>
              <w:rPr>
                <w:rFonts w:ascii="宋体" w:hAnsi="宋体" w:eastAsia="宋体"/>
                <w:color w:val="auto"/>
                <w:spacing w:val="-4"/>
                <w:highlight w:val="none"/>
              </w:rPr>
              <w:t>中级职称人员</w:t>
            </w:r>
          </w:p>
        </w:tc>
        <w:tc>
          <w:tcPr>
            <w:tcW w:w="1518" w:type="dxa"/>
            <w:gridSpan w:val="2"/>
          </w:tcPr>
          <w:p w14:paraId="49CC547B">
            <w:pPr>
              <w:rPr>
                <w:color w:val="auto"/>
                <w:highlight w:val="none"/>
              </w:rPr>
            </w:pPr>
          </w:p>
        </w:tc>
      </w:tr>
      <w:tr w14:paraId="49BD0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46092D0A">
            <w:pPr>
              <w:spacing w:before="170" w:line="220" w:lineRule="auto"/>
              <w:ind w:left="190"/>
              <w:rPr>
                <w:rFonts w:hint="eastAsia" w:ascii="宋体" w:hAnsi="宋体" w:eastAsia="宋体"/>
                <w:color w:val="auto"/>
                <w:spacing w:val="-1"/>
                <w:highlight w:val="none"/>
              </w:rPr>
            </w:pPr>
            <w:r>
              <w:rPr>
                <w:rFonts w:ascii="宋体" w:hAnsi="宋体" w:eastAsia="宋体"/>
                <w:color w:val="auto"/>
                <w:spacing w:val="-1"/>
                <w:highlight w:val="none"/>
              </w:rPr>
              <w:t>基本账户开户银行</w:t>
            </w:r>
          </w:p>
        </w:tc>
        <w:tc>
          <w:tcPr>
            <w:tcW w:w="3209" w:type="dxa"/>
            <w:gridSpan w:val="3"/>
          </w:tcPr>
          <w:p w14:paraId="300EBFD9">
            <w:pPr>
              <w:rPr>
                <w:color w:val="auto"/>
                <w:highlight w:val="none"/>
              </w:rPr>
            </w:pPr>
          </w:p>
        </w:tc>
        <w:tc>
          <w:tcPr>
            <w:tcW w:w="414" w:type="dxa"/>
            <w:vMerge w:val="continue"/>
            <w:textDirection w:val="tbRlV"/>
          </w:tcPr>
          <w:p w14:paraId="5965BB64">
            <w:pPr>
              <w:rPr>
                <w:color w:val="auto"/>
                <w:highlight w:val="none"/>
              </w:rPr>
            </w:pPr>
          </w:p>
        </w:tc>
        <w:tc>
          <w:tcPr>
            <w:tcW w:w="1699" w:type="dxa"/>
            <w:gridSpan w:val="2"/>
          </w:tcPr>
          <w:p w14:paraId="2DD32EC0">
            <w:pPr>
              <w:spacing w:before="171" w:line="220" w:lineRule="auto"/>
              <w:ind w:left="226"/>
              <w:rPr>
                <w:rFonts w:hint="eastAsia" w:ascii="宋体" w:hAnsi="宋体" w:eastAsia="宋体"/>
                <w:color w:val="auto"/>
                <w:spacing w:val="-2"/>
                <w:highlight w:val="none"/>
              </w:rPr>
            </w:pPr>
            <w:r>
              <w:rPr>
                <w:rFonts w:ascii="宋体" w:hAnsi="宋体" w:eastAsia="宋体"/>
                <w:color w:val="auto"/>
                <w:spacing w:val="-2"/>
                <w:highlight w:val="none"/>
              </w:rPr>
              <w:t>技术</w:t>
            </w:r>
            <w:r>
              <w:rPr>
                <w:rFonts w:ascii="宋体" w:hAnsi="宋体" w:eastAsia="宋体"/>
                <w:color w:val="auto"/>
                <w:spacing w:val="-1"/>
                <w:highlight w:val="none"/>
              </w:rPr>
              <w:t>人员数量</w:t>
            </w:r>
          </w:p>
        </w:tc>
        <w:tc>
          <w:tcPr>
            <w:tcW w:w="1518" w:type="dxa"/>
            <w:gridSpan w:val="2"/>
          </w:tcPr>
          <w:p w14:paraId="5102B32E">
            <w:pPr>
              <w:rPr>
                <w:color w:val="auto"/>
                <w:highlight w:val="none"/>
              </w:rPr>
            </w:pPr>
          </w:p>
        </w:tc>
      </w:tr>
      <w:tr w14:paraId="09CEB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38FEB3D9">
            <w:pPr>
              <w:spacing w:before="170" w:line="220" w:lineRule="auto"/>
              <w:ind w:left="190"/>
              <w:rPr>
                <w:rFonts w:hint="eastAsia" w:ascii="宋体" w:hAnsi="宋体" w:eastAsia="宋体"/>
                <w:color w:val="auto"/>
                <w:spacing w:val="-1"/>
                <w:highlight w:val="none"/>
              </w:rPr>
            </w:pPr>
            <w:r>
              <w:rPr>
                <w:rFonts w:ascii="宋体" w:hAnsi="宋体" w:eastAsia="宋体"/>
                <w:color w:val="auto"/>
                <w:spacing w:val="-1"/>
                <w:highlight w:val="none"/>
              </w:rPr>
              <w:t>基本账户银行账号</w:t>
            </w:r>
          </w:p>
        </w:tc>
        <w:tc>
          <w:tcPr>
            <w:tcW w:w="3209" w:type="dxa"/>
            <w:gridSpan w:val="3"/>
          </w:tcPr>
          <w:p w14:paraId="59951F24">
            <w:pPr>
              <w:rPr>
                <w:color w:val="auto"/>
                <w:highlight w:val="none"/>
              </w:rPr>
            </w:pPr>
          </w:p>
        </w:tc>
        <w:tc>
          <w:tcPr>
            <w:tcW w:w="414" w:type="dxa"/>
            <w:vMerge w:val="continue"/>
            <w:textDirection w:val="tbRlV"/>
          </w:tcPr>
          <w:p w14:paraId="772D3E59">
            <w:pPr>
              <w:rPr>
                <w:color w:val="auto"/>
                <w:highlight w:val="none"/>
              </w:rPr>
            </w:pPr>
          </w:p>
        </w:tc>
        <w:tc>
          <w:tcPr>
            <w:tcW w:w="1699" w:type="dxa"/>
            <w:gridSpan w:val="2"/>
          </w:tcPr>
          <w:p w14:paraId="47618CDA">
            <w:pPr>
              <w:spacing w:before="171" w:line="220" w:lineRule="auto"/>
              <w:ind w:left="228"/>
              <w:rPr>
                <w:rFonts w:hint="eastAsia" w:ascii="宋体" w:hAnsi="宋体" w:eastAsia="宋体"/>
                <w:color w:val="auto"/>
                <w:spacing w:val="-2"/>
                <w:highlight w:val="none"/>
              </w:rPr>
            </w:pPr>
            <w:r>
              <w:rPr>
                <w:rFonts w:ascii="宋体" w:hAnsi="宋体" w:eastAsia="宋体"/>
                <w:color w:val="auto"/>
                <w:spacing w:val="-2"/>
                <w:highlight w:val="none"/>
              </w:rPr>
              <w:t>各类注</w:t>
            </w:r>
            <w:r>
              <w:rPr>
                <w:rFonts w:ascii="宋体" w:hAnsi="宋体" w:eastAsia="宋体"/>
                <w:color w:val="auto"/>
                <w:spacing w:val="-1"/>
                <w:highlight w:val="none"/>
              </w:rPr>
              <w:t>册人员</w:t>
            </w:r>
          </w:p>
        </w:tc>
        <w:tc>
          <w:tcPr>
            <w:tcW w:w="1518" w:type="dxa"/>
            <w:gridSpan w:val="2"/>
          </w:tcPr>
          <w:p w14:paraId="022E75FE">
            <w:pPr>
              <w:rPr>
                <w:color w:val="auto"/>
                <w:highlight w:val="none"/>
              </w:rPr>
            </w:pPr>
          </w:p>
        </w:tc>
      </w:tr>
      <w:tr w14:paraId="41AF0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2050" w:type="dxa"/>
            <w:vAlign w:val="center"/>
          </w:tcPr>
          <w:p w14:paraId="55BA770A">
            <w:pPr>
              <w:spacing w:before="170" w:line="221" w:lineRule="auto"/>
              <w:jc w:val="center"/>
              <w:rPr>
                <w:rFonts w:hint="eastAsia" w:ascii="宋体" w:hAnsi="宋体" w:eastAsia="宋体"/>
                <w:color w:val="auto"/>
                <w:spacing w:val="-1"/>
                <w:highlight w:val="none"/>
              </w:rPr>
            </w:pPr>
            <w:r>
              <w:rPr>
                <w:rFonts w:ascii="宋体" w:hAnsi="宋体" w:eastAsia="宋体"/>
                <w:color w:val="auto"/>
                <w:spacing w:val="-1"/>
                <w:highlight w:val="none"/>
              </w:rPr>
              <w:t>经营范围</w:t>
            </w:r>
          </w:p>
        </w:tc>
        <w:tc>
          <w:tcPr>
            <w:tcW w:w="6840" w:type="dxa"/>
            <w:gridSpan w:val="8"/>
          </w:tcPr>
          <w:p w14:paraId="4421F4E7">
            <w:pPr>
              <w:rPr>
                <w:color w:val="auto"/>
                <w:highlight w:val="none"/>
              </w:rPr>
            </w:pPr>
          </w:p>
        </w:tc>
      </w:tr>
      <w:tr w14:paraId="730C6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2" w:hRule="atLeast"/>
        </w:trPr>
        <w:tc>
          <w:tcPr>
            <w:tcW w:w="2050" w:type="dxa"/>
            <w:vAlign w:val="center"/>
          </w:tcPr>
          <w:p w14:paraId="26CF17F2">
            <w:pPr>
              <w:spacing w:before="170" w:line="221" w:lineRule="auto"/>
              <w:jc w:val="center"/>
              <w:rPr>
                <w:rFonts w:hint="eastAsia" w:ascii="宋体" w:hAnsi="宋体" w:eastAsia="宋体"/>
                <w:color w:val="auto"/>
                <w:spacing w:val="-1"/>
                <w:highlight w:val="none"/>
              </w:rPr>
            </w:pPr>
            <w:r>
              <w:rPr>
                <w:rFonts w:hint="eastAsia" w:ascii="宋体" w:hAnsi="宋体" w:eastAsia="宋体"/>
                <w:color w:val="auto"/>
                <w:spacing w:val="-1"/>
                <w:highlight w:val="none"/>
              </w:rPr>
              <w:t>投标人关联企业情</w:t>
            </w:r>
          </w:p>
          <w:p w14:paraId="00928CA9">
            <w:pPr>
              <w:spacing w:before="170" w:line="221" w:lineRule="auto"/>
              <w:jc w:val="center"/>
              <w:rPr>
                <w:rFonts w:hint="eastAsia" w:ascii="宋体" w:hAnsi="宋体" w:eastAsia="宋体"/>
                <w:color w:val="auto"/>
                <w:spacing w:val="-1"/>
                <w:highlight w:val="none"/>
              </w:rPr>
            </w:pPr>
            <w:r>
              <w:rPr>
                <w:rFonts w:hint="eastAsia" w:ascii="宋体" w:hAnsi="宋体" w:eastAsia="宋体"/>
                <w:color w:val="auto"/>
                <w:spacing w:val="-1"/>
                <w:highlight w:val="none"/>
              </w:rPr>
              <w:t>况</w:t>
            </w:r>
            <w:r>
              <w:rPr>
                <w:color w:val="auto"/>
                <w:spacing w:val="-1"/>
                <w:highlight w:val="none"/>
              </w:rPr>
              <w:t>(</w:t>
            </w:r>
            <w:r>
              <w:rPr>
                <w:rFonts w:hint="eastAsia" w:ascii="宋体" w:hAnsi="宋体" w:eastAsia="宋体"/>
                <w:color w:val="auto"/>
                <w:spacing w:val="-1"/>
                <w:highlight w:val="none"/>
              </w:rPr>
              <w:t>包括但不限于与</w:t>
            </w:r>
          </w:p>
          <w:p w14:paraId="4D0F049E">
            <w:pPr>
              <w:spacing w:before="170" w:line="221" w:lineRule="auto"/>
              <w:jc w:val="center"/>
              <w:rPr>
                <w:rFonts w:hint="eastAsia" w:ascii="宋体" w:hAnsi="宋体" w:eastAsia="宋体"/>
                <w:color w:val="auto"/>
                <w:spacing w:val="-1"/>
                <w:highlight w:val="none"/>
              </w:rPr>
            </w:pPr>
            <w:r>
              <w:rPr>
                <w:rFonts w:hint="eastAsia" w:ascii="宋体" w:hAnsi="宋体" w:eastAsia="宋体"/>
                <w:color w:val="auto"/>
                <w:spacing w:val="-1"/>
                <w:highlight w:val="none"/>
              </w:rPr>
              <w:t>投标人法定代表人</w:t>
            </w:r>
          </w:p>
          <w:p w14:paraId="797083B7">
            <w:pPr>
              <w:spacing w:before="170" w:line="221" w:lineRule="auto"/>
              <w:jc w:val="center"/>
              <w:rPr>
                <w:rFonts w:hint="eastAsia" w:ascii="宋体" w:hAnsi="宋体" w:eastAsia="宋体"/>
                <w:color w:val="auto"/>
                <w:spacing w:val="-1"/>
                <w:highlight w:val="none"/>
              </w:rPr>
            </w:pPr>
            <w:r>
              <w:rPr>
                <w:rFonts w:hint="eastAsia" w:ascii="宋体" w:hAnsi="宋体" w:eastAsia="宋体"/>
                <w:color w:val="auto"/>
                <w:spacing w:val="-1"/>
                <w:highlight w:val="none"/>
              </w:rPr>
              <w:t>为同一人或者存在</w:t>
            </w:r>
          </w:p>
          <w:p w14:paraId="243C60C5">
            <w:pPr>
              <w:spacing w:before="170" w:line="221" w:lineRule="auto"/>
              <w:jc w:val="center"/>
              <w:rPr>
                <w:rFonts w:hint="eastAsia" w:ascii="宋体" w:hAnsi="宋体" w:eastAsia="宋体"/>
                <w:color w:val="auto"/>
                <w:spacing w:val="-1"/>
                <w:highlight w:val="none"/>
              </w:rPr>
            </w:pPr>
            <w:r>
              <w:rPr>
                <w:rFonts w:hint="eastAsia" w:ascii="宋体" w:hAnsi="宋体" w:eastAsia="宋体"/>
                <w:color w:val="auto"/>
                <w:spacing w:val="-1"/>
                <w:highlight w:val="none"/>
              </w:rPr>
              <w:t>控股、管理关系的不</w:t>
            </w:r>
          </w:p>
          <w:p w14:paraId="726929BF">
            <w:pPr>
              <w:spacing w:before="170" w:line="221" w:lineRule="auto"/>
              <w:jc w:val="center"/>
              <w:rPr>
                <w:rFonts w:hint="eastAsia" w:ascii="宋体" w:hAnsi="宋体" w:eastAsia="宋体"/>
                <w:color w:val="auto"/>
                <w:spacing w:val="-1"/>
                <w:highlight w:val="none"/>
              </w:rPr>
            </w:pPr>
            <w:r>
              <w:rPr>
                <w:rFonts w:hint="eastAsia" w:ascii="宋体" w:hAnsi="宋体" w:eastAsia="宋体"/>
                <w:color w:val="auto"/>
                <w:spacing w:val="-1"/>
                <w:highlight w:val="none"/>
              </w:rPr>
              <w:t>同单位</w:t>
            </w:r>
            <w:r>
              <w:rPr>
                <w:color w:val="auto"/>
                <w:spacing w:val="-1"/>
                <w:highlight w:val="none"/>
              </w:rPr>
              <w:t>)</w:t>
            </w:r>
          </w:p>
        </w:tc>
        <w:tc>
          <w:tcPr>
            <w:tcW w:w="6840" w:type="dxa"/>
            <w:gridSpan w:val="8"/>
          </w:tcPr>
          <w:p w14:paraId="5D26D443">
            <w:pPr>
              <w:rPr>
                <w:color w:val="auto"/>
                <w:highlight w:val="none"/>
              </w:rPr>
            </w:pPr>
          </w:p>
        </w:tc>
      </w:tr>
      <w:tr w14:paraId="4B23E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50" w:type="dxa"/>
          </w:tcPr>
          <w:p w14:paraId="27C1B390">
            <w:pPr>
              <w:spacing w:before="174" w:line="222" w:lineRule="auto"/>
              <w:ind w:left="822"/>
              <w:rPr>
                <w:rFonts w:hint="eastAsia" w:ascii="宋体" w:hAnsi="宋体" w:eastAsia="宋体"/>
                <w:color w:val="auto"/>
                <w:spacing w:val="-4"/>
                <w:highlight w:val="none"/>
              </w:rPr>
            </w:pPr>
            <w:r>
              <w:rPr>
                <w:rFonts w:ascii="宋体" w:hAnsi="宋体" w:eastAsia="宋体"/>
                <w:color w:val="auto"/>
                <w:spacing w:val="-4"/>
                <w:highlight w:val="none"/>
              </w:rPr>
              <w:t>备</w:t>
            </w:r>
            <w:r>
              <w:rPr>
                <w:rFonts w:ascii="宋体" w:hAnsi="宋体" w:eastAsia="宋体"/>
                <w:color w:val="auto"/>
                <w:spacing w:val="-2"/>
                <w:highlight w:val="none"/>
              </w:rPr>
              <w:t>注</w:t>
            </w:r>
          </w:p>
        </w:tc>
        <w:tc>
          <w:tcPr>
            <w:tcW w:w="6840" w:type="dxa"/>
            <w:gridSpan w:val="8"/>
          </w:tcPr>
          <w:p w14:paraId="65113C8F">
            <w:pPr>
              <w:rPr>
                <w:color w:val="auto"/>
                <w:highlight w:val="none"/>
              </w:rPr>
            </w:pPr>
          </w:p>
        </w:tc>
      </w:tr>
    </w:tbl>
    <w:p w14:paraId="6E54B7E4">
      <w:pPr>
        <w:spacing w:before="134" w:line="228" w:lineRule="auto"/>
        <w:ind w:left="135"/>
        <w:rPr>
          <w:rFonts w:hint="eastAsia" w:ascii="宋体" w:hAnsi="宋体" w:eastAsia="宋体"/>
          <w:color w:val="auto"/>
          <w:highlight w:val="none"/>
        </w:rPr>
      </w:pPr>
      <w:r>
        <w:rPr>
          <w:rFonts w:hint="eastAsia" w:ascii="宋体" w:hAnsi="宋体" w:eastAsia="宋体"/>
          <w:color w:val="auto"/>
          <w:highlight w:val="none"/>
        </w:rPr>
        <w:t>注：投标人应根据投标人须知第3.5.1项的要求在本表后附相关证明材料。</w:t>
      </w:r>
    </w:p>
    <w:p w14:paraId="5D3DE38E">
      <w:pPr>
        <w:spacing w:before="134" w:line="228" w:lineRule="auto"/>
        <w:ind w:left="135"/>
        <w:rPr>
          <w:rFonts w:hint="eastAsia" w:ascii="黑体" w:hAnsi="黑体" w:eastAsia="黑体"/>
          <w:color w:val="auto"/>
          <w:spacing w:val="34"/>
          <w:sz w:val="27"/>
          <w:szCs w:val="27"/>
          <w:highlight w:val="none"/>
        </w:rPr>
      </w:pPr>
      <w:r>
        <w:rPr>
          <w:rFonts w:ascii="黑体" w:hAnsi="黑体" w:eastAsia="黑体"/>
          <w:color w:val="auto"/>
          <w:spacing w:val="34"/>
          <w:sz w:val="27"/>
          <w:szCs w:val="27"/>
          <w:highlight w:val="none"/>
        </w:rPr>
        <w:br w:type="page"/>
      </w:r>
    </w:p>
    <w:p w14:paraId="01AA6865">
      <w:pPr>
        <w:rPr>
          <w:rFonts w:hint="eastAsia" w:ascii="黑体" w:hAnsi="黑体" w:eastAsia="黑体"/>
          <w:color w:val="auto"/>
          <w:spacing w:val="34"/>
          <w:sz w:val="27"/>
          <w:szCs w:val="27"/>
          <w:highlight w:val="none"/>
        </w:rPr>
      </w:pPr>
      <w:bookmarkStart w:id="409" w:name="_Toc22530"/>
      <w:bookmarkStart w:id="410" w:name="_Toc25484"/>
      <w:bookmarkStart w:id="411" w:name="_Toc22738"/>
      <w:bookmarkStart w:id="412" w:name="_Toc17885"/>
      <w:bookmarkStart w:id="413" w:name="_Toc31959"/>
      <w:r>
        <w:rPr>
          <w:rFonts w:ascii="黑体" w:hAnsi="黑体" w:eastAsia="黑体"/>
          <w:color w:val="auto"/>
          <w:spacing w:val="34"/>
          <w:sz w:val="27"/>
          <w:szCs w:val="27"/>
          <w:highlight w:val="none"/>
        </w:rPr>
        <w:t>(二)</w:t>
      </w:r>
      <w:r>
        <w:rPr>
          <w:rFonts w:hint="eastAsia" w:ascii="黑体" w:hAnsi="黑体" w:eastAsia="黑体"/>
          <w:color w:val="auto"/>
          <w:spacing w:val="34"/>
          <w:sz w:val="27"/>
          <w:szCs w:val="27"/>
          <w:highlight w:val="none"/>
        </w:rPr>
        <w:t>投标人声明</w:t>
      </w:r>
      <w:bookmarkEnd w:id="409"/>
      <w:bookmarkEnd w:id="410"/>
      <w:bookmarkEnd w:id="411"/>
      <w:bookmarkEnd w:id="412"/>
      <w:bookmarkEnd w:id="413"/>
    </w:p>
    <w:p w14:paraId="5F544D6B">
      <w:pPr>
        <w:spacing w:line="303" w:lineRule="auto"/>
        <w:rPr>
          <w:color w:val="auto"/>
          <w:highlight w:val="none"/>
        </w:rPr>
      </w:pPr>
    </w:p>
    <w:p w14:paraId="7783A3C2">
      <w:pPr>
        <w:spacing w:line="303" w:lineRule="auto"/>
        <w:rPr>
          <w:color w:val="auto"/>
          <w:highlight w:val="none"/>
        </w:rPr>
      </w:pPr>
    </w:p>
    <w:p w14:paraId="34F91931">
      <w:pPr>
        <w:spacing w:line="360" w:lineRule="auto"/>
        <w:rPr>
          <w:rFonts w:ascii="宋体" w:hAnsi="宋体"/>
          <w:color w:val="auto"/>
          <w:highlight w:val="none"/>
        </w:rPr>
      </w:pPr>
    </w:p>
    <w:p w14:paraId="52D85801">
      <w:pPr>
        <w:jc w:val="center"/>
        <w:rPr>
          <w:rFonts w:ascii="宋体" w:hAnsi="宋体"/>
          <w:b/>
          <w:color w:val="auto"/>
          <w:sz w:val="32"/>
          <w:highlight w:val="none"/>
        </w:rPr>
      </w:pPr>
      <w:r>
        <w:rPr>
          <w:rFonts w:hint="eastAsia" w:ascii="宋体" w:hAnsi="宋体"/>
          <w:b/>
          <w:color w:val="auto"/>
          <w:sz w:val="32"/>
          <w:highlight w:val="none"/>
        </w:rPr>
        <w:t>投标人声明（参考格式）</w:t>
      </w:r>
    </w:p>
    <w:p w14:paraId="21264A4B">
      <w:pPr>
        <w:pStyle w:val="58"/>
        <w:spacing w:line="400" w:lineRule="exact"/>
        <w:ind w:firstLine="480"/>
        <w:rPr>
          <w:rFonts w:hint="eastAsia" w:ascii="宋体" w:hAnsi="宋体" w:eastAsia="宋体"/>
          <w:color w:val="auto"/>
          <w:sz w:val="24"/>
          <w:szCs w:val="24"/>
          <w:highlight w:val="none"/>
        </w:rPr>
      </w:pPr>
    </w:p>
    <w:p w14:paraId="11CD8164">
      <w:pPr>
        <w:pStyle w:val="58"/>
        <w:spacing w:line="400" w:lineRule="exact"/>
        <w:ind w:firstLine="4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广州市水务局、本招标项目招标人及招标监管机构：</w:t>
      </w:r>
    </w:p>
    <w:p w14:paraId="249B99F3">
      <w:pPr>
        <w:pStyle w:val="58"/>
        <w:spacing w:line="40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投标工作，作出郑重声明：我方与招标人过去3年内无合同履约纠纷，不存在第二章“投标人须知”第1.4.3项规定的任何一种情形。 </w:t>
      </w:r>
    </w:p>
    <w:p w14:paraId="610E69D0">
      <w:pPr>
        <w:pStyle w:val="58"/>
        <w:spacing w:line="40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本公司积极响应广州市关于投身“百千万工程”的号召，主动参与政府投资类建设工程施工项目的建筑业结对帮扶等活动（市属国有企业投资项目参照执行）。</w:t>
      </w:r>
    </w:p>
    <w:p w14:paraId="78DD57F5">
      <w:pPr>
        <w:pStyle w:val="58"/>
        <w:spacing w:line="40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特此声明。</w:t>
      </w:r>
    </w:p>
    <w:p w14:paraId="4D4F1C91">
      <w:pPr>
        <w:pStyle w:val="58"/>
        <w:spacing w:line="400" w:lineRule="exact"/>
        <w:rPr>
          <w:rFonts w:hint="eastAsia" w:ascii="宋体" w:hAnsi="宋体" w:eastAsia="宋体"/>
          <w:color w:val="auto"/>
          <w:sz w:val="21"/>
          <w:szCs w:val="21"/>
          <w:highlight w:val="none"/>
        </w:rPr>
      </w:pPr>
    </w:p>
    <w:p w14:paraId="77A8A57E">
      <w:pPr>
        <w:pStyle w:val="59"/>
        <w:spacing w:line="400" w:lineRule="exact"/>
        <w:ind w:left="0" w:right="1449" w:firstLine="3570" w:firstLineChars="170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14:paraId="015370C9">
      <w:pPr>
        <w:pStyle w:val="58"/>
        <w:spacing w:line="400" w:lineRule="exact"/>
        <w:ind w:right="1449" w:firstLine="42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法定代表人：（签字或盖章）                  </w:t>
      </w:r>
    </w:p>
    <w:p w14:paraId="766F57E9">
      <w:pPr>
        <w:pStyle w:val="58"/>
        <w:spacing w:line="400" w:lineRule="exact"/>
        <w:ind w:right="2079" w:firstLine="1890" w:firstLineChars="900"/>
        <w:jc w:val="righ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年   月   日</w:t>
      </w:r>
    </w:p>
    <w:p w14:paraId="7ED78E8E">
      <w:pPr>
        <w:rPr>
          <w:rFonts w:ascii="宋体" w:hAnsi="宋体"/>
          <w:color w:val="auto"/>
          <w:highlight w:val="none"/>
        </w:rPr>
      </w:pPr>
    </w:p>
    <w:p w14:paraId="5570CA63">
      <w:pPr>
        <w:rPr>
          <w:rFonts w:ascii="宋体" w:hAnsi="宋体"/>
          <w:color w:val="auto"/>
          <w:highlight w:val="none"/>
        </w:rPr>
        <w:sectPr>
          <w:footerReference r:id="rId26" w:type="default"/>
          <w:pgSz w:w="12240" w:h="15840"/>
          <w:pgMar w:top="1346" w:right="1836" w:bottom="1104" w:left="1836" w:header="0" w:footer="940" w:gutter="0"/>
          <w:cols w:space="720" w:num="1"/>
        </w:sectPr>
      </w:pPr>
    </w:p>
    <w:p w14:paraId="3683BCAC">
      <w:pPr>
        <w:rPr>
          <w:rFonts w:hint="eastAsia" w:ascii="黑体" w:hAnsi="黑体" w:eastAsia="黑体"/>
          <w:color w:val="auto"/>
          <w:spacing w:val="34"/>
          <w:sz w:val="27"/>
          <w:szCs w:val="27"/>
          <w:highlight w:val="none"/>
        </w:rPr>
      </w:pPr>
      <w:r>
        <w:rPr>
          <w:rFonts w:ascii="黑体" w:hAnsi="黑体" w:eastAsia="黑体"/>
          <w:color w:val="auto"/>
          <w:spacing w:val="34"/>
          <w:sz w:val="27"/>
          <w:szCs w:val="27"/>
          <w:highlight w:val="none"/>
        </w:rPr>
        <w:t>(</w:t>
      </w:r>
      <w:r>
        <w:rPr>
          <w:rFonts w:hint="eastAsia" w:ascii="黑体" w:hAnsi="黑体" w:eastAsia="黑体"/>
          <w:color w:val="auto"/>
          <w:spacing w:val="34"/>
          <w:sz w:val="27"/>
          <w:szCs w:val="27"/>
          <w:highlight w:val="none"/>
        </w:rPr>
        <w:t>三</w:t>
      </w:r>
      <w:r>
        <w:rPr>
          <w:rFonts w:ascii="黑体" w:hAnsi="黑体" w:eastAsia="黑体"/>
          <w:color w:val="auto"/>
          <w:spacing w:val="34"/>
          <w:sz w:val="27"/>
          <w:szCs w:val="27"/>
          <w:highlight w:val="none"/>
        </w:rPr>
        <w:t>)投标人廉洁承诺书</w:t>
      </w:r>
    </w:p>
    <w:p w14:paraId="1385CDFE">
      <w:pPr>
        <w:pStyle w:val="45"/>
        <w:spacing w:before="120" w:after="120" w:line="360" w:lineRule="auto"/>
        <w:ind w:firstLine="482"/>
        <w:jc w:val="center"/>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投标人廉洁承诺书</w:t>
      </w:r>
    </w:p>
    <w:p w14:paraId="61AEE096">
      <w:pPr>
        <w:pStyle w:val="45"/>
        <w:shd w:val="clear" w:color="auto" w:fill="FFFFFF"/>
        <w:spacing w:before="0" w:beforeAutospacing="0" w:after="0" w:afterAutospacing="0" w:line="360" w:lineRule="auto"/>
        <w:rPr>
          <w:rFonts w:hint="eastAsia" w:ascii="宋体" w:hAnsi="宋体" w:eastAsia="宋体"/>
          <w:color w:val="auto"/>
          <w:sz w:val="21"/>
          <w:highlight w:val="none"/>
        </w:rPr>
      </w:pPr>
      <w:r>
        <w:rPr>
          <w:rFonts w:hint="eastAsia" w:ascii="宋体" w:hAnsi="宋体" w:eastAsia="宋体"/>
          <w:color w:val="auto"/>
          <w:sz w:val="21"/>
          <w:highlight w:val="none"/>
        </w:rPr>
        <w:t>广州市水务局、本招标项目招标人及招标监管机构：</w:t>
      </w:r>
    </w:p>
    <w:p w14:paraId="63DC0435">
      <w:pPr>
        <w:pStyle w:val="38"/>
        <w:spacing w:line="360" w:lineRule="auto"/>
        <w:ind w:right="420" w:firstLine="420" w:firstLineChars="200"/>
        <w:jc w:val="both"/>
        <w:rPr>
          <w:rFonts w:hint="eastAsia" w:hAnsi="宋体" w:eastAsia="宋体"/>
          <w:color w:val="auto"/>
          <w:szCs w:val="21"/>
          <w:highlight w:val="none"/>
        </w:rPr>
      </w:pPr>
      <w:r>
        <w:rPr>
          <w:rFonts w:hint="eastAsia" w:hAnsi="宋体" w:eastAsia="宋体"/>
          <w:color w:val="auto"/>
          <w:szCs w:val="21"/>
          <w:highlight w:val="none"/>
        </w:rPr>
        <w:t>本公司参加了</w:t>
      </w:r>
      <w:r>
        <w:rPr>
          <w:rFonts w:hint="eastAsia" w:hAnsi="宋体" w:eastAsia="宋体"/>
          <w:color w:val="auto"/>
          <w:szCs w:val="21"/>
          <w:highlight w:val="none"/>
          <w:u w:val="single"/>
        </w:rPr>
        <w:t xml:space="preserve">   （项目名称/标段名称）    </w:t>
      </w:r>
      <w:r>
        <w:rPr>
          <w:rFonts w:hint="eastAsia" w:hAnsi="宋体" w:eastAsia="宋体"/>
          <w:color w:val="auto"/>
          <w:szCs w:val="21"/>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6B8BCF3C">
      <w:pPr>
        <w:pStyle w:val="38"/>
        <w:spacing w:line="360" w:lineRule="auto"/>
        <w:ind w:right="420" w:firstLine="420" w:firstLineChars="200"/>
        <w:rPr>
          <w:rFonts w:hint="eastAsia" w:hAnsi="宋体" w:eastAsia="宋体"/>
          <w:color w:val="auto"/>
          <w:szCs w:val="21"/>
          <w:highlight w:val="none"/>
        </w:rPr>
      </w:pPr>
      <w:r>
        <w:rPr>
          <w:rFonts w:hint="eastAsia" w:hAnsi="宋体" w:eastAsia="宋体"/>
          <w:color w:val="auto"/>
          <w:szCs w:val="21"/>
          <w:highlight w:val="none"/>
        </w:rPr>
        <w:t>一、自觉遵守国家有关法律法规及廉洁规定。</w:t>
      </w:r>
    </w:p>
    <w:p w14:paraId="719F2FC5">
      <w:pPr>
        <w:pStyle w:val="38"/>
        <w:spacing w:line="360" w:lineRule="auto"/>
        <w:ind w:right="420" w:firstLine="420" w:firstLineChars="200"/>
        <w:jc w:val="both"/>
        <w:rPr>
          <w:rFonts w:hint="eastAsia" w:hAnsi="宋体" w:eastAsia="宋体"/>
          <w:color w:val="auto"/>
          <w:szCs w:val="21"/>
          <w:highlight w:val="none"/>
        </w:rPr>
      </w:pPr>
      <w:r>
        <w:rPr>
          <w:rFonts w:hint="eastAsia" w:hAnsi="宋体" w:eastAsia="宋体"/>
          <w:color w:val="auto"/>
          <w:szCs w:val="21"/>
          <w:highlight w:val="none"/>
        </w:rPr>
        <w:t>二、不与招标单位工作人员串通投标，损害国家利益、企业利益以及他人的合法利益；</w:t>
      </w:r>
    </w:p>
    <w:p w14:paraId="0355450B">
      <w:pPr>
        <w:pStyle w:val="38"/>
        <w:spacing w:line="360" w:lineRule="auto"/>
        <w:ind w:right="420" w:firstLine="420" w:firstLineChars="200"/>
        <w:jc w:val="both"/>
        <w:rPr>
          <w:rFonts w:hint="eastAsia" w:hAnsi="宋体" w:eastAsia="宋体"/>
          <w:color w:val="auto"/>
          <w:szCs w:val="21"/>
          <w:highlight w:val="none"/>
        </w:rPr>
      </w:pPr>
      <w:r>
        <w:rPr>
          <w:rFonts w:hint="eastAsia" w:hAnsi="宋体" w:eastAsia="宋体"/>
          <w:color w:val="auto"/>
          <w:szCs w:val="21"/>
          <w:highlight w:val="none"/>
        </w:rPr>
        <w:t>三、不与其他单位围标、串标，不出让投标资格，不向招标人或评标委员会成员行贿。</w:t>
      </w:r>
    </w:p>
    <w:p w14:paraId="2637391F">
      <w:pPr>
        <w:pStyle w:val="38"/>
        <w:spacing w:line="360" w:lineRule="auto"/>
        <w:ind w:right="420" w:firstLine="420" w:firstLineChars="200"/>
        <w:jc w:val="both"/>
        <w:rPr>
          <w:rFonts w:hint="eastAsia" w:hAnsi="宋体" w:eastAsia="宋体"/>
          <w:color w:val="auto"/>
          <w:szCs w:val="21"/>
          <w:highlight w:val="none"/>
        </w:rPr>
      </w:pPr>
      <w:r>
        <w:rPr>
          <w:rFonts w:hint="eastAsia" w:hAnsi="宋体" w:eastAsia="宋体"/>
          <w:color w:val="auto"/>
          <w:szCs w:val="21"/>
          <w:highlight w:val="none"/>
        </w:rPr>
        <w:t xml:space="preserve">四、不以任何名义向参与招标、评标工作的有关人员提供高消费宴请及娱乐活动和赠送回扣、红包、礼金、购物卡、有价证券、贵重物品和好处费、感谢费等； </w:t>
      </w:r>
    </w:p>
    <w:p w14:paraId="4A2E341C">
      <w:pPr>
        <w:pStyle w:val="38"/>
        <w:spacing w:line="360" w:lineRule="auto"/>
        <w:ind w:right="420" w:firstLine="420" w:firstLineChars="200"/>
        <w:jc w:val="both"/>
        <w:rPr>
          <w:rFonts w:hint="eastAsia" w:hAnsi="宋体" w:eastAsia="宋体"/>
          <w:color w:val="auto"/>
          <w:szCs w:val="21"/>
          <w:highlight w:val="none"/>
        </w:rPr>
      </w:pPr>
      <w:r>
        <w:rPr>
          <w:rFonts w:hint="eastAsia" w:hAnsi="宋体" w:eastAsia="宋体"/>
          <w:color w:val="auto"/>
          <w:szCs w:val="21"/>
          <w:highlight w:val="none"/>
        </w:rPr>
        <w:t>五、不以任何名义为参与招标、评标工作的有关人员装修住房、婚丧嫁取、配偶子女的工作安排以及境内外旅游等提供方便；</w:t>
      </w:r>
    </w:p>
    <w:p w14:paraId="697FB4A0">
      <w:pPr>
        <w:pStyle w:val="38"/>
        <w:spacing w:line="360" w:lineRule="auto"/>
        <w:ind w:right="420" w:firstLine="420" w:firstLineChars="200"/>
        <w:rPr>
          <w:rFonts w:hint="eastAsia" w:hAnsi="宋体" w:eastAsia="宋体"/>
          <w:color w:val="auto"/>
          <w:szCs w:val="21"/>
          <w:highlight w:val="none"/>
        </w:rPr>
      </w:pPr>
      <w:r>
        <w:rPr>
          <w:rFonts w:hint="eastAsia" w:hAnsi="宋体" w:eastAsia="宋体"/>
          <w:color w:val="auto"/>
          <w:szCs w:val="21"/>
          <w:highlight w:val="none"/>
        </w:rPr>
        <w:t>六、不以谋取非正当利益为目的，擅自与参与招标、评标工作的有关人员就业务问题进行私下商谈或者达成利益默契。</w:t>
      </w:r>
    </w:p>
    <w:p w14:paraId="2FCAD900">
      <w:pPr>
        <w:pStyle w:val="45"/>
        <w:shd w:val="clear" w:color="auto" w:fill="FFFFFF"/>
        <w:spacing w:before="0" w:beforeAutospacing="0" w:after="0" w:afterAutospacing="0"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本公司违反上述承诺，或本承诺陈述与事实不符，经查实，本公司愿意接受公开通报，承担由此带来的法律后果。</w:t>
      </w:r>
    </w:p>
    <w:p w14:paraId="161DBD2E">
      <w:pPr>
        <w:pStyle w:val="45"/>
        <w:shd w:val="clear" w:color="auto" w:fill="FFFFFF"/>
        <w:spacing w:before="0" w:beforeAutospacing="0" w:after="0" w:afterAutospacing="0"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特此承诺。</w:t>
      </w:r>
    </w:p>
    <w:p w14:paraId="6ECD506A">
      <w:pPr>
        <w:pStyle w:val="45"/>
        <w:shd w:val="clear" w:color="auto" w:fill="FFFFFF"/>
        <w:spacing w:before="0" w:beforeAutospacing="0" w:after="0" w:afterAutospacing="0" w:line="360" w:lineRule="auto"/>
        <w:ind w:right="1455" w:firstLine="2880"/>
        <w:jc w:val="right"/>
        <w:rPr>
          <w:rFonts w:hint="eastAsia" w:ascii="宋体" w:hAnsi="宋体" w:eastAsia="宋体"/>
          <w:color w:val="auto"/>
          <w:sz w:val="21"/>
          <w:highlight w:val="none"/>
        </w:rPr>
      </w:pPr>
      <w:r>
        <w:rPr>
          <w:rFonts w:hint="eastAsia" w:ascii="宋体" w:hAnsi="宋体" w:eastAsia="宋体"/>
          <w:color w:val="auto"/>
          <w:sz w:val="21"/>
          <w:highlight w:val="none"/>
        </w:rPr>
        <w:t>承诺企业（</w:t>
      </w:r>
      <w:r>
        <w:rPr>
          <w:rFonts w:hint="eastAsia" w:ascii="宋体" w:hAnsi="宋体"/>
          <w:color w:val="auto"/>
          <w:sz w:val="21"/>
          <w:highlight w:val="none"/>
        </w:rPr>
        <w:t>盖</w:t>
      </w:r>
      <w:r>
        <w:rPr>
          <w:rFonts w:hint="eastAsia" w:ascii="宋体" w:hAnsi="宋体" w:eastAsia="宋体"/>
          <w:color w:val="auto"/>
          <w:sz w:val="21"/>
          <w:highlight w:val="none"/>
        </w:rPr>
        <w:t>单位章）：      </w:t>
      </w:r>
    </w:p>
    <w:p w14:paraId="7C76D185">
      <w:pPr>
        <w:pStyle w:val="45"/>
        <w:shd w:val="clear" w:color="auto" w:fill="FFFFFF"/>
        <w:spacing w:before="0" w:beforeAutospacing="0" w:after="0" w:afterAutospacing="0" w:line="360" w:lineRule="auto"/>
        <w:ind w:firstLine="480"/>
        <w:jc w:val="right"/>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r>
        <w:rPr>
          <w:rFonts w:hint="eastAsia" w:ascii="宋体" w:hAnsi="宋体"/>
          <w:color w:val="auto"/>
          <w:sz w:val="21"/>
          <w:highlight w:val="none"/>
        </w:rPr>
        <w:t xml:space="preserve">           </w:t>
      </w:r>
    </w:p>
    <w:p w14:paraId="7A013A54">
      <w:pPr>
        <w:pStyle w:val="45"/>
        <w:shd w:val="clear" w:color="auto" w:fill="FFFFFF"/>
        <w:ind w:firstLine="480"/>
        <w:jc w:val="right"/>
        <w:rPr>
          <w:rFonts w:hint="eastAsia" w:ascii="宋体" w:hAnsi="宋体" w:eastAsia="宋体"/>
          <w:color w:val="auto"/>
          <w:sz w:val="21"/>
          <w:highlight w:val="none"/>
        </w:rPr>
      </w:pPr>
      <w:r>
        <w:rPr>
          <w:rFonts w:hint="eastAsia" w:ascii="宋体" w:hAnsi="宋体" w:eastAsia="宋体"/>
          <w:color w:val="auto"/>
          <w:sz w:val="21"/>
          <w:highlight w:val="none"/>
        </w:rPr>
        <w:t>年   月   日</w:t>
      </w:r>
      <w:bookmarkStart w:id="414" w:name="bookmark193"/>
      <w:bookmarkEnd w:id="414"/>
    </w:p>
    <w:p w14:paraId="1BAB7590">
      <w:pPr>
        <w:pStyle w:val="45"/>
        <w:shd w:val="clear" w:color="auto" w:fill="FFFFFF"/>
        <w:spacing w:before="0" w:line="228" w:lineRule="auto"/>
        <w:ind w:left="163" w:firstLine="480"/>
        <w:jc w:val="right"/>
        <w:rPr>
          <w:rFonts w:hint="eastAsia" w:ascii="黑体" w:hAnsi="黑体" w:eastAsia="黑体"/>
          <w:color w:val="auto"/>
          <w:spacing w:val="30"/>
          <w:sz w:val="27"/>
          <w:szCs w:val="27"/>
          <w:highlight w:val="none"/>
        </w:rPr>
        <w:sectPr>
          <w:footerReference r:id="rId27" w:type="default"/>
          <w:pgSz w:w="12240" w:h="15840"/>
          <w:pgMar w:top="1346" w:right="1836" w:bottom="1104" w:left="1808" w:header="0" w:footer="940" w:gutter="0"/>
          <w:cols w:space="720" w:num="1"/>
        </w:sectPr>
      </w:pPr>
    </w:p>
    <w:p w14:paraId="6B775C3B">
      <w:pPr>
        <w:rPr>
          <w:rFonts w:hint="eastAsia" w:ascii="黑体" w:hAnsi="黑体" w:eastAsia="黑体"/>
          <w:color w:val="auto"/>
          <w:spacing w:val="30"/>
          <w:sz w:val="27"/>
          <w:szCs w:val="27"/>
          <w:highlight w:val="none"/>
        </w:rPr>
      </w:pPr>
      <w:r>
        <w:rPr>
          <w:rFonts w:ascii="黑体" w:hAnsi="黑体" w:eastAsia="黑体"/>
          <w:color w:val="auto"/>
          <w:spacing w:val="30"/>
          <w:sz w:val="27"/>
          <w:szCs w:val="27"/>
          <w:highlight w:val="none"/>
        </w:rPr>
        <w:t>(</w:t>
      </w:r>
      <w:r>
        <w:rPr>
          <w:rFonts w:hint="eastAsia" w:ascii="黑体" w:hAnsi="黑体" w:eastAsia="黑体"/>
          <w:color w:val="auto"/>
          <w:spacing w:val="25"/>
          <w:sz w:val="27"/>
          <w:szCs w:val="27"/>
          <w:highlight w:val="none"/>
        </w:rPr>
        <w:t>四</w:t>
      </w:r>
      <w:r>
        <w:rPr>
          <w:rFonts w:ascii="黑体" w:hAnsi="黑体" w:eastAsia="黑体"/>
          <w:color w:val="auto"/>
          <w:spacing w:val="25"/>
          <w:sz w:val="27"/>
          <w:szCs w:val="27"/>
          <w:highlight w:val="none"/>
        </w:rPr>
        <w:t>)近年完成的类似项目情况表</w:t>
      </w:r>
    </w:p>
    <w:p w14:paraId="3ADC388A">
      <w:pPr>
        <w:rPr>
          <w:color w:val="auto"/>
          <w:highlight w:val="none"/>
        </w:rPr>
      </w:pPr>
    </w:p>
    <w:p w14:paraId="7C2C0E70">
      <w:pPr>
        <w:rPr>
          <w:color w:val="auto"/>
          <w:highlight w:val="none"/>
        </w:rPr>
      </w:pPr>
    </w:p>
    <w:p w14:paraId="6ED17E4F">
      <w:pPr>
        <w:spacing w:line="26" w:lineRule="exact"/>
        <w:rPr>
          <w:color w:val="auto"/>
          <w:highlight w:val="none"/>
        </w:rPr>
      </w:pPr>
    </w:p>
    <w:tbl>
      <w:tblPr>
        <w:tblStyle w:val="19"/>
        <w:tblW w:w="8525"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6254"/>
      </w:tblGrid>
      <w:tr w14:paraId="28F0B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1" w:type="dxa"/>
          </w:tcPr>
          <w:p w14:paraId="21609A44">
            <w:pPr>
              <w:spacing w:before="290" w:line="220" w:lineRule="auto"/>
              <w:ind w:left="724"/>
              <w:rPr>
                <w:rFonts w:hint="eastAsia" w:ascii="宋体" w:hAnsi="宋体" w:eastAsia="宋体"/>
                <w:color w:val="auto"/>
                <w:spacing w:val="-3"/>
                <w:highlight w:val="none"/>
              </w:rPr>
            </w:pPr>
            <w:r>
              <w:rPr>
                <w:rFonts w:ascii="宋体" w:hAnsi="宋体" w:eastAsia="宋体"/>
                <w:color w:val="auto"/>
                <w:spacing w:val="-3"/>
                <w:highlight w:val="none"/>
              </w:rPr>
              <w:t>项</w:t>
            </w:r>
            <w:r>
              <w:rPr>
                <w:rFonts w:ascii="宋体" w:hAnsi="宋体" w:eastAsia="宋体"/>
                <w:color w:val="auto"/>
                <w:spacing w:val="-2"/>
                <w:highlight w:val="none"/>
              </w:rPr>
              <w:t>目名称</w:t>
            </w:r>
          </w:p>
        </w:tc>
        <w:tc>
          <w:tcPr>
            <w:tcW w:w="6254" w:type="dxa"/>
          </w:tcPr>
          <w:p w14:paraId="4B3D4E00">
            <w:pPr>
              <w:rPr>
                <w:color w:val="auto"/>
                <w:highlight w:val="none"/>
              </w:rPr>
            </w:pPr>
          </w:p>
        </w:tc>
      </w:tr>
      <w:tr w14:paraId="07084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tcPr>
          <w:p w14:paraId="7BE0602E">
            <w:pPr>
              <w:spacing w:before="285" w:line="220" w:lineRule="auto"/>
              <w:ind w:left="619"/>
              <w:rPr>
                <w:rFonts w:hint="eastAsia" w:ascii="宋体" w:hAnsi="宋体" w:eastAsia="宋体"/>
                <w:color w:val="auto"/>
                <w:spacing w:val="-2"/>
                <w:highlight w:val="none"/>
              </w:rPr>
            </w:pPr>
            <w:r>
              <w:rPr>
                <w:rFonts w:ascii="宋体" w:hAnsi="宋体" w:eastAsia="宋体"/>
                <w:color w:val="auto"/>
                <w:spacing w:val="-2"/>
                <w:highlight w:val="none"/>
              </w:rPr>
              <w:t>项目所在地</w:t>
            </w:r>
          </w:p>
        </w:tc>
        <w:tc>
          <w:tcPr>
            <w:tcW w:w="6254" w:type="dxa"/>
          </w:tcPr>
          <w:p w14:paraId="02619966">
            <w:pPr>
              <w:rPr>
                <w:color w:val="auto"/>
                <w:highlight w:val="none"/>
              </w:rPr>
            </w:pPr>
          </w:p>
        </w:tc>
      </w:tr>
      <w:tr w14:paraId="3FBBB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tcPr>
          <w:p w14:paraId="6CAB6463">
            <w:pPr>
              <w:spacing w:before="285" w:line="221" w:lineRule="auto"/>
              <w:ind w:left="619"/>
              <w:rPr>
                <w:rFonts w:hint="eastAsia" w:ascii="宋体" w:hAnsi="宋体" w:eastAsia="宋体"/>
                <w:color w:val="auto"/>
                <w:spacing w:val="-2"/>
                <w:highlight w:val="none"/>
              </w:rPr>
            </w:pPr>
            <w:r>
              <w:rPr>
                <w:rFonts w:ascii="宋体" w:hAnsi="宋体" w:eastAsia="宋体"/>
                <w:color w:val="auto"/>
                <w:spacing w:val="-2"/>
                <w:highlight w:val="none"/>
              </w:rPr>
              <w:t>发包人名称</w:t>
            </w:r>
          </w:p>
        </w:tc>
        <w:tc>
          <w:tcPr>
            <w:tcW w:w="6254" w:type="dxa"/>
          </w:tcPr>
          <w:p w14:paraId="67CC36F3">
            <w:pPr>
              <w:rPr>
                <w:color w:val="auto"/>
                <w:highlight w:val="none"/>
              </w:rPr>
            </w:pPr>
          </w:p>
        </w:tc>
      </w:tr>
      <w:tr w14:paraId="3F287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1" w:type="dxa"/>
          </w:tcPr>
          <w:p w14:paraId="7C38FA3D">
            <w:pPr>
              <w:spacing w:before="285" w:line="221" w:lineRule="auto"/>
              <w:ind w:left="619"/>
              <w:rPr>
                <w:rFonts w:hint="eastAsia" w:ascii="宋体" w:hAnsi="宋体" w:eastAsia="宋体"/>
                <w:color w:val="auto"/>
                <w:spacing w:val="-2"/>
                <w:highlight w:val="none"/>
              </w:rPr>
            </w:pPr>
            <w:r>
              <w:rPr>
                <w:rFonts w:ascii="宋体" w:hAnsi="宋体" w:eastAsia="宋体"/>
                <w:color w:val="auto"/>
                <w:spacing w:val="-2"/>
                <w:highlight w:val="none"/>
              </w:rPr>
              <w:t>发包人地址</w:t>
            </w:r>
          </w:p>
        </w:tc>
        <w:tc>
          <w:tcPr>
            <w:tcW w:w="6254" w:type="dxa"/>
          </w:tcPr>
          <w:p w14:paraId="77D8344A">
            <w:pPr>
              <w:rPr>
                <w:color w:val="auto"/>
                <w:highlight w:val="none"/>
              </w:rPr>
            </w:pPr>
          </w:p>
        </w:tc>
      </w:tr>
      <w:tr w14:paraId="4A3D0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tcPr>
          <w:p w14:paraId="2D471572">
            <w:pPr>
              <w:spacing w:before="285" w:line="221" w:lineRule="auto"/>
              <w:ind w:left="619"/>
              <w:rPr>
                <w:rFonts w:hint="eastAsia" w:ascii="宋体" w:hAnsi="宋体" w:eastAsia="宋体"/>
                <w:color w:val="auto"/>
                <w:spacing w:val="-2"/>
                <w:highlight w:val="none"/>
              </w:rPr>
            </w:pPr>
            <w:r>
              <w:rPr>
                <w:rFonts w:ascii="宋体" w:hAnsi="宋体" w:eastAsia="宋体"/>
                <w:color w:val="auto"/>
                <w:spacing w:val="-2"/>
                <w:highlight w:val="none"/>
              </w:rPr>
              <w:t>发包人电话</w:t>
            </w:r>
          </w:p>
        </w:tc>
        <w:tc>
          <w:tcPr>
            <w:tcW w:w="6254" w:type="dxa"/>
          </w:tcPr>
          <w:p w14:paraId="1C97BDD1">
            <w:pPr>
              <w:rPr>
                <w:color w:val="auto"/>
                <w:highlight w:val="none"/>
              </w:rPr>
            </w:pPr>
          </w:p>
        </w:tc>
      </w:tr>
      <w:tr w14:paraId="37C64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tcPr>
          <w:p w14:paraId="0B5A5FF8">
            <w:pPr>
              <w:spacing w:before="286" w:line="219" w:lineRule="auto"/>
              <w:ind w:left="721"/>
              <w:rPr>
                <w:rFonts w:hint="eastAsia" w:ascii="宋体" w:hAnsi="宋体" w:eastAsia="宋体"/>
                <w:color w:val="auto"/>
                <w:spacing w:val="-2"/>
                <w:highlight w:val="none"/>
              </w:rPr>
            </w:pPr>
            <w:r>
              <w:rPr>
                <w:rFonts w:ascii="宋体" w:hAnsi="宋体" w:eastAsia="宋体"/>
                <w:color w:val="auto"/>
                <w:spacing w:val="-2"/>
                <w:highlight w:val="none"/>
              </w:rPr>
              <w:t>合同价</w:t>
            </w:r>
            <w:r>
              <w:rPr>
                <w:rFonts w:ascii="宋体" w:hAnsi="宋体" w:eastAsia="宋体"/>
                <w:color w:val="auto"/>
                <w:spacing w:val="-1"/>
                <w:highlight w:val="none"/>
              </w:rPr>
              <w:t>格</w:t>
            </w:r>
          </w:p>
        </w:tc>
        <w:tc>
          <w:tcPr>
            <w:tcW w:w="6254" w:type="dxa"/>
          </w:tcPr>
          <w:p w14:paraId="5C9DAF64">
            <w:pPr>
              <w:rPr>
                <w:color w:val="auto"/>
                <w:highlight w:val="none"/>
              </w:rPr>
            </w:pPr>
          </w:p>
        </w:tc>
      </w:tr>
      <w:tr w14:paraId="1BDAE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1" w:type="dxa"/>
          </w:tcPr>
          <w:p w14:paraId="3ABFC48C">
            <w:pPr>
              <w:spacing w:before="287" w:line="220" w:lineRule="auto"/>
              <w:ind w:left="514"/>
              <w:rPr>
                <w:rFonts w:hint="eastAsia" w:ascii="宋体" w:hAnsi="宋体" w:eastAsia="宋体"/>
                <w:color w:val="auto"/>
                <w:spacing w:val="-2"/>
                <w:highlight w:val="none"/>
              </w:rPr>
            </w:pPr>
            <w:r>
              <w:rPr>
                <w:rFonts w:ascii="宋体" w:hAnsi="宋体" w:eastAsia="宋体"/>
                <w:color w:val="auto"/>
                <w:spacing w:val="-2"/>
                <w:highlight w:val="none"/>
              </w:rPr>
              <w:t>服务</w:t>
            </w:r>
            <w:r>
              <w:rPr>
                <w:rFonts w:ascii="宋体" w:hAnsi="宋体" w:eastAsia="宋体"/>
                <w:color w:val="auto"/>
                <w:spacing w:val="-1"/>
                <w:highlight w:val="none"/>
              </w:rPr>
              <w:t>期限</w:t>
            </w:r>
          </w:p>
        </w:tc>
        <w:tc>
          <w:tcPr>
            <w:tcW w:w="6254" w:type="dxa"/>
          </w:tcPr>
          <w:p w14:paraId="7DB40632">
            <w:pPr>
              <w:rPr>
                <w:color w:val="auto"/>
                <w:highlight w:val="none"/>
              </w:rPr>
            </w:pPr>
          </w:p>
        </w:tc>
      </w:tr>
      <w:tr w14:paraId="11F4F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tcPr>
          <w:p w14:paraId="526CF0B3">
            <w:pPr>
              <w:spacing w:before="287" w:line="220" w:lineRule="auto"/>
              <w:ind w:left="724"/>
              <w:rPr>
                <w:rFonts w:hint="eastAsia" w:ascii="宋体" w:hAnsi="宋体" w:eastAsia="宋体"/>
                <w:color w:val="auto"/>
                <w:spacing w:val="-2"/>
                <w:highlight w:val="none"/>
              </w:rPr>
            </w:pPr>
            <w:r>
              <w:rPr>
                <w:rFonts w:hint="eastAsia" w:ascii="宋体" w:hAnsi="宋体" w:eastAsia="宋体"/>
                <w:color w:val="auto"/>
                <w:spacing w:val="-2"/>
                <w:highlight w:val="none"/>
              </w:rPr>
              <w:t>设计</w:t>
            </w:r>
            <w:r>
              <w:rPr>
                <w:rFonts w:ascii="宋体" w:hAnsi="宋体" w:eastAsia="宋体"/>
                <w:color w:val="auto"/>
                <w:spacing w:val="-2"/>
                <w:highlight w:val="none"/>
              </w:rPr>
              <w:t>内容</w:t>
            </w:r>
          </w:p>
        </w:tc>
        <w:tc>
          <w:tcPr>
            <w:tcW w:w="6254" w:type="dxa"/>
          </w:tcPr>
          <w:p w14:paraId="798A9886">
            <w:pPr>
              <w:rPr>
                <w:color w:val="auto"/>
                <w:highlight w:val="none"/>
              </w:rPr>
            </w:pPr>
          </w:p>
        </w:tc>
      </w:tr>
      <w:tr w14:paraId="06FA0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tcPr>
          <w:p w14:paraId="421F444D">
            <w:pPr>
              <w:spacing w:before="287" w:line="217" w:lineRule="auto"/>
              <w:ind w:left="619"/>
              <w:rPr>
                <w:rFonts w:hint="eastAsia" w:ascii="宋体" w:hAnsi="宋体" w:eastAsia="宋体"/>
                <w:color w:val="auto"/>
                <w:spacing w:val="-2"/>
                <w:highlight w:val="none"/>
              </w:rPr>
            </w:pPr>
            <w:r>
              <w:rPr>
                <w:rFonts w:ascii="宋体" w:hAnsi="宋体" w:eastAsia="宋体"/>
                <w:color w:val="auto"/>
                <w:spacing w:val="-2"/>
                <w:highlight w:val="none"/>
              </w:rPr>
              <w:t>项目负责人</w:t>
            </w:r>
          </w:p>
        </w:tc>
        <w:tc>
          <w:tcPr>
            <w:tcW w:w="6254" w:type="dxa"/>
          </w:tcPr>
          <w:p w14:paraId="2B33A2AB">
            <w:pPr>
              <w:rPr>
                <w:color w:val="auto"/>
                <w:highlight w:val="none"/>
              </w:rPr>
            </w:pPr>
          </w:p>
        </w:tc>
      </w:tr>
      <w:tr w14:paraId="704A4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271" w:type="dxa"/>
          </w:tcPr>
          <w:p w14:paraId="5CFF8678">
            <w:pPr>
              <w:spacing w:line="283" w:lineRule="auto"/>
              <w:rPr>
                <w:color w:val="auto"/>
                <w:highlight w:val="none"/>
              </w:rPr>
            </w:pPr>
          </w:p>
          <w:p w14:paraId="720CC0C1">
            <w:pPr>
              <w:spacing w:line="283" w:lineRule="auto"/>
              <w:rPr>
                <w:color w:val="auto"/>
                <w:highlight w:val="none"/>
              </w:rPr>
            </w:pPr>
          </w:p>
          <w:p w14:paraId="43F7F681">
            <w:pPr>
              <w:spacing w:line="283" w:lineRule="auto"/>
              <w:rPr>
                <w:color w:val="auto"/>
                <w:highlight w:val="none"/>
              </w:rPr>
            </w:pPr>
          </w:p>
          <w:p w14:paraId="4E87AB0E">
            <w:pPr>
              <w:spacing w:line="283" w:lineRule="auto"/>
              <w:rPr>
                <w:color w:val="auto"/>
                <w:highlight w:val="none"/>
              </w:rPr>
            </w:pPr>
          </w:p>
          <w:p w14:paraId="1F9AFF5F">
            <w:pPr>
              <w:spacing w:line="283" w:lineRule="auto"/>
              <w:rPr>
                <w:color w:val="auto"/>
                <w:highlight w:val="none"/>
              </w:rPr>
            </w:pPr>
          </w:p>
          <w:p w14:paraId="79EB5D88">
            <w:pPr>
              <w:spacing w:before="69" w:line="220" w:lineRule="auto"/>
              <w:ind w:left="724"/>
              <w:rPr>
                <w:rFonts w:hint="eastAsia" w:ascii="宋体" w:hAnsi="宋体" w:eastAsia="宋体"/>
                <w:color w:val="auto"/>
                <w:spacing w:val="-3"/>
                <w:highlight w:val="none"/>
              </w:rPr>
            </w:pPr>
            <w:r>
              <w:rPr>
                <w:rFonts w:ascii="宋体" w:hAnsi="宋体" w:eastAsia="宋体"/>
                <w:color w:val="auto"/>
                <w:spacing w:val="-3"/>
                <w:highlight w:val="none"/>
              </w:rPr>
              <w:t>项</w:t>
            </w:r>
            <w:r>
              <w:rPr>
                <w:rFonts w:ascii="宋体" w:hAnsi="宋体" w:eastAsia="宋体"/>
                <w:color w:val="auto"/>
                <w:spacing w:val="-2"/>
                <w:highlight w:val="none"/>
              </w:rPr>
              <w:t>目描述</w:t>
            </w:r>
          </w:p>
        </w:tc>
        <w:tc>
          <w:tcPr>
            <w:tcW w:w="6254" w:type="dxa"/>
          </w:tcPr>
          <w:p w14:paraId="37A669CB">
            <w:pPr>
              <w:rPr>
                <w:color w:val="auto"/>
                <w:highlight w:val="none"/>
              </w:rPr>
            </w:pPr>
          </w:p>
        </w:tc>
      </w:tr>
      <w:tr w14:paraId="462E8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71" w:type="dxa"/>
          </w:tcPr>
          <w:p w14:paraId="4F2BA8DC">
            <w:pPr>
              <w:spacing w:before="289" w:line="222" w:lineRule="auto"/>
              <w:ind w:left="933"/>
              <w:rPr>
                <w:rFonts w:hint="eastAsia" w:ascii="宋体" w:hAnsi="宋体" w:eastAsia="宋体"/>
                <w:color w:val="auto"/>
                <w:spacing w:val="-4"/>
                <w:highlight w:val="none"/>
              </w:rPr>
            </w:pPr>
            <w:r>
              <w:rPr>
                <w:rFonts w:ascii="宋体" w:hAnsi="宋体" w:eastAsia="宋体"/>
                <w:color w:val="auto"/>
                <w:spacing w:val="-4"/>
                <w:highlight w:val="none"/>
              </w:rPr>
              <w:t>备</w:t>
            </w:r>
            <w:r>
              <w:rPr>
                <w:rFonts w:ascii="宋体" w:hAnsi="宋体" w:eastAsia="宋体"/>
                <w:color w:val="auto"/>
                <w:spacing w:val="-2"/>
                <w:highlight w:val="none"/>
              </w:rPr>
              <w:t>注</w:t>
            </w:r>
          </w:p>
        </w:tc>
        <w:tc>
          <w:tcPr>
            <w:tcW w:w="6254" w:type="dxa"/>
          </w:tcPr>
          <w:p w14:paraId="66CF69C1">
            <w:pPr>
              <w:rPr>
                <w:color w:val="auto"/>
                <w:highlight w:val="none"/>
              </w:rPr>
            </w:pPr>
          </w:p>
        </w:tc>
      </w:tr>
    </w:tbl>
    <w:p w14:paraId="09AA58E2">
      <w:pPr>
        <w:rPr>
          <w:color w:val="auto"/>
          <w:highlight w:val="none"/>
        </w:rPr>
        <w:sectPr>
          <w:pgSz w:w="12240" w:h="15840"/>
          <w:pgMar w:top="1346" w:right="1836" w:bottom="1104" w:left="1808" w:header="0" w:footer="940" w:gutter="0"/>
          <w:cols w:space="720" w:num="1"/>
        </w:sectPr>
      </w:pPr>
    </w:p>
    <w:p w14:paraId="3CA5A4D2">
      <w:pPr>
        <w:rPr>
          <w:rFonts w:hint="eastAsia" w:ascii="黑体" w:hAnsi="黑体" w:eastAsia="黑体"/>
          <w:color w:val="auto"/>
          <w:spacing w:val="31"/>
          <w:sz w:val="27"/>
          <w:szCs w:val="27"/>
          <w:highlight w:val="none"/>
        </w:rPr>
      </w:pPr>
      <w:r>
        <w:rPr>
          <w:rFonts w:ascii="黑体" w:hAnsi="黑体" w:eastAsia="黑体"/>
          <w:color w:val="auto"/>
          <w:spacing w:val="31"/>
          <w:sz w:val="27"/>
          <w:szCs w:val="27"/>
          <w:highlight w:val="none"/>
        </w:rPr>
        <w:t>(</w:t>
      </w:r>
      <w:r>
        <w:rPr>
          <w:rFonts w:hint="eastAsia" w:ascii="黑体" w:hAnsi="黑体" w:eastAsia="黑体"/>
          <w:color w:val="auto"/>
          <w:spacing w:val="26"/>
          <w:sz w:val="27"/>
          <w:szCs w:val="27"/>
          <w:highlight w:val="none"/>
        </w:rPr>
        <w:t>五</w:t>
      </w:r>
      <w:r>
        <w:rPr>
          <w:rFonts w:ascii="黑体" w:hAnsi="黑体" w:eastAsia="黑体"/>
          <w:color w:val="auto"/>
          <w:spacing w:val="26"/>
          <w:sz w:val="27"/>
          <w:szCs w:val="27"/>
          <w:highlight w:val="none"/>
        </w:rPr>
        <w:t>)拟委任的主要人员汇总表</w:t>
      </w:r>
    </w:p>
    <w:p w14:paraId="6443C36E">
      <w:pPr>
        <w:rPr>
          <w:color w:val="auto"/>
          <w:highlight w:val="none"/>
        </w:rPr>
      </w:pPr>
    </w:p>
    <w:p w14:paraId="15FCAEFD">
      <w:pPr>
        <w:rPr>
          <w:color w:val="auto"/>
          <w:highlight w:val="none"/>
        </w:rPr>
      </w:pPr>
    </w:p>
    <w:p w14:paraId="4BC40ED2">
      <w:pPr>
        <w:spacing w:line="26" w:lineRule="exact"/>
        <w:rPr>
          <w:color w:val="auto"/>
          <w:highlight w:val="none"/>
        </w:rPr>
      </w:pPr>
    </w:p>
    <w:tbl>
      <w:tblPr>
        <w:tblStyle w:val="19"/>
        <w:tblW w:w="8026" w:type="dxa"/>
        <w:tblInd w:w="2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273"/>
        <w:gridCol w:w="992"/>
        <w:gridCol w:w="603"/>
        <w:gridCol w:w="487"/>
        <w:gridCol w:w="1133"/>
        <w:gridCol w:w="709"/>
        <w:gridCol w:w="871"/>
        <w:gridCol w:w="1138"/>
      </w:tblGrid>
      <w:tr w14:paraId="342C4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20" w:type="dxa"/>
            <w:vMerge w:val="restart"/>
          </w:tcPr>
          <w:p w14:paraId="752AED94">
            <w:pPr>
              <w:spacing w:line="329" w:lineRule="auto"/>
              <w:rPr>
                <w:color w:val="auto"/>
                <w:highlight w:val="none"/>
              </w:rPr>
            </w:pPr>
          </w:p>
          <w:p w14:paraId="220F0969">
            <w:pPr>
              <w:spacing w:before="68" w:line="222" w:lineRule="auto"/>
              <w:ind w:left="203"/>
              <w:rPr>
                <w:rFonts w:hint="eastAsia" w:ascii="宋体" w:hAnsi="宋体" w:eastAsia="宋体"/>
                <w:color w:val="auto"/>
                <w:spacing w:val="-2"/>
                <w:highlight w:val="none"/>
              </w:rPr>
            </w:pPr>
            <w:r>
              <w:rPr>
                <w:rFonts w:ascii="宋体" w:hAnsi="宋体" w:eastAsia="宋体"/>
                <w:color w:val="auto"/>
                <w:spacing w:val="-2"/>
                <w:highlight w:val="none"/>
              </w:rPr>
              <w:t>序号</w:t>
            </w:r>
          </w:p>
        </w:tc>
        <w:tc>
          <w:tcPr>
            <w:tcW w:w="1273" w:type="dxa"/>
            <w:vMerge w:val="restart"/>
          </w:tcPr>
          <w:p w14:paraId="64443F17">
            <w:pPr>
              <w:spacing w:line="329" w:lineRule="auto"/>
              <w:rPr>
                <w:color w:val="auto"/>
                <w:highlight w:val="none"/>
              </w:rPr>
            </w:pPr>
          </w:p>
          <w:p w14:paraId="45B1A033">
            <w:pPr>
              <w:spacing w:before="68" w:line="220" w:lineRule="auto"/>
              <w:ind w:left="116"/>
              <w:rPr>
                <w:rFonts w:hint="eastAsia" w:ascii="宋体" w:hAnsi="宋体" w:eastAsia="宋体"/>
                <w:color w:val="auto"/>
                <w:spacing w:val="-2"/>
                <w:highlight w:val="none"/>
              </w:rPr>
            </w:pPr>
            <w:r>
              <w:rPr>
                <w:rFonts w:ascii="宋体" w:hAnsi="宋体" w:eastAsia="宋体"/>
                <w:color w:val="auto"/>
                <w:spacing w:val="-2"/>
                <w:highlight w:val="none"/>
              </w:rPr>
              <w:t>本项目</w:t>
            </w:r>
            <w:r>
              <w:rPr>
                <w:rFonts w:ascii="宋体" w:hAnsi="宋体" w:eastAsia="宋体"/>
                <w:color w:val="auto"/>
                <w:spacing w:val="-1"/>
                <w:highlight w:val="none"/>
              </w:rPr>
              <w:t>任职</w:t>
            </w:r>
          </w:p>
        </w:tc>
        <w:tc>
          <w:tcPr>
            <w:tcW w:w="992" w:type="dxa"/>
            <w:vMerge w:val="restart"/>
          </w:tcPr>
          <w:p w14:paraId="79405A9C">
            <w:pPr>
              <w:spacing w:line="330" w:lineRule="auto"/>
              <w:rPr>
                <w:color w:val="auto"/>
                <w:highlight w:val="none"/>
              </w:rPr>
            </w:pPr>
          </w:p>
          <w:p w14:paraId="295AF40A">
            <w:pPr>
              <w:spacing w:before="68" w:line="220" w:lineRule="auto"/>
              <w:ind w:left="290"/>
              <w:rPr>
                <w:rFonts w:hint="eastAsia" w:ascii="宋体" w:hAnsi="宋体" w:eastAsia="宋体"/>
                <w:color w:val="auto"/>
                <w:spacing w:val="-3"/>
                <w:highlight w:val="none"/>
              </w:rPr>
            </w:pPr>
            <w:r>
              <w:rPr>
                <w:rFonts w:ascii="宋体" w:hAnsi="宋体" w:eastAsia="宋体"/>
                <w:color w:val="auto"/>
                <w:spacing w:val="-3"/>
                <w:highlight w:val="none"/>
              </w:rPr>
              <w:t>姓</w:t>
            </w:r>
            <w:r>
              <w:rPr>
                <w:rFonts w:ascii="宋体" w:hAnsi="宋体" w:eastAsia="宋体"/>
                <w:color w:val="auto"/>
                <w:spacing w:val="-2"/>
                <w:highlight w:val="none"/>
              </w:rPr>
              <w:t>名</w:t>
            </w:r>
          </w:p>
        </w:tc>
        <w:tc>
          <w:tcPr>
            <w:tcW w:w="603" w:type="dxa"/>
            <w:vMerge w:val="restart"/>
            <w:textDirection w:val="tbRlV"/>
          </w:tcPr>
          <w:p w14:paraId="7455F95B">
            <w:pPr>
              <w:spacing w:before="194" w:line="211" w:lineRule="auto"/>
              <w:ind w:left="180"/>
              <w:rPr>
                <w:rFonts w:hint="eastAsia" w:ascii="宋体" w:hAnsi="宋体" w:eastAsia="宋体"/>
                <w:color w:val="auto"/>
                <w:spacing w:val="5"/>
                <w:highlight w:val="none"/>
              </w:rPr>
            </w:pPr>
            <w:r>
              <w:rPr>
                <w:rFonts w:ascii="宋体" w:hAnsi="宋体" w:eastAsia="宋体"/>
                <w:color w:val="auto"/>
                <w:spacing w:val="5"/>
                <w:highlight w:val="none"/>
              </w:rPr>
              <w:t>职  称</w:t>
            </w:r>
          </w:p>
        </w:tc>
        <w:tc>
          <w:tcPr>
            <w:tcW w:w="487" w:type="dxa"/>
            <w:vMerge w:val="restart"/>
            <w:textDirection w:val="tbRlV"/>
          </w:tcPr>
          <w:p w14:paraId="72E927DA">
            <w:pPr>
              <w:spacing w:before="135" w:line="207" w:lineRule="auto"/>
              <w:ind w:left="180"/>
              <w:rPr>
                <w:rFonts w:hint="eastAsia" w:ascii="宋体" w:hAnsi="宋体" w:eastAsia="宋体"/>
                <w:color w:val="auto"/>
                <w:spacing w:val="5"/>
                <w:highlight w:val="none"/>
              </w:rPr>
            </w:pPr>
            <w:r>
              <w:rPr>
                <w:rFonts w:ascii="宋体" w:hAnsi="宋体" w:eastAsia="宋体"/>
                <w:color w:val="auto"/>
                <w:spacing w:val="5"/>
                <w:highlight w:val="none"/>
              </w:rPr>
              <w:t>专  业</w:t>
            </w:r>
          </w:p>
        </w:tc>
        <w:tc>
          <w:tcPr>
            <w:tcW w:w="2713" w:type="dxa"/>
            <w:gridSpan w:val="3"/>
          </w:tcPr>
          <w:p w14:paraId="0F1B6BB6">
            <w:pPr>
              <w:spacing w:before="175" w:line="219" w:lineRule="auto"/>
              <w:ind w:left="418"/>
              <w:rPr>
                <w:rFonts w:hint="eastAsia" w:ascii="宋体" w:hAnsi="宋体" w:eastAsia="宋体"/>
                <w:color w:val="auto"/>
                <w:spacing w:val="-1"/>
                <w:highlight w:val="none"/>
              </w:rPr>
            </w:pPr>
            <w:r>
              <w:rPr>
                <w:rFonts w:ascii="宋体" w:hAnsi="宋体" w:eastAsia="宋体"/>
                <w:color w:val="auto"/>
                <w:spacing w:val="-1"/>
                <w:highlight w:val="none"/>
              </w:rPr>
              <w:t>执业或职业资格证</w:t>
            </w:r>
            <w:r>
              <w:rPr>
                <w:rFonts w:ascii="宋体" w:hAnsi="宋体" w:eastAsia="宋体"/>
                <w:color w:val="auto"/>
                <w:highlight w:val="none"/>
              </w:rPr>
              <w:t>明</w:t>
            </w:r>
          </w:p>
        </w:tc>
        <w:tc>
          <w:tcPr>
            <w:tcW w:w="1138" w:type="dxa"/>
          </w:tcPr>
          <w:p w14:paraId="2F4B8C16">
            <w:pPr>
              <w:spacing w:before="175" w:line="222" w:lineRule="auto"/>
              <w:ind w:left="366"/>
              <w:rPr>
                <w:rFonts w:hint="eastAsia" w:ascii="宋体" w:hAnsi="宋体" w:eastAsia="宋体"/>
                <w:color w:val="auto"/>
                <w:spacing w:val="-4"/>
                <w:highlight w:val="none"/>
              </w:rPr>
            </w:pPr>
            <w:r>
              <w:rPr>
                <w:rFonts w:ascii="宋体" w:hAnsi="宋体" w:eastAsia="宋体"/>
                <w:color w:val="auto"/>
                <w:spacing w:val="-4"/>
                <w:highlight w:val="none"/>
              </w:rPr>
              <w:t>备</w:t>
            </w:r>
            <w:r>
              <w:rPr>
                <w:rFonts w:ascii="宋体" w:hAnsi="宋体" w:eastAsia="宋体"/>
                <w:color w:val="auto"/>
                <w:spacing w:val="-2"/>
                <w:highlight w:val="none"/>
              </w:rPr>
              <w:t>注</w:t>
            </w:r>
          </w:p>
        </w:tc>
      </w:tr>
      <w:tr w14:paraId="678CB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Merge w:val="continue"/>
          </w:tcPr>
          <w:p w14:paraId="2D21F5B8">
            <w:pPr>
              <w:rPr>
                <w:color w:val="auto"/>
                <w:highlight w:val="none"/>
              </w:rPr>
            </w:pPr>
          </w:p>
        </w:tc>
        <w:tc>
          <w:tcPr>
            <w:tcW w:w="1273" w:type="dxa"/>
            <w:vMerge w:val="continue"/>
          </w:tcPr>
          <w:p w14:paraId="5791D6EA">
            <w:pPr>
              <w:rPr>
                <w:color w:val="auto"/>
                <w:highlight w:val="none"/>
              </w:rPr>
            </w:pPr>
          </w:p>
        </w:tc>
        <w:tc>
          <w:tcPr>
            <w:tcW w:w="992" w:type="dxa"/>
            <w:vMerge w:val="continue"/>
          </w:tcPr>
          <w:p w14:paraId="092230E3">
            <w:pPr>
              <w:rPr>
                <w:color w:val="auto"/>
                <w:highlight w:val="none"/>
              </w:rPr>
            </w:pPr>
          </w:p>
        </w:tc>
        <w:tc>
          <w:tcPr>
            <w:tcW w:w="603" w:type="dxa"/>
            <w:vMerge w:val="continue"/>
            <w:textDirection w:val="tbRlV"/>
          </w:tcPr>
          <w:p w14:paraId="518C38AB">
            <w:pPr>
              <w:rPr>
                <w:color w:val="auto"/>
                <w:highlight w:val="none"/>
              </w:rPr>
            </w:pPr>
          </w:p>
        </w:tc>
        <w:tc>
          <w:tcPr>
            <w:tcW w:w="487" w:type="dxa"/>
            <w:vMerge w:val="continue"/>
            <w:textDirection w:val="tbRlV"/>
          </w:tcPr>
          <w:p w14:paraId="6C325AC0">
            <w:pPr>
              <w:rPr>
                <w:color w:val="auto"/>
                <w:highlight w:val="none"/>
              </w:rPr>
            </w:pPr>
          </w:p>
        </w:tc>
        <w:tc>
          <w:tcPr>
            <w:tcW w:w="1133" w:type="dxa"/>
          </w:tcPr>
          <w:p w14:paraId="1CA79EC0">
            <w:pPr>
              <w:spacing w:before="171" w:line="220" w:lineRule="auto"/>
              <w:ind w:left="152"/>
              <w:rPr>
                <w:rFonts w:hint="eastAsia" w:ascii="宋体" w:hAnsi="宋体" w:eastAsia="宋体"/>
                <w:color w:val="auto"/>
                <w:spacing w:val="-2"/>
                <w:highlight w:val="none"/>
              </w:rPr>
            </w:pPr>
            <w:r>
              <w:rPr>
                <w:rFonts w:ascii="宋体" w:hAnsi="宋体" w:eastAsia="宋体"/>
                <w:color w:val="auto"/>
                <w:spacing w:val="-2"/>
                <w:highlight w:val="none"/>
              </w:rPr>
              <w:t>证书名</w:t>
            </w:r>
            <w:r>
              <w:rPr>
                <w:rFonts w:ascii="宋体" w:hAnsi="宋体" w:eastAsia="宋体"/>
                <w:color w:val="auto"/>
                <w:spacing w:val="-1"/>
                <w:highlight w:val="none"/>
              </w:rPr>
              <w:t>称</w:t>
            </w:r>
          </w:p>
        </w:tc>
        <w:tc>
          <w:tcPr>
            <w:tcW w:w="709" w:type="dxa"/>
          </w:tcPr>
          <w:p w14:paraId="3E013118">
            <w:pPr>
              <w:spacing w:before="171" w:line="221" w:lineRule="auto"/>
              <w:ind w:left="154"/>
              <w:rPr>
                <w:rFonts w:hint="eastAsia" w:ascii="宋体" w:hAnsi="宋体" w:eastAsia="宋体"/>
                <w:color w:val="auto"/>
                <w:spacing w:val="-3"/>
                <w:highlight w:val="none"/>
              </w:rPr>
            </w:pPr>
            <w:r>
              <w:rPr>
                <w:rFonts w:ascii="宋体" w:hAnsi="宋体" w:eastAsia="宋体"/>
                <w:color w:val="auto"/>
                <w:spacing w:val="-3"/>
                <w:highlight w:val="none"/>
              </w:rPr>
              <w:t>级别</w:t>
            </w:r>
          </w:p>
        </w:tc>
        <w:tc>
          <w:tcPr>
            <w:tcW w:w="871" w:type="dxa"/>
          </w:tcPr>
          <w:p w14:paraId="71500892">
            <w:pPr>
              <w:spacing w:before="171" w:line="222" w:lineRule="auto"/>
              <w:ind w:left="232"/>
              <w:rPr>
                <w:rFonts w:hint="eastAsia" w:ascii="宋体" w:hAnsi="宋体" w:eastAsia="宋体"/>
                <w:color w:val="auto"/>
                <w:spacing w:val="-3"/>
                <w:highlight w:val="none"/>
              </w:rPr>
            </w:pPr>
            <w:r>
              <w:rPr>
                <w:rFonts w:ascii="宋体" w:hAnsi="宋体" w:eastAsia="宋体"/>
                <w:color w:val="auto"/>
                <w:spacing w:val="-3"/>
                <w:highlight w:val="none"/>
              </w:rPr>
              <w:t>证</w:t>
            </w:r>
            <w:r>
              <w:rPr>
                <w:rFonts w:ascii="宋体" w:hAnsi="宋体" w:eastAsia="宋体"/>
                <w:color w:val="auto"/>
                <w:spacing w:val="-2"/>
                <w:highlight w:val="none"/>
              </w:rPr>
              <w:t>号</w:t>
            </w:r>
          </w:p>
        </w:tc>
        <w:tc>
          <w:tcPr>
            <w:tcW w:w="1138" w:type="dxa"/>
          </w:tcPr>
          <w:p w14:paraId="22FC630B">
            <w:pPr>
              <w:rPr>
                <w:color w:val="auto"/>
                <w:highlight w:val="none"/>
              </w:rPr>
            </w:pPr>
          </w:p>
        </w:tc>
      </w:tr>
      <w:tr w14:paraId="0C06D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tcPr>
          <w:p w14:paraId="50CF9DF7">
            <w:pPr>
              <w:rPr>
                <w:color w:val="auto"/>
                <w:highlight w:val="none"/>
              </w:rPr>
            </w:pPr>
          </w:p>
        </w:tc>
        <w:tc>
          <w:tcPr>
            <w:tcW w:w="1273" w:type="dxa"/>
          </w:tcPr>
          <w:p w14:paraId="0C646E82">
            <w:pPr>
              <w:rPr>
                <w:color w:val="auto"/>
                <w:highlight w:val="none"/>
              </w:rPr>
            </w:pPr>
          </w:p>
        </w:tc>
        <w:tc>
          <w:tcPr>
            <w:tcW w:w="992" w:type="dxa"/>
          </w:tcPr>
          <w:p w14:paraId="134DAAE6">
            <w:pPr>
              <w:rPr>
                <w:color w:val="auto"/>
                <w:highlight w:val="none"/>
              </w:rPr>
            </w:pPr>
          </w:p>
        </w:tc>
        <w:tc>
          <w:tcPr>
            <w:tcW w:w="603" w:type="dxa"/>
          </w:tcPr>
          <w:p w14:paraId="4812430A">
            <w:pPr>
              <w:rPr>
                <w:color w:val="auto"/>
                <w:highlight w:val="none"/>
              </w:rPr>
            </w:pPr>
          </w:p>
        </w:tc>
        <w:tc>
          <w:tcPr>
            <w:tcW w:w="487" w:type="dxa"/>
          </w:tcPr>
          <w:p w14:paraId="67C88D58">
            <w:pPr>
              <w:rPr>
                <w:color w:val="auto"/>
                <w:highlight w:val="none"/>
              </w:rPr>
            </w:pPr>
          </w:p>
        </w:tc>
        <w:tc>
          <w:tcPr>
            <w:tcW w:w="1133" w:type="dxa"/>
          </w:tcPr>
          <w:p w14:paraId="05A6D1AB">
            <w:pPr>
              <w:rPr>
                <w:color w:val="auto"/>
                <w:highlight w:val="none"/>
              </w:rPr>
            </w:pPr>
          </w:p>
        </w:tc>
        <w:tc>
          <w:tcPr>
            <w:tcW w:w="709" w:type="dxa"/>
          </w:tcPr>
          <w:p w14:paraId="5255A8C6">
            <w:pPr>
              <w:rPr>
                <w:color w:val="auto"/>
                <w:highlight w:val="none"/>
              </w:rPr>
            </w:pPr>
          </w:p>
        </w:tc>
        <w:tc>
          <w:tcPr>
            <w:tcW w:w="871" w:type="dxa"/>
          </w:tcPr>
          <w:p w14:paraId="12191706">
            <w:pPr>
              <w:rPr>
                <w:color w:val="auto"/>
                <w:highlight w:val="none"/>
              </w:rPr>
            </w:pPr>
          </w:p>
        </w:tc>
        <w:tc>
          <w:tcPr>
            <w:tcW w:w="1138" w:type="dxa"/>
          </w:tcPr>
          <w:p w14:paraId="2446400D">
            <w:pPr>
              <w:rPr>
                <w:color w:val="auto"/>
                <w:highlight w:val="none"/>
              </w:rPr>
            </w:pPr>
          </w:p>
        </w:tc>
      </w:tr>
      <w:tr w14:paraId="1BEBC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tcPr>
          <w:p w14:paraId="06458010">
            <w:pPr>
              <w:rPr>
                <w:color w:val="auto"/>
                <w:highlight w:val="none"/>
              </w:rPr>
            </w:pPr>
          </w:p>
        </w:tc>
        <w:tc>
          <w:tcPr>
            <w:tcW w:w="1273" w:type="dxa"/>
          </w:tcPr>
          <w:p w14:paraId="2E655D14">
            <w:pPr>
              <w:rPr>
                <w:color w:val="auto"/>
                <w:highlight w:val="none"/>
              </w:rPr>
            </w:pPr>
          </w:p>
        </w:tc>
        <w:tc>
          <w:tcPr>
            <w:tcW w:w="992" w:type="dxa"/>
          </w:tcPr>
          <w:p w14:paraId="10C40801">
            <w:pPr>
              <w:rPr>
                <w:color w:val="auto"/>
                <w:highlight w:val="none"/>
              </w:rPr>
            </w:pPr>
          </w:p>
        </w:tc>
        <w:tc>
          <w:tcPr>
            <w:tcW w:w="603" w:type="dxa"/>
          </w:tcPr>
          <w:p w14:paraId="60FA7EC7">
            <w:pPr>
              <w:rPr>
                <w:color w:val="auto"/>
                <w:highlight w:val="none"/>
              </w:rPr>
            </w:pPr>
          </w:p>
        </w:tc>
        <w:tc>
          <w:tcPr>
            <w:tcW w:w="487" w:type="dxa"/>
          </w:tcPr>
          <w:p w14:paraId="3C13A79B">
            <w:pPr>
              <w:rPr>
                <w:color w:val="auto"/>
                <w:highlight w:val="none"/>
              </w:rPr>
            </w:pPr>
          </w:p>
        </w:tc>
        <w:tc>
          <w:tcPr>
            <w:tcW w:w="1133" w:type="dxa"/>
          </w:tcPr>
          <w:p w14:paraId="0FECBFEC">
            <w:pPr>
              <w:rPr>
                <w:color w:val="auto"/>
                <w:highlight w:val="none"/>
              </w:rPr>
            </w:pPr>
          </w:p>
        </w:tc>
        <w:tc>
          <w:tcPr>
            <w:tcW w:w="709" w:type="dxa"/>
          </w:tcPr>
          <w:p w14:paraId="167FD1AE">
            <w:pPr>
              <w:rPr>
                <w:color w:val="auto"/>
                <w:highlight w:val="none"/>
              </w:rPr>
            </w:pPr>
          </w:p>
        </w:tc>
        <w:tc>
          <w:tcPr>
            <w:tcW w:w="871" w:type="dxa"/>
          </w:tcPr>
          <w:p w14:paraId="5C4C7B10">
            <w:pPr>
              <w:rPr>
                <w:color w:val="auto"/>
                <w:highlight w:val="none"/>
              </w:rPr>
            </w:pPr>
          </w:p>
        </w:tc>
        <w:tc>
          <w:tcPr>
            <w:tcW w:w="1138" w:type="dxa"/>
          </w:tcPr>
          <w:p w14:paraId="1BEBB02F">
            <w:pPr>
              <w:rPr>
                <w:color w:val="auto"/>
                <w:highlight w:val="none"/>
              </w:rPr>
            </w:pPr>
          </w:p>
        </w:tc>
      </w:tr>
      <w:tr w14:paraId="2F20B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tcPr>
          <w:p w14:paraId="48C3145F">
            <w:pPr>
              <w:rPr>
                <w:color w:val="auto"/>
                <w:highlight w:val="none"/>
              </w:rPr>
            </w:pPr>
          </w:p>
        </w:tc>
        <w:tc>
          <w:tcPr>
            <w:tcW w:w="1273" w:type="dxa"/>
          </w:tcPr>
          <w:p w14:paraId="3CC22419">
            <w:pPr>
              <w:rPr>
                <w:color w:val="auto"/>
                <w:highlight w:val="none"/>
              </w:rPr>
            </w:pPr>
          </w:p>
        </w:tc>
        <w:tc>
          <w:tcPr>
            <w:tcW w:w="992" w:type="dxa"/>
          </w:tcPr>
          <w:p w14:paraId="570DAA6A">
            <w:pPr>
              <w:rPr>
                <w:color w:val="auto"/>
                <w:highlight w:val="none"/>
              </w:rPr>
            </w:pPr>
          </w:p>
        </w:tc>
        <w:tc>
          <w:tcPr>
            <w:tcW w:w="603" w:type="dxa"/>
          </w:tcPr>
          <w:p w14:paraId="71FC6C4D">
            <w:pPr>
              <w:rPr>
                <w:color w:val="auto"/>
                <w:highlight w:val="none"/>
              </w:rPr>
            </w:pPr>
          </w:p>
        </w:tc>
        <w:tc>
          <w:tcPr>
            <w:tcW w:w="487" w:type="dxa"/>
          </w:tcPr>
          <w:p w14:paraId="19A154B1">
            <w:pPr>
              <w:rPr>
                <w:color w:val="auto"/>
                <w:highlight w:val="none"/>
              </w:rPr>
            </w:pPr>
          </w:p>
        </w:tc>
        <w:tc>
          <w:tcPr>
            <w:tcW w:w="1133" w:type="dxa"/>
          </w:tcPr>
          <w:p w14:paraId="2393E21B">
            <w:pPr>
              <w:rPr>
                <w:color w:val="auto"/>
                <w:highlight w:val="none"/>
              </w:rPr>
            </w:pPr>
          </w:p>
        </w:tc>
        <w:tc>
          <w:tcPr>
            <w:tcW w:w="709" w:type="dxa"/>
          </w:tcPr>
          <w:p w14:paraId="0C27C52E">
            <w:pPr>
              <w:rPr>
                <w:color w:val="auto"/>
                <w:highlight w:val="none"/>
              </w:rPr>
            </w:pPr>
          </w:p>
        </w:tc>
        <w:tc>
          <w:tcPr>
            <w:tcW w:w="871" w:type="dxa"/>
          </w:tcPr>
          <w:p w14:paraId="005F3E93">
            <w:pPr>
              <w:rPr>
                <w:color w:val="auto"/>
                <w:highlight w:val="none"/>
              </w:rPr>
            </w:pPr>
          </w:p>
        </w:tc>
        <w:tc>
          <w:tcPr>
            <w:tcW w:w="1138" w:type="dxa"/>
          </w:tcPr>
          <w:p w14:paraId="5A02FC8F">
            <w:pPr>
              <w:rPr>
                <w:color w:val="auto"/>
                <w:highlight w:val="none"/>
              </w:rPr>
            </w:pPr>
          </w:p>
        </w:tc>
      </w:tr>
      <w:tr w14:paraId="78EEA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2C1D3207">
            <w:pPr>
              <w:rPr>
                <w:color w:val="auto"/>
                <w:highlight w:val="none"/>
              </w:rPr>
            </w:pPr>
          </w:p>
        </w:tc>
        <w:tc>
          <w:tcPr>
            <w:tcW w:w="1273" w:type="dxa"/>
          </w:tcPr>
          <w:p w14:paraId="02BC90F6">
            <w:pPr>
              <w:rPr>
                <w:color w:val="auto"/>
                <w:highlight w:val="none"/>
              </w:rPr>
            </w:pPr>
          </w:p>
        </w:tc>
        <w:tc>
          <w:tcPr>
            <w:tcW w:w="992" w:type="dxa"/>
          </w:tcPr>
          <w:p w14:paraId="24C0EC9E">
            <w:pPr>
              <w:rPr>
                <w:color w:val="auto"/>
                <w:highlight w:val="none"/>
              </w:rPr>
            </w:pPr>
          </w:p>
        </w:tc>
        <w:tc>
          <w:tcPr>
            <w:tcW w:w="603" w:type="dxa"/>
          </w:tcPr>
          <w:p w14:paraId="0D96A184">
            <w:pPr>
              <w:rPr>
                <w:color w:val="auto"/>
                <w:highlight w:val="none"/>
              </w:rPr>
            </w:pPr>
          </w:p>
        </w:tc>
        <w:tc>
          <w:tcPr>
            <w:tcW w:w="487" w:type="dxa"/>
          </w:tcPr>
          <w:p w14:paraId="1F473540">
            <w:pPr>
              <w:rPr>
                <w:color w:val="auto"/>
                <w:highlight w:val="none"/>
              </w:rPr>
            </w:pPr>
          </w:p>
        </w:tc>
        <w:tc>
          <w:tcPr>
            <w:tcW w:w="1133" w:type="dxa"/>
          </w:tcPr>
          <w:p w14:paraId="5C6E8281">
            <w:pPr>
              <w:rPr>
                <w:color w:val="auto"/>
                <w:highlight w:val="none"/>
              </w:rPr>
            </w:pPr>
          </w:p>
        </w:tc>
        <w:tc>
          <w:tcPr>
            <w:tcW w:w="709" w:type="dxa"/>
          </w:tcPr>
          <w:p w14:paraId="42AAC14E">
            <w:pPr>
              <w:rPr>
                <w:color w:val="auto"/>
                <w:highlight w:val="none"/>
              </w:rPr>
            </w:pPr>
          </w:p>
        </w:tc>
        <w:tc>
          <w:tcPr>
            <w:tcW w:w="871" w:type="dxa"/>
          </w:tcPr>
          <w:p w14:paraId="4637BEA6">
            <w:pPr>
              <w:rPr>
                <w:color w:val="auto"/>
                <w:highlight w:val="none"/>
              </w:rPr>
            </w:pPr>
          </w:p>
        </w:tc>
        <w:tc>
          <w:tcPr>
            <w:tcW w:w="1138" w:type="dxa"/>
          </w:tcPr>
          <w:p w14:paraId="61098838">
            <w:pPr>
              <w:rPr>
                <w:color w:val="auto"/>
                <w:highlight w:val="none"/>
              </w:rPr>
            </w:pPr>
          </w:p>
        </w:tc>
      </w:tr>
      <w:tr w14:paraId="74FE4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36E4AA5F">
            <w:pPr>
              <w:rPr>
                <w:color w:val="auto"/>
                <w:highlight w:val="none"/>
              </w:rPr>
            </w:pPr>
          </w:p>
        </w:tc>
        <w:tc>
          <w:tcPr>
            <w:tcW w:w="1273" w:type="dxa"/>
          </w:tcPr>
          <w:p w14:paraId="2BAE1D14">
            <w:pPr>
              <w:rPr>
                <w:color w:val="auto"/>
                <w:highlight w:val="none"/>
              </w:rPr>
            </w:pPr>
          </w:p>
        </w:tc>
        <w:tc>
          <w:tcPr>
            <w:tcW w:w="992" w:type="dxa"/>
          </w:tcPr>
          <w:p w14:paraId="358F2FAC">
            <w:pPr>
              <w:rPr>
                <w:color w:val="auto"/>
                <w:highlight w:val="none"/>
              </w:rPr>
            </w:pPr>
          </w:p>
        </w:tc>
        <w:tc>
          <w:tcPr>
            <w:tcW w:w="603" w:type="dxa"/>
          </w:tcPr>
          <w:p w14:paraId="5EAE5311">
            <w:pPr>
              <w:rPr>
                <w:color w:val="auto"/>
                <w:highlight w:val="none"/>
              </w:rPr>
            </w:pPr>
          </w:p>
        </w:tc>
        <w:tc>
          <w:tcPr>
            <w:tcW w:w="487" w:type="dxa"/>
          </w:tcPr>
          <w:p w14:paraId="69B1E731">
            <w:pPr>
              <w:rPr>
                <w:color w:val="auto"/>
                <w:highlight w:val="none"/>
              </w:rPr>
            </w:pPr>
          </w:p>
        </w:tc>
        <w:tc>
          <w:tcPr>
            <w:tcW w:w="1133" w:type="dxa"/>
          </w:tcPr>
          <w:p w14:paraId="0A9BD383">
            <w:pPr>
              <w:rPr>
                <w:color w:val="auto"/>
                <w:highlight w:val="none"/>
              </w:rPr>
            </w:pPr>
          </w:p>
        </w:tc>
        <w:tc>
          <w:tcPr>
            <w:tcW w:w="709" w:type="dxa"/>
          </w:tcPr>
          <w:p w14:paraId="3775EDEF">
            <w:pPr>
              <w:rPr>
                <w:color w:val="auto"/>
                <w:highlight w:val="none"/>
              </w:rPr>
            </w:pPr>
          </w:p>
        </w:tc>
        <w:tc>
          <w:tcPr>
            <w:tcW w:w="871" w:type="dxa"/>
          </w:tcPr>
          <w:p w14:paraId="4A4EEA29">
            <w:pPr>
              <w:rPr>
                <w:color w:val="auto"/>
                <w:highlight w:val="none"/>
              </w:rPr>
            </w:pPr>
          </w:p>
        </w:tc>
        <w:tc>
          <w:tcPr>
            <w:tcW w:w="1138" w:type="dxa"/>
          </w:tcPr>
          <w:p w14:paraId="5ECFE05F">
            <w:pPr>
              <w:rPr>
                <w:color w:val="auto"/>
                <w:highlight w:val="none"/>
              </w:rPr>
            </w:pPr>
          </w:p>
        </w:tc>
      </w:tr>
      <w:tr w14:paraId="34CF7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7FA0DC66">
            <w:pPr>
              <w:rPr>
                <w:color w:val="auto"/>
                <w:highlight w:val="none"/>
              </w:rPr>
            </w:pPr>
          </w:p>
        </w:tc>
        <w:tc>
          <w:tcPr>
            <w:tcW w:w="1273" w:type="dxa"/>
          </w:tcPr>
          <w:p w14:paraId="62C7315A">
            <w:pPr>
              <w:rPr>
                <w:color w:val="auto"/>
                <w:highlight w:val="none"/>
              </w:rPr>
            </w:pPr>
          </w:p>
        </w:tc>
        <w:tc>
          <w:tcPr>
            <w:tcW w:w="992" w:type="dxa"/>
          </w:tcPr>
          <w:p w14:paraId="65F4DBD9">
            <w:pPr>
              <w:rPr>
                <w:color w:val="auto"/>
                <w:highlight w:val="none"/>
              </w:rPr>
            </w:pPr>
          </w:p>
        </w:tc>
        <w:tc>
          <w:tcPr>
            <w:tcW w:w="603" w:type="dxa"/>
          </w:tcPr>
          <w:p w14:paraId="0B1B2C30">
            <w:pPr>
              <w:rPr>
                <w:color w:val="auto"/>
                <w:highlight w:val="none"/>
              </w:rPr>
            </w:pPr>
          </w:p>
        </w:tc>
        <w:tc>
          <w:tcPr>
            <w:tcW w:w="487" w:type="dxa"/>
          </w:tcPr>
          <w:p w14:paraId="59614B26">
            <w:pPr>
              <w:rPr>
                <w:color w:val="auto"/>
                <w:highlight w:val="none"/>
              </w:rPr>
            </w:pPr>
          </w:p>
        </w:tc>
        <w:tc>
          <w:tcPr>
            <w:tcW w:w="1133" w:type="dxa"/>
          </w:tcPr>
          <w:p w14:paraId="38F3A66A">
            <w:pPr>
              <w:rPr>
                <w:color w:val="auto"/>
                <w:highlight w:val="none"/>
              </w:rPr>
            </w:pPr>
          </w:p>
        </w:tc>
        <w:tc>
          <w:tcPr>
            <w:tcW w:w="709" w:type="dxa"/>
          </w:tcPr>
          <w:p w14:paraId="6886DBA7">
            <w:pPr>
              <w:rPr>
                <w:color w:val="auto"/>
                <w:highlight w:val="none"/>
              </w:rPr>
            </w:pPr>
          </w:p>
        </w:tc>
        <w:tc>
          <w:tcPr>
            <w:tcW w:w="871" w:type="dxa"/>
          </w:tcPr>
          <w:p w14:paraId="78C22ED5">
            <w:pPr>
              <w:rPr>
                <w:color w:val="auto"/>
                <w:highlight w:val="none"/>
              </w:rPr>
            </w:pPr>
          </w:p>
        </w:tc>
        <w:tc>
          <w:tcPr>
            <w:tcW w:w="1138" w:type="dxa"/>
          </w:tcPr>
          <w:p w14:paraId="0E861A88">
            <w:pPr>
              <w:rPr>
                <w:color w:val="auto"/>
                <w:highlight w:val="none"/>
              </w:rPr>
            </w:pPr>
          </w:p>
        </w:tc>
      </w:tr>
      <w:tr w14:paraId="27735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28AAFA33">
            <w:pPr>
              <w:rPr>
                <w:color w:val="auto"/>
                <w:highlight w:val="none"/>
              </w:rPr>
            </w:pPr>
          </w:p>
        </w:tc>
        <w:tc>
          <w:tcPr>
            <w:tcW w:w="1273" w:type="dxa"/>
          </w:tcPr>
          <w:p w14:paraId="04C7D39A">
            <w:pPr>
              <w:rPr>
                <w:color w:val="auto"/>
                <w:highlight w:val="none"/>
              </w:rPr>
            </w:pPr>
          </w:p>
        </w:tc>
        <w:tc>
          <w:tcPr>
            <w:tcW w:w="992" w:type="dxa"/>
          </w:tcPr>
          <w:p w14:paraId="7AFFE495">
            <w:pPr>
              <w:rPr>
                <w:color w:val="auto"/>
                <w:highlight w:val="none"/>
              </w:rPr>
            </w:pPr>
          </w:p>
        </w:tc>
        <w:tc>
          <w:tcPr>
            <w:tcW w:w="603" w:type="dxa"/>
          </w:tcPr>
          <w:p w14:paraId="05D1A564">
            <w:pPr>
              <w:rPr>
                <w:color w:val="auto"/>
                <w:highlight w:val="none"/>
              </w:rPr>
            </w:pPr>
          </w:p>
        </w:tc>
        <w:tc>
          <w:tcPr>
            <w:tcW w:w="487" w:type="dxa"/>
          </w:tcPr>
          <w:p w14:paraId="00E8D19E">
            <w:pPr>
              <w:rPr>
                <w:color w:val="auto"/>
                <w:highlight w:val="none"/>
              </w:rPr>
            </w:pPr>
          </w:p>
        </w:tc>
        <w:tc>
          <w:tcPr>
            <w:tcW w:w="1133" w:type="dxa"/>
          </w:tcPr>
          <w:p w14:paraId="549DB987">
            <w:pPr>
              <w:rPr>
                <w:color w:val="auto"/>
                <w:highlight w:val="none"/>
              </w:rPr>
            </w:pPr>
          </w:p>
        </w:tc>
        <w:tc>
          <w:tcPr>
            <w:tcW w:w="709" w:type="dxa"/>
          </w:tcPr>
          <w:p w14:paraId="49FA4718">
            <w:pPr>
              <w:rPr>
                <w:color w:val="auto"/>
                <w:highlight w:val="none"/>
              </w:rPr>
            </w:pPr>
          </w:p>
        </w:tc>
        <w:tc>
          <w:tcPr>
            <w:tcW w:w="871" w:type="dxa"/>
          </w:tcPr>
          <w:p w14:paraId="07B6A223">
            <w:pPr>
              <w:rPr>
                <w:color w:val="auto"/>
                <w:highlight w:val="none"/>
              </w:rPr>
            </w:pPr>
          </w:p>
        </w:tc>
        <w:tc>
          <w:tcPr>
            <w:tcW w:w="1138" w:type="dxa"/>
          </w:tcPr>
          <w:p w14:paraId="6F193799">
            <w:pPr>
              <w:rPr>
                <w:color w:val="auto"/>
                <w:highlight w:val="none"/>
              </w:rPr>
            </w:pPr>
          </w:p>
        </w:tc>
      </w:tr>
      <w:tr w14:paraId="4A209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32730431">
            <w:pPr>
              <w:rPr>
                <w:color w:val="auto"/>
                <w:highlight w:val="none"/>
              </w:rPr>
            </w:pPr>
          </w:p>
        </w:tc>
        <w:tc>
          <w:tcPr>
            <w:tcW w:w="1273" w:type="dxa"/>
          </w:tcPr>
          <w:p w14:paraId="5977680A">
            <w:pPr>
              <w:rPr>
                <w:color w:val="auto"/>
                <w:highlight w:val="none"/>
              </w:rPr>
            </w:pPr>
          </w:p>
        </w:tc>
        <w:tc>
          <w:tcPr>
            <w:tcW w:w="992" w:type="dxa"/>
          </w:tcPr>
          <w:p w14:paraId="3B9952C2">
            <w:pPr>
              <w:rPr>
                <w:color w:val="auto"/>
                <w:highlight w:val="none"/>
              </w:rPr>
            </w:pPr>
          </w:p>
        </w:tc>
        <w:tc>
          <w:tcPr>
            <w:tcW w:w="603" w:type="dxa"/>
          </w:tcPr>
          <w:p w14:paraId="274C4004">
            <w:pPr>
              <w:rPr>
                <w:color w:val="auto"/>
                <w:highlight w:val="none"/>
              </w:rPr>
            </w:pPr>
          </w:p>
        </w:tc>
        <w:tc>
          <w:tcPr>
            <w:tcW w:w="487" w:type="dxa"/>
          </w:tcPr>
          <w:p w14:paraId="6F9D380D">
            <w:pPr>
              <w:rPr>
                <w:color w:val="auto"/>
                <w:highlight w:val="none"/>
              </w:rPr>
            </w:pPr>
          </w:p>
        </w:tc>
        <w:tc>
          <w:tcPr>
            <w:tcW w:w="1133" w:type="dxa"/>
          </w:tcPr>
          <w:p w14:paraId="58CA067B">
            <w:pPr>
              <w:rPr>
                <w:color w:val="auto"/>
                <w:highlight w:val="none"/>
              </w:rPr>
            </w:pPr>
          </w:p>
        </w:tc>
        <w:tc>
          <w:tcPr>
            <w:tcW w:w="709" w:type="dxa"/>
          </w:tcPr>
          <w:p w14:paraId="722C451E">
            <w:pPr>
              <w:rPr>
                <w:color w:val="auto"/>
                <w:highlight w:val="none"/>
              </w:rPr>
            </w:pPr>
          </w:p>
        </w:tc>
        <w:tc>
          <w:tcPr>
            <w:tcW w:w="871" w:type="dxa"/>
          </w:tcPr>
          <w:p w14:paraId="0D08D072">
            <w:pPr>
              <w:rPr>
                <w:color w:val="auto"/>
                <w:highlight w:val="none"/>
              </w:rPr>
            </w:pPr>
          </w:p>
        </w:tc>
        <w:tc>
          <w:tcPr>
            <w:tcW w:w="1138" w:type="dxa"/>
          </w:tcPr>
          <w:p w14:paraId="285072F3">
            <w:pPr>
              <w:rPr>
                <w:color w:val="auto"/>
                <w:highlight w:val="none"/>
              </w:rPr>
            </w:pPr>
          </w:p>
        </w:tc>
      </w:tr>
      <w:tr w14:paraId="0FDF7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21394B48">
            <w:pPr>
              <w:rPr>
                <w:color w:val="auto"/>
                <w:highlight w:val="none"/>
              </w:rPr>
            </w:pPr>
          </w:p>
        </w:tc>
        <w:tc>
          <w:tcPr>
            <w:tcW w:w="1273" w:type="dxa"/>
          </w:tcPr>
          <w:p w14:paraId="3F7FD9B2">
            <w:pPr>
              <w:rPr>
                <w:color w:val="auto"/>
                <w:highlight w:val="none"/>
              </w:rPr>
            </w:pPr>
          </w:p>
        </w:tc>
        <w:tc>
          <w:tcPr>
            <w:tcW w:w="992" w:type="dxa"/>
          </w:tcPr>
          <w:p w14:paraId="61F151FF">
            <w:pPr>
              <w:rPr>
                <w:color w:val="auto"/>
                <w:highlight w:val="none"/>
              </w:rPr>
            </w:pPr>
          </w:p>
        </w:tc>
        <w:tc>
          <w:tcPr>
            <w:tcW w:w="603" w:type="dxa"/>
          </w:tcPr>
          <w:p w14:paraId="66B0FA2D">
            <w:pPr>
              <w:rPr>
                <w:color w:val="auto"/>
                <w:highlight w:val="none"/>
              </w:rPr>
            </w:pPr>
          </w:p>
        </w:tc>
        <w:tc>
          <w:tcPr>
            <w:tcW w:w="487" w:type="dxa"/>
          </w:tcPr>
          <w:p w14:paraId="3D3067FC">
            <w:pPr>
              <w:rPr>
                <w:color w:val="auto"/>
                <w:highlight w:val="none"/>
              </w:rPr>
            </w:pPr>
          </w:p>
        </w:tc>
        <w:tc>
          <w:tcPr>
            <w:tcW w:w="1133" w:type="dxa"/>
          </w:tcPr>
          <w:p w14:paraId="28F506EA">
            <w:pPr>
              <w:rPr>
                <w:color w:val="auto"/>
                <w:highlight w:val="none"/>
              </w:rPr>
            </w:pPr>
          </w:p>
        </w:tc>
        <w:tc>
          <w:tcPr>
            <w:tcW w:w="709" w:type="dxa"/>
          </w:tcPr>
          <w:p w14:paraId="32553CF6">
            <w:pPr>
              <w:rPr>
                <w:color w:val="auto"/>
                <w:highlight w:val="none"/>
              </w:rPr>
            </w:pPr>
          </w:p>
        </w:tc>
        <w:tc>
          <w:tcPr>
            <w:tcW w:w="871" w:type="dxa"/>
          </w:tcPr>
          <w:p w14:paraId="39754FFD">
            <w:pPr>
              <w:rPr>
                <w:color w:val="auto"/>
                <w:highlight w:val="none"/>
              </w:rPr>
            </w:pPr>
          </w:p>
        </w:tc>
        <w:tc>
          <w:tcPr>
            <w:tcW w:w="1138" w:type="dxa"/>
          </w:tcPr>
          <w:p w14:paraId="1751C731">
            <w:pPr>
              <w:rPr>
                <w:color w:val="auto"/>
                <w:highlight w:val="none"/>
              </w:rPr>
            </w:pPr>
          </w:p>
        </w:tc>
      </w:tr>
      <w:tr w14:paraId="53EFB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6BBFBD0A">
            <w:pPr>
              <w:rPr>
                <w:color w:val="auto"/>
                <w:highlight w:val="none"/>
              </w:rPr>
            </w:pPr>
          </w:p>
        </w:tc>
        <w:tc>
          <w:tcPr>
            <w:tcW w:w="1273" w:type="dxa"/>
          </w:tcPr>
          <w:p w14:paraId="40ED8031">
            <w:pPr>
              <w:rPr>
                <w:color w:val="auto"/>
                <w:highlight w:val="none"/>
              </w:rPr>
            </w:pPr>
          </w:p>
        </w:tc>
        <w:tc>
          <w:tcPr>
            <w:tcW w:w="992" w:type="dxa"/>
          </w:tcPr>
          <w:p w14:paraId="3B99C3BD">
            <w:pPr>
              <w:rPr>
                <w:color w:val="auto"/>
                <w:highlight w:val="none"/>
              </w:rPr>
            </w:pPr>
          </w:p>
        </w:tc>
        <w:tc>
          <w:tcPr>
            <w:tcW w:w="603" w:type="dxa"/>
          </w:tcPr>
          <w:p w14:paraId="763C3B15">
            <w:pPr>
              <w:rPr>
                <w:color w:val="auto"/>
                <w:highlight w:val="none"/>
              </w:rPr>
            </w:pPr>
          </w:p>
        </w:tc>
        <w:tc>
          <w:tcPr>
            <w:tcW w:w="487" w:type="dxa"/>
          </w:tcPr>
          <w:p w14:paraId="20AF449F">
            <w:pPr>
              <w:rPr>
                <w:color w:val="auto"/>
                <w:highlight w:val="none"/>
              </w:rPr>
            </w:pPr>
          </w:p>
        </w:tc>
        <w:tc>
          <w:tcPr>
            <w:tcW w:w="1133" w:type="dxa"/>
          </w:tcPr>
          <w:p w14:paraId="68D179E9">
            <w:pPr>
              <w:rPr>
                <w:color w:val="auto"/>
                <w:highlight w:val="none"/>
              </w:rPr>
            </w:pPr>
          </w:p>
        </w:tc>
        <w:tc>
          <w:tcPr>
            <w:tcW w:w="709" w:type="dxa"/>
          </w:tcPr>
          <w:p w14:paraId="58A1BB5D">
            <w:pPr>
              <w:rPr>
                <w:color w:val="auto"/>
                <w:highlight w:val="none"/>
              </w:rPr>
            </w:pPr>
          </w:p>
        </w:tc>
        <w:tc>
          <w:tcPr>
            <w:tcW w:w="871" w:type="dxa"/>
          </w:tcPr>
          <w:p w14:paraId="134A1EF0">
            <w:pPr>
              <w:rPr>
                <w:color w:val="auto"/>
                <w:highlight w:val="none"/>
              </w:rPr>
            </w:pPr>
          </w:p>
        </w:tc>
        <w:tc>
          <w:tcPr>
            <w:tcW w:w="1138" w:type="dxa"/>
          </w:tcPr>
          <w:p w14:paraId="44661FB3">
            <w:pPr>
              <w:rPr>
                <w:color w:val="auto"/>
                <w:highlight w:val="none"/>
              </w:rPr>
            </w:pPr>
          </w:p>
        </w:tc>
      </w:tr>
      <w:tr w14:paraId="128F1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35263A46">
            <w:pPr>
              <w:rPr>
                <w:color w:val="auto"/>
                <w:highlight w:val="none"/>
              </w:rPr>
            </w:pPr>
          </w:p>
        </w:tc>
        <w:tc>
          <w:tcPr>
            <w:tcW w:w="1273" w:type="dxa"/>
          </w:tcPr>
          <w:p w14:paraId="0780E5A8">
            <w:pPr>
              <w:rPr>
                <w:color w:val="auto"/>
                <w:highlight w:val="none"/>
              </w:rPr>
            </w:pPr>
          </w:p>
        </w:tc>
        <w:tc>
          <w:tcPr>
            <w:tcW w:w="992" w:type="dxa"/>
          </w:tcPr>
          <w:p w14:paraId="1E11F157">
            <w:pPr>
              <w:rPr>
                <w:color w:val="auto"/>
                <w:highlight w:val="none"/>
              </w:rPr>
            </w:pPr>
          </w:p>
        </w:tc>
        <w:tc>
          <w:tcPr>
            <w:tcW w:w="603" w:type="dxa"/>
          </w:tcPr>
          <w:p w14:paraId="59B3ADA7">
            <w:pPr>
              <w:rPr>
                <w:color w:val="auto"/>
                <w:highlight w:val="none"/>
              </w:rPr>
            </w:pPr>
          </w:p>
        </w:tc>
        <w:tc>
          <w:tcPr>
            <w:tcW w:w="487" w:type="dxa"/>
          </w:tcPr>
          <w:p w14:paraId="7764FCB3">
            <w:pPr>
              <w:rPr>
                <w:color w:val="auto"/>
                <w:highlight w:val="none"/>
              </w:rPr>
            </w:pPr>
          </w:p>
        </w:tc>
        <w:tc>
          <w:tcPr>
            <w:tcW w:w="1133" w:type="dxa"/>
          </w:tcPr>
          <w:p w14:paraId="7490F933">
            <w:pPr>
              <w:rPr>
                <w:color w:val="auto"/>
                <w:highlight w:val="none"/>
              </w:rPr>
            </w:pPr>
          </w:p>
        </w:tc>
        <w:tc>
          <w:tcPr>
            <w:tcW w:w="709" w:type="dxa"/>
          </w:tcPr>
          <w:p w14:paraId="4BB330E9">
            <w:pPr>
              <w:rPr>
                <w:color w:val="auto"/>
                <w:highlight w:val="none"/>
              </w:rPr>
            </w:pPr>
          </w:p>
        </w:tc>
        <w:tc>
          <w:tcPr>
            <w:tcW w:w="871" w:type="dxa"/>
          </w:tcPr>
          <w:p w14:paraId="1C368113">
            <w:pPr>
              <w:rPr>
                <w:color w:val="auto"/>
                <w:highlight w:val="none"/>
              </w:rPr>
            </w:pPr>
          </w:p>
        </w:tc>
        <w:tc>
          <w:tcPr>
            <w:tcW w:w="1138" w:type="dxa"/>
          </w:tcPr>
          <w:p w14:paraId="4EA7FB4D">
            <w:pPr>
              <w:rPr>
                <w:color w:val="auto"/>
                <w:highlight w:val="none"/>
              </w:rPr>
            </w:pPr>
          </w:p>
        </w:tc>
      </w:tr>
      <w:tr w14:paraId="48AF8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47F96802">
            <w:pPr>
              <w:rPr>
                <w:color w:val="auto"/>
                <w:highlight w:val="none"/>
              </w:rPr>
            </w:pPr>
          </w:p>
        </w:tc>
        <w:tc>
          <w:tcPr>
            <w:tcW w:w="1273" w:type="dxa"/>
          </w:tcPr>
          <w:p w14:paraId="504C3504">
            <w:pPr>
              <w:rPr>
                <w:color w:val="auto"/>
                <w:highlight w:val="none"/>
              </w:rPr>
            </w:pPr>
          </w:p>
        </w:tc>
        <w:tc>
          <w:tcPr>
            <w:tcW w:w="992" w:type="dxa"/>
          </w:tcPr>
          <w:p w14:paraId="56E3D21B">
            <w:pPr>
              <w:rPr>
                <w:color w:val="auto"/>
                <w:highlight w:val="none"/>
              </w:rPr>
            </w:pPr>
          </w:p>
        </w:tc>
        <w:tc>
          <w:tcPr>
            <w:tcW w:w="603" w:type="dxa"/>
          </w:tcPr>
          <w:p w14:paraId="7460A0FE">
            <w:pPr>
              <w:rPr>
                <w:color w:val="auto"/>
                <w:highlight w:val="none"/>
              </w:rPr>
            </w:pPr>
          </w:p>
        </w:tc>
        <w:tc>
          <w:tcPr>
            <w:tcW w:w="487" w:type="dxa"/>
          </w:tcPr>
          <w:p w14:paraId="509242EA">
            <w:pPr>
              <w:rPr>
                <w:color w:val="auto"/>
                <w:highlight w:val="none"/>
              </w:rPr>
            </w:pPr>
          </w:p>
        </w:tc>
        <w:tc>
          <w:tcPr>
            <w:tcW w:w="1133" w:type="dxa"/>
          </w:tcPr>
          <w:p w14:paraId="0C7CD77B">
            <w:pPr>
              <w:rPr>
                <w:color w:val="auto"/>
                <w:highlight w:val="none"/>
              </w:rPr>
            </w:pPr>
          </w:p>
        </w:tc>
        <w:tc>
          <w:tcPr>
            <w:tcW w:w="709" w:type="dxa"/>
          </w:tcPr>
          <w:p w14:paraId="5E011D6E">
            <w:pPr>
              <w:rPr>
                <w:color w:val="auto"/>
                <w:highlight w:val="none"/>
              </w:rPr>
            </w:pPr>
          </w:p>
        </w:tc>
        <w:tc>
          <w:tcPr>
            <w:tcW w:w="871" w:type="dxa"/>
          </w:tcPr>
          <w:p w14:paraId="038790D4">
            <w:pPr>
              <w:rPr>
                <w:color w:val="auto"/>
                <w:highlight w:val="none"/>
              </w:rPr>
            </w:pPr>
          </w:p>
        </w:tc>
        <w:tc>
          <w:tcPr>
            <w:tcW w:w="1138" w:type="dxa"/>
          </w:tcPr>
          <w:p w14:paraId="53FB5427">
            <w:pPr>
              <w:rPr>
                <w:color w:val="auto"/>
                <w:highlight w:val="none"/>
              </w:rPr>
            </w:pPr>
          </w:p>
        </w:tc>
      </w:tr>
      <w:tr w14:paraId="2C046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3985F708">
            <w:pPr>
              <w:rPr>
                <w:color w:val="auto"/>
                <w:highlight w:val="none"/>
              </w:rPr>
            </w:pPr>
          </w:p>
        </w:tc>
        <w:tc>
          <w:tcPr>
            <w:tcW w:w="1273" w:type="dxa"/>
          </w:tcPr>
          <w:p w14:paraId="52676A61">
            <w:pPr>
              <w:rPr>
                <w:color w:val="auto"/>
                <w:highlight w:val="none"/>
              </w:rPr>
            </w:pPr>
          </w:p>
        </w:tc>
        <w:tc>
          <w:tcPr>
            <w:tcW w:w="992" w:type="dxa"/>
          </w:tcPr>
          <w:p w14:paraId="3DEA98E6">
            <w:pPr>
              <w:rPr>
                <w:color w:val="auto"/>
                <w:highlight w:val="none"/>
              </w:rPr>
            </w:pPr>
          </w:p>
        </w:tc>
        <w:tc>
          <w:tcPr>
            <w:tcW w:w="603" w:type="dxa"/>
          </w:tcPr>
          <w:p w14:paraId="10856F1A">
            <w:pPr>
              <w:rPr>
                <w:color w:val="auto"/>
                <w:highlight w:val="none"/>
              </w:rPr>
            </w:pPr>
          </w:p>
        </w:tc>
        <w:tc>
          <w:tcPr>
            <w:tcW w:w="487" w:type="dxa"/>
          </w:tcPr>
          <w:p w14:paraId="1B4C5F4F">
            <w:pPr>
              <w:rPr>
                <w:color w:val="auto"/>
                <w:highlight w:val="none"/>
              </w:rPr>
            </w:pPr>
          </w:p>
        </w:tc>
        <w:tc>
          <w:tcPr>
            <w:tcW w:w="1133" w:type="dxa"/>
          </w:tcPr>
          <w:p w14:paraId="04F37A6F">
            <w:pPr>
              <w:rPr>
                <w:color w:val="auto"/>
                <w:highlight w:val="none"/>
              </w:rPr>
            </w:pPr>
          </w:p>
        </w:tc>
        <w:tc>
          <w:tcPr>
            <w:tcW w:w="709" w:type="dxa"/>
          </w:tcPr>
          <w:p w14:paraId="1A50D9A9">
            <w:pPr>
              <w:rPr>
                <w:color w:val="auto"/>
                <w:highlight w:val="none"/>
              </w:rPr>
            </w:pPr>
          </w:p>
        </w:tc>
        <w:tc>
          <w:tcPr>
            <w:tcW w:w="871" w:type="dxa"/>
          </w:tcPr>
          <w:p w14:paraId="1DB8A023">
            <w:pPr>
              <w:rPr>
                <w:color w:val="auto"/>
                <w:highlight w:val="none"/>
              </w:rPr>
            </w:pPr>
          </w:p>
        </w:tc>
        <w:tc>
          <w:tcPr>
            <w:tcW w:w="1138" w:type="dxa"/>
          </w:tcPr>
          <w:p w14:paraId="22B133CA">
            <w:pPr>
              <w:rPr>
                <w:color w:val="auto"/>
                <w:highlight w:val="none"/>
              </w:rPr>
            </w:pPr>
          </w:p>
        </w:tc>
      </w:tr>
      <w:tr w14:paraId="51E21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39CE59F8">
            <w:pPr>
              <w:rPr>
                <w:color w:val="auto"/>
                <w:highlight w:val="none"/>
              </w:rPr>
            </w:pPr>
          </w:p>
        </w:tc>
        <w:tc>
          <w:tcPr>
            <w:tcW w:w="1273" w:type="dxa"/>
          </w:tcPr>
          <w:p w14:paraId="539DB514">
            <w:pPr>
              <w:rPr>
                <w:color w:val="auto"/>
                <w:highlight w:val="none"/>
              </w:rPr>
            </w:pPr>
          </w:p>
        </w:tc>
        <w:tc>
          <w:tcPr>
            <w:tcW w:w="992" w:type="dxa"/>
          </w:tcPr>
          <w:p w14:paraId="705866C4">
            <w:pPr>
              <w:rPr>
                <w:color w:val="auto"/>
                <w:highlight w:val="none"/>
              </w:rPr>
            </w:pPr>
          </w:p>
        </w:tc>
        <w:tc>
          <w:tcPr>
            <w:tcW w:w="603" w:type="dxa"/>
          </w:tcPr>
          <w:p w14:paraId="15E37328">
            <w:pPr>
              <w:rPr>
                <w:color w:val="auto"/>
                <w:highlight w:val="none"/>
              </w:rPr>
            </w:pPr>
          </w:p>
        </w:tc>
        <w:tc>
          <w:tcPr>
            <w:tcW w:w="487" w:type="dxa"/>
          </w:tcPr>
          <w:p w14:paraId="664E25F0">
            <w:pPr>
              <w:rPr>
                <w:color w:val="auto"/>
                <w:highlight w:val="none"/>
              </w:rPr>
            </w:pPr>
          </w:p>
        </w:tc>
        <w:tc>
          <w:tcPr>
            <w:tcW w:w="1133" w:type="dxa"/>
          </w:tcPr>
          <w:p w14:paraId="5BD57EEF">
            <w:pPr>
              <w:rPr>
                <w:color w:val="auto"/>
                <w:highlight w:val="none"/>
              </w:rPr>
            </w:pPr>
          </w:p>
        </w:tc>
        <w:tc>
          <w:tcPr>
            <w:tcW w:w="709" w:type="dxa"/>
          </w:tcPr>
          <w:p w14:paraId="709244E5">
            <w:pPr>
              <w:rPr>
                <w:color w:val="auto"/>
                <w:highlight w:val="none"/>
              </w:rPr>
            </w:pPr>
          </w:p>
        </w:tc>
        <w:tc>
          <w:tcPr>
            <w:tcW w:w="871" w:type="dxa"/>
          </w:tcPr>
          <w:p w14:paraId="34297535">
            <w:pPr>
              <w:rPr>
                <w:color w:val="auto"/>
                <w:highlight w:val="none"/>
              </w:rPr>
            </w:pPr>
          </w:p>
        </w:tc>
        <w:tc>
          <w:tcPr>
            <w:tcW w:w="1138" w:type="dxa"/>
          </w:tcPr>
          <w:p w14:paraId="10AA92B0">
            <w:pPr>
              <w:rPr>
                <w:color w:val="auto"/>
                <w:highlight w:val="none"/>
              </w:rPr>
            </w:pPr>
          </w:p>
        </w:tc>
      </w:tr>
      <w:tr w14:paraId="0C54F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52A91C1D">
            <w:pPr>
              <w:rPr>
                <w:color w:val="auto"/>
                <w:highlight w:val="none"/>
              </w:rPr>
            </w:pPr>
          </w:p>
        </w:tc>
        <w:tc>
          <w:tcPr>
            <w:tcW w:w="1273" w:type="dxa"/>
          </w:tcPr>
          <w:p w14:paraId="0B709729">
            <w:pPr>
              <w:rPr>
                <w:color w:val="auto"/>
                <w:highlight w:val="none"/>
              </w:rPr>
            </w:pPr>
          </w:p>
        </w:tc>
        <w:tc>
          <w:tcPr>
            <w:tcW w:w="992" w:type="dxa"/>
          </w:tcPr>
          <w:p w14:paraId="690FA76B">
            <w:pPr>
              <w:rPr>
                <w:color w:val="auto"/>
                <w:highlight w:val="none"/>
              </w:rPr>
            </w:pPr>
          </w:p>
        </w:tc>
        <w:tc>
          <w:tcPr>
            <w:tcW w:w="603" w:type="dxa"/>
          </w:tcPr>
          <w:p w14:paraId="258AF642">
            <w:pPr>
              <w:rPr>
                <w:color w:val="auto"/>
                <w:highlight w:val="none"/>
              </w:rPr>
            </w:pPr>
          </w:p>
        </w:tc>
        <w:tc>
          <w:tcPr>
            <w:tcW w:w="487" w:type="dxa"/>
          </w:tcPr>
          <w:p w14:paraId="5B40BB46">
            <w:pPr>
              <w:rPr>
                <w:color w:val="auto"/>
                <w:highlight w:val="none"/>
              </w:rPr>
            </w:pPr>
          </w:p>
        </w:tc>
        <w:tc>
          <w:tcPr>
            <w:tcW w:w="1133" w:type="dxa"/>
          </w:tcPr>
          <w:p w14:paraId="6990F641">
            <w:pPr>
              <w:rPr>
                <w:color w:val="auto"/>
                <w:highlight w:val="none"/>
              </w:rPr>
            </w:pPr>
          </w:p>
        </w:tc>
        <w:tc>
          <w:tcPr>
            <w:tcW w:w="709" w:type="dxa"/>
          </w:tcPr>
          <w:p w14:paraId="279AFB22">
            <w:pPr>
              <w:rPr>
                <w:color w:val="auto"/>
                <w:highlight w:val="none"/>
              </w:rPr>
            </w:pPr>
          </w:p>
        </w:tc>
        <w:tc>
          <w:tcPr>
            <w:tcW w:w="871" w:type="dxa"/>
          </w:tcPr>
          <w:p w14:paraId="520977B0">
            <w:pPr>
              <w:rPr>
                <w:color w:val="auto"/>
                <w:highlight w:val="none"/>
              </w:rPr>
            </w:pPr>
          </w:p>
        </w:tc>
        <w:tc>
          <w:tcPr>
            <w:tcW w:w="1138" w:type="dxa"/>
          </w:tcPr>
          <w:p w14:paraId="066B7649">
            <w:pPr>
              <w:rPr>
                <w:color w:val="auto"/>
                <w:highlight w:val="none"/>
              </w:rPr>
            </w:pPr>
          </w:p>
        </w:tc>
      </w:tr>
      <w:tr w14:paraId="774F0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3CD23AED">
            <w:pPr>
              <w:rPr>
                <w:color w:val="auto"/>
                <w:highlight w:val="none"/>
              </w:rPr>
            </w:pPr>
          </w:p>
        </w:tc>
        <w:tc>
          <w:tcPr>
            <w:tcW w:w="1273" w:type="dxa"/>
          </w:tcPr>
          <w:p w14:paraId="2C352CF6">
            <w:pPr>
              <w:rPr>
                <w:color w:val="auto"/>
                <w:highlight w:val="none"/>
              </w:rPr>
            </w:pPr>
          </w:p>
        </w:tc>
        <w:tc>
          <w:tcPr>
            <w:tcW w:w="992" w:type="dxa"/>
          </w:tcPr>
          <w:p w14:paraId="32C75C44">
            <w:pPr>
              <w:rPr>
                <w:color w:val="auto"/>
                <w:highlight w:val="none"/>
              </w:rPr>
            </w:pPr>
          </w:p>
        </w:tc>
        <w:tc>
          <w:tcPr>
            <w:tcW w:w="603" w:type="dxa"/>
          </w:tcPr>
          <w:p w14:paraId="7F1CB2EF">
            <w:pPr>
              <w:rPr>
                <w:color w:val="auto"/>
                <w:highlight w:val="none"/>
              </w:rPr>
            </w:pPr>
          </w:p>
        </w:tc>
        <w:tc>
          <w:tcPr>
            <w:tcW w:w="487" w:type="dxa"/>
          </w:tcPr>
          <w:p w14:paraId="078F258B">
            <w:pPr>
              <w:rPr>
                <w:color w:val="auto"/>
                <w:highlight w:val="none"/>
              </w:rPr>
            </w:pPr>
          </w:p>
        </w:tc>
        <w:tc>
          <w:tcPr>
            <w:tcW w:w="1133" w:type="dxa"/>
          </w:tcPr>
          <w:p w14:paraId="05846CBE">
            <w:pPr>
              <w:rPr>
                <w:color w:val="auto"/>
                <w:highlight w:val="none"/>
              </w:rPr>
            </w:pPr>
          </w:p>
        </w:tc>
        <w:tc>
          <w:tcPr>
            <w:tcW w:w="709" w:type="dxa"/>
          </w:tcPr>
          <w:p w14:paraId="2541458F">
            <w:pPr>
              <w:rPr>
                <w:color w:val="auto"/>
                <w:highlight w:val="none"/>
              </w:rPr>
            </w:pPr>
          </w:p>
        </w:tc>
        <w:tc>
          <w:tcPr>
            <w:tcW w:w="871" w:type="dxa"/>
          </w:tcPr>
          <w:p w14:paraId="461EC857">
            <w:pPr>
              <w:rPr>
                <w:color w:val="auto"/>
                <w:highlight w:val="none"/>
              </w:rPr>
            </w:pPr>
          </w:p>
        </w:tc>
        <w:tc>
          <w:tcPr>
            <w:tcW w:w="1138" w:type="dxa"/>
          </w:tcPr>
          <w:p w14:paraId="61E87C72">
            <w:pPr>
              <w:rPr>
                <w:color w:val="auto"/>
                <w:highlight w:val="none"/>
              </w:rPr>
            </w:pPr>
          </w:p>
        </w:tc>
      </w:tr>
      <w:tr w14:paraId="0E6AF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24B41B93">
            <w:pPr>
              <w:rPr>
                <w:color w:val="auto"/>
                <w:highlight w:val="none"/>
              </w:rPr>
            </w:pPr>
          </w:p>
        </w:tc>
        <w:tc>
          <w:tcPr>
            <w:tcW w:w="1273" w:type="dxa"/>
          </w:tcPr>
          <w:p w14:paraId="6384308E">
            <w:pPr>
              <w:rPr>
                <w:color w:val="auto"/>
                <w:highlight w:val="none"/>
              </w:rPr>
            </w:pPr>
          </w:p>
        </w:tc>
        <w:tc>
          <w:tcPr>
            <w:tcW w:w="992" w:type="dxa"/>
          </w:tcPr>
          <w:p w14:paraId="2D1C10B3">
            <w:pPr>
              <w:rPr>
                <w:color w:val="auto"/>
                <w:highlight w:val="none"/>
              </w:rPr>
            </w:pPr>
          </w:p>
        </w:tc>
        <w:tc>
          <w:tcPr>
            <w:tcW w:w="603" w:type="dxa"/>
          </w:tcPr>
          <w:p w14:paraId="7E70FF15">
            <w:pPr>
              <w:rPr>
                <w:color w:val="auto"/>
                <w:highlight w:val="none"/>
              </w:rPr>
            </w:pPr>
          </w:p>
        </w:tc>
        <w:tc>
          <w:tcPr>
            <w:tcW w:w="487" w:type="dxa"/>
          </w:tcPr>
          <w:p w14:paraId="7675DE26">
            <w:pPr>
              <w:rPr>
                <w:color w:val="auto"/>
                <w:highlight w:val="none"/>
              </w:rPr>
            </w:pPr>
          </w:p>
        </w:tc>
        <w:tc>
          <w:tcPr>
            <w:tcW w:w="1133" w:type="dxa"/>
          </w:tcPr>
          <w:p w14:paraId="2F7A9F96">
            <w:pPr>
              <w:rPr>
                <w:color w:val="auto"/>
                <w:highlight w:val="none"/>
              </w:rPr>
            </w:pPr>
          </w:p>
        </w:tc>
        <w:tc>
          <w:tcPr>
            <w:tcW w:w="709" w:type="dxa"/>
          </w:tcPr>
          <w:p w14:paraId="07201D02">
            <w:pPr>
              <w:rPr>
                <w:color w:val="auto"/>
                <w:highlight w:val="none"/>
              </w:rPr>
            </w:pPr>
          </w:p>
        </w:tc>
        <w:tc>
          <w:tcPr>
            <w:tcW w:w="871" w:type="dxa"/>
          </w:tcPr>
          <w:p w14:paraId="18680DBD">
            <w:pPr>
              <w:rPr>
                <w:color w:val="auto"/>
                <w:highlight w:val="none"/>
              </w:rPr>
            </w:pPr>
          </w:p>
        </w:tc>
        <w:tc>
          <w:tcPr>
            <w:tcW w:w="1138" w:type="dxa"/>
          </w:tcPr>
          <w:p w14:paraId="58A939A8">
            <w:pPr>
              <w:rPr>
                <w:color w:val="auto"/>
                <w:highlight w:val="none"/>
              </w:rPr>
            </w:pPr>
          </w:p>
        </w:tc>
      </w:tr>
      <w:tr w14:paraId="141CC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0835B601">
            <w:pPr>
              <w:rPr>
                <w:color w:val="auto"/>
                <w:highlight w:val="none"/>
              </w:rPr>
            </w:pPr>
          </w:p>
        </w:tc>
        <w:tc>
          <w:tcPr>
            <w:tcW w:w="1273" w:type="dxa"/>
          </w:tcPr>
          <w:p w14:paraId="7A42183E">
            <w:pPr>
              <w:rPr>
                <w:color w:val="auto"/>
                <w:highlight w:val="none"/>
              </w:rPr>
            </w:pPr>
          </w:p>
        </w:tc>
        <w:tc>
          <w:tcPr>
            <w:tcW w:w="992" w:type="dxa"/>
          </w:tcPr>
          <w:p w14:paraId="3748633D">
            <w:pPr>
              <w:rPr>
                <w:color w:val="auto"/>
                <w:highlight w:val="none"/>
              </w:rPr>
            </w:pPr>
          </w:p>
        </w:tc>
        <w:tc>
          <w:tcPr>
            <w:tcW w:w="603" w:type="dxa"/>
          </w:tcPr>
          <w:p w14:paraId="41A17512">
            <w:pPr>
              <w:rPr>
                <w:color w:val="auto"/>
                <w:highlight w:val="none"/>
              </w:rPr>
            </w:pPr>
          </w:p>
        </w:tc>
        <w:tc>
          <w:tcPr>
            <w:tcW w:w="487" w:type="dxa"/>
          </w:tcPr>
          <w:p w14:paraId="697ABA0B">
            <w:pPr>
              <w:rPr>
                <w:color w:val="auto"/>
                <w:highlight w:val="none"/>
              </w:rPr>
            </w:pPr>
          </w:p>
        </w:tc>
        <w:tc>
          <w:tcPr>
            <w:tcW w:w="1133" w:type="dxa"/>
          </w:tcPr>
          <w:p w14:paraId="39E84F14">
            <w:pPr>
              <w:rPr>
                <w:color w:val="auto"/>
                <w:highlight w:val="none"/>
              </w:rPr>
            </w:pPr>
          </w:p>
        </w:tc>
        <w:tc>
          <w:tcPr>
            <w:tcW w:w="709" w:type="dxa"/>
          </w:tcPr>
          <w:p w14:paraId="0DCFC334">
            <w:pPr>
              <w:rPr>
                <w:color w:val="auto"/>
                <w:highlight w:val="none"/>
              </w:rPr>
            </w:pPr>
          </w:p>
        </w:tc>
        <w:tc>
          <w:tcPr>
            <w:tcW w:w="871" w:type="dxa"/>
          </w:tcPr>
          <w:p w14:paraId="61BAD676">
            <w:pPr>
              <w:rPr>
                <w:color w:val="auto"/>
                <w:highlight w:val="none"/>
              </w:rPr>
            </w:pPr>
          </w:p>
        </w:tc>
        <w:tc>
          <w:tcPr>
            <w:tcW w:w="1138" w:type="dxa"/>
          </w:tcPr>
          <w:p w14:paraId="0EE8F8CE">
            <w:pPr>
              <w:rPr>
                <w:color w:val="auto"/>
                <w:highlight w:val="none"/>
              </w:rPr>
            </w:pPr>
          </w:p>
        </w:tc>
      </w:tr>
      <w:tr w14:paraId="4602F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34C3FBCF">
            <w:pPr>
              <w:rPr>
                <w:color w:val="auto"/>
                <w:highlight w:val="none"/>
              </w:rPr>
            </w:pPr>
          </w:p>
        </w:tc>
        <w:tc>
          <w:tcPr>
            <w:tcW w:w="1273" w:type="dxa"/>
          </w:tcPr>
          <w:p w14:paraId="6513E568">
            <w:pPr>
              <w:rPr>
                <w:color w:val="auto"/>
                <w:highlight w:val="none"/>
              </w:rPr>
            </w:pPr>
          </w:p>
        </w:tc>
        <w:tc>
          <w:tcPr>
            <w:tcW w:w="992" w:type="dxa"/>
          </w:tcPr>
          <w:p w14:paraId="333799D1">
            <w:pPr>
              <w:rPr>
                <w:color w:val="auto"/>
                <w:highlight w:val="none"/>
              </w:rPr>
            </w:pPr>
          </w:p>
        </w:tc>
        <w:tc>
          <w:tcPr>
            <w:tcW w:w="603" w:type="dxa"/>
          </w:tcPr>
          <w:p w14:paraId="363EBB89">
            <w:pPr>
              <w:rPr>
                <w:color w:val="auto"/>
                <w:highlight w:val="none"/>
              </w:rPr>
            </w:pPr>
          </w:p>
        </w:tc>
        <w:tc>
          <w:tcPr>
            <w:tcW w:w="487" w:type="dxa"/>
          </w:tcPr>
          <w:p w14:paraId="5B3F188A">
            <w:pPr>
              <w:rPr>
                <w:color w:val="auto"/>
                <w:highlight w:val="none"/>
              </w:rPr>
            </w:pPr>
          </w:p>
        </w:tc>
        <w:tc>
          <w:tcPr>
            <w:tcW w:w="1133" w:type="dxa"/>
          </w:tcPr>
          <w:p w14:paraId="4E917F94">
            <w:pPr>
              <w:rPr>
                <w:color w:val="auto"/>
                <w:highlight w:val="none"/>
              </w:rPr>
            </w:pPr>
          </w:p>
        </w:tc>
        <w:tc>
          <w:tcPr>
            <w:tcW w:w="709" w:type="dxa"/>
          </w:tcPr>
          <w:p w14:paraId="4B837FCF">
            <w:pPr>
              <w:rPr>
                <w:color w:val="auto"/>
                <w:highlight w:val="none"/>
              </w:rPr>
            </w:pPr>
          </w:p>
        </w:tc>
        <w:tc>
          <w:tcPr>
            <w:tcW w:w="871" w:type="dxa"/>
          </w:tcPr>
          <w:p w14:paraId="579BBA8F">
            <w:pPr>
              <w:rPr>
                <w:color w:val="auto"/>
                <w:highlight w:val="none"/>
              </w:rPr>
            </w:pPr>
          </w:p>
        </w:tc>
        <w:tc>
          <w:tcPr>
            <w:tcW w:w="1138" w:type="dxa"/>
          </w:tcPr>
          <w:p w14:paraId="3DC592B8">
            <w:pPr>
              <w:rPr>
                <w:color w:val="auto"/>
                <w:highlight w:val="none"/>
              </w:rPr>
            </w:pPr>
          </w:p>
        </w:tc>
      </w:tr>
      <w:tr w14:paraId="6C607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54AAFD90">
            <w:pPr>
              <w:rPr>
                <w:color w:val="auto"/>
                <w:highlight w:val="none"/>
              </w:rPr>
            </w:pPr>
          </w:p>
        </w:tc>
        <w:tc>
          <w:tcPr>
            <w:tcW w:w="1273" w:type="dxa"/>
          </w:tcPr>
          <w:p w14:paraId="67011283">
            <w:pPr>
              <w:rPr>
                <w:color w:val="auto"/>
                <w:highlight w:val="none"/>
              </w:rPr>
            </w:pPr>
          </w:p>
        </w:tc>
        <w:tc>
          <w:tcPr>
            <w:tcW w:w="992" w:type="dxa"/>
          </w:tcPr>
          <w:p w14:paraId="63936409">
            <w:pPr>
              <w:rPr>
                <w:color w:val="auto"/>
                <w:highlight w:val="none"/>
              </w:rPr>
            </w:pPr>
          </w:p>
        </w:tc>
        <w:tc>
          <w:tcPr>
            <w:tcW w:w="603" w:type="dxa"/>
          </w:tcPr>
          <w:p w14:paraId="7C407889">
            <w:pPr>
              <w:rPr>
                <w:color w:val="auto"/>
                <w:highlight w:val="none"/>
              </w:rPr>
            </w:pPr>
          </w:p>
        </w:tc>
        <w:tc>
          <w:tcPr>
            <w:tcW w:w="487" w:type="dxa"/>
          </w:tcPr>
          <w:p w14:paraId="291CA102">
            <w:pPr>
              <w:rPr>
                <w:color w:val="auto"/>
                <w:highlight w:val="none"/>
              </w:rPr>
            </w:pPr>
          </w:p>
        </w:tc>
        <w:tc>
          <w:tcPr>
            <w:tcW w:w="1133" w:type="dxa"/>
          </w:tcPr>
          <w:p w14:paraId="007BC524">
            <w:pPr>
              <w:rPr>
                <w:color w:val="auto"/>
                <w:highlight w:val="none"/>
              </w:rPr>
            </w:pPr>
          </w:p>
        </w:tc>
        <w:tc>
          <w:tcPr>
            <w:tcW w:w="709" w:type="dxa"/>
          </w:tcPr>
          <w:p w14:paraId="412B44B5">
            <w:pPr>
              <w:rPr>
                <w:color w:val="auto"/>
                <w:highlight w:val="none"/>
              </w:rPr>
            </w:pPr>
          </w:p>
        </w:tc>
        <w:tc>
          <w:tcPr>
            <w:tcW w:w="871" w:type="dxa"/>
          </w:tcPr>
          <w:p w14:paraId="21336998">
            <w:pPr>
              <w:rPr>
                <w:color w:val="auto"/>
                <w:highlight w:val="none"/>
              </w:rPr>
            </w:pPr>
          </w:p>
        </w:tc>
        <w:tc>
          <w:tcPr>
            <w:tcW w:w="1138" w:type="dxa"/>
          </w:tcPr>
          <w:p w14:paraId="6046532C">
            <w:pPr>
              <w:rPr>
                <w:color w:val="auto"/>
                <w:highlight w:val="none"/>
              </w:rPr>
            </w:pPr>
          </w:p>
        </w:tc>
      </w:tr>
      <w:tr w14:paraId="4A575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20" w:type="dxa"/>
          </w:tcPr>
          <w:p w14:paraId="45B69F0A">
            <w:pPr>
              <w:rPr>
                <w:color w:val="auto"/>
                <w:highlight w:val="none"/>
              </w:rPr>
            </w:pPr>
          </w:p>
        </w:tc>
        <w:tc>
          <w:tcPr>
            <w:tcW w:w="1273" w:type="dxa"/>
          </w:tcPr>
          <w:p w14:paraId="6491D415">
            <w:pPr>
              <w:rPr>
                <w:color w:val="auto"/>
                <w:highlight w:val="none"/>
              </w:rPr>
            </w:pPr>
          </w:p>
        </w:tc>
        <w:tc>
          <w:tcPr>
            <w:tcW w:w="992" w:type="dxa"/>
          </w:tcPr>
          <w:p w14:paraId="0BE08B3D">
            <w:pPr>
              <w:rPr>
                <w:color w:val="auto"/>
                <w:highlight w:val="none"/>
              </w:rPr>
            </w:pPr>
          </w:p>
        </w:tc>
        <w:tc>
          <w:tcPr>
            <w:tcW w:w="603" w:type="dxa"/>
          </w:tcPr>
          <w:p w14:paraId="5D56490D">
            <w:pPr>
              <w:rPr>
                <w:color w:val="auto"/>
                <w:highlight w:val="none"/>
              </w:rPr>
            </w:pPr>
          </w:p>
        </w:tc>
        <w:tc>
          <w:tcPr>
            <w:tcW w:w="487" w:type="dxa"/>
          </w:tcPr>
          <w:p w14:paraId="7F73CD40">
            <w:pPr>
              <w:rPr>
                <w:color w:val="auto"/>
                <w:highlight w:val="none"/>
              </w:rPr>
            </w:pPr>
          </w:p>
        </w:tc>
        <w:tc>
          <w:tcPr>
            <w:tcW w:w="1133" w:type="dxa"/>
          </w:tcPr>
          <w:p w14:paraId="42858111">
            <w:pPr>
              <w:rPr>
                <w:color w:val="auto"/>
                <w:highlight w:val="none"/>
              </w:rPr>
            </w:pPr>
          </w:p>
        </w:tc>
        <w:tc>
          <w:tcPr>
            <w:tcW w:w="709" w:type="dxa"/>
          </w:tcPr>
          <w:p w14:paraId="0667022D">
            <w:pPr>
              <w:rPr>
                <w:color w:val="auto"/>
                <w:highlight w:val="none"/>
              </w:rPr>
            </w:pPr>
          </w:p>
        </w:tc>
        <w:tc>
          <w:tcPr>
            <w:tcW w:w="871" w:type="dxa"/>
          </w:tcPr>
          <w:p w14:paraId="4A26EB60">
            <w:pPr>
              <w:rPr>
                <w:color w:val="auto"/>
                <w:highlight w:val="none"/>
              </w:rPr>
            </w:pPr>
          </w:p>
        </w:tc>
        <w:tc>
          <w:tcPr>
            <w:tcW w:w="1138" w:type="dxa"/>
          </w:tcPr>
          <w:p w14:paraId="2AAA484F">
            <w:pPr>
              <w:rPr>
                <w:color w:val="auto"/>
                <w:highlight w:val="none"/>
              </w:rPr>
            </w:pPr>
          </w:p>
        </w:tc>
      </w:tr>
    </w:tbl>
    <w:p w14:paraId="11D616E4">
      <w:pPr>
        <w:rPr>
          <w:color w:val="auto"/>
          <w:highlight w:val="none"/>
        </w:rPr>
      </w:pPr>
    </w:p>
    <w:p w14:paraId="36704ECF">
      <w:pPr>
        <w:rPr>
          <w:color w:val="auto"/>
          <w:highlight w:val="none"/>
        </w:rPr>
        <w:sectPr>
          <w:footerReference r:id="rId28" w:type="default"/>
          <w:pgSz w:w="12240" w:h="15840"/>
          <w:pgMar w:top="1346" w:right="1836" w:bottom="1104" w:left="1834" w:header="0" w:footer="940" w:gutter="0"/>
          <w:cols w:space="720" w:num="1"/>
        </w:sectPr>
      </w:pPr>
    </w:p>
    <w:p w14:paraId="79F3F116">
      <w:pPr>
        <w:rPr>
          <w:rFonts w:hint="eastAsia" w:ascii="黑体" w:hAnsi="黑体" w:eastAsia="黑体"/>
          <w:color w:val="auto"/>
          <w:spacing w:val="34"/>
          <w:sz w:val="27"/>
          <w:szCs w:val="27"/>
          <w:highlight w:val="none"/>
        </w:rPr>
      </w:pPr>
      <w:r>
        <w:rPr>
          <w:rFonts w:ascii="黑体" w:hAnsi="黑体" w:eastAsia="黑体"/>
          <w:color w:val="auto"/>
          <w:spacing w:val="34"/>
          <w:sz w:val="27"/>
          <w:szCs w:val="27"/>
          <w:highlight w:val="none"/>
        </w:rPr>
        <w:t>(</w:t>
      </w:r>
      <w:r>
        <w:rPr>
          <w:rFonts w:hint="eastAsia" w:ascii="黑体" w:hAnsi="黑体" w:eastAsia="黑体"/>
          <w:color w:val="auto"/>
          <w:spacing w:val="34"/>
          <w:sz w:val="27"/>
          <w:szCs w:val="27"/>
          <w:highlight w:val="none"/>
        </w:rPr>
        <w:t>六</w:t>
      </w:r>
      <w:r>
        <w:rPr>
          <w:rFonts w:ascii="黑体" w:hAnsi="黑体" w:eastAsia="黑体"/>
          <w:color w:val="auto"/>
          <w:spacing w:val="34"/>
          <w:sz w:val="27"/>
          <w:szCs w:val="27"/>
          <w:highlight w:val="none"/>
        </w:rPr>
        <w:t>)主要人员简历</w:t>
      </w:r>
      <w:r>
        <w:rPr>
          <w:rFonts w:ascii="黑体" w:hAnsi="黑体" w:eastAsia="黑体"/>
          <w:color w:val="auto"/>
          <w:spacing w:val="33"/>
          <w:sz w:val="27"/>
          <w:szCs w:val="27"/>
          <w:highlight w:val="none"/>
        </w:rPr>
        <w:t>表</w:t>
      </w:r>
    </w:p>
    <w:tbl>
      <w:tblPr>
        <w:tblStyle w:val="19"/>
        <w:tblW w:w="8525"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1"/>
        <w:gridCol w:w="356"/>
        <w:gridCol w:w="691"/>
        <w:gridCol w:w="957"/>
        <w:gridCol w:w="1065"/>
        <w:gridCol w:w="705"/>
        <w:gridCol w:w="1260"/>
        <w:gridCol w:w="400"/>
        <w:gridCol w:w="1900"/>
      </w:tblGrid>
      <w:tr w14:paraId="12DD3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191" w:type="dxa"/>
          </w:tcPr>
          <w:p w14:paraId="254D6AB4">
            <w:pPr>
              <w:spacing w:line="325" w:lineRule="auto"/>
              <w:rPr>
                <w:color w:val="auto"/>
                <w:highlight w:val="none"/>
              </w:rPr>
            </w:pPr>
          </w:p>
          <w:p w14:paraId="5AD888A6">
            <w:pPr>
              <w:spacing w:before="68" w:line="220" w:lineRule="auto"/>
              <w:ind w:left="285"/>
              <w:rPr>
                <w:rFonts w:hint="eastAsia" w:ascii="宋体" w:hAnsi="宋体" w:eastAsia="宋体"/>
                <w:color w:val="auto"/>
                <w:spacing w:val="1"/>
                <w:highlight w:val="none"/>
              </w:rPr>
            </w:pPr>
            <w:r>
              <w:rPr>
                <w:rFonts w:ascii="宋体" w:hAnsi="宋体" w:eastAsia="宋体"/>
                <w:color w:val="auto"/>
                <w:spacing w:val="1"/>
                <w:highlight w:val="none"/>
              </w:rPr>
              <w:t xml:space="preserve">姓 </w:t>
            </w:r>
            <w:r>
              <w:rPr>
                <w:rFonts w:ascii="宋体" w:hAnsi="宋体" w:eastAsia="宋体"/>
                <w:color w:val="auto"/>
                <w:highlight w:val="none"/>
              </w:rPr>
              <w:t xml:space="preserve"> 名</w:t>
            </w:r>
          </w:p>
        </w:tc>
        <w:tc>
          <w:tcPr>
            <w:tcW w:w="1047" w:type="dxa"/>
            <w:gridSpan w:val="2"/>
          </w:tcPr>
          <w:p w14:paraId="6B704E86">
            <w:pPr>
              <w:rPr>
                <w:color w:val="auto"/>
                <w:highlight w:val="none"/>
              </w:rPr>
            </w:pPr>
          </w:p>
        </w:tc>
        <w:tc>
          <w:tcPr>
            <w:tcW w:w="957" w:type="dxa"/>
          </w:tcPr>
          <w:p w14:paraId="3A70E4D0">
            <w:pPr>
              <w:spacing w:line="324" w:lineRule="auto"/>
              <w:rPr>
                <w:color w:val="auto"/>
                <w:highlight w:val="none"/>
              </w:rPr>
            </w:pPr>
          </w:p>
          <w:p w14:paraId="6FA0D6C8">
            <w:pPr>
              <w:spacing w:before="68" w:line="220" w:lineRule="auto"/>
              <w:ind w:left="274"/>
              <w:rPr>
                <w:rFonts w:hint="eastAsia" w:ascii="宋体" w:hAnsi="宋体" w:eastAsia="宋体"/>
                <w:color w:val="auto"/>
                <w:spacing w:val="-6"/>
                <w:highlight w:val="none"/>
              </w:rPr>
            </w:pPr>
            <w:r>
              <w:rPr>
                <w:rFonts w:ascii="宋体" w:hAnsi="宋体" w:eastAsia="宋体"/>
                <w:color w:val="auto"/>
                <w:spacing w:val="-6"/>
                <w:highlight w:val="none"/>
              </w:rPr>
              <w:t>年</w:t>
            </w:r>
            <w:r>
              <w:rPr>
                <w:rFonts w:ascii="宋体" w:hAnsi="宋体" w:eastAsia="宋体"/>
                <w:color w:val="auto"/>
                <w:spacing w:val="-4"/>
                <w:highlight w:val="none"/>
              </w:rPr>
              <w:t>龄</w:t>
            </w:r>
          </w:p>
        </w:tc>
        <w:tc>
          <w:tcPr>
            <w:tcW w:w="1065" w:type="dxa"/>
          </w:tcPr>
          <w:p w14:paraId="11981A1C">
            <w:pPr>
              <w:rPr>
                <w:color w:val="auto"/>
                <w:highlight w:val="none"/>
              </w:rPr>
            </w:pPr>
          </w:p>
        </w:tc>
        <w:tc>
          <w:tcPr>
            <w:tcW w:w="2365" w:type="dxa"/>
            <w:gridSpan w:val="3"/>
          </w:tcPr>
          <w:p w14:paraId="490D6701">
            <w:pPr>
              <w:spacing w:before="175" w:line="440" w:lineRule="exact"/>
              <w:ind w:left="138"/>
              <w:rPr>
                <w:rFonts w:hint="eastAsia" w:ascii="宋体" w:hAnsi="宋体" w:eastAsia="宋体"/>
                <w:color w:val="auto"/>
                <w:spacing w:val="15"/>
                <w:position w:val="17"/>
                <w:highlight w:val="none"/>
              </w:rPr>
            </w:pPr>
            <w:r>
              <w:rPr>
                <w:rFonts w:ascii="宋体" w:hAnsi="宋体" w:eastAsia="宋体"/>
                <w:color w:val="auto"/>
                <w:spacing w:val="15"/>
                <w:position w:val="17"/>
                <w:highlight w:val="none"/>
              </w:rPr>
              <w:t>执</w:t>
            </w:r>
            <w:r>
              <w:rPr>
                <w:rFonts w:ascii="宋体" w:hAnsi="宋体" w:eastAsia="宋体"/>
                <w:color w:val="auto"/>
                <w:spacing w:val="9"/>
                <w:position w:val="17"/>
                <w:highlight w:val="none"/>
              </w:rPr>
              <w:t>业资格证书(或上岗</w:t>
            </w:r>
          </w:p>
          <w:p w14:paraId="290F1482">
            <w:pPr>
              <w:spacing w:line="219" w:lineRule="auto"/>
              <w:ind w:left="664"/>
              <w:rPr>
                <w:rFonts w:hint="eastAsia" w:ascii="宋体" w:hAnsi="宋体" w:eastAsia="宋体"/>
                <w:color w:val="auto"/>
                <w:spacing w:val="20"/>
                <w:highlight w:val="none"/>
              </w:rPr>
            </w:pPr>
            <w:r>
              <w:rPr>
                <w:rFonts w:ascii="宋体" w:hAnsi="宋体" w:eastAsia="宋体"/>
                <w:color w:val="auto"/>
                <w:spacing w:val="20"/>
                <w:highlight w:val="none"/>
              </w:rPr>
              <w:t>证</w:t>
            </w:r>
            <w:r>
              <w:rPr>
                <w:rFonts w:ascii="宋体" w:hAnsi="宋体" w:eastAsia="宋体"/>
                <w:color w:val="auto"/>
                <w:spacing w:val="19"/>
                <w:highlight w:val="none"/>
              </w:rPr>
              <w:t>书)名称</w:t>
            </w:r>
          </w:p>
        </w:tc>
        <w:tc>
          <w:tcPr>
            <w:tcW w:w="1900" w:type="dxa"/>
          </w:tcPr>
          <w:p w14:paraId="46BA2A90">
            <w:pPr>
              <w:rPr>
                <w:color w:val="auto"/>
                <w:highlight w:val="none"/>
              </w:rPr>
            </w:pPr>
          </w:p>
        </w:tc>
      </w:tr>
      <w:tr w14:paraId="6CD66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191" w:type="dxa"/>
          </w:tcPr>
          <w:p w14:paraId="0D86BA1A">
            <w:pPr>
              <w:spacing w:before="295" w:line="222" w:lineRule="auto"/>
              <w:ind w:left="286"/>
              <w:rPr>
                <w:rFonts w:hint="eastAsia" w:ascii="宋体" w:hAnsi="宋体" w:eastAsia="宋体"/>
                <w:color w:val="auto"/>
                <w:spacing w:val="-1"/>
                <w:highlight w:val="none"/>
              </w:rPr>
            </w:pPr>
            <w:r>
              <w:rPr>
                <w:rFonts w:ascii="宋体" w:hAnsi="宋体" w:eastAsia="宋体"/>
                <w:color w:val="auto"/>
                <w:spacing w:val="-1"/>
                <w:highlight w:val="none"/>
              </w:rPr>
              <w:t xml:space="preserve">职 </w:t>
            </w:r>
            <w:r>
              <w:rPr>
                <w:rFonts w:ascii="宋体" w:hAnsi="宋体" w:eastAsia="宋体"/>
                <w:color w:val="auto"/>
                <w:highlight w:val="none"/>
              </w:rPr>
              <w:t xml:space="preserve"> 称</w:t>
            </w:r>
          </w:p>
        </w:tc>
        <w:tc>
          <w:tcPr>
            <w:tcW w:w="1047" w:type="dxa"/>
            <w:gridSpan w:val="2"/>
          </w:tcPr>
          <w:p w14:paraId="123022BE">
            <w:pPr>
              <w:rPr>
                <w:color w:val="auto"/>
                <w:highlight w:val="none"/>
              </w:rPr>
            </w:pPr>
          </w:p>
        </w:tc>
        <w:tc>
          <w:tcPr>
            <w:tcW w:w="957" w:type="dxa"/>
          </w:tcPr>
          <w:p w14:paraId="74A3BACC">
            <w:pPr>
              <w:spacing w:before="294" w:line="222" w:lineRule="auto"/>
              <w:ind w:left="277"/>
              <w:rPr>
                <w:rFonts w:hint="eastAsia" w:ascii="宋体" w:hAnsi="宋体" w:eastAsia="宋体"/>
                <w:color w:val="auto"/>
                <w:spacing w:val="-4"/>
                <w:highlight w:val="none"/>
              </w:rPr>
            </w:pPr>
            <w:r>
              <w:rPr>
                <w:rFonts w:ascii="宋体" w:hAnsi="宋体" w:eastAsia="宋体"/>
                <w:color w:val="auto"/>
                <w:spacing w:val="-4"/>
                <w:highlight w:val="none"/>
              </w:rPr>
              <w:t>学</w:t>
            </w:r>
            <w:r>
              <w:rPr>
                <w:rFonts w:ascii="宋体" w:hAnsi="宋体" w:eastAsia="宋体"/>
                <w:color w:val="auto"/>
                <w:spacing w:val="-3"/>
                <w:highlight w:val="none"/>
              </w:rPr>
              <w:t>历</w:t>
            </w:r>
          </w:p>
        </w:tc>
        <w:tc>
          <w:tcPr>
            <w:tcW w:w="1065" w:type="dxa"/>
          </w:tcPr>
          <w:p w14:paraId="1AC68B2A">
            <w:pPr>
              <w:rPr>
                <w:color w:val="auto"/>
                <w:highlight w:val="none"/>
              </w:rPr>
            </w:pPr>
          </w:p>
        </w:tc>
        <w:tc>
          <w:tcPr>
            <w:tcW w:w="2365" w:type="dxa"/>
            <w:gridSpan w:val="3"/>
          </w:tcPr>
          <w:p w14:paraId="112B1A12">
            <w:pPr>
              <w:spacing w:before="294" w:line="220" w:lineRule="auto"/>
              <w:ind w:left="454"/>
              <w:rPr>
                <w:rFonts w:hint="eastAsia" w:ascii="宋体" w:hAnsi="宋体" w:eastAsia="宋体"/>
                <w:color w:val="auto"/>
                <w:spacing w:val="-2"/>
                <w:highlight w:val="none"/>
              </w:rPr>
            </w:pPr>
            <w:r>
              <w:rPr>
                <w:rFonts w:ascii="宋体" w:hAnsi="宋体" w:eastAsia="宋体"/>
                <w:color w:val="auto"/>
                <w:spacing w:val="-2"/>
                <w:highlight w:val="none"/>
              </w:rPr>
              <w:t>拟</w:t>
            </w:r>
            <w:r>
              <w:rPr>
                <w:rFonts w:ascii="宋体" w:hAnsi="宋体" w:eastAsia="宋体"/>
                <w:color w:val="auto"/>
                <w:spacing w:val="-1"/>
                <w:highlight w:val="none"/>
              </w:rPr>
              <w:t>在本项目任职</w:t>
            </w:r>
          </w:p>
        </w:tc>
        <w:tc>
          <w:tcPr>
            <w:tcW w:w="1900" w:type="dxa"/>
          </w:tcPr>
          <w:p w14:paraId="2EDFB2B8">
            <w:pPr>
              <w:rPr>
                <w:color w:val="auto"/>
                <w:highlight w:val="none"/>
              </w:rPr>
            </w:pPr>
          </w:p>
        </w:tc>
      </w:tr>
      <w:tr w14:paraId="2D103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191" w:type="dxa"/>
          </w:tcPr>
          <w:p w14:paraId="416DDF1C">
            <w:pPr>
              <w:spacing w:before="295" w:line="220" w:lineRule="auto"/>
              <w:ind w:left="182"/>
              <w:rPr>
                <w:rFonts w:hint="eastAsia" w:ascii="宋体" w:hAnsi="宋体" w:eastAsia="宋体"/>
                <w:color w:val="auto"/>
                <w:spacing w:val="-3"/>
                <w:highlight w:val="none"/>
              </w:rPr>
            </w:pPr>
            <w:r>
              <w:rPr>
                <w:rFonts w:ascii="宋体" w:hAnsi="宋体" w:eastAsia="宋体"/>
                <w:color w:val="auto"/>
                <w:spacing w:val="-3"/>
                <w:highlight w:val="none"/>
              </w:rPr>
              <w:t>工</w:t>
            </w:r>
            <w:r>
              <w:rPr>
                <w:rFonts w:ascii="宋体" w:hAnsi="宋体" w:eastAsia="宋体"/>
                <w:color w:val="auto"/>
                <w:spacing w:val="-2"/>
                <w:highlight w:val="none"/>
              </w:rPr>
              <w:t>作年限</w:t>
            </w:r>
          </w:p>
        </w:tc>
        <w:tc>
          <w:tcPr>
            <w:tcW w:w="3069" w:type="dxa"/>
            <w:gridSpan w:val="4"/>
          </w:tcPr>
          <w:p w14:paraId="337BE415">
            <w:pPr>
              <w:rPr>
                <w:color w:val="auto"/>
                <w:highlight w:val="none"/>
              </w:rPr>
            </w:pPr>
          </w:p>
        </w:tc>
        <w:tc>
          <w:tcPr>
            <w:tcW w:w="2365" w:type="dxa"/>
            <w:gridSpan w:val="3"/>
          </w:tcPr>
          <w:p w14:paraId="3F36BFFC">
            <w:pPr>
              <w:spacing w:before="295" w:line="220" w:lineRule="auto"/>
              <w:ind w:left="351"/>
              <w:rPr>
                <w:rFonts w:hint="eastAsia" w:ascii="宋体" w:hAnsi="宋体" w:eastAsia="宋体"/>
                <w:color w:val="auto"/>
                <w:spacing w:val="-2"/>
                <w:highlight w:val="none"/>
              </w:rPr>
            </w:pPr>
            <w:r>
              <w:rPr>
                <w:rFonts w:ascii="宋体" w:hAnsi="宋体" w:eastAsia="宋体"/>
                <w:color w:val="auto"/>
                <w:spacing w:val="-2"/>
                <w:highlight w:val="none"/>
              </w:rPr>
              <w:t>从事</w:t>
            </w:r>
            <w:r>
              <w:rPr>
                <w:rFonts w:ascii="宋体" w:hAnsi="宋体" w:eastAsia="宋体"/>
                <w:color w:val="auto"/>
                <w:spacing w:val="-1"/>
                <w:highlight w:val="none"/>
              </w:rPr>
              <w:t>设计工作年限</w:t>
            </w:r>
          </w:p>
        </w:tc>
        <w:tc>
          <w:tcPr>
            <w:tcW w:w="1900" w:type="dxa"/>
          </w:tcPr>
          <w:p w14:paraId="1E3D12AB">
            <w:pPr>
              <w:rPr>
                <w:color w:val="auto"/>
                <w:highlight w:val="none"/>
              </w:rPr>
            </w:pPr>
          </w:p>
        </w:tc>
      </w:tr>
      <w:tr w14:paraId="126E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8525" w:type="dxa"/>
            <w:gridSpan w:val="9"/>
          </w:tcPr>
          <w:p w14:paraId="0BC141A6">
            <w:pPr>
              <w:spacing w:before="293" w:line="221" w:lineRule="auto"/>
              <w:ind w:left="116"/>
              <w:rPr>
                <w:rFonts w:hint="eastAsia" w:ascii="宋体" w:hAnsi="宋体" w:eastAsia="宋体"/>
                <w:color w:val="auto"/>
                <w:spacing w:val="-2"/>
                <w:highlight w:val="none"/>
              </w:rPr>
            </w:pPr>
            <w:r>
              <w:rPr>
                <w:rFonts w:ascii="宋体" w:hAnsi="宋体" w:eastAsia="宋体"/>
                <w:color w:val="auto"/>
                <w:spacing w:val="-2"/>
                <w:highlight w:val="none"/>
              </w:rPr>
              <w:t>主要工</w:t>
            </w:r>
            <w:r>
              <w:rPr>
                <w:rFonts w:ascii="宋体" w:hAnsi="宋体" w:eastAsia="宋体"/>
                <w:color w:val="auto"/>
                <w:spacing w:val="-1"/>
                <w:highlight w:val="none"/>
              </w:rPr>
              <w:t>作经历</w:t>
            </w:r>
          </w:p>
        </w:tc>
      </w:tr>
      <w:tr w14:paraId="188EA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547" w:type="dxa"/>
            <w:gridSpan w:val="2"/>
          </w:tcPr>
          <w:p w14:paraId="6C1E46DA">
            <w:pPr>
              <w:spacing w:before="304" w:line="222" w:lineRule="auto"/>
              <w:ind w:left="473"/>
              <w:rPr>
                <w:rFonts w:hint="eastAsia" w:ascii="宋体" w:hAnsi="宋体" w:eastAsia="宋体"/>
                <w:color w:val="auto"/>
                <w:spacing w:val="2"/>
                <w:highlight w:val="none"/>
              </w:rPr>
            </w:pPr>
            <w:r>
              <w:rPr>
                <w:rFonts w:ascii="宋体" w:hAnsi="宋体" w:eastAsia="宋体"/>
                <w:color w:val="auto"/>
                <w:spacing w:val="2"/>
                <w:highlight w:val="none"/>
              </w:rPr>
              <w:t xml:space="preserve">时 </w:t>
            </w:r>
            <w:r>
              <w:rPr>
                <w:rFonts w:ascii="宋体" w:hAnsi="宋体" w:eastAsia="宋体"/>
                <w:color w:val="auto"/>
                <w:spacing w:val="1"/>
                <w:highlight w:val="none"/>
              </w:rPr>
              <w:t xml:space="preserve"> 间</w:t>
            </w:r>
          </w:p>
        </w:tc>
        <w:tc>
          <w:tcPr>
            <w:tcW w:w="3418" w:type="dxa"/>
            <w:gridSpan w:val="4"/>
          </w:tcPr>
          <w:p w14:paraId="51BC3950">
            <w:pPr>
              <w:spacing w:before="304" w:line="220" w:lineRule="auto"/>
              <w:ind w:left="875"/>
              <w:rPr>
                <w:rFonts w:hint="eastAsia" w:ascii="宋体" w:hAnsi="宋体" w:eastAsia="宋体"/>
                <w:color w:val="auto"/>
                <w:spacing w:val="-2"/>
                <w:highlight w:val="none"/>
              </w:rPr>
            </w:pPr>
            <w:r>
              <w:rPr>
                <w:rFonts w:ascii="宋体" w:hAnsi="宋体" w:eastAsia="宋体"/>
                <w:color w:val="auto"/>
                <w:spacing w:val="-2"/>
                <w:highlight w:val="none"/>
              </w:rPr>
              <w:t>参</w:t>
            </w:r>
            <w:r>
              <w:rPr>
                <w:rFonts w:ascii="宋体" w:hAnsi="宋体" w:eastAsia="宋体"/>
                <w:color w:val="auto"/>
                <w:spacing w:val="-1"/>
                <w:highlight w:val="none"/>
              </w:rPr>
              <w:t>加过的类似项目</w:t>
            </w:r>
          </w:p>
        </w:tc>
        <w:tc>
          <w:tcPr>
            <w:tcW w:w="1260" w:type="dxa"/>
          </w:tcPr>
          <w:p w14:paraId="7C7E61DA">
            <w:pPr>
              <w:spacing w:before="304" w:line="220" w:lineRule="auto"/>
              <w:ind w:left="217"/>
              <w:rPr>
                <w:rFonts w:hint="eastAsia" w:ascii="宋体" w:hAnsi="宋体" w:eastAsia="宋体"/>
                <w:color w:val="auto"/>
                <w:spacing w:val="-2"/>
                <w:highlight w:val="none"/>
              </w:rPr>
            </w:pPr>
            <w:r>
              <w:rPr>
                <w:rFonts w:ascii="宋体" w:hAnsi="宋体" w:eastAsia="宋体"/>
                <w:color w:val="auto"/>
                <w:spacing w:val="-2"/>
                <w:highlight w:val="none"/>
              </w:rPr>
              <w:t>担任职</w:t>
            </w:r>
            <w:r>
              <w:rPr>
                <w:rFonts w:ascii="宋体" w:hAnsi="宋体" w:eastAsia="宋体"/>
                <w:color w:val="auto"/>
                <w:spacing w:val="-1"/>
                <w:highlight w:val="none"/>
              </w:rPr>
              <w:t>务</w:t>
            </w:r>
          </w:p>
        </w:tc>
        <w:tc>
          <w:tcPr>
            <w:tcW w:w="2300" w:type="dxa"/>
            <w:gridSpan w:val="2"/>
          </w:tcPr>
          <w:p w14:paraId="19BB4536">
            <w:pPr>
              <w:spacing w:before="304" w:line="221" w:lineRule="auto"/>
              <w:ind w:left="317"/>
              <w:rPr>
                <w:rFonts w:hint="eastAsia" w:ascii="宋体" w:hAnsi="宋体" w:eastAsia="宋体"/>
                <w:color w:val="auto"/>
                <w:spacing w:val="-2"/>
                <w:highlight w:val="none"/>
              </w:rPr>
            </w:pPr>
            <w:r>
              <w:rPr>
                <w:rFonts w:ascii="宋体" w:hAnsi="宋体" w:eastAsia="宋体"/>
                <w:color w:val="auto"/>
                <w:spacing w:val="-2"/>
                <w:highlight w:val="none"/>
              </w:rPr>
              <w:t>发包人</w:t>
            </w:r>
            <w:r>
              <w:rPr>
                <w:rFonts w:ascii="宋体" w:hAnsi="宋体" w:eastAsia="宋体"/>
                <w:color w:val="auto"/>
                <w:spacing w:val="-1"/>
                <w:highlight w:val="none"/>
              </w:rPr>
              <w:t>及联系电话</w:t>
            </w:r>
          </w:p>
        </w:tc>
      </w:tr>
      <w:tr w14:paraId="13D95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547" w:type="dxa"/>
            <w:gridSpan w:val="2"/>
          </w:tcPr>
          <w:p w14:paraId="539D947A">
            <w:pPr>
              <w:rPr>
                <w:color w:val="auto"/>
                <w:highlight w:val="none"/>
              </w:rPr>
            </w:pPr>
          </w:p>
        </w:tc>
        <w:tc>
          <w:tcPr>
            <w:tcW w:w="3418" w:type="dxa"/>
            <w:gridSpan w:val="4"/>
          </w:tcPr>
          <w:p w14:paraId="614DA199">
            <w:pPr>
              <w:rPr>
                <w:color w:val="auto"/>
                <w:highlight w:val="none"/>
              </w:rPr>
            </w:pPr>
          </w:p>
        </w:tc>
        <w:tc>
          <w:tcPr>
            <w:tcW w:w="1260" w:type="dxa"/>
          </w:tcPr>
          <w:p w14:paraId="50F9C9DE">
            <w:pPr>
              <w:rPr>
                <w:color w:val="auto"/>
                <w:highlight w:val="none"/>
              </w:rPr>
            </w:pPr>
          </w:p>
        </w:tc>
        <w:tc>
          <w:tcPr>
            <w:tcW w:w="2300" w:type="dxa"/>
            <w:gridSpan w:val="2"/>
          </w:tcPr>
          <w:p w14:paraId="4BB78734">
            <w:pPr>
              <w:rPr>
                <w:color w:val="auto"/>
                <w:highlight w:val="none"/>
              </w:rPr>
            </w:pPr>
          </w:p>
        </w:tc>
      </w:tr>
      <w:tr w14:paraId="6BD1C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tcPr>
          <w:p w14:paraId="2E6A6FD0">
            <w:pPr>
              <w:rPr>
                <w:color w:val="auto"/>
                <w:highlight w:val="none"/>
              </w:rPr>
            </w:pPr>
          </w:p>
        </w:tc>
        <w:tc>
          <w:tcPr>
            <w:tcW w:w="3418" w:type="dxa"/>
            <w:gridSpan w:val="4"/>
          </w:tcPr>
          <w:p w14:paraId="2E2B3E33">
            <w:pPr>
              <w:rPr>
                <w:color w:val="auto"/>
                <w:highlight w:val="none"/>
              </w:rPr>
            </w:pPr>
          </w:p>
        </w:tc>
        <w:tc>
          <w:tcPr>
            <w:tcW w:w="1260" w:type="dxa"/>
          </w:tcPr>
          <w:p w14:paraId="2DDD0A28">
            <w:pPr>
              <w:rPr>
                <w:color w:val="auto"/>
                <w:highlight w:val="none"/>
              </w:rPr>
            </w:pPr>
          </w:p>
        </w:tc>
        <w:tc>
          <w:tcPr>
            <w:tcW w:w="2300" w:type="dxa"/>
            <w:gridSpan w:val="2"/>
          </w:tcPr>
          <w:p w14:paraId="03ABB32F">
            <w:pPr>
              <w:rPr>
                <w:color w:val="auto"/>
                <w:highlight w:val="none"/>
              </w:rPr>
            </w:pPr>
          </w:p>
        </w:tc>
      </w:tr>
      <w:tr w14:paraId="6BAA3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tcPr>
          <w:p w14:paraId="269D2258">
            <w:pPr>
              <w:rPr>
                <w:color w:val="auto"/>
                <w:highlight w:val="none"/>
              </w:rPr>
            </w:pPr>
          </w:p>
        </w:tc>
        <w:tc>
          <w:tcPr>
            <w:tcW w:w="3418" w:type="dxa"/>
            <w:gridSpan w:val="4"/>
          </w:tcPr>
          <w:p w14:paraId="0C1B25E5">
            <w:pPr>
              <w:rPr>
                <w:color w:val="auto"/>
                <w:highlight w:val="none"/>
              </w:rPr>
            </w:pPr>
          </w:p>
        </w:tc>
        <w:tc>
          <w:tcPr>
            <w:tcW w:w="1260" w:type="dxa"/>
          </w:tcPr>
          <w:p w14:paraId="145D5943">
            <w:pPr>
              <w:rPr>
                <w:color w:val="auto"/>
                <w:highlight w:val="none"/>
              </w:rPr>
            </w:pPr>
          </w:p>
        </w:tc>
        <w:tc>
          <w:tcPr>
            <w:tcW w:w="2300" w:type="dxa"/>
            <w:gridSpan w:val="2"/>
          </w:tcPr>
          <w:p w14:paraId="77FF3A77">
            <w:pPr>
              <w:rPr>
                <w:color w:val="auto"/>
                <w:highlight w:val="none"/>
              </w:rPr>
            </w:pPr>
          </w:p>
        </w:tc>
      </w:tr>
      <w:tr w14:paraId="7996D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7" w:type="dxa"/>
            <w:gridSpan w:val="2"/>
          </w:tcPr>
          <w:p w14:paraId="60C59E24">
            <w:pPr>
              <w:rPr>
                <w:color w:val="auto"/>
                <w:highlight w:val="none"/>
              </w:rPr>
            </w:pPr>
          </w:p>
        </w:tc>
        <w:tc>
          <w:tcPr>
            <w:tcW w:w="3418" w:type="dxa"/>
            <w:gridSpan w:val="4"/>
          </w:tcPr>
          <w:p w14:paraId="3535A4AC">
            <w:pPr>
              <w:rPr>
                <w:color w:val="auto"/>
                <w:highlight w:val="none"/>
              </w:rPr>
            </w:pPr>
          </w:p>
        </w:tc>
        <w:tc>
          <w:tcPr>
            <w:tcW w:w="1260" w:type="dxa"/>
          </w:tcPr>
          <w:p w14:paraId="44F69D0A">
            <w:pPr>
              <w:rPr>
                <w:color w:val="auto"/>
                <w:highlight w:val="none"/>
              </w:rPr>
            </w:pPr>
          </w:p>
        </w:tc>
        <w:tc>
          <w:tcPr>
            <w:tcW w:w="2300" w:type="dxa"/>
            <w:gridSpan w:val="2"/>
          </w:tcPr>
          <w:p w14:paraId="008B46F5">
            <w:pPr>
              <w:rPr>
                <w:color w:val="auto"/>
                <w:highlight w:val="none"/>
              </w:rPr>
            </w:pPr>
          </w:p>
        </w:tc>
      </w:tr>
      <w:tr w14:paraId="4D299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tcPr>
          <w:p w14:paraId="0BC18795">
            <w:pPr>
              <w:rPr>
                <w:color w:val="auto"/>
                <w:highlight w:val="none"/>
              </w:rPr>
            </w:pPr>
          </w:p>
        </w:tc>
        <w:tc>
          <w:tcPr>
            <w:tcW w:w="3418" w:type="dxa"/>
            <w:gridSpan w:val="4"/>
          </w:tcPr>
          <w:p w14:paraId="1DFDFDE7">
            <w:pPr>
              <w:rPr>
                <w:color w:val="auto"/>
                <w:highlight w:val="none"/>
              </w:rPr>
            </w:pPr>
          </w:p>
        </w:tc>
        <w:tc>
          <w:tcPr>
            <w:tcW w:w="1260" w:type="dxa"/>
          </w:tcPr>
          <w:p w14:paraId="6EE64D55">
            <w:pPr>
              <w:rPr>
                <w:color w:val="auto"/>
                <w:highlight w:val="none"/>
              </w:rPr>
            </w:pPr>
          </w:p>
        </w:tc>
        <w:tc>
          <w:tcPr>
            <w:tcW w:w="2300" w:type="dxa"/>
            <w:gridSpan w:val="2"/>
          </w:tcPr>
          <w:p w14:paraId="5412CC1A">
            <w:pPr>
              <w:rPr>
                <w:color w:val="auto"/>
                <w:highlight w:val="none"/>
              </w:rPr>
            </w:pPr>
          </w:p>
        </w:tc>
      </w:tr>
      <w:tr w14:paraId="67C24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tcPr>
          <w:p w14:paraId="1046A7E7">
            <w:pPr>
              <w:rPr>
                <w:color w:val="auto"/>
                <w:highlight w:val="none"/>
              </w:rPr>
            </w:pPr>
          </w:p>
        </w:tc>
        <w:tc>
          <w:tcPr>
            <w:tcW w:w="3418" w:type="dxa"/>
            <w:gridSpan w:val="4"/>
          </w:tcPr>
          <w:p w14:paraId="3A657AD1">
            <w:pPr>
              <w:rPr>
                <w:color w:val="auto"/>
                <w:highlight w:val="none"/>
              </w:rPr>
            </w:pPr>
          </w:p>
        </w:tc>
        <w:tc>
          <w:tcPr>
            <w:tcW w:w="1260" w:type="dxa"/>
          </w:tcPr>
          <w:p w14:paraId="183A5DDE">
            <w:pPr>
              <w:rPr>
                <w:color w:val="auto"/>
                <w:highlight w:val="none"/>
              </w:rPr>
            </w:pPr>
          </w:p>
        </w:tc>
        <w:tc>
          <w:tcPr>
            <w:tcW w:w="2300" w:type="dxa"/>
            <w:gridSpan w:val="2"/>
          </w:tcPr>
          <w:p w14:paraId="3A3AE704">
            <w:pPr>
              <w:rPr>
                <w:color w:val="auto"/>
                <w:highlight w:val="none"/>
              </w:rPr>
            </w:pPr>
          </w:p>
        </w:tc>
      </w:tr>
      <w:tr w14:paraId="0ED2F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547" w:type="dxa"/>
            <w:gridSpan w:val="2"/>
          </w:tcPr>
          <w:p w14:paraId="46EE2041">
            <w:pPr>
              <w:rPr>
                <w:color w:val="auto"/>
                <w:highlight w:val="none"/>
              </w:rPr>
            </w:pPr>
          </w:p>
        </w:tc>
        <w:tc>
          <w:tcPr>
            <w:tcW w:w="3418" w:type="dxa"/>
            <w:gridSpan w:val="4"/>
          </w:tcPr>
          <w:p w14:paraId="46075435">
            <w:pPr>
              <w:rPr>
                <w:color w:val="auto"/>
                <w:highlight w:val="none"/>
              </w:rPr>
            </w:pPr>
          </w:p>
        </w:tc>
        <w:tc>
          <w:tcPr>
            <w:tcW w:w="1260" w:type="dxa"/>
          </w:tcPr>
          <w:p w14:paraId="56B87DA7">
            <w:pPr>
              <w:rPr>
                <w:color w:val="auto"/>
                <w:highlight w:val="none"/>
              </w:rPr>
            </w:pPr>
          </w:p>
        </w:tc>
        <w:tc>
          <w:tcPr>
            <w:tcW w:w="2300" w:type="dxa"/>
            <w:gridSpan w:val="2"/>
          </w:tcPr>
          <w:p w14:paraId="6CD8EC8D">
            <w:pPr>
              <w:rPr>
                <w:color w:val="auto"/>
                <w:highlight w:val="none"/>
              </w:rPr>
            </w:pPr>
          </w:p>
        </w:tc>
      </w:tr>
    </w:tbl>
    <w:p w14:paraId="7D6C64BC">
      <w:pPr>
        <w:spacing w:line="245" w:lineRule="auto"/>
        <w:rPr>
          <w:color w:val="auto"/>
          <w:highlight w:val="none"/>
        </w:rPr>
      </w:pPr>
    </w:p>
    <w:p w14:paraId="41423CAE">
      <w:pPr>
        <w:pStyle w:val="57"/>
        <w:rPr>
          <w:color w:val="auto"/>
          <w:highlight w:val="none"/>
        </w:rPr>
      </w:pPr>
    </w:p>
    <w:p w14:paraId="6BBD90CB">
      <w:pPr>
        <w:pStyle w:val="57"/>
        <w:rPr>
          <w:color w:val="auto"/>
          <w:highlight w:val="none"/>
        </w:rPr>
      </w:pPr>
    </w:p>
    <w:p w14:paraId="056525EB">
      <w:pPr>
        <w:pStyle w:val="57"/>
        <w:rPr>
          <w:color w:val="auto"/>
          <w:highlight w:val="none"/>
        </w:rPr>
      </w:pPr>
    </w:p>
    <w:p w14:paraId="478F0E02">
      <w:pPr>
        <w:pStyle w:val="57"/>
        <w:rPr>
          <w:color w:val="auto"/>
          <w:highlight w:val="none"/>
        </w:rPr>
      </w:pPr>
    </w:p>
    <w:p w14:paraId="61CFF95C">
      <w:pPr>
        <w:spacing w:line="245" w:lineRule="auto"/>
        <w:rPr>
          <w:color w:val="auto"/>
          <w:highlight w:val="none"/>
        </w:rPr>
      </w:pPr>
    </w:p>
    <w:p w14:paraId="3965D2BD">
      <w:pPr>
        <w:spacing w:line="245" w:lineRule="auto"/>
        <w:rPr>
          <w:color w:val="auto"/>
          <w:highlight w:val="none"/>
        </w:rPr>
        <w:sectPr>
          <w:footerReference r:id="rId29" w:type="default"/>
          <w:pgSz w:w="12240" w:h="15840"/>
          <w:pgMar w:top="1346" w:right="1836" w:bottom="1104" w:left="1836" w:header="0" w:footer="940" w:gutter="0"/>
          <w:cols w:space="720" w:num="1"/>
        </w:sectPr>
      </w:pPr>
    </w:p>
    <w:p w14:paraId="53061505">
      <w:pPr>
        <w:pStyle w:val="26"/>
        <w:spacing w:before="120" w:after="120"/>
        <w:jc w:val="center"/>
        <w:outlineLvl w:val="9"/>
        <w:rPr>
          <w:rFonts w:hint="eastAsia" w:ascii="黑体" w:hAnsi="黑体" w:eastAsia="黑体"/>
          <w:color w:val="auto"/>
          <w:spacing w:val="11"/>
          <w:sz w:val="31"/>
          <w:szCs w:val="31"/>
          <w:highlight w:val="none"/>
        </w:rPr>
      </w:pPr>
      <w:bookmarkStart w:id="415" w:name="_Toc5163"/>
      <w:bookmarkStart w:id="416" w:name="_Toc25925"/>
      <w:bookmarkStart w:id="417" w:name="_Toc27620"/>
      <w:bookmarkStart w:id="418" w:name="_Toc25099"/>
      <w:bookmarkStart w:id="419" w:name="_Toc3515"/>
      <w:r>
        <w:rPr>
          <w:rFonts w:ascii="黑体" w:hAnsi="黑体" w:eastAsia="黑体"/>
          <w:color w:val="auto"/>
          <w:spacing w:val="11"/>
          <w:sz w:val="31"/>
          <w:szCs w:val="31"/>
          <w:highlight w:val="none"/>
        </w:rPr>
        <w:t>七</w:t>
      </w:r>
      <w:r>
        <w:rPr>
          <w:rFonts w:ascii="黑体" w:hAnsi="黑体" w:eastAsia="黑体"/>
          <w:color w:val="auto"/>
          <w:spacing w:val="9"/>
          <w:sz w:val="31"/>
          <w:szCs w:val="31"/>
          <w:highlight w:val="none"/>
        </w:rPr>
        <w:t>、</w:t>
      </w:r>
      <w:r>
        <w:rPr>
          <w:rFonts w:hint="eastAsia" w:ascii="黑体" w:hAnsi="黑体" w:eastAsia="黑体"/>
          <w:color w:val="auto"/>
          <w:spacing w:val="9"/>
          <w:sz w:val="31"/>
          <w:szCs w:val="31"/>
          <w:highlight w:val="none"/>
        </w:rPr>
        <w:t>勘察</w:t>
      </w:r>
      <w:r>
        <w:rPr>
          <w:rFonts w:ascii="黑体" w:hAnsi="黑体" w:eastAsia="黑体"/>
          <w:color w:val="auto"/>
          <w:spacing w:val="9"/>
          <w:sz w:val="31"/>
          <w:szCs w:val="31"/>
          <w:highlight w:val="none"/>
        </w:rPr>
        <w:t>设计方案</w:t>
      </w:r>
      <w:bookmarkEnd w:id="415"/>
      <w:bookmarkEnd w:id="416"/>
      <w:bookmarkEnd w:id="417"/>
      <w:bookmarkEnd w:id="418"/>
      <w:bookmarkEnd w:id="419"/>
    </w:p>
    <w:p w14:paraId="3014BF4D">
      <w:pPr>
        <w:spacing w:line="244" w:lineRule="auto"/>
        <w:rPr>
          <w:color w:val="auto"/>
          <w:highlight w:val="none"/>
        </w:rPr>
      </w:pPr>
    </w:p>
    <w:p w14:paraId="46890C74">
      <w:pPr>
        <w:spacing w:line="360" w:lineRule="auto"/>
        <w:rPr>
          <w:rFonts w:hint="eastAsia" w:ascii="宋体" w:hAnsi="宋体" w:eastAsia="宋体"/>
          <w:color w:val="auto"/>
          <w:spacing w:val="13"/>
          <w:sz w:val="24"/>
          <w:szCs w:val="24"/>
          <w:highlight w:val="none"/>
        </w:rPr>
      </w:pPr>
      <w:r>
        <w:rPr>
          <w:rFonts w:hint="eastAsia" w:ascii="宋体" w:hAnsi="宋体" w:eastAsia="宋体"/>
          <w:color w:val="auto"/>
          <w:spacing w:val="13"/>
          <w:sz w:val="24"/>
          <w:szCs w:val="24"/>
          <w:highlight w:val="none"/>
        </w:rPr>
        <w:t>包括但不限于以下内容，其中：</w:t>
      </w:r>
    </w:p>
    <w:p w14:paraId="657D2445">
      <w:pPr>
        <w:spacing w:line="360" w:lineRule="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对项目理解</w:t>
      </w:r>
    </w:p>
    <w:p w14:paraId="51334371">
      <w:pPr>
        <w:spacing w:line="360" w:lineRule="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难点和重点</w:t>
      </w:r>
    </w:p>
    <w:p w14:paraId="0E6D2669">
      <w:pPr>
        <w:spacing w:line="360" w:lineRule="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3、</w:t>
      </w:r>
      <w:r>
        <w:rPr>
          <w:rFonts w:hint="eastAsia" w:ascii="宋体" w:hAnsi="宋体" w:eastAsia="宋体"/>
          <w:color w:val="auto"/>
          <w:sz w:val="24"/>
          <w:szCs w:val="24"/>
          <w:highlight w:val="none"/>
          <w:lang w:val="en-US" w:eastAsia="zh-CN"/>
        </w:rPr>
        <w:t>设计方案</w:t>
      </w:r>
    </w:p>
    <w:p w14:paraId="136BCABB">
      <w:pPr>
        <w:spacing w:line="360" w:lineRule="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4、</w:t>
      </w:r>
      <w:r>
        <w:rPr>
          <w:rFonts w:hint="eastAsia" w:ascii="宋体" w:hAnsi="宋体" w:eastAsia="宋体"/>
          <w:color w:val="auto"/>
          <w:sz w:val="24"/>
          <w:szCs w:val="24"/>
          <w:highlight w:val="none"/>
          <w:lang w:val="en-US" w:eastAsia="zh-CN"/>
        </w:rPr>
        <w:t>勘察方案</w:t>
      </w:r>
    </w:p>
    <w:p w14:paraId="086AA320">
      <w:pPr>
        <w:spacing w:line="360" w:lineRule="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5、</w:t>
      </w:r>
      <w:r>
        <w:rPr>
          <w:rFonts w:hint="eastAsia" w:ascii="宋体" w:hAnsi="宋体" w:eastAsia="宋体"/>
          <w:color w:val="auto"/>
          <w:sz w:val="24"/>
          <w:szCs w:val="24"/>
          <w:highlight w:val="none"/>
          <w:lang w:val="en-US" w:eastAsia="zh-CN"/>
        </w:rPr>
        <w:t>进度计划和保证措施</w:t>
      </w:r>
    </w:p>
    <w:p w14:paraId="7E4F8376">
      <w:pPr>
        <w:spacing w:line="360" w:lineRule="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6、质量控制措施</w:t>
      </w:r>
    </w:p>
    <w:p w14:paraId="2C7535BB">
      <w:pPr>
        <w:spacing w:line="360" w:lineRule="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7、投资控制</w:t>
      </w:r>
    </w:p>
    <w:p w14:paraId="43DBCF2B">
      <w:pPr>
        <w:spacing w:line="360" w:lineRule="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8、附图</w:t>
      </w:r>
    </w:p>
    <w:p w14:paraId="3A7A466E">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br w:type="page"/>
      </w:r>
    </w:p>
    <w:p w14:paraId="783E900F">
      <w:pPr>
        <w:pStyle w:val="26"/>
        <w:numPr>
          <w:ilvl w:val="0"/>
          <w:numId w:val="2"/>
        </w:numPr>
        <w:spacing w:before="120" w:after="120"/>
        <w:jc w:val="center"/>
        <w:outlineLvl w:val="9"/>
        <w:rPr>
          <w:rFonts w:ascii="黑体" w:hAnsi="黑体" w:eastAsia="黑体"/>
          <w:color w:val="auto"/>
          <w:spacing w:val="9"/>
          <w:sz w:val="31"/>
          <w:szCs w:val="31"/>
          <w:highlight w:val="none"/>
        </w:rPr>
      </w:pPr>
      <w:r>
        <w:rPr>
          <w:rFonts w:ascii="黑体" w:hAnsi="黑体" w:eastAsia="黑体"/>
          <w:color w:val="auto"/>
          <w:spacing w:val="9"/>
          <w:sz w:val="31"/>
          <w:szCs w:val="31"/>
          <w:highlight w:val="none"/>
        </w:rPr>
        <w:t>其他资料</w:t>
      </w:r>
    </w:p>
    <w:p w14:paraId="5672AF93">
      <w:pPr>
        <w:pStyle w:val="26"/>
        <w:numPr>
          <w:ilvl w:val="0"/>
          <w:numId w:val="0"/>
        </w:numPr>
        <w:kinsoku w:val="0"/>
        <w:autoSpaceDE w:val="0"/>
        <w:autoSpaceDN w:val="0"/>
        <w:snapToGrid w:val="0"/>
        <w:spacing w:before="120" w:after="120"/>
        <w:jc w:val="center"/>
        <w:outlineLvl w:val="9"/>
        <w:rPr>
          <w:rFonts w:hint="eastAsia" w:ascii="黑体" w:hAnsi="黑体" w:eastAsia="黑体"/>
          <w:color w:val="auto"/>
          <w:spacing w:val="9"/>
          <w:sz w:val="31"/>
          <w:szCs w:val="31"/>
          <w:highlight w:val="none"/>
        </w:rPr>
      </w:pPr>
    </w:p>
    <w:p w14:paraId="39DB0429">
      <w:pPr>
        <w:spacing w:before="157" w:line="220" w:lineRule="auto"/>
        <w:ind w:left="447"/>
        <w:jc w:val="center"/>
        <w:rPr>
          <w:rFonts w:hint="eastAsia" w:ascii="宋体" w:hAnsi="宋体" w:eastAsia="宋体" w:cs="宋体"/>
          <w:color w:val="auto"/>
          <w:spacing w:val="-3"/>
          <w:sz w:val="21"/>
          <w:szCs w:val="21"/>
          <w:highlight w:val="none"/>
          <w:lang w:val="en-US" w:eastAsia="zh-CN"/>
        </w:rPr>
      </w:pPr>
      <w:r>
        <w:rPr>
          <w:rFonts w:hint="eastAsia" w:ascii="黑体" w:hAnsi="黑体" w:eastAsia="黑体"/>
          <w:b/>
          <w:color w:val="auto"/>
          <w:sz w:val="32"/>
          <w:highlight w:val="none"/>
        </w:rPr>
        <w:t>投标人可自行</w:t>
      </w:r>
      <w:r>
        <w:rPr>
          <w:rFonts w:hint="eastAsia" w:ascii="黑体" w:hAnsi="黑体" w:eastAsia="黑体" w:cs="Arial"/>
          <w:b/>
          <w:color w:val="auto"/>
          <w:spacing w:val="0"/>
          <w:sz w:val="32"/>
          <w:szCs w:val="21"/>
          <w:highlight w:val="none"/>
          <w:lang w:val="en-US" w:eastAsia="zh-CN"/>
        </w:rPr>
        <w:t>添加内容</w:t>
      </w:r>
      <w:r>
        <w:rPr>
          <w:rFonts w:hint="default" w:ascii="宋体" w:hAnsi="宋体" w:eastAsia="宋体" w:cs="宋体"/>
          <w:color w:val="auto"/>
          <w:spacing w:val="-3"/>
          <w:sz w:val="21"/>
          <w:szCs w:val="21"/>
          <w:highlight w:val="none"/>
          <w:lang w:val="en-US" w:eastAsia="zh-CN"/>
        </w:rPr>
        <w:t>。</w:t>
      </w:r>
    </w:p>
    <w:p w14:paraId="6B2297C4">
      <w:pPr>
        <w:pageBreakBefore/>
        <w:spacing w:before="120" w:line="400" w:lineRule="exact"/>
        <w:ind w:firstLine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附件1</w:t>
      </w:r>
    </w:p>
    <w:p w14:paraId="33D355E3">
      <w:pPr>
        <w:spacing w:line="360" w:lineRule="auto"/>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中小企业声明函（如有）</w:t>
      </w:r>
    </w:p>
    <w:p w14:paraId="3AD2BFAB">
      <w:pPr>
        <w:pStyle w:val="9"/>
        <w:rPr>
          <w:rFonts w:hint="eastAsia" w:ascii="宋体" w:hAnsi="宋体" w:eastAsia="宋体" w:cs="宋体"/>
          <w:color w:val="auto"/>
          <w:sz w:val="24"/>
          <w:szCs w:val="20"/>
          <w:highlight w:val="none"/>
        </w:rPr>
      </w:pPr>
    </w:p>
    <w:p w14:paraId="2F9400F3">
      <w:pPr>
        <w:pStyle w:val="9"/>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致：        （招标人）         </w:t>
      </w:r>
    </w:p>
    <w:p w14:paraId="6A5EC049">
      <w:pPr>
        <w:pStyle w:val="9"/>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本公司郑重声明，根据《政府采购促进中小企业发展管理办法》（财库﹝2020﹞46号）的规定，本公司参加</w:t>
      </w:r>
      <w:r>
        <w:rPr>
          <w:rFonts w:hint="eastAsia" w:ascii="宋体" w:hAnsi="宋体" w:eastAsia="宋体" w:cs="宋体"/>
          <w:color w:val="auto"/>
          <w:sz w:val="24"/>
          <w:szCs w:val="20"/>
          <w:highlight w:val="none"/>
          <w:u w:val="single"/>
        </w:rPr>
        <w:t xml:space="preserve">   （招标人）    </w:t>
      </w:r>
      <w:r>
        <w:rPr>
          <w:rFonts w:hint="eastAsia" w:ascii="宋体" w:hAnsi="宋体" w:eastAsia="宋体" w:cs="宋体"/>
          <w:color w:val="auto"/>
          <w:sz w:val="24"/>
          <w:szCs w:val="20"/>
          <w:highlight w:val="none"/>
        </w:rPr>
        <w:t>的</w:t>
      </w:r>
      <w:r>
        <w:rPr>
          <w:rFonts w:hint="eastAsia" w:ascii="宋体" w:hAnsi="宋体" w:eastAsia="宋体" w:cs="宋体"/>
          <w:color w:val="auto"/>
          <w:sz w:val="24"/>
          <w:szCs w:val="20"/>
          <w:highlight w:val="none"/>
          <w:u w:val="single"/>
        </w:rPr>
        <w:t xml:space="preserve">      （项目名称）      </w:t>
      </w:r>
      <w:r>
        <w:rPr>
          <w:rFonts w:hint="eastAsia" w:ascii="宋体" w:hAnsi="宋体" w:eastAsia="宋体" w:cs="宋体"/>
          <w:color w:val="auto"/>
          <w:sz w:val="24"/>
          <w:szCs w:val="20"/>
          <w:highlight w:val="none"/>
        </w:rPr>
        <w:t>招标活动，工程的施工单位全部为符合政策要求的中小企业。相关企业（含签订分包意向协议的中小企业）的具体情况如下：</w:t>
      </w:r>
    </w:p>
    <w:p w14:paraId="06503DB7">
      <w:pPr>
        <w:pStyle w:val="9"/>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1. </w:t>
      </w:r>
      <w:r>
        <w:rPr>
          <w:rFonts w:hint="eastAsia" w:ascii="宋体" w:hAnsi="宋体" w:eastAsia="宋体" w:cs="宋体"/>
          <w:color w:val="auto"/>
          <w:sz w:val="24"/>
          <w:szCs w:val="20"/>
          <w:highlight w:val="none"/>
          <w:u w:val="single"/>
        </w:rPr>
        <w:t xml:space="preserve">    （项目名称）     </w:t>
      </w:r>
      <w:r>
        <w:rPr>
          <w:rFonts w:hint="eastAsia" w:ascii="宋体" w:hAnsi="宋体" w:eastAsia="宋体" w:cs="宋体"/>
          <w:color w:val="auto"/>
          <w:sz w:val="24"/>
          <w:szCs w:val="20"/>
          <w:highlight w:val="none"/>
        </w:rPr>
        <w:t>，属于</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rPr>
        <w:t>；承建（承接）企业为</w:t>
      </w:r>
      <w:r>
        <w:rPr>
          <w:rFonts w:hint="eastAsia" w:ascii="宋体" w:hAnsi="宋体" w:eastAsia="宋体" w:cs="宋体"/>
          <w:color w:val="auto"/>
          <w:sz w:val="24"/>
          <w:szCs w:val="20"/>
          <w:highlight w:val="none"/>
          <w:u w:val="single"/>
        </w:rPr>
        <w:t xml:space="preserve">    （企业名称）     </w:t>
      </w:r>
      <w:r>
        <w:rPr>
          <w:rFonts w:hint="eastAsia" w:ascii="宋体" w:hAnsi="宋体" w:eastAsia="宋体" w:cs="宋体"/>
          <w:color w:val="auto"/>
          <w:sz w:val="24"/>
          <w:szCs w:val="20"/>
          <w:highlight w:val="none"/>
        </w:rPr>
        <w:t>，从业人员</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人，营业收入为</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万元，资产总额为</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万元，属于（□小型企业、□微型企业）；在本项目中拟承担工作，在本项目的合同份额占合同总金额</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w:t>
      </w:r>
    </w:p>
    <w:p w14:paraId="42B8DD17">
      <w:pPr>
        <w:pStyle w:val="9"/>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r>
        <w:rPr>
          <w:rFonts w:hint="eastAsia" w:ascii="宋体" w:hAnsi="宋体" w:eastAsia="宋体" w:cs="宋体"/>
          <w:color w:val="auto"/>
          <w:sz w:val="24"/>
          <w:szCs w:val="20"/>
          <w:highlight w:val="none"/>
          <w:u w:val="single"/>
        </w:rPr>
        <w:t xml:space="preserve">     （项目名称）     </w:t>
      </w:r>
      <w:r>
        <w:rPr>
          <w:rFonts w:hint="eastAsia" w:ascii="宋体" w:hAnsi="宋体" w:eastAsia="宋体" w:cs="宋体"/>
          <w:color w:val="auto"/>
          <w:sz w:val="24"/>
          <w:szCs w:val="20"/>
          <w:highlight w:val="none"/>
        </w:rPr>
        <w:t>，属于</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rPr>
        <w:t>；承建（承接）企业为</w:t>
      </w:r>
      <w:r>
        <w:rPr>
          <w:rFonts w:hint="eastAsia" w:ascii="宋体" w:hAnsi="宋体" w:eastAsia="宋体" w:cs="宋体"/>
          <w:color w:val="auto"/>
          <w:sz w:val="24"/>
          <w:szCs w:val="20"/>
          <w:highlight w:val="none"/>
          <w:u w:val="single"/>
        </w:rPr>
        <w:t xml:space="preserve">     （企业名称）     </w:t>
      </w:r>
      <w:r>
        <w:rPr>
          <w:rFonts w:hint="eastAsia" w:ascii="宋体" w:hAnsi="宋体" w:eastAsia="宋体" w:cs="宋体"/>
          <w:color w:val="auto"/>
          <w:sz w:val="24"/>
          <w:szCs w:val="20"/>
          <w:highlight w:val="none"/>
        </w:rPr>
        <w:t>，从业人员</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人，营业收入为</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万元，资产总额为</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万元，属于（□小型企业、□微型企业）；在本项目中拟承担工作，在本项目的合同份额占合同总金额</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w:t>
      </w:r>
    </w:p>
    <w:p w14:paraId="33F8EA5F">
      <w:pPr>
        <w:pStyle w:val="9"/>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p w14:paraId="006F127B">
      <w:pPr>
        <w:pStyle w:val="9"/>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以上企业，不属于大企业的分支机构，不存在控股股东为大企业的情形，也不存在与大企业的负责人为同一人的情形。</w:t>
      </w:r>
    </w:p>
    <w:p w14:paraId="73E7F1ED">
      <w:pPr>
        <w:pStyle w:val="9"/>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本企业对上述声明内容的真实性负责。如有虚假，将依法承担相应责任。</w:t>
      </w:r>
    </w:p>
    <w:p w14:paraId="5A9BFC1A">
      <w:pPr>
        <w:pStyle w:val="9"/>
        <w:rPr>
          <w:rFonts w:hint="eastAsia" w:ascii="宋体" w:hAnsi="宋体" w:eastAsia="宋体" w:cs="宋体"/>
          <w:color w:val="auto"/>
          <w:sz w:val="24"/>
          <w:szCs w:val="20"/>
          <w:highlight w:val="none"/>
        </w:rPr>
      </w:pPr>
    </w:p>
    <w:p w14:paraId="1CA53B7F">
      <w:pPr>
        <w:pStyle w:val="9"/>
        <w:rPr>
          <w:rFonts w:hint="eastAsia" w:ascii="宋体" w:hAnsi="宋体" w:eastAsia="宋体" w:cs="宋体"/>
          <w:color w:val="auto"/>
          <w:sz w:val="24"/>
          <w:szCs w:val="20"/>
          <w:highlight w:val="none"/>
        </w:rPr>
      </w:pPr>
    </w:p>
    <w:p w14:paraId="6B45DE01">
      <w:pPr>
        <w:pStyle w:val="9"/>
        <w:rPr>
          <w:rFonts w:hint="eastAsia" w:ascii="宋体" w:hAnsi="宋体" w:eastAsia="宋体" w:cs="宋体"/>
          <w:color w:val="auto"/>
          <w:sz w:val="24"/>
          <w:szCs w:val="20"/>
          <w:highlight w:val="none"/>
        </w:rPr>
      </w:pPr>
    </w:p>
    <w:p w14:paraId="5AA34386">
      <w:pPr>
        <w:pStyle w:val="9"/>
        <w:rPr>
          <w:rFonts w:hint="eastAsia" w:ascii="宋体" w:hAnsi="宋体" w:eastAsia="宋体" w:cs="宋体"/>
          <w:color w:val="auto"/>
          <w:sz w:val="24"/>
          <w:szCs w:val="20"/>
          <w:highlight w:val="none"/>
        </w:rPr>
      </w:pPr>
    </w:p>
    <w:p w14:paraId="1718C61B">
      <w:pPr>
        <w:pStyle w:val="9"/>
        <w:rPr>
          <w:rFonts w:hint="eastAsia" w:ascii="宋体" w:hAnsi="宋体" w:eastAsia="宋体" w:cs="宋体"/>
          <w:color w:val="auto"/>
          <w:sz w:val="24"/>
          <w:szCs w:val="20"/>
          <w:highlight w:val="none"/>
        </w:rPr>
      </w:pPr>
    </w:p>
    <w:p w14:paraId="07D8FC16">
      <w:pPr>
        <w:pStyle w:val="9"/>
        <w:rPr>
          <w:rFonts w:hint="eastAsia" w:ascii="宋体" w:hAnsi="宋体" w:eastAsia="宋体" w:cs="宋体"/>
          <w:color w:val="auto"/>
          <w:sz w:val="24"/>
          <w:szCs w:val="20"/>
          <w:highlight w:val="none"/>
        </w:rPr>
      </w:pPr>
    </w:p>
    <w:p w14:paraId="0C066157">
      <w:pPr>
        <w:pStyle w:val="9"/>
        <w:jc w:val="righ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投标人名称（盖章）：</w:t>
      </w:r>
    </w:p>
    <w:p w14:paraId="27FF67BF">
      <w:pPr>
        <w:pStyle w:val="9"/>
        <w:jc w:val="righ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日   期：     年   月   日</w:t>
      </w:r>
    </w:p>
    <w:p w14:paraId="2ED68F91">
      <w:pPr>
        <w:pStyle w:val="9"/>
        <w:rPr>
          <w:rFonts w:hint="eastAsia" w:ascii="宋体" w:hAnsi="宋体" w:eastAsia="宋体" w:cs="宋体"/>
          <w:color w:val="auto"/>
          <w:sz w:val="24"/>
          <w:szCs w:val="20"/>
          <w:highlight w:val="none"/>
        </w:rPr>
      </w:pPr>
    </w:p>
    <w:p w14:paraId="0363AD4B">
      <w:pPr>
        <w:pStyle w:val="9"/>
        <w:rPr>
          <w:rFonts w:hint="eastAsia" w:ascii="宋体" w:hAnsi="宋体" w:eastAsia="宋体" w:cs="宋体"/>
          <w:color w:val="auto"/>
          <w:sz w:val="24"/>
          <w:szCs w:val="20"/>
          <w:highlight w:val="none"/>
        </w:rPr>
      </w:pPr>
    </w:p>
    <w:p w14:paraId="5DE068A6">
      <w:pPr>
        <w:pStyle w:val="9"/>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注：1、从业人员、营业收入、资产总额填报上一年度数据，无上一年度数据的新成立企业可不填报。</w:t>
      </w:r>
    </w:p>
    <w:p w14:paraId="0E5832DC">
      <w:pPr>
        <w:pStyle w:val="9"/>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2、《中小企业声明函》（如有）适用于小微企业参加招投标活动的。投标人应当自行核实是否属于小微企业，并认真填写，若有虚假将追究其责任。</w:t>
      </w:r>
    </w:p>
    <w:p w14:paraId="4B297F59">
      <w:pPr>
        <w:pStyle w:val="9"/>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3、需按照本项目对应行业出具《中小企业声明函》，而非按照供应商的经营范围出具。</w:t>
      </w:r>
    </w:p>
    <w:p w14:paraId="520B04C8">
      <w:pPr>
        <w:pStyle w:val="58"/>
        <w:spacing w:line="240" w:lineRule="auto"/>
        <w:ind w:right="98" w:firstLine="0" w:firstLineChars="0"/>
        <w:rPr>
          <w:rFonts w:hint="eastAsia" w:ascii="宋体" w:hAnsi="宋体" w:eastAsia="宋体" w:cs="宋体"/>
          <w:b/>
          <w:bCs/>
          <w:snapToGrid w:val="0"/>
          <w:color w:val="auto"/>
          <w:kern w:val="13"/>
          <w:sz w:val="24"/>
          <w:highlight w:val="none"/>
          <w:lang w:val="en-US" w:eastAsia="zh-CN"/>
        </w:rPr>
      </w:pPr>
      <w:r>
        <w:rPr>
          <w:rFonts w:hint="eastAsia" w:ascii="宋体" w:hAnsi="宋体" w:eastAsia="宋体" w:cs="宋体"/>
          <w:b/>
          <w:bCs/>
          <w:snapToGrid w:val="0"/>
          <w:color w:val="auto"/>
          <w:kern w:val="13"/>
          <w:sz w:val="24"/>
          <w:highlight w:val="none"/>
          <w:lang w:val="en-US" w:eastAsia="zh-CN"/>
        </w:rPr>
        <w:t>（此格式不作为废标条款）</w:t>
      </w:r>
    </w:p>
    <w:p w14:paraId="52DAAAAB">
      <w:pPr>
        <w:tabs>
          <w:tab w:val="left" w:pos="720"/>
        </w:tabs>
        <w:snapToGrid w:val="0"/>
        <w:spacing w:line="360" w:lineRule="auto"/>
        <w:jc w:val="center"/>
        <w:rPr>
          <w:rFonts w:hint="eastAsia" w:ascii="宋体" w:hAnsi="宋体" w:eastAsia="宋体" w:cs="宋体"/>
          <w:b/>
          <w:color w:val="auto"/>
          <w:kern w:val="2"/>
          <w:sz w:val="32"/>
          <w:szCs w:val="32"/>
          <w:highlight w:val="none"/>
          <w:lang w:val="en-US" w:eastAsia="zh-CN"/>
        </w:rPr>
      </w:pPr>
    </w:p>
    <w:p w14:paraId="0A4921A7">
      <w:pPr>
        <w:tabs>
          <w:tab w:val="left" w:pos="720"/>
        </w:tabs>
        <w:snapToGrid w:val="0"/>
        <w:spacing w:line="360" w:lineRule="auto"/>
        <w:jc w:val="center"/>
        <w:rPr>
          <w:rFonts w:hint="eastAsia" w:ascii="宋体" w:hAnsi="宋体" w:eastAsia="宋体" w:cs="宋体"/>
          <w:b/>
          <w:color w:val="auto"/>
          <w:kern w:val="2"/>
          <w:sz w:val="32"/>
          <w:szCs w:val="32"/>
          <w:highlight w:val="none"/>
          <w:lang w:val="en-US" w:eastAsia="zh-CN"/>
        </w:rPr>
      </w:pPr>
    </w:p>
    <w:p w14:paraId="3C4133DE">
      <w:pPr>
        <w:snapToGrid/>
        <w:spacing w:line="360" w:lineRule="auto"/>
        <w:jc w:val="both"/>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附件2</w:t>
      </w:r>
    </w:p>
    <w:p w14:paraId="6304762A">
      <w:pPr>
        <w:snapToGrid/>
        <w:spacing w:line="360" w:lineRule="auto"/>
        <w:jc w:val="center"/>
        <w:outlineLvl w:val="1"/>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分包意向协议</w:t>
      </w:r>
      <w:r>
        <w:rPr>
          <w:rFonts w:hint="eastAsia" w:ascii="宋体" w:hAnsi="宋体" w:eastAsia="宋体" w:cs="宋体"/>
          <w:b/>
          <w:color w:val="auto"/>
          <w:kern w:val="0"/>
          <w:sz w:val="32"/>
          <w:szCs w:val="32"/>
          <w:highlight w:val="none"/>
          <w:lang w:eastAsia="zh-CN"/>
        </w:rPr>
        <w:t>（</w:t>
      </w:r>
      <w:r>
        <w:rPr>
          <w:rFonts w:hint="eastAsia" w:ascii="宋体" w:hAnsi="宋体" w:eastAsia="宋体" w:cs="宋体"/>
          <w:b/>
          <w:color w:val="auto"/>
          <w:kern w:val="0"/>
          <w:sz w:val="32"/>
          <w:szCs w:val="32"/>
          <w:highlight w:val="none"/>
          <w:lang w:val="en-US" w:eastAsia="zh-CN"/>
        </w:rPr>
        <w:t>如有</w:t>
      </w:r>
      <w:r>
        <w:rPr>
          <w:rFonts w:hint="eastAsia" w:ascii="宋体" w:hAnsi="宋体" w:eastAsia="宋体" w:cs="宋体"/>
          <w:b/>
          <w:color w:val="auto"/>
          <w:kern w:val="0"/>
          <w:sz w:val="32"/>
          <w:szCs w:val="32"/>
          <w:highlight w:val="none"/>
          <w:lang w:eastAsia="zh-CN"/>
        </w:rPr>
        <w:t>）</w:t>
      </w:r>
    </w:p>
    <w:p w14:paraId="6423EAC5">
      <w:pPr>
        <w:pStyle w:val="9"/>
        <w:rPr>
          <w:rFonts w:hint="eastAsia" w:ascii="宋体" w:hAnsi="宋体" w:eastAsia="宋体" w:cs="宋体"/>
          <w:color w:val="auto"/>
          <w:sz w:val="21"/>
          <w:szCs w:val="20"/>
          <w:highlight w:val="none"/>
        </w:rPr>
      </w:pPr>
    </w:p>
    <w:p w14:paraId="481DDB46">
      <w:pPr>
        <w:snapToGrid/>
        <w:spacing w:line="360" w:lineRule="auto"/>
        <w:ind w:firstLine="0" w:firstLineChars="0"/>
        <w:jc w:val="both"/>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立约方：</w:t>
      </w:r>
      <w:r>
        <w:rPr>
          <w:rFonts w:hint="eastAsia" w:ascii="宋体" w:hAnsi="宋体" w:eastAsia="宋体" w:cs="宋体"/>
          <w:color w:val="auto"/>
          <w:sz w:val="24"/>
          <w:szCs w:val="20"/>
          <w:highlight w:val="none"/>
          <w:u w:val="single"/>
        </w:rPr>
        <w:t>（甲公司全称）</w:t>
      </w:r>
    </w:p>
    <w:p w14:paraId="79028E94">
      <w:pPr>
        <w:snapToGrid/>
        <w:spacing w:line="360" w:lineRule="auto"/>
        <w:ind w:firstLine="960" w:firstLineChars="400"/>
        <w:jc w:val="both"/>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u w:val="single"/>
        </w:rPr>
        <w:t>（乙公司全称）</w:t>
      </w:r>
    </w:p>
    <w:p w14:paraId="566BC146">
      <w:pPr>
        <w:snapToGrid/>
        <w:spacing w:line="360" w:lineRule="auto"/>
        <w:ind w:firstLine="960" w:firstLineChars="400"/>
        <w:jc w:val="both"/>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u w:val="single"/>
        </w:rPr>
        <w:t>（……公司全称）</w:t>
      </w:r>
    </w:p>
    <w:p w14:paraId="0161D50A">
      <w:pPr>
        <w:snapToGrid/>
        <w:spacing w:line="360" w:lineRule="auto"/>
        <w:ind w:firstLine="480" w:firstLineChars="20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u w:val="single"/>
        </w:rPr>
        <w:t>（甲公司全称）、（乙公司全称）、（……公司全称）</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rPr>
        <w:t>自愿达成分包意向，参加</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u w:val="single"/>
        </w:rPr>
        <w:t>（项目名称）</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rPr>
        <w:t>的投标活动。经各方充分协商一致，就项目的投标和合同实施阶段的有关事务协商一致订立意向如下：</w:t>
      </w:r>
    </w:p>
    <w:p w14:paraId="42C15425">
      <w:pPr>
        <w:snapToGrid/>
        <w:spacing w:line="360" w:lineRule="auto"/>
        <w:ind w:firstLine="480" w:firstLineChars="200"/>
        <w:jc w:val="both"/>
        <w:rPr>
          <w:rFonts w:hint="eastAsia" w:ascii="宋体" w:hAnsi="宋体" w:eastAsia="宋体" w:cs="宋体"/>
          <w:b w:val="0"/>
          <w:bCs w:val="0"/>
          <w:color w:val="auto"/>
          <w:sz w:val="24"/>
          <w:szCs w:val="20"/>
          <w:highlight w:val="none"/>
        </w:rPr>
      </w:pPr>
      <w:r>
        <w:rPr>
          <w:rFonts w:hint="eastAsia" w:ascii="宋体" w:hAnsi="宋体" w:eastAsia="宋体" w:cs="宋体"/>
          <w:b w:val="0"/>
          <w:bCs w:val="0"/>
          <w:color w:val="auto"/>
          <w:sz w:val="24"/>
          <w:szCs w:val="20"/>
          <w:highlight w:val="none"/>
        </w:rPr>
        <w:t>一、分包意向各方关系</w:t>
      </w:r>
      <w:r>
        <w:rPr>
          <w:rFonts w:hint="eastAsia" w:ascii="宋体" w:hAnsi="宋体" w:eastAsia="宋体" w:cs="宋体"/>
          <w:b w:val="0"/>
          <w:bCs w:val="0"/>
          <w:color w:val="auto"/>
          <w:sz w:val="24"/>
          <w:szCs w:val="20"/>
          <w:highlight w:val="none"/>
          <w:lang w:eastAsia="zh-CN"/>
        </w:rPr>
        <w:t>：</w:t>
      </w:r>
    </w:p>
    <w:p w14:paraId="419526D9">
      <w:pPr>
        <w:snapToGrid/>
        <w:spacing w:line="360" w:lineRule="auto"/>
        <w:ind w:firstLine="480" w:firstLineChars="20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u w:val="single"/>
        </w:rPr>
        <w:t>（甲公司全称）</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u w:val="none"/>
        </w:rPr>
        <w:t>为投标人，</w:t>
      </w:r>
      <w:r>
        <w:rPr>
          <w:rFonts w:hint="eastAsia" w:ascii="宋体" w:hAnsi="宋体" w:eastAsia="宋体" w:cs="宋体"/>
          <w:color w:val="auto"/>
          <w:sz w:val="24"/>
          <w:szCs w:val="20"/>
          <w:highlight w:val="none"/>
          <w:u w:val="single"/>
        </w:rPr>
        <w:t>（乙公司全称）、（……公司全称）</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u w:val="none"/>
        </w:rPr>
        <w:t>为分包意向单位，</w:t>
      </w:r>
      <w:r>
        <w:rPr>
          <w:rFonts w:hint="eastAsia" w:ascii="宋体" w:hAnsi="宋体" w:eastAsia="宋体" w:cs="宋体"/>
          <w:color w:val="auto"/>
          <w:sz w:val="24"/>
          <w:szCs w:val="20"/>
          <w:highlight w:val="none"/>
          <w:u w:val="single"/>
        </w:rPr>
        <w:t>（甲公司全称）</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u w:val="none"/>
        </w:rPr>
        <w:t>以投标人的身份参加本项目的投标。若中标，</w:t>
      </w:r>
      <w:r>
        <w:rPr>
          <w:rFonts w:hint="eastAsia" w:ascii="宋体" w:hAnsi="宋体" w:eastAsia="宋体" w:cs="宋体"/>
          <w:color w:val="auto"/>
          <w:sz w:val="24"/>
          <w:szCs w:val="20"/>
          <w:highlight w:val="none"/>
          <w:u w:val="single"/>
        </w:rPr>
        <w:t>（甲公司全称）</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u w:val="none"/>
        </w:rPr>
        <w:t>与招标人签订建设工程施工合同。承接分包意向的各单位与</w:t>
      </w:r>
      <w:r>
        <w:rPr>
          <w:rFonts w:hint="eastAsia" w:ascii="宋体" w:hAnsi="宋体" w:eastAsia="宋体" w:cs="宋体"/>
          <w:color w:val="auto"/>
          <w:sz w:val="24"/>
          <w:szCs w:val="20"/>
          <w:highlight w:val="none"/>
          <w:u w:val="single"/>
        </w:rPr>
        <w:t>（甲公司全称）</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u w:val="none"/>
        </w:rPr>
        <w:t>签订分包合同。</w:t>
      </w:r>
      <w:r>
        <w:rPr>
          <w:rFonts w:hint="eastAsia" w:ascii="宋体" w:hAnsi="宋体" w:eastAsia="宋体" w:cs="宋体"/>
          <w:color w:val="auto"/>
          <w:sz w:val="24"/>
          <w:szCs w:val="20"/>
          <w:highlight w:val="none"/>
          <w:u w:val="single"/>
        </w:rPr>
        <w:t>（甲公司全称）</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u w:val="none"/>
        </w:rPr>
        <w:t>就招标项目和分包项目向招标人负责，分包单位就分包项目承担责任。</w:t>
      </w:r>
    </w:p>
    <w:p w14:paraId="71748617">
      <w:pPr>
        <w:snapToGrid/>
        <w:spacing w:line="360" w:lineRule="auto"/>
        <w:ind w:firstLine="480" w:firstLineChars="200"/>
        <w:jc w:val="both"/>
        <w:rPr>
          <w:rFonts w:hint="eastAsia" w:ascii="宋体" w:hAnsi="宋体" w:eastAsia="宋体" w:cs="宋体"/>
          <w:b w:val="0"/>
          <w:bCs w:val="0"/>
          <w:color w:val="auto"/>
          <w:sz w:val="24"/>
          <w:szCs w:val="20"/>
          <w:highlight w:val="none"/>
        </w:rPr>
      </w:pPr>
      <w:r>
        <w:rPr>
          <w:rFonts w:hint="eastAsia" w:ascii="宋体" w:hAnsi="宋体" w:eastAsia="宋体" w:cs="宋体"/>
          <w:b w:val="0"/>
          <w:bCs w:val="0"/>
          <w:color w:val="auto"/>
          <w:sz w:val="24"/>
          <w:szCs w:val="20"/>
          <w:highlight w:val="none"/>
        </w:rPr>
        <w:t>二、有关事项约定如下：</w:t>
      </w:r>
    </w:p>
    <w:p w14:paraId="3F2AB2C8">
      <w:pPr>
        <w:snapToGrid/>
        <w:spacing w:line="360" w:lineRule="auto"/>
        <w:ind w:firstLine="480" w:firstLineChars="200"/>
        <w:jc w:val="both"/>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1.如中标，分包单位分别与</w:t>
      </w:r>
      <w:r>
        <w:rPr>
          <w:rFonts w:hint="eastAsia" w:ascii="宋体" w:hAnsi="宋体" w:eastAsia="宋体" w:cs="宋体"/>
          <w:color w:val="auto"/>
          <w:sz w:val="24"/>
          <w:szCs w:val="20"/>
          <w:highlight w:val="none"/>
          <w:u w:val="single"/>
        </w:rPr>
        <w:t>（甲公司全称）</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rPr>
        <w:t>签订合同书，并就中标项目分包部分承担法律责任</w:t>
      </w:r>
      <w:r>
        <w:rPr>
          <w:rFonts w:hint="eastAsia" w:ascii="宋体" w:hAnsi="宋体" w:eastAsia="宋体" w:cs="宋体"/>
          <w:color w:val="auto"/>
          <w:sz w:val="24"/>
          <w:szCs w:val="20"/>
          <w:highlight w:val="none"/>
          <w:lang w:eastAsia="zh-CN"/>
        </w:rPr>
        <w:t>。</w:t>
      </w:r>
    </w:p>
    <w:p w14:paraId="5A8A9A61">
      <w:pPr>
        <w:snapToGrid/>
        <w:spacing w:line="360" w:lineRule="auto"/>
        <w:ind w:firstLine="480" w:firstLineChars="200"/>
        <w:jc w:val="both"/>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2.分包意向单位1：</w:t>
      </w:r>
      <w:r>
        <w:rPr>
          <w:rFonts w:hint="eastAsia" w:ascii="宋体" w:hAnsi="宋体" w:eastAsia="宋体" w:cs="宋体"/>
          <w:color w:val="auto"/>
          <w:sz w:val="24"/>
          <w:szCs w:val="20"/>
          <w:highlight w:val="none"/>
          <w:u w:val="single"/>
          <w:lang w:val="en-US" w:eastAsia="zh-CN"/>
        </w:rPr>
        <w:t xml:space="preserve">（乙公司全称）     </w:t>
      </w:r>
      <w:r>
        <w:rPr>
          <w:rFonts w:hint="eastAsia" w:ascii="宋体" w:hAnsi="宋体" w:eastAsia="宋体" w:cs="宋体"/>
          <w:color w:val="auto"/>
          <w:sz w:val="24"/>
          <w:szCs w:val="20"/>
          <w:highlight w:val="none"/>
          <w:lang w:val="en-US" w:eastAsia="zh-CN"/>
        </w:rPr>
        <w:t>为</w:t>
      </w:r>
      <w:r>
        <w:rPr>
          <w:rFonts w:hint="eastAsia" w:ascii="宋体" w:hAnsi="宋体" w:eastAsia="宋体" w:cs="宋体"/>
          <w:color w:val="auto"/>
          <w:sz w:val="24"/>
          <w:szCs w:val="20"/>
          <w:highlight w:val="none"/>
          <w:u w:val="single"/>
          <w:lang w:val="en-US" w:eastAsia="zh-CN"/>
        </w:rPr>
        <w:t>（请填写：大型、中型、小型、微型）</w:t>
      </w:r>
      <w:r>
        <w:rPr>
          <w:rFonts w:hint="eastAsia" w:ascii="宋体" w:hAnsi="宋体" w:eastAsia="宋体" w:cs="宋体"/>
          <w:color w:val="auto"/>
          <w:sz w:val="24"/>
          <w:szCs w:val="20"/>
          <w:highlight w:val="none"/>
          <w:lang w:val="en-US" w:eastAsia="zh-CN"/>
        </w:rPr>
        <w:t>企业，将承担适宜分包部分</w:t>
      </w:r>
      <w:r>
        <w:rPr>
          <w:rFonts w:hint="eastAsia" w:ascii="宋体" w:hAnsi="宋体" w:eastAsia="宋体" w:cs="宋体"/>
          <w:color w:val="auto"/>
          <w:sz w:val="24"/>
          <w:szCs w:val="20"/>
          <w:highlight w:val="none"/>
          <w:u w:val="single"/>
          <w:lang w:val="en-US" w:eastAsia="zh-CN"/>
        </w:rPr>
        <w:t xml:space="preserve">   （具体分包内容）   </w:t>
      </w:r>
      <w:r>
        <w:rPr>
          <w:rFonts w:hint="eastAsia" w:ascii="宋体" w:hAnsi="宋体" w:eastAsia="宋体" w:cs="宋体"/>
          <w:color w:val="auto"/>
          <w:sz w:val="24"/>
          <w:szCs w:val="20"/>
          <w:highlight w:val="none"/>
          <w:lang w:val="en-US" w:eastAsia="zh-CN"/>
        </w:rPr>
        <w:t>占合同总金额</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lang w:val="en-US" w:eastAsia="zh-CN"/>
        </w:rPr>
        <w:t>%的工作内容。</w:t>
      </w:r>
    </w:p>
    <w:p w14:paraId="236FA6CA">
      <w:pPr>
        <w:snapToGrid/>
        <w:spacing w:line="360" w:lineRule="auto"/>
        <w:ind w:firstLine="480" w:firstLineChars="200"/>
        <w:jc w:val="both"/>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3.分包意向单位2：</w:t>
      </w:r>
      <w:r>
        <w:rPr>
          <w:rFonts w:hint="eastAsia" w:ascii="宋体" w:hAnsi="宋体" w:eastAsia="宋体" w:cs="宋体"/>
          <w:color w:val="auto"/>
          <w:sz w:val="24"/>
          <w:szCs w:val="20"/>
          <w:highlight w:val="none"/>
          <w:u w:val="single"/>
          <w:lang w:val="en-US" w:eastAsia="zh-CN"/>
        </w:rPr>
        <w:t xml:space="preserve">（……公司全称）   </w:t>
      </w:r>
      <w:r>
        <w:rPr>
          <w:rFonts w:hint="eastAsia" w:ascii="宋体" w:hAnsi="宋体" w:eastAsia="宋体" w:cs="宋体"/>
          <w:color w:val="auto"/>
          <w:sz w:val="24"/>
          <w:szCs w:val="20"/>
          <w:highlight w:val="none"/>
          <w:lang w:val="en-US" w:eastAsia="zh-CN"/>
        </w:rPr>
        <w:t>为</w:t>
      </w:r>
      <w:r>
        <w:rPr>
          <w:rFonts w:hint="eastAsia" w:ascii="宋体" w:hAnsi="宋体" w:eastAsia="宋体" w:cs="宋体"/>
          <w:color w:val="auto"/>
          <w:sz w:val="24"/>
          <w:szCs w:val="20"/>
          <w:highlight w:val="none"/>
          <w:u w:val="single"/>
          <w:lang w:val="en-US" w:eastAsia="zh-CN"/>
        </w:rPr>
        <w:t>（请填写：大型、中型、小型、微型）</w:t>
      </w:r>
      <w:r>
        <w:rPr>
          <w:rFonts w:hint="eastAsia" w:ascii="宋体" w:hAnsi="宋体" w:eastAsia="宋体" w:cs="宋体"/>
          <w:color w:val="auto"/>
          <w:sz w:val="24"/>
          <w:szCs w:val="20"/>
          <w:highlight w:val="none"/>
          <w:lang w:val="en-US" w:eastAsia="zh-CN"/>
        </w:rPr>
        <w:t>企业，将承担适宜分包部分</w:t>
      </w:r>
      <w:r>
        <w:rPr>
          <w:rFonts w:hint="eastAsia" w:ascii="宋体" w:hAnsi="宋体" w:eastAsia="宋体" w:cs="宋体"/>
          <w:color w:val="auto"/>
          <w:sz w:val="24"/>
          <w:szCs w:val="20"/>
          <w:highlight w:val="none"/>
          <w:u w:val="single"/>
          <w:lang w:val="en-US" w:eastAsia="zh-CN"/>
        </w:rPr>
        <w:t xml:space="preserve">   （具体分包内容）   </w:t>
      </w:r>
      <w:r>
        <w:rPr>
          <w:rFonts w:hint="eastAsia" w:ascii="宋体" w:hAnsi="宋体" w:eastAsia="宋体" w:cs="宋体"/>
          <w:color w:val="auto"/>
          <w:sz w:val="24"/>
          <w:szCs w:val="20"/>
          <w:highlight w:val="none"/>
          <w:lang w:val="en-US" w:eastAsia="zh-CN"/>
        </w:rPr>
        <w:t>占合同总金额</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lang w:val="en-US" w:eastAsia="zh-CN"/>
        </w:rPr>
        <w:t>%的工作内容。</w:t>
      </w:r>
    </w:p>
    <w:p w14:paraId="048EDA7F">
      <w:pPr>
        <w:snapToGrid/>
        <w:spacing w:line="360" w:lineRule="auto"/>
        <w:ind w:firstLine="480" w:firstLineChars="20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p w14:paraId="19C3EFE6">
      <w:pPr>
        <w:snapToGrid/>
        <w:spacing w:line="360" w:lineRule="auto"/>
        <w:ind w:firstLine="482" w:firstLineChars="200"/>
        <w:jc w:val="both"/>
        <w:rPr>
          <w:rFonts w:hint="eastAsia" w:ascii="宋体" w:hAnsi="宋体" w:eastAsia="宋体" w:cs="宋体"/>
          <w:b/>
          <w:bCs/>
          <w:color w:val="auto"/>
          <w:sz w:val="24"/>
          <w:szCs w:val="20"/>
          <w:highlight w:val="none"/>
        </w:rPr>
      </w:pPr>
    </w:p>
    <w:p w14:paraId="6253686A">
      <w:pPr>
        <w:snapToGrid/>
        <w:spacing w:line="360" w:lineRule="auto"/>
        <w:ind w:firstLine="480" w:firstLineChars="200"/>
        <w:jc w:val="both"/>
        <w:rPr>
          <w:rFonts w:hint="eastAsia" w:ascii="宋体" w:hAnsi="宋体" w:eastAsia="宋体" w:cs="宋体"/>
          <w:b w:val="0"/>
          <w:bCs w:val="0"/>
          <w:color w:val="auto"/>
          <w:sz w:val="24"/>
          <w:szCs w:val="20"/>
          <w:highlight w:val="none"/>
        </w:rPr>
      </w:pPr>
      <w:r>
        <w:rPr>
          <w:rFonts w:hint="eastAsia" w:ascii="宋体" w:hAnsi="宋体" w:eastAsia="宋体" w:cs="宋体"/>
          <w:b w:val="0"/>
          <w:bCs w:val="0"/>
          <w:color w:val="auto"/>
          <w:sz w:val="24"/>
          <w:szCs w:val="20"/>
          <w:highlight w:val="none"/>
        </w:rPr>
        <w:t>三、接受分包的企业与投标人之间的关系：</w:t>
      </w:r>
    </w:p>
    <w:p w14:paraId="4243F37E">
      <w:pPr>
        <w:snapToGrid/>
        <w:spacing w:line="360" w:lineRule="auto"/>
        <w:ind w:firstLine="480" w:firstLineChars="20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1.分包意向单位1</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u w:val="single"/>
        </w:rPr>
        <w:t>（公司全称）</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rPr>
        <w:t>与投标人之间</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u w:val="single"/>
        </w:rPr>
        <w:t>（请填写：是否存在）</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rPr>
        <w:t>直接控股、管理关系的情形。</w:t>
      </w:r>
    </w:p>
    <w:p w14:paraId="0D35C071">
      <w:pPr>
        <w:snapToGrid/>
        <w:spacing w:line="360" w:lineRule="auto"/>
        <w:ind w:firstLine="480" w:firstLineChars="20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2.分包意向单位2</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u w:val="single"/>
        </w:rPr>
        <w:t>（公司全称）</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rPr>
        <w:t>与投标人之间</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u w:val="single"/>
        </w:rPr>
        <w:t>（请填写：是否存在）</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rPr>
        <w:t>直接控股、管理关系的情形。</w:t>
      </w:r>
    </w:p>
    <w:p w14:paraId="35FF3B25">
      <w:pPr>
        <w:snapToGrid/>
        <w:spacing w:line="360" w:lineRule="auto"/>
        <w:ind w:firstLine="480" w:firstLineChars="20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p w14:paraId="7BFB3770">
      <w:pPr>
        <w:snapToGrid/>
        <w:spacing w:line="360" w:lineRule="auto"/>
        <w:ind w:firstLine="480" w:firstLineChars="200"/>
        <w:jc w:val="both"/>
        <w:rPr>
          <w:rFonts w:hint="eastAsia" w:ascii="宋体" w:hAnsi="宋体" w:eastAsia="宋体" w:cs="宋体"/>
          <w:color w:val="auto"/>
          <w:sz w:val="24"/>
          <w:szCs w:val="20"/>
          <w:highlight w:val="none"/>
        </w:rPr>
      </w:pPr>
    </w:p>
    <w:p w14:paraId="1B9BE6C1">
      <w:pPr>
        <w:autoSpaceDE/>
        <w:autoSpaceDN/>
        <w:adjustRightInd/>
        <w:spacing w:line="360" w:lineRule="auto"/>
        <w:ind w:firstLine="480" w:firstLineChars="200"/>
        <w:jc w:val="both"/>
        <w:rPr>
          <w:rFonts w:hint="eastAsia" w:ascii="宋体" w:hAnsi="宋体" w:eastAsia="宋体" w:cs="宋体"/>
          <w:b w:val="0"/>
          <w:bCs w:val="0"/>
          <w:color w:val="auto"/>
          <w:kern w:val="2"/>
          <w:sz w:val="24"/>
          <w:szCs w:val="20"/>
          <w:highlight w:val="none"/>
          <w:u w:val="none"/>
          <w:lang w:val="en-US" w:eastAsia="zh-CN" w:bidi="ar-SA"/>
        </w:rPr>
      </w:pPr>
      <w:r>
        <w:rPr>
          <w:rFonts w:hint="eastAsia" w:ascii="宋体" w:hAnsi="宋体" w:eastAsia="宋体" w:cs="宋体"/>
          <w:b w:val="0"/>
          <w:bCs w:val="0"/>
          <w:color w:val="auto"/>
          <w:kern w:val="2"/>
          <w:sz w:val="24"/>
          <w:szCs w:val="20"/>
          <w:highlight w:val="none"/>
          <w:u w:val="none"/>
          <w:lang w:val="en-US" w:eastAsia="zh-CN" w:bidi="ar-SA"/>
        </w:rPr>
        <w:t>四、如因违约过失责任而导致招标人经济损失或被索赔时，</w:t>
      </w:r>
      <w:r>
        <w:rPr>
          <w:rFonts w:hint="eastAsia" w:ascii="宋体" w:hAnsi="宋体" w:eastAsia="宋体" w:cs="宋体"/>
          <w:b w:val="0"/>
          <w:bCs w:val="0"/>
          <w:color w:val="auto"/>
          <w:kern w:val="2"/>
          <w:sz w:val="24"/>
          <w:szCs w:val="20"/>
          <w:highlight w:val="none"/>
          <w:u w:val="single"/>
          <w:lang w:val="en-US" w:eastAsia="zh-CN" w:bidi="ar-SA"/>
        </w:rPr>
        <w:t xml:space="preserve">（甲公司全称）      </w:t>
      </w:r>
      <w:r>
        <w:rPr>
          <w:rFonts w:hint="eastAsia" w:ascii="宋体" w:hAnsi="宋体" w:eastAsia="宋体" w:cs="宋体"/>
          <w:b w:val="0"/>
          <w:bCs w:val="0"/>
          <w:color w:val="auto"/>
          <w:kern w:val="2"/>
          <w:sz w:val="24"/>
          <w:szCs w:val="20"/>
          <w:highlight w:val="none"/>
          <w:u w:val="none"/>
          <w:lang w:val="en-US" w:eastAsia="zh-CN" w:bidi="ar-SA"/>
        </w:rPr>
        <w:t>同意无条件优先清偿招标人的一切债务和经济赔偿。</w:t>
      </w:r>
    </w:p>
    <w:p w14:paraId="7A363E9C">
      <w:pPr>
        <w:autoSpaceDE/>
        <w:autoSpaceDN/>
        <w:adjustRightInd/>
        <w:spacing w:line="360" w:lineRule="auto"/>
        <w:ind w:firstLine="480" w:firstLineChars="200"/>
        <w:jc w:val="both"/>
        <w:rPr>
          <w:rFonts w:hint="eastAsia" w:ascii="宋体" w:hAnsi="宋体" w:eastAsia="宋体" w:cs="宋体"/>
          <w:b w:val="0"/>
          <w:bCs w:val="0"/>
          <w:color w:val="auto"/>
          <w:kern w:val="2"/>
          <w:sz w:val="24"/>
          <w:szCs w:val="20"/>
          <w:highlight w:val="none"/>
          <w:u w:val="none"/>
          <w:lang w:val="en-US" w:eastAsia="zh-CN" w:bidi="ar-SA"/>
        </w:rPr>
      </w:pPr>
      <w:r>
        <w:rPr>
          <w:rFonts w:hint="eastAsia" w:ascii="宋体" w:hAnsi="宋体" w:eastAsia="宋体" w:cs="宋体"/>
          <w:b w:val="0"/>
          <w:bCs w:val="0"/>
          <w:color w:val="auto"/>
          <w:kern w:val="2"/>
          <w:sz w:val="24"/>
          <w:szCs w:val="20"/>
          <w:highlight w:val="none"/>
          <w:u w:val="none"/>
          <w:lang w:val="en-US" w:eastAsia="zh-CN" w:bidi="ar-SA"/>
        </w:rPr>
        <w:t>五、如中标，分包意向单位不得以任何理由提出终止本意向协议。</w:t>
      </w:r>
    </w:p>
    <w:p w14:paraId="17953C21">
      <w:pPr>
        <w:autoSpaceDE/>
        <w:autoSpaceDN/>
        <w:adjustRightInd/>
        <w:spacing w:line="360" w:lineRule="auto"/>
        <w:ind w:firstLine="480" w:firstLineChars="200"/>
        <w:jc w:val="both"/>
        <w:rPr>
          <w:rFonts w:hint="eastAsia" w:ascii="宋体" w:hAnsi="宋体" w:eastAsia="宋体" w:cs="宋体"/>
          <w:b w:val="0"/>
          <w:bCs w:val="0"/>
          <w:color w:val="auto"/>
          <w:kern w:val="2"/>
          <w:sz w:val="24"/>
          <w:szCs w:val="20"/>
          <w:highlight w:val="none"/>
          <w:u w:val="none"/>
          <w:lang w:val="en-US" w:eastAsia="zh-CN" w:bidi="ar-SA"/>
        </w:rPr>
      </w:pPr>
      <w:r>
        <w:rPr>
          <w:rFonts w:hint="eastAsia" w:ascii="宋体" w:hAnsi="宋体" w:eastAsia="宋体" w:cs="宋体"/>
          <w:b w:val="0"/>
          <w:bCs w:val="0"/>
          <w:color w:val="auto"/>
          <w:kern w:val="2"/>
          <w:sz w:val="24"/>
          <w:szCs w:val="20"/>
          <w:highlight w:val="none"/>
          <w:u w:val="none"/>
          <w:lang w:val="en-US" w:eastAsia="zh-CN" w:bidi="ar-SA"/>
        </w:rPr>
        <w:t>六、如中标，分包意向单位确定后，不得擅自变更。</w:t>
      </w:r>
    </w:p>
    <w:p w14:paraId="71B4B639">
      <w:pPr>
        <w:autoSpaceDE/>
        <w:autoSpaceDN/>
        <w:adjustRightInd/>
        <w:spacing w:line="360" w:lineRule="auto"/>
        <w:ind w:firstLine="480" w:firstLineChars="200"/>
        <w:jc w:val="both"/>
        <w:rPr>
          <w:rFonts w:hint="eastAsia" w:ascii="宋体" w:hAnsi="宋体" w:eastAsia="宋体" w:cs="宋体"/>
          <w:b w:val="0"/>
          <w:bCs w:val="0"/>
          <w:color w:val="auto"/>
          <w:kern w:val="2"/>
          <w:sz w:val="24"/>
          <w:szCs w:val="20"/>
          <w:highlight w:val="none"/>
          <w:u w:val="none"/>
          <w:lang w:val="en-US" w:eastAsia="zh-CN" w:bidi="ar-SA"/>
        </w:rPr>
      </w:pPr>
      <w:r>
        <w:rPr>
          <w:rFonts w:hint="eastAsia" w:ascii="宋体" w:hAnsi="宋体" w:eastAsia="宋体" w:cs="宋体"/>
          <w:b w:val="0"/>
          <w:bCs w:val="0"/>
          <w:color w:val="auto"/>
          <w:kern w:val="2"/>
          <w:sz w:val="24"/>
          <w:szCs w:val="20"/>
          <w:highlight w:val="none"/>
          <w:u w:val="none"/>
          <w:lang w:val="en-US" w:eastAsia="zh-CN" w:bidi="ar-SA"/>
        </w:rPr>
        <w:t>七、本分包意向协议在自签署之日起生效，有效期内有效，如获中标资格，有效期延续至合同履行完毕之日。</w:t>
      </w:r>
    </w:p>
    <w:p w14:paraId="4798EC93">
      <w:pPr>
        <w:snapToGrid/>
        <w:spacing w:line="360" w:lineRule="auto"/>
        <w:ind w:firstLine="480" w:firstLineChars="20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八、</w:t>
      </w:r>
      <w:r>
        <w:rPr>
          <w:rFonts w:hint="eastAsia" w:ascii="宋体" w:hAnsi="宋体" w:eastAsia="宋体" w:cs="宋体"/>
          <w:color w:val="auto"/>
          <w:sz w:val="24"/>
          <w:szCs w:val="20"/>
          <w:highlight w:val="none"/>
        </w:rPr>
        <w:t>本企业对上述内容的真实性负责。如有虚假，将依法承担相应责任。以上</w:t>
      </w:r>
      <w:r>
        <w:rPr>
          <w:rFonts w:hint="eastAsia" w:ascii="宋体" w:hAnsi="宋体" w:eastAsia="宋体" w:cs="宋体"/>
          <w:color w:val="auto"/>
          <w:sz w:val="24"/>
          <w:szCs w:val="20"/>
          <w:highlight w:val="none"/>
          <w:lang w:val="en-US" w:eastAsia="zh-CN"/>
        </w:rPr>
        <w:t>分包意向单位</w:t>
      </w:r>
      <w:r>
        <w:rPr>
          <w:rFonts w:hint="eastAsia" w:ascii="宋体" w:hAnsi="宋体" w:eastAsia="宋体" w:cs="宋体"/>
          <w:color w:val="auto"/>
          <w:sz w:val="24"/>
          <w:szCs w:val="20"/>
          <w:highlight w:val="none"/>
        </w:rPr>
        <w:t>，不属于大企业的分支机构，不存在控股股东为大企业的情形，也不存在与大企业的负责人为同一人的情形。</w:t>
      </w:r>
    </w:p>
    <w:p w14:paraId="758BD30D">
      <w:pPr>
        <w:snapToGrid/>
        <w:spacing w:line="360" w:lineRule="auto"/>
        <w:ind w:firstLine="0" w:firstLineChars="0"/>
        <w:jc w:val="both"/>
        <w:rPr>
          <w:rFonts w:hint="eastAsia" w:ascii="宋体" w:hAnsi="宋体" w:eastAsia="宋体" w:cs="宋体"/>
          <w:color w:val="auto"/>
          <w:sz w:val="24"/>
          <w:szCs w:val="20"/>
          <w:highlight w:val="none"/>
        </w:rPr>
      </w:pPr>
    </w:p>
    <w:p w14:paraId="5A8BD858">
      <w:pPr>
        <w:snapToGrid/>
        <w:spacing w:line="360" w:lineRule="auto"/>
        <w:ind w:firstLine="0" w:firstLineChars="0"/>
        <w:jc w:val="both"/>
        <w:rPr>
          <w:rFonts w:hint="eastAsia" w:ascii="宋体" w:hAnsi="宋体" w:eastAsia="宋体" w:cs="宋体"/>
          <w:color w:val="auto"/>
          <w:sz w:val="24"/>
          <w:szCs w:val="20"/>
          <w:highlight w:val="none"/>
        </w:rPr>
      </w:pPr>
    </w:p>
    <w:p w14:paraId="3C624515">
      <w:pPr>
        <w:snapToGrid/>
        <w:spacing w:line="360" w:lineRule="auto"/>
        <w:ind w:firstLine="0" w:firstLineChars="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甲公司全称：（盖章）</w:t>
      </w:r>
    </w:p>
    <w:p w14:paraId="5A93C045">
      <w:pPr>
        <w:snapToGrid/>
        <w:spacing w:line="360" w:lineRule="auto"/>
        <w:ind w:firstLine="0" w:firstLineChars="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法定代表人</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（签字或盖章）</w:t>
      </w:r>
    </w:p>
    <w:p w14:paraId="5433BC43">
      <w:pPr>
        <w:snapToGrid/>
        <w:spacing w:line="360" w:lineRule="auto"/>
        <w:ind w:firstLine="0" w:firstLineChars="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日</w:t>
      </w:r>
    </w:p>
    <w:p w14:paraId="01C6CD67">
      <w:pPr>
        <w:snapToGrid/>
        <w:spacing w:line="360" w:lineRule="auto"/>
        <w:ind w:firstLine="0" w:firstLineChars="0"/>
        <w:jc w:val="both"/>
        <w:rPr>
          <w:rFonts w:hint="eastAsia" w:ascii="宋体" w:hAnsi="宋体" w:eastAsia="宋体" w:cs="宋体"/>
          <w:color w:val="auto"/>
          <w:sz w:val="24"/>
          <w:szCs w:val="20"/>
          <w:highlight w:val="none"/>
        </w:rPr>
      </w:pPr>
    </w:p>
    <w:p w14:paraId="4F8BFFBF">
      <w:pPr>
        <w:snapToGrid/>
        <w:spacing w:line="360" w:lineRule="auto"/>
        <w:ind w:firstLine="0" w:firstLineChars="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乙公司全称：（盖章）</w:t>
      </w:r>
    </w:p>
    <w:p w14:paraId="7E6E0C16">
      <w:pPr>
        <w:snapToGrid/>
        <w:spacing w:line="360" w:lineRule="auto"/>
        <w:ind w:firstLine="0" w:firstLineChars="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法定代表人</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（签字或盖章）</w:t>
      </w:r>
    </w:p>
    <w:p w14:paraId="0574EC1F">
      <w:pPr>
        <w:snapToGrid/>
        <w:spacing w:line="360" w:lineRule="auto"/>
        <w:ind w:firstLine="0" w:firstLineChars="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日</w:t>
      </w:r>
    </w:p>
    <w:p w14:paraId="0DED80EE">
      <w:pPr>
        <w:snapToGrid/>
        <w:spacing w:line="360" w:lineRule="auto"/>
        <w:ind w:firstLine="0" w:firstLineChars="0"/>
        <w:jc w:val="both"/>
        <w:rPr>
          <w:rFonts w:hint="eastAsia" w:ascii="宋体" w:hAnsi="宋体" w:eastAsia="宋体" w:cs="宋体"/>
          <w:color w:val="auto"/>
          <w:sz w:val="24"/>
          <w:szCs w:val="20"/>
          <w:highlight w:val="none"/>
        </w:rPr>
      </w:pPr>
    </w:p>
    <w:p w14:paraId="18EE4D48">
      <w:pPr>
        <w:snapToGrid/>
        <w:spacing w:line="360" w:lineRule="auto"/>
        <w:ind w:firstLine="0" w:firstLineChars="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……公司全称（盖章）</w:t>
      </w:r>
    </w:p>
    <w:p w14:paraId="6005964E">
      <w:pPr>
        <w:snapToGrid/>
        <w:spacing w:line="360" w:lineRule="auto"/>
        <w:ind w:firstLine="0" w:firstLineChars="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法定代表人：（签字或盖章）</w:t>
      </w:r>
    </w:p>
    <w:p w14:paraId="2707167B">
      <w:pPr>
        <w:snapToGrid/>
        <w:spacing w:line="360" w:lineRule="auto"/>
        <w:ind w:firstLine="0" w:firstLineChars="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日</w:t>
      </w:r>
    </w:p>
    <w:p w14:paraId="192FEBC8">
      <w:pPr>
        <w:snapToGrid/>
        <w:spacing w:line="360" w:lineRule="auto"/>
        <w:ind w:firstLine="0" w:firstLineChars="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p w14:paraId="23417049">
      <w:pPr>
        <w:snapToGrid/>
        <w:spacing w:line="360" w:lineRule="auto"/>
        <w:ind w:firstLine="0" w:firstLineChars="0"/>
        <w:jc w:val="both"/>
        <w:rPr>
          <w:rFonts w:hint="eastAsia" w:ascii="宋体" w:hAnsi="宋体" w:eastAsia="宋体" w:cs="宋体"/>
          <w:b/>
          <w:bCs/>
          <w:color w:val="auto"/>
          <w:sz w:val="24"/>
          <w:szCs w:val="20"/>
          <w:highlight w:val="none"/>
        </w:rPr>
      </w:pPr>
    </w:p>
    <w:p w14:paraId="1240AA64">
      <w:pPr>
        <w:snapToGrid/>
        <w:spacing w:line="360" w:lineRule="auto"/>
        <w:ind w:firstLine="0" w:firstLineChars="0"/>
        <w:jc w:val="both"/>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注：1．各方应在本分包意向协议上共同盖章确认。</w:t>
      </w:r>
    </w:p>
    <w:p w14:paraId="337CBEF3">
      <w:pPr>
        <w:snapToGrid/>
        <w:spacing w:line="360" w:lineRule="auto"/>
        <w:ind w:firstLine="482" w:firstLineChars="200"/>
        <w:jc w:val="both"/>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2．本分包意向协议内容将作为签订合同的附件之一。</w:t>
      </w:r>
    </w:p>
    <w:p w14:paraId="180C6505">
      <w:pPr>
        <w:snapToGrid/>
        <w:spacing w:line="360" w:lineRule="auto"/>
        <w:ind w:firstLine="482" w:firstLineChars="200"/>
        <w:jc w:val="both"/>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3</w:t>
      </w:r>
      <w:r>
        <w:rPr>
          <w:rFonts w:hint="eastAsia" w:ascii="宋体" w:hAnsi="宋体" w:eastAsia="宋体" w:cs="宋体"/>
          <w:b/>
          <w:bCs/>
          <w:color w:val="auto"/>
          <w:sz w:val="24"/>
          <w:szCs w:val="20"/>
          <w:highlight w:val="none"/>
        </w:rPr>
        <w:t>．</w:t>
      </w:r>
      <w:r>
        <w:rPr>
          <w:rFonts w:hint="eastAsia" w:ascii="宋体" w:hAnsi="宋体" w:eastAsia="宋体" w:cs="宋体"/>
          <w:b/>
          <w:bCs/>
          <w:color w:val="auto"/>
          <w:kern w:val="2"/>
          <w:sz w:val="24"/>
          <w:szCs w:val="20"/>
          <w:highlight w:val="none"/>
          <w:lang w:val="en-US" w:eastAsia="zh-CN"/>
        </w:rPr>
        <w:t>分包意向协议</w:t>
      </w:r>
      <w:r>
        <w:rPr>
          <w:rFonts w:hint="eastAsia" w:ascii="宋体" w:hAnsi="宋体" w:eastAsia="宋体" w:cs="宋体"/>
          <w:b/>
          <w:bCs/>
          <w:color w:val="auto"/>
          <w:sz w:val="24"/>
          <w:szCs w:val="20"/>
          <w:highlight w:val="none"/>
          <w:lang w:eastAsia="zh-CN"/>
        </w:rPr>
        <w:t>（</w:t>
      </w:r>
      <w:r>
        <w:rPr>
          <w:rFonts w:hint="eastAsia" w:ascii="宋体" w:hAnsi="宋体" w:eastAsia="宋体" w:cs="宋体"/>
          <w:b/>
          <w:bCs/>
          <w:color w:val="auto"/>
          <w:sz w:val="24"/>
          <w:szCs w:val="20"/>
          <w:highlight w:val="none"/>
          <w:lang w:val="en-US" w:eastAsia="zh-CN"/>
        </w:rPr>
        <w:t>如有</w:t>
      </w:r>
      <w:r>
        <w:rPr>
          <w:rFonts w:hint="eastAsia" w:ascii="宋体" w:hAnsi="宋体" w:eastAsia="宋体" w:cs="宋体"/>
          <w:b/>
          <w:bCs/>
          <w:color w:val="auto"/>
          <w:sz w:val="24"/>
          <w:szCs w:val="20"/>
          <w:highlight w:val="none"/>
          <w:lang w:eastAsia="zh-CN"/>
        </w:rPr>
        <w:t>）</w:t>
      </w:r>
      <w:r>
        <w:rPr>
          <w:rFonts w:hint="eastAsia" w:ascii="宋体" w:hAnsi="宋体" w:eastAsia="宋体" w:cs="宋体"/>
          <w:b/>
          <w:bCs/>
          <w:color w:val="auto"/>
          <w:sz w:val="24"/>
          <w:szCs w:val="20"/>
          <w:highlight w:val="none"/>
          <w:lang w:val="en-US" w:eastAsia="zh-CN"/>
        </w:rPr>
        <w:t>适用于大中型企业向一家或者多家小微企业分包且分包承诺小微企业的合同份额占到合同总金额30%以上的。</w:t>
      </w:r>
    </w:p>
    <w:p w14:paraId="456216C9">
      <w:pPr>
        <w:pStyle w:val="58"/>
        <w:spacing w:line="240" w:lineRule="auto"/>
        <w:ind w:right="98" w:firstLine="0" w:firstLineChars="0"/>
        <w:rPr>
          <w:rFonts w:hint="eastAsia" w:ascii="宋体" w:hAnsi="宋体" w:eastAsia="宋体" w:cs="宋体"/>
          <w:b/>
          <w:bCs/>
          <w:color w:val="auto"/>
          <w:sz w:val="24"/>
          <w:szCs w:val="20"/>
          <w:highlight w:val="none"/>
          <w:lang w:val="en-US" w:eastAsia="zh-CN"/>
        </w:rPr>
      </w:pPr>
      <w:r>
        <w:rPr>
          <w:rFonts w:hint="eastAsia" w:ascii="宋体" w:hAnsi="宋体" w:eastAsia="宋体" w:cs="宋体"/>
          <w:b/>
          <w:bCs/>
          <w:snapToGrid w:val="0"/>
          <w:color w:val="auto"/>
          <w:kern w:val="13"/>
          <w:sz w:val="24"/>
          <w:highlight w:val="none"/>
          <w:lang w:val="en-US" w:eastAsia="zh-CN"/>
        </w:rPr>
        <w:t>（此格式不作为废标条款）</w:t>
      </w:r>
    </w:p>
    <w:p w14:paraId="15872021">
      <w:pPr>
        <w:pStyle w:val="9"/>
        <w:rPr>
          <w:rFonts w:hint="eastAsia" w:ascii="宋体" w:hAnsi="宋体" w:eastAsia="宋体" w:cs="宋体"/>
          <w:color w:val="auto"/>
          <w:highlight w:val="none"/>
        </w:rPr>
      </w:pPr>
    </w:p>
    <w:p w14:paraId="54CCFD9E">
      <w:pPr>
        <w:snapToGrid/>
        <w:spacing w:line="360" w:lineRule="auto"/>
        <w:ind w:firstLine="0" w:firstLineChars="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br w:type="page"/>
      </w:r>
      <w:r>
        <w:rPr>
          <w:rFonts w:hint="eastAsia" w:ascii="宋体" w:hAnsi="宋体" w:eastAsia="宋体" w:cs="宋体"/>
          <w:b/>
          <w:color w:val="auto"/>
          <w:sz w:val="24"/>
          <w:szCs w:val="24"/>
          <w:highlight w:val="none"/>
          <w:lang w:val="en-US" w:eastAsia="zh-CN"/>
        </w:rPr>
        <w:t>附件3</w:t>
      </w:r>
    </w:p>
    <w:p w14:paraId="66A2A685">
      <w:pPr>
        <w:pStyle w:val="75"/>
        <w:jc w:val="center"/>
        <w:outlineLvl w:val="3"/>
        <w:rPr>
          <w:rFonts w:hint="eastAsia" w:ascii="宋体" w:hAnsi="宋体" w:eastAsia="宋体" w:cs="宋体"/>
          <w:color w:val="auto"/>
          <w:highlight w:val="none"/>
          <w:lang w:eastAsia="zh-CN"/>
        </w:rPr>
      </w:pPr>
      <w:r>
        <w:rPr>
          <w:rFonts w:ascii="宋体" w:hAnsi="宋体" w:eastAsia="宋体" w:cs="宋体"/>
          <w:b/>
          <w:color w:val="auto"/>
          <w:kern w:val="2"/>
          <w:sz w:val="32"/>
          <w:szCs w:val="32"/>
          <w:highlight w:val="none"/>
          <w:lang w:eastAsia="zh-CN" w:bidi="ar-SA"/>
        </w:rPr>
        <w:t>监狱企业</w:t>
      </w:r>
      <w:r>
        <w:rPr>
          <w:rFonts w:hint="eastAsia" w:ascii="宋体" w:hAnsi="宋体" w:eastAsia="宋体" w:cs="宋体"/>
          <w:b/>
          <w:color w:val="auto"/>
          <w:kern w:val="2"/>
          <w:sz w:val="32"/>
          <w:szCs w:val="32"/>
          <w:highlight w:val="none"/>
          <w:lang w:val="en-US" w:eastAsia="zh-CN" w:bidi="ar-SA"/>
        </w:rPr>
        <w:t>证明文件</w:t>
      </w:r>
      <w:r>
        <w:rPr>
          <w:rFonts w:hint="eastAsia" w:ascii="宋体" w:hAnsi="宋体" w:eastAsia="宋体" w:cs="宋体"/>
          <w:b/>
          <w:color w:val="auto"/>
          <w:kern w:val="2"/>
          <w:sz w:val="32"/>
          <w:szCs w:val="32"/>
          <w:highlight w:val="none"/>
          <w:lang w:eastAsia="zh-CN" w:bidi="ar-SA"/>
        </w:rPr>
        <w:t>（</w:t>
      </w:r>
      <w:r>
        <w:rPr>
          <w:rFonts w:hint="eastAsia" w:ascii="宋体" w:hAnsi="宋体" w:eastAsia="宋体" w:cs="宋体"/>
          <w:b/>
          <w:color w:val="auto"/>
          <w:kern w:val="2"/>
          <w:sz w:val="32"/>
          <w:szCs w:val="32"/>
          <w:highlight w:val="none"/>
          <w:lang w:val="en-US" w:eastAsia="zh-CN" w:bidi="ar-SA"/>
        </w:rPr>
        <w:t>如有</w:t>
      </w:r>
      <w:r>
        <w:rPr>
          <w:rFonts w:hint="eastAsia" w:ascii="宋体" w:hAnsi="宋体" w:eastAsia="宋体" w:cs="宋体"/>
          <w:b/>
          <w:color w:val="auto"/>
          <w:kern w:val="2"/>
          <w:sz w:val="32"/>
          <w:szCs w:val="32"/>
          <w:highlight w:val="none"/>
          <w:lang w:eastAsia="zh-CN" w:bidi="ar-SA"/>
        </w:rPr>
        <w:t>）</w:t>
      </w:r>
    </w:p>
    <w:p w14:paraId="0F0DB005">
      <w:pPr>
        <w:pStyle w:val="75"/>
        <w:ind w:firstLine="480"/>
        <w:rPr>
          <w:rFonts w:hint="eastAsia" w:ascii="宋体" w:hAnsi="宋体" w:eastAsia="宋体" w:cs="宋体"/>
          <w:color w:val="auto"/>
          <w:highlight w:val="none"/>
          <w:lang w:val="en-US" w:eastAsia="zh-CN"/>
        </w:rPr>
      </w:pPr>
    </w:p>
    <w:p w14:paraId="24A02796">
      <w:pPr>
        <w:pStyle w:val="75"/>
        <w:ind w:firstLine="480"/>
        <w:rPr>
          <w:rFonts w:hint="eastAsia" w:ascii="宋体" w:hAnsi="宋体" w:eastAsia="宋体" w:cs="宋体"/>
          <w:color w:val="auto"/>
          <w:highlight w:val="none"/>
          <w:lang w:val="en-US" w:eastAsia="zh-CN"/>
        </w:rPr>
      </w:pPr>
    </w:p>
    <w:p w14:paraId="79024DE4">
      <w:pPr>
        <w:pStyle w:val="75"/>
        <w:ind w:firstLine="480"/>
        <w:rPr>
          <w:rFonts w:hint="eastAsia" w:ascii="宋体" w:hAnsi="宋体" w:eastAsia="宋体" w:cs="宋体"/>
          <w:color w:val="auto"/>
          <w:highlight w:val="none"/>
          <w:lang w:val="en-US" w:eastAsia="zh-CN"/>
        </w:rPr>
      </w:pPr>
    </w:p>
    <w:p w14:paraId="18141821">
      <w:pPr>
        <w:pStyle w:val="75"/>
        <w:ind w:firstLine="480"/>
        <w:rPr>
          <w:rFonts w:hint="eastAsia" w:ascii="宋体" w:hAnsi="宋体" w:eastAsia="宋体" w:cs="宋体"/>
          <w:color w:val="auto"/>
          <w:highlight w:val="none"/>
          <w:lang w:val="en-US" w:eastAsia="zh-CN"/>
        </w:rPr>
      </w:pPr>
    </w:p>
    <w:p w14:paraId="6E384817">
      <w:pPr>
        <w:pStyle w:val="75"/>
        <w:ind w:firstLine="480"/>
        <w:rPr>
          <w:rFonts w:hint="eastAsia" w:ascii="宋体" w:hAnsi="宋体" w:eastAsia="宋体" w:cs="宋体"/>
          <w:color w:val="auto"/>
          <w:highlight w:val="none"/>
          <w:lang w:val="en-US" w:eastAsia="zh-CN"/>
        </w:rPr>
      </w:pPr>
    </w:p>
    <w:p w14:paraId="50410891">
      <w:pPr>
        <w:pStyle w:val="75"/>
        <w:ind w:firstLine="480"/>
        <w:rPr>
          <w:rFonts w:hint="eastAsia" w:ascii="宋体" w:hAnsi="宋体" w:eastAsia="宋体" w:cs="宋体"/>
          <w:color w:val="auto"/>
          <w:highlight w:val="none"/>
          <w:lang w:val="en-US" w:eastAsia="zh-CN"/>
        </w:rPr>
      </w:pPr>
    </w:p>
    <w:p w14:paraId="448F6590">
      <w:pPr>
        <w:pStyle w:val="75"/>
        <w:ind w:firstLine="480"/>
        <w:rPr>
          <w:rFonts w:hint="eastAsia" w:ascii="宋体" w:hAnsi="宋体" w:eastAsia="宋体" w:cs="宋体"/>
          <w:color w:val="auto"/>
          <w:highlight w:val="none"/>
          <w:lang w:val="en-US" w:eastAsia="zh-CN"/>
        </w:rPr>
      </w:pPr>
    </w:p>
    <w:p w14:paraId="76796F38">
      <w:pPr>
        <w:pStyle w:val="75"/>
        <w:ind w:firstLine="480"/>
        <w:rPr>
          <w:rFonts w:hint="eastAsia" w:ascii="宋体" w:hAnsi="宋体" w:eastAsia="宋体" w:cs="宋体"/>
          <w:color w:val="auto"/>
          <w:highlight w:val="none"/>
          <w:lang w:val="en-US" w:eastAsia="zh-CN"/>
        </w:rPr>
      </w:pPr>
    </w:p>
    <w:p w14:paraId="45E283CC">
      <w:pPr>
        <w:pStyle w:val="75"/>
        <w:ind w:firstLine="480"/>
        <w:rPr>
          <w:rFonts w:hint="eastAsia" w:ascii="宋体" w:hAnsi="宋体" w:eastAsia="宋体" w:cs="宋体"/>
          <w:color w:val="auto"/>
          <w:highlight w:val="none"/>
          <w:lang w:val="en-US" w:eastAsia="zh-CN"/>
        </w:rPr>
      </w:pPr>
    </w:p>
    <w:p w14:paraId="21C0BC97">
      <w:pPr>
        <w:pStyle w:val="75"/>
        <w:ind w:firstLine="480"/>
        <w:rPr>
          <w:rFonts w:hint="eastAsia" w:ascii="宋体" w:hAnsi="宋体" w:eastAsia="宋体" w:cs="宋体"/>
          <w:color w:val="auto"/>
          <w:highlight w:val="none"/>
          <w:lang w:val="en-US" w:eastAsia="zh-CN"/>
        </w:rPr>
      </w:pPr>
    </w:p>
    <w:p w14:paraId="6A8232F9">
      <w:pPr>
        <w:pStyle w:val="75"/>
        <w:ind w:firstLine="480"/>
        <w:rPr>
          <w:rFonts w:hint="eastAsia" w:ascii="宋体" w:hAnsi="宋体" w:eastAsia="宋体" w:cs="宋体"/>
          <w:color w:val="auto"/>
          <w:highlight w:val="none"/>
          <w:lang w:val="en-US" w:eastAsia="zh-CN"/>
        </w:rPr>
      </w:pPr>
    </w:p>
    <w:p w14:paraId="51017AF7">
      <w:pPr>
        <w:pStyle w:val="75"/>
        <w:ind w:firstLine="480"/>
        <w:rPr>
          <w:rFonts w:hint="eastAsia" w:ascii="宋体" w:hAnsi="宋体" w:eastAsia="宋体" w:cs="宋体"/>
          <w:color w:val="auto"/>
          <w:highlight w:val="none"/>
          <w:lang w:val="en-US" w:eastAsia="zh-CN"/>
        </w:rPr>
      </w:pPr>
    </w:p>
    <w:p w14:paraId="32070B78">
      <w:pPr>
        <w:pStyle w:val="75"/>
        <w:ind w:firstLine="480"/>
        <w:rPr>
          <w:rFonts w:hint="eastAsia" w:ascii="宋体" w:hAnsi="宋体" w:eastAsia="宋体" w:cs="宋体"/>
          <w:color w:val="auto"/>
          <w:highlight w:val="none"/>
          <w:lang w:val="en-US" w:eastAsia="zh-CN"/>
        </w:rPr>
      </w:pPr>
    </w:p>
    <w:p w14:paraId="4619A5D0">
      <w:pPr>
        <w:pStyle w:val="75"/>
        <w:ind w:firstLine="480"/>
        <w:rPr>
          <w:rFonts w:hint="eastAsia" w:ascii="宋体" w:hAnsi="宋体" w:eastAsia="宋体" w:cs="宋体"/>
          <w:color w:val="auto"/>
          <w:highlight w:val="none"/>
          <w:lang w:val="en-US" w:eastAsia="zh-CN"/>
        </w:rPr>
      </w:pPr>
    </w:p>
    <w:p w14:paraId="3A485E8A">
      <w:pPr>
        <w:pStyle w:val="75"/>
        <w:ind w:firstLine="480"/>
        <w:rPr>
          <w:rFonts w:hint="eastAsia" w:ascii="宋体" w:hAnsi="宋体" w:eastAsia="宋体" w:cs="宋体"/>
          <w:color w:val="auto"/>
          <w:highlight w:val="none"/>
          <w:lang w:val="en-US" w:eastAsia="zh-CN"/>
        </w:rPr>
      </w:pPr>
    </w:p>
    <w:p w14:paraId="17BDCECF">
      <w:pPr>
        <w:pStyle w:val="75"/>
        <w:ind w:firstLine="480"/>
        <w:rPr>
          <w:rFonts w:hint="eastAsia" w:ascii="宋体" w:hAnsi="宋体" w:eastAsia="宋体" w:cs="宋体"/>
          <w:color w:val="auto"/>
          <w:highlight w:val="none"/>
          <w:lang w:val="en-US" w:eastAsia="zh-CN"/>
        </w:rPr>
      </w:pPr>
    </w:p>
    <w:p w14:paraId="5FC73B2F">
      <w:pPr>
        <w:pStyle w:val="75"/>
        <w:ind w:firstLine="480"/>
        <w:rPr>
          <w:rFonts w:hint="eastAsia" w:ascii="宋体" w:hAnsi="宋体" w:eastAsia="宋体" w:cs="宋体"/>
          <w:color w:val="auto"/>
          <w:highlight w:val="none"/>
          <w:lang w:val="en-US" w:eastAsia="zh-CN"/>
        </w:rPr>
      </w:pPr>
    </w:p>
    <w:p w14:paraId="3BDD779C">
      <w:pPr>
        <w:pStyle w:val="75"/>
        <w:ind w:firstLine="480"/>
        <w:rPr>
          <w:rFonts w:hint="eastAsia" w:ascii="宋体" w:hAnsi="宋体" w:eastAsia="宋体" w:cs="宋体"/>
          <w:color w:val="auto"/>
          <w:highlight w:val="none"/>
          <w:lang w:val="en-US" w:eastAsia="zh-CN"/>
        </w:rPr>
      </w:pPr>
    </w:p>
    <w:p w14:paraId="08FCA4BE">
      <w:pPr>
        <w:pStyle w:val="75"/>
        <w:ind w:firstLine="480"/>
        <w:rPr>
          <w:rFonts w:hint="eastAsia" w:ascii="宋体" w:hAnsi="宋体" w:eastAsia="宋体" w:cs="宋体"/>
          <w:color w:val="auto"/>
          <w:highlight w:val="none"/>
          <w:lang w:val="en-US" w:eastAsia="zh-CN"/>
        </w:rPr>
      </w:pPr>
    </w:p>
    <w:p w14:paraId="0F3FD662">
      <w:pPr>
        <w:pStyle w:val="75"/>
        <w:ind w:firstLine="480"/>
        <w:rPr>
          <w:rFonts w:hint="eastAsia" w:ascii="宋体" w:hAnsi="宋体" w:eastAsia="宋体" w:cs="宋体"/>
          <w:color w:val="auto"/>
          <w:highlight w:val="none"/>
          <w:lang w:val="en-US" w:eastAsia="zh-CN"/>
        </w:rPr>
      </w:pPr>
    </w:p>
    <w:p w14:paraId="614E8730">
      <w:pPr>
        <w:pStyle w:val="75"/>
        <w:ind w:firstLine="480"/>
        <w:rPr>
          <w:rFonts w:hint="eastAsia" w:ascii="宋体" w:hAnsi="宋体" w:eastAsia="宋体" w:cs="宋体"/>
          <w:color w:val="auto"/>
          <w:highlight w:val="none"/>
          <w:lang w:val="en-US" w:eastAsia="zh-CN"/>
        </w:rPr>
      </w:pPr>
    </w:p>
    <w:p w14:paraId="3A3CDC02">
      <w:pPr>
        <w:pStyle w:val="75"/>
        <w:ind w:firstLine="480"/>
        <w:rPr>
          <w:rFonts w:hint="eastAsia" w:ascii="宋体" w:hAnsi="宋体" w:eastAsia="宋体" w:cs="宋体"/>
          <w:color w:val="auto"/>
          <w:highlight w:val="none"/>
          <w:lang w:val="en-US" w:eastAsia="zh-CN"/>
        </w:rPr>
      </w:pPr>
    </w:p>
    <w:p w14:paraId="739C56C9">
      <w:pPr>
        <w:pStyle w:val="75"/>
        <w:ind w:firstLine="480"/>
        <w:rPr>
          <w:rFonts w:hint="eastAsia" w:ascii="宋体" w:hAnsi="宋体" w:eastAsia="宋体" w:cs="宋体"/>
          <w:color w:val="auto"/>
          <w:highlight w:val="none"/>
          <w:lang w:val="en-US" w:eastAsia="zh-CN"/>
        </w:rPr>
      </w:pPr>
    </w:p>
    <w:p w14:paraId="59FCF553">
      <w:pPr>
        <w:pStyle w:val="75"/>
        <w:ind w:firstLine="480"/>
        <w:rPr>
          <w:rFonts w:hint="eastAsia" w:ascii="宋体" w:hAnsi="宋体" w:eastAsia="宋体" w:cs="宋体"/>
          <w:color w:val="auto"/>
          <w:highlight w:val="none"/>
          <w:lang w:val="en-US" w:eastAsia="zh-CN"/>
        </w:rPr>
      </w:pPr>
    </w:p>
    <w:p w14:paraId="6F781868">
      <w:pPr>
        <w:pStyle w:val="75"/>
        <w:ind w:firstLine="480"/>
        <w:rPr>
          <w:rFonts w:hint="eastAsia" w:ascii="宋体" w:hAnsi="宋体" w:eastAsia="宋体" w:cs="宋体"/>
          <w:color w:val="auto"/>
          <w:highlight w:val="none"/>
          <w:lang w:val="en-US" w:eastAsia="zh-CN"/>
        </w:rPr>
      </w:pPr>
    </w:p>
    <w:p w14:paraId="02AE6A8B">
      <w:pPr>
        <w:pStyle w:val="75"/>
        <w:ind w:firstLine="480"/>
        <w:rPr>
          <w:rFonts w:hint="eastAsia" w:ascii="宋体" w:hAnsi="宋体" w:eastAsia="宋体" w:cs="宋体"/>
          <w:color w:val="auto"/>
          <w:highlight w:val="none"/>
          <w:lang w:val="en-US" w:eastAsia="zh-CN"/>
        </w:rPr>
      </w:pPr>
    </w:p>
    <w:p w14:paraId="401D7687">
      <w:pPr>
        <w:pStyle w:val="75"/>
        <w:ind w:firstLine="480"/>
        <w:rPr>
          <w:rFonts w:hint="eastAsia" w:ascii="宋体" w:hAnsi="宋体" w:eastAsia="宋体" w:cs="宋体"/>
          <w:color w:val="auto"/>
          <w:highlight w:val="none"/>
          <w:lang w:val="en-US" w:eastAsia="zh-CN"/>
        </w:rPr>
      </w:pPr>
    </w:p>
    <w:p w14:paraId="6991D10F">
      <w:pPr>
        <w:pStyle w:val="75"/>
        <w:ind w:firstLine="480"/>
        <w:rPr>
          <w:rFonts w:hint="eastAsia" w:ascii="宋体" w:hAnsi="宋体" w:eastAsia="宋体" w:cs="宋体"/>
          <w:color w:val="auto"/>
          <w:highlight w:val="none"/>
          <w:lang w:val="en-US" w:eastAsia="zh-CN"/>
        </w:rPr>
      </w:pPr>
    </w:p>
    <w:p w14:paraId="48FC2052">
      <w:pPr>
        <w:pStyle w:val="75"/>
        <w:ind w:firstLine="480"/>
        <w:rPr>
          <w:rFonts w:hint="eastAsia" w:ascii="宋体" w:hAnsi="宋体" w:eastAsia="宋体" w:cs="宋体"/>
          <w:color w:val="auto"/>
          <w:highlight w:val="none"/>
          <w:lang w:val="en-US" w:eastAsia="zh-CN"/>
        </w:rPr>
      </w:pPr>
    </w:p>
    <w:p w14:paraId="7CEA28D8">
      <w:pPr>
        <w:pStyle w:val="75"/>
        <w:ind w:firstLine="480"/>
        <w:rPr>
          <w:rFonts w:hint="eastAsia" w:ascii="宋体" w:hAnsi="宋体" w:eastAsia="宋体" w:cs="宋体"/>
          <w:color w:val="auto"/>
          <w:highlight w:val="none"/>
          <w:lang w:val="en-US" w:eastAsia="zh-CN"/>
        </w:rPr>
      </w:pPr>
    </w:p>
    <w:p w14:paraId="302CC29F">
      <w:pPr>
        <w:spacing w:line="240" w:lineRule="auto"/>
        <w:ind w:firstLine="422" w:firstLineChars="200"/>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13CB2F1">
      <w:pPr>
        <w:spacing w:line="240" w:lineRule="auto"/>
        <w:ind w:firstLine="843" w:firstLineChars="400"/>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2、监狱企业参与投标的，需提供由省级以上监狱管理局、戒毒管理局（含新疆生产建设兵团）出具的属于监狱企业的证明文件。监狱企业视同小微企业，无需再提供《中小企业声明函》。</w:t>
      </w:r>
    </w:p>
    <w:p w14:paraId="0CFFF8AD">
      <w:pPr>
        <w:pStyle w:val="58"/>
        <w:spacing w:line="240" w:lineRule="auto"/>
        <w:ind w:right="98" w:firstLine="0" w:firstLineChars="0"/>
        <w:rPr>
          <w:rFonts w:hint="eastAsia" w:ascii="宋体" w:hAnsi="宋体" w:eastAsia="宋体" w:cs="宋体"/>
          <w:b/>
          <w:bCs/>
          <w:snapToGrid w:val="0"/>
          <w:color w:val="auto"/>
          <w:kern w:val="13"/>
          <w:sz w:val="24"/>
          <w:highlight w:val="none"/>
          <w:lang w:val="en-US" w:eastAsia="zh-CN"/>
        </w:rPr>
      </w:pPr>
    </w:p>
    <w:p w14:paraId="72A504B2">
      <w:pPr>
        <w:pStyle w:val="58"/>
        <w:spacing w:line="240" w:lineRule="auto"/>
        <w:ind w:right="98" w:firstLine="0" w:firstLineChars="0"/>
        <w:rPr>
          <w:rFonts w:hint="eastAsia" w:ascii="宋体" w:hAnsi="宋体" w:eastAsia="宋体" w:cs="宋体"/>
          <w:b/>
          <w:bCs/>
          <w:snapToGrid w:val="0"/>
          <w:color w:val="auto"/>
          <w:kern w:val="13"/>
          <w:sz w:val="24"/>
          <w:highlight w:val="none"/>
          <w:lang w:val="en-US" w:eastAsia="zh-CN"/>
        </w:rPr>
      </w:pPr>
    </w:p>
    <w:p w14:paraId="123144DE">
      <w:pPr>
        <w:pStyle w:val="58"/>
        <w:spacing w:line="240" w:lineRule="auto"/>
        <w:ind w:right="98" w:firstLine="0" w:firstLineChars="0"/>
        <w:rPr>
          <w:rFonts w:hint="eastAsia" w:ascii="宋体" w:hAnsi="宋体" w:eastAsia="宋体" w:cs="宋体"/>
          <w:b/>
          <w:bCs/>
          <w:snapToGrid w:val="0"/>
          <w:color w:val="auto"/>
          <w:kern w:val="13"/>
          <w:sz w:val="24"/>
          <w:highlight w:val="none"/>
          <w:lang w:val="en-US" w:eastAsia="zh-CN"/>
        </w:rPr>
      </w:pPr>
      <w:r>
        <w:rPr>
          <w:rFonts w:hint="eastAsia" w:ascii="宋体" w:hAnsi="宋体" w:eastAsia="宋体" w:cs="宋体"/>
          <w:b/>
          <w:bCs/>
          <w:snapToGrid w:val="0"/>
          <w:color w:val="auto"/>
          <w:kern w:val="13"/>
          <w:sz w:val="24"/>
          <w:highlight w:val="none"/>
          <w:lang w:val="en-US" w:eastAsia="zh-CN"/>
        </w:rPr>
        <w:t>（此格式不作为废标条款）</w:t>
      </w:r>
    </w:p>
    <w:p w14:paraId="7564F3C1">
      <w:pPr>
        <w:pStyle w:val="75"/>
        <w:ind w:firstLine="0"/>
        <w:outlineLvl w:val="9"/>
        <w:rPr>
          <w:rFonts w:ascii="宋体" w:hAnsi="宋体" w:eastAsia="宋体" w:cs="宋体"/>
          <w:color w:val="auto"/>
          <w:highlight w:val="none"/>
        </w:rPr>
      </w:pPr>
      <w:r>
        <w:rPr>
          <w:rFonts w:ascii="宋体" w:hAnsi="宋体" w:eastAsia="宋体" w:cs="宋体"/>
          <w:color w:val="auto"/>
          <w:highlight w:val="none"/>
        </w:rPr>
        <w:br w:type="page"/>
      </w:r>
      <w:r>
        <w:rPr>
          <w:rFonts w:hint="eastAsia" w:ascii="宋体" w:hAnsi="宋体" w:eastAsia="宋体" w:cs="宋体"/>
          <w:b/>
          <w:color w:val="auto"/>
          <w:sz w:val="24"/>
          <w:szCs w:val="24"/>
          <w:highlight w:val="none"/>
          <w:lang w:val="en-US" w:eastAsia="zh-CN"/>
        </w:rPr>
        <w:t>附件4</w:t>
      </w:r>
    </w:p>
    <w:p w14:paraId="4E9A686F">
      <w:pPr>
        <w:pStyle w:val="75"/>
        <w:ind w:firstLine="480"/>
        <w:rPr>
          <w:rFonts w:ascii="宋体" w:hAnsi="宋体" w:eastAsia="宋体" w:cs="宋体"/>
          <w:color w:val="auto"/>
          <w:highlight w:val="none"/>
        </w:rPr>
      </w:pPr>
    </w:p>
    <w:p w14:paraId="1912FE48">
      <w:pPr>
        <w:pStyle w:val="75"/>
        <w:jc w:val="center"/>
        <w:outlineLvl w:val="3"/>
        <w:rPr>
          <w:rFonts w:ascii="宋体" w:hAnsi="宋体" w:eastAsia="宋体" w:cs="宋体"/>
          <w:b/>
          <w:color w:val="auto"/>
          <w:kern w:val="2"/>
          <w:sz w:val="32"/>
          <w:szCs w:val="32"/>
          <w:highlight w:val="none"/>
          <w:lang w:eastAsia="zh-CN" w:bidi="ar-SA"/>
        </w:rPr>
      </w:pPr>
      <w:r>
        <w:rPr>
          <w:rFonts w:ascii="宋体" w:hAnsi="宋体" w:eastAsia="宋体" w:cs="宋体"/>
          <w:b/>
          <w:color w:val="auto"/>
          <w:kern w:val="2"/>
          <w:sz w:val="32"/>
          <w:szCs w:val="32"/>
          <w:highlight w:val="none"/>
          <w:lang w:eastAsia="zh-CN" w:bidi="ar-SA"/>
        </w:rPr>
        <w:t>残疾人福利性单位声明函</w:t>
      </w:r>
      <w:r>
        <w:rPr>
          <w:rFonts w:hint="eastAsia" w:ascii="宋体" w:hAnsi="宋体" w:eastAsia="宋体" w:cs="宋体"/>
          <w:b/>
          <w:color w:val="auto"/>
          <w:kern w:val="2"/>
          <w:sz w:val="32"/>
          <w:szCs w:val="32"/>
          <w:highlight w:val="none"/>
          <w:lang w:eastAsia="zh-CN" w:bidi="ar-SA"/>
        </w:rPr>
        <w:t>（</w:t>
      </w:r>
      <w:r>
        <w:rPr>
          <w:rFonts w:hint="eastAsia" w:ascii="宋体" w:hAnsi="宋体" w:eastAsia="宋体" w:cs="宋体"/>
          <w:b/>
          <w:color w:val="auto"/>
          <w:kern w:val="2"/>
          <w:sz w:val="32"/>
          <w:szCs w:val="32"/>
          <w:highlight w:val="none"/>
          <w:lang w:val="en-US" w:eastAsia="zh-CN" w:bidi="ar-SA"/>
        </w:rPr>
        <w:t>如有</w:t>
      </w:r>
      <w:r>
        <w:rPr>
          <w:rFonts w:hint="eastAsia" w:ascii="宋体" w:hAnsi="宋体" w:eastAsia="宋体" w:cs="宋体"/>
          <w:b/>
          <w:color w:val="auto"/>
          <w:kern w:val="2"/>
          <w:sz w:val="32"/>
          <w:szCs w:val="32"/>
          <w:highlight w:val="none"/>
          <w:lang w:eastAsia="zh-CN" w:bidi="ar-SA"/>
        </w:rPr>
        <w:t>）</w:t>
      </w:r>
    </w:p>
    <w:p w14:paraId="7C91AACF">
      <w:pPr>
        <w:pStyle w:val="75"/>
        <w:spacing w:line="360" w:lineRule="auto"/>
        <w:ind w:firstLine="480" w:firstLineChars="200"/>
        <w:rPr>
          <w:rFonts w:hint="eastAsia" w:ascii="宋体" w:hAnsi="宋体" w:eastAsia="宋体" w:cs="宋体"/>
          <w:color w:val="auto"/>
          <w:sz w:val="24"/>
          <w:szCs w:val="20"/>
          <w:highlight w:val="none"/>
        </w:rPr>
      </w:pPr>
    </w:p>
    <w:p w14:paraId="3E211CC5">
      <w:pPr>
        <w:pStyle w:val="75"/>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sz w:val="24"/>
          <w:szCs w:val="20"/>
          <w:highlight w:val="none"/>
        </w:rPr>
        <w:t>致：</w:t>
      </w:r>
      <w:r>
        <w:rPr>
          <w:rFonts w:hint="eastAsia" w:ascii="宋体" w:hAnsi="宋体" w:eastAsia="宋体" w:cs="宋体"/>
          <w:color w:val="auto"/>
          <w:sz w:val="24"/>
          <w:szCs w:val="20"/>
          <w:highlight w:val="none"/>
          <w:u w:val="single"/>
        </w:rPr>
        <w:t xml:space="preserve">        （招标人）</w:t>
      </w:r>
      <w:r>
        <w:rPr>
          <w:rFonts w:hint="eastAsia" w:ascii="宋体" w:hAnsi="宋体" w:eastAsia="宋体" w:cs="宋体"/>
          <w:color w:val="auto"/>
          <w:sz w:val="24"/>
          <w:szCs w:val="20"/>
          <w:highlight w:val="none"/>
          <w:u w:val="single"/>
          <w:lang w:val="en-US" w:eastAsia="zh-CN"/>
        </w:rPr>
        <w:t xml:space="preserve">         </w:t>
      </w:r>
    </w:p>
    <w:p w14:paraId="19B91E63">
      <w:pPr>
        <w:pStyle w:val="75"/>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本单位郑重声明，根据《财政部 民政部 中国残疾人联合会关于促进残疾人就业政府采购政策的通知》</w:t>
      </w:r>
      <w:r>
        <w:rPr>
          <w:rFonts w:hint="eastAsia" w:ascii="宋体" w:hAnsi="宋体" w:eastAsia="宋体" w:cs="宋体"/>
          <w:color w:val="auto"/>
          <w:sz w:val="24"/>
          <w:szCs w:val="24"/>
          <w:highlight w:val="none"/>
        </w:rPr>
        <w:t>（财库〔2017〕141号）</w:t>
      </w:r>
      <w:r>
        <w:rPr>
          <w:rFonts w:ascii="宋体" w:hAnsi="宋体" w:eastAsia="宋体" w:cs="宋体"/>
          <w:color w:val="auto"/>
          <w:sz w:val="24"/>
          <w:szCs w:val="24"/>
          <w:highlight w:val="none"/>
        </w:rPr>
        <w:t>的规定，本单位为符合条件的残疾人福利性单位，且本单位参加</w:t>
      </w:r>
      <w:r>
        <w:rPr>
          <w:rFonts w:hint="eastAsia" w:ascii="宋体" w:hAnsi="宋体" w:eastAsia="宋体" w:cs="宋体"/>
          <w:color w:val="auto"/>
          <w:sz w:val="24"/>
          <w:szCs w:val="20"/>
          <w:highlight w:val="none"/>
          <w:u w:val="single"/>
        </w:rPr>
        <w:t xml:space="preserve">        （招标人）</w:t>
      </w:r>
      <w:r>
        <w:rPr>
          <w:rFonts w:hint="eastAsia" w:ascii="宋体" w:hAnsi="宋体" w:eastAsia="宋体" w:cs="宋体"/>
          <w:color w:val="auto"/>
          <w:sz w:val="24"/>
          <w:szCs w:val="20"/>
          <w:highlight w:val="none"/>
          <w:u w:val="single"/>
          <w:lang w:val="en-US" w:eastAsia="zh-CN"/>
        </w:rPr>
        <w:t xml:space="preserve">         </w:t>
      </w:r>
      <w:r>
        <w:rPr>
          <w:rFonts w:ascii="宋体" w:hAnsi="宋体" w:eastAsia="宋体" w:cs="宋体"/>
          <w:color w:val="auto"/>
          <w:sz w:val="24"/>
          <w:szCs w:val="24"/>
          <w:highlight w:val="none"/>
        </w:rPr>
        <w:t>单位的</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u w:val="single"/>
          <w:lang w:val="en-US" w:eastAsia="zh-CN"/>
        </w:rPr>
        <w:t>项目名称</w:t>
      </w:r>
      <w:r>
        <w:rPr>
          <w:rFonts w:hint="eastAsia" w:ascii="宋体" w:hAnsi="宋体" w:eastAsia="宋体" w:cs="宋体"/>
          <w:color w:val="auto"/>
          <w:sz w:val="24"/>
          <w:szCs w:val="20"/>
          <w:highlight w:val="none"/>
          <w:u w:val="single"/>
        </w:rPr>
        <w:t>）</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u w:val="none"/>
          <w:lang w:val="en-US" w:eastAsia="zh-CN"/>
        </w:rPr>
        <w:t>项目</w:t>
      </w:r>
      <w:r>
        <w:rPr>
          <w:rFonts w:hint="eastAsia" w:ascii="宋体" w:hAnsi="宋体" w:eastAsia="宋体" w:cs="宋体"/>
          <w:color w:val="auto"/>
          <w:sz w:val="24"/>
          <w:szCs w:val="24"/>
          <w:highlight w:val="none"/>
          <w:lang w:val="en-US" w:eastAsia="zh-CN"/>
        </w:rPr>
        <w:t>招标</w:t>
      </w:r>
      <w:r>
        <w:rPr>
          <w:rFonts w:ascii="宋体" w:hAnsi="宋体" w:eastAsia="宋体" w:cs="宋体"/>
          <w:color w:val="auto"/>
          <w:sz w:val="24"/>
          <w:szCs w:val="24"/>
          <w:highlight w:val="none"/>
        </w:rPr>
        <w:t>活动</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由本单位承担工程。</w:t>
      </w:r>
    </w:p>
    <w:p w14:paraId="37DA3956">
      <w:pPr>
        <w:pStyle w:val="75"/>
        <w:spacing w:line="360" w:lineRule="auto"/>
        <w:ind w:firstLine="480" w:firstLineChars="200"/>
        <w:rPr>
          <w:rFonts w:ascii="宋体" w:hAnsi="宋体" w:eastAsia="宋体" w:cs="宋体"/>
          <w:color w:val="auto"/>
          <w:highlight w:val="none"/>
        </w:rPr>
      </w:pPr>
      <w:r>
        <w:rPr>
          <w:rFonts w:ascii="宋体" w:hAnsi="宋体" w:eastAsia="宋体" w:cs="宋体"/>
          <w:color w:val="auto"/>
          <w:sz w:val="24"/>
          <w:szCs w:val="24"/>
          <w:highlight w:val="none"/>
        </w:rPr>
        <w:t>本单位对上述声明的真实性负责。如有虚假，将依法承担相应责任。</w:t>
      </w:r>
    </w:p>
    <w:p w14:paraId="6071A585">
      <w:pPr>
        <w:snapToGrid/>
        <w:spacing w:line="360" w:lineRule="auto"/>
        <w:ind w:firstLine="5040" w:firstLineChars="2100"/>
        <w:jc w:val="both"/>
        <w:rPr>
          <w:rFonts w:hint="eastAsia" w:ascii="宋体" w:hAnsi="宋体" w:eastAsia="宋体" w:cs="宋体"/>
          <w:color w:val="auto"/>
          <w:sz w:val="24"/>
          <w:szCs w:val="20"/>
          <w:highlight w:val="none"/>
          <w:lang w:val="en-US" w:eastAsia="zh-CN"/>
        </w:rPr>
      </w:pPr>
    </w:p>
    <w:p w14:paraId="79B629AE">
      <w:pPr>
        <w:snapToGrid/>
        <w:spacing w:line="360" w:lineRule="auto"/>
        <w:ind w:firstLine="5040" w:firstLineChars="2100"/>
        <w:jc w:val="both"/>
        <w:rPr>
          <w:rFonts w:hint="eastAsia" w:ascii="宋体" w:hAnsi="宋体" w:eastAsia="宋体" w:cs="宋体"/>
          <w:color w:val="auto"/>
          <w:sz w:val="24"/>
          <w:szCs w:val="20"/>
          <w:highlight w:val="none"/>
          <w:lang w:val="en-US" w:eastAsia="zh-CN"/>
        </w:rPr>
      </w:pPr>
    </w:p>
    <w:p w14:paraId="238862BA">
      <w:pPr>
        <w:pStyle w:val="9"/>
        <w:rPr>
          <w:rFonts w:hint="eastAsia" w:ascii="宋体" w:hAnsi="宋体" w:eastAsia="宋体" w:cs="宋体"/>
          <w:color w:val="auto"/>
          <w:sz w:val="24"/>
          <w:szCs w:val="20"/>
          <w:highlight w:val="none"/>
          <w:lang w:val="en-US" w:eastAsia="zh-CN"/>
        </w:rPr>
      </w:pPr>
    </w:p>
    <w:p w14:paraId="06673735">
      <w:pPr>
        <w:pStyle w:val="9"/>
        <w:rPr>
          <w:rFonts w:hint="eastAsia" w:ascii="宋体" w:hAnsi="宋体" w:eastAsia="宋体" w:cs="宋体"/>
          <w:color w:val="auto"/>
          <w:sz w:val="24"/>
          <w:szCs w:val="20"/>
          <w:highlight w:val="none"/>
          <w:lang w:val="en-US" w:eastAsia="zh-CN"/>
        </w:rPr>
      </w:pPr>
    </w:p>
    <w:p w14:paraId="25B84701">
      <w:pPr>
        <w:spacing w:line="360" w:lineRule="auto"/>
        <w:ind w:firstLine="5040" w:firstLineChars="210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投标人</w:t>
      </w:r>
      <w:r>
        <w:rPr>
          <w:rFonts w:hint="eastAsia" w:ascii="宋体" w:hAnsi="宋体" w:eastAsia="宋体" w:cs="宋体"/>
          <w:color w:val="auto"/>
          <w:sz w:val="24"/>
          <w:szCs w:val="20"/>
          <w:highlight w:val="none"/>
        </w:rPr>
        <w:t>名称（盖章）：</w:t>
      </w:r>
    </w:p>
    <w:p w14:paraId="0CDCC8FC">
      <w:pPr>
        <w:spacing w:line="360" w:lineRule="auto"/>
        <w:ind w:firstLine="5040" w:firstLineChars="2100"/>
        <w:jc w:val="both"/>
        <w:rPr>
          <w:rFonts w:hint="eastAsia" w:ascii="宋体" w:hAnsi="宋体" w:eastAsia="宋体" w:cs="宋体"/>
          <w:color w:val="auto"/>
          <w:highlight w:val="none"/>
        </w:rPr>
      </w:pPr>
      <w:r>
        <w:rPr>
          <w:rFonts w:hint="eastAsia" w:ascii="宋体" w:hAnsi="宋体" w:eastAsia="宋体" w:cs="宋体"/>
          <w:color w:val="auto"/>
          <w:sz w:val="24"/>
          <w:szCs w:val="20"/>
          <w:highlight w:val="none"/>
        </w:rPr>
        <w:t xml:space="preserve">日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期：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  年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月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 日</w:t>
      </w:r>
    </w:p>
    <w:p w14:paraId="160A1204">
      <w:pPr>
        <w:snapToGrid/>
        <w:spacing w:line="360" w:lineRule="auto"/>
        <w:ind w:firstLine="0" w:firstLineChars="0"/>
        <w:jc w:val="center"/>
        <w:rPr>
          <w:rFonts w:hint="eastAsia" w:ascii="宋体" w:hAnsi="宋体" w:eastAsia="宋体" w:cs="宋体"/>
          <w:b/>
          <w:bCs/>
          <w:i w:val="0"/>
          <w:iCs w:val="0"/>
          <w:color w:val="auto"/>
          <w:highlight w:val="none"/>
        </w:rPr>
      </w:pPr>
    </w:p>
    <w:p w14:paraId="63F22303">
      <w:pPr>
        <w:snapToGrid/>
        <w:spacing w:line="360" w:lineRule="auto"/>
        <w:ind w:firstLine="0" w:firstLineChars="0"/>
        <w:jc w:val="center"/>
        <w:rPr>
          <w:rFonts w:hint="eastAsia" w:ascii="宋体" w:hAnsi="宋体" w:eastAsia="宋体" w:cs="宋体"/>
          <w:b/>
          <w:bCs/>
          <w:i w:val="0"/>
          <w:iCs w:val="0"/>
          <w:color w:val="auto"/>
          <w:highlight w:val="none"/>
        </w:rPr>
      </w:pPr>
    </w:p>
    <w:p w14:paraId="234E22B5">
      <w:pPr>
        <w:snapToGrid/>
        <w:spacing w:line="360" w:lineRule="auto"/>
        <w:ind w:firstLine="0" w:firstLineChars="0"/>
        <w:jc w:val="center"/>
        <w:rPr>
          <w:rFonts w:hint="eastAsia" w:ascii="宋体" w:hAnsi="宋体" w:eastAsia="宋体" w:cs="宋体"/>
          <w:b/>
          <w:bCs/>
          <w:i w:val="0"/>
          <w:iCs w:val="0"/>
          <w:color w:val="auto"/>
          <w:highlight w:val="none"/>
        </w:rPr>
      </w:pPr>
    </w:p>
    <w:p w14:paraId="13438833">
      <w:pPr>
        <w:snapToGrid/>
        <w:spacing w:line="360" w:lineRule="auto"/>
        <w:ind w:firstLine="0" w:firstLineChars="0"/>
        <w:jc w:val="center"/>
        <w:rPr>
          <w:rFonts w:hint="eastAsia" w:ascii="宋体" w:hAnsi="宋体" w:eastAsia="宋体" w:cs="宋体"/>
          <w:b/>
          <w:bCs/>
          <w:i w:val="0"/>
          <w:iCs w:val="0"/>
          <w:color w:val="auto"/>
          <w:highlight w:val="none"/>
        </w:rPr>
      </w:pPr>
    </w:p>
    <w:p w14:paraId="5DB68809">
      <w:pPr>
        <w:snapToGrid/>
        <w:spacing w:line="360" w:lineRule="auto"/>
        <w:ind w:firstLine="0" w:firstLineChars="0"/>
        <w:jc w:val="center"/>
        <w:rPr>
          <w:rFonts w:hint="eastAsia" w:ascii="宋体" w:hAnsi="宋体" w:eastAsia="宋体" w:cs="宋体"/>
          <w:b/>
          <w:bCs/>
          <w:i w:val="0"/>
          <w:iCs w:val="0"/>
          <w:color w:val="auto"/>
          <w:highlight w:val="none"/>
        </w:rPr>
      </w:pPr>
    </w:p>
    <w:p w14:paraId="587BC378">
      <w:pPr>
        <w:snapToGrid/>
        <w:spacing w:line="360" w:lineRule="auto"/>
        <w:ind w:firstLine="0" w:firstLineChars="0"/>
        <w:jc w:val="center"/>
        <w:rPr>
          <w:rFonts w:hint="eastAsia" w:ascii="宋体" w:hAnsi="宋体" w:eastAsia="宋体" w:cs="宋体"/>
          <w:b/>
          <w:bCs/>
          <w:i w:val="0"/>
          <w:iCs w:val="0"/>
          <w:color w:val="auto"/>
          <w:highlight w:val="none"/>
        </w:rPr>
      </w:pPr>
    </w:p>
    <w:p w14:paraId="22361FA7">
      <w:pPr>
        <w:snapToGrid/>
        <w:spacing w:line="360" w:lineRule="auto"/>
        <w:ind w:firstLine="0" w:firstLineChars="0"/>
        <w:jc w:val="center"/>
        <w:rPr>
          <w:rFonts w:hint="eastAsia" w:ascii="宋体" w:hAnsi="宋体" w:eastAsia="宋体" w:cs="宋体"/>
          <w:b/>
          <w:bCs/>
          <w:i w:val="0"/>
          <w:iCs w:val="0"/>
          <w:color w:val="auto"/>
          <w:highlight w:val="none"/>
        </w:rPr>
      </w:pPr>
    </w:p>
    <w:p w14:paraId="707F86ED">
      <w:pPr>
        <w:snapToGrid/>
        <w:spacing w:line="360" w:lineRule="auto"/>
        <w:ind w:firstLine="0" w:firstLineChars="0"/>
        <w:jc w:val="center"/>
        <w:rPr>
          <w:rFonts w:hint="eastAsia" w:ascii="宋体" w:hAnsi="宋体" w:eastAsia="宋体" w:cs="宋体"/>
          <w:b/>
          <w:bCs/>
          <w:i w:val="0"/>
          <w:iCs w:val="0"/>
          <w:color w:val="auto"/>
          <w:highlight w:val="none"/>
        </w:rPr>
      </w:pPr>
    </w:p>
    <w:p w14:paraId="5AFD953C">
      <w:pPr>
        <w:snapToGrid/>
        <w:spacing w:line="360" w:lineRule="auto"/>
        <w:ind w:firstLine="0" w:firstLineChars="0"/>
        <w:jc w:val="center"/>
        <w:rPr>
          <w:rFonts w:hint="eastAsia" w:ascii="宋体" w:hAnsi="宋体" w:eastAsia="宋体" w:cs="宋体"/>
          <w:b/>
          <w:bCs/>
          <w:i w:val="0"/>
          <w:iCs w:val="0"/>
          <w:color w:val="auto"/>
          <w:highlight w:val="none"/>
        </w:rPr>
      </w:pPr>
    </w:p>
    <w:p w14:paraId="3678481B">
      <w:pPr>
        <w:snapToGrid/>
        <w:spacing w:line="360" w:lineRule="auto"/>
        <w:ind w:firstLine="0" w:firstLineChars="0"/>
        <w:jc w:val="center"/>
        <w:rPr>
          <w:rFonts w:hint="eastAsia" w:ascii="宋体" w:hAnsi="宋体" w:eastAsia="宋体" w:cs="宋体"/>
          <w:b/>
          <w:bCs/>
          <w:i w:val="0"/>
          <w:iCs w:val="0"/>
          <w:color w:val="auto"/>
          <w:highlight w:val="none"/>
        </w:rPr>
      </w:pPr>
    </w:p>
    <w:p w14:paraId="402D6656">
      <w:pPr>
        <w:snapToGrid/>
        <w:spacing w:line="240" w:lineRule="auto"/>
        <w:ind w:firstLine="632" w:firstLineChars="300"/>
        <w:jc w:val="both"/>
        <w:rPr>
          <w:rFonts w:hint="eastAsia" w:ascii="宋体" w:hAnsi="宋体" w:eastAsia="宋体" w:cs="宋体"/>
          <w:b/>
          <w:bCs/>
          <w:i w:val="0"/>
          <w:iCs w:val="0"/>
          <w:color w:val="auto"/>
          <w:szCs w:val="21"/>
          <w:highlight w:val="none"/>
        </w:rPr>
      </w:pPr>
      <w:r>
        <w:rPr>
          <w:rFonts w:hint="eastAsia" w:ascii="宋体" w:hAnsi="宋体" w:eastAsia="宋体" w:cs="宋体"/>
          <w:b/>
          <w:bCs/>
          <w:i w:val="0"/>
          <w:iCs w:val="0"/>
          <w:color w:val="auto"/>
          <w:szCs w:val="21"/>
          <w:highlight w:val="none"/>
        </w:rPr>
        <w:t>注：</w:t>
      </w:r>
      <w:r>
        <w:rPr>
          <w:rFonts w:hint="eastAsia" w:ascii="宋体" w:hAnsi="宋体" w:eastAsia="宋体" w:cs="宋体"/>
          <w:b/>
          <w:bCs/>
          <w:i w:val="0"/>
          <w:iCs w:val="0"/>
          <w:color w:val="auto"/>
          <w:szCs w:val="21"/>
          <w:highlight w:val="none"/>
          <w:lang w:val="en-US" w:eastAsia="zh-CN"/>
        </w:rPr>
        <w:t>1、</w:t>
      </w:r>
      <w:r>
        <w:rPr>
          <w:rFonts w:hint="eastAsia" w:ascii="宋体" w:hAnsi="宋体" w:eastAsia="宋体" w:cs="宋体"/>
          <w:b/>
          <w:bCs/>
          <w:i w:val="0"/>
          <w:iCs w:val="0"/>
          <w:color w:val="auto"/>
          <w:szCs w:val="21"/>
          <w:highlight w:val="none"/>
        </w:rPr>
        <w:t>残疾人福利性单位声明函（如有）适用于残疾人福利性单位参加招投标活动的。本函未填写的视作未做声明。</w:t>
      </w:r>
    </w:p>
    <w:p w14:paraId="723E7065">
      <w:pPr>
        <w:snapToGrid/>
        <w:spacing w:line="240" w:lineRule="auto"/>
        <w:ind w:firstLine="1054" w:firstLineChars="500"/>
        <w:jc w:val="both"/>
        <w:rPr>
          <w:rFonts w:hint="eastAsia" w:ascii="宋体" w:hAnsi="宋体" w:eastAsia="宋体" w:cs="宋体"/>
          <w:b/>
          <w:bCs/>
          <w:i w:val="0"/>
          <w:iCs w:val="0"/>
          <w:color w:val="auto"/>
          <w:szCs w:val="21"/>
          <w:highlight w:val="none"/>
        </w:rPr>
      </w:pPr>
      <w:r>
        <w:rPr>
          <w:rFonts w:hint="eastAsia" w:ascii="宋体" w:hAnsi="宋体" w:eastAsia="宋体" w:cs="宋体"/>
          <w:b/>
          <w:bCs/>
          <w:i w:val="0"/>
          <w:iCs w:val="0"/>
          <w:color w:val="auto"/>
          <w:szCs w:val="21"/>
          <w:highlight w:val="none"/>
          <w:lang w:val="en-US" w:eastAsia="zh-CN"/>
        </w:rPr>
        <w:t>2、</w:t>
      </w:r>
      <w:r>
        <w:rPr>
          <w:rFonts w:hint="eastAsia" w:ascii="宋体" w:hAnsi="宋体" w:eastAsia="宋体" w:cs="宋体"/>
          <w:b/>
          <w:bCs/>
          <w:i w:val="0"/>
          <w:iCs w:val="0"/>
          <w:color w:val="auto"/>
          <w:szCs w:val="21"/>
          <w:highlight w:val="none"/>
        </w:rPr>
        <w:t>残疾人福利性单位视同小微企业，无需再提供《中小企业声明函》。</w:t>
      </w:r>
    </w:p>
    <w:p w14:paraId="7E9CCA51">
      <w:pPr>
        <w:pStyle w:val="58"/>
        <w:spacing w:line="240" w:lineRule="auto"/>
        <w:ind w:right="98" w:firstLine="0" w:firstLineChars="0"/>
        <w:rPr>
          <w:rFonts w:hint="eastAsia" w:ascii="宋体" w:hAnsi="宋体" w:eastAsia="宋体" w:cs="宋体"/>
          <w:b/>
          <w:bCs/>
          <w:snapToGrid w:val="0"/>
          <w:color w:val="auto"/>
          <w:kern w:val="13"/>
          <w:sz w:val="24"/>
          <w:highlight w:val="none"/>
          <w:lang w:val="en-US" w:eastAsia="zh-CN"/>
        </w:rPr>
      </w:pPr>
    </w:p>
    <w:p w14:paraId="2D5989D5">
      <w:pPr>
        <w:pStyle w:val="58"/>
        <w:spacing w:line="240" w:lineRule="auto"/>
        <w:ind w:right="98" w:firstLine="0" w:firstLineChars="0"/>
        <w:rPr>
          <w:rFonts w:hint="eastAsia" w:ascii="宋体" w:hAnsi="宋体" w:eastAsia="宋体" w:cs="宋体"/>
          <w:b/>
          <w:bCs/>
          <w:snapToGrid w:val="0"/>
          <w:color w:val="auto"/>
          <w:kern w:val="13"/>
          <w:sz w:val="24"/>
          <w:highlight w:val="none"/>
          <w:lang w:val="en-US" w:eastAsia="zh-CN"/>
        </w:rPr>
      </w:pPr>
    </w:p>
    <w:p w14:paraId="27F24AB8">
      <w:pPr>
        <w:pStyle w:val="26"/>
        <w:numPr>
          <w:ilvl w:val="0"/>
          <w:numId w:val="0"/>
        </w:numPr>
        <w:kinsoku w:val="0"/>
        <w:autoSpaceDE w:val="0"/>
        <w:autoSpaceDN w:val="0"/>
        <w:snapToGrid w:val="0"/>
        <w:spacing w:before="120" w:after="120"/>
        <w:jc w:val="center"/>
        <w:outlineLvl w:val="9"/>
        <w:rPr>
          <w:rFonts w:hint="eastAsia" w:ascii="黑体" w:hAnsi="黑体" w:eastAsia="黑体"/>
          <w:color w:val="auto"/>
          <w:spacing w:val="9"/>
          <w:sz w:val="31"/>
          <w:szCs w:val="31"/>
          <w:highlight w:val="none"/>
        </w:rPr>
        <w:sectPr>
          <w:footerReference r:id="rId30" w:type="default"/>
          <w:pgSz w:w="12240" w:h="15840"/>
          <w:pgMar w:top="1346" w:right="1836" w:bottom="1104" w:left="1836" w:header="0" w:footer="940" w:gutter="0"/>
          <w:cols w:space="720" w:num="1"/>
        </w:sectPr>
      </w:pPr>
      <w:r>
        <w:rPr>
          <w:rFonts w:hint="eastAsia" w:ascii="宋体" w:hAnsi="宋体" w:eastAsia="宋体" w:cs="宋体"/>
          <w:b/>
          <w:bCs/>
          <w:snapToGrid w:val="0"/>
          <w:color w:val="auto"/>
          <w:kern w:val="13"/>
          <w:sz w:val="24"/>
          <w:highlight w:val="none"/>
          <w:lang w:val="en-US" w:eastAsia="zh-CN"/>
        </w:rPr>
        <w:t>（此格式不作为废标条款）</w:t>
      </w:r>
    </w:p>
    <w:p w14:paraId="349DF729">
      <w:pPr>
        <w:pStyle w:val="25"/>
        <w:spacing w:after="0"/>
        <w:rPr>
          <w:rFonts w:ascii="Arial" w:hAnsi="Arial"/>
          <w:color w:val="auto"/>
          <w:highlight w:val="none"/>
        </w:rPr>
      </w:pPr>
      <w:bookmarkStart w:id="420" w:name="_Toc183207169"/>
      <w:r>
        <w:rPr>
          <w:rFonts w:hint="eastAsia" w:ascii="Arial" w:hAnsi="Arial"/>
          <w:color w:val="auto"/>
          <w:highlight w:val="none"/>
        </w:rPr>
        <w:t>第七章</w:t>
      </w:r>
      <w:r>
        <w:rPr>
          <w:rFonts w:ascii="Arial" w:hAnsi="Arial"/>
          <w:color w:val="auto"/>
          <w:highlight w:val="none"/>
        </w:rPr>
        <w:t>否决性条款汇总</w:t>
      </w:r>
      <w:bookmarkEnd w:id="420"/>
    </w:p>
    <w:p w14:paraId="7748D0F7">
      <w:pPr>
        <w:spacing w:line="360" w:lineRule="auto"/>
        <w:rPr>
          <w:rFonts w:hint="eastAsia" w:ascii="宋体" w:hAnsi="宋体" w:eastAsia="宋体"/>
          <w:b/>
          <w:bCs/>
          <w:color w:val="auto"/>
          <w:highlight w:val="none"/>
        </w:rPr>
      </w:pPr>
      <w:r>
        <w:rPr>
          <w:rFonts w:hint="eastAsia" w:ascii="宋体" w:hAnsi="宋体" w:eastAsia="宋体"/>
          <w:b/>
          <w:bCs/>
          <w:color w:val="auto"/>
          <w:highlight w:val="none"/>
        </w:rPr>
        <w:t>1、</w:t>
      </w:r>
      <w:r>
        <w:rPr>
          <w:rFonts w:eastAsia="宋体"/>
          <w:b/>
          <w:bCs/>
          <w:color w:val="auto"/>
          <w:highlight w:val="none"/>
        </w:rPr>
        <w:t>否决性条款</w:t>
      </w:r>
    </w:p>
    <w:p w14:paraId="501AB5E7">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1.1  投标人有下列情况之一的，招标人（或招标代理机构）将拒绝接收投标人的投标文件或投标文件光盘（备用）：</w:t>
      </w:r>
    </w:p>
    <w:p w14:paraId="3837C9C7">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(a) 在投标截止期后逾期或未在指定交易平台递交电子投标文件的，招标人（或招标代理）拒绝接收其电子投标文件。</w:t>
      </w:r>
    </w:p>
    <w:p w14:paraId="0B1431DB">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b)到现场提交电子文件的投标人，未在招标公告规定的时间和地点，投标人代表未凭法定代表人证明书原件（格式见招标文件附录）、法定代表人授权委托书原件（非法定代表人递交投标文件光盘时提供，格式见招标文件附录）、本人身份证复印件（提供原件核对）在招标公告规定的时间和地点递交投标文件光盘（备用）。或电子光盘未按招标文件规定封装的，招标人（或招标代理）拒绝接收其投标文件光盘（备用）。   </w:t>
      </w:r>
    </w:p>
    <w:p w14:paraId="57E36B70">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1.2  商务投标文件有下列情况之一的，由评标委员会确定其为废标：</w:t>
      </w:r>
    </w:p>
    <w:p w14:paraId="50BB56F3">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（a）投标人与招标人、评标委员会成员或者其他投标人串通投标。</w:t>
      </w:r>
    </w:p>
    <w:p w14:paraId="5E2EE1E1">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（b）投标人与其他投标人加密打包投标文件电脑机器特征码一致的。 </w:t>
      </w:r>
    </w:p>
    <w:p w14:paraId="1F8AEB82">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（c）《勘察设计费报价表》及《投标书》未加盖投标人公章。 </w:t>
      </w:r>
    </w:p>
    <w:p w14:paraId="2713B2A1">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（d）《勘察设计费报价表》及《投标书》未经法定代表人或者其授权代表签名。 </w:t>
      </w:r>
    </w:p>
    <w:p w14:paraId="386E9836">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（e）《勘察设计费报价表》及《投标书》包含有招标人不能接受的偏差，并且投标人拒绝书面撤回偏差。</w:t>
      </w:r>
    </w:p>
    <w:p w14:paraId="2A010AB5">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（f）《勘察设计费报价表》及《投标书》未按招标文件规定的格式填写，内容不全或者关键字迹模糊无法辨认的。</w:t>
      </w:r>
    </w:p>
    <w:p w14:paraId="2041519B">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（g）证明材料有弄虚作假者。</w:t>
      </w:r>
    </w:p>
    <w:p w14:paraId="01D229D9">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（h）不按第六章投标文件编制要求编制的投标文件。</w:t>
      </w:r>
    </w:p>
    <w:p w14:paraId="6030F7C4">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（i）不按照要求对投标文件进行澄清、说明或者补正的。</w:t>
      </w:r>
    </w:p>
    <w:p w14:paraId="6DA1DC91">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1.3  技术文件（勘察设计方案）有下列情况之一的，由评标委员会确定其为废标：</w:t>
      </w:r>
    </w:p>
    <w:p w14:paraId="64B81902">
      <w:pPr>
        <w:spacing w:line="360" w:lineRule="auto"/>
        <w:ind w:firstLine="420" w:firstLineChars="200"/>
        <w:rPr>
          <w:rFonts w:hint="eastAsia" w:ascii="宋体" w:hAnsi="宋体" w:eastAsia="宋体"/>
          <w:strike/>
          <w:color w:val="auto"/>
          <w:highlight w:val="none"/>
        </w:rPr>
      </w:pPr>
      <w:r>
        <w:rPr>
          <w:rFonts w:hint="eastAsia" w:ascii="宋体" w:hAnsi="宋体" w:eastAsia="宋体"/>
          <w:color w:val="auto"/>
          <w:highlight w:val="none"/>
        </w:rPr>
        <w:t>（</w:t>
      </w:r>
      <w:r>
        <w:rPr>
          <w:rFonts w:ascii="宋体" w:hAnsi="宋体" w:eastAsia="宋体"/>
          <w:color w:val="auto"/>
          <w:highlight w:val="none"/>
        </w:rPr>
        <w:t>a</w:t>
      </w:r>
      <w:r>
        <w:rPr>
          <w:rFonts w:hint="eastAsia" w:ascii="宋体" w:hAnsi="宋体" w:eastAsia="宋体"/>
          <w:color w:val="auto"/>
          <w:highlight w:val="none"/>
        </w:rPr>
        <w:t xml:space="preserve">）投标人在技术文件（勘察设计方案）上标注名称、印章、商标等记认符号或显示投标报价信息，使人辨认出投标人或其专业技术人员的身份。 </w:t>
      </w:r>
    </w:p>
    <w:p w14:paraId="773F4635">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（b）有互相雷同或串通投标的。 </w:t>
      </w:r>
    </w:p>
    <w:p w14:paraId="350FF43C">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（c）有明显抄袭行为。 </w:t>
      </w:r>
    </w:p>
    <w:p w14:paraId="75C08D18">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（d）侵犯他人著作权和特许权。</w:t>
      </w:r>
    </w:p>
    <w:p w14:paraId="540E6E7F">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（e）不按第六章投标文件编制要求编制投标文件。</w:t>
      </w:r>
    </w:p>
    <w:p w14:paraId="693415CC">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1.4  投标人有下列情况之一的，视为串通投标：</w:t>
      </w:r>
    </w:p>
    <w:p w14:paraId="0F8AA27D">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(a) 递交投标文件前，投标人私下向招标人或其雇员出示或告知投标文件内容；</w:t>
      </w:r>
    </w:p>
    <w:p w14:paraId="147244CA">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(b) 评标表决结束前，投标人私下向评标委员会成员出示或告知投标文件内容；</w:t>
      </w:r>
    </w:p>
    <w:p w14:paraId="6922182A">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(c) 评标结果揭晓前，投标人与招标人就投标价格、投标方案等实质性内容进行谈判。</w:t>
      </w:r>
    </w:p>
    <w:sectPr>
      <w:pgSz w:w="12240" w:h="15840"/>
      <w:pgMar w:top="1346" w:right="1836" w:bottom="1104" w:left="1836" w:header="0" w:footer="9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_GB2312">
    <w:altName w:val="宋体"/>
    <w:panose1 w:val="00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roman"/>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8486720"/>
    </w:sdtPr>
    <w:sdtContent>
      <w:p w14:paraId="43475819">
        <w:pPr>
          <w:pStyle w:val="12"/>
          <w:jc w:val="center"/>
        </w:pPr>
        <w:r>
          <w:fldChar w:fldCharType="begin"/>
        </w:r>
        <w:r>
          <w:instrText xml:space="preserve">PAGE   \* MERGEFORMAT</w:instrText>
        </w:r>
        <w:r>
          <w:fldChar w:fldCharType="separate"/>
        </w:r>
        <w:r>
          <w:rPr>
            <w:lang w:val="zh-CN"/>
          </w:rPr>
          <w:t>1</w:t>
        </w:r>
        <w:r>
          <w:fldChar w:fldCharType="end"/>
        </w:r>
      </w:p>
    </w:sdtContent>
  </w:sdt>
  <w:p w14:paraId="0B9B6C99">
    <w:pPr>
      <w:pStyle w:val="41"/>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7081046"/>
    </w:sdtPr>
    <w:sdtContent>
      <w:p w14:paraId="4FEA4A8E">
        <w:pPr>
          <w:pStyle w:val="12"/>
          <w:jc w:val="center"/>
        </w:pPr>
        <w:r>
          <w:fldChar w:fldCharType="begin"/>
        </w:r>
        <w:r>
          <w:instrText xml:space="preserve">PAGE   \* MERGEFORMAT</w:instrText>
        </w:r>
        <w:r>
          <w:fldChar w:fldCharType="separate"/>
        </w:r>
        <w:r>
          <w:rPr>
            <w:lang w:val="zh-CN"/>
          </w:rPr>
          <w:t>44</w:t>
        </w:r>
        <w:r>
          <w:fldChar w:fldCharType="end"/>
        </w:r>
      </w:p>
    </w:sdtContent>
  </w:sdt>
  <w:p w14:paraId="5D4AA22D">
    <w:pPr>
      <w:spacing w:line="178" w:lineRule="auto"/>
      <w:ind w:left="4229"/>
      <w:rPr>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0882429"/>
    </w:sdtPr>
    <w:sdtContent>
      <w:p w14:paraId="41F5BAAF">
        <w:pPr>
          <w:pStyle w:val="12"/>
          <w:jc w:val="center"/>
        </w:pPr>
        <w:r>
          <w:fldChar w:fldCharType="begin"/>
        </w:r>
        <w:r>
          <w:instrText xml:space="preserve">PAGE   \* MERGEFORMAT</w:instrText>
        </w:r>
        <w:r>
          <w:fldChar w:fldCharType="separate"/>
        </w:r>
        <w:r>
          <w:rPr>
            <w:lang w:val="zh-CN"/>
          </w:rPr>
          <w:t>61</w:t>
        </w:r>
        <w:r>
          <w:fldChar w:fldCharType="end"/>
        </w:r>
      </w:p>
    </w:sdtContent>
  </w:sdt>
  <w:p w14:paraId="060E1D8E">
    <w:pPr>
      <w:spacing w:line="178" w:lineRule="auto"/>
      <w:ind w:left="4202"/>
      <w:rPr>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6286479"/>
    </w:sdtPr>
    <w:sdtContent>
      <w:p w14:paraId="01F7981D">
        <w:pPr>
          <w:pStyle w:val="12"/>
          <w:jc w:val="center"/>
        </w:pPr>
        <w:r>
          <w:fldChar w:fldCharType="begin"/>
        </w:r>
        <w:r>
          <w:instrText xml:space="preserve">PAGE   \* MERGEFORMAT</w:instrText>
        </w:r>
        <w:r>
          <w:fldChar w:fldCharType="separate"/>
        </w:r>
        <w:r>
          <w:rPr>
            <w:lang w:val="zh-CN"/>
          </w:rPr>
          <w:t>62</w:t>
        </w:r>
        <w:r>
          <w:fldChar w:fldCharType="end"/>
        </w:r>
      </w:p>
    </w:sdtContent>
  </w:sdt>
  <w:p w14:paraId="6BC4815E">
    <w:pPr>
      <w:spacing w:line="178" w:lineRule="auto"/>
      <w:ind w:left="4202"/>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0292878"/>
    </w:sdtPr>
    <w:sdtContent>
      <w:p w14:paraId="34CF1021">
        <w:pPr>
          <w:pStyle w:val="12"/>
          <w:jc w:val="center"/>
        </w:pPr>
        <w:r>
          <w:fldChar w:fldCharType="begin"/>
        </w:r>
        <w:r>
          <w:instrText xml:space="preserve">PAGE   \* MERGEFORMAT</w:instrText>
        </w:r>
        <w:r>
          <w:fldChar w:fldCharType="separate"/>
        </w:r>
        <w:r>
          <w:rPr>
            <w:lang w:val="zh-CN"/>
          </w:rPr>
          <w:t>64</w:t>
        </w:r>
        <w:r>
          <w:fldChar w:fldCharType="end"/>
        </w:r>
      </w:p>
    </w:sdtContent>
  </w:sdt>
  <w:p w14:paraId="2C09D757">
    <w:pPr>
      <w:spacing w:line="177" w:lineRule="auto"/>
      <w:ind w:left="4201"/>
      <w:rPr>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5354295"/>
    </w:sdtPr>
    <w:sdtContent>
      <w:p w14:paraId="1D73F511">
        <w:pPr>
          <w:pStyle w:val="12"/>
          <w:jc w:val="center"/>
        </w:pPr>
        <w:r>
          <w:fldChar w:fldCharType="begin"/>
        </w:r>
        <w:r>
          <w:instrText xml:space="preserve">PAGE   \* MERGEFORMAT</w:instrText>
        </w:r>
        <w:r>
          <w:fldChar w:fldCharType="separate"/>
        </w:r>
        <w:r>
          <w:rPr>
            <w:lang w:val="zh-CN"/>
          </w:rPr>
          <w:t>65</w:t>
        </w:r>
        <w:r>
          <w:fldChar w:fldCharType="end"/>
        </w:r>
      </w:p>
    </w:sdtContent>
  </w:sdt>
  <w:p w14:paraId="47E9930A">
    <w:pPr>
      <w:spacing w:line="178" w:lineRule="auto"/>
      <w:ind w:left="4201"/>
      <w:rPr>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3974243"/>
    </w:sdtPr>
    <w:sdtContent>
      <w:p w14:paraId="4ECC371A">
        <w:pPr>
          <w:pStyle w:val="12"/>
          <w:jc w:val="center"/>
        </w:pPr>
        <w:r>
          <w:fldChar w:fldCharType="begin"/>
        </w:r>
        <w:r>
          <w:instrText xml:space="preserve">PAGE   \* MERGEFORMAT</w:instrText>
        </w:r>
        <w:r>
          <w:fldChar w:fldCharType="separate"/>
        </w:r>
        <w:r>
          <w:rPr>
            <w:lang w:val="zh-CN"/>
          </w:rPr>
          <w:t>66</w:t>
        </w:r>
        <w:r>
          <w:fldChar w:fldCharType="end"/>
        </w:r>
      </w:p>
    </w:sdtContent>
  </w:sdt>
  <w:p w14:paraId="1E32F75A">
    <w:pPr>
      <w:spacing w:line="178" w:lineRule="auto"/>
      <w:ind w:left="4201"/>
      <w:rPr>
        <w:sz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806013"/>
    </w:sdtPr>
    <w:sdtContent>
      <w:p w14:paraId="15628252">
        <w:pPr>
          <w:pStyle w:val="12"/>
          <w:jc w:val="center"/>
        </w:pPr>
        <w:r>
          <w:fldChar w:fldCharType="begin"/>
        </w:r>
        <w:r>
          <w:instrText xml:space="preserve">PAGE   \* MERGEFORMAT</w:instrText>
        </w:r>
        <w:r>
          <w:fldChar w:fldCharType="separate"/>
        </w:r>
        <w:r>
          <w:rPr>
            <w:lang w:val="zh-CN"/>
          </w:rPr>
          <w:t>67</w:t>
        </w:r>
        <w:r>
          <w:fldChar w:fldCharType="end"/>
        </w:r>
      </w:p>
    </w:sdtContent>
  </w:sdt>
  <w:p w14:paraId="4521150B">
    <w:pPr>
      <w:spacing w:line="177" w:lineRule="auto"/>
      <w:ind w:left="4230"/>
      <w:rPr>
        <w:sz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8522424"/>
    </w:sdtPr>
    <w:sdtContent>
      <w:p w14:paraId="3ECB963C">
        <w:pPr>
          <w:pStyle w:val="12"/>
          <w:jc w:val="center"/>
        </w:pPr>
        <w:r>
          <w:fldChar w:fldCharType="begin"/>
        </w:r>
        <w:r>
          <w:instrText xml:space="preserve">PAGE   \* MERGEFORMAT</w:instrText>
        </w:r>
        <w:r>
          <w:fldChar w:fldCharType="separate"/>
        </w:r>
        <w:r>
          <w:rPr>
            <w:lang w:val="zh-CN"/>
          </w:rPr>
          <w:t>69</w:t>
        </w:r>
        <w:r>
          <w:fldChar w:fldCharType="end"/>
        </w:r>
      </w:p>
    </w:sdtContent>
  </w:sdt>
  <w:p w14:paraId="21F8C5E9">
    <w:pPr>
      <w:spacing w:line="178" w:lineRule="auto"/>
      <w:ind w:left="4201"/>
      <w:rPr>
        <w:sz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257999"/>
    </w:sdtPr>
    <w:sdtContent>
      <w:p w14:paraId="5948157B">
        <w:pPr>
          <w:pStyle w:val="12"/>
          <w:jc w:val="center"/>
        </w:pPr>
        <w:r>
          <w:fldChar w:fldCharType="begin"/>
        </w:r>
        <w:r>
          <w:instrText xml:space="preserve">PAGE   \* MERGEFORMAT</w:instrText>
        </w:r>
        <w:r>
          <w:fldChar w:fldCharType="separate"/>
        </w:r>
        <w:r>
          <w:rPr>
            <w:lang w:val="zh-CN"/>
          </w:rPr>
          <w:t>70</w:t>
        </w:r>
        <w:r>
          <w:fldChar w:fldCharType="end"/>
        </w:r>
      </w:p>
    </w:sdtContent>
  </w:sdt>
  <w:p w14:paraId="36AD99D7">
    <w:pPr>
      <w:spacing w:line="176" w:lineRule="auto"/>
      <w:ind w:left="4308"/>
      <w:rPr>
        <w:sz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9431102"/>
    </w:sdtPr>
    <w:sdtContent>
      <w:p w14:paraId="4C254942">
        <w:pPr>
          <w:pStyle w:val="12"/>
          <w:jc w:val="center"/>
        </w:pPr>
        <w:r>
          <w:fldChar w:fldCharType="begin"/>
        </w:r>
        <w:r>
          <w:instrText xml:space="preserve">PAGE   \* MERGEFORMAT</w:instrText>
        </w:r>
        <w:r>
          <w:fldChar w:fldCharType="separate"/>
        </w:r>
        <w:r>
          <w:rPr>
            <w:lang w:val="zh-CN"/>
          </w:rPr>
          <w:t>71</w:t>
        </w:r>
        <w:r>
          <w:fldChar w:fldCharType="end"/>
        </w:r>
      </w:p>
    </w:sdtContent>
  </w:sdt>
  <w:p w14:paraId="2D9B56EE">
    <w:pPr>
      <w:spacing w:line="178" w:lineRule="auto"/>
      <w:ind w:left="4229"/>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290565"/>
    </w:sdtPr>
    <w:sdtContent>
      <w:p w14:paraId="2E70552A">
        <w:pPr>
          <w:pStyle w:val="12"/>
          <w:jc w:val="center"/>
        </w:pPr>
        <w:r>
          <w:fldChar w:fldCharType="begin"/>
        </w:r>
        <w:r>
          <w:instrText xml:space="preserve">PAGE   \* MERGEFORMAT</w:instrText>
        </w:r>
        <w:r>
          <w:fldChar w:fldCharType="separate"/>
        </w:r>
        <w:r>
          <w:rPr>
            <w:lang w:val="zh-CN"/>
          </w:rPr>
          <w:t>3</w:t>
        </w:r>
        <w:r>
          <w:fldChar w:fldCharType="end"/>
        </w:r>
      </w:p>
    </w:sdtContent>
  </w:sdt>
  <w:p w14:paraId="13C63DAA">
    <w:pPr>
      <w:spacing w:line="177" w:lineRule="auto"/>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4896741"/>
    </w:sdtPr>
    <w:sdtContent>
      <w:p w14:paraId="2AB98F00">
        <w:pPr>
          <w:pStyle w:val="12"/>
          <w:jc w:val="center"/>
        </w:pPr>
        <w:r>
          <w:fldChar w:fldCharType="begin"/>
        </w:r>
        <w:r>
          <w:instrText xml:space="preserve">PAGE   \* MERGEFORMAT</w:instrText>
        </w:r>
        <w:r>
          <w:fldChar w:fldCharType="separate"/>
        </w:r>
        <w:r>
          <w:rPr>
            <w:lang w:val="zh-CN"/>
          </w:rPr>
          <w:t>72</w:t>
        </w:r>
        <w:r>
          <w:fldChar w:fldCharType="end"/>
        </w:r>
      </w:p>
    </w:sdtContent>
  </w:sdt>
  <w:p w14:paraId="13ACB88A">
    <w:pPr>
      <w:spacing w:line="178" w:lineRule="auto"/>
      <w:ind w:left="4230"/>
      <w:rPr>
        <w:sz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2818324"/>
    </w:sdtPr>
    <w:sdtContent>
      <w:p w14:paraId="7FD7922A">
        <w:pPr>
          <w:pStyle w:val="12"/>
          <w:jc w:val="center"/>
        </w:pPr>
        <w:r>
          <w:fldChar w:fldCharType="begin"/>
        </w:r>
        <w:r>
          <w:instrText xml:space="preserve">PAGE   \* MERGEFORMAT</w:instrText>
        </w:r>
        <w:r>
          <w:fldChar w:fldCharType="separate"/>
        </w:r>
        <w:r>
          <w:rPr>
            <w:lang w:val="zh-CN"/>
          </w:rPr>
          <w:t>73</w:t>
        </w:r>
        <w:r>
          <w:fldChar w:fldCharType="end"/>
        </w:r>
      </w:p>
    </w:sdtContent>
  </w:sdt>
  <w:p w14:paraId="6D2519EA">
    <w:pPr>
      <w:spacing w:line="178" w:lineRule="auto"/>
      <w:ind w:left="4199"/>
      <w:rPr>
        <w:sz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6302052"/>
    </w:sdtPr>
    <w:sdtContent>
      <w:p w14:paraId="2655FCE2">
        <w:pPr>
          <w:pStyle w:val="12"/>
          <w:jc w:val="center"/>
        </w:pPr>
        <w:r>
          <w:fldChar w:fldCharType="begin"/>
        </w:r>
        <w:r>
          <w:instrText xml:space="preserve">PAGE   \* MERGEFORMAT</w:instrText>
        </w:r>
        <w:r>
          <w:fldChar w:fldCharType="separate"/>
        </w:r>
        <w:r>
          <w:rPr>
            <w:lang w:val="zh-CN"/>
          </w:rPr>
          <w:t>74</w:t>
        </w:r>
        <w:r>
          <w:fldChar w:fldCharType="end"/>
        </w:r>
      </w:p>
    </w:sdtContent>
  </w:sdt>
  <w:p w14:paraId="020AE6E4">
    <w:pPr>
      <w:spacing w:line="178" w:lineRule="auto"/>
      <w:ind w:left="4235"/>
      <w:rPr>
        <w:sz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691897"/>
    </w:sdtPr>
    <w:sdtContent>
      <w:p w14:paraId="45FBCABE">
        <w:pPr>
          <w:pStyle w:val="12"/>
          <w:jc w:val="center"/>
        </w:pPr>
        <w:r>
          <w:fldChar w:fldCharType="begin"/>
        </w:r>
        <w:r>
          <w:instrText xml:space="preserve">PAGE   \* MERGEFORMAT</w:instrText>
        </w:r>
        <w:r>
          <w:fldChar w:fldCharType="separate"/>
        </w:r>
        <w:r>
          <w:rPr>
            <w:lang w:val="zh-CN"/>
          </w:rPr>
          <w:t>77</w:t>
        </w:r>
        <w:r>
          <w:fldChar w:fldCharType="end"/>
        </w:r>
      </w:p>
    </w:sdtContent>
  </w:sdt>
  <w:p w14:paraId="711A86B0">
    <w:pPr>
      <w:spacing w:line="178" w:lineRule="auto"/>
      <w:ind w:left="4199"/>
      <w:rPr>
        <w:sz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4520945"/>
    </w:sdtPr>
    <w:sdtContent>
      <w:p w14:paraId="79462538">
        <w:pPr>
          <w:pStyle w:val="12"/>
          <w:jc w:val="center"/>
        </w:pPr>
        <w:r>
          <w:fldChar w:fldCharType="begin"/>
        </w:r>
        <w:r>
          <w:instrText xml:space="preserve">PAGE   \* MERGEFORMAT</w:instrText>
        </w:r>
        <w:r>
          <w:fldChar w:fldCharType="separate"/>
        </w:r>
        <w:r>
          <w:rPr>
            <w:lang w:val="zh-CN"/>
          </w:rPr>
          <w:t>79</w:t>
        </w:r>
        <w:r>
          <w:fldChar w:fldCharType="end"/>
        </w:r>
      </w:p>
    </w:sdtContent>
  </w:sdt>
  <w:p w14:paraId="2F0062E8">
    <w:pPr>
      <w:spacing w:line="178" w:lineRule="auto"/>
      <w:ind w:left="4227"/>
      <w:rPr>
        <w:sz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5375299"/>
    </w:sdtPr>
    <w:sdtContent>
      <w:p w14:paraId="61134A5D">
        <w:pPr>
          <w:pStyle w:val="12"/>
          <w:jc w:val="center"/>
        </w:pPr>
        <w:r>
          <w:fldChar w:fldCharType="begin"/>
        </w:r>
        <w:r>
          <w:instrText xml:space="preserve">PAGE   \* MERGEFORMAT</w:instrText>
        </w:r>
        <w:r>
          <w:fldChar w:fldCharType="separate"/>
        </w:r>
        <w:r>
          <w:rPr>
            <w:lang w:val="zh-CN"/>
          </w:rPr>
          <w:t>80</w:t>
        </w:r>
        <w:r>
          <w:fldChar w:fldCharType="end"/>
        </w:r>
      </w:p>
    </w:sdtContent>
  </w:sdt>
  <w:p w14:paraId="61EFF307">
    <w:pPr>
      <w:spacing w:line="178" w:lineRule="auto"/>
      <w:ind w:left="4201"/>
      <w:rPr>
        <w:sz w:val="1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0846970"/>
    </w:sdtPr>
    <w:sdtContent>
      <w:p w14:paraId="5FF85009">
        <w:pPr>
          <w:pStyle w:val="12"/>
          <w:jc w:val="center"/>
        </w:pPr>
        <w:r>
          <w:fldChar w:fldCharType="begin"/>
        </w:r>
        <w:r>
          <w:instrText xml:space="preserve">PAGE   \* MERGEFORMAT</w:instrText>
        </w:r>
        <w:r>
          <w:fldChar w:fldCharType="separate"/>
        </w:r>
        <w:r>
          <w:rPr>
            <w:lang w:val="zh-CN"/>
          </w:rPr>
          <w:t>81</w:t>
        </w:r>
        <w:r>
          <w:fldChar w:fldCharType="end"/>
        </w:r>
      </w:p>
    </w:sdtContent>
  </w:sdt>
  <w:p w14:paraId="63D93536">
    <w:pPr>
      <w:spacing w:line="178" w:lineRule="auto"/>
      <w:ind w:left="4199"/>
      <w:rPr>
        <w:sz w:val="18"/>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8441411"/>
    </w:sdtPr>
    <w:sdtContent>
      <w:p w14:paraId="646BF76F">
        <w:pPr>
          <w:pStyle w:val="12"/>
          <w:jc w:val="center"/>
        </w:pPr>
        <w:r>
          <w:fldChar w:fldCharType="begin"/>
        </w:r>
        <w:r>
          <w:instrText xml:space="preserve">PAGE   \* MERGEFORMAT</w:instrText>
        </w:r>
        <w:r>
          <w:fldChar w:fldCharType="separate"/>
        </w:r>
        <w:r>
          <w:rPr>
            <w:lang w:val="zh-CN"/>
          </w:rPr>
          <w:t>85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2376413"/>
    </w:sdtPr>
    <w:sdtContent>
      <w:p w14:paraId="5CEFC4D1">
        <w:pPr>
          <w:pStyle w:val="12"/>
          <w:jc w:val="center"/>
        </w:pPr>
        <w:r>
          <w:fldChar w:fldCharType="begin"/>
        </w:r>
        <w:r>
          <w:instrText xml:space="preserve">PAGE   \* MERGEFORMAT</w:instrText>
        </w:r>
        <w:r>
          <w:fldChar w:fldCharType="separate"/>
        </w:r>
        <w:r>
          <w:rPr>
            <w:lang w:val="zh-CN"/>
          </w:rPr>
          <w:t>19</w:t>
        </w:r>
        <w:r>
          <w:fldChar w:fldCharType="end"/>
        </w:r>
      </w:p>
    </w:sdtContent>
  </w:sdt>
  <w:p w14:paraId="21E33834">
    <w:pPr>
      <w:spacing w:line="177" w:lineRule="auto"/>
      <w:ind w:left="4235"/>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9120255"/>
    </w:sdtPr>
    <w:sdtContent>
      <w:p w14:paraId="2625C134">
        <w:pPr>
          <w:pStyle w:val="12"/>
          <w:jc w:val="center"/>
        </w:pPr>
        <w:r>
          <w:fldChar w:fldCharType="begin"/>
        </w:r>
        <w:r>
          <w:instrText xml:space="preserve">PAGE   \* MERGEFORMAT</w:instrText>
        </w:r>
        <w:r>
          <w:fldChar w:fldCharType="separate"/>
        </w:r>
        <w:r>
          <w:rPr>
            <w:lang w:val="zh-CN"/>
          </w:rPr>
          <w:t>20</w:t>
        </w:r>
        <w:r>
          <w:fldChar w:fldCharType="end"/>
        </w:r>
      </w:p>
    </w:sdtContent>
  </w:sdt>
  <w:p w14:paraId="6A7A14D7">
    <w:pPr>
      <w:spacing w:line="177" w:lineRule="auto"/>
      <w:ind w:left="4235"/>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3508274"/>
    </w:sdtPr>
    <w:sdtContent>
      <w:p w14:paraId="044B5E63">
        <w:pPr>
          <w:pStyle w:val="12"/>
          <w:jc w:val="center"/>
        </w:pPr>
        <w:r>
          <w:fldChar w:fldCharType="begin"/>
        </w:r>
        <w:r>
          <w:instrText xml:space="preserve">PAGE   \* MERGEFORMAT</w:instrText>
        </w:r>
        <w:r>
          <w:fldChar w:fldCharType="separate"/>
        </w:r>
        <w:r>
          <w:rPr>
            <w:lang w:val="zh-CN"/>
          </w:rPr>
          <w:t>22</w:t>
        </w:r>
        <w:r>
          <w:fldChar w:fldCharType="end"/>
        </w:r>
      </w:p>
    </w:sdtContent>
  </w:sdt>
  <w:p w14:paraId="5634EE26">
    <w:pPr>
      <w:spacing w:line="178" w:lineRule="auto"/>
      <w:ind w:left="4236"/>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2803652"/>
    </w:sdtPr>
    <w:sdtContent>
      <w:p w14:paraId="1A0ACBC6">
        <w:pPr>
          <w:pStyle w:val="12"/>
          <w:jc w:val="center"/>
        </w:pPr>
        <w:r>
          <w:fldChar w:fldCharType="begin"/>
        </w:r>
        <w:r>
          <w:instrText xml:space="preserve">PAGE   \* MERGEFORMAT</w:instrText>
        </w:r>
        <w:r>
          <w:fldChar w:fldCharType="separate"/>
        </w:r>
        <w:r>
          <w:rPr>
            <w:lang w:val="zh-CN"/>
          </w:rPr>
          <w:t>33</w:t>
        </w:r>
        <w:r>
          <w:fldChar w:fldCharType="end"/>
        </w:r>
      </w:p>
    </w:sdtContent>
  </w:sdt>
  <w:p w14:paraId="459BF851">
    <w:pPr>
      <w:spacing w:line="178" w:lineRule="auto"/>
      <w:ind w:left="4231"/>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684523"/>
    </w:sdtPr>
    <w:sdtContent>
      <w:p w14:paraId="3FB0509D">
        <w:pPr>
          <w:pStyle w:val="12"/>
          <w:jc w:val="center"/>
        </w:pPr>
        <w:r>
          <w:fldChar w:fldCharType="begin"/>
        </w:r>
        <w:r>
          <w:instrText xml:space="preserve">PAGE   \* MERGEFORMAT</w:instrText>
        </w:r>
        <w:r>
          <w:fldChar w:fldCharType="separate"/>
        </w:r>
        <w:r>
          <w:rPr>
            <w:lang w:val="zh-CN"/>
          </w:rPr>
          <w:t>34</w:t>
        </w:r>
        <w:r>
          <w:fldChar w:fldCharType="end"/>
        </w:r>
      </w:p>
    </w:sdtContent>
  </w:sdt>
  <w:p w14:paraId="1044DDA1">
    <w:pPr>
      <w:spacing w:line="178" w:lineRule="auto"/>
      <w:ind w:left="4238"/>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2727767"/>
    </w:sdtPr>
    <w:sdtContent>
      <w:p w14:paraId="18043006">
        <w:pPr>
          <w:pStyle w:val="12"/>
          <w:jc w:val="center"/>
        </w:pPr>
        <w:r>
          <w:fldChar w:fldCharType="begin"/>
        </w:r>
        <w:r>
          <w:instrText xml:space="preserve">PAGE   \* MERGEFORMAT</w:instrText>
        </w:r>
        <w:r>
          <w:fldChar w:fldCharType="separate"/>
        </w:r>
        <w:r>
          <w:rPr>
            <w:lang w:val="zh-CN"/>
          </w:rPr>
          <w:t>35</w:t>
        </w:r>
        <w:r>
          <w:fldChar w:fldCharType="end"/>
        </w:r>
      </w:p>
    </w:sdtContent>
  </w:sdt>
  <w:p w14:paraId="71AF59D3">
    <w:pPr>
      <w:spacing w:line="178" w:lineRule="auto"/>
      <w:ind w:left="4230"/>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2522603"/>
    </w:sdtPr>
    <w:sdtContent>
      <w:p w14:paraId="2530F47C">
        <w:pPr>
          <w:pStyle w:val="12"/>
          <w:jc w:val="center"/>
        </w:pPr>
        <w:r>
          <w:fldChar w:fldCharType="begin"/>
        </w:r>
        <w:r>
          <w:instrText xml:space="preserve">PAGE   \* MERGEFORMAT</w:instrText>
        </w:r>
        <w:r>
          <w:fldChar w:fldCharType="separate"/>
        </w:r>
        <w:r>
          <w:rPr>
            <w:lang w:val="zh-CN"/>
          </w:rPr>
          <w:t>40</w:t>
        </w:r>
        <w:r>
          <w:fldChar w:fldCharType="end"/>
        </w:r>
      </w:p>
    </w:sdtContent>
  </w:sdt>
  <w:p w14:paraId="1C4F8846">
    <w:pPr>
      <w:spacing w:line="178" w:lineRule="auto"/>
      <w:ind w:left="4348"/>
      <w:rPr>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795E6">
    <w:pPr>
      <w:pStyle w:val="39"/>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38A34"/>
    <w:multiLevelType w:val="singleLevel"/>
    <w:tmpl w:val="A7F38A34"/>
    <w:lvl w:ilvl="0" w:tentative="0">
      <w:start w:val="2"/>
      <w:numFmt w:val="decimal"/>
      <w:suff w:val="nothing"/>
      <w:lvlText w:val="%1、"/>
      <w:lvlJc w:val="left"/>
    </w:lvl>
  </w:abstractNum>
  <w:abstractNum w:abstractNumId="1">
    <w:nsid w:val="1676DD1B"/>
    <w:multiLevelType w:val="singleLevel"/>
    <w:tmpl w:val="1676DD1B"/>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500"/>
  <w:noPunctuationKerning w:val="1"/>
  <w:characterSpacingControl w:val="doNotCompress"/>
  <w:compat>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8C"/>
    <w:rsid w:val="0004004A"/>
    <w:rsid w:val="000F2FD4"/>
    <w:rsid w:val="00113FC8"/>
    <w:rsid w:val="00127C32"/>
    <w:rsid w:val="0013192C"/>
    <w:rsid w:val="00163EE0"/>
    <w:rsid w:val="00187E11"/>
    <w:rsid w:val="0019702E"/>
    <w:rsid w:val="001A4B97"/>
    <w:rsid w:val="001C3CEB"/>
    <w:rsid w:val="00224114"/>
    <w:rsid w:val="00367195"/>
    <w:rsid w:val="00376A56"/>
    <w:rsid w:val="003A0896"/>
    <w:rsid w:val="003F0367"/>
    <w:rsid w:val="00415BD6"/>
    <w:rsid w:val="004653F8"/>
    <w:rsid w:val="005160A0"/>
    <w:rsid w:val="00563CCC"/>
    <w:rsid w:val="0061556B"/>
    <w:rsid w:val="006D24EA"/>
    <w:rsid w:val="006D4993"/>
    <w:rsid w:val="00774F0B"/>
    <w:rsid w:val="007A238C"/>
    <w:rsid w:val="00801387"/>
    <w:rsid w:val="00864AC8"/>
    <w:rsid w:val="00871F0F"/>
    <w:rsid w:val="008A07D1"/>
    <w:rsid w:val="008C37E1"/>
    <w:rsid w:val="008D3DEB"/>
    <w:rsid w:val="00A037AE"/>
    <w:rsid w:val="00A43015"/>
    <w:rsid w:val="00A602E4"/>
    <w:rsid w:val="00A84801"/>
    <w:rsid w:val="00AA0037"/>
    <w:rsid w:val="00AE79BD"/>
    <w:rsid w:val="00B3766C"/>
    <w:rsid w:val="00BC6CA2"/>
    <w:rsid w:val="00BE22F3"/>
    <w:rsid w:val="00C13F02"/>
    <w:rsid w:val="00C467C2"/>
    <w:rsid w:val="00C93AC9"/>
    <w:rsid w:val="00C97DDA"/>
    <w:rsid w:val="00CA5EBA"/>
    <w:rsid w:val="00CB7C05"/>
    <w:rsid w:val="00D26F76"/>
    <w:rsid w:val="00D37AF3"/>
    <w:rsid w:val="00DB2254"/>
    <w:rsid w:val="00DD668E"/>
    <w:rsid w:val="00DE3642"/>
    <w:rsid w:val="00DE5C1D"/>
    <w:rsid w:val="00DF2856"/>
    <w:rsid w:val="00E07886"/>
    <w:rsid w:val="00EF46F3"/>
    <w:rsid w:val="00F0598C"/>
    <w:rsid w:val="00F620BE"/>
    <w:rsid w:val="03DF3AA2"/>
    <w:rsid w:val="0602632E"/>
    <w:rsid w:val="09A10F2A"/>
    <w:rsid w:val="107641A8"/>
    <w:rsid w:val="109F1F59"/>
    <w:rsid w:val="1216004D"/>
    <w:rsid w:val="129031B9"/>
    <w:rsid w:val="12AA1929"/>
    <w:rsid w:val="170C5AE7"/>
    <w:rsid w:val="1B3105F7"/>
    <w:rsid w:val="1DEB3E04"/>
    <w:rsid w:val="1E042A24"/>
    <w:rsid w:val="1FC66C6D"/>
    <w:rsid w:val="212A5595"/>
    <w:rsid w:val="26281A8D"/>
    <w:rsid w:val="283F2294"/>
    <w:rsid w:val="2B8C3E6A"/>
    <w:rsid w:val="2D4841D0"/>
    <w:rsid w:val="32B65E8D"/>
    <w:rsid w:val="33262861"/>
    <w:rsid w:val="33527CC1"/>
    <w:rsid w:val="375C23E1"/>
    <w:rsid w:val="3BCB12A4"/>
    <w:rsid w:val="3E2B2515"/>
    <w:rsid w:val="3F731B5C"/>
    <w:rsid w:val="432C4FE7"/>
    <w:rsid w:val="437432AA"/>
    <w:rsid w:val="43BC27BA"/>
    <w:rsid w:val="4CC254E6"/>
    <w:rsid w:val="587E2E83"/>
    <w:rsid w:val="5BB90E0F"/>
    <w:rsid w:val="5CAA5AE0"/>
    <w:rsid w:val="5CCF6668"/>
    <w:rsid w:val="5D2F6C6E"/>
    <w:rsid w:val="5DBF4C41"/>
    <w:rsid w:val="5E80174A"/>
    <w:rsid w:val="68A7137F"/>
    <w:rsid w:val="6A2A2694"/>
    <w:rsid w:val="6B553CEA"/>
    <w:rsid w:val="6C0C67BA"/>
    <w:rsid w:val="6D347C83"/>
    <w:rsid w:val="70CF5362"/>
    <w:rsid w:val="75D831DB"/>
    <w:rsid w:val="77B77377"/>
    <w:rsid w:val="7E6955EC"/>
    <w:rsid w:val="7E6D2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snapToGrid w:val="0"/>
    </w:pPr>
    <w:rPr>
      <w:rFonts w:ascii="Arial" w:hAnsi="Arial" w:eastAsia="Arial" w:cs="Times New Roman"/>
      <w:color w:val="000000"/>
      <w:sz w:val="21"/>
      <w:szCs w:val="21"/>
      <w:lang w:val="en-US" w:eastAsia="zh-CN" w:bidi="ar-SA"/>
    </w:rPr>
  </w:style>
  <w:style w:type="paragraph" w:styleId="3">
    <w:name w:val="heading 2"/>
    <w:basedOn w:val="1"/>
    <w:next w:val="1"/>
    <w:qFormat/>
    <w:uiPriority w:val="0"/>
    <w:pPr>
      <w:numPr>
        <w:ilvl w:val="0"/>
        <w:numId w:val="0"/>
      </w:numPr>
      <w:spacing w:before="120" w:after="120" w:line="240" w:lineRule="auto"/>
      <w:ind w:left="0" w:firstLine="0"/>
      <w:outlineLvl w:val="1"/>
    </w:pPr>
    <w:rPr>
      <w:rFonts w:ascii="黑体" w:hAnsi="黑体"/>
      <w:szCs w:val="30"/>
    </w:rPr>
  </w:style>
  <w:style w:type="paragraph" w:styleId="4">
    <w:name w:val="heading 3"/>
    <w:basedOn w:val="1"/>
    <w:next w:val="1"/>
    <w:unhideWhenUsed/>
    <w:qFormat/>
    <w:uiPriority w:val="1"/>
    <w:pPr>
      <w:spacing w:before="50" w:beforeLines="50" w:after="50" w:afterLines="50" w:line="240" w:lineRule="auto"/>
      <w:outlineLvl w:val="2"/>
    </w:pPr>
    <w:rPr>
      <w:rFonts w:ascii="宋体" w:hAnsi="宋体" w:eastAsia="宋体"/>
      <w:b/>
      <w:sz w:val="28"/>
      <w:szCs w:val="24"/>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ind w:firstLine="880"/>
    </w:pPr>
  </w:style>
  <w:style w:type="paragraph" w:styleId="5">
    <w:name w:val="toc 7"/>
    <w:basedOn w:val="1"/>
    <w:next w:val="1"/>
    <w:unhideWhenUsed/>
    <w:qFormat/>
    <w:uiPriority w:val="39"/>
    <w:pPr>
      <w:widowControl w:val="0"/>
      <w:kinsoku/>
      <w:autoSpaceDE/>
      <w:autoSpaceDN/>
      <w:snapToGrid/>
      <w:ind w:left="2520" w:leftChars="1200"/>
      <w:jc w:val="both"/>
    </w:pPr>
    <w:rPr>
      <w:rFonts w:asciiTheme="minorHAnsi" w:hAnsiTheme="minorHAnsi" w:eastAsiaTheme="minorEastAsia" w:cstheme="minorBidi"/>
      <w:color w:val="auto"/>
      <w:kern w:val="2"/>
      <w:szCs w:val="22"/>
      <w14:ligatures w14:val="standardContextual"/>
    </w:rPr>
  </w:style>
  <w:style w:type="paragraph" w:styleId="6">
    <w:name w:val="annotation text"/>
    <w:basedOn w:val="1"/>
    <w:qFormat/>
    <w:uiPriority w:val="0"/>
  </w:style>
  <w:style w:type="paragraph" w:styleId="7">
    <w:name w:val="toc 5"/>
    <w:basedOn w:val="1"/>
    <w:next w:val="1"/>
    <w:unhideWhenUsed/>
    <w:qFormat/>
    <w:uiPriority w:val="39"/>
    <w:pPr>
      <w:widowControl w:val="0"/>
      <w:kinsoku/>
      <w:autoSpaceDE/>
      <w:autoSpaceDN/>
      <w:snapToGrid/>
      <w:ind w:left="1680" w:leftChars="800"/>
      <w:jc w:val="both"/>
    </w:pPr>
    <w:rPr>
      <w:rFonts w:asciiTheme="minorHAnsi" w:hAnsiTheme="minorHAnsi" w:eastAsiaTheme="minorEastAsia" w:cstheme="minorBidi"/>
      <w:color w:val="auto"/>
      <w:kern w:val="2"/>
      <w:szCs w:val="22"/>
      <w14:ligatures w14:val="standardContextual"/>
    </w:rPr>
  </w:style>
  <w:style w:type="paragraph" w:styleId="8">
    <w:name w:val="toc 3"/>
    <w:basedOn w:val="1"/>
    <w:next w:val="1"/>
    <w:qFormat/>
    <w:uiPriority w:val="39"/>
    <w:pPr>
      <w:ind w:left="840" w:leftChars="400"/>
    </w:pPr>
  </w:style>
  <w:style w:type="paragraph" w:styleId="9">
    <w:name w:val="Plain Text"/>
    <w:basedOn w:val="1"/>
    <w:next w:val="1"/>
    <w:qFormat/>
    <w:uiPriority w:val="99"/>
    <w:rPr>
      <w:rFonts w:ascii="宋体"/>
    </w:rPr>
  </w:style>
  <w:style w:type="paragraph" w:styleId="10">
    <w:name w:val="toc 8"/>
    <w:basedOn w:val="1"/>
    <w:next w:val="1"/>
    <w:unhideWhenUsed/>
    <w:qFormat/>
    <w:uiPriority w:val="39"/>
    <w:pPr>
      <w:widowControl w:val="0"/>
      <w:kinsoku/>
      <w:autoSpaceDE/>
      <w:autoSpaceDN/>
      <w:snapToGrid/>
      <w:ind w:left="2940" w:leftChars="1400"/>
      <w:jc w:val="both"/>
    </w:pPr>
    <w:rPr>
      <w:rFonts w:asciiTheme="minorHAnsi" w:hAnsiTheme="minorHAnsi" w:eastAsiaTheme="minorEastAsia" w:cstheme="minorBidi"/>
      <w:color w:val="auto"/>
      <w:kern w:val="2"/>
      <w:szCs w:val="22"/>
      <w14:ligatures w14:val="standardContextual"/>
    </w:rPr>
  </w:style>
  <w:style w:type="paragraph" w:styleId="11">
    <w:name w:val="Balloon Text"/>
    <w:basedOn w:val="1"/>
    <w:link w:val="74"/>
    <w:qFormat/>
    <w:uiPriority w:val="0"/>
    <w:rPr>
      <w:sz w:val="18"/>
      <w:szCs w:val="18"/>
    </w:rPr>
  </w:style>
  <w:style w:type="paragraph" w:styleId="12">
    <w:name w:val="footer"/>
    <w:basedOn w:val="1"/>
    <w:link w:val="71"/>
    <w:qFormat/>
    <w:uiPriority w:val="99"/>
    <w:pPr>
      <w:tabs>
        <w:tab w:val="center" w:pos="4153"/>
        <w:tab w:val="right" w:pos="8306"/>
      </w:tabs>
    </w:pPr>
    <w:rPr>
      <w:sz w:val="18"/>
      <w:szCs w:val="18"/>
    </w:rPr>
  </w:style>
  <w:style w:type="paragraph" w:styleId="13">
    <w:name w:val="header"/>
    <w:basedOn w:val="1"/>
    <w:link w:val="70"/>
    <w:qFormat/>
    <w:uiPriority w:val="0"/>
    <w:pPr>
      <w:tabs>
        <w:tab w:val="center" w:pos="4153"/>
        <w:tab w:val="right" w:pos="8306"/>
      </w:tabs>
      <w:jc w:val="center"/>
    </w:pPr>
    <w:rPr>
      <w:sz w:val="18"/>
      <w:szCs w:val="18"/>
    </w:rPr>
  </w:style>
  <w:style w:type="paragraph" w:styleId="14">
    <w:name w:val="toc 1"/>
    <w:basedOn w:val="1"/>
    <w:next w:val="1"/>
    <w:qFormat/>
    <w:uiPriority w:val="39"/>
  </w:style>
  <w:style w:type="paragraph" w:styleId="15">
    <w:name w:val="toc 4"/>
    <w:basedOn w:val="1"/>
    <w:next w:val="1"/>
    <w:unhideWhenUsed/>
    <w:qFormat/>
    <w:uiPriority w:val="39"/>
    <w:pPr>
      <w:widowControl w:val="0"/>
      <w:kinsoku/>
      <w:autoSpaceDE/>
      <w:autoSpaceDN/>
      <w:snapToGrid/>
      <w:ind w:left="1260" w:leftChars="600"/>
      <w:jc w:val="both"/>
    </w:pPr>
    <w:rPr>
      <w:rFonts w:asciiTheme="minorHAnsi" w:hAnsiTheme="minorHAnsi" w:eastAsiaTheme="minorEastAsia" w:cstheme="minorBidi"/>
      <w:color w:val="auto"/>
      <w:kern w:val="2"/>
      <w:szCs w:val="22"/>
      <w14:ligatures w14:val="standardContextual"/>
    </w:rPr>
  </w:style>
  <w:style w:type="paragraph" w:styleId="16">
    <w:name w:val="toc 6"/>
    <w:basedOn w:val="1"/>
    <w:next w:val="1"/>
    <w:unhideWhenUsed/>
    <w:qFormat/>
    <w:uiPriority w:val="39"/>
    <w:pPr>
      <w:widowControl w:val="0"/>
      <w:kinsoku/>
      <w:autoSpaceDE/>
      <w:autoSpaceDN/>
      <w:snapToGrid/>
      <w:ind w:left="2100" w:leftChars="1000"/>
      <w:jc w:val="both"/>
    </w:pPr>
    <w:rPr>
      <w:rFonts w:asciiTheme="minorHAnsi" w:hAnsiTheme="minorHAnsi" w:eastAsiaTheme="minorEastAsia" w:cstheme="minorBidi"/>
      <w:color w:val="auto"/>
      <w:kern w:val="2"/>
      <w:szCs w:val="22"/>
      <w14:ligatures w14:val="standardContextual"/>
    </w:rPr>
  </w:style>
  <w:style w:type="paragraph" w:styleId="17">
    <w:name w:val="toc 2"/>
    <w:basedOn w:val="1"/>
    <w:next w:val="1"/>
    <w:qFormat/>
    <w:uiPriority w:val="39"/>
    <w:pPr>
      <w:ind w:left="420" w:leftChars="200"/>
    </w:pPr>
  </w:style>
  <w:style w:type="paragraph" w:styleId="18">
    <w:name w:val="toc 9"/>
    <w:basedOn w:val="1"/>
    <w:next w:val="1"/>
    <w:unhideWhenUsed/>
    <w:qFormat/>
    <w:uiPriority w:val="39"/>
    <w:pPr>
      <w:widowControl w:val="0"/>
      <w:kinsoku/>
      <w:autoSpaceDE/>
      <w:autoSpaceDN/>
      <w:snapToGrid/>
      <w:ind w:left="3360" w:leftChars="1600"/>
      <w:jc w:val="both"/>
    </w:pPr>
    <w:rPr>
      <w:rFonts w:asciiTheme="minorHAnsi" w:hAnsiTheme="minorHAnsi" w:eastAsiaTheme="minorEastAsia" w:cstheme="minorBidi"/>
      <w:color w:val="auto"/>
      <w:kern w:val="2"/>
      <w:szCs w:val="22"/>
      <w14:ligatures w14:val="standardContextual"/>
    </w:r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styleId="22">
    <w:name w:val="annotation reference"/>
    <w:basedOn w:val="20"/>
    <w:qFormat/>
    <w:uiPriority w:val="0"/>
    <w:rPr>
      <w:sz w:val="21"/>
      <w:szCs w:val="21"/>
    </w:rPr>
  </w:style>
  <w:style w:type="paragraph" w:customStyle="1" w:styleId="23">
    <w:name w:val="Default"/>
    <w:qFormat/>
    <w:uiPriority w:val="0"/>
    <w:pPr>
      <w:widowControl w:val="0"/>
      <w:autoSpaceDE w:val="0"/>
      <w:autoSpaceDN w:val="0"/>
    </w:pPr>
    <w:rPr>
      <w:rFonts w:ascii="宋体" w:hAnsi="Times New Roman" w:eastAsia="宋体" w:cs="Times New Roman"/>
      <w:color w:val="000000"/>
      <w:sz w:val="24"/>
      <w:lang w:val="en-US" w:eastAsia="zh-CN" w:bidi="ar-SA"/>
    </w:rPr>
  </w:style>
  <w:style w:type="paragraph" w:customStyle="1" w:styleId="24">
    <w:name w:val="标题 11"/>
    <w:basedOn w:val="1"/>
    <w:qFormat/>
    <w:uiPriority w:val="0"/>
    <w:pPr>
      <w:keepNext/>
      <w:keepLines/>
      <w:spacing w:before="340" w:after="330" w:line="578" w:lineRule="auto"/>
      <w:jc w:val="center"/>
      <w:outlineLvl w:val="0"/>
    </w:pPr>
    <w:rPr>
      <w:rFonts w:eastAsia="宋体"/>
      <w:b/>
      <w:bCs/>
      <w:kern w:val="44"/>
      <w:sz w:val="44"/>
      <w:szCs w:val="44"/>
    </w:rPr>
  </w:style>
  <w:style w:type="paragraph" w:customStyle="1" w:styleId="25">
    <w:name w:val="标题 21"/>
    <w:basedOn w:val="24"/>
    <w:qFormat/>
    <w:uiPriority w:val="0"/>
    <w:pPr>
      <w:spacing w:before="120" w:after="120" w:line="240" w:lineRule="auto"/>
      <w:outlineLvl w:val="1"/>
    </w:pPr>
    <w:rPr>
      <w:rFonts w:ascii="黑体" w:hAnsi="黑体"/>
      <w:b w:val="0"/>
      <w:szCs w:val="30"/>
    </w:rPr>
  </w:style>
  <w:style w:type="paragraph" w:customStyle="1" w:styleId="26">
    <w:name w:val="标题 31"/>
    <w:basedOn w:val="1"/>
    <w:qFormat/>
    <w:uiPriority w:val="0"/>
    <w:pPr>
      <w:spacing w:before="50" w:after="50"/>
      <w:outlineLvl w:val="2"/>
    </w:pPr>
    <w:rPr>
      <w:rFonts w:ascii="宋体" w:hAnsi="宋体" w:eastAsia="宋体"/>
      <w:b/>
      <w:sz w:val="28"/>
      <w:szCs w:val="24"/>
    </w:rPr>
  </w:style>
  <w:style w:type="paragraph" w:customStyle="1" w:styleId="27">
    <w:name w:val="标题 41"/>
    <w:basedOn w:val="1"/>
    <w:qFormat/>
    <w:uiPriority w:val="0"/>
    <w:pPr>
      <w:outlineLvl w:val="3"/>
    </w:pPr>
    <w:rPr>
      <w:rFonts w:ascii="宋体" w:hAnsi="宋体" w:eastAsia="宋体"/>
      <w:sz w:val="28"/>
      <w:szCs w:val="24"/>
    </w:rPr>
  </w:style>
  <w:style w:type="paragraph" w:customStyle="1" w:styleId="28">
    <w:name w:val="标题 61"/>
    <w:basedOn w:val="1"/>
    <w:qFormat/>
    <w:uiPriority w:val="0"/>
    <w:pPr>
      <w:keepNext/>
      <w:keepLines/>
      <w:tabs>
        <w:tab w:val="left" w:pos="1440"/>
      </w:tabs>
      <w:spacing w:before="240" w:after="64" w:line="320" w:lineRule="auto"/>
      <w:ind w:left="1152" w:hanging="1152"/>
      <w:outlineLvl w:val="5"/>
    </w:pPr>
    <w:rPr>
      <w:rFonts w:eastAsia="黑体"/>
      <w:b/>
      <w:bCs/>
      <w:sz w:val="24"/>
      <w:szCs w:val="24"/>
    </w:rPr>
  </w:style>
  <w:style w:type="character" w:customStyle="1" w:styleId="29">
    <w:name w:val="默认段落字体1"/>
    <w:semiHidden/>
    <w:qFormat/>
    <w:uiPriority w:val="0"/>
  </w:style>
  <w:style w:type="table" w:customStyle="1" w:styleId="30">
    <w:name w:val="普通表格1"/>
    <w:semiHidden/>
    <w:qFormat/>
    <w:uiPriority w:val="0"/>
    <w:tblPr>
      <w:tblCellMar>
        <w:top w:w="0" w:type="dxa"/>
        <w:left w:w="0" w:type="dxa"/>
        <w:bottom w:w="0" w:type="dxa"/>
        <w:right w:w="0" w:type="dxa"/>
      </w:tblCellMar>
    </w:tblPr>
  </w:style>
  <w:style w:type="paragraph" w:customStyle="1" w:styleId="31">
    <w:name w:val="正文缩进11"/>
    <w:basedOn w:val="1"/>
    <w:qFormat/>
    <w:uiPriority w:val="0"/>
    <w:pPr>
      <w:ind w:firstLine="420" w:firstLineChars="200"/>
    </w:pPr>
  </w:style>
  <w:style w:type="paragraph" w:customStyle="1" w:styleId="32">
    <w:name w:val="批注文字1"/>
    <w:basedOn w:val="1"/>
    <w:qFormat/>
    <w:uiPriority w:val="0"/>
  </w:style>
  <w:style w:type="paragraph" w:customStyle="1" w:styleId="33">
    <w:name w:val="正文文本 31"/>
    <w:qFormat/>
    <w:uiPriority w:val="0"/>
    <w:pPr>
      <w:widowControl w:val="0"/>
      <w:spacing w:after="120"/>
      <w:jc w:val="both"/>
    </w:pPr>
    <w:rPr>
      <w:rFonts w:ascii="Times New Roman" w:hAnsi="Times New Roman" w:eastAsia="楷体_GB2312" w:cs="Times New Roman"/>
      <w:kern w:val="2"/>
      <w:sz w:val="16"/>
      <w:szCs w:val="16"/>
      <w:lang w:val="en-US" w:eastAsia="zh-CN" w:bidi="ar-SA"/>
    </w:rPr>
  </w:style>
  <w:style w:type="paragraph" w:customStyle="1" w:styleId="34">
    <w:name w:val="正文文本1"/>
    <w:basedOn w:val="1"/>
    <w:qFormat/>
    <w:uiPriority w:val="0"/>
    <w:pPr>
      <w:spacing w:after="120"/>
    </w:pPr>
  </w:style>
  <w:style w:type="paragraph" w:customStyle="1" w:styleId="35">
    <w:name w:val="正文文本缩进1"/>
    <w:basedOn w:val="1"/>
    <w:qFormat/>
    <w:uiPriority w:val="0"/>
    <w:pPr>
      <w:ind w:firstLine="600" w:firstLineChars="200"/>
    </w:pPr>
    <w:rPr>
      <w:rFonts w:ascii="宋体"/>
      <w:sz w:val="30"/>
      <w:szCs w:val="20"/>
    </w:rPr>
  </w:style>
  <w:style w:type="paragraph" w:customStyle="1" w:styleId="36">
    <w:name w:val="寄信人地址1"/>
    <w:basedOn w:val="1"/>
    <w:qFormat/>
    <w:uiPriority w:val="0"/>
  </w:style>
  <w:style w:type="paragraph" w:customStyle="1" w:styleId="37">
    <w:name w:val="目录 31"/>
    <w:basedOn w:val="1"/>
    <w:qFormat/>
    <w:uiPriority w:val="0"/>
    <w:pPr>
      <w:ind w:left="840" w:leftChars="400"/>
    </w:pPr>
  </w:style>
  <w:style w:type="paragraph" w:customStyle="1" w:styleId="38">
    <w:name w:val="纯文本1"/>
    <w:basedOn w:val="1"/>
    <w:qFormat/>
    <w:uiPriority w:val="0"/>
    <w:rPr>
      <w:rFonts w:ascii="宋体" w:hAnsi="Courier New"/>
      <w:szCs w:val="20"/>
    </w:rPr>
  </w:style>
  <w:style w:type="paragraph" w:customStyle="1" w:styleId="39">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40">
    <w:name w:val="日期1"/>
    <w:basedOn w:val="1"/>
    <w:qFormat/>
    <w:uiPriority w:val="0"/>
    <w:pPr>
      <w:ind w:left="100" w:leftChars="2500"/>
    </w:pPr>
    <w:rPr>
      <w:sz w:val="20"/>
    </w:rPr>
  </w:style>
  <w:style w:type="paragraph" w:customStyle="1" w:styleId="41">
    <w:name w:val="页脚1"/>
    <w:basedOn w:val="1"/>
    <w:qFormat/>
    <w:uiPriority w:val="0"/>
    <w:pPr>
      <w:tabs>
        <w:tab w:val="center" w:pos="4153"/>
        <w:tab w:val="right" w:pos="8306"/>
      </w:tabs>
    </w:pPr>
    <w:rPr>
      <w:sz w:val="18"/>
    </w:rPr>
  </w:style>
  <w:style w:type="paragraph" w:customStyle="1" w:styleId="42">
    <w:name w:val="目录 11"/>
    <w:basedOn w:val="1"/>
    <w:qFormat/>
    <w:uiPriority w:val="0"/>
  </w:style>
  <w:style w:type="paragraph" w:customStyle="1" w:styleId="43">
    <w:name w:val="正文文本缩进 31"/>
    <w:basedOn w:val="1"/>
    <w:qFormat/>
    <w:uiPriority w:val="0"/>
    <w:pPr>
      <w:spacing w:after="120"/>
      <w:ind w:left="420" w:leftChars="200"/>
    </w:pPr>
    <w:rPr>
      <w:sz w:val="16"/>
      <w:szCs w:val="16"/>
    </w:rPr>
  </w:style>
  <w:style w:type="paragraph" w:customStyle="1" w:styleId="44">
    <w:name w:val="目录 21"/>
    <w:basedOn w:val="1"/>
    <w:qFormat/>
    <w:uiPriority w:val="0"/>
    <w:pPr>
      <w:ind w:left="420" w:leftChars="200"/>
    </w:pPr>
  </w:style>
  <w:style w:type="paragraph" w:customStyle="1" w:styleId="45">
    <w:name w:val="普通(网站)1"/>
    <w:basedOn w:val="1"/>
    <w:qFormat/>
    <w:uiPriority w:val="0"/>
    <w:pPr>
      <w:spacing w:before="100" w:beforeAutospacing="1" w:after="100" w:afterAutospacing="1"/>
    </w:pPr>
    <w:rPr>
      <w:sz w:val="24"/>
    </w:rPr>
  </w:style>
  <w:style w:type="paragraph" w:customStyle="1" w:styleId="46">
    <w:name w:val="正文首行缩进1"/>
    <w:basedOn w:val="34"/>
    <w:qFormat/>
    <w:uiPriority w:val="0"/>
    <w:pPr>
      <w:ind w:firstLine="420"/>
    </w:pPr>
    <w:rPr>
      <w:rFonts w:ascii="Times New Roman" w:hAnsi="Times New Roman" w:eastAsia="楷体_GB2312"/>
      <w:sz w:val="20"/>
      <w:szCs w:val="20"/>
    </w:rPr>
  </w:style>
  <w:style w:type="paragraph" w:customStyle="1" w:styleId="47">
    <w:name w:val="正文首行缩进 21"/>
    <w:basedOn w:val="1"/>
    <w:qFormat/>
    <w:uiPriority w:val="0"/>
    <w:pPr>
      <w:widowControl w:val="0"/>
      <w:spacing w:after="120"/>
      <w:ind w:left="420" w:leftChars="200" w:firstLine="420" w:firstLineChars="200"/>
      <w:jc w:val="both"/>
    </w:pPr>
    <w:rPr>
      <w:rFonts w:ascii="Calibri" w:hAnsi="Calibri" w:eastAsia="宋体"/>
      <w:kern w:val="2"/>
      <w:szCs w:val="24"/>
    </w:rPr>
  </w:style>
  <w:style w:type="paragraph" w:customStyle="1" w:styleId="48">
    <w:name w:val="样式 正文首行缩进 2 + Arial"/>
    <w:basedOn w:val="1"/>
    <w:qFormat/>
    <w:uiPriority w:val="0"/>
    <w:pPr>
      <w:spacing w:before="100" w:beforeAutospacing="1" w:after="120" w:line="320" w:lineRule="atLeast"/>
      <w:ind w:firstLine="200" w:firstLineChars="200"/>
    </w:pPr>
    <w:rPr>
      <w:sz w:val="24"/>
      <w:szCs w:val="24"/>
    </w:rPr>
  </w:style>
  <w:style w:type="table" w:customStyle="1" w:styleId="49">
    <w:name w:val="网格型1"/>
    <w:basedOn w:val="30"/>
    <w:qFormat/>
    <w:uiPriority w:val="0"/>
    <w:pPr>
      <w:widowControl w:val="0"/>
      <w:jc w:val="both"/>
    </w:pPr>
  </w:style>
  <w:style w:type="character" w:customStyle="1" w:styleId="50">
    <w:name w:val="超链接1"/>
    <w:qFormat/>
    <w:uiPriority w:val="0"/>
    <w:rPr>
      <w:rFonts w:ascii="Arial" w:hAnsi="Arial" w:eastAsia="黑体"/>
      <w:color w:val="0000FF"/>
      <w:kern w:val="2"/>
      <w:sz w:val="21"/>
      <w:szCs w:val="21"/>
      <w:u w:val="single"/>
      <w:lang w:val="en-US" w:eastAsia="zh-CN" w:bidi="ar-SA"/>
    </w:rPr>
  </w:style>
  <w:style w:type="paragraph" w:customStyle="1" w:styleId="51">
    <w:name w:val="样式 行距: 1.5 倍行距1"/>
    <w:basedOn w:val="1"/>
    <w:qFormat/>
    <w:uiPriority w:val="0"/>
    <w:pPr>
      <w:ind w:firstLine="560" w:firstLineChars="200"/>
    </w:pPr>
    <w:rPr>
      <w:rFonts w:ascii="Times New Roman" w:hAnsi="Times New Roman" w:eastAsia="宋体"/>
    </w:rPr>
  </w:style>
  <w:style w:type="paragraph" w:customStyle="1" w:styleId="52">
    <w:name w:val="正文 New"/>
    <w:qFormat/>
    <w:uiPriority w:val="0"/>
    <w:pPr>
      <w:widowControl w:val="0"/>
      <w:jc w:val="both"/>
    </w:pPr>
    <w:rPr>
      <w:rFonts w:ascii="Times New Roman" w:hAnsi="Times New Roman" w:eastAsia="方正楷体_GB2312" w:cs="Times New Roman"/>
      <w:kern w:val="2"/>
      <w:sz w:val="21"/>
      <w:lang w:val="en-US" w:eastAsia="zh-CN" w:bidi="ar-SA"/>
    </w:rPr>
  </w:style>
  <w:style w:type="paragraph" w:customStyle="1" w:styleId="53">
    <w:name w:val="正文 New New New New New New New New New"/>
    <w:qFormat/>
    <w:uiPriority w:val="0"/>
    <w:pPr>
      <w:widowControl w:val="0"/>
      <w:jc w:val="both"/>
    </w:pPr>
    <w:rPr>
      <w:rFonts w:ascii="Times New Roman" w:hAnsi="Times New Roman" w:eastAsia="方正楷体_GB2312" w:cs="Times New Roman"/>
      <w:kern w:val="2"/>
      <w:sz w:val="21"/>
      <w:lang w:val="en-US" w:eastAsia="zh-CN" w:bidi="ar-SA"/>
    </w:rPr>
  </w:style>
  <w:style w:type="paragraph" w:customStyle="1" w:styleId="54">
    <w:name w:val="正文缩进1"/>
    <w:basedOn w:val="55"/>
    <w:qFormat/>
    <w:uiPriority w:val="0"/>
    <w:pPr>
      <w:widowControl w:val="0"/>
      <w:spacing w:line="360" w:lineRule="auto"/>
      <w:ind w:firstLine="200" w:firstLineChars="200"/>
      <w:jc w:val="both"/>
    </w:pPr>
    <w:rPr>
      <w:rFonts w:ascii="Times New Roman" w:hAnsi="Times New Roman" w:eastAsia="宋体"/>
      <w:kern w:val="2"/>
      <w:szCs w:val="22"/>
    </w:rPr>
  </w:style>
  <w:style w:type="paragraph" w:customStyle="1" w:styleId="55">
    <w:name w:val="正文1"/>
    <w:basedOn w:val="1"/>
    <w:qFormat/>
    <w:uiPriority w:val="0"/>
    <w:pPr>
      <w:spacing w:line="240" w:lineRule="atLeast"/>
      <w:jc w:val="center"/>
    </w:pPr>
    <w:rPr>
      <w:rFonts w:ascii="Tahoma" w:hAnsi="Tahoma"/>
      <w:sz w:val="24"/>
    </w:rPr>
  </w:style>
  <w:style w:type="paragraph" w:customStyle="1" w:styleId="56">
    <w:name w:val="WPSOffice手动目录 2"/>
    <w:qFormat/>
    <w:uiPriority w:val="0"/>
    <w:pPr>
      <w:ind w:left="200" w:leftChars="200"/>
    </w:pPr>
    <w:rPr>
      <w:rFonts w:ascii="Arial" w:hAnsi="Arial" w:eastAsia="Arial" w:cs="Times New Roman"/>
      <w:lang w:val="en-US" w:eastAsia="zh-CN" w:bidi="ar-SA"/>
    </w:rPr>
  </w:style>
  <w:style w:type="paragraph" w:customStyle="1" w:styleId="57">
    <w:name w:val="样式 宋体 行距: 1.5 倍行距"/>
    <w:basedOn w:val="1"/>
    <w:qFormat/>
    <w:uiPriority w:val="0"/>
    <w:pPr>
      <w:jc w:val="center"/>
    </w:pPr>
    <w:rPr>
      <w:b/>
    </w:rPr>
  </w:style>
  <w:style w:type="paragraph" w:customStyle="1" w:styleId="5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59">
    <w:name w:val="发文落款"/>
    <w:basedOn w:val="58"/>
    <w:qFormat/>
    <w:uiPriority w:val="0"/>
    <w:pPr>
      <w:ind w:left="4094" w:right="607" w:firstLine="0"/>
      <w:jc w:val="center"/>
    </w:pPr>
  </w:style>
  <w:style w:type="paragraph" w:customStyle="1" w:styleId="60">
    <w:name w:val="WPSOffice手动目录 1"/>
    <w:qFormat/>
    <w:uiPriority w:val="0"/>
    <w:rPr>
      <w:rFonts w:ascii="Arial" w:hAnsi="Arial" w:eastAsia="Arial" w:cs="Times New Roman"/>
      <w:lang w:val="en-US" w:eastAsia="zh-CN" w:bidi="ar-SA"/>
    </w:rPr>
  </w:style>
  <w:style w:type="paragraph" w:customStyle="1" w:styleId="61">
    <w:name w:val="Table Paragraph"/>
    <w:basedOn w:val="1"/>
    <w:qFormat/>
    <w:uiPriority w:val="0"/>
    <w:rPr>
      <w:sz w:val="24"/>
      <w:szCs w:val="24"/>
    </w:rPr>
  </w:style>
  <w:style w:type="paragraph" w:customStyle="1" w:styleId="62">
    <w:name w:val="WPSOffice手动目录 3"/>
    <w:qFormat/>
    <w:uiPriority w:val="0"/>
    <w:pPr>
      <w:ind w:left="400" w:leftChars="400"/>
    </w:pPr>
    <w:rPr>
      <w:rFonts w:ascii="Arial" w:hAnsi="Arial" w:eastAsia="Arial" w:cs="Times New Roman"/>
      <w:lang w:val="en-US" w:eastAsia="zh-CN" w:bidi="ar-SA"/>
    </w:rPr>
  </w:style>
  <w:style w:type="table" w:customStyle="1" w:styleId="63">
    <w:name w:val="Table Normal"/>
    <w:qFormat/>
    <w:uiPriority w:val="0"/>
    <w:tblPr>
      <w:tblCellMar>
        <w:top w:w="0" w:type="dxa"/>
        <w:left w:w="0" w:type="dxa"/>
        <w:bottom w:w="0" w:type="dxa"/>
        <w:right w:w="0" w:type="dxa"/>
      </w:tblCellMar>
    </w:tblPr>
  </w:style>
  <w:style w:type="paragraph" w:customStyle="1" w:styleId="64">
    <w:name w:val="0正文"/>
    <w:basedOn w:val="1"/>
    <w:qFormat/>
    <w:uiPriority w:val="0"/>
    <w:pPr>
      <w:spacing w:line="520" w:lineRule="atLeast"/>
      <w:ind w:firstLine="480" w:firstLineChars="200"/>
    </w:pPr>
    <w:rPr>
      <w:rFonts w:ascii="Times New Roman" w:hAnsi="Times New Roman" w:eastAsia="宋体"/>
      <w:sz w:val="24"/>
      <w:szCs w:val="24"/>
    </w:rPr>
  </w:style>
  <w:style w:type="paragraph" w:customStyle="1" w:styleId="65">
    <w:name w:val="Table Text"/>
    <w:basedOn w:val="1"/>
    <w:semiHidden/>
    <w:qFormat/>
    <w:uiPriority w:val="0"/>
    <w:rPr>
      <w:rFonts w:ascii="宋体" w:hAnsi="宋体"/>
      <w:sz w:val="24"/>
      <w:szCs w:val="24"/>
      <w:lang w:eastAsia="en-US"/>
    </w:rPr>
  </w:style>
  <w:style w:type="character" w:customStyle="1" w:styleId="66">
    <w:name w:val="font41"/>
    <w:qFormat/>
    <w:uiPriority w:val="0"/>
    <w:rPr>
      <w:rFonts w:hint="eastAsia" w:ascii="宋体" w:hAnsi="宋体" w:eastAsia="宋体"/>
      <w:color w:val="000000"/>
      <w:sz w:val="24"/>
      <w:szCs w:val="24"/>
      <w:u w:val="none"/>
    </w:rPr>
  </w:style>
  <w:style w:type="character" w:customStyle="1" w:styleId="67">
    <w:name w:val="font21"/>
    <w:qFormat/>
    <w:uiPriority w:val="0"/>
    <w:rPr>
      <w:rFonts w:hint="eastAsia" w:ascii="宋体" w:hAnsi="宋体" w:eastAsia="宋体"/>
      <w:b/>
      <w:color w:val="000000"/>
      <w:sz w:val="24"/>
      <w:szCs w:val="24"/>
      <w:u w:val="none"/>
    </w:rPr>
  </w:style>
  <w:style w:type="character" w:customStyle="1" w:styleId="68">
    <w:name w:val="font31"/>
    <w:qFormat/>
    <w:uiPriority w:val="0"/>
    <w:rPr>
      <w:rFonts w:ascii="Times New Roman" w:hAnsi="Times New Roman"/>
      <w:color w:val="000000"/>
      <w:sz w:val="24"/>
      <w:szCs w:val="24"/>
      <w:u w:val="none"/>
    </w:rPr>
  </w:style>
  <w:style w:type="character" w:customStyle="1" w:styleId="69">
    <w:name w:val="font01"/>
    <w:qFormat/>
    <w:uiPriority w:val="0"/>
    <w:rPr>
      <w:rFonts w:hint="eastAsia" w:ascii="宋体" w:hAnsi="宋体" w:eastAsia="宋体"/>
      <w:color w:val="000000"/>
      <w:sz w:val="24"/>
      <w:szCs w:val="24"/>
      <w:u w:val="none"/>
    </w:rPr>
  </w:style>
  <w:style w:type="character" w:customStyle="1" w:styleId="70">
    <w:name w:val="页眉 字符"/>
    <w:basedOn w:val="20"/>
    <w:link w:val="13"/>
    <w:qFormat/>
    <w:uiPriority w:val="0"/>
    <w:rPr>
      <w:rFonts w:ascii="Arial" w:hAnsi="Arial" w:eastAsia="Arial"/>
      <w:color w:val="000000"/>
      <w:sz w:val="18"/>
      <w:szCs w:val="18"/>
    </w:rPr>
  </w:style>
  <w:style w:type="character" w:customStyle="1" w:styleId="71">
    <w:name w:val="页脚 字符"/>
    <w:basedOn w:val="20"/>
    <w:link w:val="12"/>
    <w:qFormat/>
    <w:uiPriority w:val="99"/>
    <w:rPr>
      <w:rFonts w:ascii="Arial" w:hAnsi="Arial" w:eastAsia="Arial"/>
      <w:color w:val="000000"/>
      <w:sz w:val="18"/>
      <w:szCs w:val="18"/>
    </w:rPr>
  </w:style>
  <w:style w:type="character" w:customStyle="1" w:styleId="72">
    <w:name w:val="未处理的提及1"/>
    <w:basedOn w:val="20"/>
    <w:unhideWhenUsed/>
    <w:qFormat/>
    <w:uiPriority w:val="99"/>
    <w:rPr>
      <w:color w:val="605E5C"/>
      <w:shd w:val="clear" w:color="auto" w:fill="E1DFDD"/>
    </w:rPr>
  </w:style>
  <w:style w:type="paragraph" w:customStyle="1" w:styleId="73">
    <w:name w:val="修订1"/>
    <w:hidden/>
    <w:unhideWhenUsed/>
    <w:qFormat/>
    <w:uiPriority w:val="99"/>
    <w:rPr>
      <w:rFonts w:ascii="Arial" w:hAnsi="Arial" w:eastAsia="Arial" w:cs="Times New Roman"/>
      <w:color w:val="000000"/>
      <w:sz w:val="21"/>
      <w:szCs w:val="21"/>
      <w:lang w:val="en-US" w:eastAsia="zh-CN" w:bidi="ar-SA"/>
    </w:rPr>
  </w:style>
  <w:style w:type="character" w:customStyle="1" w:styleId="74">
    <w:name w:val="批注框文本 字符"/>
    <w:basedOn w:val="20"/>
    <w:link w:val="11"/>
    <w:qFormat/>
    <w:uiPriority w:val="0"/>
    <w:rPr>
      <w:rFonts w:ascii="Arial" w:hAnsi="Arial" w:eastAsia="Arial"/>
      <w:color w:val="000000"/>
      <w:sz w:val="18"/>
      <w:szCs w:val="18"/>
    </w:rPr>
  </w:style>
  <w:style w:type="paragraph" w:customStyle="1" w:styleId="7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theme" Target="theme/theme1.xml"/><Relationship Id="rId30" Type="http://schemas.openxmlformats.org/officeDocument/2006/relationships/footer" Target="footer27.xml"/><Relationship Id="rId3" Type="http://schemas.openxmlformats.org/officeDocument/2006/relationships/footer" Target="foot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76</Pages>
  <Words>510</Words>
  <Characters>606</Characters>
  <Lines>365</Lines>
  <Paragraphs>102</Paragraphs>
  <TotalTime>66</TotalTime>
  <ScaleCrop>false</ScaleCrop>
  <LinksUpToDate>false</LinksUpToDate>
  <CharactersWithSpaces>646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2024-12-04T08:22:00Z</dcterms:created>
  <dc:creator>zane</dc:creator>
  <cp:lastModifiedBy>chris</cp:lastModifiedBy>
  <cp:lastPrinted>2025-06-04T07:38:24Z</cp:lastPrinted>
  <dcterms:modified xsi:type="dcterms:W3CDTF">2025-06-04T07:38:27Z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AA4EB001280A4DF69E3F94393F490F27_13</vt:lpwstr>
  </property>
  <property fmtid="{D5CDD505-2E9C-101B-9397-08002B2CF9AE}" pid="4" name="KSOTemplateDocerSaveRecord">
    <vt:lpwstr>eyJoZGlkIjoiODk3YzNiMjQ0NTFlNzg0NTU3NjMwYWEzMGVmZDExYTciLCJ1c2VySWQiOiIyMzY1Mzc3MzkifQ==</vt:lpwstr>
  </property>
</Properties>
</file>