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43919">
      <w:pPr>
        <w:pStyle w:val="7"/>
        <w:ind w:firstLine="480"/>
        <w:jc w:val="center"/>
        <w:outlineLvl w:val="1"/>
        <w:rPr>
          <w:rFonts w:hint="default"/>
          <w:color w:val="auto"/>
          <w:highlight w:val="none"/>
        </w:rPr>
      </w:pPr>
      <w:bookmarkStart w:id="0" w:name="_GoBack"/>
      <w:bookmarkEnd w:id="0"/>
      <w:r>
        <w:rPr>
          <w:b/>
          <w:color w:val="auto"/>
          <w:sz w:val="36"/>
          <w:highlight w:val="none"/>
        </w:rPr>
        <w:t xml:space="preserve"> 合同文本</w:t>
      </w:r>
    </w:p>
    <w:p w14:paraId="527C31A5">
      <w:pPr>
        <w:pStyle w:val="7"/>
        <w:rPr>
          <w:rFonts w:hint="default"/>
          <w:color w:val="auto"/>
          <w:highlight w:val="none"/>
        </w:rPr>
      </w:pPr>
    </w:p>
    <w:p w14:paraId="6A12BC98">
      <w:pPr>
        <w:rPr>
          <w:color w:val="auto"/>
          <w:highlight w:val="none"/>
        </w:rPr>
      </w:pPr>
      <w:r>
        <w:rPr>
          <w:rFonts w:hint="eastAsia"/>
          <w:color w:val="auto"/>
          <w:highlight w:val="none"/>
        </w:rPr>
        <w:t>工程保险服务合同</w:t>
      </w:r>
    </w:p>
    <w:p w14:paraId="4BDBF2D0">
      <w:pPr>
        <w:rPr>
          <w:color w:val="auto"/>
          <w:highlight w:val="none"/>
        </w:rPr>
      </w:pPr>
      <w:r>
        <w:rPr>
          <w:rFonts w:hint="eastAsia"/>
          <w:color w:val="auto"/>
          <w:highlight w:val="none"/>
        </w:rPr>
        <w:t>（“南方医科大学南方医院国家创伤区域医疗中心及门急诊改扩建项目和广东省城市技师学院钟落潭校区建设项目”）</w:t>
      </w:r>
    </w:p>
    <w:p w14:paraId="32C924B9">
      <w:pPr>
        <w:rPr>
          <w:color w:val="auto"/>
          <w:highlight w:val="none"/>
        </w:rPr>
      </w:pPr>
      <w:r>
        <w:rPr>
          <w:rFonts w:hint="eastAsia"/>
          <w:color w:val="auto"/>
          <w:highlight w:val="none"/>
        </w:rPr>
        <w:t>甲    方：</w:t>
      </w:r>
    </w:p>
    <w:p w14:paraId="58945215">
      <w:pPr>
        <w:rPr>
          <w:color w:val="auto"/>
          <w:highlight w:val="none"/>
        </w:rPr>
      </w:pPr>
      <w:r>
        <w:rPr>
          <w:rFonts w:hint="eastAsia"/>
          <w:color w:val="auto"/>
          <w:highlight w:val="none"/>
        </w:rPr>
        <w:t>地    址：广州市</w:t>
      </w:r>
    </w:p>
    <w:p w14:paraId="7180E4F0">
      <w:pPr>
        <w:rPr>
          <w:color w:val="auto"/>
          <w:highlight w:val="none"/>
        </w:rPr>
      </w:pPr>
    </w:p>
    <w:p w14:paraId="6E7F785A">
      <w:pPr>
        <w:rPr>
          <w:color w:val="auto"/>
          <w:highlight w:val="none"/>
        </w:rPr>
      </w:pPr>
      <w:r>
        <w:rPr>
          <w:rFonts w:hint="eastAsia"/>
          <w:color w:val="auto"/>
          <w:highlight w:val="none"/>
        </w:rPr>
        <w:t>乙    方：</w:t>
      </w:r>
      <w:r>
        <w:rPr>
          <w:rFonts w:hint="eastAsia"/>
          <w:color w:val="auto"/>
          <w:highlight w:val="none"/>
          <w:u w:val="single"/>
        </w:rPr>
        <w:t xml:space="preserve">      </w:t>
      </w:r>
    </w:p>
    <w:p w14:paraId="5E60E59D">
      <w:pPr>
        <w:rPr>
          <w:color w:val="auto"/>
          <w:highlight w:val="none"/>
        </w:rPr>
      </w:pPr>
      <w:r>
        <w:rPr>
          <w:rFonts w:hint="eastAsia"/>
          <w:color w:val="auto"/>
          <w:highlight w:val="none"/>
        </w:rPr>
        <w:t>地    址：</w:t>
      </w:r>
      <w:r>
        <w:rPr>
          <w:rFonts w:hint="eastAsia"/>
          <w:color w:val="auto"/>
          <w:highlight w:val="none"/>
          <w:u w:val="single"/>
        </w:rPr>
        <w:t xml:space="preserve">      </w:t>
      </w:r>
    </w:p>
    <w:p w14:paraId="76ACC2B9">
      <w:pPr>
        <w:rPr>
          <w:color w:val="auto"/>
          <w:highlight w:val="none"/>
        </w:rPr>
      </w:pPr>
    </w:p>
    <w:p w14:paraId="0088F652">
      <w:pPr>
        <w:rPr>
          <w:color w:val="auto"/>
          <w:highlight w:val="none"/>
        </w:rPr>
      </w:pPr>
      <w:r>
        <w:rPr>
          <w:rFonts w:hint="eastAsia"/>
          <w:color w:val="auto"/>
          <w:highlight w:val="none"/>
        </w:rPr>
        <w:t>保险经纪人：</w:t>
      </w:r>
      <w:r>
        <w:rPr>
          <w:rFonts w:hint="eastAsia"/>
          <w:color w:val="auto"/>
          <w:highlight w:val="none"/>
          <w:lang w:val="en-US" w:eastAsia="zh-CN"/>
        </w:rPr>
        <w:t>长城</w:t>
      </w:r>
      <w:r>
        <w:rPr>
          <w:rFonts w:hint="eastAsia"/>
          <w:color w:val="auto"/>
          <w:highlight w:val="none"/>
        </w:rPr>
        <w:t xml:space="preserve">保险经纪有限公司 </w:t>
      </w:r>
    </w:p>
    <w:p w14:paraId="1BFBB420">
      <w:pPr>
        <w:rPr>
          <w:color w:val="auto"/>
          <w:highlight w:val="none"/>
        </w:rPr>
      </w:pPr>
      <w:r>
        <w:rPr>
          <w:rFonts w:hint="eastAsia"/>
          <w:color w:val="auto"/>
          <w:highlight w:val="none"/>
        </w:rPr>
        <w:t xml:space="preserve">地     址： </w:t>
      </w:r>
    </w:p>
    <w:p w14:paraId="0F2C6079">
      <w:pPr>
        <w:rPr>
          <w:color w:val="auto"/>
          <w:highlight w:val="none"/>
        </w:rPr>
      </w:pPr>
    </w:p>
    <w:p w14:paraId="18376BE3">
      <w:pPr>
        <w:rPr>
          <w:color w:val="auto"/>
          <w:highlight w:val="none"/>
        </w:rPr>
      </w:pPr>
      <w:r>
        <w:rPr>
          <w:rFonts w:hint="eastAsia"/>
          <w:color w:val="auto"/>
          <w:highlight w:val="none"/>
        </w:rPr>
        <w:t xml:space="preserve">    </w:t>
      </w:r>
    </w:p>
    <w:p w14:paraId="27303CA0">
      <w:pPr>
        <w:rPr>
          <w:color w:val="auto"/>
          <w:highlight w:val="none"/>
        </w:rPr>
      </w:pPr>
      <w:r>
        <w:rPr>
          <w:rFonts w:hint="eastAsia"/>
          <w:color w:val="auto"/>
          <w:highlight w:val="none"/>
        </w:rPr>
        <w:t xml:space="preserve">根据《中华人民共和国民法典》等法律、法规的规定，甲、乙双方就乙方作为甲方“南方医科大学南方医院国家创伤区域医疗中心及门急诊改扩建项目和广东省城市技师学院钟落潭校区建设项目”（以下简称“本项目”）中选供应商提供保险服务事宜，经协商达成一致，签订本合同。 </w:t>
      </w:r>
    </w:p>
    <w:p w14:paraId="67A07A08">
      <w:pPr>
        <w:rPr>
          <w:color w:val="auto"/>
          <w:highlight w:val="none"/>
        </w:rPr>
      </w:pPr>
    </w:p>
    <w:p w14:paraId="7A7F8302">
      <w:pPr>
        <w:rPr>
          <w:color w:val="auto"/>
          <w:highlight w:val="none"/>
        </w:rPr>
      </w:pPr>
      <w:r>
        <w:rPr>
          <w:rFonts w:hint="eastAsia"/>
          <w:color w:val="auto"/>
          <w:highlight w:val="none"/>
        </w:rPr>
        <w:t>一、保险合同的组成</w:t>
      </w:r>
    </w:p>
    <w:p w14:paraId="1E78F514">
      <w:pPr>
        <w:rPr>
          <w:color w:val="auto"/>
          <w:highlight w:val="none"/>
        </w:rPr>
      </w:pPr>
    </w:p>
    <w:p w14:paraId="29C4CCA6">
      <w:pPr>
        <w:rPr>
          <w:rFonts w:hint="eastAsia" w:eastAsia="宋体"/>
          <w:color w:val="auto"/>
          <w:highlight w:val="none"/>
          <w:lang w:eastAsia="zh-CN"/>
        </w:rPr>
      </w:pPr>
      <w:r>
        <w:rPr>
          <w:rFonts w:hint="eastAsia"/>
          <w:color w:val="auto"/>
          <w:highlight w:val="none"/>
        </w:rPr>
        <w:t>公开招标所有文件及附件均作为保险合同的有效组成部分。包括：</w:t>
      </w:r>
    </w:p>
    <w:p w14:paraId="3576DC8A">
      <w:pPr>
        <w:rPr>
          <w:color w:val="auto"/>
          <w:highlight w:val="none"/>
        </w:rPr>
      </w:pPr>
      <w:r>
        <w:rPr>
          <w:rFonts w:hint="eastAsia"/>
          <w:color w:val="auto"/>
          <w:highlight w:val="none"/>
        </w:rPr>
        <w:t>（一）工程保险服务合同（包括补充合同）；</w:t>
      </w:r>
    </w:p>
    <w:p w14:paraId="1E84FC7A">
      <w:pPr>
        <w:rPr>
          <w:color w:val="auto"/>
          <w:highlight w:val="none"/>
        </w:rPr>
      </w:pPr>
      <w:r>
        <w:rPr>
          <w:rFonts w:hint="eastAsia"/>
          <w:color w:val="auto"/>
          <w:highlight w:val="none"/>
        </w:rPr>
        <w:t>（二）投保单、保险单，包括保险明细表、保单条款、扩展条款及特别约定等；</w:t>
      </w:r>
    </w:p>
    <w:p w14:paraId="7D3CF5FC">
      <w:pPr>
        <w:rPr>
          <w:color w:val="auto"/>
          <w:highlight w:val="none"/>
        </w:rPr>
      </w:pPr>
      <w:r>
        <w:rPr>
          <w:rFonts w:hint="eastAsia"/>
          <w:color w:val="auto"/>
          <w:highlight w:val="none"/>
        </w:rPr>
        <w:t>（三）乙方开出的批单；</w:t>
      </w:r>
    </w:p>
    <w:p w14:paraId="21F46404">
      <w:pPr>
        <w:rPr>
          <w:color w:val="auto"/>
          <w:highlight w:val="none"/>
        </w:rPr>
      </w:pPr>
      <w:r>
        <w:rPr>
          <w:rFonts w:hint="eastAsia"/>
          <w:color w:val="auto"/>
          <w:highlight w:val="none"/>
        </w:rPr>
        <w:t>（四）中标通知书；</w:t>
      </w:r>
    </w:p>
    <w:p w14:paraId="5DAA2EC2">
      <w:pPr>
        <w:rPr>
          <w:color w:val="auto"/>
          <w:highlight w:val="none"/>
        </w:rPr>
      </w:pPr>
      <w:r>
        <w:rPr>
          <w:rFonts w:hint="eastAsia"/>
          <w:color w:val="auto"/>
          <w:highlight w:val="none"/>
        </w:rPr>
        <w:t>（五）项目工程保险服务招标文件；</w:t>
      </w:r>
    </w:p>
    <w:p w14:paraId="176C916D">
      <w:pPr>
        <w:rPr>
          <w:color w:val="auto"/>
          <w:highlight w:val="none"/>
        </w:rPr>
      </w:pPr>
      <w:r>
        <w:rPr>
          <w:rFonts w:hint="eastAsia"/>
          <w:color w:val="auto"/>
          <w:highlight w:val="none"/>
        </w:rPr>
        <w:t>（六）公开招标的相关答疑文件；</w:t>
      </w:r>
    </w:p>
    <w:p w14:paraId="46DFCA99">
      <w:pPr>
        <w:rPr>
          <w:color w:val="auto"/>
          <w:highlight w:val="none"/>
        </w:rPr>
      </w:pPr>
      <w:r>
        <w:rPr>
          <w:rFonts w:hint="eastAsia"/>
          <w:color w:val="auto"/>
          <w:highlight w:val="none"/>
        </w:rPr>
        <w:t>（七）乙方的投标文件及澄清文件；</w:t>
      </w:r>
    </w:p>
    <w:p w14:paraId="3212DC6A">
      <w:pPr>
        <w:rPr>
          <w:color w:val="auto"/>
          <w:highlight w:val="none"/>
        </w:rPr>
      </w:pPr>
      <w:r>
        <w:rPr>
          <w:rFonts w:hint="eastAsia"/>
          <w:color w:val="auto"/>
          <w:highlight w:val="none"/>
        </w:rPr>
        <w:t>（八）保险谈判会议纪要（如有）；</w:t>
      </w:r>
    </w:p>
    <w:p w14:paraId="2BF81424">
      <w:pPr>
        <w:rPr>
          <w:color w:val="auto"/>
          <w:highlight w:val="none"/>
        </w:rPr>
      </w:pPr>
      <w:r>
        <w:rPr>
          <w:rFonts w:hint="eastAsia"/>
          <w:color w:val="auto"/>
          <w:highlight w:val="none"/>
        </w:rPr>
        <w:t>（九）经甲方、乙方及保险经纪人三方确认纳入合同的其他文件。</w:t>
      </w:r>
    </w:p>
    <w:p w14:paraId="36EB3FA4">
      <w:pPr>
        <w:rPr>
          <w:color w:val="auto"/>
          <w:highlight w:val="none"/>
        </w:rPr>
      </w:pPr>
    </w:p>
    <w:p w14:paraId="38DC7737">
      <w:pPr>
        <w:pStyle w:val="4"/>
        <w:rPr>
          <w:rFonts w:hint="eastAsia" w:eastAsia="宋体"/>
          <w:color w:val="auto"/>
          <w:highlight w:val="none"/>
          <w:lang w:eastAsia="zh-CN"/>
        </w:rPr>
      </w:pPr>
      <w:r>
        <w:rPr>
          <w:rFonts w:hint="eastAsia"/>
          <w:color w:val="auto"/>
          <w:spacing w:val="20"/>
          <w:highlight w:val="none"/>
        </w:rPr>
        <w:t>上述文件互为补充和解释，</w:t>
      </w:r>
      <w:r>
        <w:rPr>
          <w:rFonts w:hint="eastAsia"/>
          <w:color w:val="auto"/>
          <w:highlight w:val="none"/>
        </w:rPr>
        <w:t>保险合同中记载的内容不一致的，按照下列规则认定：</w:t>
      </w:r>
    </w:p>
    <w:p w14:paraId="791469A3">
      <w:pPr>
        <w:pStyle w:val="4"/>
        <w:rPr>
          <w:rFonts w:hint="eastAsia" w:eastAsia="宋体"/>
          <w:color w:val="auto"/>
          <w:highlight w:val="none"/>
          <w:lang w:eastAsia="zh-CN"/>
        </w:rPr>
      </w:pPr>
      <w:r>
        <w:rPr>
          <w:rFonts w:hint="eastAsia"/>
          <w:color w:val="auto"/>
          <w:highlight w:val="none"/>
        </w:rPr>
        <w:t>　　（一）投保单与保险单或者其他保险凭证不一致的，以投保单为准。但不一致的情形系经保险人说明并经投保人同意的，以投保人签收的保险单或者其他保险凭证载明的内容为准；</w:t>
      </w:r>
    </w:p>
    <w:p w14:paraId="28CEFA94">
      <w:pPr>
        <w:pStyle w:val="4"/>
        <w:rPr>
          <w:rFonts w:hint="eastAsia" w:eastAsia="宋体"/>
          <w:color w:val="auto"/>
          <w:highlight w:val="none"/>
          <w:lang w:eastAsia="zh-CN"/>
        </w:rPr>
      </w:pPr>
      <w:r>
        <w:rPr>
          <w:rFonts w:hint="eastAsia"/>
          <w:color w:val="auto"/>
          <w:highlight w:val="none"/>
        </w:rPr>
        <w:t>　　（二）非格式条款与格式条款不一致的，以非格式条款为准；</w:t>
      </w:r>
    </w:p>
    <w:p w14:paraId="758A472B">
      <w:pPr>
        <w:pStyle w:val="4"/>
        <w:rPr>
          <w:rFonts w:hint="eastAsia" w:eastAsia="宋体"/>
          <w:color w:val="auto"/>
          <w:highlight w:val="none"/>
          <w:lang w:eastAsia="zh-CN"/>
        </w:rPr>
      </w:pPr>
      <w:r>
        <w:rPr>
          <w:rFonts w:hint="eastAsia"/>
          <w:color w:val="auto"/>
          <w:highlight w:val="none"/>
        </w:rPr>
        <w:t>　　（三）保险凭证记载的时间不同的，以形成时间在后的为准；</w:t>
      </w:r>
    </w:p>
    <w:p w14:paraId="74A13D73">
      <w:pPr>
        <w:pStyle w:val="4"/>
        <w:rPr>
          <w:color w:val="auto"/>
          <w:highlight w:val="none"/>
        </w:rPr>
      </w:pPr>
      <w:r>
        <w:rPr>
          <w:rFonts w:hint="eastAsia"/>
          <w:color w:val="auto"/>
          <w:highlight w:val="none"/>
        </w:rPr>
        <w:t>　　（四）保险凭证存在手写和打印两种方式的，以双方签字、盖章的手写部分的内容为准。</w:t>
      </w:r>
    </w:p>
    <w:p w14:paraId="04F7A9A6">
      <w:pPr>
        <w:rPr>
          <w:color w:val="auto"/>
          <w:highlight w:val="none"/>
        </w:rPr>
      </w:pPr>
    </w:p>
    <w:p w14:paraId="42BD9060">
      <w:pPr>
        <w:rPr>
          <w:color w:val="auto"/>
          <w:highlight w:val="none"/>
        </w:rPr>
      </w:pPr>
      <w:r>
        <w:rPr>
          <w:rFonts w:hint="eastAsia"/>
          <w:color w:val="auto"/>
          <w:highlight w:val="none"/>
        </w:rPr>
        <w:t>二、保险险种</w:t>
      </w:r>
    </w:p>
    <w:p w14:paraId="1FAF6499">
      <w:pPr>
        <w:rPr>
          <w:color w:val="auto"/>
          <w:highlight w:val="none"/>
        </w:rPr>
      </w:pPr>
    </w:p>
    <w:p w14:paraId="7CC0C35A">
      <w:pPr>
        <w:rPr>
          <w:color w:val="auto"/>
          <w:highlight w:val="none"/>
        </w:rPr>
      </w:pPr>
      <w:r>
        <w:rPr>
          <w:rFonts w:hint="eastAsia"/>
          <w:color w:val="auto"/>
          <w:highlight w:val="none"/>
        </w:rPr>
        <w:t xml:space="preserve">    建筑/安装工程一切险及第三者责任险</w:t>
      </w:r>
    </w:p>
    <w:p w14:paraId="72D60163">
      <w:pPr>
        <w:rPr>
          <w:color w:val="auto"/>
          <w:highlight w:val="none"/>
        </w:rPr>
      </w:pPr>
    </w:p>
    <w:p w14:paraId="2C933146">
      <w:pPr>
        <w:rPr>
          <w:color w:val="auto"/>
          <w:highlight w:val="none"/>
        </w:rPr>
      </w:pPr>
      <w:r>
        <w:rPr>
          <w:rFonts w:hint="eastAsia"/>
          <w:color w:val="auto"/>
          <w:highlight w:val="none"/>
        </w:rPr>
        <w:t>三、保险条件</w:t>
      </w:r>
    </w:p>
    <w:p w14:paraId="316535D3">
      <w:pPr>
        <w:rPr>
          <w:color w:val="auto"/>
          <w:highlight w:val="none"/>
        </w:rPr>
      </w:pPr>
    </w:p>
    <w:p w14:paraId="35065879">
      <w:pPr>
        <w:rPr>
          <w:color w:val="auto"/>
          <w:highlight w:val="none"/>
        </w:rPr>
      </w:pPr>
      <w:r>
        <w:rPr>
          <w:rFonts w:hint="eastAsia"/>
          <w:color w:val="auto"/>
          <w:highlight w:val="none"/>
        </w:rPr>
        <w:t xml:space="preserve">    见保险单内容（详见附件）。</w:t>
      </w:r>
    </w:p>
    <w:p w14:paraId="2969D3A2">
      <w:pPr>
        <w:rPr>
          <w:color w:val="auto"/>
          <w:highlight w:val="none"/>
        </w:rPr>
      </w:pPr>
    </w:p>
    <w:p w14:paraId="654883B2">
      <w:pPr>
        <w:rPr>
          <w:color w:val="auto"/>
          <w:highlight w:val="none"/>
        </w:rPr>
      </w:pPr>
      <w:r>
        <w:rPr>
          <w:rFonts w:hint="eastAsia"/>
          <w:color w:val="auto"/>
          <w:highlight w:val="none"/>
        </w:rPr>
        <w:t>四、投保出单</w:t>
      </w:r>
    </w:p>
    <w:p w14:paraId="0F714D95">
      <w:pPr>
        <w:rPr>
          <w:color w:val="auto"/>
          <w:highlight w:val="none"/>
        </w:rPr>
      </w:pPr>
    </w:p>
    <w:p w14:paraId="12AC18E9">
      <w:pPr>
        <w:rPr>
          <w:color w:val="auto"/>
          <w:highlight w:val="none"/>
        </w:rPr>
      </w:pPr>
      <w:r>
        <w:rPr>
          <w:rFonts w:hint="eastAsia"/>
          <w:color w:val="auto"/>
          <w:highlight w:val="none"/>
        </w:rPr>
        <w:t>由保险经纪人协助甲方确认投保单内容，乙方根据甲方确认盖章后的投保单内容出具保险单。甲方提交的投保单填写错误或者所附资料不完整的，乙方应当自收到投保资料之日起5个工作日内一次性告知甲方需要补正或者补充的内容。</w:t>
      </w:r>
    </w:p>
    <w:p w14:paraId="5078CD29">
      <w:pPr>
        <w:rPr>
          <w:color w:val="auto"/>
          <w:highlight w:val="none"/>
        </w:rPr>
      </w:pPr>
    </w:p>
    <w:p w14:paraId="2E52B004">
      <w:pPr>
        <w:rPr>
          <w:color w:val="auto"/>
          <w:highlight w:val="none"/>
        </w:rPr>
      </w:pPr>
      <w:r>
        <w:rPr>
          <w:rFonts w:hint="eastAsia"/>
          <w:color w:val="auto"/>
          <w:highlight w:val="none"/>
        </w:rPr>
        <w:t>五、保险费及其支付方式</w:t>
      </w:r>
    </w:p>
    <w:p w14:paraId="79DE8CE1">
      <w:pPr>
        <w:rPr>
          <w:color w:val="auto"/>
          <w:highlight w:val="none"/>
        </w:rPr>
      </w:pPr>
    </w:p>
    <w:p w14:paraId="2E4E0D8F">
      <w:pPr>
        <w:rPr>
          <w:color w:val="auto"/>
          <w:highlight w:val="none"/>
        </w:rPr>
      </w:pPr>
      <w:r>
        <w:rPr>
          <w:rFonts w:hint="eastAsia"/>
          <w:color w:val="auto"/>
          <w:highlight w:val="none"/>
        </w:rPr>
        <w:t>（一）项目保险费金额</w:t>
      </w:r>
    </w:p>
    <w:tbl>
      <w:tblPr>
        <w:tblStyle w:val="5"/>
        <w:tblW w:w="6424"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6"/>
        <w:gridCol w:w="2027"/>
        <w:gridCol w:w="1571"/>
      </w:tblGrid>
      <w:tr w14:paraId="45678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826" w:type="dxa"/>
            <w:tcBorders>
              <w:top w:val="single" w:color="auto" w:sz="12" w:space="0"/>
            </w:tcBorders>
            <w:vAlign w:val="center"/>
          </w:tcPr>
          <w:p w14:paraId="09E5C9EB">
            <w:pPr>
              <w:rPr>
                <w:color w:val="auto"/>
                <w:highlight w:val="none"/>
              </w:rPr>
            </w:pPr>
            <w:r>
              <w:rPr>
                <w:rFonts w:hint="eastAsia"/>
                <w:color w:val="auto"/>
                <w:highlight w:val="none"/>
              </w:rPr>
              <w:t>项目名称</w:t>
            </w:r>
          </w:p>
        </w:tc>
        <w:tc>
          <w:tcPr>
            <w:tcW w:w="2027" w:type="dxa"/>
            <w:tcBorders>
              <w:top w:val="single" w:color="auto" w:sz="12" w:space="0"/>
              <w:left w:val="single" w:color="auto" w:sz="4" w:space="0"/>
            </w:tcBorders>
            <w:vAlign w:val="center"/>
          </w:tcPr>
          <w:p w14:paraId="356F60DF">
            <w:pPr>
              <w:rPr>
                <w:color w:val="auto"/>
                <w:highlight w:val="none"/>
              </w:rPr>
            </w:pPr>
            <w:r>
              <w:rPr>
                <w:rFonts w:hint="eastAsia"/>
                <w:color w:val="auto"/>
                <w:highlight w:val="none"/>
              </w:rPr>
              <w:t>险种</w:t>
            </w:r>
          </w:p>
        </w:tc>
        <w:tc>
          <w:tcPr>
            <w:tcW w:w="1571" w:type="dxa"/>
            <w:tcBorders>
              <w:top w:val="single" w:color="auto" w:sz="12" w:space="0"/>
            </w:tcBorders>
            <w:vAlign w:val="center"/>
          </w:tcPr>
          <w:p w14:paraId="163E340F">
            <w:pPr>
              <w:rPr>
                <w:color w:val="auto"/>
                <w:highlight w:val="none"/>
              </w:rPr>
            </w:pPr>
            <w:r>
              <w:rPr>
                <w:rFonts w:hint="eastAsia"/>
                <w:color w:val="auto"/>
                <w:highlight w:val="none"/>
              </w:rPr>
              <w:t>保险费（元）</w:t>
            </w:r>
          </w:p>
        </w:tc>
      </w:tr>
      <w:tr w14:paraId="2E47B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7" w:hRule="atLeast"/>
        </w:trPr>
        <w:tc>
          <w:tcPr>
            <w:tcW w:w="2826" w:type="dxa"/>
            <w:vAlign w:val="center"/>
          </w:tcPr>
          <w:p w14:paraId="404EC16D">
            <w:pPr>
              <w:rPr>
                <w:color w:val="auto"/>
                <w:highlight w:val="none"/>
              </w:rPr>
            </w:pPr>
            <w:r>
              <w:rPr>
                <w:rFonts w:hint="eastAsia"/>
                <w:color w:val="auto"/>
                <w:highlight w:val="none"/>
              </w:rPr>
              <w:t>南方医科大学南方医院国家创伤区域医疗中心及门急诊改扩建项目和广东省城市技师学院钟落潭校区建设项目</w:t>
            </w:r>
          </w:p>
        </w:tc>
        <w:tc>
          <w:tcPr>
            <w:tcW w:w="2027" w:type="dxa"/>
            <w:vAlign w:val="center"/>
          </w:tcPr>
          <w:p w14:paraId="4A5439D1">
            <w:pPr>
              <w:rPr>
                <w:color w:val="auto"/>
                <w:highlight w:val="none"/>
              </w:rPr>
            </w:pPr>
            <w:r>
              <w:rPr>
                <w:rFonts w:hint="eastAsia"/>
                <w:color w:val="auto"/>
                <w:highlight w:val="none"/>
              </w:rPr>
              <w:t>建筑/安装工程一切险及第三者责任险</w:t>
            </w:r>
          </w:p>
        </w:tc>
        <w:tc>
          <w:tcPr>
            <w:tcW w:w="1571" w:type="dxa"/>
            <w:vAlign w:val="center"/>
          </w:tcPr>
          <w:p w14:paraId="63CAA11F">
            <w:pPr>
              <w:rPr>
                <w:color w:val="auto"/>
                <w:highlight w:val="none"/>
              </w:rPr>
            </w:pPr>
            <w:r>
              <w:rPr>
                <w:rFonts w:hint="eastAsia"/>
                <w:color w:val="auto"/>
                <w:highlight w:val="none"/>
              </w:rPr>
              <w:t xml:space="preserve">   </w:t>
            </w:r>
          </w:p>
        </w:tc>
      </w:tr>
    </w:tbl>
    <w:p w14:paraId="10E43F52">
      <w:pPr>
        <w:rPr>
          <w:color w:val="auto"/>
          <w:highlight w:val="none"/>
        </w:rPr>
      </w:pPr>
    </w:p>
    <w:p w14:paraId="6304C14C">
      <w:pPr>
        <w:rPr>
          <w:color w:val="auto"/>
          <w:highlight w:val="none"/>
        </w:rPr>
      </w:pPr>
      <w:r>
        <w:rPr>
          <w:rFonts w:hint="eastAsia"/>
          <w:color w:val="auto"/>
          <w:highlight w:val="none"/>
        </w:rPr>
        <w:t>（二）保险费支付方式</w:t>
      </w:r>
    </w:p>
    <w:p w14:paraId="219D14E9">
      <w:pPr>
        <w:rPr>
          <w:color w:val="auto"/>
          <w:highlight w:val="none"/>
        </w:rPr>
      </w:pPr>
      <w:r>
        <w:rPr>
          <w:rFonts w:hint="eastAsia"/>
          <w:color w:val="auto"/>
          <w:highlight w:val="none"/>
          <w:lang w:bidi="ar"/>
        </w:rPr>
        <w:t>单笔保险单保费不超过 10 万元（含10万元）的</w:t>
      </w:r>
      <w:r>
        <w:rPr>
          <w:rFonts w:hint="eastAsia"/>
          <w:color w:val="auto"/>
          <w:highlight w:val="none"/>
        </w:rPr>
        <w:t>保险费支付方式按照粤保监发[2010]139号《关于实施非车财产保险业务“见费出单”制度的通知》相关规定执行，</w:t>
      </w:r>
      <w:r>
        <w:rPr>
          <w:rFonts w:hint="eastAsia"/>
          <w:color w:val="auto"/>
          <w:highlight w:val="none"/>
          <w:lang w:bidi="ar"/>
        </w:rPr>
        <w:t>单笔保险单保费超过10万元（不含10万元）的</w:t>
      </w:r>
      <w:r>
        <w:rPr>
          <w:rFonts w:hint="eastAsia"/>
          <w:color w:val="auto"/>
          <w:highlight w:val="none"/>
        </w:rPr>
        <w:t>则按照以下支付流程进行：</w:t>
      </w:r>
    </w:p>
    <w:p w14:paraId="28490093">
      <w:pPr>
        <w:rPr>
          <w:color w:val="auto"/>
          <w:highlight w:val="none"/>
        </w:rPr>
      </w:pPr>
      <w:r>
        <w:rPr>
          <w:rFonts w:hint="eastAsia"/>
          <w:color w:val="auto"/>
          <w:highlight w:val="none"/>
        </w:rPr>
        <w:t>1.乙方出具项目保单、保费发票及保费支付通知书，并提交保险经纪人。</w:t>
      </w:r>
    </w:p>
    <w:p w14:paraId="1363194B">
      <w:pPr>
        <w:rPr>
          <w:color w:val="auto"/>
          <w:highlight w:val="none"/>
        </w:rPr>
      </w:pPr>
      <w:r>
        <w:rPr>
          <w:rFonts w:hint="eastAsia"/>
          <w:color w:val="auto"/>
          <w:highlight w:val="none"/>
        </w:rPr>
        <w:t>2.保险经纪人审核保单、保费发票及保费支付通知书内容无误后提交甲方。</w:t>
      </w:r>
    </w:p>
    <w:p w14:paraId="40C08DF7">
      <w:pPr>
        <w:rPr>
          <w:color w:val="auto"/>
          <w:highlight w:val="none"/>
        </w:rPr>
      </w:pPr>
      <w:r>
        <w:rPr>
          <w:rFonts w:hint="eastAsia"/>
          <w:color w:val="auto"/>
          <w:highlight w:val="none"/>
        </w:rPr>
        <w:t>3.甲方按照确认后的保费金额，在付费时效内支付保费。</w:t>
      </w:r>
    </w:p>
    <w:p w14:paraId="6BDC8E48">
      <w:pPr>
        <w:rPr>
          <w:color w:val="auto"/>
          <w:highlight w:val="none"/>
        </w:rPr>
      </w:pPr>
      <w:r>
        <w:rPr>
          <w:rFonts w:hint="eastAsia"/>
          <w:color w:val="auto"/>
          <w:highlight w:val="none"/>
        </w:rPr>
        <w:t>4.保险经纪人协助甲方确认保费到账。</w:t>
      </w:r>
    </w:p>
    <w:p w14:paraId="44B5AD0C">
      <w:pPr>
        <w:rPr>
          <w:color w:val="auto"/>
          <w:highlight w:val="none"/>
        </w:rPr>
      </w:pPr>
    </w:p>
    <w:p w14:paraId="633DA7D5">
      <w:pPr>
        <w:rPr>
          <w:color w:val="auto"/>
          <w:highlight w:val="none"/>
        </w:rPr>
      </w:pPr>
      <w:r>
        <w:rPr>
          <w:rFonts w:hint="eastAsia"/>
          <w:color w:val="auto"/>
          <w:highlight w:val="none"/>
        </w:rPr>
        <w:t>（三）乙方指定收取保费银行账户：</w:t>
      </w:r>
    </w:p>
    <w:p w14:paraId="7F7016D3">
      <w:pPr>
        <w:rPr>
          <w:color w:val="auto"/>
          <w:highlight w:val="none"/>
        </w:rPr>
      </w:pPr>
      <w:r>
        <w:rPr>
          <w:rFonts w:hint="eastAsia"/>
          <w:color w:val="auto"/>
          <w:highlight w:val="none"/>
        </w:rPr>
        <w:t xml:space="preserve">账户名：                </w:t>
      </w:r>
    </w:p>
    <w:p w14:paraId="22FB2EC8">
      <w:pPr>
        <w:rPr>
          <w:color w:val="auto"/>
          <w:highlight w:val="none"/>
        </w:rPr>
      </w:pPr>
      <w:r>
        <w:rPr>
          <w:rFonts w:hint="eastAsia"/>
          <w:color w:val="auto"/>
          <w:highlight w:val="none"/>
        </w:rPr>
        <w:t xml:space="preserve">账号：                  </w:t>
      </w:r>
    </w:p>
    <w:p w14:paraId="49954F6D">
      <w:pPr>
        <w:rPr>
          <w:color w:val="auto"/>
          <w:highlight w:val="none"/>
        </w:rPr>
      </w:pPr>
      <w:r>
        <w:rPr>
          <w:rFonts w:hint="eastAsia"/>
          <w:color w:val="auto"/>
          <w:highlight w:val="none"/>
        </w:rPr>
        <w:t xml:space="preserve">开户行：                </w:t>
      </w:r>
    </w:p>
    <w:p w14:paraId="21576714">
      <w:pPr>
        <w:rPr>
          <w:color w:val="auto"/>
          <w:highlight w:val="none"/>
        </w:rPr>
      </w:pPr>
      <w:r>
        <w:rPr>
          <w:rFonts w:hint="eastAsia"/>
          <w:color w:val="auto"/>
          <w:highlight w:val="none"/>
        </w:rPr>
        <w:t xml:space="preserve">地址：                  </w:t>
      </w:r>
    </w:p>
    <w:p w14:paraId="31052E08">
      <w:pPr>
        <w:rPr>
          <w:color w:val="auto"/>
          <w:highlight w:val="none"/>
        </w:rPr>
      </w:pPr>
    </w:p>
    <w:p w14:paraId="38B92C69">
      <w:pPr>
        <w:rPr>
          <w:color w:val="auto"/>
          <w:highlight w:val="none"/>
        </w:rPr>
      </w:pPr>
    </w:p>
    <w:p w14:paraId="796F6D03">
      <w:pPr>
        <w:rPr>
          <w:color w:val="auto"/>
          <w:highlight w:val="none"/>
        </w:rPr>
      </w:pPr>
      <w:r>
        <w:rPr>
          <w:rFonts w:hint="eastAsia"/>
          <w:color w:val="auto"/>
          <w:highlight w:val="none"/>
        </w:rPr>
        <w:t>六、乙方义务</w:t>
      </w:r>
    </w:p>
    <w:p w14:paraId="3B0F7794">
      <w:pPr>
        <w:rPr>
          <w:color w:val="auto"/>
          <w:highlight w:val="none"/>
        </w:rPr>
      </w:pPr>
    </w:p>
    <w:p w14:paraId="6A8DCC7A">
      <w:pPr>
        <w:rPr>
          <w:color w:val="auto"/>
          <w:highlight w:val="none"/>
        </w:rPr>
      </w:pPr>
      <w:r>
        <w:rPr>
          <w:rFonts w:hint="eastAsia"/>
          <w:color w:val="auto"/>
          <w:highlight w:val="none"/>
        </w:rPr>
        <w:t>（一）专项服务小组</w:t>
      </w:r>
    </w:p>
    <w:p w14:paraId="1DE665CA">
      <w:pPr>
        <w:rPr>
          <w:color w:val="auto"/>
          <w:highlight w:val="none"/>
        </w:rPr>
      </w:pPr>
      <w:r>
        <w:rPr>
          <w:rFonts w:hint="eastAsia"/>
          <w:color w:val="auto"/>
          <w:highlight w:val="none"/>
        </w:rPr>
        <w:t>乙方为本项目设立专项服务小组，负责本服务合同各项内容包括保险承保、理赔与服务的组织实施与总体管理。</w:t>
      </w:r>
    </w:p>
    <w:tbl>
      <w:tblPr>
        <w:tblStyle w:val="5"/>
        <w:tblW w:w="9306" w:type="dxa"/>
        <w:tblInd w:w="-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5"/>
        <w:gridCol w:w="932"/>
        <w:gridCol w:w="1519"/>
        <w:gridCol w:w="1353"/>
        <w:gridCol w:w="1455"/>
        <w:gridCol w:w="2732"/>
      </w:tblGrid>
      <w:tr w14:paraId="0777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315" w:type="dxa"/>
            <w:tcBorders>
              <w:top w:val="single" w:color="auto" w:sz="12" w:space="0"/>
            </w:tcBorders>
            <w:vAlign w:val="bottom"/>
          </w:tcPr>
          <w:p w14:paraId="779746ED">
            <w:pPr>
              <w:rPr>
                <w:color w:val="auto"/>
                <w:highlight w:val="none"/>
              </w:rPr>
            </w:pPr>
            <w:r>
              <w:rPr>
                <w:rFonts w:hint="eastAsia"/>
                <w:color w:val="auto"/>
                <w:highlight w:val="none"/>
              </w:rPr>
              <w:t>组内职务</w:t>
            </w:r>
          </w:p>
        </w:tc>
        <w:tc>
          <w:tcPr>
            <w:tcW w:w="932" w:type="dxa"/>
            <w:tcBorders>
              <w:top w:val="single" w:color="auto" w:sz="12" w:space="0"/>
            </w:tcBorders>
            <w:vAlign w:val="bottom"/>
          </w:tcPr>
          <w:p w14:paraId="5EA8667A">
            <w:pPr>
              <w:rPr>
                <w:color w:val="auto"/>
                <w:highlight w:val="none"/>
              </w:rPr>
            </w:pPr>
            <w:r>
              <w:rPr>
                <w:rFonts w:hint="eastAsia"/>
                <w:color w:val="auto"/>
                <w:highlight w:val="none"/>
              </w:rPr>
              <w:t>姓名</w:t>
            </w:r>
          </w:p>
        </w:tc>
        <w:tc>
          <w:tcPr>
            <w:tcW w:w="1519" w:type="dxa"/>
            <w:tcBorders>
              <w:top w:val="single" w:color="auto" w:sz="12" w:space="0"/>
            </w:tcBorders>
            <w:vAlign w:val="bottom"/>
          </w:tcPr>
          <w:p w14:paraId="6C50037F">
            <w:pPr>
              <w:rPr>
                <w:color w:val="auto"/>
                <w:highlight w:val="none"/>
              </w:rPr>
            </w:pPr>
            <w:r>
              <w:rPr>
                <w:rFonts w:hint="eastAsia"/>
                <w:color w:val="auto"/>
                <w:highlight w:val="none"/>
              </w:rPr>
              <w:t>公司职务</w:t>
            </w:r>
          </w:p>
        </w:tc>
        <w:tc>
          <w:tcPr>
            <w:tcW w:w="1353" w:type="dxa"/>
            <w:tcBorders>
              <w:top w:val="single" w:color="auto" w:sz="12" w:space="0"/>
            </w:tcBorders>
            <w:vAlign w:val="bottom"/>
          </w:tcPr>
          <w:p w14:paraId="0F4FDA4E">
            <w:pPr>
              <w:rPr>
                <w:color w:val="auto"/>
                <w:highlight w:val="none"/>
              </w:rPr>
            </w:pPr>
            <w:r>
              <w:rPr>
                <w:rFonts w:hint="eastAsia"/>
                <w:color w:val="auto"/>
                <w:highlight w:val="none"/>
              </w:rPr>
              <w:t>联系电话</w:t>
            </w:r>
          </w:p>
        </w:tc>
        <w:tc>
          <w:tcPr>
            <w:tcW w:w="1455" w:type="dxa"/>
            <w:tcBorders>
              <w:top w:val="single" w:color="auto" w:sz="12" w:space="0"/>
            </w:tcBorders>
            <w:vAlign w:val="bottom"/>
          </w:tcPr>
          <w:p w14:paraId="7E0F5FCE">
            <w:pPr>
              <w:rPr>
                <w:color w:val="auto"/>
                <w:highlight w:val="none"/>
              </w:rPr>
            </w:pPr>
            <w:r>
              <w:rPr>
                <w:rFonts w:hint="eastAsia"/>
                <w:color w:val="auto"/>
                <w:highlight w:val="none"/>
              </w:rPr>
              <w:t>手机</w:t>
            </w:r>
          </w:p>
        </w:tc>
        <w:tc>
          <w:tcPr>
            <w:tcW w:w="2732" w:type="dxa"/>
            <w:tcBorders>
              <w:top w:val="single" w:color="auto" w:sz="12" w:space="0"/>
            </w:tcBorders>
            <w:vAlign w:val="bottom"/>
          </w:tcPr>
          <w:p w14:paraId="413C134C">
            <w:pPr>
              <w:rPr>
                <w:color w:val="auto"/>
                <w:highlight w:val="none"/>
              </w:rPr>
            </w:pPr>
            <w:r>
              <w:rPr>
                <w:rFonts w:hint="eastAsia"/>
                <w:color w:val="auto"/>
                <w:highlight w:val="none"/>
              </w:rPr>
              <w:t>电子邮箱地址</w:t>
            </w:r>
          </w:p>
        </w:tc>
      </w:tr>
      <w:tr w14:paraId="449D2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298AEFCF">
            <w:pPr>
              <w:rPr>
                <w:color w:val="auto"/>
                <w:highlight w:val="none"/>
              </w:rPr>
            </w:pPr>
          </w:p>
        </w:tc>
        <w:tc>
          <w:tcPr>
            <w:tcW w:w="932" w:type="dxa"/>
            <w:vAlign w:val="center"/>
          </w:tcPr>
          <w:p w14:paraId="5B11C5E2">
            <w:pPr>
              <w:rPr>
                <w:color w:val="auto"/>
                <w:highlight w:val="none"/>
              </w:rPr>
            </w:pPr>
          </w:p>
        </w:tc>
        <w:tc>
          <w:tcPr>
            <w:tcW w:w="1519" w:type="dxa"/>
            <w:vAlign w:val="center"/>
          </w:tcPr>
          <w:p w14:paraId="4B39C72A">
            <w:pPr>
              <w:rPr>
                <w:color w:val="auto"/>
                <w:highlight w:val="none"/>
              </w:rPr>
            </w:pPr>
          </w:p>
        </w:tc>
        <w:tc>
          <w:tcPr>
            <w:tcW w:w="1353" w:type="dxa"/>
            <w:vAlign w:val="center"/>
          </w:tcPr>
          <w:p w14:paraId="15DD76EB">
            <w:pPr>
              <w:rPr>
                <w:color w:val="auto"/>
                <w:highlight w:val="none"/>
              </w:rPr>
            </w:pPr>
          </w:p>
        </w:tc>
        <w:tc>
          <w:tcPr>
            <w:tcW w:w="1455" w:type="dxa"/>
            <w:vAlign w:val="center"/>
          </w:tcPr>
          <w:p w14:paraId="2FA127B7">
            <w:pPr>
              <w:rPr>
                <w:color w:val="auto"/>
                <w:highlight w:val="none"/>
              </w:rPr>
            </w:pPr>
          </w:p>
        </w:tc>
        <w:tc>
          <w:tcPr>
            <w:tcW w:w="2732" w:type="dxa"/>
            <w:vAlign w:val="center"/>
          </w:tcPr>
          <w:p w14:paraId="1647D77B">
            <w:pPr>
              <w:rPr>
                <w:color w:val="auto"/>
                <w:highlight w:val="none"/>
              </w:rPr>
            </w:pPr>
          </w:p>
        </w:tc>
      </w:tr>
      <w:tr w14:paraId="2EB48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73156157">
            <w:pPr>
              <w:rPr>
                <w:color w:val="auto"/>
                <w:highlight w:val="none"/>
              </w:rPr>
            </w:pPr>
          </w:p>
        </w:tc>
        <w:tc>
          <w:tcPr>
            <w:tcW w:w="932" w:type="dxa"/>
            <w:vAlign w:val="center"/>
          </w:tcPr>
          <w:p w14:paraId="42EC4F73">
            <w:pPr>
              <w:rPr>
                <w:color w:val="auto"/>
                <w:highlight w:val="none"/>
              </w:rPr>
            </w:pPr>
          </w:p>
        </w:tc>
        <w:tc>
          <w:tcPr>
            <w:tcW w:w="1519" w:type="dxa"/>
            <w:vAlign w:val="center"/>
          </w:tcPr>
          <w:p w14:paraId="303353AD">
            <w:pPr>
              <w:rPr>
                <w:color w:val="auto"/>
                <w:highlight w:val="none"/>
              </w:rPr>
            </w:pPr>
          </w:p>
        </w:tc>
        <w:tc>
          <w:tcPr>
            <w:tcW w:w="1353" w:type="dxa"/>
            <w:vAlign w:val="center"/>
          </w:tcPr>
          <w:p w14:paraId="3520B1CE">
            <w:pPr>
              <w:rPr>
                <w:color w:val="auto"/>
                <w:highlight w:val="none"/>
              </w:rPr>
            </w:pPr>
          </w:p>
        </w:tc>
        <w:tc>
          <w:tcPr>
            <w:tcW w:w="1455" w:type="dxa"/>
            <w:vAlign w:val="center"/>
          </w:tcPr>
          <w:p w14:paraId="2030310A">
            <w:pPr>
              <w:rPr>
                <w:color w:val="auto"/>
                <w:highlight w:val="none"/>
              </w:rPr>
            </w:pPr>
          </w:p>
        </w:tc>
        <w:tc>
          <w:tcPr>
            <w:tcW w:w="2732" w:type="dxa"/>
            <w:vAlign w:val="center"/>
          </w:tcPr>
          <w:p w14:paraId="282689C0">
            <w:pPr>
              <w:rPr>
                <w:color w:val="auto"/>
                <w:highlight w:val="none"/>
              </w:rPr>
            </w:pPr>
          </w:p>
        </w:tc>
      </w:tr>
      <w:tr w14:paraId="726EB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04D21C0F">
            <w:pPr>
              <w:rPr>
                <w:color w:val="auto"/>
                <w:highlight w:val="none"/>
              </w:rPr>
            </w:pPr>
          </w:p>
        </w:tc>
        <w:tc>
          <w:tcPr>
            <w:tcW w:w="932" w:type="dxa"/>
            <w:vAlign w:val="center"/>
          </w:tcPr>
          <w:p w14:paraId="55D08326">
            <w:pPr>
              <w:rPr>
                <w:color w:val="auto"/>
                <w:highlight w:val="none"/>
              </w:rPr>
            </w:pPr>
          </w:p>
        </w:tc>
        <w:tc>
          <w:tcPr>
            <w:tcW w:w="1519" w:type="dxa"/>
            <w:vAlign w:val="center"/>
          </w:tcPr>
          <w:p w14:paraId="620EE75D">
            <w:pPr>
              <w:rPr>
                <w:color w:val="auto"/>
                <w:highlight w:val="none"/>
              </w:rPr>
            </w:pPr>
          </w:p>
        </w:tc>
        <w:tc>
          <w:tcPr>
            <w:tcW w:w="1353" w:type="dxa"/>
            <w:vAlign w:val="center"/>
          </w:tcPr>
          <w:p w14:paraId="233EE160">
            <w:pPr>
              <w:rPr>
                <w:color w:val="auto"/>
                <w:highlight w:val="none"/>
              </w:rPr>
            </w:pPr>
          </w:p>
        </w:tc>
        <w:tc>
          <w:tcPr>
            <w:tcW w:w="1455" w:type="dxa"/>
            <w:vAlign w:val="center"/>
          </w:tcPr>
          <w:p w14:paraId="6989FB4F">
            <w:pPr>
              <w:rPr>
                <w:color w:val="auto"/>
                <w:highlight w:val="none"/>
              </w:rPr>
            </w:pPr>
          </w:p>
        </w:tc>
        <w:tc>
          <w:tcPr>
            <w:tcW w:w="2732" w:type="dxa"/>
            <w:vAlign w:val="center"/>
          </w:tcPr>
          <w:p w14:paraId="7ED65200">
            <w:pPr>
              <w:rPr>
                <w:color w:val="auto"/>
                <w:highlight w:val="none"/>
              </w:rPr>
            </w:pPr>
          </w:p>
        </w:tc>
      </w:tr>
      <w:tr w14:paraId="7857B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0F959A83">
            <w:pPr>
              <w:rPr>
                <w:color w:val="auto"/>
                <w:highlight w:val="none"/>
              </w:rPr>
            </w:pPr>
          </w:p>
        </w:tc>
        <w:tc>
          <w:tcPr>
            <w:tcW w:w="932" w:type="dxa"/>
            <w:vAlign w:val="center"/>
          </w:tcPr>
          <w:p w14:paraId="4A727C7E">
            <w:pPr>
              <w:rPr>
                <w:color w:val="auto"/>
                <w:highlight w:val="none"/>
              </w:rPr>
            </w:pPr>
          </w:p>
        </w:tc>
        <w:tc>
          <w:tcPr>
            <w:tcW w:w="1519" w:type="dxa"/>
            <w:vAlign w:val="center"/>
          </w:tcPr>
          <w:p w14:paraId="1657EF42">
            <w:pPr>
              <w:rPr>
                <w:color w:val="auto"/>
                <w:highlight w:val="none"/>
              </w:rPr>
            </w:pPr>
          </w:p>
        </w:tc>
        <w:tc>
          <w:tcPr>
            <w:tcW w:w="1353" w:type="dxa"/>
            <w:vAlign w:val="center"/>
          </w:tcPr>
          <w:p w14:paraId="4A3AD1D2">
            <w:pPr>
              <w:rPr>
                <w:color w:val="auto"/>
                <w:highlight w:val="none"/>
              </w:rPr>
            </w:pPr>
          </w:p>
        </w:tc>
        <w:tc>
          <w:tcPr>
            <w:tcW w:w="1455" w:type="dxa"/>
            <w:vAlign w:val="center"/>
          </w:tcPr>
          <w:p w14:paraId="7BD0A3F0">
            <w:pPr>
              <w:rPr>
                <w:color w:val="auto"/>
                <w:highlight w:val="none"/>
              </w:rPr>
            </w:pPr>
          </w:p>
        </w:tc>
        <w:tc>
          <w:tcPr>
            <w:tcW w:w="2732" w:type="dxa"/>
            <w:vAlign w:val="center"/>
          </w:tcPr>
          <w:p w14:paraId="399A71B9">
            <w:pPr>
              <w:rPr>
                <w:color w:val="auto"/>
                <w:highlight w:val="none"/>
              </w:rPr>
            </w:pPr>
          </w:p>
        </w:tc>
      </w:tr>
      <w:tr w14:paraId="548A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38A0A219">
            <w:pPr>
              <w:rPr>
                <w:color w:val="auto"/>
                <w:highlight w:val="none"/>
              </w:rPr>
            </w:pPr>
          </w:p>
        </w:tc>
        <w:tc>
          <w:tcPr>
            <w:tcW w:w="932" w:type="dxa"/>
            <w:vAlign w:val="center"/>
          </w:tcPr>
          <w:p w14:paraId="51566BC9">
            <w:pPr>
              <w:rPr>
                <w:color w:val="auto"/>
                <w:highlight w:val="none"/>
              </w:rPr>
            </w:pPr>
          </w:p>
        </w:tc>
        <w:tc>
          <w:tcPr>
            <w:tcW w:w="1519" w:type="dxa"/>
            <w:vAlign w:val="center"/>
          </w:tcPr>
          <w:p w14:paraId="2127B82B">
            <w:pPr>
              <w:rPr>
                <w:color w:val="auto"/>
                <w:highlight w:val="none"/>
              </w:rPr>
            </w:pPr>
          </w:p>
        </w:tc>
        <w:tc>
          <w:tcPr>
            <w:tcW w:w="1353" w:type="dxa"/>
            <w:vAlign w:val="center"/>
          </w:tcPr>
          <w:p w14:paraId="385CC500">
            <w:pPr>
              <w:rPr>
                <w:color w:val="auto"/>
                <w:highlight w:val="none"/>
              </w:rPr>
            </w:pPr>
          </w:p>
        </w:tc>
        <w:tc>
          <w:tcPr>
            <w:tcW w:w="1455" w:type="dxa"/>
            <w:vAlign w:val="center"/>
          </w:tcPr>
          <w:p w14:paraId="7FC1BA09">
            <w:pPr>
              <w:rPr>
                <w:color w:val="auto"/>
                <w:highlight w:val="none"/>
              </w:rPr>
            </w:pPr>
          </w:p>
        </w:tc>
        <w:tc>
          <w:tcPr>
            <w:tcW w:w="2732" w:type="dxa"/>
            <w:vAlign w:val="center"/>
          </w:tcPr>
          <w:p w14:paraId="5E0D6CAB">
            <w:pPr>
              <w:rPr>
                <w:color w:val="auto"/>
                <w:highlight w:val="none"/>
              </w:rPr>
            </w:pPr>
          </w:p>
        </w:tc>
      </w:tr>
      <w:tr w14:paraId="60F8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46445C4F">
            <w:pPr>
              <w:rPr>
                <w:color w:val="auto"/>
                <w:highlight w:val="none"/>
              </w:rPr>
            </w:pPr>
          </w:p>
        </w:tc>
        <w:tc>
          <w:tcPr>
            <w:tcW w:w="932" w:type="dxa"/>
            <w:vAlign w:val="center"/>
          </w:tcPr>
          <w:p w14:paraId="3E4AC355">
            <w:pPr>
              <w:rPr>
                <w:color w:val="auto"/>
                <w:highlight w:val="none"/>
              </w:rPr>
            </w:pPr>
          </w:p>
        </w:tc>
        <w:tc>
          <w:tcPr>
            <w:tcW w:w="1519" w:type="dxa"/>
            <w:vAlign w:val="center"/>
          </w:tcPr>
          <w:p w14:paraId="5C594454">
            <w:pPr>
              <w:rPr>
                <w:color w:val="auto"/>
                <w:highlight w:val="none"/>
              </w:rPr>
            </w:pPr>
          </w:p>
        </w:tc>
        <w:tc>
          <w:tcPr>
            <w:tcW w:w="1353" w:type="dxa"/>
            <w:vAlign w:val="center"/>
          </w:tcPr>
          <w:p w14:paraId="6B44F7BB">
            <w:pPr>
              <w:rPr>
                <w:color w:val="auto"/>
                <w:highlight w:val="none"/>
              </w:rPr>
            </w:pPr>
          </w:p>
        </w:tc>
        <w:tc>
          <w:tcPr>
            <w:tcW w:w="1455" w:type="dxa"/>
            <w:vAlign w:val="center"/>
          </w:tcPr>
          <w:p w14:paraId="017D29E3">
            <w:pPr>
              <w:rPr>
                <w:color w:val="auto"/>
                <w:highlight w:val="none"/>
              </w:rPr>
            </w:pPr>
          </w:p>
        </w:tc>
        <w:tc>
          <w:tcPr>
            <w:tcW w:w="2732" w:type="dxa"/>
            <w:vAlign w:val="center"/>
          </w:tcPr>
          <w:p w14:paraId="760250D4">
            <w:pPr>
              <w:rPr>
                <w:color w:val="auto"/>
                <w:highlight w:val="none"/>
              </w:rPr>
            </w:pPr>
          </w:p>
        </w:tc>
      </w:tr>
      <w:tr w14:paraId="028B3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5" w:type="dxa"/>
            <w:vAlign w:val="center"/>
          </w:tcPr>
          <w:p w14:paraId="68A7C67E">
            <w:pPr>
              <w:rPr>
                <w:color w:val="auto"/>
                <w:highlight w:val="none"/>
              </w:rPr>
            </w:pPr>
          </w:p>
        </w:tc>
        <w:tc>
          <w:tcPr>
            <w:tcW w:w="932" w:type="dxa"/>
            <w:vAlign w:val="center"/>
          </w:tcPr>
          <w:p w14:paraId="526637A5">
            <w:pPr>
              <w:rPr>
                <w:color w:val="auto"/>
                <w:highlight w:val="none"/>
              </w:rPr>
            </w:pPr>
          </w:p>
        </w:tc>
        <w:tc>
          <w:tcPr>
            <w:tcW w:w="1519" w:type="dxa"/>
            <w:vAlign w:val="center"/>
          </w:tcPr>
          <w:p w14:paraId="35F99D4D">
            <w:pPr>
              <w:rPr>
                <w:color w:val="auto"/>
                <w:highlight w:val="none"/>
              </w:rPr>
            </w:pPr>
          </w:p>
        </w:tc>
        <w:tc>
          <w:tcPr>
            <w:tcW w:w="1353" w:type="dxa"/>
            <w:vAlign w:val="center"/>
          </w:tcPr>
          <w:p w14:paraId="7D17D979">
            <w:pPr>
              <w:rPr>
                <w:color w:val="auto"/>
                <w:highlight w:val="none"/>
              </w:rPr>
            </w:pPr>
          </w:p>
        </w:tc>
        <w:tc>
          <w:tcPr>
            <w:tcW w:w="1455" w:type="dxa"/>
            <w:vAlign w:val="center"/>
          </w:tcPr>
          <w:p w14:paraId="4580A161">
            <w:pPr>
              <w:rPr>
                <w:color w:val="auto"/>
                <w:highlight w:val="none"/>
              </w:rPr>
            </w:pPr>
          </w:p>
        </w:tc>
        <w:tc>
          <w:tcPr>
            <w:tcW w:w="2732" w:type="dxa"/>
            <w:vAlign w:val="center"/>
          </w:tcPr>
          <w:p w14:paraId="6E92BFEF">
            <w:pPr>
              <w:rPr>
                <w:color w:val="auto"/>
                <w:highlight w:val="none"/>
              </w:rPr>
            </w:pPr>
          </w:p>
        </w:tc>
      </w:tr>
    </w:tbl>
    <w:p w14:paraId="595A2B4C">
      <w:pPr>
        <w:rPr>
          <w:color w:val="auto"/>
          <w:highlight w:val="none"/>
        </w:rPr>
      </w:pPr>
    </w:p>
    <w:p w14:paraId="18DB55C8">
      <w:pPr>
        <w:rPr>
          <w:color w:val="auto"/>
          <w:highlight w:val="none"/>
        </w:rPr>
      </w:pPr>
      <w:r>
        <w:rPr>
          <w:rFonts w:hint="eastAsia"/>
          <w:color w:val="auto"/>
          <w:highlight w:val="none"/>
        </w:rPr>
        <w:t>专项服务小组主要职责（包括但不限于）如下：</w:t>
      </w:r>
    </w:p>
    <w:p w14:paraId="2C153F16">
      <w:pPr>
        <w:rPr>
          <w:color w:val="auto"/>
          <w:highlight w:val="none"/>
        </w:rPr>
      </w:pPr>
      <w:r>
        <w:rPr>
          <w:rFonts w:hint="eastAsia"/>
          <w:color w:val="auto"/>
          <w:highlight w:val="none"/>
        </w:rPr>
        <w:t>1.负责整个保险项目安排工作，包括重大决策、承保方案、签署保险服务合同；</w:t>
      </w:r>
    </w:p>
    <w:p w14:paraId="1563D14F">
      <w:pPr>
        <w:rPr>
          <w:color w:val="auto"/>
          <w:highlight w:val="none"/>
        </w:rPr>
      </w:pPr>
      <w:r>
        <w:rPr>
          <w:rFonts w:hint="eastAsia"/>
          <w:color w:val="auto"/>
          <w:highlight w:val="none"/>
        </w:rPr>
        <w:t>2.负责理赔服务工作；</w:t>
      </w:r>
    </w:p>
    <w:p w14:paraId="0E22208D">
      <w:pPr>
        <w:rPr>
          <w:color w:val="auto"/>
          <w:highlight w:val="none"/>
        </w:rPr>
      </w:pPr>
      <w:r>
        <w:rPr>
          <w:rFonts w:hint="eastAsia"/>
          <w:color w:val="auto"/>
          <w:highlight w:val="none"/>
        </w:rPr>
        <w:t>3.负责承保出单工作；</w:t>
      </w:r>
    </w:p>
    <w:p w14:paraId="1C024C04">
      <w:pPr>
        <w:rPr>
          <w:color w:val="auto"/>
          <w:highlight w:val="none"/>
        </w:rPr>
      </w:pPr>
      <w:r>
        <w:rPr>
          <w:rFonts w:hint="eastAsia"/>
          <w:color w:val="auto"/>
          <w:highlight w:val="none"/>
        </w:rPr>
        <w:t>4.组织或参加与甲方、保险经纪人召开的联席会议，及时处理各项统保工作及存在的问题；</w:t>
      </w:r>
    </w:p>
    <w:p w14:paraId="1EF1BBCC">
      <w:pPr>
        <w:rPr>
          <w:color w:val="auto"/>
          <w:highlight w:val="none"/>
        </w:rPr>
      </w:pPr>
      <w:r>
        <w:rPr>
          <w:rFonts w:hint="eastAsia"/>
          <w:color w:val="auto"/>
          <w:highlight w:val="none"/>
        </w:rPr>
        <w:t>5.负责承保、理赔统计管理；</w:t>
      </w:r>
    </w:p>
    <w:p w14:paraId="5CCC63BE">
      <w:pPr>
        <w:rPr>
          <w:color w:val="auto"/>
          <w:highlight w:val="none"/>
        </w:rPr>
      </w:pPr>
      <w:r>
        <w:rPr>
          <w:rFonts w:hint="eastAsia"/>
          <w:color w:val="auto"/>
          <w:highlight w:val="none"/>
        </w:rPr>
        <w:t>6.组织召开统保培训会；</w:t>
      </w:r>
    </w:p>
    <w:p w14:paraId="064C5882">
      <w:pPr>
        <w:rPr>
          <w:color w:val="auto"/>
          <w:highlight w:val="none"/>
        </w:rPr>
      </w:pPr>
      <w:r>
        <w:rPr>
          <w:rFonts w:hint="eastAsia"/>
          <w:color w:val="auto"/>
          <w:highlight w:val="none"/>
        </w:rPr>
        <w:t>7.负责日常与本保险项目相关的所有客户服务工作。</w:t>
      </w:r>
    </w:p>
    <w:p w14:paraId="10223316">
      <w:pPr>
        <w:rPr>
          <w:color w:val="auto"/>
          <w:highlight w:val="none"/>
        </w:rPr>
      </w:pPr>
      <w:r>
        <w:rPr>
          <w:rFonts w:hint="eastAsia"/>
          <w:color w:val="auto"/>
          <w:highlight w:val="none"/>
        </w:rPr>
        <w:t>8.原则上专项服务小组成员未经甲方同意不得随意更换，如小组成员发生变动，乙方须立即通知甲方及保险经纪人并做好相关工作衔接。</w:t>
      </w:r>
    </w:p>
    <w:p w14:paraId="231245C4">
      <w:pPr>
        <w:rPr>
          <w:color w:val="auto"/>
          <w:highlight w:val="none"/>
        </w:rPr>
      </w:pPr>
    </w:p>
    <w:p w14:paraId="79D3A2CB">
      <w:pPr>
        <w:rPr>
          <w:color w:val="auto"/>
          <w:highlight w:val="none"/>
        </w:rPr>
      </w:pPr>
      <w:r>
        <w:rPr>
          <w:rFonts w:hint="eastAsia"/>
          <w:color w:val="auto"/>
          <w:highlight w:val="none"/>
        </w:rPr>
        <w:t>（二）保险知识培训</w:t>
      </w:r>
    </w:p>
    <w:p w14:paraId="65C7CED5">
      <w:pPr>
        <w:rPr>
          <w:color w:val="auto"/>
          <w:highlight w:val="none"/>
        </w:rPr>
      </w:pPr>
    </w:p>
    <w:p w14:paraId="6192F039">
      <w:pPr>
        <w:rPr>
          <w:color w:val="auto"/>
          <w:highlight w:val="none"/>
        </w:rPr>
      </w:pPr>
      <w:r>
        <w:rPr>
          <w:rFonts w:hint="eastAsia"/>
          <w:color w:val="auto"/>
          <w:highlight w:val="none"/>
        </w:rPr>
        <w:t xml:space="preserve">    本服务合同有效期内，乙方应根据甲方的统一安排每年至少组织一次保险培训或交流会议，以提高甲方保险管理人员、施工人员、安全技术人员等的风险管理和防灾防损技能，有关费用由乙方承担。具体内容、实施方案、举办时间和地点由甲、乙两方共同协商确定。</w:t>
      </w:r>
    </w:p>
    <w:p w14:paraId="39BACD5D">
      <w:pPr>
        <w:rPr>
          <w:color w:val="auto"/>
          <w:highlight w:val="none"/>
        </w:rPr>
      </w:pPr>
    </w:p>
    <w:p w14:paraId="648403BB">
      <w:pPr>
        <w:rPr>
          <w:color w:val="auto"/>
          <w:highlight w:val="none"/>
        </w:rPr>
      </w:pPr>
      <w:r>
        <w:rPr>
          <w:rFonts w:hint="eastAsia"/>
          <w:color w:val="auto"/>
          <w:highlight w:val="none"/>
        </w:rPr>
        <w:t>（三）风险管理及防灾防损服务及计划</w:t>
      </w:r>
    </w:p>
    <w:p w14:paraId="5CA6B698">
      <w:pPr>
        <w:rPr>
          <w:color w:val="auto"/>
          <w:highlight w:val="none"/>
        </w:rPr>
      </w:pPr>
    </w:p>
    <w:p w14:paraId="47F98E45">
      <w:pPr>
        <w:rPr>
          <w:color w:val="auto"/>
          <w:highlight w:val="none"/>
        </w:rPr>
      </w:pPr>
      <w:r>
        <w:rPr>
          <w:rFonts w:hint="eastAsia"/>
          <w:color w:val="auto"/>
          <w:highlight w:val="none"/>
        </w:rPr>
        <w:t>本保单有效期内，乙方聘请有资质的评估机构对甲方进行全面风险查勘并提交风险查勘报告，提出有针对性的防灾防损建议，并协助甲方建立风险管理档案，相关费用由乙方承担。</w:t>
      </w:r>
    </w:p>
    <w:p w14:paraId="6A06BB91">
      <w:pPr>
        <w:rPr>
          <w:color w:val="auto"/>
          <w:highlight w:val="none"/>
        </w:rPr>
      </w:pPr>
      <w:r>
        <w:rPr>
          <w:rFonts w:hint="eastAsia"/>
          <w:color w:val="auto"/>
          <w:highlight w:val="none"/>
        </w:rPr>
        <w:t>乙方提取不超过</w:t>
      </w:r>
      <w:r>
        <w:rPr>
          <w:rFonts w:hint="eastAsia"/>
          <w:color w:val="auto"/>
          <w:highlight w:val="none"/>
          <w:u w:val="single"/>
        </w:rPr>
        <w:t xml:space="preserve">     </w:t>
      </w:r>
      <w:r>
        <w:rPr>
          <w:rFonts w:hint="eastAsia"/>
          <w:color w:val="auto"/>
          <w:highlight w:val="none"/>
        </w:rPr>
        <w:t>元作为风险管理与防灾防损服务基金，以保证风险管理与防灾防损服务活动的落实。</w:t>
      </w:r>
    </w:p>
    <w:p w14:paraId="529B5760">
      <w:pPr>
        <w:rPr>
          <w:color w:val="auto"/>
          <w:highlight w:val="none"/>
        </w:rPr>
      </w:pPr>
    </w:p>
    <w:p w14:paraId="490848A4">
      <w:pPr>
        <w:rPr>
          <w:color w:val="auto"/>
          <w:highlight w:val="none"/>
        </w:rPr>
      </w:pPr>
      <w:r>
        <w:rPr>
          <w:rFonts w:hint="eastAsia"/>
          <w:color w:val="auto"/>
          <w:highlight w:val="none"/>
        </w:rPr>
        <w:t>（四）理赔服务</w:t>
      </w:r>
    </w:p>
    <w:p w14:paraId="63DBDED2">
      <w:pPr>
        <w:rPr>
          <w:color w:val="auto"/>
          <w:highlight w:val="none"/>
        </w:rPr>
      </w:pPr>
    </w:p>
    <w:p w14:paraId="3B5B1102">
      <w:pPr>
        <w:rPr>
          <w:color w:val="auto"/>
          <w:highlight w:val="none"/>
        </w:rPr>
      </w:pPr>
      <w:r>
        <w:rPr>
          <w:rFonts w:hint="eastAsia"/>
          <w:color w:val="auto"/>
          <w:highlight w:val="none"/>
        </w:rPr>
        <w:t>1.接报案</w:t>
      </w:r>
    </w:p>
    <w:p w14:paraId="438D20A6">
      <w:pPr>
        <w:rPr>
          <w:color w:val="auto"/>
          <w:highlight w:val="none"/>
        </w:rPr>
      </w:pPr>
      <w:r>
        <w:rPr>
          <w:rFonts w:hint="eastAsia"/>
          <w:color w:val="auto"/>
          <w:highlight w:val="none"/>
        </w:rPr>
        <w:t>保险人设立本保险项目二十四小时保险索赔服务专线电话、传真，随时接受甲方的出险报案。未经甲方同意，电话、传真不得随意更改。</w:t>
      </w:r>
    </w:p>
    <w:p w14:paraId="4B026996">
      <w:pPr>
        <w:rPr>
          <w:color w:val="auto"/>
          <w:highlight w:val="none"/>
        </w:rPr>
      </w:pPr>
    </w:p>
    <w:p w14:paraId="59571432">
      <w:pPr>
        <w:rPr>
          <w:color w:val="auto"/>
          <w:highlight w:val="none"/>
        </w:rPr>
      </w:pPr>
      <w:r>
        <w:rPr>
          <w:rFonts w:hint="eastAsia"/>
          <w:color w:val="auto"/>
          <w:highlight w:val="none"/>
        </w:rPr>
        <w:t>2.现场查勘</w:t>
      </w:r>
    </w:p>
    <w:p w14:paraId="1F4BB41E">
      <w:pPr>
        <w:rPr>
          <w:color w:val="auto"/>
          <w:highlight w:val="none"/>
        </w:rPr>
      </w:pPr>
      <w:r>
        <w:rPr>
          <w:rFonts w:hint="eastAsia"/>
          <w:color w:val="auto"/>
          <w:highlight w:val="none"/>
        </w:rPr>
        <w:t>（1）单个案件损失预计超过人民币10,000元的，乙方接到报案后，专项服务小组成员应在一小时内给出处理意见，并回复是否前往现场查勘；如果没有回复，则表示专项服务小组不去现场查勘并同意以甲方提供的索赔材料为理赔依据。</w:t>
      </w:r>
    </w:p>
    <w:p w14:paraId="6465FB16">
      <w:pPr>
        <w:rPr>
          <w:color w:val="auto"/>
          <w:highlight w:val="none"/>
        </w:rPr>
      </w:pPr>
      <w:r>
        <w:rPr>
          <w:rFonts w:hint="eastAsia"/>
          <w:color w:val="auto"/>
          <w:highlight w:val="none"/>
        </w:rPr>
        <w:t>（2）专项服务小组应安排现场理赔服务人员/查勘人员在三小时内到达现场，进行保险事故损失查勘。未按上述规定及时到达现场，则允许甲方及其委托人自行处理事故现场，但应保留事故现场的有关照片或实物证据。由此产生的一切合理费用和事故损失由乙方承担。</w:t>
      </w:r>
    </w:p>
    <w:p w14:paraId="3A50B4D0">
      <w:pPr>
        <w:rPr>
          <w:color w:val="auto"/>
          <w:highlight w:val="none"/>
        </w:rPr>
      </w:pPr>
      <w:r>
        <w:rPr>
          <w:rFonts w:hint="eastAsia"/>
          <w:color w:val="auto"/>
          <w:highlight w:val="none"/>
        </w:rPr>
        <w:t>（3）在收悉甲方将采取施救措施报告后，应甲方要求，乙方应即刻派员至施救现场进行现场响应式理赔服务。甲方为防止或减少保险标的的损失所支付的必要的、合理的费用，乙方按照保险单的约定负责赔偿。</w:t>
      </w:r>
    </w:p>
    <w:p w14:paraId="2BA5AC0C">
      <w:pPr>
        <w:rPr>
          <w:color w:val="auto"/>
          <w:highlight w:val="none"/>
        </w:rPr>
      </w:pPr>
    </w:p>
    <w:p w14:paraId="7BBF604B">
      <w:pPr>
        <w:rPr>
          <w:color w:val="auto"/>
          <w:highlight w:val="none"/>
        </w:rPr>
      </w:pPr>
      <w:r>
        <w:rPr>
          <w:rFonts w:hint="eastAsia"/>
          <w:color w:val="auto"/>
          <w:highlight w:val="none"/>
        </w:rPr>
        <w:t>3.受理赔案</w:t>
      </w:r>
    </w:p>
    <w:p w14:paraId="3AE5159D">
      <w:pPr>
        <w:rPr>
          <w:color w:val="auto"/>
          <w:highlight w:val="none"/>
        </w:rPr>
      </w:pPr>
      <w:r>
        <w:rPr>
          <w:rFonts w:hint="eastAsia"/>
          <w:color w:val="auto"/>
          <w:highlight w:val="none"/>
        </w:rPr>
        <w:t>（1）乙方收到甲方及其代表报案通知后三个工作日内，应向甲方提交《理赔工作安排日程表》；乙方接到甲方预付赔款申请五个工作日内，应就预付时间、预付金额做出书面回复。</w:t>
      </w:r>
    </w:p>
    <w:p w14:paraId="0FD520AE">
      <w:pPr>
        <w:rPr>
          <w:color w:val="auto"/>
          <w:highlight w:val="none"/>
        </w:rPr>
      </w:pPr>
      <w:r>
        <w:rPr>
          <w:rFonts w:hint="eastAsia"/>
          <w:color w:val="auto"/>
          <w:highlight w:val="none"/>
        </w:rPr>
        <w:t>（2）乙方若认为甲方所提交的索赔证明和资料不完整，乙方应在收到甲方索赔单证三个工作日内，以书面方式一次性通知甲方补充提供。如乙方在接到索赔证明和资料三个工作日内未书面提出有关审查核实意见，即视为认可索赔资料完整。</w:t>
      </w:r>
    </w:p>
    <w:p w14:paraId="764C4365">
      <w:pPr>
        <w:rPr>
          <w:color w:val="auto"/>
          <w:highlight w:val="none"/>
        </w:rPr>
      </w:pPr>
      <w:r>
        <w:rPr>
          <w:rFonts w:hint="eastAsia"/>
          <w:color w:val="auto"/>
          <w:highlight w:val="none"/>
        </w:rPr>
        <w:t>（3）乙方收到甲方的赔偿或者给付保险金的请求后，应当于十个工作日内作出核定：情形复杂的，应当在三十日内作出核定。</w:t>
      </w:r>
    </w:p>
    <w:p w14:paraId="1E486C30">
      <w:pPr>
        <w:rPr>
          <w:color w:val="auto"/>
          <w:highlight w:val="none"/>
        </w:rPr>
      </w:pPr>
      <w:r>
        <w:rPr>
          <w:rFonts w:hint="eastAsia"/>
          <w:color w:val="auto"/>
          <w:highlight w:val="none"/>
        </w:rPr>
        <w:t>（4）若乙方在上述时间内未提出书面异议，视为双方就赔偿结果达成一致。</w:t>
      </w:r>
    </w:p>
    <w:p w14:paraId="3498292D">
      <w:pPr>
        <w:rPr>
          <w:color w:val="auto"/>
          <w:highlight w:val="none"/>
        </w:rPr>
      </w:pPr>
    </w:p>
    <w:p w14:paraId="554D91A2">
      <w:pPr>
        <w:rPr>
          <w:color w:val="auto"/>
          <w:highlight w:val="none"/>
        </w:rPr>
      </w:pPr>
      <w:r>
        <w:rPr>
          <w:rFonts w:hint="eastAsia"/>
          <w:color w:val="auto"/>
          <w:highlight w:val="none"/>
        </w:rPr>
        <w:t>4.预付赔款</w:t>
      </w:r>
    </w:p>
    <w:p w14:paraId="7339D0BE">
      <w:pPr>
        <w:rPr>
          <w:color w:val="auto"/>
          <w:highlight w:val="none"/>
        </w:rPr>
      </w:pPr>
      <w:r>
        <w:rPr>
          <w:rFonts w:hint="eastAsia"/>
          <w:color w:val="auto"/>
          <w:highlight w:val="none"/>
        </w:rPr>
        <w:t>当发生保险责任范围内的损失（估损金额在50万元以上，含50万元）事故后，在保险责任明确但损失金额尚不能准确确定的情况下，根据甲方要求，乙方应在收到甲方预付赔款申请书后七个工作日内，根据公估理算人的预估损失书面意见，预付估损金额50%的赔款，便于甲方及时恢复施工。</w:t>
      </w:r>
    </w:p>
    <w:p w14:paraId="2FB377C0">
      <w:pPr>
        <w:rPr>
          <w:color w:val="auto"/>
          <w:highlight w:val="none"/>
        </w:rPr>
      </w:pPr>
    </w:p>
    <w:p w14:paraId="527D5B3E">
      <w:pPr>
        <w:rPr>
          <w:color w:val="auto"/>
          <w:highlight w:val="none"/>
        </w:rPr>
      </w:pPr>
      <w:r>
        <w:rPr>
          <w:rFonts w:hint="eastAsia"/>
          <w:color w:val="auto"/>
          <w:highlight w:val="none"/>
        </w:rPr>
        <w:t>（五）结案要求</w:t>
      </w:r>
    </w:p>
    <w:p w14:paraId="57F5D479">
      <w:pPr>
        <w:rPr>
          <w:color w:val="auto"/>
          <w:highlight w:val="none"/>
        </w:rPr>
      </w:pPr>
    </w:p>
    <w:p w14:paraId="2CB1F99F">
      <w:pPr>
        <w:rPr>
          <w:color w:val="auto"/>
          <w:highlight w:val="none"/>
        </w:rPr>
      </w:pPr>
      <w:r>
        <w:rPr>
          <w:rFonts w:hint="eastAsia"/>
          <w:color w:val="auto"/>
          <w:highlight w:val="none"/>
        </w:rPr>
        <w:t>1.赔款支付原则</w:t>
      </w:r>
    </w:p>
    <w:p w14:paraId="0E6B81A0">
      <w:pPr>
        <w:rPr>
          <w:color w:val="auto"/>
          <w:highlight w:val="none"/>
        </w:rPr>
      </w:pPr>
      <w:r>
        <w:rPr>
          <w:rFonts w:hint="eastAsia"/>
          <w:color w:val="auto"/>
          <w:highlight w:val="none"/>
        </w:rPr>
        <w:t>乙方对已确定保险责任但未能确定最终赔偿金额的赔案，应当根据甲方已提供的证明材料支付已确定部分的赔偿金额；乙方在最终确定赔偿金额和赔付处理意见后，应当根据下述第6条“结案时限”的要求，支付相应的差额。</w:t>
      </w:r>
    </w:p>
    <w:p w14:paraId="0DF492A9">
      <w:pPr>
        <w:rPr>
          <w:color w:val="auto"/>
          <w:highlight w:val="none"/>
        </w:rPr>
      </w:pPr>
      <w:r>
        <w:rPr>
          <w:rFonts w:hint="eastAsia"/>
          <w:color w:val="auto"/>
          <w:highlight w:val="none"/>
        </w:rPr>
        <w:t>2.拒赔时间要求</w:t>
      </w:r>
    </w:p>
    <w:p w14:paraId="4ACF3656">
      <w:pPr>
        <w:rPr>
          <w:color w:val="auto"/>
          <w:highlight w:val="none"/>
        </w:rPr>
      </w:pPr>
      <w:r>
        <w:rPr>
          <w:rFonts w:hint="eastAsia"/>
          <w:color w:val="auto"/>
          <w:highlight w:val="none"/>
        </w:rPr>
        <w:t>乙方收到甲方的赔偿保险金的请求及齐全的索赔资料后，应当及时作出是否属于保险责任的核定；情形复杂的，应当在30日内作出核定。特殊情况由双方协商决定。如乙方认为收到的甲方索赔申请不属于保险责任，乙方自签收甲方索赔证明材料之日起三十日内，应向甲方发出书面拒绝赔偿或拒付保险赔偿金的通知书，并载明拒赔依据。如果乙方未在上述时间内提出拒赔，则认为乙方已接受甲方的索赔申请，不得再提出拒赔。</w:t>
      </w:r>
    </w:p>
    <w:p w14:paraId="26E372A7">
      <w:pPr>
        <w:rPr>
          <w:color w:val="auto"/>
          <w:highlight w:val="none"/>
        </w:rPr>
      </w:pPr>
    </w:p>
    <w:p w14:paraId="2A4ED5C3">
      <w:pPr>
        <w:rPr>
          <w:color w:val="auto"/>
          <w:highlight w:val="none"/>
        </w:rPr>
      </w:pPr>
      <w:r>
        <w:rPr>
          <w:rFonts w:hint="eastAsia"/>
          <w:color w:val="auto"/>
          <w:highlight w:val="none"/>
        </w:rPr>
        <w:t>3.赔款处理原则</w:t>
      </w:r>
    </w:p>
    <w:p w14:paraId="26A93B94">
      <w:pPr>
        <w:rPr>
          <w:color w:val="auto"/>
          <w:highlight w:val="none"/>
        </w:rPr>
      </w:pPr>
      <w:r>
        <w:rPr>
          <w:rFonts w:hint="eastAsia"/>
          <w:color w:val="auto"/>
          <w:highlight w:val="none"/>
        </w:rPr>
        <w:t>发生保险事故后，应以迅速恢复生产为前提，依照保单及本服务合同的相应约定进行赔偿理算、支付赔款。以利于甲方恢复生产、重置设备及其它保险财产。</w:t>
      </w:r>
    </w:p>
    <w:p w14:paraId="2CCFE4FB">
      <w:pPr>
        <w:rPr>
          <w:color w:val="auto"/>
          <w:highlight w:val="none"/>
        </w:rPr>
      </w:pPr>
    </w:p>
    <w:p w14:paraId="17BCD6AA">
      <w:pPr>
        <w:rPr>
          <w:color w:val="auto"/>
          <w:highlight w:val="none"/>
        </w:rPr>
      </w:pPr>
      <w:r>
        <w:rPr>
          <w:rFonts w:hint="eastAsia"/>
          <w:color w:val="auto"/>
          <w:highlight w:val="none"/>
        </w:rPr>
        <w:t>（六）结案时限</w:t>
      </w:r>
    </w:p>
    <w:p w14:paraId="6454DC92">
      <w:pPr>
        <w:rPr>
          <w:color w:val="auto"/>
          <w:highlight w:val="none"/>
        </w:rPr>
      </w:pPr>
      <w:r>
        <w:rPr>
          <w:rFonts w:hint="eastAsia"/>
          <w:color w:val="auto"/>
          <w:highlight w:val="none"/>
        </w:rPr>
        <w:t>1.10万元以下的赔案，</w:t>
      </w:r>
      <w:r>
        <w:rPr>
          <w:rFonts w:hint="eastAsia"/>
          <w:color w:val="auto"/>
          <w:highlight w:val="none"/>
          <w:lang w:val="zh-CN"/>
        </w:rPr>
        <w:t>甲乙双方就赔偿金额达成一致意见后</w:t>
      </w:r>
      <w:r>
        <w:rPr>
          <w:rFonts w:hint="eastAsia"/>
          <w:color w:val="auto"/>
          <w:highlight w:val="none"/>
        </w:rPr>
        <w:t>3个工作日内作出赔付；</w:t>
      </w:r>
    </w:p>
    <w:p w14:paraId="6DECA540">
      <w:pPr>
        <w:rPr>
          <w:color w:val="auto"/>
          <w:highlight w:val="none"/>
        </w:rPr>
      </w:pPr>
      <w:r>
        <w:rPr>
          <w:rFonts w:hint="eastAsia"/>
          <w:color w:val="auto"/>
          <w:highlight w:val="none"/>
        </w:rPr>
        <w:t>2.10～50万元的赔案，</w:t>
      </w:r>
      <w:r>
        <w:rPr>
          <w:rFonts w:hint="eastAsia"/>
          <w:color w:val="auto"/>
          <w:highlight w:val="none"/>
          <w:lang w:val="zh-CN"/>
        </w:rPr>
        <w:t>甲乙双方就赔偿金额达成一致意见后</w:t>
      </w:r>
      <w:r>
        <w:rPr>
          <w:rFonts w:hint="eastAsia"/>
          <w:color w:val="auto"/>
          <w:highlight w:val="none"/>
        </w:rPr>
        <w:t>7个工作日内作出赔付；</w:t>
      </w:r>
    </w:p>
    <w:p w14:paraId="4D65F54C">
      <w:pPr>
        <w:rPr>
          <w:color w:val="auto"/>
          <w:highlight w:val="none"/>
        </w:rPr>
      </w:pPr>
      <w:r>
        <w:rPr>
          <w:rFonts w:hint="eastAsia"/>
          <w:color w:val="auto"/>
          <w:highlight w:val="none"/>
        </w:rPr>
        <w:t>3.50万元以上的赔案，</w:t>
      </w:r>
      <w:r>
        <w:rPr>
          <w:rFonts w:hint="eastAsia"/>
          <w:color w:val="auto"/>
          <w:highlight w:val="none"/>
          <w:lang w:val="zh-CN"/>
        </w:rPr>
        <w:t>甲乙双方就赔偿金额达成一致意见后</w:t>
      </w:r>
      <w:r>
        <w:rPr>
          <w:rFonts w:hint="eastAsia"/>
          <w:color w:val="auto"/>
          <w:highlight w:val="none"/>
        </w:rPr>
        <w:t>10个工作日内作出赔付；</w:t>
      </w:r>
    </w:p>
    <w:p w14:paraId="35AF7A2D">
      <w:pPr>
        <w:rPr>
          <w:color w:val="auto"/>
          <w:highlight w:val="none"/>
        </w:rPr>
      </w:pPr>
    </w:p>
    <w:p w14:paraId="25C5B01E">
      <w:pPr>
        <w:rPr>
          <w:color w:val="auto"/>
          <w:highlight w:val="none"/>
        </w:rPr>
      </w:pPr>
      <w:r>
        <w:rPr>
          <w:rFonts w:hint="eastAsia"/>
          <w:color w:val="auto"/>
          <w:highlight w:val="none"/>
        </w:rPr>
        <w:t>（七）乙方有义务对所有承保、理赔服务工作进行监督、检查，发生事故时专项服务小组应编制《理赔工作安排日程表》提交甲方，与甲方共同及时修订不合理的理算服务时间、理算服务流程。</w:t>
      </w:r>
    </w:p>
    <w:p w14:paraId="6E1CF85C">
      <w:pPr>
        <w:rPr>
          <w:color w:val="auto"/>
          <w:highlight w:val="none"/>
        </w:rPr>
      </w:pPr>
    </w:p>
    <w:p w14:paraId="6F7698CC">
      <w:pPr>
        <w:rPr>
          <w:color w:val="auto"/>
          <w:highlight w:val="none"/>
        </w:rPr>
      </w:pPr>
      <w:r>
        <w:rPr>
          <w:rFonts w:hint="eastAsia"/>
          <w:color w:val="auto"/>
          <w:highlight w:val="none"/>
        </w:rPr>
        <w:t>（八）乙方专项服务小组应于每季度结束后10日内向甲方提供理赔统计报表，报表应包括损失发生的时间、地点、损失原因、估损金额、定损金额、赔款等与赔案处理有关的信息。</w:t>
      </w:r>
    </w:p>
    <w:p w14:paraId="3C7817DF">
      <w:pPr>
        <w:rPr>
          <w:color w:val="auto"/>
          <w:highlight w:val="none"/>
        </w:rPr>
      </w:pPr>
    </w:p>
    <w:p w14:paraId="3B219183">
      <w:pPr>
        <w:rPr>
          <w:color w:val="auto"/>
          <w:highlight w:val="none"/>
        </w:rPr>
      </w:pPr>
      <w:r>
        <w:rPr>
          <w:rFonts w:hint="eastAsia"/>
          <w:color w:val="auto"/>
          <w:highlight w:val="none"/>
        </w:rPr>
        <w:t>（九）乙方有义务向甲方提供有关保险的法律服务，包括提供法律咨询、代为推荐代理律师、协助拟定有关保险法律的文件、文书、合同等。在甲方提出明确需求的情况下，乙方可向甲方提供代理诉讼服务，但所产生的诉讼成本除属于保险合同的责任范围内的费用外，其他费用应由甲方承担。</w:t>
      </w:r>
    </w:p>
    <w:p w14:paraId="7A9EF977">
      <w:pPr>
        <w:rPr>
          <w:color w:val="auto"/>
          <w:highlight w:val="none"/>
        </w:rPr>
      </w:pPr>
    </w:p>
    <w:p w14:paraId="6798E4F8">
      <w:pPr>
        <w:rPr>
          <w:color w:val="auto"/>
          <w:highlight w:val="none"/>
        </w:rPr>
      </w:pPr>
      <w:r>
        <w:rPr>
          <w:rFonts w:hint="eastAsia"/>
          <w:color w:val="auto"/>
          <w:highlight w:val="none"/>
        </w:rPr>
        <w:t>七、违约责任</w:t>
      </w:r>
    </w:p>
    <w:p w14:paraId="4EC12F47">
      <w:pPr>
        <w:rPr>
          <w:color w:val="auto"/>
          <w:highlight w:val="none"/>
        </w:rPr>
      </w:pPr>
    </w:p>
    <w:p w14:paraId="23325996">
      <w:pPr>
        <w:rPr>
          <w:color w:val="auto"/>
          <w:highlight w:val="none"/>
        </w:rPr>
      </w:pPr>
      <w:r>
        <w:rPr>
          <w:rFonts w:hint="eastAsia"/>
          <w:color w:val="auto"/>
          <w:highlight w:val="none"/>
        </w:rPr>
        <w:t>为了维护本合同以及保险单的严肃性，甲、乙及保险经纪人三方应按保险单以及本合同内规定条款履行各自的义务，并承担相应的责任。</w:t>
      </w:r>
    </w:p>
    <w:p w14:paraId="74B38157">
      <w:pPr>
        <w:rPr>
          <w:color w:val="auto"/>
          <w:highlight w:val="none"/>
        </w:rPr>
      </w:pPr>
      <w:r>
        <w:rPr>
          <w:rFonts w:hint="eastAsia"/>
          <w:color w:val="auto"/>
          <w:highlight w:val="none"/>
        </w:rPr>
        <w:t xml:space="preserve">    </w:t>
      </w:r>
    </w:p>
    <w:p w14:paraId="1A2D793C">
      <w:pPr>
        <w:rPr>
          <w:color w:val="auto"/>
          <w:highlight w:val="none"/>
        </w:rPr>
      </w:pPr>
      <w:r>
        <w:rPr>
          <w:rFonts w:hint="eastAsia"/>
          <w:color w:val="auto"/>
          <w:highlight w:val="none"/>
        </w:rPr>
        <w:t>如乙方违反本合同约定，若乙方给甲方造成损失的，乙方应当依法赔偿甲方损失并承担所造成的守约方的全部损失。因乙方逾期赔付本合同项下保险赔偿金的，每逾期一日，乙方应以应付未付保险赔偿金总额每日万分之五的标准向甲方支付滞纳金，直至保险赔偿金及相关费用全部清偿之日为止。（该条不适用预付赔款）。</w:t>
      </w:r>
    </w:p>
    <w:p w14:paraId="613902A9">
      <w:pPr>
        <w:rPr>
          <w:color w:val="auto"/>
          <w:highlight w:val="none"/>
        </w:rPr>
      </w:pPr>
    </w:p>
    <w:p w14:paraId="39AEB951">
      <w:pPr>
        <w:rPr>
          <w:color w:val="auto"/>
          <w:highlight w:val="none"/>
        </w:rPr>
      </w:pPr>
      <w:r>
        <w:rPr>
          <w:rFonts w:hint="eastAsia"/>
          <w:color w:val="auto"/>
          <w:highlight w:val="none"/>
        </w:rPr>
        <w:t>八、争议、仲裁</w:t>
      </w:r>
    </w:p>
    <w:p w14:paraId="79B0A4D5">
      <w:pPr>
        <w:rPr>
          <w:color w:val="auto"/>
          <w:highlight w:val="none"/>
        </w:rPr>
      </w:pPr>
    </w:p>
    <w:p w14:paraId="6B1319E6">
      <w:pPr>
        <w:rPr>
          <w:color w:val="auto"/>
          <w:highlight w:val="none"/>
        </w:rPr>
      </w:pPr>
      <w:r>
        <w:rPr>
          <w:rFonts w:hint="eastAsia"/>
          <w:color w:val="auto"/>
          <w:highlight w:val="none"/>
        </w:rPr>
        <w:t>任何产生于本合同或者与本合同相关的争议，均应友好协商解决；若协商不成，则提交有管辖权的人民法院裁决。</w:t>
      </w:r>
    </w:p>
    <w:p w14:paraId="6BA71A3C">
      <w:pPr>
        <w:rPr>
          <w:color w:val="auto"/>
          <w:highlight w:val="none"/>
        </w:rPr>
      </w:pPr>
    </w:p>
    <w:p w14:paraId="6A4CBC44">
      <w:pPr>
        <w:rPr>
          <w:color w:val="auto"/>
          <w:highlight w:val="none"/>
        </w:rPr>
      </w:pPr>
      <w:r>
        <w:rPr>
          <w:rFonts w:hint="eastAsia"/>
          <w:color w:val="auto"/>
          <w:highlight w:val="none"/>
        </w:rPr>
        <w:t>九、修改和补充</w:t>
      </w:r>
    </w:p>
    <w:p w14:paraId="48C99492">
      <w:pPr>
        <w:rPr>
          <w:color w:val="auto"/>
          <w:highlight w:val="none"/>
        </w:rPr>
      </w:pPr>
    </w:p>
    <w:p w14:paraId="22CDCBF1">
      <w:pPr>
        <w:rPr>
          <w:color w:val="auto"/>
          <w:highlight w:val="none"/>
        </w:rPr>
      </w:pPr>
      <w:r>
        <w:rPr>
          <w:rFonts w:hint="eastAsia"/>
          <w:color w:val="auto"/>
          <w:highlight w:val="none"/>
        </w:rPr>
        <w:t>在本合同执行期内，如需对本合同进行修改和补充。由甲、乙双方协商一致后，以补充合同形式附于本合同后。</w:t>
      </w:r>
    </w:p>
    <w:p w14:paraId="1754ABDC">
      <w:pPr>
        <w:rPr>
          <w:color w:val="auto"/>
          <w:highlight w:val="none"/>
        </w:rPr>
      </w:pPr>
    </w:p>
    <w:p w14:paraId="3C4D8E56">
      <w:pPr>
        <w:rPr>
          <w:color w:val="auto"/>
          <w:highlight w:val="none"/>
        </w:rPr>
      </w:pPr>
      <w:r>
        <w:rPr>
          <w:rFonts w:hint="eastAsia"/>
          <w:color w:val="auto"/>
          <w:highlight w:val="none"/>
        </w:rPr>
        <w:t>十、合同有效期</w:t>
      </w:r>
    </w:p>
    <w:p w14:paraId="33EBE352">
      <w:pPr>
        <w:rPr>
          <w:color w:val="auto"/>
          <w:highlight w:val="none"/>
        </w:rPr>
      </w:pPr>
    </w:p>
    <w:p w14:paraId="5CF07AE3">
      <w:pPr>
        <w:rPr>
          <w:color w:val="auto"/>
          <w:highlight w:val="none"/>
        </w:rPr>
      </w:pPr>
      <w:r>
        <w:rPr>
          <w:rFonts w:hint="eastAsia"/>
          <w:color w:val="auto"/>
          <w:highlight w:val="none"/>
        </w:rPr>
        <w:t>本合同自签订之日起生效，并在保险有效期内持续有效，如果保险期限结束后，存在遗留问题，本合同继续有效，直至保单涉及的各项遗留事宜最终处理完毕时为止。</w:t>
      </w:r>
    </w:p>
    <w:p w14:paraId="24DA45AA">
      <w:pPr>
        <w:rPr>
          <w:color w:val="auto"/>
          <w:highlight w:val="none"/>
        </w:rPr>
      </w:pPr>
    </w:p>
    <w:p w14:paraId="2EEA0887">
      <w:pPr>
        <w:rPr>
          <w:color w:val="auto"/>
          <w:highlight w:val="none"/>
        </w:rPr>
      </w:pPr>
      <w:r>
        <w:rPr>
          <w:rFonts w:hint="eastAsia"/>
          <w:color w:val="auto"/>
          <w:highlight w:val="none"/>
        </w:rPr>
        <w:t>十一、其他</w:t>
      </w:r>
    </w:p>
    <w:p w14:paraId="4CCDA92D">
      <w:pPr>
        <w:rPr>
          <w:color w:val="auto"/>
          <w:highlight w:val="none"/>
        </w:rPr>
      </w:pPr>
    </w:p>
    <w:p w14:paraId="65845CE4">
      <w:pPr>
        <w:rPr>
          <w:color w:val="auto"/>
          <w:highlight w:val="none"/>
        </w:rPr>
      </w:pPr>
      <w:r>
        <w:rPr>
          <w:rFonts w:hint="eastAsia"/>
          <w:color w:val="auto"/>
          <w:highlight w:val="none"/>
        </w:rPr>
        <w:t>本合同正本2份、副本3份，甲方和乙方各执正本1份、副本1份，保险经纪人执副本1份。</w:t>
      </w:r>
    </w:p>
    <w:p w14:paraId="6BACA936">
      <w:pPr>
        <w:rPr>
          <w:snapToGrid w:val="0"/>
          <w:color w:val="auto"/>
          <w:highlight w:val="none"/>
        </w:rPr>
      </w:pPr>
      <w:r>
        <w:rPr>
          <w:rFonts w:hint="eastAsia"/>
          <w:color w:val="auto"/>
          <w:highlight w:val="none"/>
        </w:rPr>
        <w:br w:type="page"/>
      </w:r>
      <w:r>
        <w:rPr>
          <w:rFonts w:hint="eastAsia"/>
          <w:snapToGrid w:val="0"/>
          <w:color w:val="auto"/>
          <w:highlight w:val="none"/>
        </w:rPr>
        <w:t>（此页无正文，仅供签章用）</w:t>
      </w:r>
    </w:p>
    <w:p w14:paraId="2A6FB3C8">
      <w:pPr>
        <w:rPr>
          <w:color w:val="auto"/>
          <w:highlight w:val="none"/>
        </w:rPr>
      </w:pPr>
    </w:p>
    <w:p w14:paraId="6854180B">
      <w:pPr>
        <w:rPr>
          <w:color w:val="auto"/>
          <w:highlight w:val="none"/>
        </w:rPr>
      </w:pPr>
      <w:r>
        <w:rPr>
          <w:rFonts w:hint="eastAsia"/>
          <w:color w:val="auto"/>
          <w:highlight w:val="none"/>
        </w:rPr>
        <w:t>甲方（盖章）：广东省代建项目管理局</w:t>
      </w:r>
      <w:r>
        <w:rPr>
          <w:color w:val="auto"/>
          <w:highlight w:val="none"/>
        </w:rPr>
        <w:t xml:space="preserve">   </w:t>
      </w:r>
      <w:r>
        <w:rPr>
          <w:rFonts w:hint="eastAsia"/>
          <w:color w:val="auto"/>
          <w:highlight w:val="none"/>
        </w:rPr>
        <w:t xml:space="preserve">乙方（盖章）： </w:t>
      </w:r>
    </w:p>
    <w:p w14:paraId="5081931B">
      <w:pPr>
        <w:rPr>
          <w:color w:val="auto"/>
          <w:highlight w:val="none"/>
        </w:rPr>
      </w:pPr>
      <w:r>
        <w:rPr>
          <w:rFonts w:hint="eastAsia"/>
          <w:color w:val="auto"/>
          <w:highlight w:val="none"/>
        </w:rPr>
        <w:t xml:space="preserve">甲方法定代表人： </w:t>
      </w:r>
      <w:r>
        <w:rPr>
          <w:color w:val="auto"/>
          <w:highlight w:val="none"/>
        </w:rPr>
        <w:t xml:space="preserve">                   </w:t>
      </w:r>
      <w:r>
        <w:rPr>
          <w:rFonts w:hint="eastAsia"/>
          <w:color w:val="auto"/>
          <w:highlight w:val="none"/>
        </w:rPr>
        <w:t>乙方法定代表人：</w:t>
      </w:r>
    </w:p>
    <w:p w14:paraId="780F3B26">
      <w:pPr>
        <w:rPr>
          <w:color w:val="auto"/>
          <w:highlight w:val="none"/>
        </w:rPr>
      </w:pPr>
      <w:r>
        <w:rPr>
          <w:rFonts w:hint="eastAsia"/>
          <w:color w:val="auto"/>
          <w:highlight w:val="none"/>
        </w:rPr>
        <w:t xml:space="preserve">或委托代理人： </w:t>
      </w:r>
      <w:r>
        <w:rPr>
          <w:color w:val="auto"/>
          <w:highlight w:val="none"/>
        </w:rPr>
        <w:t xml:space="preserve">                     </w:t>
      </w:r>
      <w:r>
        <w:rPr>
          <w:rFonts w:hint="eastAsia"/>
          <w:color w:val="auto"/>
          <w:highlight w:val="none"/>
        </w:rPr>
        <w:t>或委托代理人：</w:t>
      </w:r>
    </w:p>
    <w:p w14:paraId="6165DC81">
      <w:pPr>
        <w:rPr>
          <w:color w:val="auto"/>
          <w:highlight w:val="none"/>
        </w:rPr>
      </w:pPr>
      <w:r>
        <w:rPr>
          <w:rFonts w:hint="eastAsia"/>
          <w:color w:val="auto"/>
          <w:highlight w:val="none"/>
        </w:rPr>
        <w:t xml:space="preserve">地址：广州市天河区黄埔大道西108号  地址：  </w:t>
      </w:r>
    </w:p>
    <w:p w14:paraId="4642C5DC">
      <w:pPr>
        <w:rPr>
          <w:color w:val="auto"/>
          <w:highlight w:val="none"/>
        </w:rPr>
      </w:pPr>
      <w:r>
        <w:rPr>
          <w:rFonts w:hint="eastAsia"/>
          <w:color w:val="auto"/>
          <w:highlight w:val="none"/>
        </w:rPr>
        <w:t xml:space="preserve">奥园大厦11/12楼                                 </w:t>
      </w:r>
    </w:p>
    <w:p w14:paraId="57118B0C">
      <w:pPr>
        <w:rPr>
          <w:color w:val="auto"/>
          <w:highlight w:val="none"/>
        </w:rPr>
      </w:pPr>
      <w:r>
        <w:rPr>
          <w:rFonts w:hint="eastAsia"/>
          <w:color w:val="auto"/>
          <w:highlight w:val="none"/>
        </w:rPr>
        <w:t>电话：</w:t>
      </w:r>
      <w:r>
        <w:rPr>
          <w:color w:val="auto"/>
          <w:highlight w:val="none"/>
        </w:rPr>
        <w:t xml:space="preserve">                              </w:t>
      </w:r>
      <w:r>
        <w:rPr>
          <w:rFonts w:hint="eastAsia"/>
          <w:color w:val="auto"/>
          <w:highlight w:val="none"/>
        </w:rPr>
        <w:t>电话：</w:t>
      </w:r>
    </w:p>
    <w:p w14:paraId="7C6CED0F">
      <w:pPr>
        <w:rPr>
          <w:color w:val="auto"/>
          <w:highlight w:val="none"/>
        </w:rPr>
      </w:pPr>
      <w:r>
        <w:rPr>
          <w:rFonts w:hint="eastAsia"/>
          <w:color w:val="auto"/>
          <w:highlight w:val="none"/>
        </w:rPr>
        <w:t xml:space="preserve">传真：            </w:t>
      </w:r>
      <w:r>
        <w:rPr>
          <w:color w:val="auto"/>
          <w:highlight w:val="none"/>
        </w:rPr>
        <w:t xml:space="preserve">                  </w:t>
      </w:r>
      <w:r>
        <w:rPr>
          <w:rFonts w:hint="eastAsia"/>
          <w:color w:val="auto"/>
          <w:highlight w:val="none"/>
        </w:rPr>
        <w:t>传真：</w:t>
      </w:r>
    </w:p>
    <w:p w14:paraId="0BD172AA">
      <w:pPr>
        <w:rPr>
          <w:color w:val="auto"/>
          <w:highlight w:val="none"/>
        </w:rPr>
      </w:pPr>
      <w:r>
        <w:rPr>
          <w:rFonts w:hint="eastAsia"/>
          <w:color w:val="auto"/>
          <w:highlight w:val="none"/>
        </w:rPr>
        <w:t xml:space="preserve">开户银行：                </w:t>
      </w:r>
      <w:r>
        <w:rPr>
          <w:color w:val="auto"/>
          <w:highlight w:val="none"/>
        </w:rPr>
        <w:t xml:space="preserve">       </w:t>
      </w:r>
      <w:r>
        <w:rPr>
          <w:rFonts w:hint="eastAsia"/>
          <w:color w:val="auto"/>
          <w:highlight w:val="none"/>
        </w:rPr>
        <w:t xml:space="preserve">   开户银行： </w:t>
      </w:r>
    </w:p>
    <w:p w14:paraId="17CBD02D">
      <w:pPr>
        <w:rPr>
          <w:color w:val="auto"/>
          <w:highlight w:val="none"/>
        </w:rPr>
      </w:pPr>
      <w:r>
        <w:rPr>
          <w:rFonts w:hint="eastAsia"/>
          <w:color w:val="auto"/>
          <w:highlight w:val="none"/>
        </w:rPr>
        <w:t>开户账号：</w:t>
      </w:r>
      <w:r>
        <w:rPr>
          <w:color w:val="auto"/>
          <w:highlight w:val="none"/>
        </w:rPr>
        <w:t xml:space="preserve">                          </w:t>
      </w:r>
      <w:r>
        <w:rPr>
          <w:rFonts w:hint="eastAsia"/>
          <w:color w:val="auto"/>
          <w:highlight w:val="none"/>
        </w:rPr>
        <w:t>开户账号：</w:t>
      </w:r>
      <w:r>
        <w:rPr>
          <w:color w:val="auto"/>
          <w:highlight w:val="none"/>
        </w:rPr>
        <w:t xml:space="preserve"> </w:t>
      </w:r>
    </w:p>
    <w:p w14:paraId="00F5459C">
      <w:pPr>
        <w:rPr>
          <w:color w:val="auto"/>
          <w:highlight w:val="none"/>
        </w:rPr>
      </w:pPr>
      <w:r>
        <w:rPr>
          <w:rFonts w:hint="eastAsia"/>
          <w:color w:val="auto"/>
          <w:highlight w:val="none"/>
        </w:rPr>
        <w:t xml:space="preserve">合同订立时间：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日 </w:t>
      </w:r>
      <w:r>
        <w:rPr>
          <w:color w:val="auto"/>
          <w:highlight w:val="none"/>
        </w:rPr>
        <w:t xml:space="preserve">        </w:t>
      </w:r>
      <w:r>
        <w:rPr>
          <w:rFonts w:hint="eastAsia"/>
          <w:color w:val="auto"/>
          <w:highlight w:val="none"/>
        </w:rPr>
        <w:t>合同订立时间：</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14:paraId="40B22208">
      <w:pPr>
        <w:rPr>
          <w:color w:val="auto"/>
          <w:highlight w:val="none"/>
        </w:rPr>
      </w:pPr>
    </w:p>
    <w:p w14:paraId="455DF931">
      <w:pPr>
        <w:rPr>
          <w:color w:val="auto"/>
          <w:highlight w:val="none"/>
        </w:rPr>
      </w:pPr>
    </w:p>
    <w:p w14:paraId="745702A7">
      <w:pPr>
        <w:rPr>
          <w:color w:val="auto"/>
          <w:highlight w:val="none"/>
        </w:rPr>
      </w:pPr>
    </w:p>
    <w:p w14:paraId="6F23EB91">
      <w:pPr>
        <w:rPr>
          <w:color w:val="auto"/>
          <w:highlight w:val="none"/>
        </w:rPr>
      </w:pPr>
    </w:p>
    <w:p w14:paraId="7E5B71D1">
      <w:pPr>
        <w:rPr>
          <w:color w:val="auto"/>
          <w:highlight w:val="none"/>
        </w:rPr>
      </w:pPr>
    </w:p>
    <w:p w14:paraId="6FFCD50F">
      <w:pPr>
        <w:spacing w:line="360" w:lineRule="auto"/>
        <w:ind w:firstLine="303" w:firstLineChars="100"/>
        <w:jc w:val="center"/>
        <w:outlineLvl w:val="1"/>
        <w:rPr>
          <w:rFonts w:hint="eastAsia" w:ascii="宋体" w:hAnsi="宋体" w:cs="宋体"/>
          <w:b/>
          <w:bCs/>
          <w:color w:val="auto"/>
          <w:sz w:val="30"/>
          <w:szCs w:val="30"/>
          <w:highlight w:val="none"/>
        </w:rPr>
        <w:sectPr>
          <w:pgSz w:w="11906" w:h="16838"/>
          <w:pgMar w:top="1134" w:right="1287" w:bottom="1020" w:left="1440" w:header="851" w:footer="907" w:gutter="0"/>
          <w:cols w:space="720" w:num="1"/>
          <w:docGrid w:type="linesAndChars" w:linePitch="339" w:charSpace="709"/>
        </w:sectPr>
      </w:pPr>
    </w:p>
    <w:p w14:paraId="2BA39260">
      <w:pPr>
        <w:numPr>
          <w:ilvl w:val="0"/>
          <w:numId w:val="0"/>
        </w:numPr>
        <w:spacing w:line="360" w:lineRule="auto"/>
        <w:ind w:leftChars="0"/>
        <w:jc w:val="center"/>
        <w:outlineLvl w:val="1"/>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4.部分投标文件格式参考</w:t>
      </w:r>
    </w:p>
    <w:p w14:paraId="7B15F9A8">
      <w:pPr>
        <w:numPr>
          <w:ilvl w:val="0"/>
          <w:numId w:val="0"/>
        </w:numPr>
        <w:spacing w:line="360" w:lineRule="auto"/>
        <w:ind w:leftChars="0"/>
        <w:jc w:val="center"/>
        <w:outlineLvl w:val="1"/>
        <w:rPr>
          <w:rFonts w:ascii="宋体" w:hAnsi="宋体"/>
          <w:b/>
          <w:bCs/>
          <w:color w:val="auto"/>
          <w:sz w:val="28"/>
          <w:szCs w:val="28"/>
          <w:highlight w:val="none"/>
        </w:rPr>
      </w:pPr>
      <w:r>
        <w:rPr>
          <w:rFonts w:hint="eastAsia" w:ascii="宋体" w:hAnsi="宋体" w:cs="宋体"/>
          <w:b/>
          <w:bCs/>
          <w:color w:val="auto"/>
          <w:sz w:val="30"/>
          <w:szCs w:val="30"/>
          <w:highlight w:val="none"/>
          <w:lang w:val="en-US" w:eastAsia="zh-CN"/>
        </w:rPr>
        <w:t>一</w:t>
      </w:r>
      <w:r>
        <w:rPr>
          <w:rFonts w:hint="eastAsia" w:ascii="宋体" w:hAnsi="宋体" w:cs="宋体"/>
          <w:b/>
          <w:bCs/>
          <w:color w:val="auto"/>
          <w:sz w:val="30"/>
          <w:szCs w:val="30"/>
          <w:highlight w:val="none"/>
        </w:rPr>
        <w:t>、承保业绩一览表</w:t>
      </w:r>
    </w:p>
    <w:p w14:paraId="07678C7F">
      <w:pPr>
        <w:jc w:val="center"/>
        <w:rPr>
          <w:rFonts w:ascii="宋体" w:hAnsi="宋体"/>
          <w:bCs/>
          <w:color w:val="auto"/>
          <w:sz w:val="30"/>
          <w:szCs w:val="30"/>
          <w:highlight w:val="none"/>
        </w:rPr>
      </w:pPr>
    </w:p>
    <w:tbl>
      <w:tblPr>
        <w:tblStyle w:val="5"/>
        <w:tblW w:w="510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1541"/>
        <w:gridCol w:w="1029"/>
        <w:gridCol w:w="1367"/>
        <w:gridCol w:w="1367"/>
        <w:gridCol w:w="1029"/>
        <w:gridCol w:w="979"/>
        <w:gridCol w:w="776"/>
        <w:gridCol w:w="774"/>
      </w:tblGrid>
      <w:tr w14:paraId="1DA49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84" w:type="pct"/>
            <w:tcBorders>
              <w:top w:val="single" w:color="auto" w:sz="6" w:space="0"/>
              <w:left w:val="single" w:color="auto" w:sz="6" w:space="0"/>
              <w:bottom w:val="single" w:color="auto" w:sz="6" w:space="0"/>
              <w:right w:val="single" w:color="auto" w:sz="6" w:space="0"/>
            </w:tcBorders>
            <w:noWrap w:val="0"/>
            <w:vAlign w:val="center"/>
          </w:tcPr>
          <w:p w14:paraId="135D8F40">
            <w:pPr>
              <w:jc w:val="center"/>
              <w:rPr>
                <w:rFonts w:ascii="宋体" w:hAnsi="宋体" w:cs="Arial"/>
                <w:bCs/>
                <w:color w:val="auto"/>
                <w:szCs w:val="21"/>
                <w:highlight w:val="none"/>
              </w:rPr>
            </w:pPr>
            <w:r>
              <w:rPr>
                <w:rFonts w:hint="eastAsia" w:ascii="宋体" w:hAnsi="宋体" w:cs="Arial"/>
                <w:bCs/>
                <w:color w:val="auto"/>
                <w:szCs w:val="21"/>
                <w:highlight w:val="none"/>
              </w:rPr>
              <w:t>序号</w:t>
            </w:r>
          </w:p>
        </w:tc>
        <w:tc>
          <w:tcPr>
            <w:tcW w:w="803" w:type="pct"/>
            <w:tcBorders>
              <w:top w:val="single" w:color="auto" w:sz="6" w:space="0"/>
              <w:left w:val="single" w:color="auto" w:sz="6" w:space="0"/>
              <w:bottom w:val="single" w:color="auto" w:sz="6" w:space="0"/>
              <w:right w:val="single" w:color="auto" w:sz="6" w:space="0"/>
            </w:tcBorders>
            <w:noWrap w:val="0"/>
            <w:vAlign w:val="center"/>
          </w:tcPr>
          <w:p w14:paraId="32AD7D3B">
            <w:pPr>
              <w:jc w:val="center"/>
              <w:rPr>
                <w:rFonts w:ascii="宋体" w:hAnsi="宋体" w:cs="Arial"/>
                <w:bCs/>
                <w:color w:val="auto"/>
                <w:szCs w:val="21"/>
                <w:highlight w:val="none"/>
              </w:rPr>
            </w:pPr>
            <w:r>
              <w:rPr>
                <w:rFonts w:hint="eastAsia" w:ascii="宋体" w:hAnsi="宋体" w:cs="Arial"/>
                <w:bCs/>
                <w:color w:val="auto"/>
                <w:szCs w:val="21"/>
                <w:highlight w:val="none"/>
              </w:rPr>
              <w:t>项目名称</w:t>
            </w:r>
          </w:p>
        </w:tc>
        <w:tc>
          <w:tcPr>
            <w:tcW w:w="536" w:type="pct"/>
            <w:tcBorders>
              <w:top w:val="single" w:color="auto" w:sz="6" w:space="0"/>
              <w:left w:val="single" w:color="auto" w:sz="6" w:space="0"/>
              <w:bottom w:val="single" w:color="auto" w:sz="6" w:space="0"/>
              <w:right w:val="single" w:color="auto" w:sz="6" w:space="0"/>
            </w:tcBorders>
            <w:noWrap w:val="0"/>
            <w:vAlign w:val="center"/>
          </w:tcPr>
          <w:p w14:paraId="461B8A3F">
            <w:pPr>
              <w:jc w:val="center"/>
              <w:rPr>
                <w:rFonts w:ascii="宋体" w:hAnsi="宋体" w:cs="Arial"/>
                <w:bCs/>
                <w:color w:val="auto"/>
                <w:szCs w:val="21"/>
                <w:highlight w:val="none"/>
              </w:rPr>
            </w:pPr>
            <w:r>
              <w:rPr>
                <w:rFonts w:hint="eastAsia" w:ascii="宋体" w:hAnsi="宋体" w:cs="Arial"/>
                <w:bCs/>
                <w:color w:val="auto"/>
                <w:szCs w:val="21"/>
                <w:highlight w:val="none"/>
              </w:rPr>
              <w:t>委托单位</w:t>
            </w:r>
          </w:p>
        </w:tc>
        <w:tc>
          <w:tcPr>
            <w:tcW w:w="712" w:type="pct"/>
            <w:tcBorders>
              <w:top w:val="single" w:color="auto" w:sz="6" w:space="0"/>
              <w:left w:val="single" w:color="auto" w:sz="6" w:space="0"/>
              <w:bottom w:val="single" w:color="auto" w:sz="6" w:space="0"/>
              <w:right w:val="single" w:color="auto" w:sz="6" w:space="0"/>
            </w:tcBorders>
            <w:noWrap w:val="0"/>
            <w:vAlign w:val="center"/>
          </w:tcPr>
          <w:p w14:paraId="0D072E31">
            <w:pPr>
              <w:jc w:val="center"/>
              <w:rPr>
                <w:rFonts w:ascii="宋体" w:hAnsi="宋体" w:cs="Arial"/>
                <w:bCs/>
                <w:color w:val="auto"/>
                <w:szCs w:val="21"/>
                <w:highlight w:val="none"/>
              </w:rPr>
            </w:pPr>
            <w:r>
              <w:rPr>
                <w:rFonts w:hint="eastAsia" w:ascii="宋体" w:hAnsi="宋体" w:cs="Arial"/>
                <w:bCs/>
                <w:color w:val="auto"/>
                <w:szCs w:val="21"/>
                <w:highlight w:val="none"/>
              </w:rPr>
              <w:t>起保时间</w:t>
            </w:r>
          </w:p>
        </w:tc>
        <w:tc>
          <w:tcPr>
            <w:tcW w:w="712" w:type="pct"/>
            <w:tcBorders>
              <w:top w:val="single" w:color="auto" w:sz="6" w:space="0"/>
              <w:left w:val="single" w:color="auto" w:sz="6" w:space="0"/>
              <w:bottom w:val="single" w:color="auto" w:sz="6" w:space="0"/>
              <w:right w:val="single" w:color="auto" w:sz="6" w:space="0"/>
            </w:tcBorders>
            <w:noWrap w:val="0"/>
            <w:vAlign w:val="center"/>
          </w:tcPr>
          <w:p w14:paraId="1BDDE801">
            <w:pPr>
              <w:jc w:val="center"/>
              <w:rPr>
                <w:color w:val="auto"/>
                <w:szCs w:val="21"/>
                <w:highlight w:val="none"/>
              </w:rPr>
            </w:pPr>
            <w:r>
              <w:rPr>
                <w:rFonts w:hint="eastAsia"/>
                <w:color w:val="auto"/>
                <w:szCs w:val="21"/>
                <w:highlight w:val="none"/>
              </w:rPr>
              <w:t>项目承保金额（元）</w:t>
            </w:r>
          </w:p>
        </w:tc>
        <w:tc>
          <w:tcPr>
            <w:tcW w:w="536" w:type="pct"/>
            <w:tcBorders>
              <w:top w:val="single" w:color="auto" w:sz="6" w:space="0"/>
              <w:left w:val="single" w:color="auto" w:sz="6" w:space="0"/>
              <w:bottom w:val="single" w:color="auto" w:sz="6" w:space="0"/>
              <w:right w:val="single" w:color="auto" w:sz="6" w:space="0"/>
            </w:tcBorders>
            <w:noWrap w:val="0"/>
            <w:vAlign w:val="center"/>
          </w:tcPr>
          <w:p w14:paraId="6CBD02C3">
            <w:pPr>
              <w:jc w:val="center"/>
              <w:rPr>
                <w:rFonts w:ascii="宋体" w:hAnsi="宋体" w:cs="Arial"/>
                <w:bCs/>
                <w:color w:val="auto"/>
                <w:szCs w:val="21"/>
                <w:highlight w:val="none"/>
              </w:rPr>
            </w:pPr>
            <w:r>
              <w:rPr>
                <w:rFonts w:hint="eastAsia" w:ascii="宋体" w:hAnsi="宋体" w:cs="Arial"/>
                <w:bCs/>
                <w:color w:val="auto"/>
                <w:szCs w:val="21"/>
                <w:highlight w:val="none"/>
              </w:rPr>
              <w:t>是否独家承保</w:t>
            </w:r>
          </w:p>
        </w:tc>
        <w:tc>
          <w:tcPr>
            <w:tcW w:w="510" w:type="pct"/>
            <w:tcBorders>
              <w:top w:val="single" w:color="auto" w:sz="6" w:space="0"/>
              <w:left w:val="single" w:color="auto" w:sz="6" w:space="0"/>
              <w:bottom w:val="single" w:color="auto" w:sz="6" w:space="0"/>
              <w:right w:val="single" w:color="auto" w:sz="6" w:space="0"/>
            </w:tcBorders>
            <w:noWrap w:val="0"/>
            <w:vAlign w:val="center"/>
          </w:tcPr>
          <w:p w14:paraId="59362763">
            <w:pPr>
              <w:jc w:val="center"/>
              <w:rPr>
                <w:rFonts w:hint="eastAsia" w:ascii="宋体" w:hAnsi="宋体" w:cs="Arial"/>
                <w:bCs/>
                <w:color w:val="auto"/>
                <w:szCs w:val="21"/>
                <w:highlight w:val="none"/>
              </w:rPr>
            </w:pPr>
            <w:r>
              <w:rPr>
                <w:rFonts w:hint="eastAsia" w:ascii="宋体" w:hAnsi="宋体" w:cs="Arial"/>
                <w:bCs/>
                <w:color w:val="auto"/>
                <w:szCs w:val="21"/>
                <w:highlight w:val="none"/>
              </w:rPr>
              <w:t>是否首席承保</w:t>
            </w:r>
          </w:p>
        </w:tc>
        <w:tc>
          <w:tcPr>
            <w:tcW w:w="404" w:type="pct"/>
            <w:tcBorders>
              <w:top w:val="single" w:color="auto" w:sz="6" w:space="0"/>
              <w:left w:val="single" w:color="auto" w:sz="6" w:space="0"/>
              <w:bottom w:val="single" w:color="auto" w:sz="6" w:space="0"/>
              <w:right w:val="single" w:color="auto" w:sz="6" w:space="0"/>
            </w:tcBorders>
            <w:noWrap w:val="0"/>
            <w:vAlign w:val="center"/>
          </w:tcPr>
          <w:p w14:paraId="033A2007">
            <w:pPr>
              <w:jc w:val="center"/>
              <w:rPr>
                <w:rFonts w:hint="eastAsia" w:ascii="宋体" w:hAnsi="宋体" w:cs="Arial"/>
                <w:bCs/>
                <w:color w:val="auto"/>
                <w:szCs w:val="21"/>
                <w:highlight w:val="none"/>
              </w:rPr>
            </w:pPr>
            <w:r>
              <w:rPr>
                <w:rFonts w:hint="eastAsia" w:ascii="宋体" w:hAnsi="宋体" w:cs="Arial"/>
                <w:bCs/>
                <w:color w:val="auto"/>
                <w:szCs w:val="21"/>
                <w:highlight w:val="none"/>
              </w:rPr>
              <w:t>承保份额</w:t>
            </w:r>
          </w:p>
        </w:tc>
        <w:tc>
          <w:tcPr>
            <w:tcW w:w="404" w:type="pct"/>
            <w:tcBorders>
              <w:top w:val="single" w:color="auto" w:sz="6" w:space="0"/>
              <w:left w:val="single" w:color="auto" w:sz="6" w:space="0"/>
              <w:bottom w:val="single" w:color="auto" w:sz="6" w:space="0"/>
              <w:right w:val="single" w:color="auto" w:sz="6" w:space="0"/>
            </w:tcBorders>
            <w:noWrap w:val="0"/>
            <w:vAlign w:val="center"/>
          </w:tcPr>
          <w:p w14:paraId="0DCDED1F">
            <w:pPr>
              <w:jc w:val="center"/>
              <w:rPr>
                <w:rFonts w:ascii="宋体" w:hAnsi="宋体" w:cs="Arial"/>
                <w:bCs/>
                <w:color w:val="auto"/>
                <w:szCs w:val="21"/>
                <w:highlight w:val="none"/>
              </w:rPr>
            </w:pPr>
            <w:r>
              <w:rPr>
                <w:rFonts w:hint="eastAsia" w:ascii="宋体" w:hAnsi="宋体" w:cs="Arial"/>
                <w:bCs/>
                <w:color w:val="auto"/>
                <w:szCs w:val="21"/>
                <w:highlight w:val="none"/>
              </w:rPr>
              <w:t>备注</w:t>
            </w:r>
          </w:p>
        </w:tc>
      </w:tr>
      <w:tr w14:paraId="583DC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84" w:type="pct"/>
            <w:tcBorders>
              <w:top w:val="single" w:color="auto" w:sz="6" w:space="0"/>
              <w:left w:val="single" w:color="auto" w:sz="6" w:space="0"/>
              <w:bottom w:val="single" w:color="auto" w:sz="6" w:space="0"/>
              <w:right w:val="single" w:color="auto" w:sz="6" w:space="0"/>
            </w:tcBorders>
            <w:noWrap w:val="0"/>
            <w:vAlign w:val="top"/>
          </w:tcPr>
          <w:p w14:paraId="256AC20A">
            <w:pPr>
              <w:jc w:val="center"/>
              <w:rPr>
                <w:rFonts w:ascii="宋体" w:hAnsi="宋体" w:cs="Arial"/>
                <w:color w:val="auto"/>
                <w:szCs w:val="21"/>
                <w:highlight w:val="none"/>
              </w:rPr>
            </w:pPr>
            <w:r>
              <w:rPr>
                <w:rFonts w:hint="eastAsia" w:ascii="宋体" w:hAnsi="宋体" w:cs="Arial"/>
                <w:color w:val="auto"/>
                <w:szCs w:val="21"/>
                <w:highlight w:val="none"/>
              </w:rPr>
              <w:t>1</w:t>
            </w:r>
          </w:p>
        </w:tc>
        <w:tc>
          <w:tcPr>
            <w:tcW w:w="803" w:type="pct"/>
            <w:tcBorders>
              <w:top w:val="single" w:color="auto" w:sz="6" w:space="0"/>
              <w:left w:val="single" w:color="auto" w:sz="6" w:space="0"/>
              <w:bottom w:val="single" w:color="auto" w:sz="6" w:space="0"/>
              <w:right w:val="single" w:color="auto" w:sz="6" w:space="0"/>
            </w:tcBorders>
            <w:noWrap w:val="0"/>
            <w:vAlign w:val="top"/>
          </w:tcPr>
          <w:p w14:paraId="5BEB4B03">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01498140">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19CED511">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5DE00086">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172B3B82">
            <w:pPr>
              <w:rPr>
                <w:rFonts w:ascii="宋体" w:hAnsi="宋体" w:cs="Arial"/>
                <w:color w:val="auto"/>
                <w:szCs w:val="21"/>
                <w:highlight w:val="none"/>
              </w:rPr>
            </w:pPr>
          </w:p>
        </w:tc>
        <w:tc>
          <w:tcPr>
            <w:tcW w:w="510" w:type="pct"/>
            <w:tcBorders>
              <w:top w:val="single" w:color="auto" w:sz="6" w:space="0"/>
              <w:left w:val="single" w:color="auto" w:sz="6" w:space="0"/>
              <w:bottom w:val="single" w:color="auto" w:sz="6" w:space="0"/>
              <w:right w:val="single" w:color="auto" w:sz="6" w:space="0"/>
            </w:tcBorders>
            <w:noWrap w:val="0"/>
            <w:vAlign w:val="top"/>
          </w:tcPr>
          <w:p w14:paraId="486C3E59">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85213A6">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top"/>
          </w:tcPr>
          <w:p w14:paraId="64EA3B84">
            <w:pPr>
              <w:rPr>
                <w:rFonts w:ascii="宋体" w:hAnsi="宋体" w:cs="Arial"/>
                <w:color w:val="auto"/>
                <w:szCs w:val="21"/>
                <w:highlight w:val="none"/>
              </w:rPr>
            </w:pPr>
          </w:p>
        </w:tc>
      </w:tr>
      <w:tr w14:paraId="535D7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84" w:type="pct"/>
            <w:tcBorders>
              <w:top w:val="single" w:color="auto" w:sz="6" w:space="0"/>
              <w:left w:val="single" w:color="auto" w:sz="6" w:space="0"/>
              <w:bottom w:val="single" w:color="auto" w:sz="6" w:space="0"/>
              <w:right w:val="single" w:color="auto" w:sz="6" w:space="0"/>
            </w:tcBorders>
            <w:noWrap w:val="0"/>
            <w:vAlign w:val="top"/>
          </w:tcPr>
          <w:p w14:paraId="115008A3">
            <w:pPr>
              <w:jc w:val="center"/>
              <w:rPr>
                <w:rFonts w:ascii="宋体" w:hAnsi="宋体" w:cs="Arial"/>
                <w:color w:val="auto"/>
                <w:szCs w:val="21"/>
                <w:highlight w:val="none"/>
              </w:rPr>
            </w:pPr>
            <w:r>
              <w:rPr>
                <w:rFonts w:hint="eastAsia" w:ascii="宋体" w:hAnsi="宋体" w:cs="Arial"/>
                <w:color w:val="auto"/>
                <w:szCs w:val="21"/>
                <w:highlight w:val="none"/>
              </w:rPr>
              <w:t>2</w:t>
            </w:r>
          </w:p>
        </w:tc>
        <w:tc>
          <w:tcPr>
            <w:tcW w:w="803" w:type="pct"/>
            <w:tcBorders>
              <w:top w:val="single" w:color="auto" w:sz="6" w:space="0"/>
              <w:left w:val="single" w:color="auto" w:sz="6" w:space="0"/>
              <w:bottom w:val="single" w:color="auto" w:sz="6" w:space="0"/>
              <w:right w:val="single" w:color="auto" w:sz="6" w:space="0"/>
            </w:tcBorders>
            <w:noWrap w:val="0"/>
            <w:vAlign w:val="top"/>
          </w:tcPr>
          <w:p w14:paraId="767DFF02">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14707072">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2C164229">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65600884">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3CC67194">
            <w:pPr>
              <w:rPr>
                <w:rFonts w:ascii="宋体" w:hAnsi="宋体" w:cs="Arial"/>
                <w:color w:val="auto"/>
                <w:szCs w:val="21"/>
                <w:highlight w:val="none"/>
              </w:rPr>
            </w:pPr>
          </w:p>
        </w:tc>
        <w:tc>
          <w:tcPr>
            <w:tcW w:w="510" w:type="pct"/>
            <w:tcBorders>
              <w:top w:val="single" w:color="auto" w:sz="6" w:space="0"/>
              <w:left w:val="single" w:color="auto" w:sz="6" w:space="0"/>
              <w:bottom w:val="single" w:color="auto" w:sz="6" w:space="0"/>
              <w:right w:val="single" w:color="auto" w:sz="6" w:space="0"/>
            </w:tcBorders>
            <w:noWrap w:val="0"/>
            <w:vAlign w:val="top"/>
          </w:tcPr>
          <w:p w14:paraId="57FCA092">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DED07DB">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top"/>
          </w:tcPr>
          <w:p w14:paraId="246B82F0">
            <w:pPr>
              <w:rPr>
                <w:rFonts w:ascii="宋体" w:hAnsi="宋体" w:cs="Arial"/>
                <w:color w:val="auto"/>
                <w:szCs w:val="21"/>
                <w:highlight w:val="none"/>
              </w:rPr>
            </w:pPr>
          </w:p>
        </w:tc>
      </w:tr>
      <w:tr w14:paraId="5DD02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84" w:type="pct"/>
            <w:tcBorders>
              <w:top w:val="single" w:color="auto" w:sz="6" w:space="0"/>
              <w:left w:val="single" w:color="auto" w:sz="6" w:space="0"/>
              <w:bottom w:val="single" w:color="auto" w:sz="6" w:space="0"/>
              <w:right w:val="single" w:color="auto" w:sz="6" w:space="0"/>
            </w:tcBorders>
            <w:noWrap w:val="0"/>
            <w:vAlign w:val="top"/>
          </w:tcPr>
          <w:p w14:paraId="7B0B7A8F">
            <w:pPr>
              <w:jc w:val="center"/>
              <w:rPr>
                <w:rFonts w:ascii="宋体" w:hAnsi="宋体" w:cs="Arial"/>
                <w:color w:val="auto"/>
                <w:szCs w:val="21"/>
                <w:highlight w:val="none"/>
              </w:rPr>
            </w:pPr>
            <w:r>
              <w:rPr>
                <w:rFonts w:hint="eastAsia" w:ascii="宋体" w:hAnsi="宋体" w:cs="Arial"/>
                <w:color w:val="auto"/>
                <w:szCs w:val="21"/>
                <w:highlight w:val="none"/>
              </w:rPr>
              <w:t>3</w:t>
            </w:r>
          </w:p>
        </w:tc>
        <w:tc>
          <w:tcPr>
            <w:tcW w:w="803" w:type="pct"/>
            <w:tcBorders>
              <w:top w:val="single" w:color="auto" w:sz="6" w:space="0"/>
              <w:left w:val="single" w:color="auto" w:sz="6" w:space="0"/>
              <w:bottom w:val="single" w:color="auto" w:sz="6" w:space="0"/>
              <w:right w:val="single" w:color="auto" w:sz="6" w:space="0"/>
            </w:tcBorders>
            <w:noWrap w:val="0"/>
            <w:vAlign w:val="top"/>
          </w:tcPr>
          <w:p w14:paraId="77E10E18">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32393A7B">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118EFD51">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3450DF56">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2A34DC6E">
            <w:pPr>
              <w:rPr>
                <w:rFonts w:ascii="宋体" w:hAnsi="宋体" w:cs="Arial"/>
                <w:color w:val="auto"/>
                <w:szCs w:val="21"/>
                <w:highlight w:val="none"/>
              </w:rPr>
            </w:pPr>
          </w:p>
        </w:tc>
        <w:tc>
          <w:tcPr>
            <w:tcW w:w="510" w:type="pct"/>
            <w:tcBorders>
              <w:top w:val="single" w:color="auto" w:sz="6" w:space="0"/>
              <w:left w:val="single" w:color="auto" w:sz="6" w:space="0"/>
              <w:bottom w:val="single" w:color="auto" w:sz="6" w:space="0"/>
              <w:right w:val="single" w:color="auto" w:sz="6" w:space="0"/>
            </w:tcBorders>
            <w:noWrap w:val="0"/>
            <w:vAlign w:val="top"/>
          </w:tcPr>
          <w:p w14:paraId="628EB408">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A604247">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top"/>
          </w:tcPr>
          <w:p w14:paraId="2091D14C">
            <w:pPr>
              <w:rPr>
                <w:rFonts w:ascii="宋体" w:hAnsi="宋体" w:cs="Arial"/>
                <w:color w:val="auto"/>
                <w:szCs w:val="21"/>
                <w:highlight w:val="none"/>
              </w:rPr>
            </w:pPr>
          </w:p>
        </w:tc>
      </w:tr>
      <w:tr w14:paraId="1D7F3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384" w:type="pct"/>
            <w:tcBorders>
              <w:top w:val="single" w:color="auto" w:sz="6" w:space="0"/>
              <w:left w:val="single" w:color="auto" w:sz="6" w:space="0"/>
              <w:bottom w:val="single" w:color="auto" w:sz="6" w:space="0"/>
              <w:right w:val="single" w:color="auto" w:sz="6" w:space="0"/>
            </w:tcBorders>
            <w:noWrap w:val="0"/>
            <w:vAlign w:val="top"/>
          </w:tcPr>
          <w:p w14:paraId="445CC8C0">
            <w:pPr>
              <w:rPr>
                <w:rFonts w:ascii="宋体" w:hAnsi="宋体" w:cs="Arial"/>
                <w:color w:val="auto"/>
                <w:szCs w:val="21"/>
                <w:highlight w:val="none"/>
              </w:rPr>
            </w:pPr>
            <w:r>
              <w:rPr>
                <w:rFonts w:ascii="宋体" w:hAnsi="宋体" w:cs="Arial"/>
                <w:color w:val="auto"/>
                <w:szCs w:val="21"/>
                <w:highlight w:val="none"/>
              </w:rPr>
              <w:t>…</w:t>
            </w:r>
          </w:p>
        </w:tc>
        <w:tc>
          <w:tcPr>
            <w:tcW w:w="803" w:type="pct"/>
            <w:tcBorders>
              <w:top w:val="single" w:color="auto" w:sz="6" w:space="0"/>
              <w:left w:val="single" w:color="auto" w:sz="6" w:space="0"/>
              <w:bottom w:val="single" w:color="auto" w:sz="6" w:space="0"/>
              <w:right w:val="single" w:color="auto" w:sz="6" w:space="0"/>
            </w:tcBorders>
            <w:noWrap w:val="0"/>
            <w:vAlign w:val="top"/>
          </w:tcPr>
          <w:p w14:paraId="18B68284">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1D441269">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72941797">
            <w:pPr>
              <w:rPr>
                <w:rFonts w:ascii="宋体" w:hAnsi="宋体" w:cs="Arial"/>
                <w:color w:val="auto"/>
                <w:szCs w:val="21"/>
                <w:highlight w:val="none"/>
              </w:rPr>
            </w:pPr>
          </w:p>
        </w:tc>
        <w:tc>
          <w:tcPr>
            <w:tcW w:w="712" w:type="pct"/>
            <w:tcBorders>
              <w:top w:val="single" w:color="auto" w:sz="6" w:space="0"/>
              <w:left w:val="single" w:color="auto" w:sz="6" w:space="0"/>
              <w:bottom w:val="single" w:color="auto" w:sz="6" w:space="0"/>
              <w:right w:val="single" w:color="auto" w:sz="6" w:space="0"/>
            </w:tcBorders>
            <w:noWrap w:val="0"/>
            <w:vAlign w:val="top"/>
          </w:tcPr>
          <w:p w14:paraId="6F08E0C1">
            <w:pPr>
              <w:rPr>
                <w:rFonts w:ascii="宋体" w:hAnsi="宋体" w:cs="Arial"/>
                <w:color w:val="auto"/>
                <w:szCs w:val="21"/>
                <w:highlight w:val="none"/>
              </w:rPr>
            </w:pPr>
          </w:p>
        </w:tc>
        <w:tc>
          <w:tcPr>
            <w:tcW w:w="536" w:type="pct"/>
            <w:tcBorders>
              <w:top w:val="single" w:color="auto" w:sz="6" w:space="0"/>
              <w:left w:val="single" w:color="auto" w:sz="6" w:space="0"/>
              <w:bottom w:val="single" w:color="auto" w:sz="6" w:space="0"/>
              <w:right w:val="single" w:color="auto" w:sz="6" w:space="0"/>
            </w:tcBorders>
            <w:noWrap w:val="0"/>
            <w:vAlign w:val="top"/>
          </w:tcPr>
          <w:p w14:paraId="25AF8A2D">
            <w:pPr>
              <w:rPr>
                <w:rFonts w:ascii="宋体" w:hAnsi="宋体" w:cs="Arial"/>
                <w:color w:val="auto"/>
                <w:szCs w:val="21"/>
                <w:highlight w:val="none"/>
              </w:rPr>
            </w:pPr>
          </w:p>
        </w:tc>
        <w:tc>
          <w:tcPr>
            <w:tcW w:w="510" w:type="pct"/>
            <w:tcBorders>
              <w:top w:val="single" w:color="auto" w:sz="6" w:space="0"/>
              <w:left w:val="single" w:color="auto" w:sz="6" w:space="0"/>
              <w:bottom w:val="single" w:color="auto" w:sz="6" w:space="0"/>
              <w:right w:val="single" w:color="auto" w:sz="6" w:space="0"/>
            </w:tcBorders>
            <w:noWrap w:val="0"/>
            <w:vAlign w:val="top"/>
          </w:tcPr>
          <w:p w14:paraId="585E8552">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25060ED">
            <w:pPr>
              <w:jc w:val="center"/>
              <w:rPr>
                <w:rFonts w:ascii="宋体" w:hAnsi="宋体" w:cs="Arial"/>
                <w:color w:val="auto"/>
                <w:szCs w:val="21"/>
                <w:highlight w:val="none"/>
              </w:rPr>
            </w:pPr>
          </w:p>
        </w:tc>
        <w:tc>
          <w:tcPr>
            <w:tcW w:w="404" w:type="pct"/>
            <w:tcBorders>
              <w:top w:val="single" w:color="auto" w:sz="6" w:space="0"/>
              <w:left w:val="single" w:color="auto" w:sz="6" w:space="0"/>
              <w:bottom w:val="single" w:color="auto" w:sz="6" w:space="0"/>
              <w:right w:val="single" w:color="auto" w:sz="6" w:space="0"/>
            </w:tcBorders>
            <w:noWrap w:val="0"/>
            <w:vAlign w:val="top"/>
          </w:tcPr>
          <w:p w14:paraId="7F00897E">
            <w:pPr>
              <w:rPr>
                <w:rFonts w:ascii="宋体" w:hAnsi="宋体" w:cs="Arial"/>
                <w:color w:val="auto"/>
                <w:szCs w:val="21"/>
                <w:highlight w:val="none"/>
              </w:rPr>
            </w:pPr>
          </w:p>
        </w:tc>
      </w:tr>
    </w:tbl>
    <w:p w14:paraId="5E46923F">
      <w:pPr>
        <w:tabs>
          <w:tab w:val="left" w:pos="1050"/>
          <w:tab w:val="left" w:pos="1838"/>
        </w:tabs>
        <w:rPr>
          <w:rFonts w:ascii="宋体" w:hAnsi="宋体"/>
          <w:color w:val="auto"/>
          <w:sz w:val="24"/>
          <w:highlight w:val="none"/>
        </w:rPr>
      </w:pPr>
    </w:p>
    <w:p w14:paraId="1B798571">
      <w:pPr>
        <w:rPr>
          <w:rFonts w:ascii="宋体" w:hAnsi="宋体"/>
          <w:color w:val="auto"/>
          <w:sz w:val="24"/>
          <w:highlight w:val="none"/>
        </w:rPr>
      </w:pPr>
      <w:r>
        <w:rPr>
          <w:rFonts w:hint="eastAsia" w:ascii="宋体" w:hAnsi="宋体"/>
          <w:color w:val="auto"/>
          <w:sz w:val="24"/>
          <w:highlight w:val="none"/>
        </w:rPr>
        <w:t>注：按评标办法前附表及其备注要求后附相关资料。</w:t>
      </w:r>
    </w:p>
    <w:p w14:paraId="18A2AD60">
      <w:pPr>
        <w:spacing w:line="360" w:lineRule="auto"/>
        <w:rPr>
          <w:rFonts w:hint="eastAsia" w:ascii="宋体" w:hAnsi="宋体"/>
          <w:color w:val="auto"/>
          <w:sz w:val="24"/>
          <w:highlight w:val="none"/>
        </w:rPr>
      </w:pPr>
      <w:r>
        <w:rPr>
          <w:rFonts w:hint="eastAsia" w:ascii="宋体" w:hAnsi="宋体" w:eastAsia="宋体" w:cs="宋体"/>
          <w:b/>
          <w:bCs/>
          <w:color w:val="auto"/>
          <w:sz w:val="24"/>
          <w:szCs w:val="24"/>
          <w:highlight w:val="none"/>
        </w:rPr>
        <w:t>该合同保单的首席或独家承保公司名称需与投标人名称完全一致。若该承保业绩合同的首席或独家承保公司名称需与投标人名称不一致的业绩不予以认可。</w:t>
      </w:r>
    </w:p>
    <w:p w14:paraId="57D2CCEF">
      <w:pPr>
        <w:spacing w:line="360" w:lineRule="auto"/>
        <w:rPr>
          <w:rFonts w:ascii="宋体" w:hAnsi="宋体"/>
          <w:color w:val="auto"/>
          <w:sz w:val="24"/>
          <w:highlight w:val="none"/>
        </w:rPr>
      </w:pPr>
      <w:r>
        <w:rPr>
          <w:rFonts w:hint="eastAsia" w:ascii="宋体" w:hAnsi="宋体"/>
          <w:color w:val="auto"/>
          <w:sz w:val="24"/>
          <w:highlight w:val="none"/>
        </w:rPr>
        <w:t>投  标  人（单位公章）：</w:t>
      </w:r>
    </w:p>
    <w:p w14:paraId="5DFC2A08">
      <w:pPr>
        <w:spacing w:line="360" w:lineRule="auto"/>
        <w:rPr>
          <w:rFonts w:hint="eastAsia" w:ascii="宋体" w:hAnsi="宋体"/>
          <w:color w:val="auto"/>
          <w:sz w:val="24"/>
          <w:highlight w:val="none"/>
        </w:rPr>
      </w:pPr>
      <w:r>
        <w:rPr>
          <w:rFonts w:hint="eastAsia" w:ascii="宋体" w:hAnsi="宋体"/>
          <w:b/>
          <w:color w:val="auto"/>
          <w:sz w:val="24"/>
          <w:highlight w:val="none"/>
        </w:rPr>
        <w:t>法定代表人（负责人）或</w:t>
      </w:r>
      <w:r>
        <w:rPr>
          <w:rFonts w:hint="eastAsia" w:ascii="宋体" w:hAnsi="宋体"/>
          <w:color w:val="auto"/>
          <w:sz w:val="24"/>
          <w:highlight w:val="none"/>
        </w:rPr>
        <w:t>委托代理人（签字或盖章）：</w:t>
      </w:r>
    </w:p>
    <w:p w14:paraId="4C9677B9">
      <w:pPr>
        <w:spacing w:line="360" w:lineRule="auto"/>
        <w:jc w:val="center"/>
        <w:outlineLvl w:val="1"/>
        <w:rPr>
          <w:rFonts w:ascii="宋体" w:hAnsi="宋体"/>
          <w:b/>
          <w:bCs/>
          <w:color w:val="auto"/>
          <w:sz w:val="28"/>
          <w:szCs w:val="28"/>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r>
        <w:rPr>
          <w:rFonts w:hint="eastAsia" w:ascii="宋体" w:hAnsi="宋体" w:cs="Arial"/>
          <w:color w:val="auto"/>
          <w:sz w:val="24"/>
          <w:highlight w:val="none"/>
        </w:rPr>
        <w:t xml:space="preserve">    年   月   日</w:t>
      </w:r>
      <w:r>
        <w:rPr>
          <w:rFonts w:ascii="宋体" w:hAnsi="宋体" w:cs="Arial"/>
          <w:color w:val="auto"/>
          <w:sz w:val="24"/>
          <w:highlight w:val="none"/>
        </w:rPr>
        <w:br w:type="page"/>
      </w:r>
      <w:r>
        <w:rPr>
          <w:rFonts w:hint="eastAsia" w:ascii="宋体" w:hAnsi="宋体" w:cs="Arial"/>
          <w:color w:val="auto"/>
          <w:sz w:val="24"/>
          <w:highlight w:val="none"/>
          <w:lang w:val="en-US" w:eastAsia="zh-CN"/>
        </w:rPr>
        <w:t>二</w:t>
      </w:r>
      <w:r>
        <w:rPr>
          <w:rFonts w:hint="eastAsia" w:ascii="宋体" w:hAnsi="宋体" w:cs="宋体"/>
          <w:b/>
          <w:bCs/>
          <w:color w:val="auto"/>
          <w:sz w:val="30"/>
          <w:szCs w:val="30"/>
          <w:highlight w:val="none"/>
        </w:rPr>
        <w:t>、理赔业绩一览表</w:t>
      </w:r>
    </w:p>
    <w:p w14:paraId="296828F0">
      <w:pPr>
        <w:jc w:val="center"/>
        <w:rPr>
          <w:rFonts w:ascii="宋体" w:hAnsi="宋体"/>
          <w:bCs/>
          <w:color w:val="auto"/>
          <w:sz w:val="30"/>
          <w:szCs w:val="30"/>
          <w:highlight w:val="none"/>
        </w:rPr>
      </w:pPr>
    </w:p>
    <w:tbl>
      <w:tblPr>
        <w:tblStyle w:val="5"/>
        <w:tblW w:w="511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550"/>
        <w:gridCol w:w="1035"/>
        <w:gridCol w:w="1375"/>
        <w:gridCol w:w="1375"/>
        <w:gridCol w:w="970"/>
        <w:gridCol w:w="993"/>
        <w:gridCol w:w="783"/>
        <w:gridCol w:w="777"/>
      </w:tblGrid>
      <w:tr w14:paraId="58DDB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89" w:type="pct"/>
            <w:tcBorders>
              <w:top w:val="single" w:color="auto" w:sz="6" w:space="0"/>
              <w:left w:val="single" w:color="auto" w:sz="6" w:space="0"/>
              <w:bottom w:val="single" w:color="auto" w:sz="6" w:space="0"/>
              <w:right w:val="single" w:color="auto" w:sz="6" w:space="0"/>
            </w:tcBorders>
            <w:noWrap w:val="0"/>
            <w:vAlign w:val="center"/>
          </w:tcPr>
          <w:p w14:paraId="7866276A">
            <w:pPr>
              <w:jc w:val="center"/>
              <w:rPr>
                <w:rFonts w:ascii="宋体" w:hAnsi="宋体" w:cs="Arial"/>
                <w:bCs/>
                <w:color w:val="auto"/>
                <w:szCs w:val="21"/>
                <w:highlight w:val="none"/>
              </w:rPr>
            </w:pPr>
            <w:r>
              <w:rPr>
                <w:rFonts w:hint="eastAsia" w:ascii="宋体" w:hAnsi="宋体" w:cs="Arial"/>
                <w:bCs/>
                <w:color w:val="auto"/>
                <w:szCs w:val="21"/>
                <w:highlight w:val="none"/>
              </w:rPr>
              <w:t>序号</w:t>
            </w:r>
          </w:p>
        </w:tc>
        <w:tc>
          <w:tcPr>
            <w:tcW w:w="807" w:type="pct"/>
            <w:tcBorders>
              <w:top w:val="single" w:color="auto" w:sz="6" w:space="0"/>
              <w:left w:val="single" w:color="auto" w:sz="6" w:space="0"/>
              <w:bottom w:val="single" w:color="auto" w:sz="6" w:space="0"/>
              <w:right w:val="single" w:color="auto" w:sz="6" w:space="0"/>
            </w:tcBorders>
            <w:noWrap w:val="0"/>
            <w:vAlign w:val="center"/>
          </w:tcPr>
          <w:p w14:paraId="62C712A5">
            <w:pPr>
              <w:jc w:val="center"/>
              <w:rPr>
                <w:rFonts w:ascii="宋体" w:hAnsi="宋体" w:cs="Arial"/>
                <w:bCs/>
                <w:color w:val="auto"/>
                <w:szCs w:val="21"/>
                <w:highlight w:val="none"/>
              </w:rPr>
            </w:pPr>
            <w:r>
              <w:rPr>
                <w:rFonts w:hint="eastAsia" w:ascii="宋体" w:hAnsi="宋体" w:cs="Arial"/>
                <w:bCs/>
                <w:color w:val="auto"/>
                <w:szCs w:val="21"/>
                <w:highlight w:val="none"/>
              </w:rPr>
              <w:t>项目名称</w:t>
            </w:r>
          </w:p>
        </w:tc>
        <w:tc>
          <w:tcPr>
            <w:tcW w:w="539" w:type="pct"/>
            <w:tcBorders>
              <w:top w:val="single" w:color="auto" w:sz="6" w:space="0"/>
              <w:left w:val="single" w:color="auto" w:sz="6" w:space="0"/>
              <w:bottom w:val="single" w:color="auto" w:sz="6" w:space="0"/>
              <w:right w:val="single" w:color="auto" w:sz="6" w:space="0"/>
            </w:tcBorders>
            <w:noWrap w:val="0"/>
            <w:vAlign w:val="center"/>
          </w:tcPr>
          <w:p w14:paraId="6643A63B">
            <w:pPr>
              <w:jc w:val="center"/>
              <w:rPr>
                <w:rFonts w:ascii="宋体" w:hAnsi="宋体" w:cs="Arial"/>
                <w:bCs/>
                <w:color w:val="auto"/>
                <w:szCs w:val="21"/>
                <w:highlight w:val="none"/>
              </w:rPr>
            </w:pPr>
            <w:r>
              <w:rPr>
                <w:rFonts w:hint="eastAsia" w:ascii="宋体" w:hAnsi="宋体" w:cs="Arial"/>
                <w:bCs/>
                <w:color w:val="auto"/>
                <w:szCs w:val="21"/>
                <w:highlight w:val="none"/>
              </w:rPr>
              <w:t>委托单位</w:t>
            </w:r>
          </w:p>
        </w:tc>
        <w:tc>
          <w:tcPr>
            <w:tcW w:w="716" w:type="pct"/>
            <w:tcBorders>
              <w:top w:val="single" w:color="auto" w:sz="6" w:space="0"/>
              <w:left w:val="single" w:color="auto" w:sz="6" w:space="0"/>
              <w:bottom w:val="single" w:color="auto" w:sz="6" w:space="0"/>
              <w:right w:val="single" w:color="auto" w:sz="6" w:space="0"/>
            </w:tcBorders>
            <w:noWrap w:val="0"/>
            <w:vAlign w:val="center"/>
          </w:tcPr>
          <w:p w14:paraId="592FEA51">
            <w:pPr>
              <w:jc w:val="center"/>
              <w:rPr>
                <w:rFonts w:ascii="宋体" w:hAnsi="宋体" w:cs="Arial"/>
                <w:bCs/>
                <w:color w:val="auto"/>
                <w:szCs w:val="21"/>
                <w:highlight w:val="none"/>
              </w:rPr>
            </w:pPr>
            <w:r>
              <w:rPr>
                <w:rFonts w:hint="eastAsia" w:ascii="宋体" w:hAnsi="宋体" w:cs="Arial"/>
                <w:bCs/>
                <w:color w:val="auto"/>
                <w:szCs w:val="21"/>
                <w:highlight w:val="none"/>
              </w:rPr>
              <w:t>出险时间</w:t>
            </w:r>
          </w:p>
        </w:tc>
        <w:tc>
          <w:tcPr>
            <w:tcW w:w="716" w:type="pct"/>
            <w:tcBorders>
              <w:top w:val="single" w:color="auto" w:sz="6" w:space="0"/>
              <w:left w:val="single" w:color="auto" w:sz="6" w:space="0"/>
              <w:bottom w:val="single" w:color="auto" w:sz="6" w:space="0"/>
              <w:right w:val="single" w:color="auto" w:sz="6" w:space="0"/>
            </w:tcBorders>
            <w:noWrap w:val="0"/>
            <w:vAlign w:val="center"/>
          </w:tcPr>
          <w:p w14:paraId="6A723498">
            <w:pPr>
              <w:jc w:val="center"/>
              <w:rPr>
                <w:color w:val="auto"/>
                <w:szCs w:val="21"/>
                <w:highlight w:val="none"/>
              </w:rPr>
            </w:pPr>
            <w:r>
              <w:rPr>
                <w:rFonts w:hint="eastAsia"/>
                <w:color w:val="auto"/>
                <w:szCs w:val="21"/>
                <w:highlight w:val="none"/>
              </w:rPr>
              <w:t>项目理赔金额（元）</w:t>
            </w:r>
          </w:p>
        </w:tc>
        <w:tc>
          <w:tcPr>
            <w:tcW w:w="505" w:type="pct"/>
            <w:tcBorders>
              <w:top w:val="single" w:color="auto" w:sz="6" w:space="0"/>
              <w:left w:val="single" w:color="auto" w:sz="6" w:space="0"/>
              <w:bottom w:val="single" w:color="auto" w:sz="6" w:space="0"/>
              <w:right w:val="single" w:color="auto" w:sz="6" w:space="0"/>
            </w:tcBorders>
            <w:noWrap w:val="0"/>
            <w:vAlign w:val="center"/>
          </w:tcPr>
          <w:p w14:paraId="2D313CE6">
            <w:pPr>
              <w:jc w:val="center"/>
              <w:rPr>
                <w:rFonts w:hint="eastAsia" w:ascii="宋体" w:hAnsi="宋体" w:cs="Arial"/>
                <w:bCs/>
                <w:color w:val="auto"/>
                <w:szCs w:val="21"/>
                <w:highlight w:val="none"/>
              </w:rPr>
            </w:pPr>
            <w:r>
              <w:rPr>
                <w:rFonts w:hint="eastAsia" w:ascii="宋体" w:hAnsi="宋体" w:cs="Arial"/>
                <w:bCs/>
                <w:color w:val="auto"/>
                <w:szCs w:val="21"/>
                <w:highlight w:val="none"/>
              </w:rPr>
              <w:t>是否独家承保</w:t>
            </w:r>
          </w:p>
        </w:tc>
        <w:tc>
          <w:tcPr>
            <w:tcW w:w="517" w:type="pct"/>
            <w:tcBorders>
              <w:top w:val="single" w:color="auto" w:sz="6" w:space="0"/>
              <w:left w:val="single" w:color="auto" w:sz="6" w:space="0"/>
              <w:bottom w:val="single" w:color="auto" w:sz="6" w:space="0"/>
              <w:right w:val="single" w:color="auto" w:sz="6" w:space="0"/>
            </w:tcBorders>
            <w:noWrap w:val="0"/>
            <w:vAlign w:val="center"/>
          </w:tcPr>
          <w:p w14:paraId="44E05171">
            <w:pPr>
              <w:jc w:val="center"/>
              <w:rPr>
                <w:rFonts w:hint="eastAsia" w:ascii="宋体" w:hAnsi="宋体" w:cs="Arial"/>
                <w:bCs/>
                <w:color w:val="auto"/>
                <w:szCs w:val="21"/>
                <w:highlight w:val="none"/>
              </w:rPr>
            </w:pPr>
            <w:r>
              <w:rPr>
                <w:rFonts w:hint="eastAsia" w:ascii="宋体" w:hAnsi="宋体" w:cs="Arial"/>
                <w:bCs/>
                <w:color w:val="auto"/>
                <w:szCs w:val="21"/>
                <w:highlight w:val="none"/>
              </w:rPr>
              <w:t>是否首席承保</w:t>
            </w:r>
          </w:p>
        </w:tc>
        <w:tc>
          <w:tcPr>
            <w:tcW w:w="407" w:type="pct"/>
            <w:tcBorders>
              <w:top w:val="single" w:color="auto" w:sz="6" w:space="0"/>
              <w:left w:val="single" w:color="auto" w:sz="6" w:space="0"/>
              <w:bottom w:val="single" w:color="auto" w:sz="6" w:space="0"/>
              <w:right w:val="single" w:color="auto" w:sz="6" w:space="0"/>
            </w:tcBorders>
            <w:noWrap w:val="0"/>
            <w:vAlign w:val="center"/>
          </w:tcPr>
          <w:p w14:paraId="48AFE82E">
            <w:pPr>
              <w:jc w:val="center"/>
              <w:rPr>
                <w:rFonts w:hint="eastAsia" w:ascii="宋体" w:hAnsi="宋体" w:cs="Arial"/>
                <w:bCs/>
                <w:color w:val="auto"/>
                <w:szCs w:val="21"/>
                <w:highlight w:val="none"/>
              </w:rPr>
            </w:pPr>
            <w:r>
              <w:rPr>
                <w:rFonts w:hint="eastAsia" w:ascii="宋体" w:hAnsi="宋体" w:cs="Arial"/>
                <w:bCs/>
                <w:color w:val="auto"/>
                <w:szCs w:val="21"/>
                <w:highlight w:val="none"/>
              </w:rPr>
              <w:t>承保份额</w:t>
            </w:r>
          </w:p>
        </w:tc>
        <w:tc>
          <w:tcPr>
            <w:tcW w:w="405" w:type="pct"/>
            <w:tcBorders>
              <w:top w:val="single" w:color="auto" w:sz="6" w:space="0"/>
              <w:left w:val="single" w:color="auto" w:sz="6" w:space="0"/>
              <w:bottom w:val="single" w:color="auto" w:sz="6" w:space="0"/>
              <w:right w:val="single" w:color="auto" w:sz="6" w:space="0"/>
            </w:tcBorders>
            <w:noWrap w:val="0"/>
            <w:vAlign w:val="center"/>
          </w:tcPr>
          <w:p w14:paraId="447F4682">
            <w:pPr>
              <w:jc w:val="center"/>
              <w:rPr>
                <w:rFonts w:ascii="宋体" w:hAnsi="宋体" w:cs="Arial"/>
                <w:bCs/>
                <w:color w:val="auto"/>
                <w:szCs w:val="21"/>
                <w:highlight w:val="none"/>
              </w:rPr>
            </w:pPr>
            <w:r>
              <w:rPr>
                <w:rFonts w:hint="eastAsia" w:ascii="宋体" w:hAnsi="宋体" w:cs="Arial"/>
                <w:bCs/>
                <w:color w:val="auto"/>
                <w:szCs w:val="21"/>
                <w:highlight w:val="none"/>
              </w:rPr>
              <w:t>备注</w:t>
            </w:r>
          </w:p>
        </w:tc>
      </w:tr>
      <w:tr w14:paraId="3CC6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89" w:type="pct"/>
            <w:tcBorders>
              <w:top w:val="single" w:color="auto" w:sz="6" w:space="0"/>
              <w:left w:val="single" w:color="auto" w:sz="6" w:space="0"/>
              <w:bottom w:val="single" w:color="auto" w:sz="6" w:space="0"/>
              <w:right w:val="single" w:color="auto" w:sz="6" w:space="0"/>
            </w:tcBorders>
            <w:noWrap w:val="0"/>
            <w:vAlign w:val="top"/>
          </w:tcPr>
          <w:p w14:paraId="285860D2">
            <w:pPr>
              <w:jc w:val="center"/>
              <w:rPr>
                <w:rFonts w:ascii="宋体" w:hAnsi="宋体" w:cs="Arial"/>
                <w:color w:val="auto"/>
                <w:szCs w:val="21"/>
                <w:highlight w:val="none"/>
              </w:rPr>
            </w:pPr>
            <w:r>
              <w:rPr>
                <w:rFonts w:hint="eastAsia" w:ascii="宋体" w:hAnsi="宋体" w:cs="Arial"/>
                <w:color w:val="auto"/>
                <w:szCs w:val="21"/>
                <w:highlight w:val="none"/>
              </w:rPr>
              <w:t>1</w:t>
            </w:r>
          </w:p>
        </w:tc>
        <w:tc>
          <w:tcPr>
            <w:tcW w:w="807" w:type="pct"/>
            <w:tcBorders>
              <w:top w:val="single" w:color="auto" w:sz="6" w:space="0"/>
              <w:left w:val="single" w:color="auto" w:sz="6" w:space="0"/>
              <w:bottom w:val="single" w:color="auto" w:sz="6" w:space="0"/>
              <w:right w:val="single" w:color="auto" w:sz="6" w:space="0"/>
            </w:tcBorders>
            <w:noWrap w:val="0"/>
            <w:vAlign w:val="top"/>
          </w:tcPr>
          <w:p w14:paraId="1CDB2954">
            <w:pPr>
              <w:rPr>
                <w:rFonts w:ascii="宋体" w:hAnsi="宋体" w:cs="Arial"/>
                <w:color w:val="auto"/>
                <w:szCs w:val="21"/>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678E54D2">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5D70BA66">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07205B50">
            <w:pPr>
              <w:rPr>
                <w:rFonts w:ascii="宋体" w:hAnsi="宋体" w:cs="Arial"/>
                <w:color w:val="auto"/>
                <w:szCs w:val="21"/>
                <w:highlight w:val="none"/>
              </w:rPr>
            </w:pPr>
          </w:p>
        </w:tc>
        <w:tc>
          <w:tcPr>
            <w:tcW w:w="505" w:type="pct"/>
            <w:tcBorders>
              <w:top w:val="single" w:color="auto" w:sz="6" w:space="0"/>
              <w:left w:val="single" w:color="auto" w:sz="6" w:space="0"/>
              <w:bottom w:val="single" w:color="auto" w:sz="6" w:space="0"/>
              <w:right w:val="single" w:color="auto" w:sz="6" w:space="0"/>
            </w:tcBorders>
            <w:noWrap w:val="0"/>
            <w:vAlign w:val="top"/>
          </w:tcPr>
          <w:p w14:paraId="5A861AA0">
            <w:pPr>
              <w:jc w:val="center"/>
              <w:rPr>
                <w:rFonts w:ascii="宋体" w:hAnsi="宋体" w:cs="Arial"/>
                <w:color w:val="auto"/>
                <w:szCs w:val="21"/>
                <w:highlight w:val="none"/>
              </w:rPr>
            </w:pPr>
          </w:p>
        </w:tc>
        <w:tc>
          <w:tcPr>
            <w:tcW w:w="517" w:type="pct"/>
            <w:tcBorders>
              <w:top w:val="single" w:color="auto" w:sz="6" w:space="0"/>
              <w:left w:val="single" w:color="auto" w:sz="6" w:space="0"/>
              <w:bottom w:val="single" w:color="auto" w:sz="6" w:space="0"/>
              <w:right w:val="single" w:color="auto" w:sz="6" w:space="0"/>
            </w:tcBorders>
            <w:noWrap w:val="0"/>
            <w:vAlign w:val="top"/>
          </w:tcPr>
          <w:p w14:paraId="70F09CC5">
            <w:pPr>
              <w:jc w:val="center"/>
              <w:rPr>
                <w:rFonts w:ascii="宋体" w:hAnsi="宋体" w:cs="Arial"/>
                <w:color w:val="auto"/>
                <w:szCs w:val="21"/>
                <w:highlight w:val="none"/>
              </w:rPr>
            </w:pPr>
          </w:p>
        </w:tc>
        <w:tc>
          <w:tcPr>
            <w:tcW w:w="407" w:type="pct"/>
            <w:tcBorders>
              <w:top w:val="single" w:color="auto" w:sz="6" w:space="0"/>
              <w:left w:val="single" w:color="auto" w:sz="6" w:space="0"/>
              <w:bottom w:val="single" w:color="auto" w:sz="6" w:space="0"/>
              <w:right w:val="single" w:color="auto" w:sz="6" w:space="0"/>
            </w:tcBorders>
            <w:noWrap w:val="0"/>
            <w:vAlign w:val="center"/>
          </w:tcPr>
          <w:p w14:paraId="05598820">
            <w:pPr>
              <w:jc w:val="center"/>
              <w:rPr>
                <w:rFonts w:ascii="宋体" w:hAnsi="宋体" w:cs="Arial"/>
                <w:color w:val="auto"/>
                <w:szCs w:val="21"/>
                <w:highlight w:val="none"/>
              </w:rPr>
            </w:pPr>
          </w:p>
        </w:tc>
        <w:tc>
          <w:tcPr>
            <w:tcW w:w="405" w:type="pct"/>
            <w:tcBorders>
              <w:top w:val="single" w:color="auto" w:sz="6" w:space="0"/>
              <w:left w:val="single" w:color="auto" w:sz="6" w:space="0"/>
              <w:bottom w:val="single" w:color="auto" w:sz="6" w:space="0"/>
              <w:right w:val="single" w:color="auto" w:sz="6" w:space="0"/>
            </w:tcBorders>
            <w:noWrap w:val="0"/>
            <w:vAlign w:val="top"/>
          </w:tcPr>
          <w:p w14:paraId="798EAEA7">
            <w:pPr>
              <w:rPr>
                <w:rFonts w:ascii="宋体" w:hAnsi="宋体" w:cs="Arial"/>
                <w:color w:val="auto"/>
                <w:szCs w:val="21"/>
                <w:highlight w:val="none"/>
              </w:rPr>
            </w:pPr>
          </w:p>
        </w:tc>
      </w:tr>
      <w:tr w14:paraId="39874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89" w:type="pct"/>
            <w:tcBorders>
              <w:top w:val="single" w:color="auto" w:sz="6" w:space="0"/>
              <w:left w:val="single" w:color="auto" w:sz="6" w:space="0"/>
              <w:bottom w:val="single" w:color="auto" w:sz="6" w:space="0"/>
              <w:right w:val="single" w:color="auto" w:sz="6" w:space="0"/>
            </w:tcBorders>
            <w:noWrap w:val="0"/>
            <w:vAlign w:val="top"/>
          </w:tcPr>
          <w:p w14:paraId="5876B19A">
            <w:pPr>
              <w:jc w:val="center"/>
              <w:rPr>
                <w:rFonts w:ascii="宋体" w:hAnsi="宋体" w:cs="Arial"/>
                <w:color w:val="auto"/>
                <w:szCs w:val="21"/>
                <w:highlight w:val="none"/>
              </w:rPr>
            </w:pPr>
            <w:r>
              <w:rPr>
                <w:rFonts w:hint="eastAsia" w:ascii="宋体" w:hAnsi="宋体" w:cs="Arial"/>
                <w:color w:val="auto"/>
                <w:szCs w:val="21"/>
                <w:highlight w:val="none"/>
              </w:rPr>
              <w:t>2</w:t>
            </w:r>
          </w:p>
        </w:tc>
        <w:tc>
          <w:tcPr>
            <w:tcW w:w="807" w:type="pct"/>
            <w:tcBorders>
              <w:top w:val="single" w:color="auto" w:sz="6" w:space="0"/>
              <w:left w:val="single" w:color="auto" w:sz="6" w:space="0"/>
              <w:bottom w:val="single" w:color="auto" w:sz="6" w:space="0"/>
              <w:right w:val="single" w:color="auto" w:sz="6" w:space="0"/>
            </w:tcBorders>
            <w:noWrap w:val="0"/>
            <w:vAlign w:val="top"/>
          </w:tcPr>
          <w:p w14:paraId="2B447145">
            <w:pPr>
              <w:rPr>
                <w:rFonts w:ascii="宋体" w:hAnsi="宋体" w:cs="Arial"/>
                <w:color w:val="auto"/>
                <w:szCs w:val="21"/>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6F37A4FF">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0F3968F2">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2C06C80B">
            <w:pPr>
              <w:rPr>
                <w:rFonts w:ascii="宋体" w:hAnsi="宋体" w:cs="Arial"/>
                <w:color w:val="auto"/>
                <w:szCs w:val="21"/>
                <w:highlight w:val="none"/>
              </w:rPr>
            </w:pPr>
          </w:p>
        </w:tc>
        <w:tc>
          <w:tcPr>
            <w:tcW w:w="505" w:type="pct"/>
            <w:tcBorders>
              <w:top w:val="single" w:color="auto" w:sz="6" w:space="0"/>
              <w:left w:val="single" w:color="auto" w:sz="6" w:space="0"/>
              <w:bottom w:val="single" w:color="auto" w:sz="6" w:space="0"/>
              <w:right w:val="single" w:color="auto" w:sz="6" w:space="0"/>
            </w:tcBorders>
            <w:noWrap w:val="0"/>
            <w:vAlign w:val="top"/>
          </w:tcPr>
          <w:p w14:paraId="14DCD711">
            <w:pPr>
              <w:jc w:val="center"/>
              <w:rPr>
                <w:rFonts w:ascii="宋体" w:hAnsi="宋体" w:cs="Arial"/>
                <w:color w:val="auto"/>
                <w:szCs w:val="21"/>
                <w:highlight w:val="none"/>
              </w:rPr>
            </w:pPr>
          </w:p>
        </w:tc>
        <w:tc>
          <w:tcPr>
            <w:tcW w:w="517" w:type="pct"/>
            <w:tcBorders>
              <w:top w:val="single" w:color="auto" w:sz="6" w:space="0"/>
              <w:left w:val="single" w:color="auto" w:sz="6" w:space="0"/>
              <w:bottom w:val="single" w:color="auto" w:sz="6" w:space="0"/>
              <w:right w:val="single" w:color="auto" w:sz="6" w:space="0"/>
            </w:tcBorders>
            <w:noWrap w:val="0"/>
            <w:vAlign w:val="top"/>
          </w:tcPr>
          <w:p w14:paraId="75A5A157">
            <w:pPr>
              <w:jc w:val="center"/>
              <w:rPr>
                <w:rFonts w:ascii="宋体" w:hAnsi="宋体" w:cs="Arial"/>
                <w:color w:val="auto"/>
                <w:szCs w:val="21"/>
                <w:highlight w:val="none"/>
              </w:rPr>
            </w:pPr>
          </w:p>
        </w:tc>
        <w:tc>
          <w:tcPr>
            <w:tcW w:w="407" w:type="pct"/>
            <w:tcBorders>
              <w:top w:val="single" w:color="auto" w:sz="6" w:space="0"/>
              <w:left w:val="single" w:color="auto" w:sz="6" w:space="0"/>
              <w:bottom w:val="single" w:color="auto" w:sz="6" w:space="0"/>
              <w:right w:val="single" w:color="auto" w:sz="6" w:space="0"/>
            </w:tcBorders>
            <w:noWrap w:val="0"/>
            <w:vAlign w:val="center"/>
          </w:tcPr>
          <w:p w14:paraId="6595C6F8">
            <w:pPr>
              <w:jc w:val="center"/>
              <w:rPr>
                <w:rFonts w:ascii="宋体" w:hAnsi="宋体" w:cs="Arial"/>
                <w:color w:val="auto"/>
                <w:szCs w:val="21"/>
                <w:highlight w:val="none"/>
              </w:rPr>
            </w:pPr>
          </w:p>
        </w:tc>
        <w:tc>
          <w:tcPr>
            <w:tcW w:w="405" w:type="pct"/>
            <w:tcBorders>
              <w:top w:val="single" w:color="auto" w:sz="6" w:space="0"/>
              <w:left w:val="single" w:color="auto" w:sz="6" w:space="0"/>
              <w:bottom w:val="single" w:color="auto" w:sz="6" w:space="0"/>
              <w:right w:val="single" w:color="auto" w:sz="6" w:space="0"/>
            </w:tcBorders>
            <w:noWrap w:val="0"/>
            <w:vAlign w:val="top"/>
          </w:tcPr>
          <w:p w14:paraId="52AC848B">
            <w:pPr>
              <w:rPr>
                <w:rFonts w:ascii="宋体" w:hAnsi="宋体" w:cs="Arial"/>
                <w:color w:val="auto"/>
                <w:szCs w:val="21"/>
                <w:highlight w:val="none"/>
              </w:rPr>
            </w:pPr>
          </w:p>
        </w:tc>
      </w:tr>
      <w:tr w14:paraId="5DCE2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89" w:type="pct"/>
            <w:tcBorders>
              <w:top w:val="single" w:color="auto" w:sz="6" w:space="0"/>
              <w:left w:val="single" w:color="auto" w:sz="6" w:space="0"/>
              <w:bottom w:val="single" w:color="auto" w:sz="6" w:space="0"/>
              <w:right w:val="single" w:color="auto" w:sz="6" w:space="0"/>
            </w:tcBorders>
            <w:noWrap w:val="0"/>
            <w:vAlign w:val="top"/>
          </w:tcPr>
          <w:p w14:paraId="3C2B33E7">
            <w:pPr>
              <w:jc w:val="center"/>
              <w:rPr>
                <w:rFonts w:ascii="宋体" w:hAnsi="宋体" w:cs="Arial"/>
                <w:color w:val="auto"/>
                <w:szCs w:val="21"/>
                <w:highlight w:val="none"/>
              </w:rPr>
            </w:pPr>
            <w:r>
              <w:rPr>
                <w:rFonts w:hint="eastAsia" w:ascii="宋体" w:hAnsi="宋体" w:cs="Arial"/>
                <w:color w:val="auto"/>
                <w:szCs w:val="21"/>
                <w:highlight w:val="none"/>
              </w:rPr>
              <w:t>3</w:t>
            </w:r>
          </w:p>
        </w:tc>
        <w:tc>
          <w:tcPr>
            <w:tcW w:w="807" w:type="pct"/>
            <w:tcBorders>
              <w:top w:val="single" w:color="auto" w:sz="6" w:space="0"/>
              <w:left w:val="single" w:color="auto" w:sz="6" w:space="0"/>
              <w:bottom w:val="single" w:color="auto" w:sz="6" w:space="0"/>
              <w:right w:val="single" w:color="auto" w:sz="6" w:space="0"/>
            </w:tcBorders>
            <w:noWrap w:val="0"/>
            <w:vAlign w:val="top"/>
          </w:tcPr>
          <w:p w14:paraId="67EE49B5">
            <w:pPr>
              <w:rPr>
                <w:rFonts w:ascii="宋体" w:hAnsi="宋体" w:cs="Arial"/>
                <w:color w:val="auto"/>
                <w:szCs w:val="21"/>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082BAD84">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0CF20223">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0E0594DF">
            <w:pPr>
              <w:rPr>
                <w:rFonts w:ascii="宋体" w:hAnsi="宋体" w:cs="Arial"/>
                <w:color w:val="auto"/>
                <w:szCs w:val="21"/>
                <w:highlight w:val="none"/>
              </w:rPr>
            </w:pPr>
          </w:p>
        </w:tc>
        <w:tc>
          <w:tcPr>
            <w:tcW w:w="505" w:type="pct"/>
            <w:tcBorders>
              <w:top w:val="single" w:color="auto" w:sz="6" w:space="0"/>
              <w:left w:val="single" w:color="auto" w:sz="6" w:space="0"/>
              <w:bottom w:val="single" w:color="auto" w:sz="6" w:space="0"/>
              <w:right w:val="single" w:color="auto" w:sz="6" w:space="0"/>
            </w:tcBorders>
            <w:noWrap w:val="0"/>
            <w:vAlign w:val="top"/>
          </w:tcPr>
          <w:p w14:paraId="087436FB">
            <w:pPr>
              <w:jc w:val="center"/>
              <w:rPr>
                <w:rFonts w:ascii="宋体" w:hAnsi="宋体" w:cs="Arial"/>
                <w:color w:val="auto"/>
                <w:szCs w:val="21"/>
                <w:highlight w:val="none"/>
              </w:rPr>
            </w:pPr>
          </w:p>
        </w:tc>
        <w:tc>
          <w:tcPr>
            <w:tcW w:w="517" w:type="pct"/>
            <w:tcBorders>
              <w:top w:val="single" w:color="auto" w:sz="6" w:space="0"/>
              <w:left w:val="single" w:color="auto" w:sz="6" w:space="0"/>
              <w:bottom w:val="single" w:color="auto" w:sz="6" w:space="0"/>
              <w:right w:val="single" w:color="auto" w:sz="6" w:space="0"/>
            </w:tcBorders>
            <w:noWrap w:val="0"/>
            <w:vAlign w:val="top"/>
          </w:tcPr>
          <w:p w14:paraId="5D80481A">
            <w:pPr>
              <w:jc w:val="center"/>
              <w:rPr>
                <w:rFonts w:ascii="宋体" w:hAnsi="宋体" w:cs="Arial"/>
                <w:color w:val="auto"/>
                <w:szCs w:val="21"/>
                <w:highlight w:val="none"/>
              </w:rPr>
            </w:pPr>
          </w:p>
        </w:tc>
        <w:tc>
          <w:tcPr>
            <w:tcW w:w="407" w:type="pct"/>
            <w:tcBorders>
              <w:top w:val="single" w:color="auto" w:sz="6" w:space="0"/>
              <w:left w:val="single" w:color="auto" w:sz="6" w:space="0"/>
              <w:bottom w:val="single" w:color="auto" w:sz="6" w:space="0"/>
              <w:right w:val="single" w:color="auto" w:sz="6" w:space="0"/>
            </w:tcBorders>
            <w:noWrap w:val="0"/>
            <w:vAlign w:val="center"/>
          </w:tcPr>
          <w:p w14:paraId="29875DB2">
            <w:pPr>
              <w:jc w:val="center"/>
              <w:rPr>
                <w:rFonts w:ascii="宋体" w:hAnsi="宋体" w:cs="Arial"/>
                <w:color w:val="auto"/>
                <w:szCs w:val="21"/>
                <w:highlight w:val="none"/>
              </w:rPr>
            </w:pPr>
          </w:p>
        </w:tc>
        <w:tc>
          <w:tcPr>
            <w:tcW w:w="405" w:type="pct"/>
            <w:tcBorders>
              <w:top w:val="single" w:color="auto" w:sz="6" w:space="0"/>
              <w:left w:val="single" w:color="auto" w:sz="6" w:space="0"/>
              <w:bottom w:val="single" w:color="auto" w:sz="6" w:space="0"/>
              <w:right w:val="single" w:color="auto" w:sz="6" w:space="0"/>
            </w:tcBorders>
            <w:noWrap w:val="0"/>
            <w:vAlign w:val="top"/>
          </w:tcPr>
          <w:p w14:paraId="0D5CBBD0">
            <w:pPr>
              <w:rPr>
                <w:rFonts w:ascii="宋体" w:hAnsi="宋体" w:cs="Arial"/>
                <w:color w:val="auto"/>
                <w:szCs w:val="21"/>
                <w:highlight w:val="none"/>
              </w:rPr>
            </w:pPr>
          </w:p>
        </w:tc>
      </w:tr>
      <w:tr w14:paraId="2A577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389" w:type="pct"/>
            <w:tcBorders>
              <w:top w:val="single" w:color="auto" w:sz="6" w:space="0"/>
              <w:left w:val="single" w:color="auto" w:sz="6" w:space="0"/>
              <w:bottom w:val="single" w:color="auto" w:sz="6" w:space="0"/>
              <w:right w:val="single" w:color="auto" w:sz="6" w:space="0"/>
            </w:tcBorders>
            <w:noWrap w:val="0"/>
            <w:vAlign w:val="top"/>
          </w:tcPr>
          <w:p w14:paraId="4EDEEF78">
            <w:pPr>
              <w:rPr>
                <w:rFonts w:ascii="宋体" w:hAnsi="宋体" w:cs="Arial"/>
                <w:color w:val="auto"/>
                <w:szCs w:val="21"/>
                <w:highlight w:val="none"/>
              </w:rPr>
            </w:pPr>
            <w:r>
              <w:rPr>
                <w:rFonts w:ascii="宋体" w:hAnsi="宋体" w:cs="Arial"/>
                <w:color w:val="auto"/>
                <w:szCs w:val="21"/>
                <w:highlight w:val="none"/>
              </w:rPr>
              <w:t>…</w:t>
            </w:r>
          </w:p>
        </w:tc>
        <w:tc>
          <w:tcPr>
            <w:tcW w:w="807" w:type="pct"/>
            <w:tcBorders>
              <w:top w:val="single" w:color="auto" w:sz="6" w:space="0"/>
              <w:left w:val="single" w:color="auto" w:sz="6" w:space="0"/>
              <w:bottom w:val="single" w:color="auto" w:sz="6" w:space="0"/>
              <w:right w:val="single" w:color="auto" w:sz="6" w:space="0"/>
            </w:tcBorders>
            <w:noWrap w:val="0"/>
            <w:vAlign w:val="top"/>
          </w:tcPr>
          <w:p w14:paraId="51DF6FC6">
            <w:pPr>
              <w:rPr>
                <w:rFonts w:ascii="宋体" w:hAnsi="宋体" w:cs="Arial"/>
                <w:color w:val="auto"/>
                <w:szCs w:val="21"/>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1BFA8BC0">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0E5FE02C">
            <w:pPr>
              <w:rPr>
                <w:rFonts w:ascii="宋体" w:hAnsi="宋体" w:cs="Arial"/>
                <w:color w:val="auto"/>
                <w:szCs w:val="21"/>
                <w:highlight w:val="none"/>
              </w:rPr>
            </w:pPr>
          </w:p>
        </w:tc>
        <w:tc>
          <w:tcPr>
            <w:tcW w:w="716" w:type="pct"/>
            <w:tcBorders>
              <w:top w:val="single" w:color="auto" w:sz="6" w:space="0"/>
              <w:left w:val="single" w:color="auto" w:sz="6" w:space="0"/>
              <w:bottom w:val="single" w:color="auto" w:sz="6" w:space="0"/>
              <w:right w:val="single" w:color="auto" w:sz="6" w:space="0"/>
            </w:tcBorders>
            <w:noWrap w:val="0"/>
            <w:vAlign w:val="top"/>
          </w:tcPr>
          <w:p w14:paraId="4E0ADAEB">
            <w:pPr>
              <w:rPr>
                <w:rFonts w:ascii="宋体" w:hAnsi="宋体" w:cs="Arial"/>
                <w:color w:val="auto"/>
                <w:szCs w:val="21"/>
                <w:highlight w:val="none"/>
              </w:rPr>
            </w:pPr>
          </w:p>
        </w:tc>
        <w:tc>
          <w:tcPr>
            <w:tcW w:w="505" w:type="pct"/>
            <w:tcBorders>
              <w:top w:val="single" w:color="auto" w:sz="6" w:space="0"/>
              <w:left w:val="single" w:color="auto" w:sz="6" w:space="0"/>
              <w:bottom w:val="single" w:color="auto" w:sz="6" w:space="0"/>
              <w:right w:val="single" w:color="auto" w:sz="6" w:space="0"/>
            </w:tcBorders>
            <w:noWrap w:val="0"/>
            <w:vAlign w:val="top"/>
          </w:tcPr>
          <w:p w14:paraId="11D43406">
            <w:pPr>
              <w:jc w:val="center"/>
              <w:rPr>
                <w:rFonts w:ascii="宋体" w:hAnsi="宋体" w:cs="Arial"/>
                <w:color w:val="auto"/>
                <w:szCs w:val="21"/>
                <w:highlight w:val="none"/>
              </w:rPr>
            </w:pPr>
          </w:p>
        </w:tc>
        <w:tc>
          <w:tcPr>
            <w:tcW w:w="517" w:type="pct"/>
            <w:tcBorders>
              <w:top w:val="single" w:color="auto" w:sz="6" w:space="0"/>
              <w:left w:val="single" w:color="auto" w:sz="6" w:space="0"/>
              <w:bottom w:val="single" w:color="auto" w:sz="6" w:space="0"/>
              <w:right w:val="single" w:color="auto" w:sz="6" w:space="0"/>
            </w:tcBorders>
            <w:noWrap w:val="0"/>
            <w:vAlign w:val="top"/>
          </w:tcPr>
          <w:p w14:paraId="5D585D13">
            <w:pPr>
              <w:jc w:val="center"/>
              <w:rPr>
                <w:rFonts w:ascii="宋体" w:hAnsi="宋体" w:cs="Arial"/>
                <w:color w:val="auto"/>
                <w:szCs w:val="21"/>
                <w:highlight w:val="none"/>
              </w:rPr>
            </w:pPr>
          </w:p>
        </w:tc>
        <w:tc>
          <w:tcPr>
            <w:tcW w:w="407" w:type="pct"/>
            <w:tcBorders>
              <w:top w:val="single" w:color="auto" w:sz="6" w:space="0"/>
              <w:left w:val="single" w:color="auto" w:sz="6" w:space="0"/>
              <w:bottom w:val="single" w:color="auto" w:sz="6" w:space="0"/>
              <w:right w:val="single" w:color="auto" w:sz="6" w:space="0"/>
            </w:tcBorders>
            <w:noWrap w:val="0"/>
            <w:vAlign w:val="center"/>
          </w:tcPr>
          <w:p w14:paraId="08F07407">
            <w:pPr>
              <w:jc w:val="center"/>
              <w:rPr>
                <w:rFonts w:ascii="宋体" w:hAnsi="宋体" w:cs="Arial"/>
                <w:color w:val="auto"/>
                <w:szCs w:val="21"/>
                <w:highlight w:val="none"/>
              </w:rPr>
            </w:pPr>
          </w:p>
        </w:tc>
        <w:tc>
          <w:tcPr>
            <w:tcW w:w="405" w:type="pct"/>
            <w:tcBorders>
              <w:top w:val="single" w:color="auto" w:sz="6" w:space="0"/>
              <w:left w:val="single" w:color="auto" w:sz="6" w:space="0"/>
              <w:bottom w:val="single" w:color="auto" w:sz="6" w:space="0"/>
              <w:right w:val="single" w:color="auto" w:sz="6" w:space="0"/>
            </w:tcBorders>
            <w:noWrap w:val="0"/>
            <w:vAlign w:val="top"/>
          </w:tcPr>
          <w:p w14:paraId="0AAE21A9">
            <w:pPr>
              <w:rPr>
                <w:rFonts w:ascii="宋体" w:hAnsi="宋体" w:cs="Arial"/>
                <w:color w:val="auto"/>
                <w:szCs w:val="21"/>
                <w:highlight w:val="none"/>
              </w:rPr>
            </w:pPr>
          </w:p>
        </w:tc>
      </w:tr>
    </w:tbl>
    <w:p w14:paraId="321C03C8">
      <w:pPr>
        <w:tabs>
          <w:tab w:val="left" w:pos="1050"/>
          <w:tab w:val="left" w:pos="1838"/>
        </w:tabs>
        <w:rPr>
          <w:rFonts w:ascii="宋体" w:hAnsi="宋体"/>
          <w:color w:val="auto"/>
          <w:sz w:val="24"/>
          <w:highlight w:val="none"/>
        </w:rPr>
      </w:pPr>
    </w:p>
    <w:p w14:paraId="21A464B2">
      <w:pPr>
        <w:rPr>
          <w:rFonts w:ascii="宋体" w:hAnsi="宋体"/>
          <w:color w:val="auto"/>
          <w:sz w:val="24"/>
          <w:highlight w:val="none"/>
        </w:rPr>
      </w:pPr>
      <w:r>
        <w:rPr>
          <w:rFonts w:hint="eastAsia" w:ascii="宋体" w:hAnsi="宋体"/>
          <w:color w:val="auto"/>
          <w:sz w:val="24"/>
          <w:highlight w:val="none"/>
        </w:rPr>
        <w:t>注：按评标办法前附表及其备注要求后附相关资料。</w:t>
      </w:r>
    </w:p>
    <w:p w14:paraId="14DBE407">
      <w:pPr>
        <w:tabs>
          <w:tab w:val="left" w:pos="1050"/>
          <w:tab w:val="left" w:pos="1838"/>
        </w:tabs>
        <w:rPr>
          <w:rFonts w:ascii="宋体" w:hAnsi="宋体"/>
          <w:color w:val="auto"/>
          <w:sz w:val="24"/>
          <w:highlight w:val="none"/>
        </w:rPr>
      </w:pPr>
      <w:r>
        <w:rPr>
          <w:rFonts w:hint="eastAsia" w:ascii="宋体" w:hAnsi="宋体" w:eastAsia="宋体" w:cs="宋体"/>
          <w:b/>
          <w:bCs/>
          <w:color w:val="auto"/>
          <w:sz w:val="24"/>
          <w:szCs w:val="24"/>
          <w:highlight w:val="none"/>
        </w:rPr>
        <w:t>该理赔经验所属项目的保单首席或独家承保公司名称需与投标人名称完全一致。若该理赔经验所属项目的保单的首席或独家承保公司名称需与投标人名称不一致的业绩不予以认可。</w:t>
      </w:r>
    </w:p>
    <w:p w14:paraId="0ADF6028">
      <w:pPr>
        <w:pStyle w:val="2"/>
        <w:ind w:firstLine="203"/>
        <w:rPr>
          <w:rFonts w:hint="eastAsia"/>
          <w:color w:val="auto"/>
          <w:highlight w:val="none"/>
        </w:rPr>
      </w:pPr>
    </w:p>
    <w:p w14:paraId="77DF6C36">
      <w:pPr>
        <w:spacing w:line="360" w:lineRule="auto"/>
        <w:rPr>
          <w:rFonts w:hint="eastAsia" w:ascii="宋体" w:hAnsi="宋体"/>
          <w:color w:val="auto"/>
          <w:sz w:val="24"/>
          <w:highlight w:val="none"/>
        </w:rPr>
      </w:pPr>
      <w:r>
        <w:rPr>
          <w:rFonts w:hint="eastAsia" w:ascii="宋体" w:hAnsi="宋体"/>
          <w:color w:val="auto"/>
          <w:sz w:val="24"/>
          <w:highlight w:val="none"/>
        </w:rPr>
        <w:t>投  标  人（单位公章）：</w:t>
      </w:r>
    </w:p>
    <w:p w14:paraId="174DE99F">
      <w:pPr>
        <w:spacing w:line="360" w:lineRule="auto"/>
        <w:rPr>
          <w:rFonts w:hint="eastAsia" w:ascii="宋体" w:hAnsi="宋体"/>
          <w:color w:val="auto"/>
          <w:sz w:val="24"/>
          <w:highlight w:val="none"/>
        </w:rPr>
      </w:pPr>
      <w:r>
        <w:rPr>
          <w:rFonts w:hint="eastAsia" w:ascii="宋体" w:hAnsi="宋体"/>
          <w:color w:val="auto"/>
          <w:sz w:val="24"/>
          <w:highlight w:val="none"/>
        </w:rPr>
        <w:t>法定代表人</w:t>
      </w:r>
      <w:r>
        <w:rPr>
          <w:rFonts w:hint="eastAsia"/>
          <w:color w:val="auto"/>
          <w:sz w:val="24"/>
          <w:highlight w:val="none"/>
        </w:rPr>
        <w:t>（负责人）</w:t>
      </w:r>
      <w:r>
        <w:rPr>
          <w:rFonts w:hint="eastAsia" w:ascii="宋体" w:hAnsi="宋体"/>
          <w:color w:val="auto"/>
          <w:sz w:val="24"/>
          <w:highlight w:val="none"/>
        </w:rPr>
        <w:t>或委托代理人（签字或盖章）：</w:t>
      </w:r>
    </w:p>
    <w:p w14:paraId="1E816E5E">
      <w:pPr>
        <w:spacing w:line="360" w:lineRule="auto"/>
        <w:rPr>
          <w:rFonts w:ascii="宋体" w:hAnsi="宋体"/>
          <w:color w:val="auto"/>
          <w:sz w:val="24"/>
          <w:highlight w:val="none"/>
        </w:rPr>
        <w:sectPr>
          <w:pgSz w:w="11906" w:h="16838"/>
          <w:pgMar w:top="1134" w:right="1287" w:bottom="1020" w:left="1440" w:header="851" w:footer="907" w:gutter="0"/>
          <w:cols w:space="720" w:num="1"/>
          <w:docGrid w:type="linesAndChars" w:linePitch="339" w:charSpace="709"/>
        </w:sect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r>
        <w:rPr>
          <w:rFonts w:hint="eastAsia" w:ascii="宋体" w:hAnsi="宋体" w:cs="Arial"/>
          <w:color w:val="auto"/>
          <w:sz w:val="24"/>
          <w:highlight w:val="none"/>
        </w:rPr>
        <w:t xml:space="preserve">    年   月   日</w:t>
      </w:r>
    </w:p>
    <w:p w14:paraId="25388DB3">
      <w:pPr>
        <w:spacing w:line="360" w:lineRule="auto"/>
        <w:jc w:val="center"/>
        <w:rPr>
          <w:b/>
          <w:bCs/>
          <w:color w:val="auto"/>
          <w:sz w:val="24"/>
          <w:highlight w:val="none"/>
        </w:rPr>
      </w:pPr>
      <w:r>
        <w:rPr>
          <w:rFonts w:hint="eastAsia" w:ascii="宋体" w:hAnsi="宋体" w:cs="宋体"/>
          <w:b/>
          <w:bCs/>
          <w:color w:val="auto"/>
          <w:sz w:val="30"/>
          <w:szCs w:val="30"/>
          <w:highlight w:val="none"/>
          <w:lang w:val="en-US" w:eastAsia="zh-CN"/>
        </w:rPr>
        <w:t>三</w:t>
      </w:r>
      <w:r>
        <w:rPr>
          <w:rFonts w:hint="eastAsia" w:ascii="宋体" w:hAnsi="宋体" w:cs="宋体"/>
          <w:b/>
          <w:bCs/>
          <w:color w:val="auto"/>
          <w:sz w:val="30"/>
          <w:szCs w:val="30"/>
          <w:highlight w:val="none"/>
        </w:rPr>
        <w:t>、保险方案响应情况</w:t>
      </w:r>
    </w:p>
    <w:p w14:paraId="7CFC0970">
      <w:pPr>
        <w:spacing w:line="360" w:lineRule="auto"/>
        <w:jc w:val="left"/>
        <w:rPr>
          <w:color w:val="auto"/>
          <w:sz w:val="24"/>
          <w:highlight w:val="none"/>
        </w:rPr>
      </w:pP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投标人应对照招标文件中所有险种的扩展条款、特别约定的条款内容</w:t>
      </w:r>
      <w:r>
        <w:rPr>
          <w:rFonts w:hint="eastAsia" w:ascii="宋体" w:hAnsi="宋体" w:cs="宋体"/>
          <w:color w:val="auto"/>
          <w:highlight w:val="none"/>
        </w:rPr>
        <w:t>（详见</w:t>
      </w:r>
      <w:r>
        <w:rPr>
          <w:rFonts w:hint="eastAsia" w:ascii="宋体" w:hAnsi="宋体" w:cs="宋体"/>
          <w:color w:val="auto"/>
          <w:szCs w:val="21"/>
          <w:highlight w:val="none"/>
        </w:rPr>
        <w:t>“▲”号条款</w:t>
      </w:r>
      <w:r>
        <w:rPr>
          <w:rFonts w:hint="eastAsia" w:ascii="宋体" w:hAnsi="宋体" w:cs="宋体"/>
          <w:color w:val="auto"/>
          <w:highlight w:val="none"/>
        </w:rPr>
        <w:t>）</w:t>
      </w:r>
      <w:r>
        <w:rPr>
          <w:rFonts w:hint="eastAsia"/>
          <w:color w:val="auto"/>
          <w:sz w:val="24"/>
          <w:highlight w:val="none"/>
        </w:rPr>
        <w:t>作出响应。“响应情况”按“符合”、“优于”、“负偏离”填写，“优于”或“负偏离”的均须在“说明”栏作出详细说明。凡表中未标注的，均按招标文件中所述内容执行。</w:t>
      </w:r>
    </w:p>
    <w:tbl>
      <w:tblPr>
        <w:tblStyle w:val="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808"/>
        <w:gridCol w:w="1395"/>
        <w:gridCol w:w="2658"/>
      </w:tblGrid>
      <w:tr w14:paraId="2F12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48" w:type="dxa"/>
            <w:noWrap w:val="0"/>
            <w:vAlign w:val="center"/>
          </w:tcPr>
          <w:p w14:paraId="643C1054">
            <w:pPr>
              <w:spacing w:line="360" w:lineRule="auto"/>
              <w:jc w:val="center"/>
              <w:rPr>
                <w:rFonts w:hint="eastAsia"/>
                <w:b/>
                <w:bCs/>
                <w:color w:val="auto"/>
                <w:sz w:val="24"/>
                <w:highlight w:val="none"/>
              </w:rPr>
            </w:pPr>
            <w:r>
              <w:rPr>
                <w:rFonts w:hint="eastAsia"/>
                <w:b/>
                <w:bCs/>
                <w:color w:val="auto"/>
                <w:sz w:val="24"/>
                <w:highlight w:val="none"/>
              </w:rPr>
              <w:t>条款条目</w:t>
            </w:r>
          </w:p>
        </w:tc>
        <w:tc>
          <w:tcPr>
            <w:tcW w:w="2808" w:type="dxa"/>
            <w:noWrap w:val="0"/>
            <w:vAlign w:val="center"/>
          </w:tcPr>
          <w:p w14:paraId="0ABE705C">
            <w:pPr>
              <w:spacing w:line="360" w:lineRule="auto"/>
              <w:jc w:val="center"/>
              <w:rPr>
                <w:rFonts w:hint="eastAsia"/>
                <w:b/>
                <w:bCs/>
                <w:color w:val="auto"/>
                <w:sz w:val="24"/>
                <w:highlight w:val="none"/>
              </w:rPr>
            </w:pPr>
            <w:r>
              <w:rPr>
                <w:rFonts w:hint="eastAsia"/>
                <w:b/>
                <w:bCs/>
                <w:color w:val="auto"/>
                <w:sz w:val="24"/>
                <w:highlight w:val="none"/>
              </w:rPr>
              <w:t>条款内容</w:t>
            </w:r>
          </w:p>
        </w:tc>
        <w:tc>
          <w:tcPr>
            <w:tcW w:w="1395" w:type="dxa"/>
            <w:noWrap w:val="0"/>
            <w:vAlign w:val="center"/>
          </w:tcPr>
          <w:p w14:paraId="7A70D1F3">
            <w:pPr>
              <w:spacing w:line="360" w:lineRule="auto"/>
              <w:jc w:val="center"/>
              <w:rPr>
                <w:rFonts w:hint="eastAsia"/>
                <w:b/>
                <w:bCs/>
                <w:color w:val="auto"/>
                <w:sz w:val="24"/>
                <w:highlight w:val="none"/>
              </w:rPr>
            </w:pPr>
            <w:r>
              <w:rPr>
                <w:rFonts w:hint="eastAsia"/>
                <w:b/>
                <w:bCs/>
                <w:color w:val="auto"/>
                <w:sz w:val="24"/>
                <w:highlight w:val="none"/>
              </w:rPr>
              <w:t>响应情况</w:t>
            </w:r>
          </w:p>
        </w:tc>
        <w:tc>
          <w:tcPr>
            <w:tcW w:w="2658" w:type="dxa"/>
            <w:noWrap w:val="0"/>
            <w:vAlign w:val="center"/>
          </w:tcPr>
          <w:p w14:paraId="5620654C">
            <w:pPr>
              <w:spacing w:line="360" w:lineRule="auto"/>
              <w:jc w:val="center"/>
              <w:rPr>
                <w:rFonts w:hint="eastAsia"/>
                <w:b/>
                <w:bCs/>
                <w:color w:val="auto"/>
                <w:sz w:val="24"/>
                <w:highlight w:val="none"/>
              </w:rPr>
            </w:pPr>
            <w:r>
              <w:rPr>
                <w:rFonts w:hint="eastAsia"/>
                <w:b/>
                <w:bCs/>
                <w:color w:val="auto"/>
                <w:sz w:val="24"/>
                <w:highlight w:val="none"/>
              </w:rPr>
              <w:t>说明</w:t>
            </w:r>
          </w:p>
        </w:tc>
      </w:tr>
      <w:tr w14:paraId="1E96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48" w:type="dxa"/>
            <w:noWrap w:val="0"/>
            <w:vAlign w:val="center"/>
          </w:tcPr>
          <w:p w14:paraId="08523527">
            <w:pPr>
              <w:spacing w:line="360" w:lineRule="auto"/>
              <w:jc w:val="center"/>
              <w:rPr>
                <w:rFonts w:hint="eastAsia"/>
                <w:color w:val="auto"/>
                <w:sz w:val="24"/>
                <w:highlight w:val="none"/>
              </w:rPr>
            </w:pPr>
          </w:p>
        </w:tc>
        <w:tc>
          <w:tcPr>
            <w:tcW w:w="2808" w:type="dxa"/>
            <w:noWrap w:val="0"/>
            <w:vAlign w:val="center"/>
          </w:tcPr>
          <w:p w14:paraId="6B204ABD">
            <w:pPr>
              <w:spacing w:line="360" w:lineRule="auto"/>
              <w:jc w:val="center"/>
              <w:rPr>
                <w:rFonts w:hint="eastAsia"/>
                <w:color w:val="auto"/>
                <w:sz w:val="24"/>
                <w:highlight w:val="none"/>
              </w:rPr>
            </w:pPr>
          </w:p>
        </w:tc>
        <w:tc>
          <w:tcPr>
            <w:tcW w:w="1395" w:type="dxa"/>
            <w:noWrap w:val="0"/>
            <w:vAlign w:val="center"/>
          </w:tcPr>
          <w:p w14:paraId="5B624CAE">
            <w:pPr>
              <w:spacing w:line="360" w:lineRule="auto"/>
              <w:jc w:val="center"/>
              <w:rPr>
                <w:rFonts w:hint="eastAsia"/>
                <w:color w:val="auto"/>
                <w:sz w:val="24"/>
                <w:highlight w:val="none"/>
              </w:rPr>
            </w:pPr>
          </w:p>
        </w:tc>
        <w:tc>
          <w:tcPr>
            <w:tcW w:w="2658" w:type="dxa"/>
            <w:noWrap w:val="0"/>
            <w:vAlign w:val="center"/>
          </w:tcPr>
          <w:p w14:paraId="1F652597">
            <w:pPr>
              <w:spacing w:line="360" w:lineRule="auto"/>
              <w:jc w:val="center"/>
              <w:rPr>
                <w:rFonts w:hint="eastAsia"/>
                <w:color w:val="auto"/>
                <w:sz w:val="24"/>
                <w:highlight w:val="none"/>
              </w:rPr>
            </w:pPr>
          </w:p>
        </w:tc>
      </w:tr>
      <w:tr w14:paraId="0A29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48" w:type="dxa"/>
            <w:noWrap w:val="0"/>
            <w:vAlign w:val="center"/>
          </w:tcPr>
          <w:p w14:paraId="110983AE">
            <w:pPr>
              <w:spacing w:line="360" w:lineRule="auto"/>
              <w:jc w:val="center"/>
              <w:rPr>
                <w:rFonts w:hint="eastAsia"/>
                <w:color w:val="auto"/>
                <w:sz w:val="24"/>
                <w:highlight w:val="none"/>
              </w:rPr>
            </w:pPr>
          </w:p>
        </w:tc>
        <w:tc>
          <w:tcPr>
            <w:tcW w:w="2808" w:type="dxa"/>
            <w:noWrap w:val="0"/>
            <w:vAlign w:val="center"/>
          </w:tcPr>
          <w:p w14:paraId="2123366D">
            <w:pPr>
              <w:spacing w:line="360" w:lineRule="auto"/>
              <w:jc w:val="center"/>
              <w:rPr>
                <w:rFonts w:hint="eastAsia"/>
                <w:color w:val="auto"/>
                <w:sz w:val="24"/>
                <w:highlight w:val="none"/>
              </w:rPr>
            </w:pPr>
          </w:p>
        </w:tc>
        <w:tc>
          <w:tcPr>
            <w:tcW w:w="1395" w:type="dxa"/>
            <w:noWrap w:val="0"/>
            <w:vAlign w:val="center"/>
          </w:tcPr>
          <w:p w14:paraId="08186E1D">
            <w:pPr>
              <w:spacing w:line="360" w:lineRule="auto"/>
              <w:jc w:val="center"/>
              <w:rPr>
                <w:rFonts w:hint="eastAsia"/>
                <w:color w:val="auto"/>
                <w:sz w:val="24"/>
                <w:highlight w:val="none"/>
              </w:rPr>
            </w:pPr>
          </w:p>
        </w:tc>
        <w:tc>
          <w:tcPr>
            <w:tcW w:w="2658" w:type="dxa"/>
            <w:noWrap w:val="0"/>
            <w:vAlign w:val="center"/>
          </w:tcPr>
          <w:p w14:paraId="4A6F188F">
            <w:pPr>
              <w:spacing w:line="360" w:lineRule="auto"/>
              <w:jc w:val="center"/>
              <w:rPr>
                <w:rFonts w:hint="eastAsia"/>
                <w:color w:val="auto"/>
                <w:sz w:val="24"/>
                <w:highlight w:val="none"/>
              </w:rPr>
            </w:pPr>
          </w:p>
        </w:tc>
      </w:tr>
      <w:tr w14:paraId="2F7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48" w:type="dxa"/>
            <w:noWrap w:val="0"/>
            <w:vAlign w:val="center"/>
          </w:tcPr>
          <w:p w14:paraId="46DCB133">
            <w:pPr>
              <w:spacing w:line="360" w:lineRule="auto"/>
              <w:jc w:val="center"/>
              <w:rPr>
                <w:rFonts w:hint="eastAsia"/>
                <w:color w:val="auto"/>
                <w:sz w:val="24"/>
                <w:highlight w:val="none"/>
              </w:rPr>
            </w:pPr>
            <w:r>
              <w:rPr>
                <w:rFonts w:hint="eastAsia"/>
                <w:color w:val="auto"/>
                <w:sz w:val="24"/>
                <w:highlight w:val="none"/>
              </w:rPr>
              <w:t>。。。</w:t>
            </w:r>
          </w:p>
        </w:tc>
        <w:tc>
          <w:tcPr>
            <w:tcW w:w="2808" w:type="dxa"/>
            <w:noWrap w:val="0"/>
            <w:vAlign w:val="center"/>
          </w:tcPr>
          <w:p w14:paraId="36910A39">
            <w:pPr>
              <w:spacing w:line="360" w:lineRule="auto"/>
              <w:jc w:val="center"/>
              <w:rPr>
                <w:rFonts w:hint="eastAsia"/>
                <w:color w:val="auto"/>
                <w:sz w:val="24"/>
                <w:highlight w:val="none"/>
              </w:rPr>
            </w:pPr>
          </w:p>
        </w:tc>
        <w:tc>
          <w:tcPr>
            <w:tcW w:w="1395" w:type="dxa"/>
            <w:noWrap w:val="0"/>
            <w:vAlign w:val="center"/>
          </w:tcPr>
          <w:p w14:paraId="5670D901">
            <w:pPr>
              <w:spacing w:line="360" w:lineRule="auto"/>
              <w:jc w:val="center"/>
              <w:rPr>
                <w:rFonts w:hint="eastAsia"/>
                <w:color w:val="auto"/>
                <w:sz w:val="24"/>
                <w:highlight w:val="none"/>
              </w:rPr>
            </w:pPr>
          </w:p>
        </w:tc>
        <w:tc>
          <w:tcPr>
            <w:tcW w:w="2658" w:type="dxa"/>
            <w:noWrap w:val="0"/>
            <w:vAlign w:val="center"/>
          </w:tcPr>
          <w:p w14:paraId="5D8BE0B9">
            <w:pPr>
              <w:spacing w:line="360" w:lineRule="auto"/>
              <w:jc w:val="center"/>
              <w:rPr>
                <w:rFonts w:hint="eastAsia"/>
                <w:color w:val="auto"/>
                <w:sz w:val="24"/>
                <w:highlight w:val="none"/>
              </w:rPr>
            </w:pPr>
          </w:p>
        </w:tc>
      </w:tr>
    </w:tbl>
    <w:p w14:paraId="5EDD6BC8">
      <w:pPr>
        <w:spacing w:line="360" w:lineRule="auto"/>
        <w:jc w:val="left"/>
        <w:rPr>
          <w:b/>
          <w:bCs/>
          <w:color w:val="auto"/>
          <w:sz w:val="24"/>
          <w:highlight w:val="none"/>
        </w:rPr>
      </w:pPr>
    </w:p>
    <w:p w14:paraId="7F28BA68">
      <w:pPr>
        <w:pStyle w:val="2"/>
        <w:ind w:firstLine="200"/>
        <w:rPr>
          <w:color w:val="auto"/>
          <w:highlight w:val="none"/>
        </w:rPr>
      </w:pPr>
      <w:r>
        <w:rPr>
          <w:rFonts w:hint="eastAsia"/>
          <w:color w:val="auto"/>
          <w:highlight w:val="none"/>
        </w:rPr>
        <w:t>备注：</w:t>
      </w:r>
    </w:p>
    <w:p w14:paraId="0F2E2532">
      <w:pPr>
        <w:pStyle w:val="2"/>
        <w:ind w:firstLine="200"/>
        <w:rPr>
          <w:color w:val="auto"/>
          <w:highlight w:val="none"/>
        </w:rPr>
      </w:pPr>
      <w:r>
        <w:rPr>
          <w:rFonts w:hint="eastAsia"/>
          <w:color w:val="auto"/>
          <w:highlight w:val="none"/>
        </w:rPr>
        <w:t>1、投标人如对招标文件所有险种的扩展条款、特别约定的条款</w:t>
      </w:r>
      <w:r>
        <w:rPr>
          <w:rFonts w:hint="eastAsia" w:ascii="宋体" w:hAnsi="宋体" w:cs="宋体"/>
          <w:color w:val="auto"/>
          <w:highlight w:val="none"/>
        </w:rPr>
        <w:t>（详见</w:t>
      </w:r>
      <w:r>
        <w:rPr>
          <w:rFonts w:hint="eastAsia" w:ascii="宋体" w:hAnsi="宋体" w:cs="宋体"/>
          <w:color w:val="auto"/>
          <w:sz w:val="21"/>
          <w:szCs w:val="21"/>
          <w:highlight w:val="none"/>
        </w:rPr>
        <w:t>“▲”号条款</w:t>
      </w:r>
      <w:r>
        <w:rPr>
          <w:rFonts w:hint="eastAsia" w:ascii="宋体" w:hAnsi="宋体" w:cs="宋体"/>
          <w:color w:val="auto"/>
          <w:highlight w:val="none"/>
        </w:rPr>
        <w:t>）</w:t>
      </w:r>
      <w:r>
        <w:rPr>
          <w:rFonts w:hint="eastAsia"/>
          <w:color w:val="auto"/>
          <w:highlight w:val="none"/>
        </w:rPr>
        <w:t>内容完全响应，则在第一行处写明“完全响应，无偏离”。</w:t>
      </w:r>
      <w:r>
        <w:rPr>
          <w:rFonts w:hint="eastAsia" w:ascii="宋体" w:hAnsi="宋体" w:cs="宋体"/>
          <w:color w:val="auto"/>
          <w:sz w:val="21"/>
          <w:szCs w:val="21"/>
          <w:highlight w:val="none"/>
        </w:rPr>
        <w:t>打“▲”号条款为重要技术参数，若有部分“▲”条款未响应或不满足，将根据评审要求影响其得分，但不作为无效响应条款。</w:t>
      </w:r>
    </w:p>
    <w:p w14:paraId="3570D196">
      <w:pPr>
        <w:pStyle w:val="2"/>
        <w:ind w:firstLine="200"/>
        <w:rPr>
          <w:color w:val="auto"/>
          <w:highlight w:val="none"/>
        </w:rPr>
      </w:pPr>
      <w:r>
        <w:rPr>
          <w:color w:val="auto"/>
          <w:highlight w:val="none"/>
        </w:rPr>
        <w:t>2</w:t>
      </w:r>
      <w:r>
        <w:rPr>
          <w:rFonts w:hint="eastAsia"/>
          <w:color w:val="auto"/>
          <w:highlight w:val="none"/>
        </w:rPr>
        <w:t>、清单表格可按格式扩展。</w:t>
      </w:r>
    </w:p>
    <w:p w14:paraId="0041DF85">
      <w:pPr>
        <w:pStyle w:val="2"/>
        <w:ind w:firstLine="200"/>
        <w:rPr>
          <w:color w:val="auto"/>
          <w:highlight w:val="none"/>
        </w:rPr>
      </w:pPr>
    </w:p>
    <w:p w14:paraId="28745305">
      <w:pPr>
        <w:pStyle w:val="2"/>
        <w:ind w:firstLine="200"/>
        <w:rPr>
          <w:color w:val="auto"/>
          <w:highlight w:val="none"/>
        </w:rPr>
      </w:pPr>
    </w:p>
    <w:p w14:paraId="4D872848">
      <w:pPr>
        <w:pStyle w:val="2"/>
        <w:ind w:firstLine="200"/>
        <w:rPr>
          <w:color w:val="auto"/>
          <w:highlight w:val="none"/>
        </w:rPr>
      </w:pPr>
    </w:p>
    <w:p w14:paraId="1BCF8004">
      <w:pPr>
        <w:pStyle w:val="2"/>
        <w:ind w:firstLine="200"/>
        <w:rPr>
          <w:color w:val="auto"/>
          <w:highlight w:val="none"/>
        </w:rPr>
      </w:pPr>
    </w:p>
    <w:p w14:paraId="4AFC4279">
      <w:pPr>
        <w:pStyle w:val="2"/>
        <w:ind w:firstLine="240"/>
        <w:rPr>
          <w:color w:val="auto"/>
          <w:sz w:val="24"/>
          <w:highlight w:val="none"/>
        </w:rPr>
      </w:pPr>
      <w:r>
        <w:rPr>
          <w:rFonts w:hint="eastAsia"/>
          <w:color w:val="auto"/>
          <w:sz w:val="24"/>
          <w:highlight w:val="none"/>
        </w:rPr>
        <w:t xml:space="preserve">投 </w:t>
      </w:r>
      <w:r>
        <w:rPr>
          <w:color w:val="auto"/>
          <w:sz w:val="24"/>
          <w:highlight w:val="none"/>
        </w:rPr>
        <w:t xml:space="preserve"> </w:t>
      </w:r>
      <w:r>
        <w:rPr>
          <w:rFonts w:hint="eastAsia"/>
          <w:color w:val="auto"/>
          <w:sz w:val="24"/>
          <w:highlight w:val="none"/>
        </w:rPr>
        <w:t xml:space="preserve">标 </w:t>
      </w:r>
      <w:r>
        <w:rPr>
          <w:color w:val="auto"/>
          <w:sz w:val="24"/>
          <w:highlight w:val="none"/>
        </w:rPr>
        <w:t xml:space="preserve"> </w:t>
      </w:r>
      <w:r>
        <w:rPr>
          <w:rFonts w:hint="eastAsia"/>
          <w:color w:val="auto"/>
          <w:sz w:val="24"/>
          <w:highlight w:val="none"/>
        </w:rPr>
        <w:t>人（单位公章）：</w:t>
      </w:r>
    </w:p>
    <w:p w14:paraId="4029073F">
      <w:pPr>
        <w:pStyle w:val="2"/>
        <w:ind w:firstLine="240"/>
        <w:rPr>
          <w:color w:val="auto"/>
          <w:sz w:val="24"/>
          <w:highlight w:val="none"/>
        </w:rPr>
      </w:pPr>
      <w:r>
        <w:rPr>
          <w:rFonts w:hint="eastAsia"/>
          <w:color w:val="auto"/>
          <w:sz w:val="24"/>
          <w:highlight w:val="none"/>
        </w:rPr>
        <w:t>法定代表人（负责人）或委托代理人（签字或盖章）：</w:t>
      </w:r>
    </w:p>
    <w:p w14:paraId="656DE949">
      <w:pPr>
        <w:pStyle w:val="2"/>
        <w:ind w:firstLine="240"/>
        <w:rPr>
          <w:rFonts w:hint="eastAsia"/>
          <w:color w:val="auto"/>
          <w:sz w:val="24"/>
          <w:highlight w:val="none"/>
        </w:rPr>
      </w:pPr>
      <w:r>
        <w:rPr>
          <w:rFonts w:hint="eastAsia"/>
          <w:color w:val="auto"/>
          <w:sz w:val="24"/>
          <w:highlight w:val="none"/>
        </w:rPr>
        <w:t xml:space="preserve">日 </w:t>
      </w:r>
      <w:r>
        <w:rPr>
          <w:color w:val="auto"/>
          <w:sz w:val="24"/>
          <w:highlight w:val="none"/>
        </w:rPr>
        <w:t xml:space="preserve"> </w:t>
      </w:r>
      <w:r>
        <w:rPr>
          <w:rFonts w:hint="eastAsia"/>
          <w:color w:val="auto"/>
          <w:sz w:val="24"/>
          <w:highlight w:val="none"/>
        </w:rPr>
        <w:t xml:space="preserve">期： </w:t>
      </w:r>
      <w:r>
        <w:rPr>
          <w:color w:val="auto"/>
          <w:sz w:val="24"/>
          <w:highlight w:val="none"/>
        </w:rPr>
        <w:t xml:space="preserve">   </w:t>
      </w:r>
      <w:r>
        <w:rPr>
          <w:rFonts w:hint="eastAsia"/>
          <w:color w:val="auto"/>
          <w:sz w:val="24"/>
          <w:highlight w:val="none"/>
        </w:rPr>
        <w:t xml:space="preserve">年 </w:t>
      </w:r>
      <w:r>
        <w:rPr>
          <w:color w:val="auto"/>
          <w:sz w:val="24"/>
          <w:highlight w:val="none"/>
        </w:rPr>
        <w:t xml:space="preserve">   </w:t>
      </w:r>
      <w:r>
        <w:rPr>
          <w:rFonts w:hint="eastAsia"/>
          <w:color w:val="auto"/>
          <w:sz w:val="24"/>
          <w:highlight w:val="none"/>
        </w:rPr>
        <w:t xml:space="preserve">月 </w:t>
      </w:r>
      <w:r>
        <w:rPr>
          <w:color w:val="auto"/>
          <w:sz w:val="24"/>
          <w:highlight w:val="none"/>
        </w:rPr>
        <w:t xml:space="preserve">   </w:t>
      </w:r>
      <w:r>
        <w:rPr>
          <w:rFonts w:hint="eastAsia"/>
          <w:color w:val="auto"/>
          <w:sz w:val="24"/>
          <w:highlight w:val="none"/>
        </w:rPr>
        <w:t>日</w:t>
      </w:r>
    </w:p>
    <w:p w14:paraId="74A91697">
      <w:pPr>
        <w:spacing w:line="360" w:lineRule="auto"/>
        <w:jc w:val="center"/>
        <w:rPr>
          <w:b/>
          <w:bCs/>
          <w:color w:val="auto"/>
          <w:sz w:val="24"/>
          <w:highlight w:val="none"/>
        </w:rPr>
      </w:pPr>
    </w:p>
    <w:p w14:paraId="6B130091">
      <w:pPr>
        <w:spacing w:line="360" w:lineRule="auto"/>
        <w:jc w:val="center"/>
        <w:rPr>
          <w:b/>
          <w:bCs/>
          <w:color w:val="auto"/>
          <w:sz w:val="24"/>
          <w:highlight w:val="none"/>
        </w:rPr>
      </w:pPr>
    </w:p>
    <w:p w14:paraId="02D708F1">
      <w:pPr>
        <w:spacing w:line="360" w:lineRule="auto"/>
        <w:jc w:val="center"/>
        <w:rPr>
          <w:b/>
          <w:bCs/>
          <w:color w:val="auto"/>
          <w:sz w:val="24"/>
          <w:highlight w:val="none"/>
        </w:rPr>
      </w:pPr>
    </w:p>
    <w:p w14:paraId="4149560B">
      <w:pPr>
        <w:rPr>
          <w:color w:val="auto"/>
          <w:highlight w:val="none"/>
        </w:rPr>
      </w:pPr>
    </w:p>
    <w:p w14:paraId="6B8853A0">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ThhZjNlNjIyNWEwNmY0OWFkMWEwMGE4ZGY0OWMifQ=="/>
  </w:docVars>
  <w:rsids>
    <w:rsidRoot w:val="00A32803"/>
    <w:rsid w:val="002174C8"/>
    <w:rsid w:val="00221152"/>
    <w:rsid w:val="00632E9B"/>
    <w:rsid w:val="0065494F"/>
    <w:rsid w:val="00715C9B"/>
    <w:rsid w:val="00880BB1"/>
    <w:rsid w:val="00A32803"/>
    <w:rsid w:val="00D06616"/>
    <w:rsid w:val="00F121FA"/>
    <w:rsid w:val="023855E3"/>
    <w:rsid w:val="04FB310E"/>
    <w:rsid w:val="0DF84728"/>
    <w:rsid w:val="10F161C4"/>
    <w:rsid w:val="18633210"/>
    <w:rsid w:val="348B44EB"/>
    <w:rsid w:val="35D4789B"/>
    <w:rsid w:val="37DF30A4"/>
    <w:rsid w:val="3CF243E2"/>
    <w:rsid w:val="4A8B4F6F"/>
    <w:rsid w:val="60997A39"/>
    <w:rsid w:val="60B94B71"/>
    <w:rsid w:val="6BF16DF6"/>
    <w:rsid w:val="6DC72991"/>
    <w:rsid w:val="6F243DA8"/>
    <w:rsid w:val="72D51839"/>
    <w:rsid w:val="7A90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lang w:val="en-US" w:eastAsia="zh-CN"/>
    </w:rPr>
  </w:style>
  <w:style w:type="paragraph" w:styleId="3">
    <w:name w:val="Body Text"/>
    <w:basedOn w:val="1"/>
    <w:next w:val="1"/>
    <w:qFormat/>
    <w:uiPriority w:val="0"/>
    <w:pPr>
      <w:spacing w:after="120"/>
    </w:pPr>
  </w:style>
  <w:style w:type="paragraph" w:styleId="4">
    <w:name w:val="annotation text"/>
    <w:basedOn w:val="1"/>
    <w:qFormat/>
    <w:uiPriority w:val="99"/>
    <w:pPr>
      <w:adjustRightInd w:val="0"/>
      <w:spacing w:line="360" w:lineRule="atLeast"/>
      <w:jc w:val="left"/>
    </w:pPr>
    <w:rPr>
      <w:rFonts w:ascii="宋体" w:hAnsi="宋体"/>
      <w:kern w:val="0"/>
      <w:sz w:val="24"/>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4739</Words>
  <Characters>4799</Characters>
  <Lines>36</Lines>
  <Paragraphs>10</Paragraphs>
  <TotalTime>0</TotalTime>
  <ScaleCrop>false</ScaleCrop>
  <LinksUpToDate>false</LinksUpToDate>
  <CharactersWithSpaces>5219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2024-04-28T07:15:00Z</dcterms:created>
  <dc:creator>Administrator</dc:creator>
  <cp:lastModifiedBy>无法被捕捉的野生金皮卡</cp:lastModifiedBy>
  <dcterms:modified xsi:type="dcterms:W3CDTF">2025-06-03T01:37:52Z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F16A85A3B6084FAE9DC927714FB29999_13</vt:lpwstr>
  </property>
  <property fmtid="{D5CDD505-2E9C-101B-9397-08002B2CF9AE}" pid="4" name="KSOTemplateDocerSaveRecord">
    <vt:lpwstr>eyJoZGlkIjoiZGMwMThhZjNlNjIyNWEwNmY0OWFkMWEwMGE4ZGY0OWMiLCJ1c2VySWQiOiIzMDMxMDI4OTkifQ==</vt:lpwstr>
  </property>
</Properties>
</file>