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6ED63">
      <w:pPr>
        <w:spacing w:line="360" w:lineRule="auto"/>
        <w:jc w:val="center"/>
        <w:rPr>
          <w:rFonts w:hint="eastAsia" w:ascii="宋体" w:hAnsi="宋体"/>
          <w:b/>
          <w:color w:val="auto"/>
          <w:sz w:val="44"/>
          <w:szCs w:val="44"/>
          <w:highlight w:val="none"/>
          <w:lang w:eastAsia="zh-CN"/>
        </w:rPr>
      </w:pPr>
    </w:p>
    <w:p w14:paraId="1C50B82F">
      <w:pPr>
        <w:spacing w:line="360" w:lineRule="auto"/>
        <w:jc w:val="center"/>
        <w:rPr>
          <w:rFonts w:ascii="宋体" w:hAnsi="宋体"/>
          <w:color w:val="auto"/>
          <w:highlight w:val="none"/>
        </w:rPr>
      </w:pPr>
      <w:r>
        <w:rPr>
          <w:rFonts w:hint="eastAsia" w:ascii="宋体" w:hAnsi="宋体"/>
          <w:b/>
          <w:color w:val="auto"/>
          <w:sz w:val="44"/>
          <w:szCs w:val="44"/>
          <w:highlight w:val="none"/>
          <w:lang w:eastAsia="zh-CN"/>
        </w:rPr>
        <w:t>站前街道流花片区(流花、陈岗、侨苑社区)微改造项目全过程造价咨询服务</w:t>
      </w:r>
    </w:p>
    <w:p w14:paraId="2240256F">
      <w:pPr>
        <w:spacing w:line="360" w:lineRule="auto"/>
        <w:rPr>
          <w:rFonts w:ascii="宋体" w:hAnsi="宋体"/>
          <w:color w:val="auto"/>
          <w:highlight w:val="none"/>
        </w:rPr>
      </w:pPr>
    </w:p>
    <w:p w14:paraId="0485DF4D">
      <w:pPr>
        <w:spacing w:line="360" w:lineRule="auto"/>
        <w:rPr>
          <w:rFonts w:ascii="宋体" w:hAnsi="宋体"/>
          <w:color w:val="auto"/>
          <w:highlight w:val="none"/>
        </w:rPr>
      </w:pPr>
    </w:p>
    <w:p w14:paraId="72DD377A">
      <w:pPr>
        <w:spacing w:line="360" w:lineRule="auto"/>
        <w:rPr>
          <w:rFonts w:ascii="宋体" w:hAnsi="宋体"/>
          <w:color w:val="auto"/>
          <w:sz w:val="28"/>
          <w:szCs w:val="28"/>
          <w:highlight w:val="none"/>
        </w:rPr>
      </w:pPr>
    </w:p>
    <w:p w14:paraId="3503371A">
      <w:pPr>
        <w:spacing w:line="360" w:lineRule="auto"/>
        <w:rPr>
          <w:rFonts w:ascii="宋体" w:hAnsi="宋体"/>
          <w:color w:val="auto"/>
          <w:sz w:val="28"/>
          <w:highlight w:val="none"/>
        </w:rPr>
      </w:pPr>
    </w:p>
    <w:p w14:paraId="6F1E2C41">
      <w:pPr>
        <w:pStyle w:val="4"/>
        <w:rPr>
          <w:rFonts w:ascii="宋体" w:hAnsi="宋体"/>
          <w:color w:val="auto"/>
          <w:sz w:val="28"/>
          <w:highlight w:val="none"/>
        </w:rPr>
      </w:pPr>
    </w:p>
    <w:p w14:paraId="5F763A78"/>
    <w:p w14:paraId="3ED774EB">
      <w:pPr>
        <w:spacing w:line="360" w:lineRule="auto"/>
        <w:jc w:val="center"/>
        <w:rPr>
          <w:rFonts w:ascii="宋体" w:hAnsi="宋体"/>
          <w:b/>
          <w:color w:val="auto"/>
          <w:sz w:val="96"/>
          <w:szCs w:val="48"/>
          <w:highlight w:val="none"/>
        </w:rPr>
      </w:pPr>
      <w:r>
        <w:rPr>
          <w:rFonts w:hint="eastAsia" w:ascii="宋体" w:hAnsi="宋体"/>
          <w:b/>
          <w:color w:val="auto"/>
          <w:sz w:val="96"/>
          <w:szCs w:val="48"/>
          <w:highlight w:val="none"/>
        </w:rPr>
        <w:t>招标公告</w:t>
      </w:r>
    </w:p>
    <w:p w14:paraId="73CFF6AF">
      <w:pPr>
        <w:spacing w:line="360" w:lineRule="auto"/>
        <w:rPr>
          <w:rFonts w:ascii="宋体" w:hAnsi="宋体"/>
          <w:color w:val="auto"/>
          <w:highlight w:val="none"/>
        </w:rPr>
      </w:pPr>
    </w:p>
    <w:p w14:paraId="2F72B09F">
      <w:pPr>
        <w:spacing w:line="360" w:lineRule="auto"/>
        <w:rPr>
          <w:rFonts w:ascii="宋体" w:hAnsi="宋体"/>
          <w:color w:val="auto"/>
          <w:highlight w:val="none"/>
        </w:rPr>
      </w:pPr>
    </w:p>
    <w:p w14:paraId="670011AB">
      <w:pPr>
        <w:spacing w:line="360" w:lineRule="auto"/>
        <w:rPr>
          <w:rFonts w:ascii="宋体" w:hAnsi="宋体"/>
          <w:color w:val="auto"/>
          <w:highlight w:val="none"/>
        </w:rPr>
      </w:pPr>
    </w:p>
    <w:p w14:paraId="493F62FA">
      <w:pPr>
        <w:pStyle w:val="4"/>
        <w:spacing w:line="360" w:lineRule="auto"/>
        <w:rPr>
          <w:rFonts w:ascii="宋体" w:hAnsi="宋体"/>
          <w:color w:val="auto"/>
          <w:highlight w:val="none"/>
        </w:rPr>
      </w:pPr>
    </w:p>
    <w:p w14:paraId="793F95D3">
      <w:pPr>
        <w:spacing w:line="360" w:lineRule="auto"/>
        <w:rPr>
          <w:color w:val="auto"/>
          <w:highlight w:val="none"/>
        </w:rPr>
      </w:pPr>
    </w:p>
    <w:p w14:paraId="24069297">
      <w:pPr>
        <w:spacing w:line="360" w:lineRule="auto"/>
        <w:rPr>
          <w:rFonts w:ascii="宋体" w:hAnsi="宋体"/>
          <w:color w:val="auto"/>
          <w:highlight w:val="none"/>
        </w:rPr>
      </w:pPr>
    </w:p>
    <w:p w14:paraId="54297EAC">
      <w:pPr>
        <w:spacing w:line="360" w:lineRule="auto"/>
        <w:rPr>
          <w:rFonts w:ascii="宋体" w:hAnsi="宋体"/>
          <w:color w:val="auto"/>
          <w:highlight w:val="none"/>
        </w:rPr>
      </w:pPr>
    </w:p>
    <w:p w14:paraId="45DC40CF">
      <w:pPr>
        <w:spacing w:line="360" w:lineRule="auto"/>
        <w:rPr>
          <w:rFonts w:ascii="宋体" w:hAnsi="宋体"/>
          <w:color w:val="auto"/>
          <w:highlight w:val="none"/>
        </w:rPr>
      </w:pPr>
    </w:p>
    <w:p w14:paraId="30E50D5F">
      <w:pPr>
        <w:spacing w:line="360" w:lineRule="auto"/>
        <w:rPr>
          <w:rFonts w:ascii="宋体" w:hAnsi="宋体"/>
          <w:color w:val="auto"/>
          <w:highlight w:val="none"/>
        </w:rPr>
      </w:pPr>
    </w:p>
    <w:p w14:paraId="7AFE9938">
      <w:pPr>
        <w:spacing w:line="360" w:lineRule="auto"/>
        <w:ind w:left="1260" w:leftChars="600"/>
        <w:rPr>
          <w:rFonts w:hint="eastAsia" w:ascii="宋体" w:hAnsi="宋体" w:eastAsia="宋体"/>
          <w:b/>
          <w:bCs/>
          <w:color w:val="auto"/>
          <w:sz w:val="30"/>
          <w:szCs w:val="30"/>
          <w:highlight w:val="none"/>
          <w:lang w:eastAsia="zh-CN"/>
        </w:rPr>
      </w:pPr>
      <w:r>
        <w:rPr>
          <w:rFonts w:hint="eastAsia" w:ascii="宋体" w:hAnsi="宋体"/>
          <w:b/>
          <w:bCs/>
          <w:color w:val="auto"/>
          <w:sz w:val="30"/>
          <w:szCs w:val="30"/>
          <w:highlight w:val="none"/>
        </w:rPr>
        <w:t>招 标 单位 ：</w:t>
      </w:r>
      <w:r>
        <w:rPr>
          <w:rFonts w:hint="eastAsia" w:ascii="宋体" w:hAnsi="宋体"/>
          <w:b/>
          <w:bCs/>
          <w:color w:val="auto"/>
          <w:sz w:val="30"/>
          <w:szCs w:val="30"/>
          <w:highlight w:val="none"/>
          <w:lang w:eastAsia="zh-CN"/>
        </w:rPr>
        <w:t>广州市荔湾区人民政府站前街道办事处</w:t>
      </w:r>
    </w:p>
    <w:p w14:paraId="71FD3215">
      <w:pPr>
        <w:spacing w:line="360" w:lineRule="auto"/>
        <w:ind w:left="1260" w:leftChars="600"/>
        <w:rPr>
          <w:rFonts w:ascii="宋体" w:hAnsi="宋体"/>
          <w:b/>
          <w:bCs/>
          <w:color w:val="auto"/>
          <w:sz w:val="30"/>
          <w:szCs w:val="30"/>
          <w:highlight w:val="none"/>
        </w:rPr>
      </w:pPr>
      <w:r>
        <w:rPr>
          <w:rFonts w:hint="eastAsia" w:ascii="宋体" w:hAnsi="宋体"/>
          <w:b/>
          <w:bCs/>
          <w:color w:val="auto"/>
          <w:sz w:val="30"/>
          <w:szCs w:val="30"/>
          <w:highlight w:val="none"/>
        </w:rPr>
        <w:t xml:space="preserve">招标代理单位：广州市房实建设工程管理有限公司  </w:t>
      </w:r>
    </w:p>
    <w:p w14:paraId="18E61983">
      <w:pPr>
        <w:spacing w:line="360" w:lineRule="auto"/>
        <w:ind w:left="1260" w:leftChars="600"/>
        <w:rPr>
          <w:rFonts w:ascii="宋体" w:hAnsi="宋体"/>
          <w:b/>
          <w:bCs/>
          <w:color w:val="auto"/>
          <w:sz w:val="30"/>
          <w:szCs w:val="30"/>
          <w:highlight w:val="none"/>
          <w:lang w:val="zh-CN"/>
        </w:rPr>
      </w:pPr>
      <w:r>
        <w:rPr>
          <w:rFonts w:hint="eastAsia" w:ascii="宋体" w:hAnsi="宋体"/>
          <w:b/>
          <w:bCs/>
          <w:color w:val="auto"/>
          <w:sz w:val="30"/>
          <w:szCs w:val="30"/>
          <w:highlight w:val="none"/>
        </w:rPr>
        <w:t>日</w:t>
      </w:r>
      <w:r>
        <w:rPr>
          <w:rFonts w:ascii="宋体" w:hAnsi="宋体"/>
          <w:b/>
          <w:bCs/>
          <w:color w:val="auto"/>
          <w:sz w:val="30"/>
          <w:szCs w:val="30"/>
          <w:highlight w:val="none"/>
        </w:rPr>
        <w:t xml:space="preserve">   </w:t>
      </w:r>
      <w:r>
        <w:rPr>
          <w:rFonts w:hint="eastAsia" w:ascii="宋体" w:hAnsi="宋体"/>
          <w:b/>
          <w:bCs/>
          <w:color w:val="auto"/>
          <w:sz w:val="30"/>
          <w:szCs w:val="30"/>
          <w:highlight w:val="none"/>
        </w:rPr>
        <w:t xml:space="preserve">    期 ：</w:t>
      </w:r>
      <w:r>
        <w:rPr>
          <w:rFonts w:ascii="宋体" w:hAnsi="宋体"/>
          <w:b/>
          <w:bCs/>
          <w:color w:val="auto"/>
          <w:sz w:val="30"/>
          <w:szCs w:val="30"/>
          <w:highlight w:val="none"/>
          <w:u w:val="single"/>
        </w:rPr>
        <w:t xml:space="preserve"> </w:t>
      </w:r>
      <w:r>
        <w:rPr>
          <w:rFonts w:hint="eastAsia" w:ascii="宋体" w:hAnsi="宋体"/>
          <w:b/>
          <w:bCs/>
          <w:color w:val="auto"/>
          <w:sz w:val="30"/>
          <w:szCs w:val="30"/>
          <w:highlight w:val="none"/>
          <w:u w:val="single"/>
          <w:lang w:eastAsia="zh-CN"/>
        </w:rPr>
        <w:t>2025</w:t>
      </w:r>
      <w:r>
        <w:rPr>
          <w:rFonts w:hint="eastAsia" w:ascii="宋体" w:hAnsi="宋体"/>
          <w:b/>
          <w:bCs/>
          <w:color w:val="auto"/>
          <w:sz w:val="30"/>
          <w:szCs w:val="30"/>
          <w:highlight w:val="none"/>
        </w:rPr>
        <w:t>年</w:t>
      </w:r>
      <w:r>
        <w:rPr>
          <w:rFonts w:hint="eastAsia" w:ascii="宋体" w:hAnsi="宋体"/>
          <w:b/>
          <w:bCs/>
          <w:color w:val="auto"/>
          <w:sz w:val="30"/>
          <w:szCs w:val="30"/>
          <w:highlight w:val="none"/>
          <w:u w:val="single"/>
        </w:rPr>
        <w:t xml:space="preserve"> </w:t>
      </w:r>
      <w:r>
        <w:rPr>
          <w:rFonts w:hint="eastAsia" w:ascii="宋体" w:hAnsi="宋体"/>
          <w:b/>
          <w:bCs/>
          <w:color w:val="auto"/>
          <w:sz w:val="30"/>
          <w:szCs w:val="30"/>
          <w:highlight w:val="none"/>
          <w:u w:val="single"/>
          <w:lang w:val="en-US" w:eastAsia="zh-CN"/>
        </w:rPr>
        <w:t>5</w:t>
      </w:r>
      <w:r>
        <w:rPr>
          <w:rFonts w:hint="eastAsia" w:ascii="宋体" w:hAnsi="宋体"/>
          <w:b/>
          <w:bCs/>
          <w:color w:val="auto"/>
          <w:sz w:val="30"/>
          <w:szCs w:val="30"/>
          <w:highlight w:val="none"/>
          <w:u w:val="single"/>
        </w:rPr>
        <w:t xml:space="preserve"> </w:t>
      </w:r>
      <w:r>
        <w:rPr>
          <w:rFonts w:hint="eastAsia" w:ascii="宋体" w:hAnsi="宋体"/>
          <w:b/>
          <w:bCs/>
          <w:color w:val="auto"/>
          <w:sz w:val="30"/>
          <w:szCs w:val="30"/>
          <w:highlight w:val="none"/>
        </w:rPr>
        <w:t>月</w:t>
      </w:r>
    </w:p>
    <w:p w14:paraId="287798C3">
      <w:pPr>
        <w:spacing w:line="360" w:lineRule="auto"/>
        <w:jc w:val="center"/>
        <w:rPr>
          <w:rFonts w:eastAsia="黑体"/>
          <w:color w:val="auto"/>
          <w:sz w:val="28"/>
          <w:highlight w:val="none"/>
        </w:rPr>
      </w:pPr>
      <w:r>
        <w:rPr>
          <w:rFonts w:eastAsia="黑体"/>
          <w:color w:val="auto"/>
          <w:sz w:val="28"/>
          <w:highlight w:val="none"/>
        </w:rPr>
        <w:br w:type="page"/>
      </w:r>
    </w:p>
    <w:p w14:paraId="2A3E5E4A">
      <w:pPr>
        <w:spacing w:line="360" w:lineRule="auto"/>
        <w:jc w:val="center"/>
        <w:rPr>
          <w:rFonts w:hint="eastAsia" w:ascii="宋体" w:hAnsi="宋体" w:eastAsia="黑体"/>
          <w:b/>
          <w:color w:val="auto"/>
          <w:sz w:val="32"/>
          <w:szCs w:val="32"/>
          <w:highlight w:val="none"/>
          <w:lang w:eastAsia="zh-CN"/>
        </w:rPr>
      </w:pPr>
      <w:r>
        <w:rPr>
          <w:rFonts w:hint="eastAsia" w:ascii="宋体" w:hAnsi="宋体" w:eastAsia="黑体"/>
          <w:b/>
          <w:color w:val="auto"/>
          <w:sz w:val="32"/>
          <w:szCs w:val="32"/>
          <w:highlight w:val="none"/>
          <w:lang w:eastAsia="zh-CN"/>
        </w:rPr>
        <w:t>站前街道流花片区(流花、陈岗、侨苑社区)微改造项目</w:t>
      </w:r>
    </w:p>
    <w:p w14:paraId="16B21FF3">
      <w:pPr>
        <w:keepNext w:val="0"/>
        <w:keepLines w:val="0"/>
        <w:spacing w:before="0" w:after="0" w:line="360" w:lineRule="auto"/>
        <w:jc w:val="center"/>
        <w:rPr>
          <w:rFonts w:ascii="Times New Roman" w:hAnsi="Times New Roman"/>
          <w:color w:val="auto"/>
          <w:highlight w:val="none"/>
        </w:rPr>
      </w:pPr>
      <w:r>
        <w:rPr>
          <w:rFonts w:hint="eastAsia" w:ascii="宋体" w:hAnsi="宋体" w:eastAsia="黑体"/>
          <w:b/>
          <w:color w:val="auto"/>
          <w:sz w:val="32"/>
          <w:szCs w:val="32"/>
          <w:highlight w:val="none"/>
          <w:lang w:eastAsia="zh-CN"/>
        </w:rPr>
        <w:t>全过程造价咨询服务</w:t>
      </w:r>
      <w:r>
        <w:rPr>
          <w:rFonts w:ascii="宋体" w:hAnsi="宋体"/>
          <w:b/>
          <w:color w:val="auto"/>
          <w:sz w:val="32"/>
          <w:szCs w:val="32"/>
          <w:highlight w:val="none"/>
        </w:rPr>
        <w:t>招标公告</w:t>
      </w:r>
      <w:bookmarkStart w:id="0" w:name="_Toc514099623"/>
      <w:bookmarkStart w:id="1" w:name="_Toc511557025"/>
    </w:p>
    <w:p w14:paraId="191BCF65">
      <w:pPr>
        <w:pStyle w:val="4"/>
        <w:keepNext w:val="0"/>
        <w:keepLines w:val="0"/>
        <w:spacing w:before="0" w:after="0" w:line="360" w:lineRule="auto"/>
        <w:rPr>
          <w:rFonts w:ascii="Times New Roman" w:hAnsi="Times New Roman"/>
          <w:color w:val="auto"/>
          <w:highlight w:val="none"/>
        </w:rPr>
      </w:pPr>
      <w:r>
        <w:rPr>
          <w:rFonts w:ascii="Times New Roman" w:hAnsi="Times New Roman"/>
          <w:color w:val="auto"/>
          <w:highlight w:val="none"/>
        </w:rPr>
        <w:t>1. 招标条件</w:t>
      </w:r>
      <w:bookmarkEnd w:id="0"/>
      <w:bookmarkEnd w:id="1"/>
    </w:p>
    <w:p w14:paraId="38BEEBF7">
      <w:pPr>
        <w:spacing w:line="360" w:lineRule="auto"/>
        <w:ind w:firstLine="480" w:firstLineChars="200"/>
        <w:jc w:val="left"/>
        <w:rPr>
          <w:color w:val="auto"/>
          <w:highlight w:val="none"/>
        </w:rPr>
      </w:pPr>
      <w:bookmarkStart w:id="2" w:name="_Toc511557026"/>
      <w:bookmarkStart w:id="3" w:name="_Toc514099624"/>
      <w:r>
        <w:rPr>
          <w:rFonts w:hint="eastAsia" w:ascii="宋体" w:hAnsi="宋体" w:cs="宋体"/>
          <w:color w:val="auto"/>
          <w:sz w:val="24"/>
          <w:highlight w:val="none"/>
        </w:rPr>
        <w:t>本招标项目 站前街道流花片区(流花、陈岗、侨苑社区)微改造项目 已由荔发改投批【2024】55号批准建设，项目代码：2409-440103-04-01-208578，项目业主为广州市荔湾区人民政府站前街道办事处，建设资金来自 财政资金 （资金来源），项目出资比例为 100% ，招标人为 广州市荔湾区人民政府站前街道办事处。项目已具备招标条件，现对该项目的</w:t>
      </w:r>
      <w:r>
        <w:rPr>
          <w:rFonts w:hint="eastAsia" w:ascii="宋体" w:hAnsi="宋体" w:cs="宋体"/>
          <w:color w:val="auto"/>
          <w:sz w:val="24"/>
          <w:highlight w:val="none"/>
          <w:u w:val="single"/>
        </w:rPr>
        <w:t>全过程造价咨询服务</w:t>
      </w:r>
      <w:r>
        <w:rPr>
          <w:rFonts w:hint="eastAsia" w:ascii="宋体" w:hAnsi="宋体" w:cs="宋体"/>
          <w:color w:val="auto"/>
          <w:sz w:val="24"/>
          <w:highlight w:val="none"/>
        </w:rPr>
        <w:t>进行公开招标。</w:t>
      </w:r>
    </w:p>
    <w:p w14:paraId="392C7F43">
      <w:pPr>
        <w:pStyle w:val="4"/>
        <w:keepNext w:val="0"/>
        <w:keepLines w:val="0"/>
        <w:spacing w:before="0" w:after="0" w:line="360" w:lineRule="auto"/>
        <w:rPr>
          <w:rFonts w:ascii="Times New Roman" w:hAnsi="Times New Roman"/>
          <w:color w:val="auto"/>
          <w:highlight w:val="none"/>
        </w:rPr>
      </w:pPr>
    </w:p>
    <w:p w14:paraId="129B8125">
      <w:pPr>
        <w:pStyle w:val="4"/>
        <w:keepNext w:val="0"/>
        <w:keepLines w:val="0"/>
        <w:spacing w:before="0" w:after="0" w:line="360" w:lineRule="auto"/>
        <w:rPr>
          <w:rFonts w:ascii="Times New Roman" w:hAnsi="Times New Roman"/>
          <w:color w:val="auto"/>
          <w:highlight w:val="none"/>
        </w:rPr>
      </w:pPr>
      <w:r>
        <w:rPr>
          <w:rFonts w:ascii="Times New Roman" w:hAnsi="Times New Roman"/>
          <w:color w:val="auto"/>
          <w:highlight w:val="none"/>
        </w:rPr>
        <w:t>2. 项目概况与</w:t>
      </w:r>
      <w:r>
        <w:rPr>
          <w:rFonts w:hint="eastAsia" w:ascii="Times New Roman" w:hAnsi="Times New Roman"/>
          <w:color w:val="auto"/>
          <w:highlight w:val="none"/>
        </w:rPr>
        <w:t>招标范围</w:t>
      </w:r>
      <w:bookmarkEnd w:id="2"/>
      <w:bookmarkEnd w:id="3"/>
    </w:p>
    <w:p w14:paraId="0CB64F62">
      <w:pPr>
        <w:tabs>
          <w:tab w:val="left" w:pos="7513"/>
        </w:tabs>
        <w:spacing w:line="360" w:lineRule="auto"/>
        <w:ind w:firstLine="482" w:firstLineChars="200"/>
        <w:rPr>
          <w:b/>
          <w:color w:val="auto"/>
          <w:sz w:val="24"/>
          <w:szCs w:val="24"/>
          <w:highlight w:val="none"/>
        </w:rPr>
      </w:pPr>
      <w:r>
        <w:rPr>
          <w:rFonts w:hint="eastAsia"/>
          <w:b/>
          <w:color w:val="auto"/>
          <w:sz w:val="24"/>
          <w:szCs w:val="24"/>
          <w:highlight w:val="none"/>
        </w:rPr>
        <w:t>2.1招标项目概况</w:t>
      </w:r>
    </w:p>
    <w:p w14:paraId="45B2DBAB">
      <w:pPr>
        <w:tabs>
          <w:tab w:val="left" w:pos="7513"/>
        </w:tabs>
        <w:spacing w:line="360" w:lineRule="auto"/>
        <w:ind w:firstLine="426" w:firstLineChars="177"/>
        <w:rPr>
          <w:rFonts w:ascii="宋体" w:hAnsi="宋体" w:cs="宋体"/>
          <w:color w:val="auto"/>
          <w:sz w:val="24"/>
          <w:highlight w:val="none"/>
          <w:u w:val="single"/>
        </w:rPr>
      </w:pPr>
      <w:r>
        <w:rPr>
          <w:rFonts w:hint="eastAsia"/>
          <w:b/>
          <w:color w:val="auto"/>
          <w:sz w:val="24"/>
          <w:szCs w:val="24"/>
          <w:highlight w:val="none"/>
        </w:rPr>
        <w:t>2.1.1</w:t>
      </w:r>
      <w:r>
        <w:rPr>
          <w:rFonts w:hint="eastAsia"/>
          <w:color w:val="auto"/>
          <w:sz w:val="24"/>
          <w:szCs w:val="24"/>
          <w:highlight w:val="none"/>
        </w:rPr>
        <w:t>招标项目名称：</w:t>
      </w:r>
      <w:r>
        <w:rPr>
          <w:rFonts w:hint="eastAsia"/>
          <w:color w:val="auto"/>
          <w:sz w:val="24"/>
          <w:szCs w:val="24"/>
          <w:highlight w:val="none"/>
          <w:u w:val="single"/>
          <w:lang w:eastAsia="zh-CN"/>
        </w:rPr>
        <w:t>站前街道流花片区(流花、陈岗、侨苑社区)微改造项目全过程造价咨询服务。</w:t>
      </w:r>
    </w:p>
    <w:p w14:paraId="2A6C615E">
      <w:pPr>
        <w:tabs>
          <w:tab w:val="left" w:pos="7513"/>
        </w:tabs>
        <w:spacing w:line="360" w:lineRule="auto"/>
        <w:ind w:firstLine="426" w:firstLineChars="177"/>
        <w:rPr>
          <w:rFonts w:hint="eastAsia" w:eastAsia="宋体"/>
          <w:color w:val="auto"/>
          <w:sz w:val="24"/>
          <w:szCs w:val="24"/>
          <w:highlight w:val="none"/>
          <w:u w:val="single"/>
          <w:lang w:eastAsia="zh-CN"/>
        </w:rPr>
      </w:pPr>
      <w:r>
        <w:rPr>
          <w:rFonts w:hint="eastAsia"/>
          <w:b/>
          <w:color w:val="auto"/>
          <w:sz w:val="24"/>
          <w:szCs w:val="24"/>
          <w:highlight w:val="none"/>
        </w:rPr>
        <w:t>2.1.2</w:t>
      </w:r>
      <w:r>
        <w:rPr>
          <w:rFonts w:hint="eastAsia"/>
          <w:color w:val="auto"/>
          <w:sz w:val="24"/>
          <w:szCs w:val="24"/>
          <w:highlight w:val="none"/>
        </w:rPr>
        <w:t>建设地点：</w:t>
      </w:r>
      <w:r>
        <w:rPr>
          <w:rFonts w:hint="eastAsia"/>
          <w:color w:val="auto"/>
          <w:sz w:val="24"/>
          <w:szCs w:val="24"/>
          <w:highlight w:val="none"/>
          <w:u w:val="single"/>
        </w:rPr>
        <w:t>广州市荔湾区站前街流花片区（流花、陈岗、侨苑社区）范围内，北至站前路，南至流花路，西至广州西站，东至站前横路。紧邻和富鞋材广场、天马国际时装城、地一大道服装批发市场、广州流花展贸中心</w:t>
      </w:r>
      <w:r>
        <w:rPr>
          <w:rFonts w:hint="eastAsia"/>
          <w:color w:val="auto"/>
          <w:sz w:val="24"/>
          <w:szCs w:val="24"/>
          <w:highlight w:val="none"/>
          <w:u w:val="single"/>
          <w:lang w:eastAsia="zh-CN"/>
        </w:rPr>
        <w:t>。</w:t>
      </w:r>
    </w:p>
    <w:p w14:paraId="333FB4A4">
      <w:pPr>
        <w:tabs>
          <w:tab w:val="left" w:pos="7513"/>
        </w:tabs>
        <w:spacing w:line="360" w:lineRule="auto"/>
        <w:ind w:firstLine="426" w:firstLineChars="177"/>
        <w:rPr>
          <w:rFonts w:hint="eastAsia"/>
          <w:color w:val="auto"/>
          <w:sz w:val="24"/>
          <w:szCs w:val="24"/>
          <w:highlight w:val="none"/>
          <w:u w:val="single"/>
          <w:lang w:eastAsia="zh-CN"/>
        </w:rPr>
      </w:pPr>
      <w:r>
        <w:rPr>
          <w:rFonts w:hint="eastAsia"/>
          <w:b/>
          <w:bCs/>
          <w:color w:val="auto"/>
          <w:sz w:val="24"/>
          <w:szCs w:val="24"/>
          <w:highlight w:val="none"/>
        </w:rPr>
        <w:t>2.1.3</w:t>
      </w:r>
      <w:r>
        <w:rPr>
          <w:rFonts w:hint="eastAsia"/>
          <w:color w:val="auto"/>
          <w:sz w:val="24"/>
          <w:szCs w:val="24"/>
          <w:highlight w:val="none"/>
        </w:rPr>
        <w:t>工程建设规模：</w:t>
      </w:r>
      <w:r>
        <w:rPr>
          <w:rFonts w:hint="eastAsia"/>
          <w:color w:val="auto"/>
          <w:sz w:val="24"/>
          <w:szCs w:val="24"/>
          <w:highlight w:val="none"/>
          <w:u w:val="single"/>
          <w:lang w:eastAsia="zh-CN"/>
        </w:rPr>
        <w:t>本项目为站前街流花社区、陈岗社区、侨苑社区微改造项目，涉及站前街流花片区占地面积约 40.98 万 m2、居民户数约4793 户（其中，流花社区：占地面积约 19.91 万 m2、居民户数约 1372户；陈岗社区：占地面积约 8.48 万 m2、居民户数约 1376 户；侨苑社区：占地面积约 12.59 万 m2、居民户数约 2045 户），建筑面积约 38.2 万平方米，建筑栋数约 236 栋，人口约 14175 人，项目总投资 14990.56 万元。</w:t>
      </w:r>
    </w:p>
    <w:p w14:paraId="35494DC1">
      <w:pPr>
        <w:numPr>
          <w:ilvl w:val="-1"/>
          <w:numId w:val="0"/>
        </w:numPr>
        <w:tabs>
          <w:tab w:val="left" w:pos="7513"/>
        </w:tabs>
        <w:spacing w:line="360" w:lineRule="auto"/>
        <w:ind w:firstLine="480" w:firstLineChars="200"/>
        <w:rPr>
          <w:rFonts w:hint="eastAsia"/>
          <w:color w:val="auto"/>
          <w:sz w:val="24"/>
          <w:szCs w:val="24"/>
          <w:highlight w:val="none"/>
          <w:u w:val="single"/>
          <w:lang w:eastAsia="zh-CN"/>
        </w:rPr>
      </w:pPr>
      <w:r>
        <w:rPr>
          <w:rFonts w:hint="eastAsia"/>
          <w:color w:val="auto"/>
          <w:sz w:val="24"/>
          <w:szCs w:val="24"/>
          <w:highlight w:val="none"/>
          <w:u w:val="single"/>
          <w:lang w:eastAsia="zh-CN"/>
        </w:rPr>
        <w:t>主要改造内容：建筑房屋本体部分的楼道整改、外墙治理、三线整治（含强电迁改）、适老化设施改造、消防及供水设施改造等，以及公共空间部分的三线整治（含强电迁改）、破损道路修缮、围墙修缮等。本项目不涉及新建建筑，不涉及历史文化建筑保护，主要以现状建筑改造为主。</w:t>
      </w:r>
    </w:p>
    <w:p w14:paraId="298E5830">
      <w:pPr>
        <w:numPr>
          <w:ilvl w:val="-1"/>
          <w:numId w:val="0"/>
        </w:numPr>
        <w:tabs>
          <w:tab w:val="left" w:pos="7513"/>
        </w:tabs>
        <w:spacing w:line="360" w:lineRule="auto"/>
        <w:ind w:firstLine="482" w:firstLineChars="200"/>
        <w:rPr>
          <w:b/>
          <w:color w:val="auto"/>
          <w:sz w:val="24"/>
          <w:szCs w:val="24"/>
          <w:highlight w:val="none"/>
        </w:rPr>
      </w:pPr>
      <w:r>
        <w:rPr>
          <w:b/>
          <w:color w:val="auto"/>
          <w:sz w:val="24"/>
          <w:szCs w:val="24"/>
          <w:highlight w:val="none"/>
        </w:rPr>
        <w:t>2.2</w:t>
      </w:r>
      <w:r>
        <w:rPr>
          <w:rFonts w:hint="eastAsia"/>
          <w:b/>
          <w:color w:val="auto"/>
          <w:sz w:val="24"/>
          <w:szCs w:val="24"/>
          <w:highlight w:val="none"/>
        </w:rPr>
        <w:t>招标范围</w:t>
      </w:r>
    </w:p>
    <w:p w14:paraId="51658F78">
      <w:pPr>
        <w:shd w:val="clear" w:color="auto" w:fill="FFFFFF"/>
        <w:adjustRightInd w:val="0"/>
        <w:spacing w:line="360" w:lineRule="auto"/>
        <w:ind w:firstLine="422" w:firstLineChars="175"/>
        <w:jc w:val="left"/>
        <w:rPr>
          <w:color w:val="auto"/>
          <w:sz w:val="24"/>
          <w:szCs w:val="24"/>
          <w:highlight w:val="none"/>
        </w:rPr>
      </w:pPr>
      <w:r>
        <w:rPr>
          <w:rFonts w:hint="eastAsia"/>
          <w:b/>
          <w:color w:val="auto"/>
          <w:sz w:val="24"/>
          <w:szCs w:val="24"/>
          <w:highlight w:val="none"/>
        </w:rPr>
        <w:t>2.2.1</w:t>
      </w:r>
      <w:r>
        <w:rPr>
          <w:rFonts w:hint="eastAsia"/>
          <w:color w:val="auto"/>
          <w:sz w:val="24"/>
          <w:szCs w:val="24"/>
          <w:highlight w:val="none"/>
        </w:rPr>
        <w:t>标段划分：</w:t>
      </w:r>
      <w:r>
        <w:rPr>
          <w:rFonts w:hint="eastAsia"/>
          <w:color w:val="auto"/>
          <w:sz w:val="24"/>
          <w:szCs w:val="24"/>
          <w:highlight w:val="none"/>
          <w:u w:val="single"/>
        </w:rPr>
        <w:t>本项目共划分1个标段</w:t>
      </w:r>
    </w:p>
    <w:p w14:paraId="7983D3E9">
      <w:pPr>
        <w:spacing w:line="360" w:lineRule="auto"/>
        <w:ind w:firstLine="361" w:firstLineChars="150"/>
        <w:jc w:val="left"/>
        <w:rPr>
          <w:rFonts w:hint="eastAsia"/>
          <w:b/>
          <w:color w:val="auto"/>
          <w:sz w:val="24"/>
          <w:szCs w:val="24"/>
          <w:highlight w:val="none"/>
        </w:rPr>
      </w:pPr>
      <w:r>
        <w:rPr>
          <w:rFonts w:hint="eastAsia"/>
          <w:b/>
          <w:color w:val="auto"/>
          <w:sz w:val="24"/>
          <w:szCs w:val="24"/>
          <w:highlight w:val="none"/>
        </w:rPr>
        <w:t>2.2.2</w:t>
      </w:r>
      <w:bookmarkStart w:id="27" w:name="_GoBack"/>
      <w:r>
        <w:rPr>
          <w:rFonts w:hint="eastAsia"/>
          <w:b/>
          <w:color w:val="auto"/>
          <w:sz w:val="24"/>
          <w:szCs w:val="24"/>
          <w:highlight w:val="none"/>
        </w:rPr>
        <w:t>造价咨询服务目标</w:t>
      </w:r>
      <w:r>
        <w:rPr>
          <w:rFonts w:hint="eastAsia"/>
          <w:b/>
          <w:color w:val="auto"/>
          <w:sz w:val="24"/>
          <w:szCs w:val="24"/>
          <w:highlight w:val="none"/>
          <w:lang w:eastAsia="zh-CN"/>
        </w:rPr>
        <w:t>：</w:t>
      </w:r>
    </w:p>
    <w:p w14:paraId="2703A5E8">
      <w:pPr>
        <w:spacing w:line="360" w:lineRule="auto"/>
        <w:ind w:firstLine="361" w:firstLineChars="150"/>
        <w:jc w:val="left"/>
        <w:rPr>
          <w:rFonts w:hint="eastAsia" w:eastAsia="宋体"/>
          <w:b/>
          <w:color w:val="auto"/>
          <w:sz w:val="24"/>
          <w:szCs w:val="24"/>
          <w:highlight w:val="none"/>
          <w:lang w:eastAsia="zh-CN"/>
        </w:rPr>
      </w:pPr>
      <w:r>
        <w:rPr>
          <w:rFonts w:hint="eastAsia"/>
          <w:b/>
          <w:color w:val="auto"/>
          <w:sz w:val="24"/>
          <w:szCs w:val="24"/>
          <w:highlight w:val="none"/>
        </w:rPr>
        <w:t>总投资建安费不超过甲方招标控制价；预算、过程审核</w:t>
      </w:r>
      <w:r>
        <w:rPr>
          <w:rFonts w:hint="eastAsia"/>
          <w:b/>
          <w:color w:val="auto"/>
          <w:sz w:val="24"/>
          <w:szCs w:val="24"/>
          <w:highlight w:val="none"/>
          <w:lang w:eastAsia="zh-CN"/>
        </w:rPr>
        <w:t>、</w:t>
      </w:r>
      <w:r>
        <w:rPr>
          <w:rFonts w:hint="eastAsia"/>
          <w:b/>
          <w:color w:val="auto"/>
          <w:sz w:val="24"/>
          <w:szCs w:val="24"/>
          <w:highlight w:val="none"/>
          <w:lang w:val="en-US" w:eastAsia="zh-CN"/>
        </w:rPr>
        <w:t>结算</w:t>
      </w:r>
      <w:r>
        <w:rPr>
          <w:rFonts w:hint="eastAsia"/>
          <w:b/>
          <w:color w:val="auto"/>
          <w:sz w:val="24"/>
          <w:szCs w:val="24"/>
          <w:highlight w:val="none"/>
        </w:rPr>
        <w:t>等精度须在甲方控制目标范围以内，概算控制预算，预算控制结算；过程控制准确，杜绝出现进度款超付现象；项目按期、高质完成，同时能取得良好的社会效益、环境效益和经济效益</w:t>
      </w:r>
      <w:r>
        <w:rPr>
          <w:rFonts w:hint="eastAsia"/>
          <w:b/>
          <w:color w:val="auto"/>
          <w:sz w:val="24"/>
          <w:szCs w:val="24"/>
          <w:highlight w:val="none"/>
          <w:lang w:eastAsia="zh-CN"/>
        </w:rPr>
        <w:t>。</w:t>
      </w:r>
    </w:p>
    <w:bookmarkEnd w:id="27"/>
    <w:p w14:paraId="7A34865E">
      <w:pPr>
        <w:spacing w:line="360" w:lineRule="auto"/>
        <w:ind w:firstLine="420" w:firstLineChars="175"/>
        <w:jc w:val="left"/>
        <w:rPr>
          <w:rFonts w:cs="宋体"/>
          <w:color w:val="auto"/>
          <w:kern w:val="0"/>
          <w:sz w:val="24"/>
          <w:szCs w:val="24"/>
          <w:highlight w:val="none"/>
          <w:u w:val="single"/>
          <w:shd w:val="clear" w:color="auto" w:fill="FFFFFF"/>
        </w:rPr>
      </w:pPr>
      <w:r>
        <w:rPr>
          <w:rFonts w:hint="eastAsia" w:cs="宋体"/>
          <w:color w:val="auto"/>
          <w:kern w:val="0"/>
          <w:sz w:val="24"/>
          <w:szCs w:val="24"/>
          <w:highlight w:val="none"/>
          <w:u w:val="single"/>
          <w:shd w:val="clear" w:color="auto" w:fill="FFFFFF"/>
        </w:rPr>
        <w:t>具体按合同条款约定。</w:t>
      </w:r>
    </w:p>
    <w:p w14:paraId="6D97B701">
      <w:pPr>
        <w:pStyle w:val="16"/>
        <w:spacing w:line="360" w:lineRule="auto"/>
        <w:ind w:firstLine="480"/>
        <w:rPr>
          <w:rFonts w:ascii="宋体" w:hAnsi="宋体" w:cs="宋体"/>
          <w:color w:val="auto"/>
          <w:sz w:val="24"/>
          <w:szCs w:val="24"/>
          <w:highlight w:val="none"/>
        </w:rPr>
      </w:pPr>
      <w:r>
        <w:rPr>
          <w:rFonts w:hint="eastAsia"/>
          <w:b/>
          <w:color w:val="auto"/>
          <w:kern w:val="2"/>
          <w:sz w:val="24"/>
          <w:szCs w:val="24"/>
          <w:highlight w:val="none"/>
        </w:rPr>
        <w:t>2.2.3</w:t>
      </w:r>
      <w:r>
        <w:rPr>
          <w:rFonts w:hint="eastAsia" w:ascii="宋体" w:hAnsi="宋体" w:cs="宋体"/>
          <w:color w:val="auto"/>
          <w:sz w:val="24"/>
          <w:szCs w:val="24"/>
          <w:highlight w:val="none"/>
        </w:rPr>
        <w:t>质量标准：</w:t>
      </w:r>
      <w:r>
        <w:rPr>
          <w:rFonts w:hint="eastAsia" w:ascii="宋体" w:hAnsi="宋体" w:cs="宋体"/>
          <w:color w:val="auto"/>
          <w:sz w:val="24"/>
          <w:szCs w:val="24"/>
          <w:highlight w:val="none"/>
          <w:u w:val="single"/>
        </w:rPr>
        <w:t>工程造价咨询成果文件应</w:t>
      </w:r>
      <w:r>
        <w:rPr>
          <w:rFonts w:hint="eastAsia"/>
          <w:color w:val="auto"/>
          <w:kern w:val="2"/>
          <w:sz w:val="24"/>
          <w:szCs w:val="24"/>
          <w:highlight w:val="none"/>
          <w:u w:val="single"/>
        </w:rPr>
        <w:t>符合：《广东省建设工程造价管理规定》《建筑工程施工发包与承</w:t>
      </w:r>
      <w:r>
        <w:rPr>
          <w:rFonts w:hint="eastAsia" w:ascii="宋体" w:hAnsi="宋体" w:cs="宋体"/>
          <w:color w:val="auto"/>
          <w:sz w:val="24"/>
          <w:szCs w:val="24"/>
          <w:highlight w:val="none"/>
          <w:u w:val="single"/>
        </w:rPr>
        <w:t>包计价管理办法》（建设部第107号部令）、《广州市建筑工程造价技术规程》及国家现行相关法律、行政法规、部门规章、规范性文件、行业规定及广东省、广州市有关规定要求和相应的标准、规范、技术文件。</w:t>
      </w:r>
      <w:bookmarkStart w:id="4" w:name="_Hlk54344889"/>
    </w:p>
    <w:p w14:paraId="500BDE9C">
      <w:pPr>
        <w:pStyle w:val="16"/>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控制目标：</w:t>
      </w:r>
      <w:r>
        <w:rPr>
          <w:rFonts w:hint="eastAsia" w:ascii="宋体" w:hAnsi="宋体" w:cs="宋体"/>
          <w:color w:val="auto"/>
          <w:sz w:val="24"/>
          <w:highlight w:val="none"/>
          <w:u w:val="single"/>
        </w:rPr>
        <w:t>（1）进度目标：确保按工程进度需要及委托人要求提供造价咨询服务成果；（2）质量目标：造价编制或审核准确率控制在合同约定范围内；（3）投资目标：投资控制在上级主管部门批准的工程投资概算内，工程施工费结算不得超出施工图预算价或施工合同价（除委托人增加的指令变更外）。咨询人应以委托人的控制目标为基础，为项目投资控制做好咨询工作。具体按合同条款约定。</w:t>
      </w:r>
      <w:bookmarkEnd w:id="4"/>
    </w:p>
    <w:p w14:paraId="4975E7EF">
      <w:pPr>
        <w:widowControl/>
        <w:snapToGrid w:val="0"/>
        <w:spacing w:line="360" w:lineRule="auto"/>
        <w:ind w:firstLine="482" w:firstLineChars="200"/>
        <w:jc w:val="left"/>
        <w:rPr>
          <w:color w:val="auto"/>
          <w:sz w:val="24"/>
          <w:szCs w:val="24"/>
          <w:highlight w:val="none"/>
        </w:rPr>
      </w:pPr>
      <w:r>
        <w:rPr>
          <w:rFonts w:hint="eastAsia"/>
          <w:b/>
          <w:color w:val="auto"/>
          <w:sz w:val="24"/>
          <w:szCs w:val="24"/>
          <w:highlight w:val="none"/>
        </w:rPr>
        <w:t>2.2.4</w:t>
      </w:r>
      <w:r>
        <w:rPr>
          <w:rFonts w:hint="eastAsia"/>
          <w:color w:val="auto"/>
          <w:sz w:val="24"/>
          <w:szCs w:val="24"/>
          <w:highlight w:val="none"/>
        </w:rPr>
        <w:t>服务期限：</w:t>
      </w:r>
      <w:r>
        <w:rPr>
          <w:rFonts w:hint="eastAsia"/>
          <w:color w:val="auto"/>
          <w:sz w:val="24"/>
          <w:szCs w:val="24"/>
          <w:highlight w:val="none"/>
          <w:u w:val="single"/>
        </w:rPr>
        <w:t>自中标通知书发出之日起至咨询人完成合同约定的全部服务内容时止</w:t>
      </w:r>
      <w:r>
        <w:rPr>
          <w:rFonts w:hint="eastAsia" w:ascii="宋体" w:hAnsi="宋体" w:cs="宋体"/>
          <w:color w:val="auto"/>
          <w:spacing w:val="-2"/>
          <w:sz w:val="24"/>
          <w:szCs w:val="24"/>
          <w:highlight w:val="none"/>
        </w:rPr>
        <w:t>。</w:t>
      </w:r>
    </w:p>
    <w:p w14:paraId="6FAF1B40">
      <w:pPr>
        <w:tabs>
          <w:tab w:val="left" w:pos="7513"/>
        </w:tabs>
        <w:spacing w:line="360" w:lineRule="auto"/>
        <w:ind w:firstLine="482" w:firstLineChars="200"/>
        <w:rPr>
          <w:rFonts w:ascii="宋体" w:hAnsi="宋体" w:cs="宋体"/>
          <w:color w:val="auto"/>
          <w:kern w:val="0"/>
          <w:sz w:val="24"/>
          <w:szCs w:val="24"/>
          <w:highlight w:val="none"/>
          <w:u w:val="single"/>
        </w:rPr>
      </w:pPr>
      <w:r>
        <w:rPr>
          <w:rFonts w:hint="eastAsia"/>
          <w:b/>
          <w:color w:val="auto"/>
          <w:sz w:val="24"/>
          <w:szCs w:val="24"/>
          <w:highlight w:val="none"/>
        </w:rPr>
        <w:t>2.2.5</w:t>
      </w:r>
      <w:r>
        <w:rPr>
          <w:rFonts w:hint="eastAsia"/>
          <w:color w:val="auto"/>
          <w:sz w:val="24"/>
          <w:szCs w:val="24"/>
          <w:highlight w:val="none"/>
        </w:rPr>
        <w:t>最高投标限价:</w:t>
      </w:r>
      <w:r>
        <w:rPr>
          <w:color w:val="auto"/>
          <w:sz w:val="24"/>
          <w:szCs w:val="24"/>
          <w:highlight w:val="none"/>
        </w:rPr>
        <w:t xml:space="preserve"> </w:t>
      </w:r>
      <w:r>
        <w:rPr>
          <w:rFonts w:hint="eastAsia"/>
          <w:color w:val="auto"/>
          <w:sz w:val="24"/>
          <w:szCs w:val="24"/>
          <w:highlight w:val="none"/>
          <w:u w:val="single"/>
          <w:lang w:val="en-US" w:eastAsia="zh-CN"/>
        </w:rPr>
        <w:t>102.59</w:t>
      </w:r>
      <w:r>
        <w:rPr>
          <w:rFonts w:hint="eastAsia"/>
          <w:color w:val="auto"/>
          <w:sz w:val="24"/>
          <w:szCs w:val="24"/>
          <w:highlight w:val="none"/>
          <w:u w:val="single"/>
        </w:rPr>
        <w:t>万元</w:t>
      </w:r>
      <w:r>
        <w:rPr>
          <w:rFonts w:hint="eastAsia" w:ascii="宋体" w:hAnsi="宋体" w:cs="宋体"/>
          <w:color w:val="auto"/>
          <w:spacing w:val="-2"/>
          <w:sz w:val="24"/>
          <w:szCs w:val="24"/>
          <w:highlight w:val="none"/>
        </w:rPr>
        <w:t>。</w:t>
      </w:r>
    </w:p>
    <w:p w14:paraId="51427C9E">
      <w:pPr>
        <w:pStyle w:val="16"/>
        <w:spacing w:line="360" w:lineRule="auto"/>
        <w:ind w:firstLine="480"/>
        <w:rPr>
          <w:rFonts w:ascii="宋体" w:hAnsi="宋体" w:cs="宋体"/>
          <w:color w:val="auto"/>
          <w:sz w:val="24"/>
          <w:highlight w:val="none"/>
        </w:rPr>
      </w:pPr>
      <w:r>
        <w:rPr>
          <w:rFonts w:hint="eastAsia" w:ascii="宋体" w:hAnsi="宋体" w:cs="宋体"/>
          <w:color w:val="auto"/>
          <w:sz w:val="24"/>
          <w:highlight w:val="none"/>
        </w:rPr>
        <w:t>注：投标人报价不得超过上述最高投标限价或各分区最高投标限价，超过最高投标限价的为无效标书。</w:t>
      </w:r>
    </w:p>
    <w:p w14:paraId="51F8E9A1">
      <w:pPr>
        <w:pStyle w:val="16"/>
        <w:spacing w:line="360" w:lineRule="auto"/>
        <w:ind w:firstLine="480"/>
        <w:rPr>
          <w:rFonts w:ascii="宋体" w:hAnsi="宋体" w:cs="宋体"/>
          <w:color w:val="auto"/>
          <w:sz w:val="24"/>
          <w:highlight w:val="none"/>
        </w:rPr>
      </w:pPr>
    </w:p>
    <w:p w14:paraId="0A4AD797">
      <w:pPr>
        <w:wordWrap w:val="0"/>
        <w:spacing w:line="360" w:lineRule="auto"/>
        <w:rPr>
          <w:rFonts w:eastAsia="黑体"/>
          <w:b/>
          <w:color w:val="auto"/>
          <w:kern w:val="0"/>
          <w:sz w:val="32"/>
          <w:szCs w:val="20"/>
          <w:highlight w:val="none"/>
        </w:rPr>
      </w:pPr>
      <w:r>
        <w:rPr>
          <w:rFonts w:eastAsia="黑体"/>
          <w:b/>
          <w:color w:val="auto"/>
          <w:kern w:val="0"/>
          <w:sz w:val="32"/>
          <w:szCs w:val="20"/>
          <w:highlight w:val="none"/>
        </w:rPr>
        <w:t>3. 投标人资格要求</w:t>
      </w:r>
    </w:p>
    <w:p w14:paraId="6672AD4B">
      <w:pPr>
        <w:pStyle w:val="11"/>
        <w:spacing w:after="0" w:line="360" w:lineRule="auto"/>
        <w:ind w:firstLine="480" w:firstLineChars="200"/>
        <w:rPr>
          <w:rFonts w:ascii="宋体" w:hAnsi="宋体"/>
          <w:color w:val="auto"/>
          <w:sz w:val="24"/>
          <w:highlight w:val="none"/>
        </w:rPr>
      </w:pPr>
      <w:bookmarkStart w:id="5" w:name="_Toc514099626"/>
      <w:bookmarkStart w:id="6" w:name="_Toc511557028"/>
      <w:r>
        <w:rPr>
          <w:rFonts w:hint="eastAsia" w:ascii="宋体" w:hAnsi="宋体"/>
          <w:color w:val="auto"/>
          <w:sz w:val="24"/>
          <w:highlight w:val="none"/>
        </w:rPr>
        <w:t>3.1投标人具有独立法人资格，持有工商行政管理部门核发的法人营业执照或事业单位登记管理部门核发的事业单位法人证书，按国家法律经营。</w:t>
      </w:r>
    </w:p>
    <w:p w14:paraId="7D23893C">
      <w:pPr>
        <w:pStyle w:val="11"/>
        <w:spacing w:after="0" w:line="360" w:lineRule="auto"/>
        <w:ind w:firstLine="482" w:firstLineChars="200"/>
        <w:rPr>
          <w:color w:val="auto"/>
          <w:highlight w:val="none"/>
        </w:rPr>
      </w:pPr>
      <w:r>
        <w:rPr>
          <w:rFonts w:hint="eastAsia" w:ascii="宋体" w:hAnsi="宋体" w:cs="宋体"/>
          <w:b/>
          <w:color w:val="auto"/>
          <w:sz w:val="24"/>
          <w:highlight w:val="none"/>
          <w:u w:val="single"/>
          <w:lang w:bidi="ar"/>
        </w:rPr>
        <w:t>香港企业独立参加投标的，须在广东省住房和城乡建设主管部门备案且备案</w:t>
      </w:r>
      <w:r>
        <w:rPr>
          <w:rFonts w:hint="eastAsia" w:ascii="宋体" w:hAnsi="宋体" w:cs="宋体"/>
          <w:b/>
          <w:color w:val="auto"/>
          <w:sz w:val="24"/>
          <w:highlight w:val="none"/>
          <w:u w:val="single"/>
          <w:lang w:eastAsia="zh-CN" w:bidi="ar"/>
        </w:rPr>
        <w:t>。</w:t>
      </w:r>
      <w:r>
        <w:rPr>
          <w:rFonts w:hint="eastAsia" w:ascii="宋体" w:hAnsi="宋体" w:cs="宋体"/>
          <w:b/>
          <w:bCs/>
          <w:color w:val="auto"/>
          <w:szCs w:val="21"/>
          <w:highlight w:val="none"/>
          <w:u w:val="single"/>
        </w:rPr>
        <w:t>（</w:t>
      </w:r>
      <w:r>
        <w:rPr>
          <w:rFonts w:hint="eastAsia" w:ascii="宋体" w:hAnsi="宋体" w:cs="宋体"/>
          <w:b/>
          <w:color w:val="auto"/>
          <w:sz w:val="24"/>
          <w:highlight w:val="none"/>
          <w:u w:val="single"/>
          <w:lang w:bidi="ar"/>
        </w:rPr>
        <w:t>香港企业备案的业务范围依据《广东省住房和城乡建设厅关于印发香港工程建设咨询企业和专业人士在粤港澳大湾区内地城市开业执业试点管理暂行办法的通知》（粤建规范〔2020〕1号）确定。</w:t>
      </w:r>
      <w:r>
        <w:rPr>
          <w:rFonts w:hint="eastAsia" w:ascii="宋体" w:hAnsi="宋体" w:cs="宋体"/>
          <w:b/>
          <w:bCs/>
          <w:color w:val="auto"/>
          <w:szCs w:val="21"/>
          <w:highlight w:val="none"/>
          <w:u w:val="single"/>
        </w:rPr>
        <w:t>）</w:t>
      </w:r>
    </w:p>
    <w:p w14:paraId="7CA8C2D6">
      <w:pPr>
        <w:topLinePunct/>
        <w:spacing w:line="360" w:lineRule="auto"/>
        <w:ind w:firstLine="480" w:firstLineChars="200"/>
        <w:rPr>
          <w:rFonts w:ascii="宋体" w:hAnsi="宋体" w:cs="宋体"/>
          <w:b/>
          <w:color w:val="auto"/>
          <w:sz w:val="24"/>
          <w:szCs w:val="24"/>
          <w:highlight w:val="none"/>
          <w:u w:val="single"/>
          <w:lang w:bidi="ar"/>
        </w:rPr>
      </w:pPr>
      <w:r>
        <w:rPr>
          <w:rFonts w:ascii="宋体" w:hAnsi="宋体"/>
          <w:bCs/>
          <w:color w:val="auto"/>
          <w:sz w:val="24"/>
          <w:szCs w:val="24"/>
          <w:highlight w:val="none"/>
          <w:u w:val="single"/>
        </w:rPr>
        <w:t>3.2</w:t>
      </w:r>
      <w:r>
        <w:rPr>
          <w:rFonts w:hint="eastAsia" w:ascii="宋体" w:hAnsi="宋体"/>
          <w:bCs/>
          <w:color w:val="auto"/>
          <w:sz w:val="24"/>
          <w:szCs w:val="24"/>
          <w:highlight w:val="none"/>
          <w:u w:val="single"/>
        </w:rPr>
        <w:t>拟委派的项目负责人须具有有效的注册造价工程师或注册一级造价工程师资格（注册执业单位须与投标单位一致）。</w:t>
      </w:r>
      <w:r>
        <w:rPr>
          <w:rFonts w:hint="eastAsia" w:ascii="宋体" w:hAnsi="宋体" w:cs="宋体"/>
          <w:b/>
          <w:bCs/>
          <w:color w:val="auto"/>
          <w:sz w:val="24"/>
          <w:highlight w:val="none"/>
        </w:rPr>
        <w:t>若拟委派的项目负责人为香港专业人士</w:t>
      </w:r>
      <w:r>
        <w:rPr>
          <w:rFonts w:hint="eastAsia" w:ascii="宋体" w:hAnsi="宋体" w:cs="宋体"/>
          <w:b/>
          <w:bCs/>
          <w:color w:val="auto"/>
          <w:sz w:val="24"/>
          <w:szCs w:val="24"/>
          <w:highlight w:val="none"/>
          <w:u w:val="single"/>
        </w:rPr>
        <w:t>，则</w:t>
      </w:r>
      <w:r>
        <w:rPr>
          <w:rFonts w:hint="eastAsia" w:ascii="宋体" w:hAnsi="宋体" w:cs="宋体"/>
          <w:b/>
          <w:bCs/>
          <w:color w:val="auto"/>
          <w:sz w:val="24"/>
          <w:szCs w:val="24"/>
          <w:highlight w:val="none"/>
          <w:u w:val="single"/>
          <w:lang w:bidi="ar"/>
        </w:rPr>
        <w:t>备案的业务范围相当于</w:t>
      </w:r>
      <w:r>
        <w:rPr>
          <w:rFonts w:hint="eastAsia" w:ascii="宋体" w:hAnsi="宋体" w:cs="宋体"/>
          <w:b/>
          <w:bCs/>
          <w:color w:val="auto"/>
          <w:sz w:val="24"/>
          <w:szCs w:val="24"/>
          <w:highlight w:val="none"/>
          <w:u w:val="single"/>
        </w:rPr>
        <w:t>一级注册造价工程师</w:t>
      </w:r>
      <w:r>
        <w:rPr>
          <w:rFonts w:hint="eastAsia" w:ascii="宋体" w:hAnsi="宋体" w:cs="宋体"/>
          <w:b/>
          <w:bCs/>
          <w:color w:val="auto"/>
          <w:sz w:val="24"/>
          <w:szCs w:val="24"/>
          <w:highlight w:val="none"/>
          <w:u w:val="single"/>
          <w:lang w:bidi="ar"/>
        </w:rPr>
        <w:t>。</w:t>
      </w:r>
      <w:r>
        <w:rPr>
          <w:rFonts w:hint="eastAsia" w:ascii="宋体" w:hAnsi="宋体" w:cs="宋体"/>
          <w:b/>
          <w:color w:val="auto"/>
          <w:sz w:val="24"/>
          <w:szCs w:val="24"/>
          <w:highlight w:val="none"/>
          <w:u w:val="single"/>
          <w:lang w:bidi="ar"/>
        </w:rPr>
        <w:t>香港专业人士的备案业务范围依据《广东省住房和城乡建设厅关于印发香港工程建设咨询企业和专业人士在粤港澳大湾区内地城市开业执业试点管理暂行办法的通知》（粤建规范〔2020〕1号）确定。</w:t>
      </w:r>
    </w:p>
    <w:p w14:paraId="21D4F469">
      <w:pPr>
        <w:spacing w:line="360" w:lineRule="auto"/>
        <w:ind w:firstLine="480" w:firstLineChars="200"/>
        <w:rPr>
          <w:rFonts w:ascii="宋体" w:hAnsi="宋体"/>
          <w:bCs/>
          <w:color w:val="auto"/>
          <w:sz w:val="24"/>
          <w:szCs w:val="24"/>
          <w:highlight w:val="none"/>
          <w:u w:val="single"/>
        </w:rPr>
      </w:pPr>
      <w:r>
        <w:rPr>
          <w:rFonts w:hint="eastAsia" w:ascii="宋体" w:hAnsi="宋体"/>
          <w:bCs/>
          <w:color w:val="auto"/>
          <w:sz w:val="24"/>
          <w:szCs w:val="24"/>
          <w:highlight w:val="none"/>
          <w:u w:val="single"/>
        </w:rPr>
        <w:t>注：有效的注册造价工程师指根据原人事部、原建设部发布的《造价工程师执业资格制度暂行规定》（人发〔1996〕77号）取得的造价工程师执业资格，并经注册且在有效期内；有效的注册一级造价工程师资格指根据住房和城乡建设部、交通运输部、水利部、人力资源和社会保障部发布的《造价工程师职业资格制度规定》《造价工程师职业资格考试实施办法》（建人〔2018〕67号）取得的一级造价工程师职业资格，并经注册且在有效期内。</w:t>
      </w:r>
    </w:p>
    <w:p w14:paraId="2F096FEE">
      <w:pPr>
        <w:spacing w:line="360" w:lineRule="auto"/>
        <w:ind w:firstLine="420"/>
        <w:rPr>
          <w:rFonts w:ascii="宋体" w:hAnsi="宋体"/>
          <w:bCs/>
          <w:color w:val="auto"/>
          <w:sz w:val="24"/>
          <w:szCs w:val="24"/>
          <w:highlight w:val="none"/>
          <w:u w:val="single"/>
        </w:rPr>
      </w:pPr>
      <w:r>
        <w:rPr>
          <w:rFonts w:ascii="宋体" w:hAnsi="宋体"/>
          <w:bCs/>
          <w:color w:val="auto"/>
          <w:sz w:val="24"/>
          <w:szCs w:val="24"/>
          <w:highlight w:val="none"/>
          <w:u w:val="single"/>
        </w:rPr>
        <w:t>3.3</w:t>
      </w:r>
      <w:r>
        <w:rPr>
          <w:rFonts w:hint="eastAsia" w:ascii="宋体" w:hAnsi="宋体"/>
          <w:bCs/>
          <w:color w:val="auto"/>
          <w:sz w:val="24"/>
          <w:szCs w:val="24"/>
          <w:highlight w:val="none"/>
          <w:u w:val="single"/>
        </w:rPr>
        <w:t>投标人自20</w:t>
      </w:r>
      <w:r>
        <w:rPr>
          <w:rFonts w:hint="eastAsia" w:ascii="宋体" w:hAnsi="宋体"/>
          <w:bCs/>
          <w:color w:val="auto"/>
          <w:sz w:val="24"/>
          <w:szCs w:val="24"/>
          <w:highlight w:val="none"/>
          <w:u w:val="single"/>
          <w:lang w:val="en-US" w:eastAsia="zh-CN"/>
        </w:rPr>
        <w:t>20</w:t>
      </w:r>
      <w:r>
        <w:rPr>
          <w:rFonts w:hint="eastAsia" w:ascii="宋体" w:hAnsi="宋体"/>
          <w:bCs/>
          <w:color w:val="auto"/>
          <w:sz w:val="24"/>
          <w:szCs w:val="24"/>
          <w:highlight w:val="none"/>
          <w:u w:val="single"/>
        </w:rPr>
        <w:t>年1月 1 日至今承接过一项投资额</w:t>
      </w:r>
      <w:r>
        <w:rPr>
          <w:rFonts w:hint="eastAsia" w:ascii="宋体" w:hAnsi="宋体"/>
          <w:bCs/>
          <w:color w:val="auto"/>
          <w:sz w:val="24"/>
          <w:szCs w:val="24"/>
          <w:highlight w:val="none"/>
          <w:u w:val="single"/>
          <w:lang w:val="en-US" w:eastAsia="zh-CN"/>
        </w:rPr>
        <w:t>8000万</w:t>
      </w:r>
      <w:r>
        <w:rPr>
          <w:rFonts w:hint="eastAsia" w:ascii="宋体" w:hAnsi="宋体"/>
          <w:bCs/>
          <w:color w:val="auto"/>
          <w:sz w:val="24"/>
          <w:szCs w:val="24"/>
          <w:highlight w:val="none"/>
          <w:u w:val="single"/>
        </w:rPr>
        <w:t>元（含本数）人民币以上造价咨询业绩。</w:t>
      </w:r>
    </w:p>
    <w:p w14:paraId="4EAACE29">
      <w:pPr>
        <w:spacing w:line="360" w:lineRule="auto"/>
        <w:ind w:firstLine="420"/>
        <w:rPr>
          <w:rFonts w:ascii="宋体" w:hAnsi="宋体"/>
          <w:bCs/>
          <w:color w:val="auto"/>
          <w:sz w:val="24"/>
          <w:szCs w:val="24"/>
          <w:highlight w:val="none"/>
          <w:u w:val="single"/>
        </w:rPr>
      </w:pPr>
      <w:r>
        <w:rPr>
          <w:rFonts w:hint="eastAsia" w:ascii="宋体" w:hAnsi="宋体"/>
          <w:bCs/>
          <w:color w:val="auto"/>
          <w:sz w:val="24"/>
          <w:szCs w:val="24"/>
          <w:highlight w:val="none"/>
          <w:u w:val="single"/>
        </w:rPr>
        <w:t>备注：需同时提供造价咨询合同、经业主或委托方确认的造价咨询成果文件等证明资料。造价咨询成果文件可以是经业主确认的咨询报告、定案表、业主评价意见表等，时间、投资额均以造价咨询合同为准。所提供资料内容须满足评审要求。</w:t>
      </w:r>
    </w:p>
    <w:p w14:paraId="76A696FF">
      <w:pPr>
        <w:spacing w:line="360" w:lineRule="auto"/>
        <w:ind w:firstLine="420"/>
        <w:rPr>
          <w:rFonts w:ascii="宋体" w:hAnsi="宋体"/>
          <w:bCs/>
          <w:color w:val="auto"/>
          <w:sz w:val="24"/>
          <w:szCs w:val="24"/>
          <w:highlight w:val="none"/>
          <w:u w:val="single"/>
        </w:rPr>
      </w:pPr>
      <w:r>
        <w:rPr>
          <w:rFonts w:hint="eastAsia" w:ascii="宋体" w:hAnsi="宋体"/>
          <w:bCs/>
          <w:color w:val="auto"/>
          <w:sz w:val="24"/>
          <w:szCs w:val="24"/>
          <w:highlight w:val="none"/>
          <w:u w:val="single"/>
        </w:rPr>
        <w:t>3.</w:t>
      </w:r>
      <w:r>
        <w:rPr>
          <w:rFonts w:ascii="宋体" w:hAnsi="宋体"/>
          <w:bCs/>
          <w:color w:val="auto"/>
          <w:sz w:val="24"/>
          <w:szCs w:val="24"/>
          <w:highlight w:val="none"/>
          <w:u w:val="single"/>
        </w:rPr>
        <w:t>4</w:t>
      </w:r>
      <w:r>
        <w:rPr>
          <w:rFonts w:hint="eastAsia" w:ascii="宋体" w:hAnsi="宋体"/>
          <w:bCs/>
          <w:color w:val="auto"/>
          <w:sz w:val="24"/>
          <w:szCs w:val="24"/>
          <w:highlight w:val="none"/>
          <w:u w:val="single"/>
        </w:rPr>
        <w:t>本次招标不接受联合体投标。</w:t>
      </w:r>
    </w:p>
    <w:p w14:paraId="74A5DD76">
      <w:pPr>
        <w:spacing w:line="360" w:lineRule="auto"/>
        <w:ind w:firstLine="480" w:firstLineChars="200"/>
        <w:rPr>
          <w:rFonts w:ascii="宋体" w:hAnsi="宋体"/>
          <w:bCs/>
          <w:color w:val="auto"/>
          <w:sz w:val="24"/>
          <w:szCs w:val="24"/>
          <w:highlight w:val="none"/>
          <w:u w:val="single"/>
        </w:rPr>
      </w:pPr>
      <w:r>
        <w:rPr>
          <w:rFonts w:hint="eastAsia" w:ascii="宋体" w:hAnsi="宋体"/>
          <w:bCs/>
          <w:color w:val="auto"/>
          <w:sz w:val="24"/>
          <w:szCs w:val="24"/>
          <w:highlight w:val="none"/>
          <w:u w:val="single"/>
        </w:rPr>
        <w:t>3.</w:t>
      </w:r>
      <w:r>
        <w:rPr>
          <w:rFonts w:ascii="宋体" w:hAnsi="宋体"/>
          <w:bCs/>
          <w:color w:val="auto"/>
          <w:sz w:val="24"/>
          <w:szCs w:val="24"/>
          <w:highlight w:val="none"/>
          <w:u w:val="single"/>
        </w:rPr>
        <w:t>5</w:t>
      </w:r>
      <w:r>
        <w:rPr>
          <w:rFonts w:hint="eastAsia" w:ascii="宋体" w:hAnsi="宋体"/>
          <w:bCs/>
          <w:color w:val="auto"/>
          <w:sz w:val="24"/>
          <w:szCs w:val="24"/>
          <w:highlight w:val="none"/>
          <w:u w:val="single"/>
        </w:rPr>
        <w:t xml:space="preserve"> 其他要求：</w:t>
      </w:r>
    </w:p>
    <w:p w14:paraId="2C1218F6">
      <w:pPr>
        <w:spacing w:line="360" w:lineRule="auto"/>
        <w:ind w:firstLine="480" w:firstLineChars="200"/>
        <w:rPr>
          <w:bCs/>
          <w:color w:val="auto"/>
          <w:sz w:val="24"/>
          <w:szCs w:val="24"/>
          <w:highlight w:val="none"/>
          <w:u w:val="single"/>
        </w:rPr>
      </w:pPr>
      <w:r>
        <w:rPr>
          <w:rFonts w:ascii="宋体" w:hAnsi="宋体"/>
          <w:bCs/>
          <w:color w:val="auto"/>
          <w:sz w:val="24"/>
          <w:szCs w:val="24"/>
          <w:highlight w:val="none"/>
        </w:rPr>
        <w:t>3.5.1</w:t>
      </w:r>
      <w:r>
        <w:rPr>
          <w:bCs/>
          <w:color w:val="auto"/>
          <w:sz w:val="24"/>
          <w:szCs w:val="24"/>
          <w:highlight w:val="none"/>
          <w:u w:val="single"/>
        </w:rPr>
        <w:t>投标人已按规定格式签名盖章《投标人声明》（格式见招标公告附件一）；</w:t>
      </w:r>
    </w:p>
    <w:p w14:paraId="75EE61A9">
      <w:pPr>
        <w:spacing w:line="360" w:lineRule="auto"/>
        <w:ind w:firstLine="480" w:firstLineChars="200"/>
        <w:rPr>
          <w:bCs/>
          <w:color w:val="auto"/>
          <w:sz w:val="24"/>
          <w:szCs w:val="24"/>
          <w:highlight w:val="none"/>
          <w:u w:val="single"/>
        </w:rPr>
      </w:pPr>
      <w:r>
        <w:rPr>
          <w:rFonts w:ascii="宋体" w:hAnsi="宋体"/>
          <w:bCs/>
          <w:color w:val="auto"/>
          <w:sz w:val="24"/>
          <w:szCs w:val="24"/>
          <w:highlight w:val="none"/>
        </w:rPr>
        <w:t>3.5.2</w:t>
      </w:r>
      <w:r>
        <w:rPr>
          <w:rFonts w:hint="eastAsia"/>
          <w:bCs/>
          <w:color w:val="auto"/>
          <w:sz w:val="24"/>
          <w:szCs w:val="24"/>
          <w:highlight w:val="none"/>
          <w:u w:val="single"/>
        </w:rPr>
        <w:t>投标登记前，投标人须已在广州市住建行业信用管理平台建立企业信用档案，拟委派的项目负责人为本企业信用档案在册人员。【香港企业参加投标的，须提供在广东省住房和城乡建设主管部门备案网页截图】</w:t>
      </w:r>
    </w:p>
    <w:p w14:paraId="7C2EA447">
      <w:pPr>
        <w:spacing w:line="360" w:lineRule="auto"/>
        <w:ind w:firstLine="480" w:firstLineChars="200"/>
        <w:rPr>
          <w:rFonts w:hint="eastAsia" w:ascii="宋体" w:hAnsi="宋体" w:cs="宋体"/>
          <w:bCs/>
          <w:color w:val="auto"/>
          <w:sz w:val="24"/>
          <w:szCs w:val="24"/>
          <w:highlight w:val="none"/>
        </w:rPr>
      </w:pPr>
      <w:r>
        <w:rPr>
          <w:rFonts w:hint="eastAsia" w:ascii="宋体" w:hAnsi="宋体"/>
          <w:bCs/>
          <w:color w:val="auto"/>
          <w:sz w:val="24"/>
          <w:szCs w:val="24"/>
          <w:highlight w:val="none"/>
        </w:rPr>
        <w:t>3.</w:t>
      </w:r>
      <w:r>
        <w:rPr>
          <w:rFonts w:ascii="宋体" w:hAnsi="宋体"/>
          <w:bCs/>
          <w:color w:val="auto"/>
          <w:sz w:val="24"/>
          <w:szCs w:val="24"/>
          <w:highlight w:val="none"/>
        </w:rPr>
        <w:t>5</w:t>
      </w:r>
      <w:r>
        <w:rPr>
          <w:rFonts w:hint="eastAsia" w:ascii="宋体" w:hAnsi="宋体"/>
          <w:bCs/>
          <w:color w:val="auto"/>
          <w:sz w:val="24"/>
          <w:szCs w:val="24"/>
          <w:highlight w:val="none"/>
        </w:rPr>
        <w:t>.3</w:t>
      </w:r>
      <w:r>
        <w:rPr>
          <w:rFonts w:hint="eastAsia" w:ascii="宋体" w:hAnsi="宋体"/>
          <w:color w:val="auto"/>
          <w:sz w:val="24"/>
          <w:highlight w:val="none"/>
        </w:rPr>
        <w:t>投标人参加投标的意思表达清楚，投标人代表被授权有效</w:t>
      </w:r>
      <w:r>
        <w:rPr>
          <w:rFonts w:hint="eastAsia" w:ascii="宋体" w:hAnsi="宋体" w:cs="宋体"/>
          <w:bCs/>
          <w:color w:val="auto"/>
          <w:sz w:val="24"/>
          <w:szCs w:val="24"/>
          <w:highlight w:val="none"/>
        </w:rPr>
        <w:t>。</w:t>
      </w:r>
    </w:p>
    <w:p w14:paraId="1012B554">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3.5.4</w:t>
      </w:r>
      <w:r>
        <w:rPr>
          <w:rFonts w:hint="eastAsia" w:ascii="宋体" w:hAnsi="宋体" w:cs="宋体"/>
          <w:bCs/>
          <w:color w:val="auto"/>
          <w:sz w:val="24"/>
          <w:szCs w:val="24"/>
          <w:highlight w:val="none"/>
        </w:rPr>
        <w:t>投标人未出现以下情形：与其它投标人的单位负责人为同一人或者存在控股、管理关系的（按投标人提供的《投标人声明》第六条内容进行评审）。如不同投标申请人出现单位负责人为同一人或者存在控股、管理关系的情形，则相关投标均无效。</w:t>
      </w:r>
    </w:p>
    <w:p w14:paraId="05418500">
      <w:pPr>
        <w:widowControl/>
        <w:snapToGrid w:val="0"/>
        <w:spacing w:line="360" w:lineRule="auto"/>
        <w:ind w:firstLine="480" w:firstLineChars="200"/>
        <w:rPr>
          <w:b/>
          <w:strike/>
          <w:color w:val="auto"/>
          <w:sz w:val="24"/>
          <w:szCs w:val="24"/>
          <w:highlight w:val="none"/>
          <w:u w:val="single"/>
        </w:rPr>
      </w:pPr>
      <w:r>
        <w:rPr>
          <w:rFonts w:hint="eastAsia" w:ascii="宋体" w:hAnsi="宋体" w:cs="宋体"/>
          <w:color w:val="auto"/>
          <w:sz w:val="24"/>
          <w:highlight w:val="none"/>
        </w:rPr>
        <w:t>注：未在招标公告第3条单列的投标人资格要求条件，不作为资审不合格的依据。</w:t>
      </w:r>
    </w:p>
    <w:p w14:paraId="3B6F6CCF">
      <w:pPr>
        <w:pStyle w:val="4"/>
        <w:keepNext w:val="0"/>
        <w:keepLines w:val="0"/>
        <w:spacing w:before="0" w:after="0" w:line="360" w:lineRule="auto"/>
        <w:rPr>
          <w:rFonts w:ascii="Times New Roman" w:hAnsi="Times New Roman"/>
          <w:color w:val="auto"/>
          <w:highlight w:val="none"/>
        </w:rPr>
      </w:pPr>
      <w:r>
        <w:rPr>
          <w:rFonts w:ascii="Times New Roman" w:hAnsi="Times New Roman"/>
          <w:color w:val="auto"/>
          <w:highlight w:val="none"/>
        </w:rPr>
        <w:t xml:space="preserve">4. </w:t>
      </w:r>
      <w:r>
        <w:rPr>
          <w:rFonts w:hint="eastAsia" w:ascii="Times New Roman" w:hAnsi="Times New Roman"/>
          <w:color w:val="auto"/>
          <w:highlight w:val="none"/>
        </w:rPr>
        <w:t>招标文件的获取</w:t>
      </w:r>
      <w:bookmarkEnd w:id="5"/>
      <w:bookmarkEnd w:id="6"/>
    </w:p>
    <w:p w14:paraId="5445C1DE">
      <w:pPr>
        <w:widowControl/>
        <w:spacing w:line="360" w:lineRule="auto"/>
        <w:ind w:firstLine="439" w:firstLineChars="183"/>
        <w:jc w:val="left"/>
        <w:rPr>
          <w:rFonts w:ascii="宋体" w:hAnsi="宋体" w:cs="宋体"/>
          <w:color w:val="auto"/>
          <w:kern w:val="0"/>
          <w:sz w:val="24"/>
          <w:szCs w:val="24"/>
          <w:highlight w:val="none"/>
          <w:shd w:val="clear" w:color="auto" w:fill="FFFFFF"/>
          <w:lang w:bidi="ar"/>
        </w:rPr>
      </w:pPr>
      <w:bookmarkStart w:id="7" w:name="_Toc514099627"/>
      <w:bookmarkStart w:id="8" w:name="_Toc511557029"/>
      <w:r>
        <w:rPr>
          <w:rFonts w:hint="eastAsia" w:ascii="宋体" w:hAnsi="宋体" w:cs="宋体"/>
          <w:color w:val="auto"/>
          <w:kern w:val="0"/>
          <w:sz w:val="24"/>
          <w:szCs w:val="24"/>
          <w:highlight w:val="none"/>
          <w:shd w:val="clear" w:color="auto" w:fill="FFFFFF"/>
          <w:lang w:bidi="ar"/>
        </w:rPr>
        <w:t>4.1凡有意参加投标者，请于</w:t>
      </w:r>
      <w:r>
        <w:rPr>
          <w:rFonts w:hint="eastAsia" w:ascii="宋体" w:hAnsi="宋体" w:cs="宋体"/>
          <w:color w:val="auto"/>
          <w:kern w:val="0"/>
          <w:sz w:val="24"/>
          <w:szCs w:val="24"/>
          <w:highlight w:val="none"/>
          <w:u w:val="single"/>
          <w:shd w:val="clear" w:color="auto" w:fill="FFFFFF"/>
          <w:lang w:eastAsia="zh-CN" w:bidi="ar"/>
        </w:rPr>
        <w:t>2025</w:t>
      </w:r>
      <w:r>
        <w:rPr>
          <w:rFonts w:hint="eastAsia" w:ascii="宋体" w:hAnsi="宋体" w:cs="宋体"/>
          <w:color w:val="auto"/>
          <w:kern w:val="0"/>
          <w:sz w:val="24"/>
          <w:szCs w:val="24"/>
          <w:highlight w:val="none"/>
          <w:shd w:val="clear" w:color="auto" w:fill="FFFFFF"/>
          <w:lang w:bidi="ar"/>
        </w:rPr>
        <w:t>年</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月</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日</w:t>
      </w:r>
      <w:r>
        <w:rPr>
          <w:rFonts w:hint="eastAsia" w:ascii="宋体" w:hAnsi="宋体" w:cs="宋体"/>
          <w:color w:val="auto"/>
          <w:kern w:val="0"/>
          <w:sz w:val="24"/>
          <w:szCs w:val="24"/>
          <w:highlight w:val="none"/>
          <w:u w:val="single"/>
          <w:shd w:val="clear" w:color="auto" w:fill="FFFFFF"/>
          <w:lang w:bidi="ar"/>
        </w:rPr>
        <w:t>00</w:t>
      </w:r>
      <w:r>
        <w:rPr>
          <w:rFonts w:hint="eastAsia" w:ascii="宋体" w:hAnsi="宋体" w:cs="宋体"/>
          <w:color w:val="auto"/>
          <w:kern w:val="0"/>
          <w:sz w:val="24"/>
          <w:szCs w:val="24"/>
          <w:highlight w:val="none"/>
          <w:shd w:val="clear" w:color="auto" w:fill="FFFFFF"/>
          <w:lang w:bidi="ar"/>
        </w:rPr>
        <w:t>时</w:t>
      </w:r>
      <w:r>
        <w:rPr>
          <w:rFonts w:hint="eastAsia" w:ascii="宋体" w:hAnsi="宋体" w:cs="宋体"/>
          <w:color w:val="auto"/>
          <w:kern w:val="0"/>
          <w:sz w:val="24"/>
          <w:szCs w:val="24"/>
          <w:highlight w:val="none"/>
          <w:u w:val="single"/>
          <w:shd w:val="clear" w:color="auto" w:fill="FFFFFF"/>
          <w:lang w:bidi="ar"/>
        </w:rPr>
        <w:t>00</w:t>
      </w:r>
      <w:r>
        <w:rPr>
          <w:rFonts w:hint="eastAsia" w:ascii="宋体" w:hAnsi="宋体" w:cs="宋体"/>
          <w:color w:val="auto"/>
          <w:kern w:val="0"/>
          <w:sz w:val="24"/>
          <w:szCs w:val="24"/>
          <w:highlight w:val="none"/>
          <w:shd w:val="clear" w:color="auto" w:fill="FFFFFF"/>
          <w:lang w:bidi="ar"/>
        </w:rPr>
        <w:t>分至</w:t>
      </w:r>
      <w:r>
        <w:rPr>
          <w:rFonts w:hint="eastAsia" w:ascii="宋体" w:hAnsi="宋体" w:cs="宋体"/>
          <w:color w:val="auto"/>
          <w:kern w:val="0"/>
          <w:sz w:val="24"/>
          <w:szCs w:val="24"/>
          <w:highlight w:val="none"/>
          <w:u w:val="single"/>
          <w:shd w:val="clear" w:color="auto" w:fill="FFFFFF"/>
          <w:lang w:eastAsia="zh-CN" w:bidi="ar"/>
        </w:rPr>
        <w:t>2025</w:t>
      </w:r>
      <w:r>
        <w:rPr>
          <w:rFonts w:hint="eastAsia" w:ascii="宋体" w:hAnsi="宋体" w:cs="宋体"/>
          <w:color w:val="auto"/>
          <w:kern w:val="0"/>
          <w:sz w:val="24"/>
          <w:szCs w:val="24"/>
          <w:highlight w:val="none"/>
          <w:shd w:val="clear" w:color="auto" w:fill="FFFFFF"/>
          <w:lang w:bidi="ar"/>
        </w:rPr>
        <w:t>年</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月</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日</w:t>
      </w:r>
      <w:r>
        <w:rPr>
          <w:rFonts w:hint="eastAsia" w:ascii="宋体" w:hAnsi="宋体" w:cs="宋体"/>
          <w:color w:val="auto"/>
          <w:kern w:val="0"/>
          <w:sz w:val="24"/>
          <w:szCs w:val="24"/>
          <w:highlight w:val="none"/>
          <w:u w:val="single"/>
          <w:shd w:val="clear" w:color="auto" w:fill="FFFFFF"/>
          <w:lang w:val="en-US" w:eastAsia="zh-CN" w:bidi="ar"/>
        </w:rPr>
        <w:t xml:space="preserve">  </w:t>
      </w:r>
      <w:r>
        <w:rPr>
          <w:rFonts w:hint="eastAsia" w:ascii="宋体" w:hAnsi="宋体" w:cs="宋体"/>
          <w:color w:val="auto"/>
          <w:kern w:val="0"/>
          <w:sz w:val="24"/>
          <w:szCs w:val="24"/>
          <w:highlight w:val="none"/>
          <w:shd w:val="clear" w:color="auto" w:fill="FFFFFF"/>
          <w:lang w:bidi="ar"/>
        </w:rPr>
        <w:t>时</w:t>
      </w:r>
      <w:r>
        <w:rPr>
          <w:rFonts w:hint="eastAsia" w:ascii="宋体" w:hAnsi="宋体" w:cs="宋体"/>
          <w:color w:val="auto"/>
          <w:kern w:val="0"/>
          <w:sz w:val="24"/>
          <w:szCs w:val="24"/>
          <w:highlight w:val="none"/>
          <w:u w:val="single"/>
          <w:shd w:val="clear" w:color="auto" w:fill="FFFFFF"/>
          <w:lang w:bidi="ar"/>
        </w:rPr>
        <w:t>00</w:t>
      </w:r>
      <w:r>
        <w:rPr>
          <w:rFonts w:hint="eastAsia" w:ascii="宋体" w:hAnsi="宋体" w:cs="宋体"/>
          <w:color w:val="auto"/>
          <w:kern w:val="0"/>
          <w:sz w:val="24"/>
          <w:szCs w:val="24"/>
          <w:highlight w:val="none"/>
          <w:shd w:val="clear" w:color="auto" w:fill="FFFFFF"/>
          <w:lang w:bidi="ar"/>
        </w:rPr>
        <w:t>分(北京时间，下同)，登录</w:t>
      </w:r>
      <w:r>
        <w:rPr>
          <w:rFonts w:hint="eastAsia" w:ascii="宋体" w:hAnsi="宋体" w:cs="宋体"/>
          <w:color w:val="auto"/>
          <w:kern w:val="0"/>
          <w:sz w:val="24"/>
          <w:szCs w:val="24"/>
          <w:highlight w:val="none"/>
          <w:shd w:val="clear" w:color="auto" w:fill="FFFFFF"/>
          <w:lang w:eastAsia="zh-CN" w:bidi="ar"/>
        </w:rPr>
        <w:t>广州交易集团有限公司（广州公共资源交易中心）</w:t>
      </w:r>
      <w:r>
        <w:rPr>
          <w:rFonts w:hint="eastAsia" w:ascii="宋体" w:hAnsi="宋体" w:cs="宋体"/>
          <w:color w:val="auto"/>
          <w:kern w:val="0"/>
          <w:sz w:val="24"/>
          <w:szCs w:val="24"/>
          <w:highlight w:val="none"/>
          <w:shd w:val="clear" w:color="auto" w:fill="FFFFFF"/>
          <w:lang w:bidi="ar"/>
        </w:rPr>
        <w:t>网站（</w:t>
      </w:r>
      <w:r>
        <w:rPr>
          <w:rFonts w:ascii="宋体" w:hAnsi="宋体" w:cs="宋体"/>
          <w:color w:val="auto"/>
          <w:kern w:val="0"/>
          <w:sz w:val="24"/>
          <w:szCs w:val="24"/>
          <w:highlight w:val="none"/>
          <w:shd w:val="clear" w:color="auto" w:fill="FFFFFF"/>
          <w:lang w:bidi="ar"/>
        </w:rPr>
        <w:t>http:// http://ggzy.gz.gov.cn/</w:t>
      </w:r>
      <w:r>
        <w:rPr>
          <w:rFonts w:hint="eastAsia" w:ascii="宋体" w:hAnsi="宋体" w:cs="宋体"/>
          <w:color w:val="auto"/>
          <w:kern w:val="0"/>
          <w:sz w:val="24"/>
          <w:szCs w:val="24"/>
          <w:highlight w:val="none"/>
          <w:shd w:val="clear" w:color="auto" w:fill="FFFFFF"/>
          <w:lang w:bidi="ar"/>
        </w:rPr>
        <w:t>）下载电子招标文件。</w:t>
      </w:r>
    </w:p>
    <w:p w14:paraId="651E26F7">
      <w:pPr>
        <w:widowControl/>
        <w:spacing w:line="360" w:lineRule="auto"/>
        <w:ind w:firstLine="480"/>
        <w:jc w:val="left"/>
        <w:rPr>
          <w:rFonts w:ascii="宋体" w:hAnsi="宋体" w:cs="宋体"/>
          <w:color w:val="auto"/>
          <w:highlight w:val="none"/>
          <w:shd w:val="clear" w:color="auto" w:fill="FFFFFF"/>
        </w:rPr>
      </w:pPr>
      <w:r>
        <w:rPr>
          <w:rFonts w:hint="eastAsia" w:ascii="宋体" w:hAnsi="宋体" w:cs="宋体"/>
          <w:color w:val="auto"/>
          <w:kern w:val="0"/>
          <w:sz w:val="24"/>
          <w:szCs w:val="24"/>
          <w:highlight w:val="none"/>
          <w:shd w:val="clear" w:color="auto" w:fill="FFFFFF"/>
          <w:lang w:bidi="ar"/>
        </w:rPr>
        <w:t>4.2 发布招标公告时间(含本日):</w:t>
      </w:r>
      <w:r>
        <w:rPr>
          <w:rFonts w:hint="eastAsia" w:ascii="宋体" w:hAnsi="宋体" w:cs="宋体"/>
          <w:color w:val="auto"/>
          <w:kern w:val="0"/>
          <w:sz w:val="24"/>
          <w:szCs w:val="24"/>
          <w:highlight w:val="none"/>
          <w:u w:val="single"/>
          <w:shd w:val="clear" w:color="auto" w:fill="FFFFFF"/>
          <w:lang w:eastAsia="zh-CN" w:bidi="ar"/>
        </w:rPr>
        <w:t>2025</w:t>
      </w:r>
      <w:r>
        <w:rPr>
          <w:rFonts w:hint="eastAsia" w:ascii="宋体" w:hAnsi="宋体" w:cs="宋体"/>
          <w:color w:val="auto"/>
          <w:kern w:val="0"/>
          <w:sz w:val="24"/>
          <w:szCs w:val="24"/>
          <w:highlight w:val="none"/>
          <w:shd w:val="clear" w:color="auto" w:fill="FFFFFF"/>
          <w:lang w:bidi="ar"/>
        </w:rPr>
        <w:t>年</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月</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日</w:t>
      </w:r>
      <w:r>
        <w:rPr>
          <w:rFonts w:hint="eastAsia" w:ascii="宋体" w:hAnsi="宋体" w:cs="宋体"/>
          <w:color w:val="auto"/>
          <w:kern w:val="0"/>
          <w:sz w:val="24"/>
          <w:szCs w:val="24"/>
          <w:highlight w:val="none"/>
          <w:u w:val="single"/>
          <w:shd w:val="clear" w:color="auto" w:fill="FFFFFF"/>
          <w:lang w:val="en-US" w:eastAsia="zh-CN" w:bidi="ar"/>
        </w:rPr>
        <w:t xml:space="preserve">  </w:t>
      </w:r>
      <w:r>
        <w:rPr>
          <w:rFonts w:hint="eastAsia" w:ascii="宋体" w:hAnsi="宋体" w:cs="宋体"/>
          <w:color w:val="auto"/>
          <w:kern w:val="0"/>
          <w:sz w:val="24"/>
          <w:szCs w:val="24"/>
          <w:highlight w:val="none"/>
          <w:shd w:val="clear" w:color="auto" w:fill="FFFFFF"/>
          <w:lang w:bidi="ar"/>
        </w:rPr>
        <w:t>时</w:t>
      </w:r>
      <w:r>
        <w:rPr>
          <w:rFonts w:hint="eastAsia" w:ascii="宋体" w:hAnsi="宋体" w:cs="宋体"/>
          <w:color w:val="auto"/>
          <w:kern w:val="0"/>
          <w:sz w:val="24"/>
          <w:szCs w:val="24"/>
          <w:highlight w:val="none"/>
          <w:u w:val="single"/>
          <w:shd w:val="clear" w:color="auto" w:fill="FFFFFF"/>
          <w:lang w:val="en-US" w:eastAsia="zh-CN" w:bidi="ar"/>
        </w:rPr>
        <w:t xml:space="preserve">  </w:t>
      </w:r>
      <w:r>
        <w:rPr>
          <w:rFonts w:hint="eastAsia" w:ascii="宋体" w:hAnsi="宋体" w:cs="宋体"/>
          <w:color w:val="auto"/>
          <w:kern w:val="0"/>
          <w:sz w:val="24"/>
          <w:szCs w:val="24"/>
          <w:highlight w:val="none"/>
          <w:shd w:val="clear" w:color="auto" w:fill="FFFFFF"/>
          <w:lang w:bidi="ar"/>
        </w:rPr>
        <w:t>分至</w:t>
      </w:r>
      <w:r>
        <w:rPr>
          <w:rFonts w:hint="eastAsia" w:ascii="宋体" w:hAnsi="宋体" w:cs="宋体"/>
          <w:color w:val="auto"/>
          <w:kern w:val="0"/>
          <w:sz w:val="24"/>
          <w:szCs w:val="24"/>
          <w:highlight w:val="none"/>
          <w:u w:val="single"/>
          <w:shd w:val="clear" w:color="auto" w:fill="FFFFFF"/>
          <w:lang w:eastAsia="zh-CN" w:bidi="ar"/>
        </w:rPr>
        <w:t>2025</w:t>
      </w:r>
      <w:r>
        <w:rPr>
          <w:rFonts w:hint="eastAsia" w:ascii="宋体" w:hAnsi="宋体" w:cs="宋体"/>
          <w:color w:val="auto"/>
          <w:kern w:val="0"/>
          <w:sz w:val="24"/>
          <w:szCs w:val="24"/>
          <w:highlight w:val="none"/>
          <w:shd w:val="clear" w:color="auto" w:fill="FFFFFF"/>
          <w:lang w:bidi="ar"/>
        </w:rPr>
        <w:t>年</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月</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日</w:t>
      </w:r>
      <w:r>
        <w:rPr>
          <w:rFonts w:hint="eastAsia" w:ascii="宋体" w:hAnsi="宋体" w:cs="宋体"/>
          <w:color w:val="auto"/>
          <w:kern w:val="0"/>
          <w:sz w:val="24"/>
          <w:szCs w:val="24"/>
          <w:highlight w:val="none"/>
          <w:u w:val="single"/>
          <w:shd w:val="clear" w:color="auto" w:fill="FFFFFF"/>
          <w:lang w:val="en-US" w:eastAsia="zh-CN" w:bidi="ar"/>
        </w:rPr>
        <w:t xml:space="preserve">   </w:t>
      </w:r>
      <w:r>
        <w:rPr>
          <w:rFonts w:hint="eastAsia" w:ascii="宋体" w:hAnsi="宋体" w:cs="宋体"/>
          <w:color w:val="auto"/>
          <w:kern w:val="0"/>
          <w:sz w:val="24"/>
          <w:szCs w:val="24"/>
          <w:highlight w:val="none"/>
          <w:shd w:val="clear" w:color="auto" w:fill="FFFFFF"/>
          <w:lang w:bidi="ar"/>
        </w:rPr>
        <w:t>时</w:t>
      </w:r>
      <w:r>
        <w:rPr>
          <w:rFonts w:hint="eastAsia" w:ascii="宋体" w:hAnsi="宋体" w:cs="宋体"/>
          <w:color w:val="auto"/>
          <w:kern w:val="0"/>
          <w:sz w:val="24"/>
          <w:szCs w:val="24"/>
          <w:highlight w:val="none"/>
          <w:u w:val="single"/>
          <w:shd w:val="clear" w:color="auto" w:fill="FFFFFF"/>
          <w:lang w:val="en-US" w:eastAsia="zh-CN" w:bidi="ar"/>
        </w:rPr>
        <w:t xml:space="preserve">   </w:t>
      </w:r>
      <w:r>
        <w:rPr>
          <w:rFonts w:hint="eastAsia" w:ascii="宋体" w:hAnsi="宋体" w:cs="宋体"/>
          <w:color w:val="auto"/>
          <w:kern w:val="0"/>
          <w:sz w:val="24"/>
          <w:szCs w:val="24"/>
          <w:highlight w:val="none"/>
          <w:shd w:val="clear" w:color="auto" w:fill="FFFFFF"/>
          <w:lang w:bidi="ar"/>
        </w:rPr>
        <w:t>分。</w:t>
      </w:r>
    </w:p>
    <w:p w14:paraId="4EBD2B17">
      <w:pPr>
        <w:widowControl/>
        <w:spacing w:line="360" w:lineRule="auto"/>
        <w:ind w:firstLine="480"/>
        <w:jc w:val="left"/>
        <w:rPr>
          <w:rFonts w:ascii="宋体" w:hAnsi="宋体" w:cs="宋体"/>
          <w:color w:val="auto"/>
          <w:sz w:val="24"/>
          <w:szCs w:val="24"/>
          <w:highlight w:val="none"/>
          <w:shd w:val="clear" w:color="auto" w:fill="FFFFFF"/>
        </w:rPr>
      </w:pPr>
      <w:r>
        <w:rPr>
          <w:rFonts w:hint="eastAsia" w:ascii="宋体" w:hAnsi="宋体" w:cs="宋体"/>
          <w:color w:val="auto"/>
          <w:kern w:val="0"/>
          <w:sz w:val="24"/>
          <w:szCs w:val="24"/>
          <w:highlight w:val="none"/>
          <w:shd w:val="clear" w:color="auto" w:fill="FFFFFF"/>
          <w:lang w:bidi="ar"/>
        </w:rPr>
        <w:t>注：发布招标公告的时间为招标公告发出之日起至递交投标文件截止时间止。</w:t>
      </w:r>
    </w:p>
    <w:p w14:paraId="3B048449">
      <w:pPr>
        <w:widowControl/>
        <w:spacing w:line="360" w:lineRule="auto"/>
        <w:ind w:firstLine="480"/>
        <w:jc w:val="left"/>
        <w:rPr>
          <w:rFonts w:ascii="宋体" w:hAnsi="宋体" w:cs="宋体"/>
          <w:color w:val="auto"/>
          <w:sz w:val="24"/>
          <w:szCs w:val="24"/>
          <w:highlight w:val="none"/>
          <w:shd w:val="clear" w:color="auto" w:fill="FFFFFF"/>
        </w:rPr>
      </w:pPr>
      <w:r>
        <w:rPr>
          <w:rFonts w:hint="eastAsia" w:ascii="宋体" w:hAnsi="宋体" w:cs="宋体"/>
          <w:color w:val="auto"/>
          <w:kern w:val="0"/>
          <w:sz w:val="24"/>
          <w:szCs w:val="24"/>
          <w:highlight w:val="none"/>
          <w:shd w:val="clear" w:color="auto" w:fill="FFFFFF"/>
          <w:lang w:bidi="ar"/>
        </w:rPr>
        <w:t>4.3 本项目采用资格后审方式。</w:t>
      </w:r>
    </w:p>
    <w:p w14:paraId="6A862220">
      <w:pPr>
        <w:widowControl/>
        <w:spacing w:line="360" w:lineRule="auto"/>
        <w:jc w:val="left"/>
        <w:rPr>
          <w:rFonts w:ascii="宋体" w:hAnsi="宋体" w:cs="宋体"/>
          <w:color w:val="auto"/>
          <w:sz w:val="24"/>
          <w:szCs w:val="24"/>
          <w:highlight w:val="none"/>
          <w:shd w:val="clear" w:color="auto" w:fill="FFFFFF"/>
        </w:rPr>
      </w:pPr>
      <w:r>
        <w:rPr>
          <w:rFonts w:hint="eastAsia" w:ascii="宋体" w:hAnsi="宋体" w:cs="宋体"/>
          <w:color w:val="auto"/>
          <w:kern w:val="0"/>
          <w:sz w:val="24"/>
          <w:szCs w:val="24"/>
          <w:highlight w:val="none"/>
          <w:shd w:val="clear" w:color="auto" w:fill="FFFFFF"/>
          <w:lang w:bidi="ar"/>
        </w:rPr>
        <w:t>注：（1）电子招投标操作流程详见</w:t>
      </w:r>
      <w:r>
        <w:rPr>
          <w:rFonts w:hint="eastAsia" w:ascii="宋体" w:hAnsi="宋体" w:cs="宋体"/>
          <w:color w:val="auto"/>
          <w:kern w:val="0"/>
          <w:sz w:val="24"/>
          <w:szCs w:val="24"/>
          <w:highlight w:val="none"/>
          <w:shd w:val="clear" w:color="auto" w:fill="FFFFFF"/>
          <w:lang w:eastAsia="zh-CN" w:bidi="ar"/>
        </w:rPr>
        <w:t>广州交易集团有限公司（广州公共资源交易中心）</w:t>
      </w:r>
      <w:r>
        <w:rPr>
          <w:rFonts w:hint="eastAsia" w:ascii="宋体" w:hAnsi="宋体" w:cs="宋体"/>
          <w:color w:val="auto"/>
          <w:kern w:val="0"/>
          <w:sz w:val="24"/>
          <w:szCs w:val="24"/>
          <w:highlight w:val="none"/>
          <w:shd w:val="clear" w:color="auto" w:fill="FFFFFF"/>
          <w:lang w:bidi="ar"/>
        </w:rPr>
        <w:t>网站发布的最新版操作指引。</w:t>
      </w:r>
    </w:p>
    <w:p w14:paraId="7F070675">
      <w:pPr>
        <w:widowControl/>
        <w:spacing w:line="360" w:lineRule="auto"/>
        <w:ind w:firstLine="480" w:firstLineChars="200"/>
        <w:jc w:val="left"/>
        <w:rPr>
          <w:rFonts w:ascii="宋体" w:hAnsi="宋体" w:cs="宋体"/>
          <w:color w:val="auto"/>
          <w:sz w:val="24"/>
          <w:szCs w:val="24"/>
          <w:highlight w:val="none"/>
          <w:shd w:val="clear" w:color="auto" w:fill="FFFFFF"/>
        </w:rPr>
      </w:pPr>
      <w:r>
        <w:rPr>
          <w:rFonts w:hint="eastAsia" w:ascii="宋体" w:hAnsi="宋体" w:cs="宋体"/>
          <w:color w:val="auto"/>
          <w:kern w:val="0"/>
          <w:sz w:val="24"/>
          <w:szCs w:val="24"/>
          <w:highlight w:val="none"/>
          <w:shd w:val="clear" w:color="auto" w:fill="FFFFFF"/>
          <w:lang w:bidi="ar"/>
        </w:rPr>
        <w:t>（2）本公告发布之日起开始发售招标文件，并从发售招标文件之日起开始计算备标时间。</w:t>
      </w:r>
    </w:p>
    <w:p w14:paraId="13FD09BF">
      <w:pPr>
        <w:pStyle w:val="4"/>
        <w:keepNext w:val="0"/>
        <w:keepLines w:val="0"/>
        <w:spacing w:before="0" w:after="0" w:line="360" w:lineRule="auto"/>
        <w:rPr>
          <w:rFonts w:ascii="Times New Roman" w:hAnsi="Times New Roman"/>
          <w:color w:val="auto"/>
          <w:highlight w:val="none"/>
        </w:rPr>
      </w:pPr>
    </w:p>
    <w:p w14:paraId="5FB4FA76">
      <w:pPr>
        <w:pStyle w:val="4"/>
        <w:keepNext w:val="0"/>
        <w:keepLines w:val="0"/>
        <w:spacing w:before="0" w:after="0" w:line="360" w:lineRule="auto"/>
        <w:rPr>
          <w:rFonts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 xml:space="preserve">. </w:t>
      </w:r>
      <w:r>
        <w:rPr>
          <w:rFonts w:hint="eastAsia" w:ascii="Times New Roman" w:hAnsi="Times New Roman"/>
          <w:color w:val="auto"/>
          <w:highlight w:val="none"/>
        </w:rPr>
        <w:t>投标文件的递交</w:t>
      </w:r>
      <w:bookmarkEnd w:id="7"/>
      <w:bookmarkEnd w:id="8"/>
    </w:p>
    <w:p w14:paraId="4C5B0044">
      <w:pPr>
        <w:spacing w:line="360" w:lineRule="auto"/>
        <w:ind w:firstLine="360" w:firstLineChars="150"/>
        <w:jc w:val="left"/>
        <w:rPr>
          <w:color w:val="auto"/>
          <w:sz w:val="24"/>
          <w:szCs w:val="24"/>
          <w:highlight w:val="none"/>
        </w:rPr>
      </w:pPr>
      <w:r>
        <w:rPr>
          <w:color w:val="auto"/>
          <w:sz w:val="24"/>
          <w:szCs w:val="24"/>
          <w:highlight w:val="none"/>
        </w:rPr>
        <w:t>5.1投标文件递交的截止时间（投标截止时间，下同）为</w:t>
      </w:r>
      <w:r>
        <w:rPr>
          <w:rFonts w:hint="eastAsia"/>
          <w:color w:val="auto"/>
          <w:sz w:val="24"/>
          <w:szCs w:val="24"/>
          <w:highlight w:val="none"/>
          <w:u w:val="single"/>
          <w:lang w:eastAsia="zh-CN"/>
        </w:rPr>
        <w:t>2025</w:t>
      </w:r>
      <w:r>
        <w:rPr>
          <w:color w:val="auto"/>
          <w:sz w:val="24"/>
          <w:szCs w:val="24"/>
          <w:highlight w:val="none"/>
        </w:rPr>
        <w:t>年</w:t>
      </w:r>
      <w:r>
        <w:rPr>
          <w:rFonts w:hint="eastAsia" w:ascii="宋体" w:hAnsi="宋体" w:cs="宋体"/>
          <w:color w:val="auto"/>
          <w:kern w:val="0"/>
          <w:sz w:val="24"/>
          <w:szCs w:val="24"/>
          <w:highlight w:val="none"/>
          <w:u w:val="single"/>
          <w:shd w:val="clear" w:color="auto" w:fill="FFFFFF"/>
          <w:lang w:bidi="ar"/>
        </w:rPr>
        <w:t xml:space="preserve">    </w:t>
      </w:r>
      <w:r>
        <w:rPr>
          <w:color w:val="auto"/>
          <w:sz w:val="24"/>
          <w:szCs w:val="24"/>
          <w:highlight w:val="none"/>
        </w:rPr>
        <w:t>月</w:t>
      </w:r>
      <w:r>
        <w:rPr>
          <w:rFonts w:hint="eastAsia" w:ascii="宋体" w:hAnsi="宋体" w:cs="宋体"/>
          <w:color w:val="auto"/>
          <w:kern w:val="0"/>
          <w:sz w:val="24"/>
          <w:szCs w:val="24"/>
          <w:highlight w:val="none"/>
          <w:u w:val="single"/>
          <w:shd w:val="clear" w:color="auto" w:fill="FFFFFF"/>
          <w:lang w:bidi="ar"/>
        </w:rPr>
        <w:t xml:space="preserve">    </w:t>
      </w:r>
      <w:r>
        <w:rPr>
          <w:color w:val="auto"/>
          <w:sz w:val="24"/>
          <w:szCs w:val="24"/>
          <w:highlight w:val="none"/>
        </w:rPr>
        <w:t>日</w:t>
      </w:r>
      <w:r>
        <w:rPr>
          <w:rFonts w:hint="eastAsia" w:ascii="宋体" w:hAnsi="宋体" w:cs="宋体"/>
          <w:color w:val="auto"/>
          <w:kern w:val="0"/>
          <w:sz w:val="24"/>
          <w:szCs w:val="24"/>
          <w:highlight w:val="none"/>
          <w:u w:val="single"/>
          <w:shd w:val="clear" w:color="auto" w:fill="FFFFFF"/>
          <w:lang w:val="en-US" w:eastAsia="zh-CN" w:bidi="ar"/>
        </w:rPr>
        <w:t xml:space="preserve">  </w:t>
      </w:r>
      <w:r>
        <w:rPr>
          <w:color w:val="auto"/>
          <w:sz w:val="24"/>
          <w:szCs w:val="24"/>
          <w:highlight w:val="none"/>
        </w:rPr>
        <w:t>时</w:t>
      </w:r>
      <w:r>
        <w:rPr>
          <w:rFonts w:hint="eastAsia"/>
          <w:color w:val="auto"/>
          <w:sz w:val="24"/>
          <w:szCs w:val="24"/>
          <w:highlight w:val="none"/>
          <w:lang w:val="en-US" w:eastAsia="zh-CN"/>
        </w:rPr>
        <w:t xml:space="preserve">  </w:t>
      </w:r>
      <w:r>
        <w:rPr>
          <w:color w:val="auto"/>
          <w:sz w:val="24"/>
          <w:szCs w:val="24"/>
          <w:highlight w:val="none"/>
        </w:rPr>
        <w:t>分，投标人应在截止时间前通过</w:t>
      </w:r>
      <w:r>
        <w:rPr>
          <w:rFonts w:hint="eastAsia"/>
          <w:color w:val="auto"/>
          <w:sz w:val="24"/>
          <w:szCs w:val="24"/>
          <w:highlight w:val="none"/>
          <w:u w:val="single"/>
          <w:lang w:eastAsia="zh-CN"/>
        </w:rPr>
        <w:t>广州交易集团有限公司（广州公共资源交易中心）</w:t>
      </w:r>
      <w:r>
        <w:rPr>
          <w:rFonts w:hint="eastAsia"/>
          <w:color w:val="auto"/>
          <w:sz w:val="24"/>
          <w:szCs w:val="24"/>
          <w:highlight w:val="none"/>
          <w:u w:val="single"/>
        </w:rPr>
        <w:t>数字交易平台（网址：</w:t>
      </w:r>
      <w:r>
        <w:rPr>
          <w:color w:val="auto"/>
          <w:szCs w:val="24"/>
          <w:highlight w:val="none"/>
        </w:rPr>
        <w:t xml:space="preserve"> </w:t>
      </w:r>
      <w:r>
        <w:rPr>
          <w:rFonts w:ascii="宋体" w:hAnsi="宋体" w:cs="宋体"/>
          <w:color w:val="auto"/>
          <w:sz w:val="24"/>
          <w:szCs w:val="24"/>
          <w:highlight w:val="none"/>
          <w:u w:val="single"/>
        </w:rPr>
        <w:t>http://ggzy.gz.gov.cn/</w:t>
      </w:r>
      <w:r>
        <w:rPr>
          <w:rFonts w:hint="eastAsia"/>
          <w:color w:val="auto"/>
          <w:sz w:val="24"/>
          <w:szCs w:val="24"/>
          <w:highlight w:val="none"/>
          <w:u w:val="single"/>
        </w:rPr>
        <w:t>）</w:t>
      </w:r>
      <w:r>
        <w:rPr>
          <w:color w:val="auto"/>
          <w:sz w:val="24"/>
          <w:szCs w:val="24"/>
          <w:highlight w:val="none"/>
        </w:rPr>
        <w:t>递交电子投标文件。</w:t>
      </w:r>
    </w:p>
    <w:p w14:paraId="7EB6C51B">
      <w:pPr>
        <w:spacing w:line="360" w:lineRule="auto"/>
        <w:ind w:firstLine="458" w:firstLineChars="191"/>
        <w:jc w:val="left"/>
        <w:rPr>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.2</w:t>
      </w:r>
      <w:r>
        <w:rPr>
          <w:rFonts w:hint="eastAsia" w:ascii="宋体" w:hAnsi="宋体"/>
          <w:color w:val="auto"/>
          <w:sz w:val="24"/>
          <w:szCs w:val="24"/>
          <w:highlight w:val="none"/>
        </w:rPr>
        <w:t>递交备用投标文件电子光盘时间为</w:t>
      </w:r>
      <w:r>
        <w:rPr>
          <w:color w:val="auto"/>
          <w:sz w:val="24"/>
          <w:szCs w:val="24"/>
          <w:highlight w:val="none"/>
        </w:rPr>
        <w:t>：</w:t>
      </w:r>
      <w:r>
        <w:rPr>
          <w:rFonts w:hint="eastAsia"/>
          <w:color w:val="auto"/>
          <w:sz w:val="24"/>
          <w:szCs w:val="24"/>
          <w:highlight w:val="none"/>
          <w:u w:val="single"/>
          <w:lang w:eastAsia="zh-CN"/>
        </w:rPr>
        <w:t>2025</w:t>
      </w:r>
      <w:r>
        <w:rPr>
          <w:color w:val="auto"/>
          <w:sz w:val="24"/>
          <w:szCs w:val="24"/>
          <w:highlight w:val="none"/>
        </w:rPr>
        <w:t>年</w:t>
      </w:r>
      <w:r>
        <w:rPr>
          <w:rFonts w:hint="eastAsia" w:ascii="宋体" w:hAnsi="宋体" w:cs="宋体"/>
          <w:color w:val="auto"/>
          <w:kern w:val="0"/>
          <w:sz w:val="24"/>
          <w:szCs w:val="24"/>
          <w:highlight w:val="none"/>
          <w:u w:val="single"/>
          <w:shd w:val="clear" w:color="auto" w:fill="FFFFFF"/>
          <w:lang w:bidi="ar"/>
        </w:rPr>
        <w:t xml:space="preserve">   </w:t>
      </w:r>
      <w:r>
        <w:rPr>
          <w:color w:val="auto"/>
          <w:sz w:val="24"/>
          <w:szCs w:val="24"/>
          <w:highlight w:val="none"/>
        </w:rPr>
        <w:t>月</w:t>
      </w:r>
      <w:r>
        <w:rPr>
          <w:rFonts w:hint="eastAsia" w:ascii="宋体" w:hAnsi="宋体" w:cs="宋体"/>
          <w:color w:val="auto"/>
          <w:kern w:val="0"/>
          <w:sz w:val="24"/>
          <w:szCs w:val="24"/>
          <w:highlight w:val="none"/>
          <w:u w:val="single"/>
          <w:shd w:val="clear" w:color="auto" w:fill="FFFFFF"/>
          <w:lang w:bidi="ar"/>
        </w:rPr>
        <w:t xml:space="preserve">   </w:t>
      </w:r>
      <w:r>
        <w:rPr>
          <w:color w:val="auto"/>
          <w:sz w:val="24"/>
          <w:szCs w:val="24"/>
          <w:highlight w:val="none"/>
        </w:rPr>
        <w:t>日</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u w:val="single"/>
          <w:shd w:val="clear" w:color="auto" w:fill="FFFFFF"/>
          <w:lang w:val="en-US" w:eastAsia="zh-CN" w:bidi="ar"/>
        </w:rPr>
        <w:t xml:space="preserve"> </w:t>
      </w:r>
      <w:r>
        <w:rPr>
          <w:color w:val="auto"/>
          <w:sz w:val="24"/>
          <w:szCs w:val="24"/>
          <w:highlight w:val="none"/>
        </w:rPr>
        <w:t>时</w:t>
      </w:r>
      <w:r>
        <w:rPr>
          <w:rFonts w:hint="eastAsia"/>
          <w:color w:val="auto"/>
          <w:sz w:val="24"/>
          <w:szCs w:val="24"/>
          <w:highlight w:val="none"/>
          <w:u w:val="single"/>
          <w:lang w:val="en-US" w:eastAsia="zh-CN"/>
        </w:rPr>
        <w:t xml:space="preserve"> </w:t>
      </w:r>
      <w:r>
        <w:rPr>
          <w:color w:val="auto"/>
          <w:sz w:val="24"/>
          <w:szCs w:val="24"/>
          <w:highlight w:val="none"/>
        </w:rPr>
        <w:t>分</w:t>
      </w:r>
      <w:r>
        <w:rPr>
          <w:rFonts w:hint="eastAsia"/>
          <w:color w:val="auto"/>
          <w:sz w:val="24"/>
          <w:szCs w:val="24"/>
          <w:highlight w:val="none"/>
        </w:rPr>
        <w:t>至</w:t>
      </w:r>
      <w:r>
        <w:rPr>
          <w:rFonts w:hint="eastAsia"/>
          <w:color w:val="auto"/>
          <w:sz w:val="24"/>
          <w:szCs w:val="24"/>
          <w:highlight w:val="none"/>
          <w:u w:val="single"/>
          <w:lang w:eastAsia="zh-CN"/>
        </w:rPr>
        <w:t>2025</w:t>
      </w:r>
      <w:r>
        <w:rPr>
          <w:color w:val="auto"/>
          <w:sz w:val="24"/>
          <w:szCs w:val="24"/>
          <w:highlight w:val="none"/>
        </w:rPr>
        <w:t>年</w:t>
      </w:r>
      <w:r>
        <w:rPr>
          <w:rFonts w:hint="eastAsia" w:ascii="宋体" w:hAnsi="宋体" w:cs="宋体"/>
          <w:color w:val="auto"/>
          <w:kern w:val="0"/>
          <w:sz w:val="24"/>
          <w:szCs w:val="24"/>
          <w:highlight w:val="none"/>
          <w:u w:val="single"/>
          <w:shd w:val="clear" w:color="auto" w:fill="FFFFFF"/>
          <w:lang w:bidi="ar"/>
        </w:rPr>
        <w:t xml:space="preserve">   </w:t>
      </w:r>
      <w:r>
        <w:rPr>
          <w:color w:val="auto"/>
          <w:sz w:val="24"/>
          <w:szCs w:val="24"/>
          <w:highlight w:val="none"/>
        </w:rPr>
        <w:t>月</w:t>
      </w:r>
      <w:r>
        <w:rPr>
          <w:rFonts w:hint="eastAsia" w:ascii="宋体" w:hAnsi="宋体" w:cs="宋体"/>
          <w:color w:val="auto"/>
          <w:kern w:val="0"/>
          <w:sz w:val="24"/>
          <w:szCs w:val="24"/>
          <w:highlight w:val="none"/>
          <w:u w:val="single"/>
          <w:shd w:val="clear" w:color="auto" w:fill="FFFFFF"/>
          <w:lang w:bidi="ar"/>
        </w:rPr>
        <w:t xml:space="preserve">   </w:t>
      </w:r>
      <w:r>
        <w:rPr>
          <w:color w:val="auto"/>
          <w:sz w:val="24"/>
          <w:szCs w:val="24"/>
          <w:highlight w:val="none"/>
        </w:rPr>
        <w:t>日</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rPr>
        <w:t>时</w:t>
      </w:r>
      <w:r>
        <w:rPr>
          <w:rFonts w:hint="eastAsia" w:ascii="宋体" w:hAnsi="宋体" w:cs="宋体"/>
          <w:color w:val="auto"/>
          <w:kern w:val="0"/>
          <w:sz w:val="24"/>
          <w:szCs w:val="24"/>
          <w:highlight w:val="none"/>
          <w:u w:val="single"/>
          <w:shd w:val="clear" w:color="auto" w:fill="FFFFFF"/>
          <w:lang w:val="en-US" w:eastAsia="zh-CN" w:bidi="ar"/>
        </w:rPr>
        <w:t xml:space="preserve"> </w:t>
      </w:r>
      <w:r>
        <w:rPr>
          <w:rFonts w:hint="eastAsia" w:ascii="宋体" w:hAnsi="宋体" w:cs="宋体"/>
          <w:color w:val="auto"/>
          <w:kern w:val="0"/>
          <w:sz w:val="24"/>
          <w:szCs w:val="24"/>
          <w:highlight w:val="none"/>
          <w:u w:val="single"/>
          <w:shd w:val="clear" w:color="auto" w:fill="FFFFFF"/>
          <w:lang w:bidi="ar"/>
        </w:rPr>
        <w:t xml:space="preserve"> </w:t>
      </w:r>
      <w:r>
        <w:rPr>
          <w:color w:val="auto"/>
          <w:sz w:val="24"/>
          <w:szCs w:val="24"/>
          <w:highlight w:val="none"/>
        </w:rPr>
        <w:t>分</w:t>
      </w:r>
      <w:r>
        <w:rPr>
          <w:rFonts w:hint="eastAsia"/>
          <w:color w:val="auto"/>
          <w:sz w:val="24"/>
          <w:szCs w:val="24"/>
          <w:highlight w:val="none"/>
        </w:rPr>
        <w:t>；地点</w:t>
      </w:r>
      <w:r>
        <w:rPr>
          <w:color w:val="auto"/>
          <w:sz w:val="24"/>
          <w:szCs w:val="24"/>
          <w:highlight w:val="none"/>
        </w:rPr>
        <w:t>：</w:t>
      </w:r>
      <w:r>
        <w:rPr>
          <w:rFonts w:hint="eastAsia"/>
          <w:color w:val="auto"/>
          <w:sz w:val="24"/>
          <w:szCs w:val="24"/>
          <w:highlight w:val="none"/>
          <w:lang w:eastAsia="zh-CN"/>
        </w:rPr>
        <w:t>广州交易集团有限公司（广州公共资源交易中心）</w:t>
      </w:r>
      <w:r>
        <w:rPr>
          <w:rFonts w:hint="eastAsia"/>
          <w:color w:val="auto"/>
          <w:sz w:val="24"/>
          <w:szCs w:val="24"/>
          <w:highlight w:val="none"/>
        </w:rPr>
        <w:t>第</w:t>
      </w:r>
      <w:r>
        <w:rPr>
          <w:rFonts w:hint="eastAsia"/>
          <w:color w:val="auto"/>
          <w:sz w:val="24"/>
          <w:szCs w:val="24"/>
          <w:highlight w:val="none"/>
          <w:u w:val="single"/>
        </w:rPr>
        <w:t xml:space="preserve">   </w:t>
      </w:r>
      <w:r>
        <w:rPr>
          <w:rFonts w:hint="eastAsia"/>
          <w:color w:val="auto"/>
          <w:sz w:val="24"/>
          <w:szCs w:val="24"/>
          <w:highlight w:val="none"/>
        </w:rPr>
        <w:t>开标室。（电子光盘需按规定封装。投标人在将数据刻录到光盘之后，投标前自行检查文件是否可以读取）</w:t>
      </w:r>
    </w:p>
    <w:p w14:paraId="5BF8BAA9">
      <w:pPr>
        <w:spacing w:line="360" w:lineRule="auto"/>
        <w:ind w:firstLine="480" w:firstLineChars="200"/>
        <w:jc w:val="left"/>
        <w:rPr>
          <w:rFonts w:ascii="宋体" w:hAnsi="宋体" w:cs="宋体"/>
          <w:color w:val="auto"/>
          <w:sz w:val="24"/>
          <w:szCs w:val="24"/>
          <w:highlight w:val="none"/>
        </w:rPr>
      </w:pPr>
      <w:r>
        <w:rPr>
          <w:color w:val="auto"/>
          <w:sz w:val="24"/>
          <w:szCs w:val="24"/>
          <w:highlight w:val="none"/>
        </w:rPr>
        <w:t>5.3 逾期送达的投标文件，电子招标投标交易平台将予以拒收。</w:t>
      </w:r>
      <w:bookmarkStart w:id="9" w:name="_Hlk54719242"/>
      <w:r>
        <w:rPr>
          <w:rFonts w:hint="eastAsia" w:ascii="宋体" w:hAnsi="宋体" w:cs="宋体"/>
          <w:color w:val="auto"/>
          <w:sz w:val="24"/>
          <w:szCs w:val="24"/>
          <w:highlight w:val="none"/>
        </w:rPr>
        <w:t>逾期未上传成功的电子投标文件，招标人拒绝接收。</w:t>
      </w:r>
    </w:p>
    <w:bookmarkEnd w:id="9"/>
    <w:p w14:paraId="64B240B5">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w:t>
      </w:r>
      <w:r>
        <w:rPr>
          <w:rFonts w:ascii="宋体" w:hAnsi="宋体" w:cs="宋体"/>
          <w:color w:val="auto"/>
          <w:sz w:val="24"/>
          <w:szCs w:val="24"/>
          <w:highlight w:val="none"/>
        </w:rPr>
        <w:t>4</w:t>
      </w:r>
      <w:r>
        <w:rPr>
          <w:rFonts w:hint="eastAsia" w:ascii="宋体" w:hAnsi="宋体" w:cs="宋体"/>
          <w:color w:val="auto"/>
          <w:sz w:val="24"/>
          <w:szCs w:val="24"/>
          <w:highlight w:val="none"/>
        </w:rPr>
        <w:t>投标人完成电子投标上传后，电子招标投标交易平台即时向投标人发出递交回执通知。递交时间以递交回执通知载明的传输时间为准。</w:t>
      </w:r>
    </w:p>
    <w:p w14:paraId="31A22CB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5</w:t>
      </w:r>
      <w:r>
        <w:rPr>
          <w:rFonts w:hint="eastAsia" w:ascii="宋体" w:hAnsi="宋体" w:cs="宋体"/>
          <w:color w:val="auto"/>
          <w:sz w:val="24"/>
          <w:highlight w:val="none"/>
        </w:rPr>
        <w:t>本项目各项投标活动具体可通过</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网站查询具体的时间和场地安排。</w:t>
      </w:r>
    </w:p>
    <w:p w14:paraId="5B392654">
      <w:pPr>
        <w:pStyle w:val="4"/>
        <w:keepNext w:val="0"/>
        <w:keepLines w:val="0"/>
        <w:spacing w:before="0" w:after="0" w:line="360" w:lineRule="auto"/>
        <w:rPr>
          <w:rFonts w:ascii="Times New Roman" w:hAnsi="Times New Roman"/>
          <w:color w:val="auto"/>
          <w:highlight w:val="none"/>
        </w:rPr>
      </w:pPr>
      <w:bookmarkStart w:id="10" w:name="_Toc511557030"/>
      <w:bookmarkStart w:id="11" w:name="_Toc514099628"/>
    </w:p>
    <w:p w14:paraId="2ACE10C5">
      <w:pPr>
        <w:pStyle w:val="4"/>
        <w:keepNext w:val="0"/>
        <w:keepLines w:val="0"/>
        <w:spacing w:before="0" w:after="0" w:line="360" w:lineRule="auto"/>
        <w:rPr>
          <w:rFonts w:ascii="Times New Roman" w:hAnsi="Times New Roman"/>
          <w:color w:val="auto"/>
          <w:highlight w:val="none"/>
        </w:rPr>
      </w:pPr>
      <w:r>
        <w:rPr>
          <w:rFonts w:hint="eastAsia" w:ascii="Times New Roman" w:hAnsi="Times New Roman"/>
          <w:color w:val="auto"/>
          <w:highlight w:val="none"/>
        </w:rPr>
        <w:t>6</w:t>
      </w:r>
      <w:r>
        <w:rPr>
          <w:rFonts w:ascii="Times New Roman" w:hAnsi="Times New Roman"/>
          <w:color w:val="auto"/>
          <w:highlight w:val="none"/>
        </w:rPr>
        <w:t xml:space="preserve">. </w:t>
      </w:r>
      <w:r>
        <w:rPr>
          <w:rFonts w:hint="eastAsia" w:ascii="Times New Roman" w:hAnsi="Times New Roman"/>
          <w:color w:val="auto"/>
          <w:highlight w:val="none"/>
        </w:rPr>
        <w:t>发布公告的媒介</w:t>
      </w:r>
      <w:bookmarkEnd w:id="10"/>
      <w:bookmarkEnd w:id="11"/>
    </w:p>
    <w:p w14:paraId="3CE48D7C">
      <w:pPr>
        <w:spacing w:line="360" w:lineRule="auto"/>
        <w:ind w:firstLine="480" w:firstLineChars="200"/>
        <w:rPr>
          <w:rFonts w:ascii="宋体" w:hAnsi="宋体" w:cs="宋体"/>
          <w:color w:val="auto"/>
          <w:sz w:val="24"/>
          <w:szCs w:val="24"/>
          <w:highlight w:val="none"/>
        </w:rPr>
      </w:pPr>
      <w:bookmarkStart w:id="12" w:name="_Toc514099629"/>
      <w:bookmarkStart w:id="13" w:name="_Toc511557031"/>
      <w:r>
        <w:rPr>
          <w:rFonts w:hint="eastAsia" w:ascii="宋体" w:hAnsi="宋体" w:cs="宋体"/>
          <w:color w:val="auto"/>
          <w:sz w:val="24"/>
          <w:szCs w:val="24"/>
          <w:highlight w:val="none"/>
        </w:rPr>
        <w:t>本次招标公告同时在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网（网址：http://</w:t>
      </w:r>
      <w:r>
        <w:rPr>
          <w:color w:val="auto"/>
          <w:szCs w:val="24"/>
          <w:highlight w:val="none"/>
        </w:rPr>
        <w:t xml:space="preserve"> </w:t>
      </w:r>
      <w:r>
        <w:rPr>
          <w:rFonts w:ascii="宋体" w:hAnsi="宋体" w:cs="宋体"/>
          <w:color w:val="auto"/>
          <w:sz w:val="24"/>
          <w:szCs w:val="24"/>
          <w:highlight w:val="none"/>
          <w:u w:val="single"/>
        </w:rPr>
        <w:t>http://ggzy.gz.gov.cn/</w:t>
      </w:r>
      <w:r>
        <w:rPr>
          <w:rFonts w:hint="eastAsia" w:ascii="宋体" w:hAnsi="宋体" w:cs="宋体"/>
          <w:color w:val="auto"/>
          <w:sz w:val="24"/>
          <w:szCs w:val="24"/>
          <w:highlight w:val="none"/>
          <w:u w:val="single"/>
        </w:rPr>
        <w:t>）、广东省招标投标监管网（网址：http://zbtb.gd.gov.cn ）和中国招标投标公共服务平台（网址：http://cebpubservice.com）发布，本公告的修改、补充，在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w:t>
      </w:r>
      <w:r>
        <w:rPr>
          <w:rFonts w:hint="eastAsia" w:ascii="宋体" w:hAnsi="宋体" w:cs="宋体"/>
          <w:color w:val="auto"/>
          <w:sz w:val="24"/>
          <w:szCs w:val="24"/>
          <w:highlight w:val="none"/>
        </w:rPr>
        <w:t>上发布。</w:t>
      </w:r>
    </w:p>
    <w:p w14:paraId="4ADAD124">
      <w:pPr>
        <w:pStyle w:val="4"/>
        <w:keepNext w:val="0"/>
        <w:keepLines w:val="0"/>
        <w:spacing w:before="0" w:after="0" w:line="360" w:lineRule="auto"/>
        <w:rPr>
          <w:rFonts w:ascii="Times New Roman" w:hAnsi="Times New Roman"/>
          <w:color w:val="auto"/>
          <w:highlight w:val="none"/>
        </w:rPr>
      </w:pPr>
      <w:bookmarkStart w:id="14" w:name="_Hlk54719669"/>
    </w:p>
    <w:p w14:paraId="74C19719">
      <w:pPr>
        <w:pStyle w:val="4"/>
        <w:keepNext w:val="0"/>
        <w:keepLines w:val="0"/>
        <w:spacing w:before="0" w:after="0" w:line="360" w:lineRule="auto"/>
        <w:rPr>
          <w:rFonts w:ascii="Times New Roman" w:hAnsi="Times New Roman"/>
          <w:color w:val="auto"/>
          <w:highlight w:val="none"/>
        </w:rPr>
      </w:pPr>
      <w:r>
        <w:rPr>
          <w:rFonts w:ascii="Times New Roman" w:hAnsi="Times New Roman"/>
          <w:color w:val="auto"/>
          <w:highlight w:val="none"/>
        </w:rPr>
        <w:t xml:space="preserve">7. </w:t>
      </w:r>
      <w:r>
        <w:rPr>
          <w:rFonts w:hint="eastAsia" w:ascii="Times New Roman" w:hAnsi="Times New Roman"/>
          <w:color w:val="auto"/>
          <w:highlight w:val="none"/>
        </w:rPr>
        <w:t>异议受理</w:t>
      </w:r>
    </w:p>
    <w:p w14:paraId="58274DBC">
      <w:pPr>
        <w:shd w:val="clear" w:color="auto" w:fill="FFFFFF"/>
        <w:spacing w:line="360" w:lineRule="auto"/>
        <w:ind w:firstLine="480" w:firstLineChars="200"/>
        <w:rPr>
          <w:rFonts w:ascii="宋体" w:hAnsi="宋体"/>
          <w:color w:val="auto"/>
          <w:sz w:val="24"/>
          <w:highlight w:val="none"/>
        </w:rPr>
      </w:pPr>
      <w:r>
        <w:rPr>
          <w:rFonts w:hint="eastAsia" w:ascii="宋体" w:hAnsi="宋体"/>
          <w:color w:val="auto"/>
          <w:sz w:val="24"/>
          <w:highlight w:val="none"/>
        </w:rPr>
        <w:t>潜在投标人或利害关系人对本招标公告及招标内容异议的，可向招标人书面提出。</w:t>
      </w:r>
    </w:p>
    <w:p w14:paraId="493270F8">
      <w:pPr>
        <w:topLinePunct/>
        <w:spacing w:line="360" w:lineRule="auto"/>
        <w:ind w:firstLine="480" w:firstLineChars="200"/>
        <w:rPr>
          <w:rFonts w:ascii="宋体" w:hAnsi="宋体"/>
          <w:color w:val="auto"/>
          <w:sz w:val="24"/>
          <w:szCs w:val="24"/>
          <w:highlight w:val="none"/>
        </w:rPr>
      </w:pPr>
      <w:bookmarkStart w:id="15" w:name="_Hlk54720437"/>
      <w:r>
        <w:rPr>
          <w:rFonts w:hint="eastAsia" w:ascii="宋体" w:hAnsi="宋体"/>
          <w:color w:val="auto"/>
          <w:sz w:val="24"/>
          <w:szCs w:val="24"/>
          <w:highlight w:val="none"/>
        </w:rPr>
        <w:t>异议受理部门：</w:t>
      </w:r>
      <w:r>
        <w:rPr>
          <w:rFonts w:hint="eastAsia" w:ascii="宋体" w:hAnsi="宋体"/>
          <w:color w:val="auto"/>
          <w:sz w:val="24"/>
          <w:szCs w:val="24"/>
          <w:highlight w:val="none"/>
          <w:u w:val="single"/>
          <w:lang w:eastAsia="zh-CN"/>
        </w:rPr>
        <w:t>广州市荔湾区人民政府站前街道办事处</w:t>
      </w:r>
      <w:r>
        <w:rPr>
          <w:rFonts w:hint="eastAsia" w:ascii="宋体" w:hAnsi="宋体"/>
          <w:color w:val="auto"/>
          <w:sz w:val="24"/>
          <w:szCs w:val="24"/>
          <w:highlight w:val="none"/>
        </w:rPr>
        <w:t xml:space="preserve">   </w:t>
      </w:r>
    </w:p>
    <w:p w14:paraId="4A92E02C">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广州市荔湾区流花路中展里72号</w:t>
      </w:r>
    </w:p>
    <w:p w14:paraId="52F00659">
      <w:pPr>
        <w:spacing w:line="360" w:lineRule="auto"/>
        <w:ind w:firstLine="480" w:firstLineChars="200"/>
        <w:rPr>
          <w:rFonts w:ascii="宋体" w:hAnsi="宋体" w:cs="宋体"/>
          <w:color w:val="auto"/>
          <w:sz w:val="24"/>
          <w:highlight w:val="none"/>
        </w:rPr>
      </w:pPr>
      <w:r>
        <w:rPr>
          <w:rFonts w:hint="eastAsia" w:ascii="宋体" w:hAnsi="宋体"/>
          <w:color w:val="auto"/>
          <w:sz w:val="24"/>
          <w:szCs w:val="24"/>
          <w:highlight w:val="none"/>
        </w:rPr>
        <w:t>电    话：</w:t>
      </w:r>
      <w:r>
        <w:rPr>
          <w:rFonts w:hint="eastAsia" w:ascii="宋体" w:hAnsi="宋体" w:cs="宋体"/>
          <w:color w:val="auto"/>
          <w:kern w:val="0"/>
          <w:sz w:val="24"/>
          <w:szCs w:val="24"/>
          <w:highlight w:val="none"/>
          <w:u w:val="single"/>
        </w:rPr>
        <w:t>020-86433246</w:t>
      </w:r>
    </w:p>
    <w:bookmarkEnd w:id="14"/>
    <w:bookmarkEnd w:id="15"/>
    <w:p w14:paraId="10BE8F6E">
      <w:pPr>
        <w:pStyle w:val="4"/>
        <w:keepNext w:val="0"/>
        <w:keepLines w:val="0"/>
        <w:spacing w:before="0" w:after="0" w:line="360" w:lineRule="auto"/>
        <w:rPr>
          <w:rFonts w:ascii="Times New Roman" w:hAnsi="Times New Roman"/>
          <w:color w:val="auto"/>
          <w:highlight w:val="none"/>
        </w:rPr>
      </w:pPr>
    </w:p>
    <w:p w14:paraId="4536FE97">
      <w:pPr>
        <w:pStyle w:val="4"/>
        <w:keepNext w:val="0"/>
        <w:keepLines w:val="0"/>
        <w:spacing w:before="0" w:after="0" w:line="360" w:lineRule="auto"/>
        <w:rPr>
          <w:rFonts w:ascii="Times New Roman" w:hAnsi="Times New Roman"/>
          <w:color w:val="auto"/>
          <w:highlight w:val="none"/>
        </w:rPr>
      </w:pPr>
      <w:r>
        <w:rPr>
          <w:rFonts w:ascii="Times New Roman" w:hAnsi="Times New Roman"/>
          <w:color w:val="auto"/>
          <w:highlight w:val="none"/>
        </w:rPr>
        <w:t>8.</w:t>
      </w:r>
      <w:r>
        <w:rPr>
          <w:rFonts w:hint="eastAsia" w:ascii="Times New Roman" w:hAnsi="Times New Roman"/>
          <w:color w:val="auto"/>
          <w:highlight w:val="none"/>
        </w:rPr>
        <w:t xml:space="preserve"> 联系方式</w:t>
      </w:r>
      <w:bookmarkEnd w:id="12"/>
      <w:bookmarkEnd w:id="13"/>
    </w:p>
    <w:p w14:paraId="4CB3783A">
      <w:pPr>
        <w:topLinePunct/>
        <w:spacing w:line="360" w:lineRule="auto"/>
        <w:ind w:firstLine="480" w:firstLineChars="200"/>
        <w:rPr>
          <w:rFonts w:ascii="宋体" w:hAnsi="宋体" w:cs="宋体"/>
          <w:color w:val="auto"/>
          <w:kern w:val="0"/>
          <w:sz w:val="24"/>
          <w:szCs w:val="24"/>
          <w:highlight w:val="none"/>
          <w:u w:val="single"/>
        </w:rPr>
      </w:pPr>
      <w:r>
        <w:rPr>
          <w:rFonts w:hint="eastAsia" w:ascii="宋体" w:hAnsi="宋体"/>
          <w:color w:val="auto"/>
          <w:sz w:val="24"/>
          <w:szCs w:val="24"/>
          <w:highlight w:val="none"/>
        </w:rPr>
        <w:t>招</w:t>
      </w:r>
      <w:r>
        <w:rPr>
          <w:rFonts w:ascii="宋体" w:hAnsi="宋体"/>
          <w:color w:val="auto"/>
          <w:sz w:val="24"/>
          <w:szCs w:val="24"/>
          <w:highlight w:val="none"/>
        </w:rPr>
        <w:t xml:space="preserve"> </w:t>
      </w:r>
      <w:r>
        <w:rPr>
          <w:rFonts w:hint="eastAsia" w:ascii="宋体" w:hAnsi="宋体"/>
          <w:color w:val="auto"/>
          <w:sz w:val="24"/>
          <w:szCs w:val="24"/>
          <w:highlight w:val="none"/>
        </w:rPr>
        <w:t>标</w:t>
      </w:r>
      <w:r>
        <w:rPr>
          <w:rFonts w:ascii="宋体" w:hAnsi="宋体"/>
          <w:color w:val="auto"/>
          <w:sz w:val="24"/>
          <w:szCs w:val="24"/>
          <w:highlight w:val="none"/>
        </w:rPr>
        <w:t xml:space="preserve"> </w:t>
      </w:r>
      <w:r>
        <w:rPr>
          <w:rFonts w:hint="eastAsia" w:ascii="宋体" w:hAnsi="宋体"/>
          <w:color w:val="auto"/>
          <w:sz w:val="24"/>
          <w:szCs w:val="24"/>
          <w:highlight w:val="none"/>
        </w:rPr>
        <w:t>人：</w:t>
      </w:r>
      <w:r>
        <w:rPr>
          <w:rFonts w:hint="eastAsia" w:ascii="宋体" w:hAnsi="宋体"/>
          <w:color w:val="auto"/>
          <w:sz w:val="24"/>
          <w:szCs w:val="24"/>
          <w:highlight w:val="none"/>
          <w:u w:val="single"/>
          <w:lang w:eastAsia="zh-CN"/>
        </w:rPr>
        <w:t>广州市荔湾区人民政府站前街道办事处</w:t>
      </w:r>
    </w:p>
    <w:p w14:paraId="61920B5D">
      <w:pPr>
        <w:spacing w:line="360" w:lineRule="auto"/>
        <w:ind w:firstLine="480" w:firstLineChars="200"/>
        <w:rPr>
          <w:rFonts w:ascii="宋体" w:hAnsi="宋体" w:cs="宋体"/>
          <w:color w:val="auto"/>
          <w:sz w:val="24"/>
          <w:highlight w:val="none"/>
        </w:rPr>
      </w:pPr>
      <w:r>
        <w:rPr>
          <w:rFonts w:hint="eastAsia" w:ascii="宋体" w:hAnsi="宋体"/>
          <w:color w:val="auto"/>
          <w:sz w:val="24"/>
          <w:szCs w:val="24"/>
          <w:highlight w:val="none"/>
        </w:rPr>
        <w:t>联</w:t>
      </w:r>
      <w:r>
        <w:rPr>
          <w:rFonts w:ascii="宋体" w:hAnsi="宋体"/>
          <w:color w:val="auto"/>
          <w:sz w:val="24"/>
          <w:szCs w:val="24"/>
          <w:highlight w:val="none"/>
        </w:rPr>
        <w:t xml:space="preserve"> </w:t>
      </w:r>
      <w:r>
        <w:rPr>
          <w:rFonts w:hint="eastAsia" w:ascii="宋体" w:hAnsi="宋体"/>
          <w:color w:val="auto"/>
          <w:sz w:val="24"/>
          <w:szCs w:val="24"/>
          <w:highlight w:val="none"/>
        </w:rPr>
        <w:t>系</w:t>
      </w:r>
      <w:r>
        <w:rPr>
          <w:rFonts w:ascii="宋体" w:hAnsi="宋体"/>
          <w:color w:val="auto"/>
          <w:sz w:val="24"/>
          <w:szCs w:val="24"/>
          <w:highlight w:val="none"/>
        </w:rPr>
        <w:t xml:space="preserve"> </w:t>
      </w:r>
      <w:r>
        <w:rPr>
          <w:rFonts w:hint="eastAsia" w:ascii="宋体" w:hAnsi="宋体"/>
          <w:color w:val="auto"/>
          <w:sz w:val="24"/>
          <w:szCs w:val="24"/>
          <w:highlight w:val="none"/>
        </w:rPr>
        <w:t>人：</w:t>
      </w:r>
      <w:r>
        <w:rPr>
          <w:rFonts w:hint="eastAsia" w:ascii="宋体" w:hAnsi="宋体" w:cs="宋体"/>
          <w:color w:val="auto"/>
          <w:kern w:val="0"/>
          <w:sz w:val="24"/>
          <w:szCs w:val="24"/>
          <w:highlight w:val="none"/>
          <w:u w:val="single"/>
          <w:lang w:val="en-US" w:eastAsia="zh-CN"/>
        </w:rPr>
        <w:t>刘</w:t>
      </w:r>
      <w:r>
        <w:rPr>
          <w:rFonts w:hint="eastAsia" w:ascii="宋体" w:hAnsi="宋体" w:cs="宋体"/>
          <w:color w:val="auto"/>
          <w:kern w:val="0"/>
          <w:sz w:val="24"/>
          <w:szCs w:val="24"/>
          <w:highlight w:val="none"/>
          <w:u w:val="single"/>
        </w:rPr>
        <w:t>工</w:t>
      </w:r>
      <w:r>
        <w:rPr>
          <w:rFonts w:hint="eastAsia" w:ascii="宋体" w:hAnsi="宋体"/>
          <w:color w:val="auto"/>
          <w:sz w:val="24"/>
          <w:szCs w:val="24"/>
          <w:highlight w:val="none"/>
        </w:rPr>
        <w:t xml:space="preserve">        电</w:t>
      </w:r>
      <w:r>
        <w:rPr>
          <w:rFonts w:ascii="宋体" w:hAnsi="宋体"/>
          <w:color w:val="auto"/>
          <w:sz w:val="24"/>
          <w:szCs w:val="24"/>
          <w:highlight w:val="none"/>
        </w:rPr>
        <w:t xml:space="preserve">    </w:t>
      </w:r>
      <w:r>
        <w:rPr>
          <w:rFonts w:hint="eastAsia" w:ascii="宋体" w:hAnsi="宋体"/>
          <w:color w:val="auto"/>
          <w:sz w:val="24"/>
          <w:szCs w:val="24"/>
          <w:highlight w:val="none"/>
        </w:rPr>
        <w:t>话：</w:t>
      </w:r>
      <w:bookmarkStart w:id="16" w:name="_Toc144974482"/>
      <w:bookmarkStart w:id="17" w:name="_Toc384308189"/>
      <w:bookmarkStart w:id="18" w:name="_Toc300834931"/>
      <w:bookmarkStart w:id="19" w:name="_Toc369531499"/>
      <w:bookmarkStart w:id="20" w:name="_Toc2312"/>
      <w:bookmarkStart w:id="21" w:name="_Toc247513936"/>
      <w:bookmarkStart w:id="22" w:name="_Toc361508564"/>
      <w:bookmarkStart w:id="23" w:name="_Toc152042290"/>
      <w:bookmarkStart w:id="24" w:name="_Toc152045514"/>
      <w:bookmarkStart w:id="25" w:name="_Toc352691457"/>
      <w:bookmarkStart w:id="26" w:name="_Toc247527537"/>
      <w:r>
        <w:rPr>
          <w:rFonts w:hint="eastAsia" w:ascii="宋体" w:hAnsi="宋体" w:cs="宋体"/>
          <w:color w:val="auto"/>
          <w:sz w:val="24"/>
          <w:highlight w:val="none"/>
        </w:rPr>
        <w:t xml:space="preserve"> </w:t>
      </w:r>
      <w:r>
        <w:rPr>
          <w:rFonts w:hint="eastAsia" w:ascii="宋体" w:hAnsi="宋体" w:cs="宋体"/>
          <w:color w:val="auto"/>
          <w:kern w:val="0"/>
          <w:sz w:val="24"/>
          <w:szCs w:val="24"/>
          <w:highlight w:val="none"/>
          <w:u w:val="single"/>
        </w:rPr>
        <w:t>020-86433246</w:t>
      </w:r>
    </w:p>
    <w:bookmarkEnd w:id="16"/>
    <w:bookmarkEnd w:id="17"/>
    <w:bookmarkEnd w:id="18"/>
    <w:bookmarkEnd w:id="19"/>
    <w:bookmarkEnd w:id="20"/>
    <w:bookmarkEnd w:id="21"/>
    <w:bookmarkEnd w:id="22"/>
    <w:bookmarkEnd w:id="23"/>
    <w:bookmarkEnd w:id="24"/>
    <w:bookmarkEnd w:id="25"/>
    <w:bookmarkEnd w:id="26"/>
    <w:p w14:paraId="4F2E720B">
      <w:pPr>
        <w:adjustRightInd w:val="0"/>
        <w:snapToGrid w:val="0"/>
        <w:spacing w:line="360" w:lineRule="auto"/>
        <w:ind w:firstLine="480" w:firstLineChars="200"/>
        <w:rPr>
          <w:rFonts w:ascii="宋体" w:hAnsi="宋体"/>
          <w:color w:val="auto"/>
          <w:sz w:val="24"/>
          <w:szCs w:val="24"/>
          <w:highlight w:val="none"/>
        </w:rPr>
      </w:pPr>
    </w:p>
    <w:p w14:paraId="5D6D8067">
      <w:pPr>
        <w:adjustRightInd w:val="0"/>
        <w:snapToGri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招标代理机构：</w:t>
      </w:r>
      <w:r>
        <w:rPr>
          <w:rFonts w:hint="eastAsia" w:ascii="宋体" w:hAnsi="宋体"/>
          <w:color w:val="auto"/>
          <w:sz w:val="24"/>
          <w:szCs w:val="24"/>
          <w:highlight w:val="none"/>
          <w:u w:val="single"/>
        </w:rPr>
        <w:t>广州市房实建设工程管理有限公司</w:t>
      </w:r>
    </w:p>
    <w:p w14:paraId="31534E7E">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olor w:val="auto"/>
          <w:sz w:val="24"/>
          <w:szCs w:val="24"/>
          <w:highlight w:val="none"/>
        </w:rPr>
        <w:t>联 系 人：</w:t>
      </w:r>
      <w:r>
        <w:rPr>
          <w:rFonts w:hint="eastAsia" w:ascii="宋体" w:hAnsi="宋体"/>
          <w:color w:val="auto"/>
          <w:sz w:val="24"/>
          <w:szCs w:val="24"/>
          <w:highlight w:val="none"/>
          <w:u w:val="single"/>
          <w:lang w:val="en-US" w:eastAsia="zh-CN"/>
        </w:rPr>
        <w:t>何工、唐工</w:t>
      </w:r>
      <w:r>
        <w:rPr>
          <w:rFonts w:hint="eastAsia" w:ascii="宋体" w:hAnsi="宋体"/>
          <w:color w:val="auto"/>
          <w:sz w:val="24"/>
          <w:szCs w:val="24"/>
          <w:highlight w:val="none"/>
        </w:rPr>
        <w:t xml:space="preserve">      电    话：</w:t>
      </w:r>
      <w:r>
        <w:rPr>
          <w:rFonts w:hint="eastAsia" w:ascii="宋体" w:hAnsi="宋体"/>
          <w:color w:val="auto"/>
          <w:sz w:val="24"/>
          <w:szCs w:val="24"/>
          <w:highlight w:val="none"/>
          <w:u w:val="single"/>
          <w:lang w:val="en-US" w:eastAsia="zh-CN"/>
        </w:rPr>
        <w:t>020-83383274</w:t>
      </w:r>
    </w:p>
    <w:p w14:paraId="13EBA104">
      <w:pPr>
        <w:adjustRightInd w:val="0"/>
        <w:snapToGrid w:val="0"/>
        <w:spacing w:line="360" w:lineRule="auto"/>
        <w:ind w:firstLine="480" w:firstLineChars="200"/>
        <w:rPr>
          <w:rFonts w:ascii="宋体" w:hAnsi="宋体"/>
          <w:color w:val="auto"/>
          <w:sz w:val="24"/>
          <w:szCs w:val="24"/>
          <w:highlight w:val="none"/>
        </w:rPr>
      </w:pPr>
    </w:p>
    <w:p w14:paraId="38906C56">
      <w:pPr>
        <w:adjustRightInd w:val="0"/>
        <w:snapToGri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招标监督机构：</w:t>
      </w:r>
      <w:r>
        <w:rPr>
          <w:rFonts w:hint="eastAsia" w:ascii="宋体" w:hAnsi="宋体"/>
          <w:color w:val="auto"/>
          <w:sz w:val="24"/>
          <w:szCs w:val="24"/>
          <w:highlight w:val="none"/>
          <w:u w:val="single"/>
        </w:rPr>
        <w:t>广州市荔湾区人民政府站前街道办事处</w:t>
      </w:r>
    </w:p>
    <w:p w14:paraId="2301BAA6">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监管电话：</w:t>
      </w:r>
      <w:r>
        <w:rPr>
          <w:rFonts w:hint="eastAsia" w:ascii="宋体" w:hAnsi="宋体" w:cs="宋体"/>
          <w:color w:val="auto"/>
          <w:kern w:val="0"/>
          <w:sz w:val="24"/>
          <w:szCs w:val="24"/>
          <w:highlight w:val="none"/>
          <w:u w:val="single"/>
        </w:rPr>
        <w:t>020-86433246</w:t>
      </w:r>
    </w:p>
    <w:p w14:paraId="724FB478">
      <w:pPr>
        <w:tabs>
          <w:tab w:val="left" w:pos="5880"/>
          <w:tab w:val="left" w:pos="6820"/>
          <w:tab w:val="left" w:pos="7760"/>
        </w:tabs>
        <w:spacing w:line="360" w:lineRule="auto"/>
        <w:ind w:firstLine="3600" w:firstLineChars="1500"/>
        <w:rPr>
          <w:rFonts w:ascii="宋体" w:hAnsi="宋体"/>
          <w:color w:val="auto"/>
          <w:sz w:val="24"/>
          <w:szCs w:val="24"/>
          <w:highlight w:val="none"/>
        </w:rPr>
      </w:pPr>
    </w:p>
    <w:p w14:paraId="1A054C3E">
      <w:pPr>
        <w:tabs>
          <w:tab w:val="left" w:pos="5880"/>
          <w:tab w:val="left" w:pos="6820"/>
          <w:tab w:val="left" w:pos="7760"/>
        </w:tabs>
        <w:spacing w:line="360" w:lineRule="auto"/>
        <w:ind w:firstLine="3600" w:firstLineChars="1500"/>
        <w:rPr>
          <w:rFonts w:ascii="宋体" w:hAnsi="宋体"/>
          <w:color w:val="auto"/>
          <w:sz w:val="24"/>
          <w:szCs w:val="24"/>
          <w:highlight w:val="none"/>
        </w:rPr>
      </w:pPr>
    </w:p>
    <w:p w14:paraId="3D18F1D2">
      <w:pPr>
        <w:tabs>
          <w:tab w:val="left" w:pos="5880"/>
          <w:tab w:val="left" w:pos="6820"/>
          <w:tab w:val="left" w:pos="7760"/>
        </w:tabs>
        <w:spacing w:line="360" w:lineRule="auto"/>
        <w:ind w:firstLine="3600" w:firstLineChars="1500"/>
        <w:jc w:val="right"/>
        <w:rPr>
          <w:rFonts w:hint="eastAsia" w:ascii="宋体" w:hAnsi="宋体" w:eastAsia="宋体"/>
          <w:color w:val="auto"/>
          <w:sz w:val="24"/>
          <w:szCs w:val="24"/>
          <w:highlight w:val="none"/>
          <w:lang w:eastAsia="zh-CN"/>
        </w:rPr>
      </w:pPr>
      <w:r>
        <w:rPr>
          <w:rFonts w:ascii="宋体" w:hAnsi="宋体"/>
          <w:color w:val="auto"/>
          <w:sz w:val="24"/>
          <w:szCs w:val="24"/>
          <w:highlight w:val="none"/>
        </w:rPr>
        <w:t>招 标 人：</w:t>
      </w:r>
      <w:r>
        <w:rPr>
          <w:rFonts w:hint="eastAsia" w:ascii="宋体" w:hAnsi="宋体"/>
          <w:color w:val="auto"/>
          <w:sz w:val="24"/>
          <w:szCs w:val="24"/>
          <w:highlight w:val="none"/>
          <w:u w:val="single"/>
          <w:lang w:eastAsia="zh-CN"/>
        </w:rPr>
        <w:t>广州市荔湾区人民政府站前街道办事处</w:t>
      </w:r>
    </w:p>
    <w:p w14:paraId="55629CC2">
      <w:pPr>
        <w:adjustRightInd w:val="0"/>
        <w:spacing w:line="360" w:lineRule="auto"/>
        <w:ind w:firstLine="3600" w:firstLineChars="1500"/>
        <w:rPr>
          <w:rFonts w:ascii="宋体" w:hAnsi="宋体"/>
          <w:color w:val="auto"/>
          <w:sz w:val="24"/>
          <w:szCs w:val="24"/>
          <w:highlight w:val="none"/>
          <w:u w:val="single"/>
        </w:rPr>
      </w:pPr>
      <w:r>
        <w:rPr>
          <w:rFonts w:ascii="宋体" w:hAnsi="宋体"/>
          <w:color w:val="auto"/>
          <w:sz w:val="24"/>
          <w:szCs w:val="24"/>
          <w:highlight w:val="none"/>
        </w:rPr>
        <w:t>招标代理机构：</w:t>
      </w:r>
      <w:r>
        <w:rPr>
          <w:rFonts w:hint="eastAsia" w:ascii="宋体" w:hAnsi="宋体"/>
          <w:color w:val="auto"/>
          <w:sz w:val="24"/>
          <w:szCs w:val="24"/>
          <w:highlight w:val="none"/>
          <w:u w:val="single"/>
        </w:rPr>
        <w:t>广州市房实建设工程管理有限公司</w:t>
      </w:r>
    </w:p>
    <w:p w14:paraId="3B9BF198">
      <w:pPr>
        <w:adjustRightInd w:val="0"/>
        <w:spacing w:line="360" w:lineRule="auto"/>
        <w:ind w:firstLine="3600" w:firstLineChars="1500"/>
        <w:rPr>
          <w:rFonts w:ascii="宋体" w:hAnsi="宋体"/>
          <w:color w:val="auto"/>
          <w:sz w:val="24"/>
          <w:szCs w:val="24"/>
          <w:highlight w:val="none"/>
        </w:rPr>
        <w:sectPr>
          <w:footerReference r:id="rId4" w:type="first"/>
          <w:footerReference r:id="rId3" w:type="default"/>
          <w:pgSz w:w="11906" w:h="16838"/>
          <w:pgMar w:top="1440" w:right="1440" w:bottom="1440" w:left="1440" w:header="851" w:footer="992" w:gutter="0"/>
          <w:pgNumType w:start="0"/>
          <w:cols w:space="720" w:num="1"/>
          <w:titlePg/>
          <w:docGrid w:type="lines" w:linePitch="312" w:charSpace="0"/>
        </w:sectPr>
      </w:pP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lang w:eastAsia="zh-CN"/>
        </w:rPr>
        <w:t>2025</w:t>
      </w:r>
      <w:r>
        <w:rPr>
          <w:rFonts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 xml:space="preserve"> </w:t>
      </w:r>
      <w:r>
        <w:rPr>
          <w:rFonts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758261A1">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附件一：</w:t>
      </w:r>
    </w:p>
    <w:p w14:paraId="4841A933">
      <w:pPr>
        <w:widowControl/>
        <w:snapToGrid w:val="0"/>
        <w:spacing w:before="260" w:after="260" w:line="360" w:lineRule="auto"/>
        <w:ind w:right="384"/>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投标人声明</w:t>
      </w:r>
    </w:p>
    <w:p w14:paraId="275696CF">
      <w:p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本招标项目招标人及招标监管机构：</w:t>
      </w:r>
    </w:p>
    <w:p w14:paraId="1E11BB6C">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本公司就参加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投标工作，作出郑重声明：</w:t>
      </w:r>
    </w:p>
    <w:p w14:paraId="68832B9C">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一、本公司保证投标登记材料及其后提供的一切材料都是真实的。如我司成为本项目中标候选人，我司同意并授权招标人将我司投标文件</w:t>
      </w:r>
      <w:r>
        <w:rPr>
          <w:color w:val="auto"/>
          <w:sz w:val="24"/>
          <w:highlight w:val="none"/>
        </w:rPr>
        <w:t>商务部分文件的所有内容（包括人员、业绩、奖项等资料）进行公开</w:t>
      </w:r>
      <w:r>
        <w:rPr>
          <w:rFonts w:hint="eastAsia" w:ascii="宋体" w:hAnsi="宋体" w:cs="宋体"/>
          <w:color w:val="auto"/>
          <w:kern w:val="0"/>
          <w:sz w:val="24"/>
          <w:highlight w:val="none"/>
        </w:rPr>
        <w:t>。</w:t>
      </w:r>
    </w:p>
    <w:p w14:paraId="4BD87FF6">
      <w:pPr>
        <w:spacing w:line="360" w:lineRule="auto"/>
        <w:ind w:firstLine="480" w:firstLineChars="200"/>
        <w:jc w:val="left"/>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二、本公司承诺遵循公平公正、公开、诚实信用原则，如实投标，真实反映企业实力，公平竞争，不弄虚作假，不以低于企业成本价竞标而降低服务质量，不与任何建设单位订立违背企业成本取费标准及相关规定的“阴阳合同”进行恶性竞争，扰乱市场秩序，不与其他单位串通投标或以行贿手段谋取中标，不出借资质、转包或违法分包业务。</w:t>
      </w:r>
    </w:p>
    <w:p w14:paraId="1B6620F9">
      <w:pPr>
        <w:pStyle w:val="9"/>
        <w:widowControl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三、本公司不存在招标文件第二章投标人须知第1.4.3项所规定的任何一种情形。</w:t>
      </w:r>
    </w:p>
    <w:p w14:paraId="4A4B9557">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四、本公司及其有隶属关系的机构，没有参加本项目招标文件的编写工作；本公司与本次招标的招标代理机构没有隶属关系或其他利害关系。</w:t>
      </w:r>
      <w:r>
        <w:rPr>
          <w:rFonts w:hint="eastAsia" w:ascii="宋体" w:hAnsi="宋体" w:cs="宋体"/>
          <w:color w:val="auto"/>
          <w:kern w:val="0"/>
          <w:sz w:val="24"/>
          <w:highlight w:val="none"/>
        </w:rPr>
        <w:t>本公司与本工程前期服务单位没有隶属关系或其他利害关系。</w:t>
      </w:r>
    </w:p>
    <w:p w14:paraId="1BEABEE0">
      <w:pPr>
        <w:spacing w:line="360" w:lineRule="auto"/>
        <w:ind w:firstLine="480" w:firstLineChars="200"/>
        <w:jc w:val="left"/>
        <w:rPr>
          <w:rFonts w:hint="eastAsia" w:ascii="宋体" w:hAnsi="宋体" w:cs="宋体"/>
          <w:color w:val="auto"/>
          <w:sz w:val="24"/>
          <w:highlight w:val="none"/>
        </w:rPr>
      </w:pPr>
      <w:r>
        <w:rPr>
          <w:rFonts w:hint="eastAsia"/>
          <w:color w:val="auto"/>
          <w:sz w:val="24"/>
          <w:highlight w:val="none"/>
        </w:rPr>
        <w:t>五</w:t>
      </w:r>
      <w:r>
        <w:rPr>
          <w:rFonts w:hint="eastAsia" w:ascii="宋体" w:hAnsi="宋体" w:cs="宋体"/>
          <w:color w:val="auto"/>
          <w:sz w:val="24"/>
          <w:highlight w:val="none"/>
        </w:rPr>
        <w:t>、本公司承诺，中标后严格执行安全生产相关管理规定。</w:t>
      </w:r>
    </w:p>
    <w:p w14:paraId="6D61510A">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六、与本公司单位负责人为同一人或者与本公司存在控股、管理关系的其他单位包括                。（注：本条由投标人如实填写，如有，应列出全部满足招标公告资质要求的相关单位的名称；如无，则填写“无”。）</w:t>
      </w:r>
    </w:p>
    <w:p w14:paraId="60566639">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b w:val="0"/>
          <w:bCs/>
          <w:color w:val="auto"/>
          <w:kern w:val="0"/>
          <w:sz w:val="24"/>
          <w:highlight w:val="none"/>
          <w:u w:val="none"/>
        </w:rPr>
        <w:t>本公司违反上述承诺，或本声明陈述与事实不符，经查实，本公司愿意接受公开通报，愿意按照《广州市建筑市场信用管理办法》（穗建规字﹝2019﹞16号）的规定被记录为失信信息</w:t>
      </w:r>
      <w:r>
        <w:rPr>
          <w:rFonts w:hint="eastAsia" w:ascii="宋体" w:hAnsi="宋体" w:cs="宋体"/>
          <w:bCs/>
          <w:color w:val="auto"/>
          <w:kern w:val="0"/>
          <w:sz w:val="24"/>
          <w:highlight w:val="none"/>
          <w:u w:val="none"/>
        </w:rPr>
        <w:t>，</w:t>
      </w:r>
      <w:r>
        <w:rPr>
          <w:rFonts w:hint="eastAsia" w:ascii="宋体" w:hAnsi="宋体" w:cs="宋体"/>
          <w:bCs/>
          <w:color w:val="auto"/>
          <w:sz w:val="24"/>
          <w:highlight w:val="none"/>
          <w:u w:val="none"/>
        </w:rPr>
        <w:t>本公司对失信行为产生的一切后果已知悉。</w:t>
      </w:r>
      <w:r>
        <w:rPr>
          <w:rFonts w:hint="eastAsia" w:ascii="宋体" w:hAnsi="宋体" w:cs="宋体"/>
          <w:color w:val="auto"/>
          <w:kern w:val="0"/>
          <w:sz w:val="24"/>
          <w:highlight w:val="none"/>
        </w:rPr>
        <w:t>承担由此带来的法律后果。</w:t>
      </w:r>
    </w:p>
    <w:p w14:paraId="2866D925">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特此声明</w:t>
      </w:r>
    </w:p>
    <w:p w14:paraId="3069C2A6">
      <w:pPr>
        <w:pStyle w:val="22"/>
        <w:ind w:firstLine="0"/>
        <w:jc w:val="righ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声明企业：</w:t>
      </w:r>
      <w:r>
        <w:rPr>
          <w:rFonts w:hint="eastAsia" w:ascii="宋体" w:hAnsi="宋体" w:eastAsia="宋体" w:cs="宋体"/>
          <w:color w:val="auto"/>
          <w:sz w:val="24"/>
          <w:szCs w:val="24"/>
          <w:highlight w:val="none"/>
          <w:u w:val="single"/>
        </w:rPr>
        <w:t xml:space="preserve">      (企业公章)</w:t>
      </w:r>
    </w:p>
    <w:p w14:paraId="51A2F4DD">
      <w:pPr>
        <w:pStyle w:val="22"/>
        <w:wordWrap w:val="0"/>
        <w:ind w:firstLine="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p>
    <w:p w14:paraId="614E68B6">
      <w:pPr>
        <w:pStyle w:val="22"/>
        <w:wordWrap w:val="0"/>
        <w:ind w:firstLine="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D4C1304">
      <w:pPr>
        <w:rPr>
          <w:color w:val="auto"/>
          <w:highlight w:val="none"/>
        </w:rPr>
      </w:pPr>
    </w:p>
    <w:sectPr>
      <w:footerReference r:id="rId5" w:type="default"/>
      <w:pgSz w:w="11906" w:h="16838"/>
      <w:pgMar w:top="1134" w:right="1418" w:bottom="1134" w:left="1418"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C872F">
    <w:pPr>
      <w:pStyle w:val="8"/>
      <w:jc w:val="center"/>
    </w:pPr>
    <w:r>
      <w:fldChar w:fldCharType="begin"/>
    </w:r>
    <w:r>
      <w:instrText xml:space="preserve">PAGE   \* MERGEFORMAT</w:instrText>
    </w:r>
    <w:r>
      <w:fldChar w:fldCharType="separate"/>
    </w:r>
    <w:r>
      <w:rPr>
        <w:lang w:val="zh-CN"/>
      </w:rPr>
      <w:t>8</w:t>
    </w:r>
    <w:r>
      <w:fldChar w:fldCharType="end"/>
    </w:r>
  </w:p>
  <w:p w14:paraId="718CF8D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805CB">
    <w:pPr>
      <w:pStyle w:val="8"/>
      <w:tabs>
        <w:tab w:val="center" w:pos="4819"/>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70227">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B15431">
                          <w:pPr>
                            <w:pStyle w:val="8"/>
                            <w:jc w:val="center"/>
                          </w:pPr>
                          <w:r>
                            <w:fldChar w:fldCharType="begin"/>
                          </w:r>
                          <w:r>
                            <w:instrText xml:space="preserve">PAGE   \* MERGEFORMAT</w:instrText>
                          </w:r>
                          <w:r>
                            <w:fldChar w:fldCharType="separate"/>
                          </w:r>
                          <w:r>
                            <w:rPr>
                              <w:lang w:val="zh-CN"/>
                            </w:rP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8B15431">
                    <w:pPr>
                      <w:pStyle w:val="8"/>
                      <w:jc w:val="center"/>
                    </w:pPr>
                    <w:r>
                      <w:fldChar w:fldCharType="begin"/>
                    </w:r>
                    <w:r>
                      <w:instrText xml:space="preserve">PAGE   \* MERGEFORMAT</w:instrText>
                    </w:r>
                    <w:r>
                      <w:fldChar w:fldCharType="separate"/>
                    </w:r>
                    <w:r>
                      <w:rPr>
                        <w:lang w:val="zh-CN"/>
                      </w:rPr>
                      <w:t>9</w:t>
                    </w:r>
                    <w:r>
                      <w:fldChar w:fldCharType="end"/>
                    </w:r>
                  </w:p>
                </w:txbxContent>
              </v:textbox>
            </v:shape>
          </w:pict>
        </mc:Fallback>
      </mc:AlternateContent>
    </w:r>
  </w:p>
  <w:p w14:paraId="41195315">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NjIyZDA3MGU5YjdlOTYzY2IzMDI5ZDcwY2VkMDMifQ=="/>
  </w:docVars>
  <w:rsids>
    <w:rsidRoot w:val="18A22FDE"/>
    <w:rsid w:val="00032F19"/>
    <w:rsid w:val="00121D21"/>
    <w:rsid w:val="0014192D"/>
    <w:rsid w:val="005134AF"/>
    <w:rsid w:val="00567748"/>
    <w:rsid w:val="008E65F5"/>
    <w:rsid w:val="009D38B2"/>
    <w:rsid w:val="00AE17FB"/>
    <w:rsid w:val="00B0116E"/>
    <w:rsid w:val="00B330B6"/>
    <w:rsid w:val="00B9607C"/>
    <w:rsid w:val="00BA5EEA"/>
    <w:rsid w:val="00DF5A8F"/>
    <w:rsid w:val="024F3273"/>
    <w:rsid w:val="04BA2DFB"/>
    <w:rsid w:val="05667648"/>
    <w:rsid w:val="05CE264E"/>
    <w:rsid w:val="065E2379"/>
    <w:rsid w:val="080D4B60"/>
    <w:rsid w:val="082779D0"/>
    <w:rsid w:val="0C81032A"/>
    <w:rsid w:val="0F994F21"/>
    <w:rsid w:val="1028780E"/>
    <w:rsid w:val="10631503"/>
    <w:rsid w:val="134E6759"/>
    <w:rsid w:val="13817440"/>
    <w:rsid w:val="15C90318"/>
    <w:rsid w:val="15EF03BC"/>
    <w:rsid w:val="18A22FDE"/>
    <w:rsid w:val="1D682FCE"/>
    <w:rsid w:val="1F5B2A3B"/>
    <w:rsid w:val="1F79249F"/>
    <w:rsid w:val="202F342C"/>
    <w:rsid w:val="252D66FD"/>
    <w:rsid w:val="29F714A0"/>
    <w:rsid w:val="2A493AAF"/>
    <w:rsid w:val="2E3368D2"/>
    <w:rsid w:val="2ECB6519"/>
    <w:rsid w:val="2F266297"/>
    <w:rsid w:val="300E0DB1"/>
    <w:rsid w:val="32C959A4"/>
    <w:rsid w:val="33625F1A"/>
    <w:rsid w:val="35556C60"/>
    <w:rsid w:val="35B77D36"/>
    <w:rsid w:val="362D7709"/>
    <w:rsid w:val="3632329C"/>
    <w:rsid w:val="366E2244"/>
    <w:rsid w:val="36B5608F"/>
    <w:rsid w:val="36FB06A4"/>
    <w:rsid w:val="3A020B29"/>
    <w:rsid w:val="3CEC22BD"/>
    <w:rsid w:val="3DE267AC"/>
    <w:rsid w:val="3EEB2146"/>
    <w:rsid w:val="40972C3D"/>
    <w:rsid w:val="43B47982"/>
    <w:rsid w:val="454C2B98"/>
    <w:rsid w:val="463953AE"/>
    <w:rsid w:val="465D0485"/>
    <w:rsid w:val="4B7A6EA0"/>
    <w:rsid w:val="4BFF5397"/>
    <w:rsid w:val="4D0C5834"/>
    <w:rsid w:val="4D713CEA"/>
    <w:rsid w:val="4E470EC0"/>
    <w:rsid w:val="520933D1"/>
    <w:rsid w:val="532E0FBD"/>
    <w:rsid w:val="54D66195"/>
    <w:rsid w:val="5572017F"/>
    <w:rsid w:val="58346B41"/>
    <w:rsid w:val="58632671"/>
    <w:rsid w:val="5B273AB6"/>
    <w:rsid w:val="5C275077"/>
    <w:rsid w:val="6168031A"/>
    <w:rsid w:val="62F15DD1"/>
    <w:rsid w:val="63967F01"/>
    <w:rsid w:val="65356602"/>
    <w:rsid w:val="65F15688"/>
    <w:rsid w:val="67D618EB"/>
    <w:rsid w:val="690F1F87"/>
    <w:rsid w:val="69D5418D"/>
    <w:rsid w:val="6A6911A4"/>
    <w:rsid w:val="6F394D3C"/>
    <w:rsid w:val="71A30811"/>
    <w:rsid w:val="71F95B25"/>
    <w:rsid w:val="73D37AEB"/>
    <w:rsid w:val="77567603"/>
    <w:rsid w:val="7824219D"/>
    <w:rsid w:val="78DD1066"/>
    <w:rsid w:val="79DF3D0C"/>
    <w:rsid w:val="7A331458"/>
    <w:rsid w:val="7CDF7B0C"/>
    <w:rsid w:val="7DC11A5D"/>
    <w:rsid w:val="7DD2706A"/>
    <w:rsid w:val="7F3A3B2D"/>
    <w:rsid w:val="7F4D57C5"/>
    <w:rsid w:val="7F714E5A"/>
    <w:rsid w:val="7FB92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2" w:lineRule="auto"/>
      <w:outlineLvl w:val="1"/>
    </w:pPr>
    <w:rPr>
      <w:rFonts w:ascii="Arial" w:hAnsi="Arial" w:eastAsia="黑体"/>
      <w:b/>
      <w:kern w:val="0"/>
      <w:sz w:val="32"/>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Plain Text1"/>
    <w:basedOn w:val="1"/>
    <w:qFormat/>
    <w:uiPriority w:val="0"/>
    <w:rPr>
      <w:rFonts w:ascii="Courier New" w:hAnsi="Courier New" w:eastAsia="楷体_GB2312"/>
    </w:rPr>
  </w:style>
  <w:style w:type="paragraph" w:styleId="5">
    <w:name w:val="annotation text"/>
    <w:basedOn w:val="1"/>
    <w:link w:val="18"/>
    <w:unhideWhenUsed/>
    <w:qFormat/>
    <w:uiPriority w:val="99"/>
    <w:pPr>
      <w:jc w:val="left"/>
    </w:pPr>
  </w:style>
  <w:style w:type="paragraph" w:styleId="6">
    <w:name w:val="Body Text"/>
    <w:basedOn w:val="1"/>
    <w:unhideWhenUsed/>
    <w:qFormat/>
    <w:uiPriority w:val="99"/>
    <w:pPr>
      <w:spacing w:after="120"/>
    </w:pPr>
  </w:style>
  <w:style w:type="paragraph" w:styleId="7">
    <w:name w:val="Balloon Text"/>
    <w:basedOn w:val="1"/>
    <w:link w:val="17"/>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annotation subject"/>
    <w:basedOn w:val="5"/>
    <w:next w:val="5"/>
    <w:link w:val="19"/>
    <w:qFormat/>
    <w:uiPriority w:val="0"/>
    <w:rPr>
      <w:b/>
      <w:bCs/>
    </w:rPr>
  </w:style>
  <w:style w:type="paragraph" w:styleId="11">
    <w:name w:val="Body Text First Indent"/>
    <w:basedOn w:val="6"/>
    <w:qFormat/>
    <w:uiPriority w:val="0"/>
    <w:pPr>
      <w:spacing w:line="312" w:lineRule="auto"/>
      <w:ind w:firstLine="420"/>
    </w:pPr>
    <w:rPr>
      <w:szCs w:val="24"/>
    </w:rPr>
  </w:style>
  <w:style w:type="character" w:styleId="14">
    <w:name w:val="annotation reference"/>
    <w:basedOn w:val="13"/>
    <w:qFormat/>
    <w:uiPriority w:val="0"/>
    <w:rPr>
      <w:sz w:val="21"/>
      <w:szCs w:val="21"/>
    </w:rPr>
  </w:style>
  <w:style w:type="paragraph" w:customStyle="1" w:styleId="15">
    <w:name w:val="样式1"/>
    <w:basedOn w:val="1"/>
    <w:qFormat/>
    <w:uiPriority w:val="0"/>
    <w:pPr>
      <w:adjustRightInd w:val="0"/>
      <w:snapToGrid w:val="0"/>
      <w:spacing w:line="360" w:lineRule="auto"/>
      <w:ind w:firstLine="482" w:firstLineChars="200"/>
      <w:jc w:val="left"/>
    </w:pPr>
    <w:rPr>
      <w:rFonts w:ascii="宋体" w:hAnsi="宋体"/>
      <w:b/>
      <w:bCs/>
      <w:snapToGrid w:val="0"/>
      <w:kern w:val="0"/>
      <w:sz w:val="24"/>
      <w:szCs w:val="20"/>
    </w:rPr>
  </w:style>
  <w:style w:type="paragraph" w:customStyle="1" w:styleId="16">
    <w:name w:val="p0"/>
    <w:basedOn w:val="1"/>
    <w:qFormat/>
    <w:uiPriority w:val="0"/>
    <w:pPr>
      <w:widowControl/>
      <w:jc w:val="left"/>
    </w:pPr>
    <w:rPr>
      <w:kern w:val="0"/>
      <w:sz w:val="20"/>
      <w:szCs w:val="20"/>
    </w:rPr>
  </w:style>
  <w:style w:type="character" w:customStyle="1" w:styleId="17">
    <w:name w:val="批注框文本 字符"/>
    <w:basedOn w:val="13"/>
    <w:link w:val="7"/>
    <w:qFormat/>
    <w:uiPriority w:val="0"/>
    <w:rPr>
      <w:rFonts w:ascii="Times New Roman" w:hAnsi="Times New Roman" w:eastAsia="宋体" w:cs="Times New Roman"/>
      <w:kern w:val="2"/>
      <w:sz w:val="18"/>
      <w:szCs w:val="18"/>
    </w:rPr>
  </w:style>
  <w:style w:type="character" w:customStyle="1" w:styleId="18">
    <w:name w:val="批注文字 字符"/>
    <w:basedOn w:val="13"/>
    <w:link w:val="5"/>
    <w:qFormat/>
    <w:uiPriority w:val="99"/>
    <w:rPr>
      <w:rFonts w:ascii="Times New Roman" w:hAnsi="Times New Roman" w:eastAsia="宋体" w:cs="Times New Roman"/>
      <w:kern w:val="2"/>
      <w:sz w:val="21"/>
      <w:szCs w:val="22"/>
    </w:rPr>
  </w:style>
  <w:style w:type="character" w:customStyle="1" w:styleId="19">
    <w:name w:val="批注主题 字符"/>
    <w:basedOn w:val="18"/>
    <w:link w:val="10"/>
    <w:qFormat/>
    <w:uiPriority w:val="0"/>
    <w:rPr>
      <w:rFonts w:ascii="Times New Roman" w:hAnsi="Times New Roman" w:eastAsia="宋体" w:cs="Times New Roman"/>
      <w:b/>
      <w:bCs/>
      <w:kern w:val="2"/>
      <w:sz w:val="21"/>
      <w:szCs w:val="22"/>
    </w:rPr>
  </w:style>
  <w:style w:type="paragraph" w:customStyle="1" w:styleId="20">
    <w:name w:val="Revision"/>
    <w:hidden/>
    <w:unhideWhenUsed/>
    <w:qFormat/>
    <w:uiPriority w:val="99"/>
    <w:rPr>
      <w:rFonts w:ascii="Times New Roman" w:hAnsi="Times New Roman" w:eastAsia="宋体" w:cs="Times New Roman"/>
      <w:kern w:val="2"/>
      <w:sz w:val="21"/>
      <w:szCs w:val="22"/>
      <w:lang w:val="en-US" w:eastAsia="zh-CN" w:bidi="ar-SA"/>
    </w:rPr>
  </w:style>
  <w:style w:type="character" w:customStyle="1" w:styleId="21">
    <w:name w:val="标题 1 Char"/>
    <w:link w:val="3"/>
    <w:qFormat/>
    <w:uiPriority w:val="0"/>
    <w:rPr>
      <w:b/>
      <w:kern w:val="44"/>
      <w:sz w:val="44"/>
    </w:rPr>
  </w:style>
  <w:style w:type="paragraph" w:customStyle="1" w:styleId="2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3962</Words>
  <Characters>4356</Characters>
  <Lines>39</Lines>
  <Paragraphs>11</Paragraphs>
  <TotalTime>52</TotalTime>
  <ScaleCrop>false</ScaleCrop>
  <LinksUpToDate>false</LinksUpToDate>
  <CharactersWithSpaces>4638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2023-04-18T02:38:00Z</dcterms:created>
  <dc:creator>WPS_1577948409</dc:creator>
  <cp:lastModifiedBy>Koi</cp:lastModifiedBy>
  <cp:lastPrinted>2023-08-02T02:25:00Z</cp:lastPrinted>
  <dcterms:modified xsi:type="dcterms:W3CDTF">2025-05-30T07:51:41Z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05E962CBEE644D1B98436580E822F367_13</vt:lpwstr>
  </property>
  <property fmtid="{D5CDD505-2E9C-101B-9397-08002B2CF9AE}" pid="4" name="KSOTemplateDocerSaveRecord">
    <vt:lpwstr>eyJoZGlkIjoiMTkxOTVjNjc1YWRmYzgwMjlkNjU4MzhkN2EyY2ZhOTYiLCJ1c2VySWQiOiI1NjM3MDI3MzYifQ==</vt:lpwstr>
  </property>
</Properties>
</file>