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A16A">
      <w:pPr>
        <w:shd w:val="clear"/>
        <w:spacing w:line="480" w:lineRule="auto"/>
        <w:jc w:val="center"/>
        <w:rPr>
          <w:rFonts w:hint="eastAsia" w:ascii="宋体" w:hAnsi="宋体" w:eastAsia="宋体" w:cs="宋体"/>
          <w:b/>
          <w:bCs/>
          <w:color w:val="auto"/>
          <w:sz w:val="52"/>
          <w:szCs w:val="52"/>
          <w:highlight w:val="none"/>
          <w:lang w:eastAsia="zh-CN"/>
        </w:rPr>
      </w:pPr>
    </w:p>
    <w:p w14:paraId="7A8D2DB2">
      <w:pPr>
        <w:shd w:val="clear"/>
        <w:spacing w:line="480" w:lineRule="auto"/>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eastAsia="zh-CN"/>
        </w:rPr>
        <w:t>2023年白云区路灯查漏补缺项目</w:t>
      </w:r>
    </w:p>
    <w:p w14:paraId="55CB947E">
      <w:pPr>
        <w:spacing w:line="360" w:lineRule="auto"/>
        <w:ind w:left="359" w:leftChars="171"/>
        <w:jc w:val="center"/>
        <w:rPr>
          <w:rFonts w:hint="eastAsia" w:ascii="宋体" w:hAnsi="宋体" w:eastAsia="宋体" w:cs="宋体"/>
          <w:color w:val="auto"/>
          <w:sz w:val="36"/>
          <w:highlight w:val="none"/>
          <w:lang w:eastAsia="zh-CN"/>
        </w:rPr>
      </w:pPr>
    </w:p>
    <w:p w14:paraId="6B5587B1">
      <w:pPr>
        <w:spacing w:line="360" w:lineRule="auto"/>
        <w:ind w:left="359" w:leftChars="171"/>
        <w:jc w:val="center"/>
        <w:rPr>
          <w:rFonts w:hint="eastAsia" w:ascii="宋体" w:hAnsi="宋体" w:eastAsia="宋体" w:cs="宋体"/>
          <w:color w:val="auto"/>
          <w:sz w:val="36"/>
          <w:highlight w:val="none"/>
          <w:lang w:eastAsia="zh-CN"/>
        </w:rPr>
      </w:pPr>
    </w:p>
    <w:p w14:paraId="12059155">
      <w:pPr>
        <w:spacing w:line="360" w:lineRule="auto"/>
        <w:ind w:left="359" w:leftChars="171"/>
        <w:jc w:val="center"/>
        <w:rPr>
          <w:rFonts w:hint="eastAsia" w:ascii="宋体" w:hAnsi="宋体" w:eastAsia="宋体" w:cs="宋体"/>
          <w:color w:val="auto"/>
          <w:sz w:val="36"/>
          <w:highlight w:val="none"/>
          <w:lang w:eastAsia="zh-CN"/>
        </w:rPr>
      </w:pPr>
    </w:p>
    <w:p w14:paraId="75549E1B">
      <w:pPr>
        <w:spacing w:line="360" w:lineRule="auto"/>
        <w:ind w:left="359" w:leftChars="171"/>
        <w:jc w:val="center"/>
        <w:rPr>
          <w:rFonts w:hint="eastAsia" w:ascii="宋体" w:hAnsi="宋体" w:eastAsia="宋体" w:cs="宋体"/>
          <w:color w:val="auto"/>
          <w:sz w:val="36"/>
          <w:highlight w:val="none"/>
        </w:rPr>
      </w:pPr>
    </w:p>
    <w:p w14:paraId="1DC211A2">
      <w:pPr>
        <w:spacing w:line="360" w:lineRule="auto"/>
        <w:jc w:val="center"/>
        <w:rPr>
          <w:rFonts w:hint="eastAsia" w:ascii="宋体" w:hAnsi="宋体" w:eastAsia="宋体" w:cs="宋体"/>
          <w:color w:val="auto"/>
          <w:sz w:val="36"/>
          <w:highlight w:val="none"/>
          <w:u w:val="single"/>
        </w:rPr>
      </w:pPr>
    </w:p>
    <w:p w14:paraId="3A9E6750">
      <w:pPr>
        <w:spacing w:line="360" w:lineRule="auto"/>
        <w:jc w:val="center"/>
        <w:rPr>
          <w:rFonts w:hint="eastAsia" w:ascii="宋体" w:hAnsi="宋体" w:eastAsia="宋体" w:cs="宋体"/>
          <w:b/>
          <w:bCs/>
          <w:color w:val="auto"/>
          <w:spacing w:val="26"/>
          <w:sz w:val="110"/>
          <w:szCs w:val="110"/>
          <w:highlight w:val="none"/>
          <w:lang w:val="en-US" w:eastAsia="zh-CN"/>
        </w:rPr>
      </w:pPr>
      <w:r>
        <w:rPr>
          <w:rFonts w:hint="eastAsia" w:ascii="宋体" w:hAnsi="宋体" w:eastAsia="宋体" w:cs="宋体"/>
          <w:b/>
          <w:bCs/>
          <w:color w:val="auto"/>
          <w:spacing w:val="26"/>
          <w:sz w:val="110"/>
          <w:szCs w:val="110"/>
          <w:highlight w:val="none"/>
        </w:rPr>
        <w:t>招标</w:t>
      </w:r>
      <w:r>
        <w:rPr>
          <w:rFonts w:hint="eastAsia" w:ascii="宋体" w:hAnsi="宋体" w:eastAsia="宋体" w:cs="宋体"/>
          <w:b/>
          <w:bCs/>
          <w:color w:val="auto"/>
          <w:spacing w:val="26"/>
          <w:sz w:val="110"/>
          <w:szCs w:val="110"/>
          <w:highlight w:val="none"/>
          <w:lang w:val="en-US" w:eastAsia="zh-CN"/>
        </w:rPr>
        <w:t>文件</w:t>
      </w:r>
    </w:p>
    <w:p w14:paraId="09923E7D">
      <w:pPr>
        <w:spacing w:line="360" w:lineRule="auto"/>
        <w:ind w:firstLine="2560" w:firstLineChars="800"/>
        <w:rPr>
          <w:rFonts w:hint="eastAsia" w:ascii="宋体" w:hAnsi="宋体" w:eastAsia="宋体" w:cs="宋体"/>
          <w:color w:val="auto"/>
          <w:sz w:val="32"/>
          <w:highlight w:val="none"/>
        </w:rPr>
      </w:pPr>
    </w:p>
    <w:p w14:paraId="7164AD08">
      <w:pPr>
        <w:spacing w:line="360" w:lineRule="auto"/>
        <w:rPr>
          <w:rFonts w:hint="eastAsia" w:ascii="宋体" w:hAnsi="宋体" w:eastAsia="宋体" w:cs="宋体"/>
          <w:color w:val="auto"/>
          <w:sz w:val="52"/>
          <w:highlight w:val="none"/>
        </w:rPr>
      </w:pPr>
    </w:p>
    <w:p w14:paraId="64AB6A17">
      <w:pPr>
        <w:spacing w:line="360" w:lineRule="auto"/>
        <w:rPr>
          <w:rFonts w:hint="eastAsia" w:ascii="宋体" w:hAnsi="宋体" w:eastAsia="宋体" w:cs="宋体"/>
          <w:color w:val="auto"/>
          <w:sz w:val="52"/>
          <w:highlight w:val="none"/>
        </w:rPr>
      </w:pPr>
    </w:p>
    <w:p w14:paraId="6C5AC6B0">
      <w:pPr>
        <w:keepNext w:val="0"/>
        <w:keepLines w:val="0"/>
        <w:pageBreakBefore w:val="0"/>
        <w:widowControl w:val="0"/>
        <w:kinsoku/>
        <w:wordWrap/>
        <w:overflowPunct/>
        <w:topLinePunct w:val="0"/>
        <w:autoSpaceDE/>
        <w:autoSpaceDN/>
        <w:bidi w:val="0"/>
        <w:adjustRightInd/>
        <w:snapToGrid/>
        <w:spacing w:line="360" w:lineRule="auto"/>
        <w:ind w:left="0" w:leftChars="0" w:firstLine="1257" w:firstLineChars="419"/>
        <w:textAlignment w:val="auto"/>
        <w:rPr>
          <w:rFonts w:hint="eastAsia" w:ascii="宋体" w:hAnsi="宋体" w:eastAsia="宋体" w:cs="宋体"/>
          <w:color w:val="auto"/>
          <w:sz w:val="30"/>
          <w:szCs w:val="30"/>
          <w:highlight w:val="none"/>
        </w:rPr>
      </w:pPr>
    </w:p>
    <w:p w14:paraId="08AC71AE">
      <w:pPr>
        <w:keepNext w:val="0"/>
        <w:keepLines w:val="0"/>
        <w:pageBreakBefore w:val="0"/>
        <w:widowControl w:val="0"/>
        <w:kinsoku/>
        <w:wordWrap/>
        <w:overflowPunct/>
        <w:topLinePunct w:val="0"/>
        <w:autoSpaceDE/>
        <w:autoSpaceDN/>
        <w:bidi w:val="0"/>
        <w:adjustRightInd/>
        <w:snapToGrid/>
        <w:spacing w:line="360" w:lineRule="auto"/>
        <w:ind w:left="0" w:leftChars="0" w:firstLine="1257" w:firstLineChars="419"/>
        <w:textAlignment w:val="auto"/>
        <w:rPr>
          <w:rFonts w:hint="eastAsia" w:ascii="宋体" w:hAnsi="宋体" w:eastAsia="宋体" w:cs="宋体"/>
          <w:color w:val="auto"/>
          <w:sz w:val="30"/>
          <w:szCs w:val="30"/>
          <w:highlight w:val="none"/>
        </w:rPr>
      </w:pPr>
    </w:p>
    <w:p w14:paraId="061FF458">
      <w:pPr>
        <w:keepNext w:val="0"/>
        <w:keepLines w:val="0"/>
        <w:pageBreakBefore w:val="0"/>
        <w:widowControl w:val="0"/>
        <w:kinsoku/>
        <w:wordWrap/>
        <w:overflowPunct/>
        <w:topLinePunct w:val="0"/>
        <w:autoSpaceDE/>
        <w:autoSpaceDN/>
        <w:bidi w:val="0"/>
        <w:adjustRightInd/>
        <w:snapToGrid/>
        <w:spacing w:line="360" w:lineRule="auto"/>
        <w:ind w:firstLine="1800" w:firstLineChars="600"/>
        <w:jc w:val="left"/>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招  标 单 位：</w:t>
      </w:r>
      <w:r>
        <w:rPr>
          <w:rFonts w:hint="eastAsia" w:ascii="宋体" w:hAnsi="宋体" w:eastAsia="宋体" w:cs="宋体"/>
          <w:color w:val="auto"/>
          <w:sz w:val="30"/>
          <w:szCs w:val="30"/>
          <w:highlight w:val="none"/>
          <w:u w:val="single"/>
          <w:lang w:eastAsia="zh-CN"/>
        </w:rPr>
        <w:t>广州市白云区道路设施养护管理中心</w:t>
      </w:r>
    </w:p>
    <w:p w14:paraId="5C84915C">
      <w:pPr>
        <w:keepNext w:val="0"/>
        <w:keepLines w:val="0"/>
        <w:pageBreakBefore w:val="0"/>
        <w:widowControl w:val="0"/>
        <w:kinsoku/>
        <w:wordWrap/>
        <w:overflowPunct/>
        <w:topLinePunct w:val="0"/>
        <w:autoSpaceDE/>
        <w:autoSpaceDN/>
        <w:bidi w:val="0"/>
        <w:adjustRightInd/>
        <w:snapToGrid/>
        <w:spacing w:line="360" w:lineRule="auto"/>
        <w:ind w:firstLine="1800" w:firstLineChars="600"/>
        <w:jc w:val="left"/>
        <w:textAlignment w:val="auto"/>
        <w:rPr>
          <w:rFonts w:hint="eastAsia" w:ascii="宋体" w:hAnsi="宋体" w:eastAsia="宋体" w:cs="宋体"/>
          <w:color w:val="auto"/>
          <w:sz w:val="30"/>
          <w:szCs w:val="30"/>
          <w:highlight w:val="none"/>
          <w:u w:val="single"/>
          <w:lang w:eastAsia="zh-CN"/>
        </w:rPr>
      </w:pPr>
      <w:r>
        <w:rPr>
          <w:rFonts w:hint="eastAsia" w:ascii="宋体" w:hAnsi="宋体" w:eastAsia="宋体" w:cs="宋体"/>
          <w:color w:val="auto"/>
          <w:sz w:val="30"/>
          <w:szCs w:val="30"/>
          <w:highlight w:val="none"/>
        </w:rPr>
        <w:t>招标代理单位：</w:t>
      </w:r>
      <w:r>
        <w:rPr>
          <w:rFonts w:hint="eastAsia" w:ascii="宋体" w:hAnsi="宋体" w:eastAsia="宋体" w:cs="宋体"/>
          <w:color w:val="auto"/>
          <w:sz w:val="30"/>
          <w:szCs w:val="30"/>
          <w:highlight w:val="none"/>
          <w:u w:val="single"/>
          <w:lang w:eastAsia="zh-CN"/>
        </w:rPr>
        <w:t>广州珠江监理咨询集团有限公司</w:t>
      </w:r>
    </w:p>
    <w:p w14:paraId="1206EA4B">
      <w:pPr>
        <w:keepNext w:val="0"/>
        <w:keepLines w:val="0"/>
        <w:pageBreakBefore w:val="0"/>
        <w:widowControl w:val="0"/>
        <w:kinsoku/>
        <w:wordWrap/>
        <w:overflowPunct/>
        <w:topLinePunct w:val="0"/>
        <w:autoSpaceDE/>
        <w:autoSpaceDN/>
        <w:bidi w:val="0"/>
        <w:adjustRightInd/>
        <w:snapToGrid/>
        <w:spacing w:line="360" w:lineRule="auto"/>
        <w:ind w:firstLine="1800" w:firstLineChars="600"/>
        <w:jc w:val="left"/>
        <w:textAlignment w:val="auto"/>
        <w:rPr>
          <w:rFonts w:hint="eastAsia" w:ascii="宋体" w:hAnsi="宋体" w:eastAsia="宋体" w:cs="宋体"/>
          <w:color w:val="auto"/>
          <w:highlight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134" w:right="1418" w:bottom="1247" w:left="1418" w:header="851" w:footer="907"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宋体" w:hAnsi="宋体" w:eastAsia="宋体" w:cs="宋体"/>
          <w:color w:val="auto"/>
          <w:sz w:val="30"/>
          <w:szCs w:val="30"/>
          <w:highlight w:val="none"/>
        </w:rPr>
        <w:t>日</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期：</w:t>
      </w:r>
      <w:r>
        <w:rPr>
          <w:rFonts w:hint="eastAsia" w:ascii="宋体" w:hAnsi="宋体" w:eastAsia="宋体" w:cs="宋体"/>
          <w:color w:val="auto"/>
          <w:sz w:val="30"/>
          <w:szCs w:val="30"/>
          <w:highlight w:val="none"/>
          <w:u w:val="single"/>
          <w:lang w:val="en-US" w:eastAsia="zh-CN"/>
        </w:rPr>
        <w:t>2025</w:t>
      </w: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u w:val="single"/>
          <w:lang w:val="en-US" w:eastAsia="zh-CN"/>
        </w:rPr>
        <w:t>5</w:t>
      </w:r>
      <w:r>
        <w:rPr>
          <w:rFonts w:hint="eastAsia" w:ascii="宋体" w:hAnsi="宋体" w:eastAsia="宋体" w:cs="宋体"/>
          <w:color w:val="auto"/>
          <w:sz w:val="30"/>
          <w:szCs w:val="30"/>
          <w:highlight w:val="none"/>
        </w:rPr>
        <w:t>月</w:t>
      </w:r>
      <w:r>
        <w:rPr>
          <w:rFonts w:hint="eastAsia" w:ascii="宋体" w:hAnsi="宋体" w:cs="宋体"/>
          <w:color w:val="auto"/>
          <w:sz w:val="30"/>
          <w:szCs w:val="30"/>
          <w:highlight w:val="none"/>
          <w:u w:val="single"/>
          <w:lang w:val="en-US" w:eastAsia="zh-CN"/>
        </w:rPr>
        <w:t>30</w:t>
      </w:r>
      <w:r>
        <w:rPr>
          <w:rFonts w:hint="eastAsia" w:ascii="宋体" w:hAnsi="宋体" w:eastAsia="宋体" w:cs="宋体"/>
          <w:color w:val="auto"/>
          <w:sz w:val="30"/>
          <w:szCs w:val="30"/>
          <w:highlight w:val="none"/>
        </w:rPr>
        <w:t>日</w:t>
      </w:r>
      <w:bookmarkStart w:id="0" w:name="_Toc21525489"/>
      <w:bookmarkStart w:id="1" w:name="_Toc2272545"/>
    </w:p>
    <w:p w14:paraId="35567745">
      <w:pPr>
        <w:pStyle w:val="35"/>
        <w:rPr>
          <w:rFonts w:hint="eastAsia" w:ascii="宋体" w:hAnsi="宋体" w:eastAsia="宋体" w:cs="宋体"/>
          <w:color w:val="auto"/>
          <w:highlight w:val="none"/>
        </w:rPr>
      </w:pPr>
    </w:p>
    <w:p w14:paraId="10FE703E">
      <w:pPr>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t>目录</w:t>
      </w:r>
    </w:p>
    <w:p w14:paraId="308C8847">
      <w:pPr>
        <w:pStyle w:val="26"/>
        <w:tabs>
          <w:tab w:val="right" w:leader="dot" w:pos="9070"/>
          <w:tab w:val="clear" w:pos="906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_Toc31735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第一章  投标须知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_Toc31735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2DAB978">
      <w:pPr>
        <w:pStyle w:val="29"/>
        <w:tabs>
          <w:tab w:val="right" w:leader="dot" w:pos="9070"/>
          <w:tab w:val="clear" w:pos="906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_Toc7462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一、投标须知前附表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_Toc7462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970CA22">
      <w:pPr>
        <w:pStyle w:val="29"/>
        <w:tabs>
          <w:tab w:val="right" w:leader="dot" w:pos="9070"/>
          <w:tab w:val="clear" w:pos="906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_Toc28760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二、投标须知修改表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_Toc28760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43688F5">
      <w:pPr>
        <w:pStyle w:val="29"/>
        <w:tabs>
          <w:tab w:val="right" w:leader="dot" w:pos="9070"/>
          <w:tab w:val="clear" w:pos="906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_Toc19765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三、投标须知通用条款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_Toc19765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BA2C315">
      <w:pPr>
        <w:pStyle w:val="18"/>
        <w:tabs>
          <w:tab w:val="right" w:leader="dot" w:pos="907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_Toc821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AFCED76">
      <w:pPr>
        <w:pStyle w:val="18"/>
        <w:tabs>
          <w:tab w:val="right" w:leader="dot" w:pos="907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_Toc19361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_Toc19361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628BAFB">
      <w:pPr>
        <w:pStyle w:val="18"/>
        <w:tabs>
          <w:tab w:val="right" w:leader="dot" w:pos="907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_Toc644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2F862D1">
      <w:pPr>
        <w:pStyle w:val="18"/>
        <w:tabs>
          <w:tab w:val="right" w:leader="dot" w:pos="907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_Toc32530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（四）投标文件的提交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_Toc32530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8260A1F">
      <w:pPr>
        <w:pStyle w:val="18"/>
        <w:tabs>
          <w:tab w:val="right" w:leader="dot" w:pos="907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_Toc28853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（五）开标、评标、定标及合同签定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_Toc28853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723D7A8">
      <w:pPr>
        <w:pStyle w:val="26"/>
        <w:tabs>
          <w:tab w:val="right" w:leader="dot" w:pos="9070"/>
          <w:tab w:val="clear" w:pos="906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_Toc17683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第二章  开标、评标及定标办法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_Toc17683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B3DE74D">
      <w:pPr>
        <w:pStyle w:val="29"/>
        <w:tabs>
          <w:tab w:val="right" w:leader="dot" w:pos="9070"/>
          <w:tab w:val="clear" w:pos="906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_Toc28311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一、开标、评标及定标办法修改表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_Toc28311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7D02E5A">
      <w:pPr>
        <w:pStyle w:val="29"/>
        <w:tabs>
          <w:tab w:val="right" w:leader="dot" w:pos="9070"/>
          <w:tab w:val="clear" w:pos="906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_Toc22241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二、开标、评标及定标办法通用条款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_Toc22241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5887E40">
      <w:pPr>
        <w:pStyle w:val="18"/>
        <w:tabs>
          <w:tab w:val="right" w:leader="dot" w:pos="907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_Toc9587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_Toc9587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0797E98">
      <w:pPr>
        <w:pStyle w:val="18"/>
        <w:tabs>
          <w:tab w:val="right" w:leader="dot" w:pos="907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_Toc16793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lang w:eastAsia="zh-CN"/>
        </w:rPr>
        <w:t>（二）</w:t>
      </w:r>
      <w:r>
        <w:rPr>
          <w:rFonts w:hint="eastAsia" w:ascii="宋体" w:hAnsi="宋体" w:eastAsia="宋体" w:cs="宋体"/>
          <w:bCs/>
          <w:color w:val="auto"/>
          <w:highlight w:val="none"/>
        </w:rPr>
        <w:t>开标评标办法程序和细则</w:t>
      </w:r>
      <w:r>
        <w:rPr>
          <w:rFonts w:hint="eastAsia" w:ascii="宋体" w:hAnsi="宋体" w:eastAsia="宋体" w:cs="宋体"/>
          <w:bCs/>
          <w:color w:val="auto"/>
          <w:highlight w:val="none"/>
          <w:lang w:eastAsia="zh-CN"/>
        </w:rPr>
        <w:t>（</w:t>
      </w:r>
      <w:r>
        <w:rPr>
          <w:rFonts w:hint="eastAsia" w:ascii="宋体" w:hAnsi="宋体" w:eastAsia="宋体" w:cs="宋体"/>
          <w:color w:val="auto"/>
          <w:kern w:val="2"/>
          <w:szCs w:val="24"/>
          <w:highlight w:val="none"/>
          <w:lang w:val="en-US" w:eastAsia="zh-CN" w:bidi="ar-SA"/>
        </w:rPr>
        <w:t>开评标办法由招标人自行选择，鼓励招标人创新评标办法）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_Toc16793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A435A82">
      <w:pPr>
        <w:pStyle w:val="26"/>
        <w:tabs>
          <w:tab w:val="right" w:leader="dot" w:pos="9070"/>
          <w:tab w:val="clear" w:pos="906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_Toc15112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第三章  合同条款</w:t>
      </w:r>
      <w:r>
        <w:rPr>
          <w:rFonts w:hint="eastAsia" w:ascii="宋体" w:hAnsi="宋体" w:eastAsia="宋体" w:cs="宋体"/>
          <w:color w:val="auto"/>
          <w:highlight w:val="none"/>
          <w:lang w:eastAsia="zh-CN"/>
        </w:rPr>
        <w:t>及格式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_Toc15112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1A9CBBE">
      <w:pPr>
        <w:pStyle w:val="26"/>
        <w:tabs>
          <w:tab w:val="right" w:leader="dot" w:pos="9070"/>
          <w:tab w:val="clear" w:pos="906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_Toc29898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_Toc29898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6D434D8">
      <w:pPr>
        <w:pStyle w:val="26"/>
        <w:tabs>
          <w:tab w:val="right" w:leader="dot" w:pos="9070"/>
          <w:tab w:val="clear" w:pos="906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_Toc26180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第五章  技术条件（工程建设标准）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_Toc26180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1D7DE9A">
      <w:pPr>
        <w:pStyle w:val="26"/>
        <w:tabs>
          <w:tab w:val="right" w:leader="dot" w:pos="9070"/>
          <w:tab w:val="clear" w:pos="906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_Toc17091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第六章  图纸及勘察资料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_Toc17091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244FF6E">
      <w:pPr>
        <w:pStyle w:val="26"/>
        <w:tabs>
          <w:tab w:val="right" w:leader="dot" w:pos="9070"/>
          <w:tab w:val="clear" w:pos="906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_Toc13042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第七章  工程量清单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_Toc13042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72B08F8">
      <w:pPr>
        <w:pStyle w:val="26"/>
        <w:tabs>
          <w:tab w:val="right" w:leader="dot" w:pos="9070"/>
          <w:tab w:val="clear" w:pos="906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_Toc18445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第八章  最高投标限价</w:t>
      </w:r>
      <w:bookmarkStart w:id="90" w:name="_GoBack"/>
      <w:bookmarkEnd w:id="90"/>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_Toc18445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915F414">
      <w:pPr>
        <w:pStyle w:val="2"/>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0FE1179C">
      <w:pPr>
        <w:pStyle w:val="2"/>
        <w:bidi w:val="0"/>
        <w:rPr>
          <w:rFonts w:hint="eastAsia" w:ascii="宋体" w:hAnsi="宋体" w:eastAsia="宋体" w:cs="宋体"/>
          <w:color w:val="auto"/>
          <w:highlight w:val="none"/>
        </w:rPr>
      </w:pPr>
      <w:bookmarkStart w:id="2" w:name="_Toc31735"/>
      <w:bookmarkStart w:id="3" w:name="_Toc20110"/>
    </w:p>
    <w:p w14:paraId="452F18B5">
      <w:pPr>
        <w:pStyle w:val="35"/>
        <w:rPr>
          <w:rFonts w:hint="eastAsia" w:ascii="宋体" w:hAnsi="宋体" w:eastAsia="宋体" w:cs="宋体"/>
          <w:color w:val="auto"/>
          <w:highlight w:val="none"/>
        </w:rPr>
      </w:pPr>
    </w:p>
    <w:p w14:paraId="12FE78FD">
      <w:pPr>
        <w:pStyle w:val="2"/>
        <w:bidi w:val="0"/>
        <w:rPr>
          <w:rFonts w:hint="eastAsia" w:ascii="宋体" w:hAnsi="宋体" w:eastAsia="宋体" w:cs="宋体"/>
          <w:color w:val="auto"/>
          <w:highlight w:val="none"/>
        </w:rPr>
      </w:pPr>
      <w:r>
        <w:rPr>
          <w:rFonts w:hint="eastAsia" w:ascii="宋体" w:hAnsi="宋体" w:eastAsia="宋体" w:cs="宋体"/>
          <w:color w:val="auto"/>
          <w:highlight w:val="none"/>
        </w:rPr>
        <w:t>第一章  投标须知</w:t>
      </w:r>
      <w:bookmarkEnd w:id="0"/>
      <w:bookmarkEnd w:id="1"/>
      <w:bookmarkEnd w:id="2"/>
      <w:bookmarkEnd w:id="3"/>
    </w:p>
    <w:p w14:paraId="028B6E08">
      <w:pPr>
        <w:pStyle w:val="4"/>
        <w:bidi w:val="0"/>
        <w:rPr>
          <w:rFonts w:hint="eastAsia" w:ascii="宋体" w:hAnsi="宋体" w:eastAsia="宋体" w:cs="宋体"/>
          <w:color w:val="auto"/>
          <w:highlight w:val="none"/>
        </w:rPr>
      </w:pPr>
      <w:bookmarkStart w:id="4" w:name="_Toc28976"/>
      <w:bookmarkStart w:id="5" w:name="_Toc2272546"/>
      <w:bookmarkStart w:id="6" w:name="_Toc7462"/>
      <w:bookmarkStart w:id="7" w:name="_Toc21525490"/>
      <w:r>
        <w:rPr>
          <w:rFonts w:hint="eastAsia" w:ascii="宋体" w:hAnsi="宋体" w:eastAsia="宋体" w:cs="宋体"/>
          <w:color w:val="auto"/>
          <w:highlight w:val="none"/>
        </w:rPr>
        <w:t>一、投标须知前附表</w:t>
      </w:r>
      <w:bookmarkEnd w:id="4"/>
      <w:bookmarkEnd w:id="5"/>
      <w:bookmarkEnd w:id="6"/>
      <w:bookmarkEnd w:id="7"/>
    </w:p>
    <w:p w14:paraId="236FE3C5">
      <w:pPr>
        <w:pStyle w:val="7"/>
        <w:spacing w:line="360" w:lineRule="auto"/>
        <w:ind w:firstLine="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声明：本投标须知前附表使用</w:t>
      </w:r>
      <w:r>
        <w:rPr>
          <w:rFonts w:hint="eastAsia" w:ascii="宋体" w:hAnsi="宋体" w:eastAsia="宋体" w:cs="宋体"/>
          <w:b/>
          <w:color w:val="auto"/>
          <w:sz w:val="24"/>
          <w:szCs w:val="24"/>
          <w:highlight w:val="none"/>
          <w:lang w:eastAsia="zh-CN"/>
        </w:rPr>
        <w:t>GZJTZB202</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lang w:eastAsia="zh-CN"/>
        </w:rPr>
        <w:t>-3</w:t>
      </w:r>
      <w:r>
        <w:rPr>
          <w:rFonts w:hint="eastAsia" w:ascii="宋体" w:hAnsi="宋体" w:eastAsia="宋体" w:cs="宋体"/>
          <w:b/>
          <w:color w:val="auto"/>
          <w:sz w:val="24"/>
          <w:szCs w:val="24"/>
          <w:highlight w:val="none"/>
        </w:rPr>
        <w:t>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6"/>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733"/>
        <w:gridCol w:w="5934"/>
      </w:tblGrid>
      <w:tr w14:paraId="6158B2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094B46D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0457DC4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1733" w:type="dxa"/>
            <w:tcBorders>
              <w:top w:val="double" w:color="auto" w:sz="4" w:space="0"/>
              <w:left w:val="single" w:color="auto" w:sz="4" w:space="0"/>
              <w:bottom w:val="single" w:color="auto" w:sz="4" w:space="0"/>
              <w:right w:val="single" w:color="auto" w:sz="4" w:space="0"/>
            </w:tcBorders>
            <w:vAlign w:val="center"/>
          </w:tcPr>
          <w:p w14:paraId="34C5247B">
            <w:pPr>
              <w:ind w:firstLine="458"/>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w:t>
            </w:r>
          </w:p>
        </w:tc>
        <w:tc>
          <w:tcPr>
            <w:tcW w:w="5934" w:type="dxa"/>
            <w:tcBorders>
              <w:top w:val="double" w:color="auto" w:sz="4" w:space="0"/>
              <w:left w:val="single" w:color="auto" w:sz="4" w:space="0"/>
              <w:bottom w:val="single" w:color="auto" w:sz="4" w:space="0"/>
              <w:right w:val="double" w:color="auto" w:sz="4" w:space="0"/>
            </w:tcBorders>
            <w:vAlign w:val="center"/>
          </w:tcPr>
          <w:p w14:paraId="479443A2">
            <w:pPr>
              <w:pStyle w:val="20"/>
              <w:ind w:firstLine="45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说明与要求</w:t>
            </w:r>
          </w:p>
        </w:tc>
      </w:tr>
      <w:tr w14:paraId="083650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5ADDDC8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2DD8D54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733" w:type="dxa"/>
            <w:tcBorders>
              <w:top w:val="single" w:color="auto" w:sz="4" w:space="0"/>
              <w:left w:val="single" w:color="auto" w:sz="4" w:space="0"/>
              <w:bottom w:val="single" w:color="auto" w:sz="4" w:space="0"/>
              <w:right w:val="single" w:color="auto" w:sz="4" w:space="0"/>
            </w:tcBorders>
            <w:vAlign w:val="center"/>
          </w:tcPr>
          <w:p w14:paraId="4A8730A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定义</w:t>
            </w:r>
          </w:p>
        </w:tc>
        <w:tc>
          <w:tcPr>
            <w:tcW w:w="5934" w:type="dxa"/>
            <w:tcBorders>
              <w:top w:val="single" w:color="auto" w:sz="4" w:space="0"/>
              <w:left w:val="single" w:color="auto" w:sz="4" w:space="0"/>
              <w:bottom w:val="single" w:color="auto" w:sz="4" w:space="0"/>
              <w:right w:val="double" w:color="auto" w:sz="4" w:space="0"/>
            </w:tcBorders>
            <w:vAlign w:val="center"/>
          </w:tcPr>
          <w:p w14:paraId="79487D7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招标人（即发包人）：</w:t>
            </w:r>
            <w:r>
              <w:rPr>
                <w:rFonts w:hint="eastAsia" w:ascii="宋体" w:hAnsi="宋体" w:eastAsia="宋体" w:cs="宋体"/>
                <w:color w:val="auto"/>
                <w:szCs w:val="21"/>
                <w:highlight w:val="none"/>
                <w:u w:val="single"/>
                <w:lang w:eastAsia="zh-CN"/>
              </w:rPr>
              <w:t>广州市白云区道路设施养护管理中心</w:t>
            </w:r>
          </w:p>
          <w:p w14:paraId="7A2B41EE">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项目建设管理单位：</w:t>
            </w:r>
            <w:r>
              <w:rPr>
                <w:rFonts w:hint="eastAsia" w:ascii="宋体" w:hAnsi="宋体" w:cs="宋体"/>
                <w:color w:val="auto"/>
                <w:szCs w:val="21"/>
                <w:highlight w:val="none"/>
                <w:u w:val="single"/>
                <w:lang w:val="en-US" w:eastAsia="zh-CN"/>
              </w:rPr>
              <w:t>/</w:t>
            </w:r>
          </w:p>
          <w:p w14:paraId="36CBB4EF">
            <w:pPr>
              <w:pStyle w:val="19"/>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项目代建单位：</w:t>
            </w:r>
            <w:r>
              <w:rPr>
                <w:rFonts w:hint="eastAsia" w:ascii="宋体" w:hAnsi="宋体" w:eastAsia="宋体" w:cs="宋体"/>
                <w:color w:val="auto"/>
                <w:highlight w:val="none"/>
                <w:u w:val="single"/>
                <w:lang w:val="en-US" w:eastAsia="zh-CN"/>
              </w:rPr>
              <w:t>/</w:t>
            </w:r>
          </w:p>
          <w:p w14:paraId="59A81423">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招标代理：</w:t>
            </w:r>
            <w:r>
              <w:rPr>
                <w:rFonts w:hint="eastAsia" w:ascii="宋体" w:hAnsi="宋体" w:eastAsia="宋体" w:cs="宋体"/>
                <w:color w:val="auto"/>
                <w:szCs w:val="21"/>
                <w:highlight w:val="none"/>
                <w:u w:val="single"/>
                <w:lang w:val="en-US" w:eastAsia="zh-CN"/>
              </w:rPr>
              <w:t>广州珠江监理咨询集团有限公司</w:t>
            </w:r>
          </w:p>
          <w:p w14:paraId="2A82184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设计单位：</w:t>
            </w:r>
            <w:r>
              <w:rPr>
                <w:rFonts w:hint="eastAsia" w:ascii="宋体" w:hAnsi="宋体" w:eastAsia="宋体" w:cs="宋体"/>
                <w:color w:val="auto"/>
                <w:szCs w:val="21"/>
                <w:highlight w:val="none"/>
                <w:u w:val="single"/>
              </w:rPr>
              <w:t>广东省建筑设计研究院集团股份有限公司</w:t>
            </w:r>
          </w:p>
          <w:p w14:paraId="7DEB7169">
            <w:pPr>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监理单位：</w:t>
            </w:r>
            <w:r>
              <w:rPr>
                <w:rFonts w:hint="eastAsia" w:ascii="宋体" w:hAnsi="宋体" w:eastAsia="宋体" w:cs="宋体"/>
                <w:color w:val="auto"/>
                <w:szCs w:val="21"/>
                <w:highlight w:val="none"/>
                <w:u w:val="single"/>
                <w:lang w:val="en-US" w:eastAsia="zh-CN"/>
              </w:rPr>
              <w:t>/</w:t>
            </w:r>
          </w:p>
          <w:p w14:paraId="07441160">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检测机构：</w:t>
            </w:r>
            <w:r>
              <w:rPr>
                <w:rFonts w:hint="eastAsia" w:ascii="宋体" w:hAnsi="宋体" w:eastAsia="宋体" w:cs="宋体"/>
                <w:color w:val="auto"/>
                <w:szCs w:val="21"/>
                <w:highlight w:val="none"/>
                <w:u w:val="single"/>
                <w:lang w:val="en-US" w:eastAsia="zh-CN"/>
              </w:rPr>
              <w:t>/</w:t>
            </w:r>
          </w:p>
        </w:tc>
      </w:tr>
      <w:tr w14:paraId="0E683E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02" w:type="dxa"/>
            <w:tcBorders>
              <w:top w:val="single" w:color="auto" w:sz="4" w:space="0"/>
              <w:left w:val="double" w:color="auto" w:sz="4" w:space="0"/>
              <w:bottom w:val="single" w:color="auto" w:sz="4" w:space="0"/>
              <w:right w:val="single" w:color="auto" w:sz="4" w:space="0"/>
            </w:tcBorders>
            <w:vAlign w:val="center"/>
          </w:tcPr>
          <w:p w14:paraId="253305A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1163231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7125E4F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5934" w:type="dxa"/>
            <w:tcBorders>
              <w:top w:val="single" w:color="auto" w:sz="4" w:space="0"/>
              <w:left w:val="single" w:color="auto" w:sz="4" w:space="0"/>
              <w:bottom w:val="single" w:color="auto" w:sz="4" w:space="0"/>
              <w:right w:val="double" w:color="auto" w:sz="4" w:space="0"/>
            </w:tcBorders>
            <w:vAlign w:val="center"/>
          </w:tcPr>
          <w:p w14:paraId="6C967F0A">
            <w:pPr>
              <w:rPr>
                <w:rFonts w:hint="eastAsia" w:ascii="宋体" w:hAnsi="宋体" w:eastAsia="宋体" w:cs="宋体"/>
                <w:color w:val="auto"/>
                <w:highlight w:val="none"/>
                <w:u w:val="single"/>
                <w:lang w:eastAsia="zh-CN"/>
              </w:rPr>
            </w:pPr>
            <w:r>
              <w:rPr>
                <w:rFonts w:hint="eastAsia" w:ascii="宋体" w:hAnsi="宋体" w:eastAsia="宋体" w:cs="宋体"/>
                <w:color w:val="auto"/>
                <w:highlight w:val="none"/>
                <w:lang w:eastAsia="zh-CN"/>
              </w:rPr>
              <w:t>工程名称：</w:t>
            </w:r>
            <w:r>
              <w:rPr>
                <w:rFonts w:hint="eastAsia" w:ascii="宋体" w:hAnsi="宋体" w:eastAsia="宋体" w:cs="宋体"/>
                <w:color w:val="auto"/>
                <w:highlight w:val="none"/>
                <w:u w:val="single"/>
                <w:lang w:eastAsia="zh-CN"/>
              </w:rPr>
              <w:t>2023年白云区路灯查漏补缺项目</w:t>
            </w:r>
          </w:p>
          <w:p w14:paraId="75949B2F">
            <w:pPr>
              <w:pStyle w:val="19"/>
              <w:rPr>
                <w:rFonts w:hint="eastAsia" w:ascii="宋体" w:hAnsi="宋体" w:eastAsia="宋体" w:cs="宋体"/>
                <w:color w:val="auto"/>
                <w:highlight w:val="none"/>
                <w:u w:val="single"/>
                <w:lang w:val="en-US" w:eastAsia="zh-CN"/>
              </w:rPr>
            </w:pPr>
            <w:r>
              <w:rPr>
                <w:rFonts w:hint="eastAsia" w:ascii="宋体" w:hAnsi="宋体" w:eastAsia="宋体" w:cs="宋体"/>
                <w:color w:val="auto"/>
                <w:szCs w:val="21"/>
                <w:highlight w:val="none"/>
                <w:lang w:eastAsia="zh-CN"/>
              </w:rPr>
              <w:t>招标项目名称：</w:t>
            </w:r>
            <w:r>
              <w:rPr>
                <w:rFonts w:hint="eastAsia" w:ascii="宋体" w:hAnsi="宋体" w:eastAsia="宋体" w:cs="宋体"/>
                <w:color w:val="auto"/>
                <w:highlight w:val="none"/>
                <w:u w:val="single"/>
                <w:lang w:eastAsia="zh-CN"/>
              </w:rPr>
              <w:t>2023年白云区路灯查漏补缺项目</w:t>
            </w:r>
          </w:p>
        </w:tc>
      </w:tr>
      <w:tr w14:paraId="199C39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14:paraId="3D20DED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14:paraId="2FA554C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4930DFE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建设地点</w:t>
            </w:r>
          </w:p>
        </w:tc>
        <w:tc>
          <w:tcPr>
            <w:tcW w:w="5934" w:type="dxa"/>
            <w:tcBorders>
              <w:top w:val="single" w:color="auto" w:sz="4" w:space="0"/>
              <w:left w:val="single" w:color="auto" w:sz="4" w:space="0"/>
              <w:bottom w:val="single" w:color="auto" w:sz="4" w:space="0"/>
              <w:right w:val="double" w:color="auto" w:sz="4" w:space="0"/>
            </w:tcBorders>
            <w:vAlign w:val="center"/>
          </w:tcPr>
          <w:p w14:paraId="37E509D6">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广州市</w:t>
            </w:r>
            <w:r>
              <w:rPr>
                <w:rFonts w:hint="eastAsia" w:ascii="宋体" w:hAnsi="宋体" w:eastAsia="宋体" w:cs="宋体"/>
                <w:color w:val="auto"/>
                <w:szCs w:val="21"/>
                <w:highlight w:val="none"/>
                <w:u w:val="single"/>
                <w:lang w:val="en-US" w:eastAsia="zh-CN"/>
              </w:rPr>
              <w:t>白云</w:t>
            </w:r>
            <w:r>
              <w:rPr>
                <w:rFonts w:hint="eastAsia" w:ascii="宋体" w:hAnsi="宋体" w:eastAsia="宋体" w:cs="宋体"/>
                <w:color w:val="auto"/>
                <w:szCs w:val="21"/>
                <w:highlight w:val="none"/>
              </w:rPr>
              <w:t>区</w:t>
            </w:r>
          </w:p>
        </w:tc>
      </w:tr>
      <w:tr w14:paraId="3FF744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14:paraId="72F136E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3680373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77C6AB1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建设规模</w:t>
            </w:r>
          </w:p>
        </w:tc>
        <w:tc>
          <w:tcPr>
            <w:tcW w:w="5934" w:type="dxa"/>
            <w:tcBorders>
              <w:top w:val="single" w:color="auto" w:sz="4" w:space="0"/>
              <w:left w:val="single" w:color="auto" w:sz="4" w:space="0"/>
              <w:bottom w:val="single" w:color="auto" w:sz="4" w:space="0"/>
              <w:right w:val="double" w:color="auto" w:sz="4" w:space="0"/>
            </w:tcBorders>
            <w:shd w:val="clear" w:color="auto" w:fill="auto"/>
            <w:vAlign w:val="center"/>
          </w:tcPr>
          <w:p w14:paraId="65853E87">
            <w:pPr>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highlight w:val="none"/>
                <w:u w:val="single"/>
              </w:rPr>
              <w:t>详见</w:t>
            </w:r>
            <w:r>
              <w:rPr>
                <w:rFonts w:hint="eastAsia" w:ascii="宋体" w:hAnsi="宋体" w:eastAsia="宋体" w:cs="宋体"/>
                <w:color w:val="auto"/>
                <w:highlight w:val="none"/>
                <w:u w:val="single"/>
                <w:lang w:val="en-US" w:eastAsia="zh-CN"/>
              </w:rPr>
              <w:t>本工程</w:t>
            </w:r>
            <w:r>
              <w:rPr>
                <w:rFonts w:hint="eastAsia" w:ascii="宋体" w:hAnsi="宋体" w:eastAsia="宋体" w:cs="宋体"/>
                <w:color w:val="auto"/>
                <w:highlight w:val="none"/>
                <w:u w:val="single"/>
              </w:rPr>
              <w:t>招标公告。</w:t>
            </w:r>
          </w:p>
        </w:tc>
      </w:tr>
      <w:tr w14:paraId="47FDA2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14:paraId="7D0ABF6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2A48B3B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27FB583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承包方式</w:t>
            </w:r>
          </w:p>
        </w:tc>
        <w:tc>
          <w:tcPr>
            <w:tcW w:w="5934" w:type="dxa"/>
            <w:tcBorders>
              <w:top w:val="single" w:color="auto" w:sz="4" w:space="0"/>
              <w:left w:val="single" w:color="auto" w:sz="4" w:space="0"/>
              <w:bottom w:val="single" w:color="auto" w:sz="4" w:space="0"/>
              <w:right w:val="double" w:color="auto" w:sz="4" w:space="0"/>
            </w:tcBorders>
            <w:shd w:val="clear" w:color="auto" w:fill="auto"/>
            <w:vAlign w:val="center"/>
          </w:tcPr>
          <w:p w14:paraId="311A59CC">
            <w:pPr>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Cs w:val="21"/>
                <w:highlight w:val="none"/>
                <w:lang w:eastAsia="zh-CN"/>
              </w:rPr>
              <w:t>包工、包料、包工期、包质量、包绿色施工、包安全生产、包文明施工、包验收、包保修的承包方式。本工程为综合单价包干，工程量按实结算，措施费总价包干形式</w:t>
            </w:r>
            <w:r>
              <w:rPr>
                <w:rFonts w:hint="eastAsia" w:ascii="宋体" w:hAnsi="宋体" w:eastAsia="宋体" w:cs="宋体"/>
                <w:color w:val="auto"/>
                <w:szCs w:val="21"/>
                <w:highlight w:val="none"/>
              </w:rPr>
              <w:t>。</w:t>
            </w:r>
          </w:p>
        </w:tc>
      </w:tr>
      <w:tr w14:paraId="427A99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14:paraId="63B267F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10022C0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6DDE734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5934" w:type="dxa"/>
            <w:tcBorders>
              <w:top w:val="single" w:color="auto" w:sz="4" w:space="0"/>
              <w:left w:val="single" w:color="auto" w:sz="4" w:space="0"/>
              <w:bottom w:val="single" w:color="auto" w:sz="4" w:space="0"/>
              <w:right w:val="double" w:color="auto" w:sz="4" w:space="0"/>
            </w:tcBorders>
            <w:vAlign w:val="center"/>
          </w:tcPr>
          <w:p w14:paraId="689C1EA5">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确保符合国家、省、市 建筑工程施工规范的质量验收标准，并达到合格或（以上标准）</w:t>
            </w:r>
          </w:p>
        </w:tc>
      </w:tr>
      <w:tr w14:paraId="560E9E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14:paraId="306C9AD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556E29B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680E4E7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招标范围</w:t>
            </w:r>
          </w:p>
        </w:tc>
        <w:tc>
          <w:tcPr>
            <w:tcW w:w="5934" w:type="dxa"/>
            <w:tcBorders>
              <w:top w:val="single" w:color="auto" w:sz="4" w:space="0"/>
              <w:left w:val="single" w:color="auto" w:sz="4" w:space="0"/>
              <w:bottom w:val="single" w:color="auto" w:sz="4" w:space="0"/>
              <w:right w:val="double" w:color="auto" w:sz="4" w:space="0"/>
            </w:tcBorders>
            <w:vAlign w:val="center"/>
          </w:tcPr>
          <w:p w14:paraId="4A6FA40D">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w:t>
            </w:r>
            <w:r>
              <w:rPr>
                <w:rFonts w:hint="eastAsia" w:ascii="宋体" w:hAnsi="宋体" w:eastAsia="宋体" w:cs="宋体"/>
                <w:color w:val="auto"/>
                <w:szCs w:val="21"/>
                <w:highlight w:val="none"/>
                <w:u w:val="single"/>
                <w:lang w:val="en-US" w:eastAsia="zh-CN"/>
              </w:rPr>
              <w:t>本工程</w:t>
            </w:r>
            <w:r>
              <w:rPr>
                <w:rFonts w:hint="eastAsia" w:ascii="宋体" w:hAnsi="宋体" w:eastAsia="宋体" w:cs="宋体"/>
                <w:color w:val="auto"/>
                <w:szCs w:val="21"/>
                <w:highlight w:val="none"/>
                <w:u w:val="single"/>
              </w:rPr>
              <w:t>招标公告。</w:t>
            </w:r>
          </w:p>
        </w:tc>
      </w:tr>
      <w:tr w14:paraId="0B4110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14:paraId="26F4163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19F1CAF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7342F87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工期要求</w:t>
            </w:r>
          </w:p>
        </w:tc>
        <w:tc>
          <w:tcPr>
            <w:tcW w:w="5934" w:type="dxa"/>
            <w:tcBorders>
              <w:top w:val="single" w:color="auto" w:sz="4" w:space="0"/>
              <w:left w:val="single" w:color="auto" w:sz="4" w:space="0"/>
              <w:bottom w:val="single" w:color="auto" w:sz="4" w:space="0"/>
              <w:right w:val="double" w:color="auto" w:sz="4" w:space="0"/>
            </w:tcBorders>
            <w:vAlign w:val="center"/>
          </w:tcPr>
          <w:p w14:paraId="6BE2812E">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施工总</w:t>
            </w:r>
            <w:r>
              <w:rPr>
                <w:rFonts w:hint="eastAsia" w:ascii="宋体" w:hAnsi="宋体" w:eastAsia="宋体" w:cs="宋体"/>
                <w:color w:val="auto"/>
                <w:szCs w:val="21"/>
                <w:highlight w:val="none"/>
                <w:u w:val="single"/>
                <w:lang w:val="en-US" w:eastAsia="zh-CN"/>
              </w:rPr>
              <w:t>工</w:t>
            </w:r>
            <w:r>
              <w:rPr>
                <w:rFonts w:hint="eastAsia" w:ascii="宋体" w:hAnsi="宋体" w:eastAsia="宋体" w:cs="宋体"/>
                <w:color w:val="auto"/>
                <w:szCs w:val="21"/>
                <w:highlight w:val="none"/>
                <w:u w:val="single"/>
              </w:rPr>
              <w:t>期：</w:t>
            </w:r>
            <w:r>
              <w:rPr>
                <w:rFonts w:hint="eastAsia" w:ascii="宋体" w:hAnsi="宋体" w:eastAsia="宋体" w:cs="宋体"/>
                <w:color w:val="auto"/>
                <w:szCs w:val="21"/>
                <w:highlight w:val="none"/>
                <w:u w:val="single"/>
                <w:lang w:val="en-US" w:eastAsia="zh-CN"/>
              </w:rPr>
              <w:t>365</w:t>
            </w:r>
            <w:r>
              <w:rPr>
                <w:rFonts w:hint="eastAsia" w:ascii="宋体" w:hAnsi="宋体" w:eastAsia="宋体" w:cs="宋体"/>
                <w:color w:val="auto"/>
                <w:szCs w:val="21"/>
                <w:highlight w:val="none"/>
                <w:u w:val="single"/>
              </w:rPr>
              <w:t>日历天。</w:t>
            </w:r>
            <w:r>
              <w:rPr>
                <w:rFonts w:hint="eastAsia" w:ascii="宋体" w:hAnsi="宋体" w:eastAsia="宋体" w:cs="宋体"/>
                <w:color w:val="auto"/>
                <w:szCs w:val="21"/>
                <w:highlight w:val="none"/>
                <w:u w:val="single"/>
                <w:lang w:eastAsia="zh-CN"/>
              </w:rPr>
              <w:t>具体开工日期以现场具备施工条件且在项目依法办理施工许可手续后，</w:t>
            </w:r>
            <w:r>
              <w:rPr>
                <w:rFonts w:hint="eastAsia" w:ascii="宋体" w:hAnsi="宋体" w:eastAsia="宋体" w:cs="宋体"/>
                <w:color w:val="auto"/>
                <w:szCs w:val="21"/>
                <w:highlight w:val="none"/>
                <w:u w:val="single"/>
                <w:lang w:val="en-US" w:eastAsia="zh-CN"/>
              </w:rPr>
              <w:t>监理工程师</w:t>
            </w:r>
            <w:r>
              <w:rPr>
                <w:rFonts w:hint="eastAsia" w:ascii="宋体" w:hAnsi="宋体" w:eastAsia="宋体" w:cs="宋体"/>
                <w:color w:val="auto"/>
                <w:szCs w:val="21"/>
                <w:highlight w:val="none"/>
                <w:u w:val="single"/>
                <w:lang w:eastAsia="zh-CN"/>
              </w:rPr>
              <w:t>签发的开工日期为准</w:t>
            </w:r>
            <w:r>
              <w:rPr>
                <w:rFonts w:hint="eastAsia" w:ascii="宋体" w:hAnsi="宋体" w:eastAsia="宋体" w:cs="宋体"/>
                <w:color w:val="auto"/>
                <w:szCs w:val="21"/>
                <w:highlight w:val="none"/>
              </w:rPr>
              <w:t xml:space="preserve">。                                                                       </w:t>
            </w:r>
          </w:p>
        </w:tc>
      </w:tr>
      <w:tr w14:paraId="2BF136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A01358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14:paraId="5160762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733" w:type="dxa"/>
            <w:tcBorders>
              <w:top w:val="single" w:color="auto" w:sz="4" w:space="0"/>
              <w:left w:val="single" w:color="auto" w:sz="4" w:space="0"/>
              <w:bottom w:val="single" w:color="auto" w:sz="4" w:space="0"/>
              <w:right w:val="single" w:color="auto" w:sz="4" w:space="0"/>
            </w:tcBorders>
            <w:vAlign w:val="center"/>
          </w:tcPr>
          <w:p w14:paraId="1B0EE90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w:t>
            </w:r>
          </w:p>
        </w:tc>
        <w:tc>
          <w:tcPr>
            <w:tcW w:w="5934" w:type="dxa"/>
            <w:tcBorders>
              <w:top w:val="single" w:color="auto" w:sz="4" w:space="0"/>
              <w:left w:val="single" w:color="auto" w:sz="4" w:space="0"/>
              <w:bottom w:val="single" w:color="auto" w:sz="4" w:space="0"/>
              <w:right w:val="double" w:color="auto" w:sz="4" w:space="0"/>
            </w:tcBorders>
            <w:vAlign w:val="center"/>
          </w:tcPr>
          <w:p w14:paraId="2943BEE5">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区财政资金。</w:t>
            </w:r>
          </w:p>
        </w:tc>
      </w:tr>
      <w:tr w14:paraId="481581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4CFC1C5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14:paraId="69658FA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1733" w:type="dxa"/>
            <w:tcBorders>
              <w:top w:val="single" w:color="auto" w:sz="4" w:space="0"/>
              <w:left w:val="single" w:color="auto" w:sz="4" w:space="0"/>
              <w:bottom w:val="single" w:color="auto" w:sz="4" w:space="0"/>
              <w:right w:val="single" w:color="auto" w:sz="4" w:space="0"/>
            </w:tcBorders>
            <w:vAlign w:val="center"/>
          </w:tcPr>
          <w:p w14:paraId="39F9A4A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投标人资质等级及项目负责人等级要求</w:t>
            </w:r>
          </w:p>
        </w:tc>
        <w:tc>
          <w:tcPr>
            <w:tcW w:w="5934" w:type="dxa"/>
            <w:tcBorders>
              <w:top w:val="single" w:color="auto" w:sz="4" w:space="0"/>
              <w:left w:val="single" w:color="auto" w:sz="4" w:space="0"/>
              <w:bottom w:val="single" w:color="auto" w:sz="4" w:space="0"/>
              <w:right w:val="double" w:color="auto" w:sz="4" w:space="0"/>
            </w:tcBorders>
            <w:vAlign w:val="center"/>
          </w:tcPr>
          <w:p w14:paraId="3D55AF8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详见本工程招标公告。</w:t>
            </w:r>
          </w:p>
        </w:tc>
      </w:tr>
      <w:tr w14:paraId="07CC68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1864B0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14:paraId="76BD4B8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4.2</w:t>
            </w:r>
          </w:p>
        </w:tc>
        <w:tc>
          <w:tcPr>
            <w:tcW w:w="1733" w:type="dxa"/>
            <w:tcBorders>
              <w:top w:val="single" w:color="auto" w:sz="4" w:space="0"/>
              <w:left w:val="single" w:color="auto" w:sz="4" w:space="0"/>
              <w:bottom w:val="single" w:color="auto" w:sz="4" w:space="0"/>
              <w:right w:val="single" w:color="auto" w:sz="4" w:space="0"/>
            </w:tcBorders>
            <w:vAlign w:val="center"/>
          </w:tcPr>
          <w:p w14:paraId="342CB16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资格审查方式</w:t>
            </w:r>
          </w:p>
        </w:tc>
        <w:tc>
          <w:tcPr>
            <w:tcW w:w="5934" w:type="dxa"/>
            <w:tcBorders>
              <w:top w:val="single" w:color="auto" w:sz="4" w:space="0"/>
              <w:left w:val="single" w:color="auto" w:sz="4" w:space="0"/>
              <w:bottom w:val="single" w:color="auto" w:sz="4" w:space="0"/>
              <w:right w:val="double" w:color="auto" w:sz="4" w:space="0"/>
            </w:tcBorders>
            <w:vAlign w:val="center"/>
          </w:tcPr>
          <w:p w14:paraId="15B664F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详见本工程招标公告。</w:t>
            </w:r>
          </w:p>
        </w:tc>
      </w:tr>
      <w:tr w14:paraId="020951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95936CF">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981" w:type="dxa"/>
            <w:tcBorders>
              <w:top w:val="single" w:color="auto" w:sz="4" w:space="0"/>
              <w:left w:val="single" w:color="auto" w:sz="4" w:space="0"/>
              <w:bottom w:val="single" w:color="auto" w:sz="4" w:space="0"/>
              <w:right w:val="single" w:color="auto" w:sz="4" w:space="0"/>
            </w:tcBorders>
            <w:vAlign w:val="center"/>
          </w:tcPr>
          <w:p w14:paraId="648DDE9D">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5</w:t>
            </w:r>
          </w:p>
        </w:tc>
        <w:tc>
          <w:tcPr>
            <w:tcW w:w="1733" w:type="dxa"/>
            <w:tcBorders>
              <w:top w:val="single" w:color="auto" w:sz="4" w:space="0"/>
              <w:left w:val="single" w:color="auto" w:sz="4" w:space="0"/>
              <w:bottom w:val="single" w:color="auto" w:sz="4" w:space="0"/>
              <w:right w:val="single" w:color="auto" w:sz="4" w:space="0"/>
            </w:tcBorders>
            <w:vAlign w:val="center"/>
          </w:tcPr>
          <w:p w14:paraId="68CCA32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踏勘现场及投标费用</w:t>
            </w:r>
          </w:p>
        </w:tc>
        <w:tc>
          <w:tcPr>
            <w:tcW w:w="5934" w:type="dxa"/>
            <w:tcBorders>
              <w:top w:val="single" w:color="auto" w:sz="4" w:space="0"/>
              <w:left w:val="single" w:color="auto" w:sz="4" w:space="0"/>
              <w:bottom w:val="single" w:color="auto" w:sz="4" w:space="0"/>
              <w:right w:val="double" w:color="auto" w:sz="4" w:space="0"/>
            </w:tcBorders>
            <w:vAlign w:val="center"/>
          </w:tcPr>
          <w:p w14:paraId="592675E5">
            <w:pPr>
              <w:pStyle w:val="20"/>
              <w:spacing w:line="380" w:lineRule="exact"/>
              <w:rPr>
                <w:rFonts w:hint="eastAsia" w:ascii="宋体" w:hAnsi="宋体" w:eastAsia="宋体" w:cs="宋体"/>
                <w:color w:val="auto"/>
                <w:kern w:val="2"/>
                <w:sz w:val="21"/>
                <w:szCs w:val="21"/>
                <w:highlight w:val="none"/>
                <w:u w:val="single"/>
                <w:shd w:val="clear" w:color="auto" w:fill="FFFFFF"/>
              </w:rPr>
            </w:pPr>
            <w:r>
              <w:rPr>
                <w:rFonts w:hint="eastAsia" w:ascii="宋体" w:hAnsi="宋体" w:eastAsia="宋体" w:cs="宋体"/>
                <w:color w:val="auto"/>
                <w:kern w:val="2"/>
                <w:sz w:val="21"/>
                <w:szCs w:val="21"/>
                <w:highlight w:val="none"/>
                <w:u w:val="single"/>
                <w:shd w:val="clear" w:color="auto" w:fill="FFFFFF"/>
              </w:rPr>
              <w:t>时间</w:t>
            </w:r>
            <w:r>
              <w:rPr>
                <w:rFonts w:hint="eastAsia" w:ascii="宋体" w:hAnsi="宋体" w:eastAsia="宋体" w:cs="宋体"/>
                <w:color w:val="auto"/>
                <w:kern w:val="2"/>
                <w:sz w:val="21"/>
                <w:szCs w:val="21"/>
                <w:highlight w:val="none"/>
                <w:u w:val="single"/>
                <w:shd w:val="clear" w:color="auto" w:fill="FFFFFF"/>
                <w:lang w:eastAsia="zh-CN"/>
              </w:rPr>
              <w:t>：</w:t>
            </w:r>
            <w:r>
              <w:rPr>
                <w:rFonts w:hint="eastAsia" w:ascii="宋体" w:hAnsi="宋体" w:eastAsia="宋体" w:cs="宋体"/>
                <w:color w:val="auto"/>
                <w:kern w:val="2"/>
                <w:sz w:val="21"/>
                <w:szCs w:val="21"/>
                <w:highlight w:val="none"/>
                <w:u w:val="single"/>
                <w:shd w:val="clear" w:color="auto" w:fill="FFFFFF"/>
              </w:rPr>
              <w:t>自招标公告发布之日起具备现场踏勘条件；</w:t>
            </w:r>
          </w:p>
          <w:p w14:paraId="4D7D3C4E">
            <w:pPr>
              <w:pStyle w:val="20"/>
              <w:spacing w:line="380" w:lineRule="exact"/>
              <w:rPr>
                <w:rFonts w:hint="eastAsia" w:ascii="宋体" w:hAnsi="宋体" w:eastAsia="宋体" w:cs="宋体"/>
                <w:color w:val="auto"/>
                <w:kern w:val="2"/>
                <w:sz w:val="21"/>
                <w:szCs w:val="21"/>
                <w:highlight w:val="none"/>
                <w:u w:val="single"/>
                <w:shd w:val="clear" w:color="auto" w:fill="FFFFFF"/>
              </w:rPr>
            </w:pPr>
            <w:r>
              <w:rPr>
                <w:rFonts w:hint="eastAsia" w:ascii="宋体" w:hAnsi="宋体" w:eastAsia="宋体" w:cs="宋体"/>
                <w:color w:val="auto"/>
                <w:kern w:val="2"/>
                <w:sz w:val="21"/>
                <w:szCs w:val="21"/>
                <w:highlight w:val="none"/>
                <w:u w:val="single"/>
                <w:shd w:val="clear" w:color="auto" w:fill="FFFFFF"/>
              </w:rPr>
              <w:t>方式</w:t>
            </w:r>
            <w:r>
              <w:rPr>
                <w:rFonts w:hint="eastAsia" w:ascii="宋体" w:hAnsi="宋体" w:eastAsia="宋体" w:cs="宋体"/>
                <w:color w:val="auto"/>
                <w:kern w:val="2"/>
                <w:sz w:val="21"/>
                <w:szCs w:val="21"/>
                <w:highlight w:val="none"/>
                <w:u w:val="single"/>
                <w:shd w:val="clear" w:color="auto" w:fill="FFFFFF"/>
                <w:lang w:eastAsia="zh-CN"/>
              </w:rPr>
              <w:t>：</w:t>
            </w:r>
            <w:r>
              <w:rPr>
                <w:rFonts w:hint="eastAsia" w:ascii="宋体" w:hAnsi="宋体" w:eastAsia="宋体" w:cs="宋体"/>
                <w:color w:val="auto"/>
                <w:kern w:val="2"/>
                <w:sz w:val="21"/>
                <w:szCs w:val="21"/>
                <w:highlight w:val="none"/>
                <w:u w:val="single"/>
                <w:shd w:val="clear" w:color="auto" w:fill="FFFFFF"/>
              </w:rPr>
              <w:t>招标人不集中组织，由投标人自行踏勘；</w:t>
            </w:r>
          </w:p>
          <w:p w14:paraId="36AF15E2">
            <w:pPr>
              <w:pStyle w:val="20"/>
              <w:spacing w:line="380" w:lineRule="exact"/>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u w:val="single"/>
                <w:shd w:val="clear" w:color="auto" w:fill="FFFFFF"/>
              </w:rPr>
              <w:t xml:space="preserve">现场详细地点：项目地点。 </w:t>
            </w:r>
          </w:p>
        </w:tc>
      </w:tr>
      <w:tr w14:paraId="1E6DFB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296DBA4">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981" w:type="dxa"/>
            <w:tcBorders>
              <w:top w:val="single" w:color="auto" w:sz="4" w:space="0"/>
              <w:left w:val="single" w:color="auto" w:sz="4" w:space="0"/>
              <w:bottom w:val="single" w:color="auto" w:sz="4" w:space="0"/>
              <w:right w:val="single" w:color="auto" w:sz="4" w:space="0"/>
            </w:tcBorders>
            <w:vAlign w:val="center"/>
          </w:tcPr>
          <w:p w14:paraId="14A347A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733" w:type="dxa"/>
            <w:tcBorders>
              <w:top w:val="single" w:color="auto" w:sz="4" w:space="0"/>
              <w:left w:val="single" w:color="auto" w:sz="4" w:space="0"/>
              <w:bottom w:val="single" w:color="auto" w:sz="4" w:space="0"/>
              <w:right w:val="single" w:color="auto" w:sz="4" w:space="0"/>
            </w:tcBorders>
            <w:vAlign w:val="center"/>
          </w:tcPr>
          <w:p w14:paraId="18FAA84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投标答疑</w:t>
            </w:r>
          </w:p>
        </w:tc>
        <w:tc>
          <w:tcPr>
            <w:tcW w:w="5934" w:type="dxa"/>
            <w:tcBorders>
              <w:top w:val="single" w:color="auto" w:sz="4" w:space="0"/>
              <w:left w:val="single" w:color="auto" w:sz="4" w:space="0"/>
              <w:bottom w:val="single" w:color="auto" w:sz="4" w:space="0"/>
              <w:right w:val="double" w:color="auto" w:sz="4" w:space="0"/>
            </w:tcBorders>
            <w:vAlign w:val="center"/>
          </w:tcPr>
          <w:p w14:paraId="119A410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疑问提交时间：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时前；</w:t>
            </w:r>
          </w:p>
          <w:p w14:paraId="1E9CE15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形式：投标人的疑问通过</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Cs w:val="21"/>
                <w:highlight w:val="none"/>
              </w:rPr>
              <w:t>交易平台提交。</w:t>
            </w:r>
          </w:p>
          <w:p w14:paraId="49FD3839">
            <w:pPr>
              <w:rPr>
                <w:rFonts w:hint="eastAsia" w:ascii="宋体" w:hAnsi="宋体" w:eastAsia="宋体" w:cs="宋体"/>
                <w:color w:val="auto"/>
                <w:sz w:val="21"/>
                <w:highlight w:val="none"/>
                <w:lang w:val="en-US" w:eastAsia="zh-CN" w:bidi="ar-SA"/>
              </w:rPr>
            </w:pPr>
            <w:r>
              <w:rPr>
                <w:rFonts w:hint="eastAsia" w:ascii="宋体" w:hAnsi="宋体" w:eastAsia="宋体" w:cs="宋体"/>
                <w:color w:val="auto"/>
                <w:szCs w:val="21"/>
                <w:highlight w:val="none"/>
              </w:rPr>
              <w:t>具体要求：按照交易平台关于全流程电子化项目的相关指南进行操作，详见：</w:t>
            </w:r>
            <w:r>
              <w:rPr>
                <w:rFonts w:hint="eastAsia" w:ascii="宋体" w:hAnsi="宋体" w:eastAsia="宋体" w:cs="宋体"/>
                <w:color w:val="auto"/>
                <w:sz w:val="21"/>
                <w:szCs w:val="21"/>
                <w:highlight w:val="none"/>
                <w:u w:val="single"/>
              </w:rPr>
              <w:t>广州交易集团有限公司（广州公共资源交易中心）网站</w:t>
            </w:r>
            <w:r>
              <w:rPr>
                <w:rFonts w:hint="eastAsia" w:ascii="宋体" w:hAnsi="宋体" w:eastAsia="宋体" w:cs="宋体"/>
                <w:color w:val="auto"/>
                <w:szCs w:val="21"/>
                <w:highlight w:val="none"/>
              </w:rPr>
              <w:t>。提问一律不得署名。</w:t>
            </w:r>
          </w:p>
        </w:tc>
      </w:tr>
      <w:tr w14:paraId="2AA192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683578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p>
        </w:tc>
        <w:tc>
          <w:tcPr>
            <w:tcW w:w="981" w:type="dxa"/>
            <w:tcBorders>
              <w:top w:val="single" w:color="auto" w:sz="4" w:space="0"/>
              <w:left w:val="single" w:color="auto" w:sz="4" w:space="0"/>
              <w:bottom w:val="single" w:color="auto" w:sz="4" w:space="0"/>
              <w:right w:val="single" w:color="auto" w:sz="4" w:space="0"/>
            </w:tcBorders>
            <w:vAlign w:val="center"/>
          </w:tcPr>
          <w:p w14:paraId="2ABA66A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1733" w:type="dxa"/>
            <w:tcBorders>
              <w:top w:val="single" w:color="auto" w:sz="4" w:space="0"/>
              <w:left w:val="single" w:color="auto" w:sz="4" w:space="0"/>
              <w:bottom w:val="single" w:color="auto" w:sz="4" w:space="0"/>
              <w:right w:val="single" w:color="auto" w:sz="4" w:space="0"/>
            </w:tcBorders>
            <w:vAlign w:val="center"/>
          </w:tcPr>
          <w:p w14:paraId="70DA448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报价以及单价和总价计算方式</w:t>
            </w:r>
          </w:p>
        </w:tc>
        <w:tc>
          <w:tcPr>
            <w:tcW w:w="5934" w:type="dxa"/>
            <w:tcBorders>
              <w:top w:val="single" w:color="auto" w:sz="4" w:space="0"/>
              <w:left w:val="single" w:color="auto" w:sz="4" w:space="0"/>
              <w:bottom w:val="single" w:color="auto" w:sz="4" w:space="0"/>
              <w:right w:val="double" w:color="auto" w:sz="4" w:space="0"/>
            </w:tcBorders>
            <w:vAlign w:val="center"/>
          </w:tcPr>
          <w:p w14:paraId="582CBD0E">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工程量清单计价。按国家、省有关计价规范执行。纳入年度审计项目计划的政府投资项目，审计机关出具的审计结果应当作为该政府投资项目价款结算的依据（适用于纳入年度审计项目计划的项目）。</w:t>
            </w:r>
          </w:p>
        </w:tc>
      </w:tr>
      <w:tr w14:paraId="166CB2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491D9DA">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981" w:type="dxa"/>
            <w:tcBorders>
              <w:top w:val="single" w:color="auto" w:sz="4" w:space="0"/>
              <w:left w:val="single" w:color="auto" w:sz="4" w:space="0"/>
              <w:bottom w:val="single" w:color="auto" w:sz="4" w:space="0"/>
              <w:right w:val="single" w:color="auto" w:sz="4" w:space="0"/>
            </w:tcBorders>
            <w:vAlign w:val="center"/>
          </w:tcPr>
          <w:p w14:paraId="209C1F8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w:t>
            </w:r>
          </w:p>
        </w:tc>
        <w:tc>
          <w:tcPr>
            <w:tcW w:w="1733" w:type="dxa"/>
            <w:tcBorders>
              <w:top w:val="single" w:color="auto" w:sz="4" w:space="0"/>
              <w:left w:val="single" w:color="auto" w:sz="4" w:space="0"/>
              <w:bottom w:val="single" w:color="auto" w:sz="4" w:space="0"/>
              <w:right w:val="single" w:color="auto" w:sz="4" w:space="0"/>
            </w:tcBorders>
            <w:vAlign w:val="center"/>
          </w:tcPr>
          <w:p w14:paraId="32CB062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5934" w:type="dxa"/>
            <w:tcBorders>
              <w:top w:val="single" w:color="auto" w:sz="4" w:space="0"/>
              <w:left w:val="single" w:color="auto" w:sz="4" w:space="0"/>
              <w:bottom w:val="single" w:color="auto" w:sz="4" w:space="0"/>
              <w:right w:val="double" w:color="auto" w:sz="4" w:space="0"/>
            </w:tcBorders>
            <w:vAlign w:val="center"/>
          </w:tcPr>
          <w:p w14:paraId="2A0328A5">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val="en-US" w:eastAsia="zh-CN"/>
              </w:rPr>
              <w:t>120</w:t>
            </w:r>
            <w:r>
              <w:rPr>
                <w:rFonts w:hint="eastAsia" w:ascii="宋体" w:hAnsi="宋体" w:eastAsia="宋体" w:cs="宋体"/>
                <w:color w:val="auto"/>
                <w:szCs w:val="21"/>
                <w:highlight w:val="none"/>
              </w:rPr>
              <w:t>日历天。（从投标截止之日计起）</w:t>
            </w:r>
          </w:p>
        </w:tc>
      </w:tr>
      <w:tr w14:paraId="3EA50A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512077A">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981" w:type="dxa"/>
            <w:tcBorders>
              <w:top w:val="single" w:color="auto" w:sz="4" w:space="0"/>
              <w:left w:val="single" w:color="auto" w:sz="4" w:space="0"/>
              <w:bottom w:val="single" w:color="auto" w:sz="4" w:space="0"/>
              <w:right w:val="single" w:color="auto" w:sz="4" w:space="0"/>
            </w:tcBorders>
            <w:vAlign w:val="center"/>
          </w:tcPr>
          <w:p w14:paraId="5A4E639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w:t>
            </w:r>
          </w:p>
        </w:tc>
        <w:tc>
          <w:tcPr>
            <w:tcW w:w="1733" w:type="dxa"/>
            <w:tcBorders>
              <w:top w:val="single" w:color="auto" w:sz="4" w:space="0"/>
              <w:left w:val="single" w:color="auto" w:sz="4" w:space="0"/>
              <w:bottom w:val="single" w:color="auto" w:sz="4" w:space="0"/>
              <w:right w:val="single" w:color="auto" w:sz="4" w:space="0"/>
            </w:tcBorders>
            <w:vAlign w:val="center"/>
          </w:tcPr>
          <w:p w14:paraId="0659A6B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5934" w:type="dxa"/>
            <w:tcBorders>
              <w:top w:val="single" w:color="auto" w:sz="4" w:space="0"/>
              <w:left w:val="single" w:color="auto" w:sz="4" w:space="0"/>
              <w:bottom w:val="single" w:color="auto" w:sz="4" w:space="0"/>
              <w:right w:val="double" w:color="auto" w:sz="4" w:space="0"/>
            </w:tcBorders>
            <w:vAlign w:val="center"/>
          </w:tcPr>
          <w:p w14:paraId="30F0D8A1">
            <w:pPr>
              <w:pStyle w:val="1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方式一：本项目不收投标保证金。</w:t>
            </w:r>
            <w:r>
              <w:rPr>
                <w:rFonts w:hint="eastAsia" w:ascii="宋体" w:hAnsi="宋体" w:eastAsia="宋体" w:cs="宋体"/>
                <w:color w:val="auto"/>
                <w:highlight w:val="none"/>
                <w:lang w:val="en-US" w:eastAsia="zh-CN"/>
              </w:rPr>
              <w:t xml:space="preserve">          </w:t>
            </w:r>
          </w:p>
          <w:p w14:paraId="3B164CDC">
            <w:pPr>
              <w:pStyle w:val="1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w:t>
            </w:r>
          </w:p>
          <w:p w14:paraId="216BD76A">
            <w:pPr>
              <w:pStyle w:val="1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1、政府投资项目不得收取投标保证金。鼓励招标人对简单小额项目不要求提供投标担保，对中小企业投标人免除投标担保。</w:t>
            </w:r>
          </w:p>
          <w:p w14:paraId="11E287E9">
            <w:pPr>
              <w:pStyle w:val="1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14:paraId="52A2FB31">
            <w:pPr>
              <w:pStyle w:val="1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3、招标人在免收投标保证金的同时，应约定免交投标保证金的投标人存在16.4条款所列情形的后续处理措施。</w:t>
            </w:r>
          </w:p>
        </w:tc>
      </w:tr>
      <w:tr w14:paraId="7EC429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499715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981" w:type="dxa"/>
            <w:tcBorders>
              <w:top w:val="single" w:color="auto" w:sz="4" w:space="0"/>
              <w:left w:val="single" w:color="auto" w:sz="4" w:space="0"/>
              <w:bottom w:val="single" w:color="auto" w:sz="4" w:space="0"/>
              <w:right w:val="single" w:color="auto" w:sz="4" w:space="0"/>
            </w:tcBorders>
            <w:vAlign w:val="center"/>
          </w:tcPr>
          <w:p w14:paraId="6FEC5C8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1733" w:type="dxa"/>
            <w:tcBorders>
              <w:top w:val="single" w:color="auto" w:sz="4" w:space="0"/>
              <w:left w:val="single" w:color="auto" w:sz="4" w:space="0"/>
              <w:bottom w:val="single" w:color="auto" w:sz="4" w:space="0"/>
              <w:right w:val="single" w:color="auto" w:sz="4" w:space="0"/>
            </w:tcBorders>
            <w:vAlign w:val="center"/>
          </w:tcPr>
          <w:p w14:paraId="758F0F3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w:t>
            </w:r>
          </w:p>
        </w:tc>
        <w:tc>
          <w:tcPr>
            <w:tcW w:w="5934" w:type="dxa"/>
            <w:tcBorders>
              <w:top w:val="single" w:color="auto" w:sz="4" w:space="0"/>
              <w:left w:val="single" w:color="auto" w:sz="4" w:space="0"/>
              <w:bottom w:val="single" w:color="auto" w:sz="4" w:space="0"/>
              <w:right w:val="double" w:color="auto" w:sz="4" w:space="0"/>
            </w:tcBorders>
            <w:vAlign w:val="center"/>
          </w:tcPr>
          <w:p w14:paraId="6AF32A3B">
            <w:pPr>
              <w:rPr>
                <w:rFonts w:hint="eastAsia" w:ascii="宋体" w:hAnsi="宋体" w:eastAsia="宋体" w:cs="宋体"/>
                <w:strike/>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时（北京时间）。</w:t>
            </w:r>
          </w:p>
        </w:tc>
      </w:tr>
      <w:tr w14:paraId="4342E5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76E6B9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14:paraId="5989235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1733" w:type="dxa"/>
            <w:tcBorders>
              <w:top w:val="single" w:color="auto" w:sz="4" w:space="0"/>
              <w:left w:val="single" w:color="auto" w:sz="4" w:space="0"/>
              <w:bottom w:val="single" w:color="auto" w:sz="4" w:space="0"/>
              <w:right w:val="single" w:color="auto" w:sz="4" w:space="0"/>
            </w:tcBorders>
            <w:vAlign w:val="center"/>
          </w:tcPr>
          <w:p w14:paraId="59B3F61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开标开始时间和地点</w:t>
            </w:r>
          </w:p>
        </w:tc>
        <w:tc>
          <w:tcPr>
            <w:tcW w:w="5934" w:type="dxa"/>
            <w:tcBorders>
              <w:top w:val="single" w:color="auto" w:sz="4" w:space="0"/>
              <w:left w:val="single" w:color="auto" w:sz="4" w:space="0"/>
              <w:bottom w:val="single" w:color="auto" w:sz="4" w:space="0"/>
              <w:right w:val="double" w:color="auto" w:sz="4" w:space="0"/>
            </w:tcBorders>
            <w:vAlign w:val="center"/>
          </w:tcPr>
          <w:p w14:paraId="558734C3">
            <w:pPr>
              <w:widowControl/>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（技术标和经济标同时开标）</w:t>
            </w:r>
          </w:p>
          <w:p w14:paraId="3625E3E6">
            <w:pPr>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开标开始时间：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月</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日</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时</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分（与投标截止时间为同一时间），地点：</w:t>
            </w:r>
            <w:r>
              <w:rPr>
                <w:rFonts w:hint="eastAsia" w:ascii="宋体" w:hAnsi="宋体" w:eastAsia="宋体" w:cs="宋体"/>
                <w:bCs/>
                <w:color w:val="auto"/>
                <w:kern w:val="0"/>
                <w:szCs w:val="21"/>
                <w:highlight w:val="none"/>
                <w:u w:val="single"/>
              </w:rPr>
              <w:t>广州交易集团有限公司（广州公共资源交易中心）  开标室（广州市天河区天润路333号，详见广州交易集团有限公司（广州公共资源交易中心）网站信息）</w:t>
            </w:r>
            <w:r>
              <w:rPr>
                <w:rFonts w:hint="eastAsia" w:ascii="宋体" w:hAnsi="宋体" w:eastAsia="宋体" w:cs="宋体"/>
                <w:bCs/>
                <w:color w:val="auto"/>
                <w:kern w:val="0"/>
                <w:szCs w:val="21"/>
                <w:highlight w:val="none"/>
              </w:rPr>
              <w:t>。</w:t>
            </w:r>
            <w:r>
              <w:rPr>
                <w:rFonts w:hint="eastAsia" w:ascii="宋体" w:hAnsi="宋体" w:eastAsia="宋体" w:cs="宋体"/>
                <w:b w:val="0"/>
                <w:bCs w:val="0"/>
                <w:color w:val="auto"/>
                <w:kern w:val="0"/>
                <w:szCs w:val="21"/>
                <w:highlight w:val="none"/>
              </w:rPr>
              <w:t>投标人也可选择参加在线开标，具体按照交易平台相关指南进行操作。详见：</w:t>
            </w:r>
            <w:r>
              <w:rPr>
                <w:rFonts w:hint="eastAsia" w:ascii="宋体" w:hAnsi="宋体" w:eastAsia="宋体" w:cs="宋体"/>
                <w:color w:val="auto"/>
                <w:szCs w:val="21"/>
                <w:highlight w:val="none"/>
                <w:u w:val="single"/>
              </w:rPr>
              <w:t>详见：广州交易集团有限公司（广州公共资源交易中心）网站(http:/ www.gzggzy.cn)服务指南栏目。</w:t>
            </w:r>
          </w:p>
          <w:p w14:paraId="2EC642C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注：投标文件解密问题。投标人只用执行一次解密，招标人执行解密次数根据招标文件开标次数确定。</w:t>
            </w:r>
          </w:p>
          <w:p w14:paraId="5A1CC798">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t>2、递交投标文件备用光盘时间：</w:t>
            </w:r>
            <w:r>
              <w:rPr>
                <w:rFonts w:hint="eastAsia" w:ascii="宋体" w:hAnsi="宋体" w:eastAsia="宋体" w:cs="宋体"/>
                <w:color w:val="auto"/>
                <w:highlight w:val="none"/>
                <w:u w:val="single"/>
              </w:rPr>
              <w:t xml:space="preserve">    年   月   日   时   分至     年   月   日   时   分；递交地点：</w:t>
            </w:r>
            <w:r>
              <w:rPr>
                <w:rFonts w:hint="eastAsia" w:ascii="宋体" w:hAnsi="宋体" w:eastAsia="宋体" w:cs="宋体"/>
                <w:bCs/>
                <w:color w:val="auto"/>
                <w:kern w:val="0"/>
                <w:szCs w:val="21"/>
                <w:highlight w:val="none"/>
                <w:u w:val="single"/>
              </w:rPr>
              <w:t>广州交易集团有限公司（广州公共资源交易中心）  开标室（广州市天河区天润路333号，详见广州交易集团有限公司（广州公共资源交易中心）网站信息）</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。(建议安排在投标文件截止时间前15分钟至投标文件截止时间）</w:t>
            </w:r>
          </w:p>
          <w:p w14:paraId="26CBBF39">
            <w:pPr>
              <w:widowControl/>
              <w:jc w:val="left"/>
              <w:rPr>
                <w:rFonts w:hint="eastAsia" w:ascii="宋体" w:hAnsi="宋体" w:eastAsia="宋体" w:cs="宋体"/>
                <w:bCs/>
                <w:color w:val="auto"/>
                <w:kern w:val="0"/>
                <w:szCs w:val="21"/>
                <w:highlight w:val="none"/>
              </w:rPr>
            </w:pPr>
            <w:r>
              <w:rPr>
                <w:rFonts w:hint="eastAsia" w:ascii="宋体" w:hAnsi="宋体" w:eastAsia="宋体" w:cs="宋体"/>
                <w:color w:val="auto"/>
                <w:highlight w:val="none"/>
              </w:rPr>
              <w:t>上述时间及地点是否有改变，请密切留意补充公告和招标答疑纪要的相关信息。</w:t>
            </w:r>
          </w:p>
        </w:tc>
      </w:tr>
      <w:tr w14:paraId="2132DA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279B494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14:paraId="2F947A0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733" w:type="dxa"/>
            <w:tcBorders>
              <w:top w:val="single" w:color="auto" w:sz="4" w:space="0"/>
              <w:left w:val="single" w:color="auto" w:sz="4" w:space="0"/>
              <w:bottom w:val="single" w:color="auto" w:sz="4" w:space="0"/>
              <w:right w:val="single" w:color="auto" w:sz="4" w:space="0"/>
            </w:tcBorders>
            <w:vAlign w:val="center"/>
          </w:tcPr>
          <w:p w14:paraId="47E9527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开标评标办法</w:t>
            </w:r>
          </w:p>
        </w:tc>
        <w:tc>
          <w:tcPr>
            <w:tcW w:w="5934" w:type="dxa"/>
            <w:tcBorders>
              <w:top w:val="single" w:color="auto" w:sz="4" w:space="0"/>
              <w:left w:val="single" w:color="auto" w:sz="4" w:space="0"/>
              <w:bottom w:val="single" w:color="auto" w:sz="4" w:space="0"/>
              <w:right w:val="double" w:color="auto" w:sz="4" w:space="0"/>
            </w:tcBorders>
            <w:vAlign w:val="center"/>
          </w:tcPr>
          <w:p w14:paraId="050570DB">
            <w:pPr>
              <w:pStyle w:val="35"/>
              <w:keepNext w:val="0"/>
              <w:keepLines w:val="0"/>
              <w:pageBreakBefore w:val="0"/>
              <w:widowControl w:val="0"/>
              <w:kinsoku/>
              <w:wordWrap/>
              <w:overflowPunct/>
              <w:topLinePunct w:val="0"/>
              <w:autoSpaceDE/>
              <w:autoSpaceDN/>
              <w:bidi w:val="0"/>
              <w:adjustRightInd/>
              <w:snapToGrid/>
              <w:spacing w:after="0" w:line="360" w:lineRule="exact"/>
              <w:ind w:firstLine="0"/>
              <w:textAlignment w:val="auto"/>
              <w:rPr>
                <w:rFonts w:hint="eastAsia" w:ascii="宋体" w:hAnsi="宋体"/>
                <w:color w:val="auto"/>
                <w:szCs w:val="21"/>
                <w:highlight w:val="none"/>
              </w:rPr>
            </w:pPr>
            <w:r>
              <w:rPr>
                <w:rFonts w:hint="eastAsia" w:ascii="宋体" w:hAnsi="宋体"/>
                <w:b/>
                <w:bCs/>
                <w:color w:val="auto"/>
                <w:szCs w:val="21"/>
                <w:highlight w:val="none"/>
                <w:u w:val="single"/>
              </w:rPr>
              <w:t>本工程采用评定分离方式确定中标人</w:t>
            </w:r>
            <w:r>
              <w:rPr>
                <w:rFonts w:hint="eastAsia" w:ascii="宋体" w:hAnsi="宋体"/>
                <w:color w:val="auto"/>
                <w:szCs w:val="21"/>
                <w:highlight w:val="none"/>
                <w:u w:val="single"/>
              </w:rPr>
              <w:t>。</w:t>
            </w:r>
          </w:p>
          <w:p w14:paraId="13D5A112">
            <w:pPr>
              <w:pStyle w:val="35"/>
              <w:keepNext w:val="0"/>
              <w:keepLines w:val="0"/>
              <w:pageBreakBefore w:val="0"/>
              <w:widowControl w:val="0"/>
              <w:kinsoku/>
              <w:wordWrap/>
              <w:overflowPunct/>
              <w:topLinePunct w:val="0"/>
              <w:autoSpaceDE/>
              <w:autoSpaceDN/>
              <w:bidi w:val="0"/>
              <w:adjustRightInd/>
              <w:snapToGrid/>
              <w:spacing w:after="0" w:line="360" w:lineRule="exact"/>
              <w:ind w:firstLine="0"/>
              <w:textAlignment w:val="auto"/>
              <w:rPr>
                <w:rFonts w:hint="eastAsia" w:ascii="宋体" w:hAnsi="宋体"/>
                <w:color w:val="auto"/>
                <w:szCs w:val="21"/>
                <w:highlight w:val="none"/>
                <w:u w:val="single"/>
              </w:rPr>
            </w:pPr>
            <w:r>
              <w:rPr>
                <w:rFonts w:hint="eastAsia" w:ascii="宋体" w:hAnsi="宋体"/>
                <w:color w:val="auto"/>
                <w:szCs w:val="21"/>
                <w:highlight w:val="none"/>
                <w:u w:val="none"/>
              </w:rPr>
              <w:t>方式一：选取方法</w:t>
            </w:r>
            <w:r>
              <w:rPr>
                <w:rFonts w:hint="eastAsia" w:ascii="宋体" w:hAnsi="宋体"/>
                <w:color w:val="auto"/>
                <w:szCs w:val="21"/>
                <w:highlight w:val="none"/>
                <w:u w:val="single"/>
              </w:rPr>
              <w:t>七（适合综合评分办法四，技术标与经济标同时开启）</w:t>
            </w:r>
          </w:p>
          <w:p w14:paraId="5F33EFB9">
            <w:pPr>
              <w:pStyle w:val="35"/>
              <w:keepNext w:val="0"/>
              <w:keepLines w:val="0"/>
              <w:pageBreakBefore w:val="0"/>
              <w:widowControl w:val="0"/>
              <w:kinsoku/>
              <w:wordWrap/>
              <w:overflowPunct/>
              <w:topLinePunct w:val="0"/>
              <w:autoSpaceDE/>
              <w:autoSpaceDN/>
              <w:bidi w:val="0"/>
              <w:adjustRightInd/>
              <w:snapToGrid/>
              <w:spacing w:after="0" w:line="360" w:lineRule="exact"/>
              <w:ind w:firstLine="0"/>
              <w:textAlignment w:val="auto"/>
              <w:rPr>
                <w:rFonts w:hint="eastAsia" w:ascii="宋体" w:hAnsi="宋体"/>
                <w:color w:val="auto"/>
                <w:szCs w:val="21"/>
                <w:highlight w:val="none"/>
                <w:u w:val="single"/>
              </w:rPr>
            </w:pPr>
            <w:r>
              <w:rPr>
                <w:rFonts w:hint="eastAsia" w:ascii="宋体" w:hAnsi="宋体"/>
                <w:color w:val="auto"/>
                <w:szCs w:val="21"/>
                <w:highlight w:val="none"/>
                <w:u w:val="single"/>
              </w:rPr>
              <w:t>评标委员会按照招标文件规定的评标程序对投标人进行评审。若通过技术标及经济标有效性审查的合格投标人大于等于3家且少于等于</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家的，则推荐全部合格的投标人为合格中标候选人（不排序）进入定标阶段。若通过技术标及经济标有效性审查的合格投标人大于</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家的，按投标人总得分由高至低推荐排前</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名的合格中标候选人【不排序，按统一社会信用代码后4位（除校验码外）大小排位，如统一社会信用代码后4位出现字母情况的，字母以“0”进行代替大小排位；如出现后4位（除校验码外）大小一致的，则随机排位】进入定标阶段，进入定标阶段不排序。</w:t>
            </w:r>
          </w:p>
          <w:p w14:paraId="21D0DD20">
            <w:pPr>
              <w:pStyle w:val="35"/>
              <w:keepNext w:val="0"/>
              <w:keepLines w:val="0"/>
              <w:pageBreakBefore w:val="0"/>
              <w:widowControl w:val="0"/>
              <w:kinsoku/>
              <w:wordWrap/>
              <w:overflowPunct/>
              <w:topLinePunct w:val="0"/>
              <w:autoSpaceDE/>
              <w:autoSpaceDN/>
              <w:bidi w:val="0"/>
              <w:adjustRightInd/>
              <w:snapToGrid/>
              <w:spacing w:after="0" w:line="360" w:lineRule="exact"/>
              <w:ind w:firstLine="0"/>
              <w:textAlignment w:val="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总得分相同的投标文件，以现场答辩得分较高的排前；总得分与现场答辩得分均相同的投标文件，则按报价低的排前。若名次排列出现并列，则占用下一名次(如：第一名分数均相同的投标人有N个，则该N个投标人并列为第一名，下一名按第N+1名计算，依此类推）。如排名第</w:t>
            </w:r>
            <w:r>
              <w:rPr>
                <w:rFonts w:hint="eastAsia" w:ascii="宋体" w:hAnsi="宋体" w:eastAsia="宋体" w:cs="Times New Roman"/>
                <w:color w:val="auto"/>
                <w:szCs w:val="21"/>
                <w:highlight w:val="none"/>
                <w:u w:val="single"/>
                <w:lang w:val="en-US" w:eastAsia="zh-CN"/>
              </w:rPr>
              <w:t>7名</w:t>
            </w:r>
            <w:r>
              <w:rPr>
                <w:rFonts w:hint="eastAsia" w:ascii="宋体" w:hAnsi="宋体" w:eastAsia="宋体" w:cs="Times New Roman"/>
                <w:color w:val="auto"/>
                <w:szCs w:val="21"/>
                <w:highlight w:val="none"/>
                <w:u w:val="single"/>
              </w:rPr>
              <w:t>的投标人有N个，则这N个投标人都推荐进入定标阶段。</w:t>
            </w:r>
          </w:p>
          <w:p w14:paraId="3661C22B">
            <w:pPr>
              <w:pStyle w:val="35"/>
              <w:ind w:firstLine="0"/>
              <w:rPr>
                <w:rFonts w:hint="eastAsia" w:ascii="宋体" w:hAnsi="宋体" w:eastAsia="宋体" w:cs="宋体"/>
                <w:color w:val="auto"/>
                <w:szCs w:val="21"/>
                <w:highlight w:val="none"/>
              </w:rPr>
            </w:pPr>
            <w:r>
              <w:rPr>
                <w:rFonts w:hint="eastAsia" w:ascii="宋体" w:hAnsi="宋体"/>
                <w:b/>
                <w:bCs/>
                <w:color w:val="auto"/>
                <w:szCs w:val="21"/>
                <w:highlight w:val="none"/>
                <w:u w:val="single"/>
              </w:rPr>
              <w:t>投标人总得分=技术得分（满分100分）×100%</w:t>
            </w:r>
          </w:p>
        </w:tc>
      </w:tr>
      <w:tr w14:paraId="3AAF36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795D669F">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981" w:type="dxa"/>
            <w:tcBorders>
              <w:top w:val="single" w:color="auto" w:sz="4" w:space="0"/>
              <w:left w:val="single" w:color="auto" w:sz="4" w:space="0"/>
              <w:bottom w:val="single" w:color="auto" w:sz="4" w:space="0"/>
              <w:right w:val="single" w:color="auto" w:sz="4" w:space="0"/>
            </w:tcBorders>
            <w:vAlign w:val="center"/>
          </w:tcPr>
          <w:p w14:paraId="0B12E45A">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w:t>
            </w:r>
          </w:p>
        </w:tc>
        <w:tc>
          <w:tcPr>
            <w:tcW w:w="1733" w:type="dxa"/>
            <w:tcBorders>
              <w:top w:val="single" w:color="auto" w:sz="4" w:space="0"/>
              <w:left w:val="single" w:color="auto" w:sz="4" w:space="0"/>
              <w:bottom w:val="single" w:color="auto" w:sz="4" w:space="0"/>
              <w:right w:val="single" w:color="auto" w:sz="4" w:space="0"/>
            </w:tcBorders>
            <w:vAlign w:val="center"/>
          </w:tcPr>
          <w:p w14:paraId="48CCD250">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定标</w:t>
            </w:r>
          </w:p>
        </w:tc>
        <w:tc>
          <w:tcPr>
            <w:tcW w:w="5934" w:type="dxa"/>
            <w:tcBorders>
              <w:top w:val="single" w:color="auto" w:sz="4" w:space="0"/>
              <w:left w:val="single" w:color="auto" w:sz="4" w:space="0"/>
              <w:bottom w:val="single" w:color="auto" w:sz="4" w:space="0"/>
              <w:right w:val="double" w:color="auto" w:sz="4" w:space="0"/>
            </w:tcBorders>
            <w:vAlign w:val="center"/>
          </w:tcPr>
          <w:p w14:paraId="423ED1C9">
            <w:pPr>
              <w:pStyle w:val="35"/>
              <w:ind w:firstLine="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u w:val="none"/>
              </w:rPr>
              <w:t>定标办法：评分法（履约能力因素+</w:t>
            </w:r>
            <w:r>
              <w:rPr>
                <w:rFonts w:hint="eastAsia" w:ascii="宋体" w:hAnsi="宋体" w:eastAsia="宋体" w:cs="宋体"/>
                <w:color w:val="auto"/>
                <w:kern w:val="2"/>
                <w:sz w:val="21"/>
                <w:szCs w:val="21"/>
                <w:highlight w:val="none"/>
                <w:u w:val="none"/>
                <w:lang w:eastAsia="zh-CN"/>
              </w:rPr>
              <w:t>投标价格因素</w:t>
            </w:r>
            <w:r>
              <w:rPr>
                <w:rFonts w:hint="eastAsia" w:ascii="宋体" w:hAnsi="宋体" w:eastAsia="宋体" w:cs="宋体"/>
                <w:color w:val="auto"/>
                <w:kern w:val="2"/>
                <w:sz w:val="21"/>
                <w:szCs w:val="21"/>
                <w:highlight w:val="none"/>
                <w:u w:val="none"/>
              </w:rPr>
              <w:t>）。</w:t>
            </w:r>
          </w:p>
        </w:tc>
      </w:tr>
      <w:tr w14:paraId="571EE6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84F3BF3">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w:t>
            </w:r>
          </w:p>
        </w:tc>
        <w:tc>
          <w:tcPr>
            <w:tcW w:w="981" w:type="dxa"/>
            <w:tcBorders>
              <w:top w:val="single" w:color="auto" w:sz="4" w:space="0"/>
              <w:left w:val="single" w:color="auto" w:sz="4" w:space="0"/>
              <w:bottom w:val="single" w:color="auto" w:sz="4" w:space="0"/>
              <w:right w:val="single" w:color="auto" w:sz="4" w:space="0"/>
            </w:tcBorders>
            <w:vAlign w:val="center"/>
          </w:tcPr>
          <w:p w14:paraId="7D0E678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1733" w:type="dxa"/>
            <w:tcBorders>
              <w:top w:val="single" w:color="auto" w:sz="4" w:space="0"/>
              <w:left w:val="single" w:color="auto" w:sz="4" w:space="0"/>
              <w:bottom w:val="single" w:color="auto" w:sz="4" w:space="0"/>
              <w:right w:val="single" w:color="auto" w:sz="4" w:space="0"/>
            </w:tcBorders>
            <w:vAlign w:val="center"/>
          </w:tcPr>
          <w:p w14:paraId="2CBED37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w:t>
            </w:r>
          </w:p>
        </w:tc>
        <w:tc>
          <w:tcPr>
            <w:tcW w:w="5934" w:type="dxa"/>
            <w:tcBorders>
              <w:top w:val="single" w:color="auto" w:sz="4" w:space="0"/>
              <w:left w:val="single" w:color="auto" w:sz="4" w:space="0"/>
              <w:bottom w:val="single" w:color="auto" w:sz="4" w:space="0"/>
              <w:right w:val="double" w:color="auto" w:sz="4" w:space="0"/>
            </w:tcBorders>
            <w:vAlign w:val="center"/>
          </w:tcPr>
          <w:p w14:paraId="0EAB3AE1">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是否要求投标人提交履约担保：</w:t>
            </w:r>
          </w:p>
          <w:p w14:paraId="7BDB048C">
            <w:pPr>
              <w:pStyle w:val="1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□不要求</w:t>
            </w:r>
          </w:p>
          <w:p w14:paraId="7B8DC9CB">
            <w:pPr>
              <w:pStyle w:val="1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☑要求：</w:t>
            </w:r>
          </w:p>
          <w:p w14:paraId="274598A8">
            <w:pPr>
              <w:pStyle w:val="19"/>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履约保证金的金额：</w:t>
            </w:r>
            <w:r>
              <w:rPr>
                <w:rFonts w:hint="eastAsia" w:ascii="宋体" w:hAnsi="宋体" w:eastAsia="宋体" w:cs="宋体"/>
                <w:color w:val="auto"/>
                <w:highlight w:val="none"/>
                <w:u w:val="single"/>
                <w:lang w:val="en-US" w:eastAsia="zh-CN"/>
              </w:rPr>
              <w:t xml:space="preserve">      </w:t>
            </w:r>
          </w:p>
          <w:p w14:paraId="3A4C9865">
            <w:pPr>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方式一：中标人提供的履约保证金为中标价款的</w:t>
            </w:r>
            <w:r>
              <w:rPr>
                <w:rFonts w:hint="eastAsia" w:ascii="宋体" w:hAnsi="宋体" w:cs="宋体"/>
                <w:color w:val="auto"/>
                <w:highlight w:val="none"/>
                <w:u w:val="single"/>
                <w:lang w:val="en-US" w:eastAsia="zh-CN"/>
              </w:rPr>
              <w:t>10</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（不高于</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w:t>
            </w:r>
          </w:p>
          <w:p w14:paraId="033DA0F4">
            <w:pPr>
              <w:pStyle w:val="35"/>
              <w:spacing w:after="0"/>
              <w:ind w:firstLine="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方式二：中标人提供的履约保函的保证额为中标价款与最高投标限价之间的差额，且不</w:t>
            </w:r>
            <w:r>
              <w:rPr>
                <w:rFonts w:hint="eastAsia" w:ascii="宋体" w:hAnsi="宋体" w:eastAsia="宋体" w:cs="宋体"/>
                <w:color w:val="auto"/>
                <w:highlight w:val="none"/>
                <w:lang w:eastAsia="zh-CN"/>
              </w:rPr>
              <w:t>超过</w:t>
            </w:r>
            <w:r>
              <w:rPr>
                <w:rFonts w:hint="eastAsia" w:ascii="宋体" w:hAnsi="宋体" w:eastAsia="宋体" w:cs="宋体"/>
                <w:color w:val="auto"/>
                <w:highlight w:val="none"/>
              </w:rPr>
              <w:t>中标价款的10%。</w:t>
            </w:r>
          </w:p>
          <w:p w14:paraId="4339EE6A">
            <w:pPr>
              <w:widowControl/>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highlight w:val="none"/>
                <w:lang w:eastAsia="zh-CN"/>
              </w:rPr>
              <w:t>履约保证金的形式：</w:t>
            </w:r>
            <w:r>
              <w:rPr>
                <w:rFonts w:hint="eastAsia" w:ascii="宋体" w:hAnsi="宋体" w:eastAsia="宋体" w:cs="宋体"/>
                <w:color w:val="auto"/>
                <w:highlight w:val="none"/>
                <w:u w:val="single"/>
                <w:lang w:val="en-US" w:eastAsia="zh-CN"/>
              </w:rPr>
              <w:t>具体详见合同条款约定。</w:t>
            </w:r>
          </w:p>
        </w:tc>
      </w:tr>
      <w:tr w14:paraId="18E718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14:paraId="0D5CD2E6">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22</w:t>
            </w:r>
          </w:p>
        </w:tc>
        <w:tc>
          <w:tcPr>
            <w:tcW w:w="981" w:type="dxa"/>
            <w:tcBorders>
              <w:top w:val="single" w:color="auto" w:sz="4" w:space="0"/>
              <w:left w:val="single" w:color="auto" w:sz="4" w:space="0"/>
              <w:bottom w:val="single" w:color="auto" w:sz="4" w:space="0"/>
              <w:right w:val="single" w:color="auto" w:sz="4" w:space="0"/>
            </w:tcBorders>
            <w:vAlign w:val="center"/>
          </w:tcPr>
          <w:p w14:paraId="1CCCC0B3">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32.1</w:t>
            </w:r>
          </w:p>
        </w:tc>
        <w:tc>
          <w:tcPr>
            <w:tcW w:w="1733" w:type="dxa"/>
            <w:tcBorders>
              <w:top w:val="single" w:color="auto" w:sz="4" w:space="0"/>
              <w:left w:val="single" w:color="auto" w:sz="4" w:space="0"/>
              <w:bottom w:val="single" w:color="auto" w:sz="4" w:space="0"/>
              <w:right w:val="single" w:color="auto" w:sz="4" w:space="0"/>
            </w:tcBorders>
            <w:vAlign w:val="center"/>
          </w:tcPr>
          <w:p w14:paraId="52AD0811">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专业</w:t>
            </w:r>
            <w:r>
              <w:rPr>
                <w:rFonts w:hint="eastAsia" w:ascii="宋体" w:hAnsi="宋体" w:eastAsia="宋体" w:cs="宋体"/>
                <w:color w:val="auto"/>
                <w:szCs w:val="21"/>
                <w:highlight w:val="none"/>
                <w:lang w:eastAsia="zh-CN"/>
              </w:rPr>
              <w:t>分包</w:t>
            </w:r>
          </w:p>
        </w:tc>
        <w:tc>
          <w:tcPr>
            <w:tcW w:w="5934" w:type="dxa"/>
            <w:tcBorders>
              <w:top w:val="single" w:color="auto" w:sz="4" w:space="0"/>
              <w:left w:val="single" w:color="auto" w:sz="4" w:space="0"/>
              <w:bottom w:val="single" w:color="auto" w:sz="4" w:space="0"/>
              <w:right w:val="double" w:color="auto" w:sz="4" w:space="0"/>
            </w:tcBorders>
            <w:vAlign w:val="center"/>
          </w:tcPr>
          <w:p w14:paraId="68FDE3A4">
            <w:pP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☑不允许；</w:t>
            </w:r>
          </w:p>
          <w:p w14:paraId="3CBE484C">
            <w:pP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□允许：分包内容要求：</w:t>
            </w:r>
          </w:p>
          <w:p w14:paraId="01A786FD">
            <w:pP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分包金额要求：</w:t>
            </w:r>
          </w:p>
          <w:p w14:paraId="60A0AF37">
            <w:pP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对分包人的资质要求：</w:t>
            </w:r>
          </w:p>
          <w:p w14:paraId="79E3EA5F">
            <w:pPr>
              <w:pStyle w:val="35"/>
              <w:spacing w:after="0"/>
              <w:ind w:firstLine="0" w:firstLineChars="0"/>
              <w:rPr>
                <w:rFonts w:hint="eastAsia" w:ascii="宋体" w:hAnsi="宋体" w:eastAsia="宋体" w:cs="宋体"/>
                <w:color w:val="auto"/>
                <w:highlight w:val="none"/>
                <w:lang w:eastAsia="zh-CN"/>
              </w:rPr>
            </w:pPr>
            <w:r>
              <w:rPr>
                <w:rFonts w:hint="eastAsia" w:ascii="宋体" w:hAnsi="宋体" w:eastAsia="宋体" w:cs="宋体"/>
                <w:color w:val="auto"/>
                <w:kern w:val="0"/>
                <w:szCs w:val="21"/>
                <w:highlight w:val="none"/>
                <w:lang w:val="zh-CN"/>
              </w:rPr>
              <w:t xml:space="preserve">        对分包人的其他要求：</w:t>
            </w:r>
          </w:p>
        </w:tc>
      </w:tr>
      <w:tr w14:paraId="26C866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trPr>
        <w:tc>
          <w:tcPr>
            <w:tcW w:w="702" w:type="dxa"/>
            <w:tcBorders>
              <w:top w:val="single" w:color="auto" w:sz="4" w:space="0"/>
              <w:left w:val="double" w:color="auto" w:sz="4" w:space="0"/>
              <w:bottom w:val="single" w:color="auto" w:sz="4" w:space="0"/>
              <w:right w:val="single" w:color="auto" w:sz="4" w:space="0"/>
            </w:tcBorders>
            <w:vAlign w:val="center"/>
          </w:tcPr>
          <w:p w14:paraId="0E0DF731">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p>
        </w:tc>
        <w:tc>
          <w:tcPr>
            <w:tcW w:w="981" w:type="dxa"/>
            <w:tcBorders>
              <w:top w:val="single" w:color="auto" w:sz="4" w:space="0"/>
              <w:left w:val="single" w:color="auto" w:sz="4" w:space="0"/>
              <w:bottom w:val="single" w:color="auto" w:sz="4" w:space="0"/>
              <w:right w:val="single" w:color="auto" w:sz="4" w:space="0"/>
            </w:tcBorders>
            <w:vAlign w:val="center"/>
          </w:tcPr>
          <w:p w14:paraId="1C863C00">
            <w:pPr>
              <w:rPr>
                <w:rFonts w:hint="eastAsia" w:ascii="宋体" w:hAnsi="宋体" w:eastAsia="宋体" w:cs="宋体"/>
                <w:color w:val="auto"/>
                <w:szCs w:val="21"/>
                <w:highlight w:val="none"/>
                <w:lang w:val="en-US" w:eastAsia="zh-CN"/>
              </w:rPr>
            </w:pPr>
          </w:p>
        </w:tc>
        <w:tc>
          <w:tcPr>
            <w:tcW w:w="1733" w:type="dxa"/>
            <w:tcBorders>
              <w:top w:val="single" w:color="auto" w:sz="4" w:space="0"/>
              <w:left w:val="single" w:color="auto" w:sz="4" w:space="0"/>
              <w:bottom w:val="single" w:color="auto" w:sz="4" w:space="0"/>
              <w:right w:val="single" w:color="auto" w:sz="4" w:space="0"/>
            </w:tcBorders>
            <w:vAlign w:val="center"/>
          </w:tcPr>
          <w:p w14:paraId="1FFB591F">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最高投标限价</w:t>
            </w:r>
          </w:p>
        </w:tc>
        <w:tc>
          <w:tcPr>
            <w:tcW w:w="5934" w:type="dxa"/>
            <w:tcBorders>
              <w:top w:val="single" w:color="auto" w:sz="4" w:space="0"/>
              <w:left w:val="single" w:color="auto" w:sz="4" w:space="0"/>
              <w:bottom w:val="single" w:color="auto" w:sz="4" w:space="0"/>
              <w:right w:val="double" w:color="auto" w:sz="4" w:space="0"/>
            </w:tcBorders>
            <w:vAlign w:val="center"/>
          </w:tcPr>
          <w:p w14:paraId="46F06982">
            <w:pPr>
              <w:widowControl/>
              <w:jc w:val="left"/>
              <w:rPr>
                <w:rFonts w:hint="eastAsia" w:ascii="宋体" w:hAnsi="宋体" w:eastAsia="宋体" w:cs="宋体"/>
                <w:color w:val="auto"/>
                <w:kern w:val="0"/>
                <w:szCs w:val="21"/>
                <w:highlight w:val="none"/>
                <w:lang w:val="zh-CN"/>
              </w:rPr>
            </w:pPr>
            <w:r>
              <w:rPr>
                <w:rFonts w:hint="eastAsia" w:ascii="宋体" w:hAnsi="宋体" w:eastAsia="宋体" w:cs="宋体"/>
                <w:color w:val="auto"/>
                <w:highlight w:val="none"/>
              </w:rPr>
              <w:t>本项目</w:t>
            </w:r>
            <w:r>
              <w:rPr>
                <w:rFonts w:hint="eastAsia" w:ascii="宋体" w:hAnsi="宋体" w:eastAsia="宋体" w:cs="宋体"/>
                <w:bCs/>
                <w:color w:val="auto"/>
                <w:kern w:val="0"/>
                <w:szCs w:val="21"/>
                <w:highlight w:val="none"/>
              </w:rPr>
              <w:t>最高</w:t>
            </w:r>
            <w:r>
              <w:rPr>
                <w:rFonts w:hint="eastAsia" w:ascii="宋体" w:hAnsi="宋体" w:eastAsia="宋体" w:cs="宋体"/>
                <w:color w:val="auto"/>
                <w:highlight w:val="none"/>
              </w:rPr>
              <w:t>投标限价为人民币</w:t>
            </w:r>
            <w:r>
              <w:rPr>
                <w:rFonts w:hint="eastAsia" w:ascii="宋体" w:hAnsi="宋体" w:eastAsia="宋体" w:cs="宋体"/>
                <w:color w:val="auto"/>
                <w:szCs w:val="21"/>
                <w:highlight w:val="none"/>
                <w:u w:val="single"/>
                <w:lang w:val="en-US" w:eastAsia="zh-CN"/>
              </w:rPr>
              <w:t>26914222.06</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。详见本项目最高投标限价公布表。</w:t>
            </w:r>
          </w:p>
        </w:tc>
      </w:tr>
      <w:tr w14:paraId="267555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14:paraId="558620B3">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4</w:t>
            </w:r>
          </w:p>
        </w:tc>
        <w:tc>
          <w:tcPr>
            <w:tcW w:w="981" w:type="dxa"/>
            <w:tcBorders>
              <w:top w:val="single" w:color="auto" w:sz="4" w:space="0"/>
              <w:left w:val="single" w:color="auto" w:sz="4" w:space="0"/>
              <w:bottom w:val="single" w:color="auto" w:sz="4" w:space="0"/>
              <w:right w:val="single" w:color="auto" w:sz="4" w:space="0"/>
            </w:tcBorders>
            <w:vAlign w:val="center"/>
          </w:tcPr>
          <w:p w14:paraId="64E5FBC6">
            <w:pP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E9BBAE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非竞争费用</w:t>
            </w:r>
          </w:p>
        </w:tc>
        <w:tc>
          <w:tcPr>
            <w:tcW w:w="5934" w:type="dxa"/>
            <w:tcBorders>
              <w:top w:val="single" w:color="auto" w:sz="4" w:space="0"/>
              <w:left w:val="single" w:color="auto" w:sz="4" w:space="0"/>
              <w:bottom w:val="single" w:color="auto" w:sz="4" w:space="0"/>
              <w:right w:val="double" w:color="auto" w:sz="4" w:space="0"/>
            </w:tcBorders>
            <w:vAlign w:val="center"/>
          </w:tcPr>
          <w:p w14:paraId="3EA1E8A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本项目绿色施工安全防护措施费为</w:t>
            </w:r>
            <w:r>
              <w:rPr>
                <w:rFonts w:hint="eastAsia" w:ascii="宋体" w:hAnsi="宋体" w:eastAsia="宋体" w:cs="宋体"/>
                <w:color w:val="auto"/>
                <w:szCs w:val="21"/>
                <w:highlight w:val="none"/>
                <w:u w:val="single"/>
                <w:lang w:val="en-US" w:eastAsia="zh-CN"/>
              </w:rPr>
              <w:t>1333606.49</w:t>
            </w:r>
            <w:r>
              <w:rPr>
                <w:rFonts w:hint="eastAsia" w:ascii="宋体" w:hAnsi="宋体" w:eastAsia="宋体" w:cs="宋体"/>
                <w:color w:val="auto"/>
                <w:szCs w:val="21"/>
                <w:highlight w:val="none"/>
              </w:rPr>
              <w:t>元，暂列金额为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1854059.53</w:t>
            </w:r>
            <w:r>
              <w:rPr>
                <w:rFonts w:hint="eastAsia" w:ascii="宋体" w:hAnsi="宋体" w:eastAsia="宋体" w:cs="宋体"/>
                <w:color w:val="auto"/>
                <w:szCs w:val="21"/>
                <w:highlight w:val="none"/>
              </w:rPr>
              <w:t>元，暂估价为</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rPr>
              <w:t>元。（未按招标文件规定的金额填写的，由评标委员会按照招标文件规定的金额进行修正）</w:t>
            </w:r>
          </w:p>
        </w:tc>
      </w:tr>
      <w:tr w14:paraId="20BD4E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14:paraId="73181471">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p>
        </w:tc>
        <w:tc>
          <w:tcPr>
            <w:tcW w:w="981" w:type="dxa"/>
            <w:tcBorders>
              <w:top w:val="single" w:color="auto" w:sz="4" w:space="0"/>
              <w:left w:val="single" w:color="auto" w:sz="4" w:space="0"/>
              <w:bottom w:val="single" w:color="auto" w:sz="4" w:space="0"/>
              <w:right w:val="single" w:color="auto" w:sz="4" w:space="0"/>
            </w:tcBorders>
            <w:vAlign w:val="center"/>
          </w:tcPr>
          <w:p w14:paraId="24127E87">
            <w:pP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4EA979EB">
            <w:pPr>
              <w:pStyle w:val="35"/>
              <w:ind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保修期</w:t>
            </w:r>
          </w:p>
        </w:tc>
        <w:tc>
          <w:tcPr>
            <w:tcW w:w="5934" w:type="dxa"/>
            <w:tcBorders>
              <w:top w:val="single" w:color="auto" w:sz="4" w:space="0"/>
              <w:left w:val="single" w:color="auto" w:sz="4" w:space="0"/>
              <w:bottom w:val="single" w:color="auto" w:sz="4" w:space="0"/>
              <w:right w:val="double" w:color="auto" w:sz="4" w:space="0"/>
            </w:tcBorders>
            <w:vAlign w:val="center"/>
          </w:tcPr>
          <w:p w14:paraId="210AD51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按照《建设工程质量管理条例》和《工程质量保修书》规定。</w:t>
            </w:r>
          </w:p>
        </w:tc>
      </w:tr>
      <w:tr w14:paraId="16C6E1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2304E3E">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p>
        </w:tc>
        <w:tc>
          <w:tcPr>
            <w:tcW w:w="981" w:type="dxa"/>
            <w:tcBorders>
              <w:top w:val="single" w:color="auto" w:sz="4" w:space="0"/>
              <w:left w:val="single" w:color="auto" w:sz="4" w:space="0"/>
              <w:bottom w:val="single" w:color="auto" w:sz="4" w:space="0"/>
              <w:right w:val="single" w:color="auto" w:sz="4" w:space="0"/>
            </w:tcBorders>
            <w:vAlign w:val="center"/>
          </w:tcPr>
          <w:p w14:paraId="34CEA2E0">
            <w:pP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EE7BC53">
            <w:pPr>
              <w:rPr>
                <w:rFonts w:hint="eastAsia" w:ascii="宋体" w:hAnsi="宋体" w:eastAsia="宋体" w:cs="宋体"/>
                <w:strike/>
                <w:dstrike w:val="0"/>
                <w:color w:val="auto"/>
                <w:szCs w:val="21"/>
                <w:highlight w:val="none"/>
              </w:rPr>
            </w:pPr>
            <w:r>
              <w:rPr>
                <w:rFonts w:hint="eastAsia" w:ascii="宋体" w:hAnsi="宋体" w:eastAsia="宋体" w:cs="宋体"/>
                <w:strike/>
                <w:dstrike w:val="0"/>
                <w:color w:val="auto"/>
                <w:szCs w:val="21"/>
                <w:highlight w:val="none"/>
              </w:rPr>
              <w:t>计算评标参考价的等分点值</w:t>
            </w:r>
          </w:p>
        </w:tc>
        <w:tc>
          <w:tcPr>
            <w:tcW w:w="5934" w:type="dxa"/>
            <w:tcBorders>
              <w:top w:val="single" w:color="auto" w:sz="4" w:space="0"/>
              <w:left w:val="single" w:color="auto" w:sz="4" w:space="0"/>
              <w:bottom w:val="single" w:color="auto" w:sz="4" w:space="0"/>
              <w:right w:val="double" w:color="auto" w:sz="4" w:space="0"/>
            </w:tcBorders>
            <w:vAlign w:val="center"/>
          </w:tcPr>
          <w:p w14:paraId="0B8E38C4">
            <w:pPr>
              <w:rPr>
                <w:rFonts w:hint="eastAsia" w:ascii="宋体" w:hAnsi="宋体" w:eastAsia="宋体" w:cs="宋体"/>
                <w:strike/>
                <w:dstrike w:val="0"/>
                <w:color w:val="auto"/>
                <w:szCs w:val="21"/>
                <w:highlight w:val="none"/>
              </w:rPr>
            </w:pPr>
            <w:r>
              <w:rPr>
                <w:rFonts w:hint="eastAsia" w:ascii="宋体" w:hAnsi="宋体" w:eastAsia="宋体" w:cs="宋体"/>
                <w:strike/>
                <w:dstrike w:val="0"/>
                <w:color w:val="auto"/>
                <w:szCs w:val="21"/>
                <w:highlight w:val="none"/>
              </w:rPr>
              <w:t>计算评标参考价的等分点值X在开标</w:t>
            </w:r>
            <w:r>
              <w:rPr>
                <w:rFonts w:hint="eastAsia" w:ascii="宋体" w:hAnsi="宋体" w:eastAsia="宋体" w:cs="宋体"/>
                <w:strike/>
                <w:dstrike w:val="0"/>
                <w:color w:val="auto"/>
                <w:szCs w:val="21"/>
                <w:highlight w:val="none"/>
                <w:lang w:eastAsia="zh-CN"/>
              </w:rPr>
              <w:t>时</w:t>
            </w:r>
            <w:r>
              <w:rPr>
                <w:rFonts w:hint="eastAsia" w:ascii="宋体" w:hAnsi="宋体" w:eastAsia="宋体" w:cs="宋体"/>
                <w:strike/>
                <w:dstrike w:val="0"/>
                <w:color w:val="auto"/>
                <w:szCs w:val="21"/>
                <w:highlight w:val="none"/>
              </w:rPr>
              <w:t>从[0,100]</w:t>
            </w:r>
            <w:r>
              <w:rPr>
                <w:rFonts w:hint="eastAsia" w:ascii="宋体" w:hAnsi="宋体" w:eastAsia="宋体" w:cs="宋体"/>
                <w:strike/>
                <w:dstrike w:val="0"/>
                <w:color w:val="auto"/>
                <w:highlight w:val="none"/>
              </w:rPr>
              <w:t xml:space="preserve"> </w:t>
            </w:r>
            <w:r>
              <w:rPr>
                <w:rFonts w:hint="eastAsia" w:ascii="宋体" w:hAnsi="宋体" w:eastAsia="宋体" w:cs="宋体"/>
                <w:strike/>
                <w:dstrike w:val="0"/>
                <w:color w:val="auto"/>
                <w:szCs w:val="21"/>
                <w:highlight w:val="none"/>
              </w:rPr>
              <w:t>的整数中随机抽取。</w:t>
            </w:r>
          </w:p>
        </w:tc>
      </w:tr>
      <w:tr w14:paraId="462460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A04FC8E">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p>
        </w:tc>
        <w:tc>
          <w:tcPr>
            <w:tcW w:w="981" w:type="dxa"/>
            <w:tcBorders>
              <w:top w:val="single" w:color="auto" w:sz="4" w:space="0"/>
              <w:left w:val="single" w:color="auto" w:sz="4" w:space="0"/>
              <w:bottom w:val="single" w:color="auto" w:sz="4" w:space="0"/>
              <w:right w:val="single" w:color="auto" w:sz="4" w:space="0"/>
            </w:tcBorders>
            <w:vAlign w:val="center"/>
          </w:tcPr>
          <w:p w14:paraId="55AAE2F3">
            <w:pPr>
              <w:ind w:firstLine="458"/>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8F76A43">
            <w:pPr>
              <w:rPr>
                <w:rFonts w:hint="eastAsia" w:ascii="宋体" w:hAnsi="宋体" w:eastAsia="宋体" w:cs="宋体"/>
                <w:strike/>
                <w:dstrike w:val="0"/>
                <w:color w:val="auto"/>
                <w:szCs w:val="21"/>
                <w:highlight w:val="none"/>
              </w:rPr>
            </w:pPr>
            <w:r>
              <w:rPr>
                <w:rFonts w:hint="eastAsia" w:ascii="宋体" w:hAnsi="宋体" w:eastAsia="宋体" w:cs="宋体"/>
                <w:strike/>
                <w:dstrike w:val="0"/>
                <w:color w:val="auto"/>
                <w:szCs w:val="21"/>
                <w:highlight w:val="none"/>
              </w:rPr>
              <w:t>进入第二阶段评审的家数</w:t>
            </w:r>
          </w:p>
        </w:tc>
        <w:tc>
          <w:tcPr>
            <w:tcW w:w="5934" w:type="dxa"/>
            <w:tcBorders>
              <w:top w:val="single" w:color="auto" w:sz="4" w:space="0"/>
              <w:left w:val="single" w:color="auto" w:sz="4" w:space="0"/>
              <w:bottom w:val="single" w:color="auto" w:sz="4" w:space="0"/>
              <w:right w:val="double" w:color="auto" w:sz="4" w:space="0"/>
            </w:tcBorders>
            <w:vAlign w:val="center"/>
          </w:tcPr>
          <w:p w14:paraId="5227DC75">
            <w:pPr>
              <w:rPr>
                <w:rFonts w:hint="eastAsia" w:ascii="宋体" w:hAnsi="宋体" w:eastAsia="宋体" w:cs="宋体"/>
                <w:strike/>
                <w:dstrike w:val="0"/>
                <w:color w:val="auto"/>
                <w:szCs w:val="21"/>
                <w:highlight w:val="none"/>
              </w:rPr>
            </w:pPr>
            <w:r>
              <w:rPr>
                <w:rFonts w:hint="eastAsia" w:ascii="宋体" w:hAnsi="宋体" w:eastAsia="宋体" w:cs="宋体"/>
                <w:strike/>
                <w:dstrike w:val="0"/>
                <w:color w:val="auto"/>
                <w:szCs w:val="21"/>
                <w:highlight w:val="none"/>
              </w:rPr>
              <w:fldChar w:fldCharType="begin"/>
            </w:r>
            <w:r>
              <w:rPr>
                <w:rFonts w:hint="eastAsia" w:ascii="宋体" w:hAnsi="宋体" w:eastAsia="宋体" w:cs="宋体"/>
                <w:strike/>
                <w:dstrike w:val="0"/>
                <w:color w:val="auto"/>
                <w:szCs w:val="21"/>
                <w:highlight w:val="none"/>
              </w:rPr>
              <w:instrText xml:space="preserve"> = 1 \* GB3 </w:instrText>
            </w:r>
            <w:r>
              <w:rPr>
                <w:rFonts w:hint="eastAsia" w:ascii="宋体" w:hAnsi="宋体" w:eastAsia="宋体" w:cs="宋体"/>
                <w:strike/>
                <w:dstrike w:val="0"/>
                <w:color w:val="auto"/>
                <w:szCs w:val="21"/>
                <w:highlight w:val="none"/>
              </w:rPr>
              <w:fldChar w:fldCharType="separate"/>
            </w:r>
            <w:r>
              <w:rPr>
                <w:rFonts w:hint="eastAsia" w:ascii="宋体" w:hAnsi="宋体" w:eastAsia="宋体" w:cs="宋体"/>
                <w:strike/>
                <w:dstrike w:val="0"/>
                <w:color w:val="auto"/>
                <w:szCs w:val="21"/>
                <w:highlight w:val="none"/>
              </w:rPr>
              <w:t>①</w:t>
            </w:r>
            <w:r>
              <w:rPr>
                <w:rFonts w:hint="eastAsia" w:ascii="宋体" w:hAnsi="宋体" w:eastAsia="宋体" w:cs="宋体"/>
                <w:strike/>
                <w:dstrike w:val="0"/>
                <w:color w:val="auto"/>
                <w:szCs w:val="21"/>
                <w:highlight w:val="none"/>
              </w:rPr>
              <w:fldChar w:fldCharType="end"/>
            </w:r>
            <w:r>
              <w:rPr>
                <w:rFonts w:hint="eastAsia" w:ascii="宋体" w:hAnsi="宋体" w:eastAsia="宋体" w:cs="宋体"/>
                <w:strike/>
                <w:dstrike w:val="0"/>
                <w:color w:val="auto"/>
                <w:szCs w:val="21"/>
                <w:highlight w:val="none"/>
              </w:rPr>
              <w:t>通过技术有效性审查的投标人均进入第二阶段（适用于通过技术有效性审查家数在[3,</w:t>
            </w:r>
            <w:r>
              <w:rPr>
                <w:rFonts w:hint="eastAsia" w:ascii="宋体" w:hAnsi="宋体" w:eastAsia="宋体" w:cs="宋体"/>
                <w:strike/>
                <w:dstrike w:val="0"/>
                <w:color w:val="auto"/>
                <w:szCs w:val="21"/>
                <w:highlight w:val="none"/>
                <w:u w:val="single"/>
              </w:rPr>
              <w:t xml:space="preserve">  </w:t>
            </w:r>
            <w:r>
              <w:rPr>
                <w:rFonts w:hint="eastAsia" w:ascii="宋体" w:hAnsi="宋体" w:eastAsia="宋体" w:cs="宋体"/>
                <w:strike/>
                <w:dstrike w:val="0"/>
                <w:color w:val="auto"/>
                <w:szCs w:val="21"/>
                <w:highlight w:val="none"/>
              </w:rPr>
              <w:t>]中的）。</w:t>
            </w:r>
          </w:p>
          <w:p w14:paraId="10443EB4">
            <w:pPr>
              <w:rPr>
                <w:rFonts w:hint="eastAsia" w:ascii="宋体" w:hAnsi="宋体" w:eastAsia="宋体" w:cs="宋体"/>
                <w:strike/>
                <w:dstrike w:val="0"/>
                <w:color w:val="auto"/>
                <w:szCs w:val="21"/>
                <w:highlight w:val="none"/>
              </w:rPr>
            </w:pPr>
            <w:r>
              <w:rPr>
                <w:rFonts w:hint="eastAsia" w:ascii="宋体" w:hAnsi="宋体" w:eastAsia="宋体" w:cs="宋体"/>
                <w:strike/>
                <w:dstrike w:val="0"/>
                <w:color w:val="auto"/>
                <w:szCs w:val="21"/>
                <w:highlight w:val="none"/>
              </w:rPr>
              <w:fldChar w:fldCharType="begin"/>
            </w:r>
            <w:r>
              <w:rPr>
                <w:rFonts w:hint="eastAsia" w:ascii="宋体" w:hAnsi="宋体" w:eastAsia="宋体" w:cs="宋体"/>
                <w:strike/>
                <w:dstrike w:val="0"/>
                <w:color w:val="auto"/>
                <w:szCs w:val="21"/>
                <w:highlight w:val="none"/>
              </w:rPr>
              <w:instrText xml:space="preserve"> = 2 \* GB3 </w:instrText>
            </w:r>
            <w:r>
              <w:rPr>
                <w:rFonts w:hint="eastAsia" w:ascii="宋体" w:hAnsi="宋体" w:eastAsia="宋体" w:cs="宋体"/>
                <w:strike/>
                <w:dstrike w:val="0"/>
                <w:color w:val="auto"/>
                <w:szCs w:val="21"/>
                <w:highlight w:val="none"/>
              </w:rPr>
              <w:fldChar w:fldCharType="separate"/>
            </w:r>
            <w:r>
              <w:rPr>
                <w:rFonts w:hint="eastAsia" w:ascii="宋体" w:hAnsi="宋体" w:eastAsia="宋体" w:cs="宋体"/>
                <w:strike/>
                <w:dstrike w:val="0"/>
                <w:color w:val="auto"/>
                <w:szCs w:val="21"/>
                <w:highlight w:val="none"/>
              </w:rPr>
              <w:t>②</w:t>
            </w:r>
            <w:r>
              <w:rPr>
                <w:rFonts w:hint="eastAsia" w:ascii="宋体" w:hAnsi="宋体" w:eastAsia="宋体" w:cs="宋体"/>
                <w:strike/>
                <w:dstrike w:val="0"/>
                <w:color w:val="auto"/>
                <w:szCs w:val="21"/>
                <w:highlight w:val="none"/>
              </w:rPr>
              <w:fldChar w:fldCharType="end"/>
            </w:r>
            <w:r>
              <w:rPr>
                <w:rFonts w:hint="eastAsia" w:ascii="宋体" w:hAnsi="宋体" w:eastAsia="宋体" w:cs="宋体"/>
                <w:strike/>
                <w:dstrike w:val="0"/>
                <w:color w:val="auto"/>
                <w:szCs w:val="21"/>
                <w:highlight w:val="none"/>
              </w:rPr>
              <w:t>将第一阶段得分由高至低排序，前</w:t>
            </w:r>
            <w:r>
              <w:rPr>
                <w:rFonts w:hint="eastAsia" w:ascii="宋体" w:hAnsi="宋体" w:eastAsia="宋体" w:cs="宋体"/>
                <w:strike/>
                <w:dstrike w:val="0"/>
                <w:color w:val="auto"/>
                <w:szCs w:val="21"/>
                <w:highlight w:val="none"/>
                <w:u w:val="single"/>
              </w:rPr>
              <w:t xml:space="preserve">   </w:t>
            </w:r>
            <w:r>
              <w:rPr>
                <w:rFonts w:hint="eastAsia" w:ascii="宋体" w:hAnsi="宋体" w:eastAsia="宋体" w:cs="宋体"/>
                <w:strike/>
                <w:dstrike w:val="0"/>
                <w:color w:val="auto"/>
                <w:szCs w:val="21"/>
                <w:highlight w:val="none"/>
              </w:rPr>
              <w:t>名投标人进入第二阶段评审（适用于通过技术有效性审查家数大于</w:t>
            </w:r>
            <w:r>
              <w:rPr>
                <w:rFonts w:hint="eastAsia" w:ascii="宋体" w:hAnsi="宋体" w:eastAsia="宋体" w:cs="宋体"/>
                <w:strike/>
                <w:dstrike w:val="0"/>
                <w:color w:val="auto"/>
                <w:szCs w:val="21"/>
                <w:highlight w:val="none"/>
                <w:u w:val="single"/>
              </w:rPr>
              <w:t xml:space="preserve">  </w:t>
            </w:r>
            <w:r>
              <w:rPr>
                <w:rFonts w:hint="eastAsia" w:ascii="宋体" w:hAnsi="宋体" w:eastAsia="宋体" w:cs="宋体"/>
                <w:strike/>
                <w:dstrike w:val="0"/>
                <w:color w:val="auto"/>
                <w:szCs w:val="21"/>
                <w:highlight w:val="none"/>
              </w:rPr>
              <w:t>家的，招标人可根据工程具体情况，确定不少于</w:t>
            </w:r>
            <w:r>
              <w:rPr>
                <w:rFonts w:hint="eastAsia" w:ascii="宋体" w:hAnsi="宋体" w:eastAsia="宋体" w:cs="宋体"/>
                <w:strike/>
                <w:dstrike w:val="0"/>
                <w:color w:val="auto"/>
                <w:szCs w:val="21"/>
                <w:highlight w:val="none"/>
                <w:u w:val="single"/>
              </w:rPr>
              <w:t xml:space="preserve">   </w:t>
            </w:r>
            <w:r>
              <w:rPr>
                <w:rFonts w:hint="eastAsia" w:ascii="宋体" w:hAnsi="宋体" w:eastAsia="宋体" w:cs="宋体"/>
                <w:strike/>
                <w:dstrike w:val="0"/>
                <w:color w:val="auto"/>
                <w:szCs w:val="21"/>
                <w:highlight w:val="none"/>
              </w:rPr>
              <w:t>家进入第二阶段）。</w:t>
            </w:r>
          </w:p>
        </w:tc>
      </w:tr>
      <w:tr w14:paraId="1406CB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03CE33D">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p>
        </w:tc>
        <w:tc>
          <w:tcPr>
            <w:tcW w:w="981" w:type="dxa"/>
            <w:tcBorders>
              <w:top w:val="single" w:color="auto" w:sz="4" w:space="0"/>
              <w:left w:val="single" w:color="auto" w:sz="4" w:space="0"/>
              <w:bottom w:val="single" w:color="auto" w:sz="4" w:space="0"/>
              <w:right w:val="single" w:color="auto" w:sz="4" w:space="0"/>
            </w:tcBorders>
            <w:vAlign w:val="center"/>
          </w:tcPr>
          <w:p w14:paraId="1C23589D">
            <w:pP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0E235D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工程成本警</w:t>
            </w:r>
            <w:r>
              <w:rPr>
                <w:rFonts w:hint="eastAsia" w:ascii="宋体" w:hAnsi="宋体" w:eastAsia="宋体" w:cs="宋体"/>
                <w:color w:val="auto"/>
                <w:szCs w:val="21"/>
                <w:highlight w:val="none"/>
                <w:lang w:val="en-US" w:eastAsia="zh-CN"/>
              </w:rPr>
              <w:t>示</w:t>
            </w:r>
            <w:r>
              <w:rPr>
                <w:rFonts w:hint="eastAsia" w:ascii="宋体" w:hAnsi="宋体" w:eastAsia="宋体" w:cs="宋体"/>
                <w:color w:val="auto"/>
                <w:szCs w:val="21"/>
                <w:highlight w:val="none"/>
              </w:rPr>
              <w:t>价</w:t>
            </w:r>
          </w:p>
        </w:tc>
        <w:tc>
          <w:tcPr>
            <w:tcW w:w="5934" w:type="dxa"/>
            <w:tcBorders>
              <w:top w:val="single" w:color="auto" w:sz="4" w:space="0"/>
              <w:left w:val="single" w:color="auto" w:sz="4" w:space="0"/>
              <w:bottom w:val="single" w:color="auto" w:sz="4" w:space="0"/>
              <w:right w:val="double" w:color="auto" w:sz="4" w:space="0"/>
            </w:tcBorders>
            <w:vAlign w:val="center"/>
          </w:tcPr>
          <w:p w14:paraId="4FC7ACA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工程成本警</w:t>
            </w:r>
            <w:r>
              <w:rPr>
                <w:rFonts w:hint="eastAsia" w:ascii="宋体" w:hAnsi="宋体" w:eastAsia="宋体" w:cs="宋体"/>
                <w:color w:val="auto"/>
                <w:szCs w:val="21"/>
                <w:highlight w:val="none"/>
                <w:lang w:val="en-US" w:eastAsia="zh-CN"/>
              </w:rPr>
              <w:t>示</w:t>
            </w:r>
            <w:r>
              <w:rPr>
                <w:rFonts w:hint="eastAsia" w:ascii="宋体" w:hAnsi="宋体" w:eastAsia="宋体" w:cs="宋体"/>
                <w:color w:val="auto"/>
                <w:szCs w:val="21"/>
                <w:highlight w:val="none"/>
              </w:rPr>
              <w:t>价为</w:t>
            </w:r>
            <w:r>
              <w:rPr>
                <w:rFonts w:hint="eastAsia" w:ascii="宋体" w:hAnsi="宋体" w:eastAsia="宋体" w:cs="宋体"/>
                <w:b w:val="0"/>
                <w:bCs w:val="0"/>
                <w:color w:val="auto"/>
                <w:kern w:val="2"/>
                <w:sz w:val="21"/>
                <w:szCs w:val="21"/>
                <w:highlight w:val="none"/>
                <w:u w:val="single"/>
                <w:lang w:val="en-US" w:eastAsia="zh-CN" w:bidi="ar-SA"/>
              </w:rPr>
              <w:t>24222799.85</w:t>
            </w:r>
            <w:r>
              <w:rPr>
                <w:rFonts w:hint="eastAsia" w:ascii="宋体" w:hAnsi="宋体" w:eastAsia="宋体" w:cs="宋体"/>
                <w:color w:val="auto"/>
                <w:szCs w:val="21"/>
                <w:highlight w:val="none"/>
              </w:rPr>
              <w:t>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最高投标限价的90%）</w:t>
            </w:r>
            <w:r>
              <w:rPr>
                <w:rFonts w:hint="eastAsia" w:ascii="宋体" w:hAnsi="宋体" w:eastAsia="宋体" w:cs="宋体"/>
                <w:color w:val="auto"/>
                <w:szCs w:val="21"/>
                <w:highlight w:val="none"/>
              </w:rPr>
              <w:t>对低于该警</w:t>
            </w:r>
            <w:r>
              <w:rPr>
                <w:rFonts w:hint="eastAsia" w:ascii="宋体" w:hAnsi="宋体" w:eastAsia="宋体" w:cs="宋体"/>
                <w:color w:val="auto"/>
                <w:szCs w:val="21"/>
                <w:highlight w:val="none"/>
                <w:lang w:val="en-US" w:eastAsia="zh-CN"/>
              </w:rPr>
              <w:t>示</w:t>
            </w:r>
            <w:r>
              <w:rPr>
                <w:rFonts w:hint="eastAsia" w:ascii="宋体" w:hAnsi="宋体" w:eastAsia="宋体" w:cs="宋体"/>
                <w:color w:val="auto"/>
                <w:szCs w:val="21"/>
                <w:highlight w:val="none"/>
              </w:rPr>
              <w:t>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w:t>
            </w:r>
            <w:r>
              <w:rPr>
                <w:rFonts w:hint="eastAsia" w:ascii="宋体" w:hAnsi="宋体" w:eastAsia="宋体" w:cs="宋体"/>
                <w:color w:val="auto"/>
                <w:szCs w:val="21"/>
                <w:highlight w:val="none"/>
                <w:lang w:val="en-US" w:eastAsia="zh-CN"/>
              </w:rPr>
              <w:t>示</w:t>
            </w:r>
            <w:r>
              <w:rPr>
                <w:rFonts w:hint="eastAsia" w:ascii="宋体" w:hAnsi="宋体" w:eastAsia="宋体" w:cs="宋体"/>
                <w:color w:val="auto"/>
                <w:szCs w:val="21"/>
                <w:highlight w:val="none"/>
              </w:rPr>
              <w:t>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5ED064BF">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注：为充分体现招标人意愿及落实项目招标人负责制，警</w:t>
            </w:r>
            <w:r>
              <w:rPr>
                <w:rFonts w:hint="eastAsia" w:ascii="宋体" w:hAnsi="宋体" w:eastAsia="宋体" w:cs="宋体"/>
                <w:color w:val="auto"/>
                <w:szCs w:val="21"/>
                <w:highlight w:val="none"/>
                <w:lang w:val="en-US" w:eastAsia="zh-CN"/>
              </w:rPr>
              <w:t>示</w:t>
            </w:r>
            <w:r>
              <w:rPr>
                <w:rFonts w:hint="eastAsia" w:ascii="宋体" w:hAnsi="宋体" w:eastAsia="宋体" w:cs="宋体"/>
                <w:color w:val="auto"/>
                <w:szCs w:val="21"/>
                <w:highlight w:val="none"/>
              </w:rPr>
              <w:t>价由招标人</w:t>
            </w:r>
            <w:r>
              <w:rPr>
                <w:rFonts w:hint="eastAsia" w:ascii="宋体" w:hAnsi="宋体" w:eastAsia="宋体" w:cs="宋体"/>
                <w:color w:val="auto"/>
                <w:szCs w:val="21"/>
                <w:highlight w:val="none"/>
                <w:lang w:eastAsia="zh-CN"/>
              </w:rPr>
              <w:t>确</w:t>
            </w:r>
            <w:r>
              <w:rPr>
                <w:rFonts w:hint="eastAsia" w:ascii="宋体" w:hAnsi="宋体" w:eastAsia="宋体" w:cs="宋体"/>
                <w:color w:val="auto"/>
                <w:szCs w:val="21"/>
                <w:highlight w:val="none"/>
              </w:rPr>
              <w:t>定</w:t>
            </w:r>
            <w:r>
              <w:rPr>
                <w:rFonts w:hint="eastAsia" w:ascii="宋体" w:hAnsi="宋体" w:eastAsia="宋体" w:cs="宋体"/>
                <w:color w:val="auto"/>
                <w:szCs w:val="21"/>
                <w:highlight w:val="none"/>
                <w:lang w:eastAsia="zh-CN"/>
              </w:rPr>
              <w:t>，并随招标文件一并公布</w:t>
            </w:r>
            <w:r>
              <w:rPr>
                <w:rFonts w:hint="eastAsia" w:ascii="宋体" w:hAnsi="宋体" w:eastAsia="宋体" w:cs="宋体"/>
                <w:color w:val="auto"/>
                <w:szCs w:val="21"/>
                <w:highlight w:val="none"/>
              </w:rPr>
              <w:t>。对于合并招标项目，应按项目分别设置成本警示价。</w:t>
            </w:r>
          </w:p>
        </w:tc>
      </w:tr>
      <w:tr w14:paraId="61C226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7DACBE9">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9</w:t>
            </w:r>
          </w:p>
        </w:tc>
        <w:tc>
          <w:tcPr>
            <w:tcW w:w="981" w:type="dxa"/>
            <w:tcBorders>
              <w:top w:val="single" w:color="auto" w:sz="4" w:space="0"/>
              <w:left w:val="single" w:color="auto" w:sz="4" w:space="0"/>
              <w:bottom w:val="single" w:color="auto" w:sz="4" w:space="0"/>
              <w:right w:val="single" w:color="auto" w:sz="4" w:space="0"/>
            </w:tcBorders>
            <w:vAlign w:val="center"/>
          </w:tcPr>
          <w:p w14:paraId="34BF2D43">
            <w:pP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76D91D47">
            <w:pPr>
              <w:rPr>
                <w:rFonts w:hint="eastAsia" w:ascii="宋体" w:hAnsi="宋体" w:eastAsia="宋体" w:cs="宋体"/>
                <w:strike/>
                <w:dstrike w:val="0"/>
                <w:color w:val="auto"/>
                <w:szCs w:val="21"/>
                <w:highlight w:val="none"/>
              </w:rPr>
            </w:pPr>
            <w:r>
              <w:rPr>
                <w:rFonts w:hint="eastAsia" w:ascii="宋体" w:hAnsi="宋体" w:eastAsia="宋体" w:cs="宋体"/>
                <w:strike/>
                <w:dstrike w:val="0"/>
                <w:color w:val="auto"/>
                <w:szCs w:val="21"/>
                <w:highlight w:val="none"/>
              </w:rPr>
              <w:t>第一阶段各分值的权重</w:t>
            </w:r>
          </w:p>
        </w:tc>
        <w:tc>
          <w:tcPr>
            <w:tcW w:w="5934" w:type="dxa"/>
            <w:tcBorders>
              <w:top w:val="single" w:color="auto" w:sz="4" w:space="0"/>
              <w:left w:val="single" w:color="auto" w:sz="4" w:space="0"/>
              <w:bottom w:val="single" w:color="auto" w:sz="4" w:space="0"/>
              <w:right w:val="double" w:color="auto" w:sz="4" w:space="0"/>
            </w:tcBorders>
            <w:vAlign w:val="center"/>
          </w:tcPr>
          <w:p w14:paraId="3B5F23F0">
            <w:pPr>
              <w:rPr>
                <w:rFonts w:hint="eastAsia" w:ascii="宋体" w:hAnsi="宋体" w:eastAsia="宋体" w:cs="宋体"/>
                <w:strike/>
                <w:dstrike w:val="0"/>
                <w:color w:val="auto"/>
                <w:szCs w:val="21"/>
                <w:highlight w:val="none"/>
              </w:rPr>
            </w:pPr>
            <w:r>
              <w:rPr>
                <w:rFonts w:hint="eastAsia" w:ascii="宋体" w:hAnsi="宋体" w:eastAsia="宋体" w:cs="宋体"/>
                <w:strike/>
                <w:dstrike w:val="0"/>
                <w:color w:val="auto"/>
                <w:szCs w:val="21"/>
                <w:highlight w:val="none"/>
              </w:rPr>
              <w:t>技术分权重为</w:t>
            </w:r>
            <w:r>
              <w:rPr>
                <w:rFonts w:hint="eastAsia" w:ascii="宋体" w:hAnsi="宋体" w:eastAsia="宋体" w:cs="宋体"/>
                <w:strike/>
                <w:dstrike w:val="0"/>
                <w:color w:val="auto"/>
                <w:szCs w:val="21"/>
                <w:highlight w:val="none"/>
                <w:u w:val="single"/>
              </w:rPr>
              <w:t xml:space="preserve">    </w:t>
            </w:r>
            <w:r>
              <w:rPr>
                <w:rFonts w:hint="eastAsia" w:ascii="宋体" w:hAnsi="宋体" w:eastAsia="宋体" w:cs="宋体"/>
                <w:strike/>
                <w:dstrike w:val="0"/>
                <w:color w:val="auto"/>
                <w:szCs w:val="21"/>
                <w:highlight w:val="none"/>
              </w:rPr>
              <w:t>%，</w:t>
            </w:r>
            <w:r>
              <w:rPr>
                <w:rFonts w:hint="eastAsia" w:ascii="宋体" w:hAnsi="宋体" w:eastAsia="宋体" w:cs="宋体"/>
                <w:strike/>
                <w:dstrike w:val="0"/>
                <w:color w:val="auto"/>
                <w:szCs w:val="21"/>
                <w:highlight w:val="none"/>
                <w:lang w:eastAsia="zh-CN"/>
              </w:rPr>
              <w:t>信用评价</w:t>
            </w:r>
            <w:r>
              <w:rPr>
                <w:rFonts w:hint="eastAsia" w:ascii="宋体" w:hAnsi="宋体" w:eastAsia="宋体" w:cs="宋体"/>
                <w:strike/>
                <w:dstrike w:val="0"/>
                <w:color w:val="auto"/>
                <w:szCs w:val="21"/>
                <w:highlight w:val="none"/>
              </w:rPr>
              <w:t>分数权重为</w:t>
            </w:r>
            <w:r>
              <w:rPr>
                <w:rFonts w:hint="eastAsia" w:ascii="宋体" w:hAnsi="宋体" w:eastAsia="宋体" w:cs="宋体"/>
                <w:strike/>
                <w:dstrike w:val="0"/>
                <w:color w:val="auto"/>
                <w:szCs w:val="21"/>
                <w:highlight w:val="none"/>
                <w:u w:val="single"/>
              </w:rPr>
              <w:t xml:space="preserve">    </w:t>
            </w:r>
            <w:r>
              <w:rPr>
                <w:rFonts w:hint="eastAsia" w:ascii="宋体" w:hAnsi="宋体" w:eastAsia="宋体" w:cs="宋体"/>
                <w:strike/>
                <w:dstrike w:val="0"/>
                <w:color w:val="auto"/>
                <w:szCs w:val="21"/>
                <w:highlight w:val="none"/>
              </w:rPr>
              <w:t>%。</w:t>
            </w:r>
          </w:p>
          <w:p w14:paraId="3E896D28">
            <w:pPr>
              <w:rPr>
                <w:rFonts w:hint="eastAsia" w:ascii="宋体" w:hAnsi="宋体" w:eastAsia="宋体" w:cs="宋体"/>
                <w:strike/>
                <w:dstrike w:val="0"/>
                <w:color w:val="auto"/>
                <w:szCs w:val="21"/>
                <w:highlight w:val="none"/>
              </w:rPr>
            </w:pPr>
          </w:p>
        </w:tc>
      </w:tr>
      <w:tr w14:paraId="6BF4C0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5DE4F38">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30</w:t>
            </w:r>
          </w:p>
        </w:tc>
        <w:tc>
          <w:tcPr>
            <w:tcW w:w="981" w:type="dxa"/>
            <w:tcBorders>
              <w:top w:val="single" w:color="auto" w:sz="4" w:space="0"/>
              <w:left w:val="single" w:color="auto" w:sz="4" w:space="0"/>
              <w:bottom w:val="single" w:color="auto" w:sz="4" w:space="0"/>
              <w:right w:val="single" w:color="auto" w:sz="4" w:space="0"/>
            </w:tcBorders>
            <w:vAlign w:val="center"/>
          </w:tcPr>
          <w:p w14:paraId="7A4E5B18">
            <w:pP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41D32BA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评标委员会人数</w:t>
            </w:r>
          </w:p>
        </w:tc>
        <w:tc>
          <w:tcPr>
            <w:tcW w:w="5934" w:type="dxa"/>
            <w:tcBorders>
              <w:top w:val="single" w:color="auto" w:sz="4" w:space="0"/>
              <w:left w:val="single" w:color="auto" w:sz="4" w:space="0"/>
              <w:bottom w:val="single" w:color="auto" w:sz="4" w:space="0"/>
              <w:right w:val="double" w:color="auto" w:sz="4" w:space="0"/>
            </w:tcBorders>
            <w:vAlign w:val="center"/>
          </w:tcPr>
          <w:p w14:paraId="48EEFE5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评标委员会由招标人依法组建。</w:t>
            </w:r>
          </w:p>
        </w:tc>
      </w:tr>
      <w:tr w14:paraId="150762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55151BD">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w:t>
            </w:r>
          </w:p>
        </w:tc>
        <w:tc>
          <w:tcPr>
            <w:tcW w:w="981" w:type="dxa"/>
            <w:tcBorders>
              <w:top w:val="single" w:color="auto" w:sz="4" w:space="0"/>
              <w:left w:val="single" w:color="auto" w:sz="4" w:space="0"/>
              <w:bottom w:val="single" w:color="auto" w:sz="4" w:space="0"/>
              <w:right w:val="single" w:color="auto" w:sz="4" w:space="0"/>
            </w:tcBorders>
            <w:vAlign w:val="center"/>
          </w:tcPr>
          <w:p w14:paraId="7AF51371">
            <w:pP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CB8329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w:t>
            </w:r>
            <w:r>
              <w:rPr>
                <w:rFonts w:hint="eastAsia" w:ascii="宋体" w:hAnsi="宋体" w:eastAsia="宋体" w:cs="宋体"/>
                <w:color w:val="auto"/>
                <w:szCs w:val="21"/>
                <w:highlight w:val="none"/>
                <w:lang w:eastAsia="zh-CN"/>
              </w:rPr>
              <w:t>信用评价</w:t>
            </w:r>
            <w:r>
              <w:rPr>
                <w:rFonts w:hint="eastAsia" w:ascii="宋体" w:hAnsi="宋体" w:eastAsia="宋体" w:cs="宋体"/>
                <w:color w:val="auto"/>
                <w:szCs w:val="21"/>
                <w:highlight w:val="none"/>
              </w:rPr>
              <w:t>分数</w:t>
            </w:r>
          </w:p>
        </w:tc>
        <w:tc>
          <w:tcPr>
            <w:tcW w:w="5934" w:type="dxa"/>
            <w:tcBorders>
              <w:top w:val="single" w:color="auto" w:sz="4" w:space="0"/>
              <w:left w:val="single" w:color="auto" w:sz="4" w:space="0"/>
              <w:bottom w:val="single" w:color="auto" w:sz="4" w:space="0"/>
              <w:right w:val="double" w:color="auto" w:sz="4" w:space="0"/>
            </w:tcBorders>
            <w:vAlign w:val="center"/>
          </w:tcPr>
          <w:p w14:paraId="75A996E1">
            <w:pPr>
              <w:pStyle w:val="7"/>
              <w:ind w:firstLine="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本项目不采用企业信用评价。</w:t>
            </w:r>
          </w:p>
        </w:tc>
      </w:tr>
      <w:tr w14:paraId="775DBC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9CEA135">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w:t>
            </w:r>
          </w:p>
        </w:tc>
        <w:tc>
          <w:tcPr>
            <w:tcW w:w="981" w:type="dxa"/>
            <w:tcBorders>
              <w:top w:val="single" w:color="auto" w:sz="4" w:space="0"/>
              <w:left w:val="single" w:color="auto" w:sz="4" w:space="0"/>
              <w:bottom w:val="single" w:color="auto" w:sz="4" w:space="0"/>
              <w:right w:val="single" w:color="auto" w:sz="4" w:space="0"/>
            </w:tcBorders>
            <w:vAlign w:val="center"/>
          </w:tcPr>
          <w:p w14:paraId="7A044A00">
            <w:pPr>
              <w:ind w:firstLine="458"/>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6FE2059E">
            <w:pPr>
              <w:rPr>
                <w:rFonts w:hint="eastAsia" w:ascii="宋体" w:hAnsi="宋体" w:eastAsia="宋体" w:cs="宋体"/>
                <w:strike/>
                <w:dstrike w:val="0"/>
                <w:color w:val="auto"/>
                <w:szCs w:val="21"/>
                <w:highlight w:val="none"/>
              </w:rPr>
            </w:pPr>
            <w:r>
              <w:rPr>
                <w:rFonts w:hint="eastAsia" w:ascii="宋体" w:hAnsi="宋体" w:eastAsia="宋体" w:cs="宋体"/>
                <w:strike w:val="0"/>
                <w:dstrike w:val="0"/>
                <w:color w:val="auto"/>
                <w:szCs w:val="21"/>
                <w:highlight w:val="none"/>
              </w:rPr>
              <w:t>第二阶段投标人名次的排序方法（适用于办法一、办法二）</w:t>
            </w:r>
          </w:p>
        </w:tc>
        <w:tc>
          <w:tcPr>
            <w:tcW w:w="5934" w:type="dxa"/>
            <w:tcBorders>
              <w:top w:val="single" w:color="auto" w:sz="4" w:space="0"/>
              <w:left w:val="single" w:color="auto" w:sz="4" w:space="0"/>
              <w:bottom w:val="single" w:color="auto" w:sz="4" w:space="0"/>
              <w:right w:val="double" w:color="auto" w:sz="4" w:space="0"/>
            </w:tcBorders>
            <w:vAlign w:val="center"/>
          </w:tcPr>
          <w:p w14:paraId="67E792A3">
            <w:pPr>
              <w:rPr>
                <w:rFonts w:hint="eastAsia" w:ascii="宋体" w:hAnsi="宋体" w:eastAsia="宋体" w:cs="宋体"/>
                <w:strike/>
                <w:dstrike w:val="0"/>
                <w:color w:val="auto"/>
                <w:szCs w:val="21"/>
                <w:highlight w:val="none"/>
              </w:rPr>
            </w:pPr>
            <w:r>
              <w:rPr>
                <w:rFonts w:hint="eastAsia" w:ascii="宋体" w:hAnsi="宋体" w:eastAsia="宋体" w:cs="宋体"/>
                <w:color w:val="auto"/>
                <w:szCs w:val="21"/>
                <w:highlight w:val="none"/>
                <w:u w:val="single"/>
              </w:rPr>
              <w:t>本项目不适用。</w:t>
            </w:r>
          </w:p>
        </w:tc>
      </w:tr>
      <w:tr w14:paraId="6CC738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7A72135">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w:t>
            </w:r>
          </w:p>
        </w:tc>
        <w:tc>
          <w:tcPr>
            <w:tcW w:w="981" w:type="dxa"/>
            <w:tcBorders>
              <w:top w:val="single" w:color="auto" w:sz="4" w:space="0"/>
              <w:left w:val="single" w:color="auto" w:sz="4" w:space="0"/>
              <w:bottom w:val="single" w:color="auto" w:sz="4" w:space="0"/>
              <w:right w:val="single" w:color="auto" w:sz="4" w:space="0"/>
            </w:tcBorders>
            <w:vAlign w:val="center"/>
          </w:tcPr>
          <w:p w14:paraId="1BA2F8CF">
            <w:pPr>
              <w:ind w:firstLine="458"/>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383200E">
            <w:pPr>
              <w:rPr>
                <w:rFonts w:hint="eastAsia" w:ascii="宋体" w:hAnsi="宋体" w:eastAsia="宋体" w:cs="宋体"/>
                <w:strike/>
                <w:dstrike w:val="0"/>
                <w:color w:val="auto"/>
                <w:szCs w:val="21"/>
                <w:highlight w:val="none"/>
              </w:rPr>
            </w:pPr>
            <w:r>
              <w:rPr>
                <w:rFonts w:hint="eastAsia" w:ascii="宋体" w:hAnsi="宋体" w:eastAsia="宋体" w:cs="宋体"/>
                <w:strike w:val="0"/>
                <w:dstrike w:val="0"/>
                <w:color w:val="auto"/>
                <w:szCs w:val="21"/>
                <w:highlight w:val="none"/>
              </w:rPr>
              <w:t>经济分相同情况下的排序方法（适用于办法三、办法四）</w:t>
            </w:r>
          </w:p>
        </w:tc>
        <w:tc>
          <w:tcPr>
            <w:tcW w:w="5934" w:type="dxa"/>
            <w:tcBorders>
              <w:top w:val="single" w:color="auto" w:sz="4" w:space="0"/>
              <w:left w:val="single" w:color="auto" w:sz="4" w:space="0"/>
              <w:bottom w:val="single" w:color="auto" w:sz="4" w:space="0"/>
              <w:right w:val="double" w:color="auto" w:sz="4" w:space="0"/>
            </w:tcBorders>
            <w:vAlign w:val="center"/>
          </w:tcPr>
          <w:p w14:paraId="54B4F481">
            <w:pPr>
              <w:rPr>
                <w:rFonts w:hint="eastAsia" w:ascii="宋体" w:hAnsi="宋体" w:eastAsia="宋体" w:cs="宋体"/>
                <w:strike/>
                <w:dstrike w:val="0"/>
                <w:color w:val="auto"/>
                <w:szCs w:val="21"/>
                <w:highlight w:val="none"/>
              </w:rPr>
            </w:pPr>
            <w:r>
              <w:rPr>
                <w:rFonts w:hint="eastAsia" w:ascii="宋体" w:hAnsi="宋体" w:eastAsia="宋体" w:cs="宋体"/>
                <w:color w:val="auto"/>
                <w:szCs w:val="21"/>
                <w:highlight w:val="none"/>
                <w:u w:val="single"/>
              </w:rPr>
              <w:t>本项目不适用。</w:t>
            </w:r>
          </w:p>
        </w:tc>
      </w:tr>
      <w:tr w14:paraId="17EE91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FF4F901">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34</w:t>
            </w:r>
          </w:p>
        </w:tc>
        <w:tc>
          <w:tcPr>
            <w:tcW w:w="981" w:type="dxa"/>
            <w:tcBorders>
              <w:top w:val="single" w:color="auto" w:sz="4" w:space="0"/>
              <w:left w:val="single" w:color="auto" w:sz="4" w:space="0"/>
              <w:bottom w:val="single" w:color="auto" w:sz="4" w:space="0"/>
              <w:right w:val="single" w:color="auto" w:sz="4" w:space="0"/>
            </w:tcBorders>
            <w:vAlign w:val="center"/>
          </w:tcPr>
          <w:p w14:paraId="61A09537">
            <w:pPr>
              <w:ind w:firstLine="458"/>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61CD122D">
            <w:pPr>
              <w:rPr>
                <w:rFonts w:hint="eastAsia" w:ascii="宋体" w:hAnsi="宋体" w:eastAsia="宋体" w:cs="宋体"/>
                <w:strike/>
                <w:dstrike w:val="0"/>
                <w:color w:val="auto"/>
                <w:szCs w:val="21"/>
                <w:highlight w:val="none"/>
              </w:rPr>
            </w:pPr>
            <w:r>
              <w:rPr>
                <w:rFonts w:hint="eastAsia" w:ascii="宋体" w:hAnsi="宋体" w:eastAsia="宋体" w:cs="宋体"/>
                <w:strike w:val="0"/>
                <w:dstrike w:val="0"/>
                <w:color w:val="auto"/>
                <w:szCs w:val="21"/>
                <w:highlight w:val="none"/>
              </w:rPr>
              <w:t>第二阶段投标人名次的排序方法（适用于办法五、办法六）</w:t>
            </w:r>
          </w:p>
        </w:tc>
        <w:tc>
          <w:tcPr>
            <w:tcW w:w="5934" w:type="dxa"/>
            <w:tcBorders>
              <w:top w:val="single" w:color="auto" w:sz="4" w:space="0"/>
              <w:left w:val="single" w:color="auto" w:sz="4" w:space="0"/>
              <w:bottom w:val="single" w:color="auto" w:sz="4" w:space="0"/>
              <w:right w:val="double" w:color="auto" w:sz="4" w:space="0"/>
            </w:tcBorders>
            <w:vAlign w:val="center"/>
          </w:tcPr>
          <w:p w14:paraId="68C7E654">
            <w:pPr>
              <w:rPr>
                <w:rFonts w:hint="eastAsia" w:ascii="宋体" w:hAnsi="宋体" w:eastAsia="宋体" w:cs="宋体"/>
                <w:strike/>
                <w:dstrike w:val="0"/>
                <w:color w:val="auto"/>
                <w:szCs w:val="21"/>
                <w:highlight w:val="none"/>
              </w:rPr>
            </w:pPr>
            <w:r>
              <w:rPr>
                <w:rFonts w:hint="eastAsia" w:ascii="宋体" w:hAnsi="宋体" w:eastAsia="宋体" w:cs="宋体"/>
                <w:color w:val="auto"/>
                <w:szCs w:val="21"/>
                <w:highlight w:val="none"/>
                <w:u w:val="single"/>
              </w:rPr>
              <w:t>本项目不适用。</w:t>
            </w:r>
          </w:p>
        </w:tc>
      </w:tr>
      <w:tr w14:paraId="7ADDCC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699A9A1">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w:t>
            </w:r>
          </w:p>
        </w:tc>
        <w:tc>
          <w:tcPr>
            <w:tcW w:w="981" w:type="dxa"/>
            <w:tcBorders>
              <w:top w:val="single" w:color="auto" w:sz="4" w:space="0"/>
              <w:left w:val="single" w:color="auto" w:sz="4" w:space="0"/>
              <w:bottom w:val="single" w:color="auto" w:sz="4" w:space="0"/>
              <w:right w:val="single" w:color="auto" w:sz="4" w:space="0"/>
            </w:tcBorders>
            <w:vAlign w:val="center"/>
          </w:tcPr>
          <w:p w14:paraId="0FCD32B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13.4、13.5.2</w:t>
            </w:r>
          </w:p>
        </w:tc>
        <w:tc>
          <w:tcPr>
            <w:tcW w:w="1733" w:type="dxa"/>
            <w:tcBorders>
              <w:top w:val="single" w:color="auto" w:sz="4" w:space="0"/>
              <w:left w:val="single" w:color="auto" w:sz="4" w:space="0"/>
              <w:bottom w:val="single" w:color="auto" w:sz="4" w:space="0"/>
              <w:right w:val="single" w:color="auto" w:sz="4" w:space="0"/>
            </w:tcBorders>
            <w:vAlign w:val="center"/>
          </w:tcPr>
          <w:p w14:paraId="01FD1E4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合同价款的调整办法</w:t>
            </w:r>
          </w:p>
        </w:tc>
        <w:tc>
          <w:tcPr>
            <w:tcW w:w="5934" w:type="dxa"/>
            <w:tcBorders>
              <w:top w:val="single" w:color="auto" w:sz="4" w:space="0"/>
              <w:left w:val="single" w:color="auto" w:sz="4" w:space="0"/>
              <w:bottom w:val="single" w:color="auto" w:sz="4" w:space="0"/>
              <w:right w:val="double" w:color="auto" w:sz="4" w:space="0"/>
            </w:tcBorders>
            <w:vAlign w:val="center"/>
          </w:tcPr>
          <w:p w14:paraId="7A2CE4D4">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工程变更以合同的专用条款约定为准，详见招标文件相关合同条款。</w:t>
            </w:r>
          </w:p>
        </w:tc>
      </w:tr>
      <w:tr w14:paraId="36BF4F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53D79AD">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w:t>
            </w:r>
          </w:p>
        </w:tc>
        <w:tc>
          <w:tcPr>
            <w:tcW w:w="981" w:type="dxa"/>
            <w:tcBorders>
              <w:top w:val="single" w:color="auto" w:sz="4" w:space="0"/>
              <w:left w:val="single" w:color="auto" w:sz="4" w:space="0"/>
              <w:bottom w:val="single" w:color="auto" w:sz="4" w:space="0"/>
              <w:right w:val="single" w:color="auto" w:sz="4" w:space="0"/>
            </w:tcBorders>
            <w:vAlign w:val="center"/>
          </w:tcPr>
          <w:p w14:paraId="081C867A">
            <w:pP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0595695">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建设工程质量检测单位</w:t>
            </w:r>
          </w:p>
        </w:tc>
        <w:tc>
          <w:tcPr>
            <w:tcW w:w="5934" w:type="dxa"/>
            <w:tcBorders>
              <w:top w:val="single" w:color="auto" w:sz="4" w:space="0"/>
              <w:left w:val="single" w:color="auto" w:sz="4" w:space="0"/>
              <w:bottom w:val="single" w:color="auto" w:sz="4" w:space="0"/>
              <w:right w:val="double" w:color="auto" w:sz="4" w:space="0"/>
            </w:tcBorders>
            <w:vAlign w:val="center"/>
          </w:tcPr>
          <w:p w14:paraId="14EA15D4">
            <w:pP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787D59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1023881">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37</w:t>
            </w:r>
          </w:p>
        </w:tc>
        <w:tc>
          <w:tcPr>
            <w:tcW w:w="981" w:type="dxa"/>
            <w:tcBorders>
              <w:top w:val="single" w:color="auto" w:sz="4" w:space="0"/>
              <w:left w:val="single" w:color="auto" w:sz="4" w:space="0"/>
              <w:bottom w:val="single" w:color="auto" w:sz="4" w:space="0"/>
              <w:right w:val="single" w:color="auto" w:sz="4" w:space="0"/>
            </w:tcBorders>
            <w:vAlign w:val="center"/>
          </w:tcPr>
          <w:p w14:paraId="1EE89AE8">
            <w:pPr>
              <w:jc w:val="center"/>
              <w:rPr>
                <w:rFonts w:hint="eastAsia" w:ascii="宋体" w:hAnsi="宋体" w:eastAsia="宋体" w:cs="宋体"/>
                <w:color w:val="auto"/>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567DA186">
            <w:pPr>
              <w:jc w:val="center"/>
              <w:rPr>
                <w:rFonts w:hint="eastAsia" w:ascii="宋体" w:hAnsi="宋体" w:eastAsia="宋体" w:cs="宋体"/>
                <w:color w:val="auto"/>
                <w:highlight w:val="none"/>
              </w:rPr>
            </w:pPr>
            <w:r>
              <w:rPr>
                <w:rFonts w:hint="eastAsia" w:ascii="宋体" w:hAnsi="宋体" w:eastAsia="宋体" w:cs="宋体"/>
                <w:color w:val="auto"/>
                <w:highlight w:val="none"/>
              </w:rPr>
              <w:t>电子招标投标解密失败及突发情况的补救</w:t>
            </w:r>
          </w:p>
        </w:tc>
        <w:tc>
          <w:tcPr>
            <w:tcW w:w="5934" w:type="dxa"/>
            <w:tcBorders>
              <w:top w:val="single" w:color="auto" w:sz="4" w:space="0"/>
              <w:left w:val="single" w:color="auto" w:sz="4" w:space="0"/>
              <w:bottom w:val="single" w:color="auto" w:sz="4" w:space="0"/>
              <w:right w:val="double" w:color="auto" w:sz="4" w:space="0"/>
            </w:tcBorders>
            <w:vAlign w:val="center"/>
          </w:tcPr>
          <w:p w14:paraId="2A426D1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1、按照交易平台关于全流程电子化项目的相关指南进行操作。详见：</w:t>
            </w:r>
            <w:r>
              <w:rPr>
                <w:rFonts w:hint="eastAsia" w:ascii="宋体" w:hAnsi="宋体" w:eastAsia="宋体" w:cs="宋体"/>
                <w:color w:val="auto"/>
                <w:szCs w:val="21"/>
                <w:highlight w:val="none"/>
                <w:u w:val="single"/>
              </w:rPr>
              <w:t>广州交易集团有限公司（广州公共资源交易中心）网站(http:/www.gzggzy.cn)服务指南栏目发布的最新版操作指引</w:t>
            </w:r>
            <w:r>
              <w:rPr>
                <w:rFonts w:hint="eastAsia" w:ascii="宋体" w:hAnsi="宋体" w:eastAsia="宋体" w:cs="宋体"/>
                <w:color w:val="auto"/>
                <w:szCs w:val="21"/>
                <w:highlight w:val="none"/>
              </w:rPr>
              <w:t xml:space="preserve">。  </w:t>
            </w:r>
          </w:p>
          <w:p w14:paraId="558FA9A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2、提交投标文件光盘备用</w:t>
            </w:r>
          </w:p>
          <w:p w14:paraId="2DAA80A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3D3DEBF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3、补救方案</w:t>
            </w:r>
          </w:p>
          <w:p w14:paraId="24804CB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（1）投标文件解密失败的补救方案：</w:t>
            </w:r>
          </w:p>
          <w:p w14:paraId="75D0C57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45E0179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（2）评标时突发情况的补救方案</w:t>
            </w:r>
          </w:p>
          <w:p w14:paraId="1F8E129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若遇不可抗力发生（指网络瘫痪、服务器损坏、交易系统故障短期无法恢复等因素），由评标委员会开启投标人递交的全部投标文件光盘，并按光盘内容进行评审。</w:t>
            </w:r>
          </w:p>
          <w:p w14:paraId="6A05F46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（3）除发生上述情况外，开标评标均以投标人通过交易平台网上递交的电子投标文件为准。</w:t>
            </w:r>
          </w:p>
        </w:tc>
      </w:tr>
      <w:tr w14:paraId="2F6540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02" w:type="dxa"/>
            <w:tcBorders>
              <w:top w:val="single" w:color="auto" w:sz="4" w:space="0"/>
              <w:left w:val="double" w:color="auto" w:sz="4" w:space="0"/>
              <w:bottom w:val="single" w:color="auto" w:sz="4" w:space="0"/>
              <w:right w:val="single" w:color="auto" w:sz="4" w:space="0"/>
            </w:tcBorders>
            <w:vAlign w:val="center"/>
          </w:tcPr>
          <w:p w14:paraId="7B6D843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38 </w:t>
            </w:r>
          </w:p>
        </w:tc>
        <w:tc>
          <w:tcPr>
            <w:tcW w:w="981" w:type="dxa"/>
            <w:tcBorders>
              <w:top w:val="single" w:color="auto" w:sz="4" w:space="0"/>
              <w:left w:val="single" w:color="auto" w:sz="4" w:space="0"/>
              <w:bottom w:val="single" w:color="auto" w:sz="4" w:space="0"/>
              <w:right w:val="single" w:color="auto" w:sz="4" w:space="0"/>
            </w:tcBorders>
            <w:vAlign w:val="center"/>
          </w:tcPr>
          <w:p w14:paraId="5B2D77A5">
            <w:pPr>
              <w:jc w:val="center"/>
              <w:rPr>
                <w:rFonts w:hint="eastAsia" w:ascii="宋体" w:hAnsi="宋体" w:eastAsia="宋体" w:cs="宋体"/>
                <w:color w:val="auto"/>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99CFF82">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招标人对中标人参与“百千万工程”的具体要求</w:t>
            </w:r>
          </w:p>
        </w:tc>
        <w:tc>
          <w:tcPr>
            <w:tcW w:w="5934" w:type="dxa"/>
            <w:tcBorders>
              <w:top w:val="single" w:color="auto" w:sz="4" w:space="0"/>
              <w:left w:val="single" w:color="auto" w:sz="4" w:space="0"/>
              <w:bottom w:val="single" w:color="auto" w:sz="4" w:space="0"/>
              <w:right w:val="double" w:color="auto" w:sz="4" w:space="0"/>
            </w:tcBorders>
            <w:vAlign w:val="center"/>
          </w:tcPr>
          <w:p w14:paraId="577EF35E">
            <w:pP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具体要求在中标后按照投标承诺和招标人的要求执行。</w:t>
            </w:r>
          </w:p>
          <w:p w14:paraId="4A02DA9C">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具体要求：</w:t>
            </w:r>
          </w:p>
          <w:p w14:paraId="3BB3A781">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施工中标单位应切实履行《招标公告》'投标人声明’中'第十条’承诺，结合自身实际，在《白云区“百千万工程”建筑业企业帮扶建设项目库》中自愿认领、帮扶公益性项目。</w:t>
            </w:r>
            <w:r>
              <w:rPr>
                <w:rFonts w:hint="eastAsia" w:ascii="宋体" w:hAnsi="宋体" w:eastAsia="宋体" w:cs="宋体"/>
                <w:color w:val="auto"/>
                <w:sz w:val="21"/>
                <w:szCs w:val="21"/>
                <w:highlight w:val="none"/>
                <w:lang w:val="en-US" w:eastAsia="zh-CN"/>
              </w:rPr>
              <w:t xml:space="preserve">   </w:t>
            </w:r>
          </w:p>
          <w:p w14:paraId="28B231A4">
            <w:pPr>
              <w:pStyle w:val="2"/>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rPr>
              <w:t>2.施工中标单位自愿帮扶公益性项目的，可以根据企业资质及自身优势和特点，优先认领建设(管理)单位、施工中标单位(如有)已结对帮扶对象的‘百千万工程’项目;其次按照就近就便原则，优先认领招标项目所在地的项目。</w:t>
            </w:r>
          </w:p>
        </w:tc>
      </w:tr>
      <w:tr w14:paraId="2A4EAC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776AD9B">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39</w:t>
            </w:r>
          </w:p>
        </w:tc>
        <w:tc>
          <w:tcPr>
            <w:tcW w:w="981" w:type="dxa"/>
            <w:tcBorders>
              <w:top w:val="single" w:color="auto" w:sz="4" w:space="0"/>
              <w:left w:val="single" w:color="auto" w:sz="4" w:space="0"/>
              <w:bottom w:val="single" w:color="auto" w:sz="4" w:space="0"/>
              <w:right w:val="single" w:color="auto" w:sz="4" w:space="0"/>
            </w:tcBorders>
            <w:vAlign w:val="center"/>
          </w:tcPr>
          <w:p w14:paraId="6A8C208B">
            <w:pPr>
              <w:jc w:val="center"/>
              <w:rPr>
                <w:rFonts w:hint="eastAsia" w:ascii="宋体" w:hAnsi="宋体" w:eastAsia="宋体" w:cs="宋体"/>
                <w:color w:val="auto"/>
                <w:highlight w:val="none"/>
                <w:lang w:val="en-US" w:eastAsia="zh-CN"/>
              </w:rPr>
            </w:pPr>
          </w:p>
        </w:tc>
        <w:tc>
          <w:tcPr>
            <w:tcW w:w="1733" w:type="dxa"/>
            <w:tcBorders>
              <w:top w:val="single" w:color="auto" w:sz="4" w:space="0"/>
              <w:left w:val="single" w:color="auto" w:sz="4" w:space="0"/>
              <w:bottom w:val="single" w:color="auto" w:sz="4" w:space="0"/>
              <w:right w:val="single" w:color="auto" w:sz="4" w:space="0"/>
            </w:tcBorders>
            <w:vAlign w:val="center"/>
          </w:tcPr>
          <w:p w14:paraId="0C505E08">
            <w:pPr>
              <w:jc w:val="center"/>
              <w:rPr>
                <w:rFonts w:hint="eastAsia" w:ascii="宋体" w:hAnsi="宋体" w:eastAsia="宋体" w:cs="宋体"/>
                <w:color w:val="auto"/>
                <w:szCs w:val="21"/>
                <w:highlight w:val="none"/>
              </w:rPr>
            </w:pPr>
            <w:r>
              <w:rPr>
                <w:rFonts w:hint="eastAsia" w:ascii="宋体" w:hAnsi="宋体" w:eastAsia="宋体" w:cs="宋体"/>
                <w:color w:val="auto"/>
                <w:highlight w:val="none"/>
              </w:rPr>
              <w:t>氢燃料电池汽车的投入要求</w:t>
            </w:r>
          </w:p>
        </w:tc>
        <w:tc>
          <w:tcPr>
            <w:tcW w:w="5934" w:type="dxa"/>
            <w:tcBorders>
              <w:top w:val="single" w:color="auto" w:sz="4" w:space="0"/>
              <w:left w:val="single" w:color="auto" w:sz="4" w:space="0"/>
              <w:bottom w:val="single" w:color="auto" w:sz="4" w:space="0"/>
              <w:right w:val="double" w:color="auto" w:sz="4" w:space="0"/>
            </w:tcBorders>
            <w:vAlign w:val="center"/>
          </w:tcPr>
          <w:p w14:paraId="3ADBA6F5">
            <w:pPr>
              <w:pStyle w:val="2"/>
              <w:spacing w:line="240" w:lineRule="auto"/>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2"/>
                <w:sz w:val="21"/>
                <w:szCs w:val="21"/>
                <w:highlight w:val="none"/>
                <w:lang w:val="en-US" w:eastAsia="zh-CN" w:bidi="ar-SA"/>
              </w:rPr>
              <w:t>投标人应承诺氢燃料电池汽车作为混凝土搅拌车和建筑废弃物运输车在本项目的投入使用，投入比例需≥30%(即:投入的氢燃料电池汽车/投入的总车辆数≥30%)(具体要求详见合同条款)。</w:t>
            </w:r>
          </w:p>
        </w:tc>
      </w:tr>
      <w:tr w14:paraId="21EDD7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double" w:color="auto" w:sz="4" w:space="0"/>
              <w:right w:val="single" w:color="auto" w:sz="4" w:space="0"/>
            </w:tcBorders>
            <w:vAlign w:val="center"/>
          </w:tcPr>
          <w:p w14:paraId="555A22A1">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lang w:val="en-US" w:eastAsia="zh-CN"/>
              </w:rPr>
              <w:t>0</w:t>
            </w:r>
          </w:p>
        </w:tc>
        <w:tc>
          <w:tcPr>
            <w:tcW w:w="981" w:type="dxa"/>
            <w:tcBorders>
              <w:top w:val="single" w:color="auto" w:sz="4" w:space="0"/>
              <w:left w:val="single" w:color="auto" w:sz="4" w:space="0"/>
              <w:bottom w:val="double" w:color="auto" w:sz="4" w:space="0"/>
              <w:right w:val="single" w:color="auto" w:sz="4" w:space="0"/>
            </w:tcBorders>
            <w:vAlign w:val="center"/>
          </w:tcPr>
          <w:p w14:paraId="40DD8B4E">
            <w:pPr>
              <w:jc w:val="center"/>
              <w:rPr>
                <w:rFonts w:hint="eastAsia" w:ascii="宋体" w:hAnsi="宋体" w:eastAsia="宋体" w:cs="宋体"/>
                <w:color w:val="auto"/>
                <w:highlight w:val="none"/>
                <w:lang w:val="en-US" w:eastAsia="zh-CN"/>
              </w:rPr>
            </w:pPr>
          </w:p>
        </w:tc>
        <w:tc>
          <w:tcPr>
            <w:tcW w:w="1733" w:type="dxa"/>
            <w:tcBorders>
              <w:top w:val="single" w:color="auto" w:sz="4" w:space="0"/>
              <w:left w:val="single" w:color="auto" w:sz="4" w:space="0"/>
              <w:bottom w:val="double" w:color="auto" w:sz="4" w:space="0"/>
              <w:right w:val="single" w:color="auto" w:sz="4" w:space="0"/>
            </w:tcBorders>
            <w:vAlign w:val="center"/>
          </w:tcPr>
          <w:p w14:paraId="0B3A2D63">
            <w:pPr>
              <w:jc w:val="center"/>
              <w:rPr>
                <w:rFonts w:hint="eastAsia" w:ascii="宋体" w:hAnsi="宋体" w:eastAsia="宋体" w:cs="宋体"/>
                <w:color w:val="auto"/>
                <w:highlight w:val="none"/>
              </w:rPr>
            </w:pPr>
            <w:r>
              <w:rPr>
                <w:rFonts w:hint="eastAsia" w:ascii="宋体" w:hAnsi="宋体" w:eastAsia="宋体" w:cs="宋体"/>
                <w:b/>
                <w:bCs/>
                <w:color w:val="auto"/>
                <w:sz w:val="21"/>
                <w:szCs w:val="21"/>
                <w:highlight w:val="none"/>
                <w:u w:val="single"/>
                <w:lang w:val="en-US"/>
              </w:rPr>
              <w:t>经济标评审优惠政策</w:t>
            </w:r>
          </w:p>
        </w:tc>
        <w:tc>
          <w:tcPr>
            <w:tcW w:w="5934" w:type="dxa"/>
            <w:tcBorders>
              <w:top w:val="single" w:color="auto" w:sz="4" w:space="0"/>
              <w:left w:val="single" w:color="auto" w:sz="4" w:space="0"/>
              <w:bottom w:val="double" w:color="auto" w:sz="4" w:space="0"/>
              <w:right w:val="double" w:color="auto" w:sz="4" w:space="0"/>
            </w:tcBorders>
            <w:vAlign w:val="center"/>
          </w:tcPr>
          <w:p w14:paraId="6329B5BC">
            <w:pPr>
              <w:numPr>
                <w:ilvl w:val="-1"/>
                <w:numId w:val="0"/>
              </w:num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根据《广东省政府采购促进中小企业发展实施细则(试行)》要求，对符合《政府采购促进中小企业发展管理办法》的投标人，给予相应的价格评审优惠。</w:t>
            </w:r>
          </w:p>
          <w:p w14:paraId="184607E3">
            <w:pPr>
              <w:numPr>
                <w:ilvl w:val="-1"/>
                <w:numId w:val="0"/>
              </w:num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本招标项目评标计算价格分时，对小微企业投标的，在采用原报价进行评分的基础上增加其价格得分的5%作为其价格分:对大中型企业与小微企业组成联合体或者允许大中型企业向一家或者多家小微企业分包(联合协议或者分包意向协议(格式详见第四章投标文件格式)约定小微企业的合同份额占到合同总金额30%以上)的，在采用原报价进行评分的基础上增加其价格得分的2%作为其价格分。若原报价己满分，仍可突破满分上限继续享受加分优惠，以实际计算结果作为最终价格分。</w:t>
            </w:r>
          </w:p>
          <w:p w14:paraId="1A14F3FD">
            <w:pPr>
              <w:numPr>
                <w:ilvl w:val="-1"/>
                <w:numId w:val="0"/>
              </w:num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人应按《政府采购促进中小企业发展管理办法》规定出具《中小企业声明函》(格式详见第四章投标文件格式)，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28A28E58">
            <w:pPr>
              <w:numPr>
                <w:ilvl w:val="-1"/>
                <w:numId w:val="0"/>
              </w:num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小微企业划分标准按照《工业和信息化部 国家统计局 国家发展和改革委员会 财政部关于印发中小企业划型标准规定的通知》(工信部联企业(2011)300号)执行。本项目属于</w:t>
            </w:r>
            <w:r>
              <w:rPr>
                <w:rFonts w:hint="eastAsia" w:ascii="宋体" w:hAnsi="宋体" w:eastAsia="宋体" w:cs="宋体"/>
                <w:color w:val="auto"/>
                <w:szCs w:val="21"/>
                <w:highlight w:val="none"/>
                <w:u w:val="single"/>
              </w:rPr>
              <w:t>建筑业</w:t>
            </w:r>
            <w:r>
              <w:rPr>
                <w:rFonts w:hint="eastAsia" w:ascii="宋体" w:hAnsi="宋体" w:eastAsia="宋体" w:cs="宋体"/>
                <w:color w:val="auto"/>
                <w:szCs w:val="21"/>
                <w:highlight w:val="none"/>
              </w:rPr>
              <w:t>，营业收入80000万元以下或资产总额80000万元以下的为中小微型企业。其中，营业收入6000万元及以上，且资产总额5000 万元及以上的为中型企业;营业收入300万元及以上，且资产总额300万元及以上的为小型企业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营业收入300万元以下或资产总额 300 万元以下的为微型企业。</w:t>
            </w:r>
          </w:p>
          <w:p w14:paraId="43147E8A">
            <w:pPr>
              <w:pStyle w:val="2"/>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注:(1)小微企业，是指在中华人民共和国境内依法设立，依据国务院批准的中小企业划分标准确定的小型企业和微型企业，但与大企业的负责人为同一人，或者与大企业存在直接控股、管理关系的除外。以联合体形式参与投标的，联合体各方均为小微企业的，联合体视同小微企业。(2)组成联合体或者接受分包合同的小微企业与联合体内其他企业、分包企业之间存在直接控股、管理关系的，不享受价格评分优惠。(3)公示期间如有异议、投诉的，被异议、投诉单位需提供注册登记所在地的县级以上人民政府中小企业主管部门认定函。</w:t>
            </w:r>
          </w:p>
        </w:tc>
      </w:tr>
    </w:tbl>
    <w:p w14:paraId="6F8E5679">
      <w:pPr>
        <w:pStyle w:val="4"/>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8" w:name="_Toc25354"/>
      <w:bookmarkStart w:id="9" w:name="_Toc2272547"/>
      <w:bookmarkStart w:id="10" w:name="_Toc21525491"/>
      <w:bookmarkStart w:id="11" w:name="_Toc28760"/>
      <w:r>
        <w:rPr>
          <w:rStyle w:val="61"/>
          <w:rFonts w:hint="eastAsia" w:ascii="宋体" w:hAnsi="宋体" w:eastAsia="宋体" w:cs="宋体"/>
          <w:b/>
          <w:color w:val="auto"/>
          <w:highlight w:val="none"/>
        </w:rPr>
        <w:t>二、投标须知修改表</w:t>
      </w:r>
      <w:bookmarkEnd w:id="8"/>
      <w:bookmarkEnd w:id="9"/>
      <w:bookmarkEnd w:id="10"/>
      <w:bookmarkEnd w:id="11"/>
    </w:p>
    <w:p w14:paraId="13F3A355">
      <w:pPr>
        <w:pStyle w:val="35"/>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声明：本投标须知使用招标文件范本的投标须知通用条款，与该通用条款不同之处，均在本表中列明，并以现文为准，原文不再有效。</w:t>
      </w:r>
      <w:r>
        <w:rPr>
          <w:rFonts w:hint="eastAsia" w:ascii="宋体" w:hAnsi="宋体" w:eastAsia="宋体" w:cs="宋体"/>
          <w:b w:val="0"/>
          <w:bCs/>
          <w:color w:val="auto"/>
          <w:sz w:val="21"/>
          <w:szCs w:val="21"/>
          <w:highlight w:val="none"/>
          <w:lang w:eastAsia="zh-CN"/>
        </w:rPr>
        <w:t>（注：招标人按《投标须知修改表》修改的内容对应修改通用条款，属于删除的采用“</w:t>
      </w:r>
      <w:r>
        <w:rPr>
          <w:rFonts w:hint="eastAsia" w:ascii="宋体" w:hAnsi="宋体" w:eastAsia="宋体" w:cs="宋体"/>
          <w:b w:val="0"/>
          <w:bCs/>
          <w:strike/>
          <w:dstrike w:val="0"/>
          <w:color w:val="auto"/>
          <w:sz w:val="21"/>
          <w:szCs w:val="21"/>
          <w:highlight w:val="none"/>
          <w:lang w:val="en-US" w:eastAsia="zh-CN"/>
        </w:rPr>
        <w:t xml:space="preserve">   </w:t>
      </w:r>
      <w:r>
        <w:rPr>
          <w:rFonts w:hint="eastAsia" w:ascii="宋体" w:hAnsi="宋体" w:eastAsia="宋体" w:cs="宋体"/>
          <w:b w:val="0"/>
          <w:bCs/>
          <w:strike w:val="0"/>
          <w:dstrike w:val="0"/>
          <w:color w:val="auto"/>
          <w:sz w:val="21"/>
          <w:szCs w:val="21"/>
          <w:highlight w:val="none"/>
          <w:lang w:val="en-US" w:eastAsia="zh-CN"/>
        </w:rPr>
        <w:t>”表示，</w:t>
      </w:r>
      <w:r>
        <w:rPr>
          <w:rFonts w:hint="eastAsia" w:ascii="宋体" w:hAnsi="宋体" w:eastAsia="宋体" w:cs="宋体"/>
          <w:b w:val="0"/>
          <w:bCs/>
          <w:color w:val="auto"/>
          <w:sz w:val="21"/>
          <w:szCs w:val="21"/>
          <w:highlight w:val="none"/>
          <w:lang w:eastAsia="zh-CN"/>
        </w:rPr>
        <w:t>如“</w:t>
      </w:r>
      <w:r>
        <w:rPr>
          <w:rFonts w:hint="eastAsia" w:ascii="宋体" w:hAnsi="宋体" w:eastAsia="宋体" w:cs="宋体"/>
          <w:b w:val="0"/>
          <w:bCs/>
          <w:strike/>
          <w:dstrike w:val="0"/>
          <w:color w:val="auto"/>
          <w:sz w:val="21"/>
          <w:szCs w:val="21"/>
          <w:highlight w:val="none"/>
          <w:u w:val="none"/>
          <w:lang w:eastAsia="zh-CN"/>
        </w:rPr>
        <w:t>删除</w:t>
      </w:r>
      <w:r>
        <w:rPr>
          <w:rFonts w:hint="eastAsia" w:ascii="宋体" w:hAnsi="宋体" w:eastAsia="宋体" w:cs="宋体"/>
          <w:b w:val="0"/>
          <w:bCs/>
          <w:color w:val="auto"/>
          <w:sz w:val="21"/>
          <w:szCs w:val="21"/>
          <w:highlight w:val="none"/>
          <w:lang w:eastAsia="zh-CN"/>
        </w:rPr>
        <w:t>”；属于新增、修改的内容，用</w:t>
      </w:r>
      <w:r>
        <w:rPr>
          <w:rFonts w:hint="eastAsia" w:ascii="宋体" w:hAnsi="宋体" w:eastAsia="宋体" w:cs="宋体"/>
          <w:b/>
          <w:bCs w:val="0"/>
          <w:color w:val="auto"/>
          <w:sz w:val="21"/>
          <w:szCs w:val="21"/>
          <w:highlight w:val="none"/>
          <w:lang w:eastAsia="zh-CN"/>
        </w:rPr>
        <w:t>黑色加粗</w:t>
      </w:r>
      <w:r>
        <w:rPr>
          <w:rFonts w:hint="eastAsia" w:ascii="宋体" w:hAnsi="宋体" w:eastAsia="宋体" w:cs="宋体"/>
          <w:b w:val="0"/>
          <w:bCs/>
          <w:color w:val="auto"/>
          <w:sz w:val="21"/>
          <w:szCs w:val="21"/>
          <w:highlight w:val="none"/>
          <w:lang w:eastAsia="zh-CN"/>
        </w:rPr>
        <w:t>字体显示</w:t>
      </w:r>
      <w:r>
        <w:rPr>
          <w:rFonts w:hint="eastAsia" w:ascii="宋体" w:hAnsi="宋体" w:eastAsia="宋体" w:cs="宋体"/>
          <w:b w:val="0"/>
          <w:bCs/>
          <w:color w:val="auto"/>
          <w:sz w:val="21"/>
          <w:szCs w:val="21"/>
          <w:highlight w:val="none"/>
          <w:lang w:val="en-US" w:eastAsia="zh-CN"/>
        </w:rPr>
        <w:t>,并加注下划线，如“</w:t>
      </w:r>
      <w:r>
        <w:rPr>
          <w:rFonts w:hint="eastAsia" w:ascii="宋体" w:hAnsi="宋体" w:eastAsia="宋体" w:cs="宋体"/>
          <w:b/>
          <w:bCs w:val="0"/>
          <w:color w:val="auto"/>
          <w:sz w:val="21"/>
          <w:szCs w:val="21"/>
          <w:highlight w:val="none"/>
          <w:u w:val="single"/>
          <w:lang w:val="en-US" w:eastAsia="zh-CN"/>
        </w:rPr>
        <w:t>新增修改</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4"/>
          <w:szCs w:val="24"/>
          <w:highlight w:val="none"/>
          <w:lang w:eastAsia="zh-CN"/>
        </w:rPr>
        <w:t>）</w:t>
      </w:r>
    </w:p>
    <w:p w14:paraId="0AD76A32">
      <w:pPr>
        <w:tabs>
          <w:tab w:val="left" w:pos="5620"/>
        </w:tabs>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条款号：2.5                    修改类型：增加</w:t>
      </w:r>
    </w:p>
    <w:p w14:paraId="7FEC46C2">
      <w:pPr>
        <w:pBdr>
          <w:bottom w:val="single" w:color="auto" w:sz="6" w:space="1"/>
        </w:pBd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2.5</w:t>
      </w:r>
      <w:r>
        <w:rPr>
          <w:rFonts w:hint="eastAsia" w:ascii="宋体" w:hAnsi="宋体" w:eastAsia="宋体" w:cs="宋体"/>
          <w:color w:val="auto"/>
          <w:szCs w:val="21"/>
          <w:highlight w:val="none"/>
          <w:u w:val="single"/>
        </w:rPr>
        <w:t>根据《建设工程质量检测管理办法》（中华人民共和国住房和城乡建设部令第57号）第十六条规定，建设工程质量、安全检测业务应由建设单位依法委托，不列入本次招标范围。招标文件中与此条不一致的，以此条为准。</w:t>
      </w:r>
      <w:r>
        <w:rPr>
          <w:rFonts w:hint="eastAsia" w:ascii="宋体" w:hAnsi="宋体" w:eastAsia="宋体" w:cs="宋体"/>
          <w:color w:val="auto"/>
          <w:kern w:val="0"/>
          <w:szCs w:val="21"/>
          <w:highlight w:val="none"/>
          <w:u w:val="singl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1BA07951">
      <w:pPr>
        <w:spacing w:line="480" w:lineRule="auto"/>
        <w:ind w:firstLine="472" w:firstLineChars="224"/>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5.1</w:t>
      </w:r>
      <w:r>
        <w:rPr>
          <w:rFonts w:hint="eastAsia" w:ascii="宋体" w:hAnsi="宋体" w:eastAsia="宋体" w:cs="宋体"/>
          <w:b/>
          <w:color w:val="auto"/>
          <w:szCs w:val="21"/>
          <w:highlight w:val="none"/>
        </w:rPr>
        <w:t xml:space="preserve">             修改类型：</w:t>
      </w:r>
      <w:r>
        <w:rPr>
          <w:rFonts w:hint="eastAsia" w:ascii="宋体" w:hAnsi="宋体" w:eastAsia="宋体" w:cs="宋体"/>
          <w:b/>
          <w:color w:val="auto"/>
          <w:szCs w:val="21"/>
          <w:highlight w:val="none"/>
          <w:lang w:val="en-US" w:eastAsia="zh-CN"/>
        </w:rPr>
        <w:t>修改</w:t>
      </w:r>
    </w:p>
    <w:p w14:paraId="42CB84A9">
      <w:pPr>
        <w:pBdr>
          <w:bottom w:val="single" w:color="auto" w:sz="6" w:space="1"/>
        </w:pBdr>
        <w:spacing w:line="360" w:lineRule="auto"/>
        <w:ind w:firstLine="527" w:firstLineChars="250"/>
        <w:rPr>
          <w:rFonts w:hint="eastAsia" w:ascii="宋体" w:hAnsi="宋体" w:eastAsia="宋体" w:cs="宋体"/>
          <w:b w:val="0"/>
          <w:bCs/>
          <w:color w:val="auto"/>
          <w:szCs w:val="21"/>
          <w:highlight w:val="none"/>
        </w:rPr>
      </w:pPr>
      <w:r>
        <w:rPr>
          <w:rFonts w:hint="eastAsia" w:ascii="宋体" w:hAnsi="宋体" w:eastAsia="宋体" w:cs="宋体"/>
          <w:b/>
          <w:color w:val="auto"/>
          <w:szCs w:val="21"/>
          <w:highlight w:val="none"/>
          <w:lang w:val="en-US" w:eastAsia="zh-CN"/>
        </w:rPr>
        <w:t>原</w:t>
      </w:r>
      <w:r>
        <w:rPr>
          <w:rFonts w:hint="eastAsia" w:ascii="宋体" w:hAnsi="宋体" w:eastAsia="宋体" w:cs="宋体"/>
          <w:b/>
          <w:color w:val="auto"/>
          <w:szCs w:val="21"/>
          <w:highlight w:val="none"/>
        </w:rPr>
        <w:t>文：</w:t>
      </w:r>
      <w:r>
        <w:rPr>
          <w:rFonts w:hint="eastAsia" w:ascii="宋体" w:hAnsi="宋体" w:eastAsia="宋体" w:cs="宋体"/>
          <w:b w:val="0"/>
          <w:bCs/>
          <w:color w:val="auto"/>
          <w:szCs w:val="21"/>
          <w:highlight w:val="none"/>
        </w:rPr>
        <w:t>投标人应按本投标须知前附表第1</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项所述时间和要求</w:t>
      </w:r>
      <w:r>
        <w:rPr>
          <w:rFonts w:hint="eastAsia" w:ascii="宋体" w:hAnsi="宋体" w:eastAsia="宋体" w:cs="宋体"/>
          <w:b w:val="0"/>
          <w:bCs/>
          <w:color w:val="auto"/>
          <w:szCs w:val="21"/>
          <w:highlight w:val="none"/>
          <w:lang w:eastAsia="zh-CN"/>
        </w:rPr>
        <w:t>自行</w:t>
      </w:r>
      <w:r>
        <w:rPr>
          <w:rFonts w:hint="eastAsia" w:ascii="宋体" w:hAnsi="宋体" w:eastAsia="宋体" w:cs="宋体"/>
          <w:b w:val="0"/>
          <w:bCs/>
          <w:color w:val="auto"/>
          <w:szCs w:val="21"/>
          <w:highlight w:val="none"/>
        </w:rPr>
        <w:t>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w:t>
      </w:r>
    </w:p>
    <w:p w14:paraId="6AFD321F">
      <w:pPr>
        <w:pBdr>
          <w:bottom w:val="single" w:color="auto" w:sz="6" w:space="1"/>
        </w:pBdr>
        <w:spacing w:line="360" w:lineRule="auto"/>
        <w:ind w:firstLine="527" w:firstLineChars="250"/>
        <w:rPr>
          <w:rFonts w:hint="eastAsia" w:ascii="宋体" w:hAnsi="宋体" w:eastAsia="宋体" w:cs="宋体"/>
          <w:b w:val="0"/>
          <w:bCs/>
          <w:color w:val="auto"/>
          <w:szCs w:val="21"/>
          <w:highlight w:val="none"/>
        </w:rPr>
      </w:pPr>
      <w:r>
        <w:rPr>
          <w:rFonts w:hint="eastAsia" w:ascii="宋体" w:hAnsi="宋体" w:eastAsia="宋体" w:cs="宋体"/>
          <w:b/>
          <w:color w:val="auto"/>
          <w:szCs w:val="21"/>
          <w:highlight w:val="none"/>
        </w:rPr>
        <w:t>现文：</w:t>
      </w:r>
      <w:r>
        <w:rPr>
          <w:rFonts w:hint="eastAsia" w:ascii="宋体" w:hAnsi="宋体" w:cs="宋体"/>
          <w:b/>
          <w:color w:val="auto"/>
          <w:szCs w:val="21"/>
          <w:highlight w:val="none"/>
          <w:lang w:val="en-US" w:eastAsia="zh-CN"/>
        </w:rPr>
        <w:t>5.1</w:t>
      </w:r>
      <w:r>
        <w:rPr>
          <w:rFonts w:hint="eastAsia" w:ascii="宋体" w:hAnsi="宋体" w:eastAsia="宋体" w:cs="宋体"/>
          <w:color w:val="auto"/>
          <w:kern w:val="0"/>
          <w:szCs w:val="21"/>
          <w:highlight w:val="none"/>
        </w:rPr>
        <w:t>投标人应按本投标须知前附表第</w:t>
      </w:r>
      <w:r>
        <w:rPr>
          <w:rFonts w:hint="eastAsia" w:ascii="宋体" w:hAnsi="宋体" w:eastAsia="宋体" w:cs="宋体"/>
          <w:color w:val="auto"/>
          <w:kern w:val="0"/>
          <w:szCs w:val="21"/>
          <w:highlight w:val="none"/>
          <w:lang w:val="en-US" w:eastAsia="zh-CN"/>
        </w:rPr>
        <w:t>12</w:t>
      </w:r>
      <w:r>
        <w:rPr>
          <w:rFonts w:hint="eastAsia" w:ascii="宋体" w:hAnsi="宋体" w:eastAsia="宋体" w:cs="宋体"/>
          <w:color w:val="auto"/>
          <w:kern w:val="0"/>
          <w:szCs w:val="21"/>
          <w:highlight w:val="none"/>
        </w:rPr>
        <w:t>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eastAsia="宋体" w:cs="宋体"/>
          <w:color w:val="auto"/>
          <w:kern w:val="0"/>
          <w:szCs w:val="21"/>
          <w:highlight w:val="none"/>
          <w:u w:val="single"/>
        </w:rPr>
        <w:t>投标人不进行踏勘的，视为已熟知现场条件，自行承担相关风险</w:t>
      </w:r>
      <w:r>
        <w:rPr>
          <w:rFonts w:hint="eastAsia" w:ascii="宋体" w:hAnsi="宋体" w:eastAsia="宋体" w:cs="宋体"/>
          <w:color w:val="auto"/>
          <w:kern w:val="0"/>
          <w:szCs w:val="21"/>
          <w:highlight w:val="none"/>
        </w:rPr>
        <w:t>。一旦中标，这种考察即被认为其结果已在中标文件中得到充分反映。</w:t>
      </w:r>
      <w:r>
        <w:rPr>
          <w:rFonts w:hint="eastAsia" w:ascii="宋体" w:hAnsi="宋体" w:eastAsia="宋体" w:cs="宋体"/>
          <w:color w:val="auto"/>
          <w:kern w:val="0"/>
          <w:szCs w:val="21"/>
          <w:highlight w:val="none"/>
          <w:u w:val="single"/>
        </w:rPr>
        <w:t>招标人不受理因投标人缺乏对现场条件的了解或掌握而提出的任何索赔。</w:t>
      </w:r>
    </w:p>
    <w:p w14:paraId="14161065">
      <w:pPr>
        <w:spacing w:line="48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7.1</w:t>
      </w:r>
      <w:r>
        <w:rPr>
          <w:rFonts w:hint="eastAsia" w:ascii="宋体" w:hAnsi="宋体" w:eastAsia="宋体" w:cs="宋体"/>
          <w:b/>
          <w:color w:val="auto"/>
          <w:szCs w:val="21"/>
          <w:highlight w:val="none"/>
        </w:rPr>
        <w:t xml:space="preserve">             修改类型：修改</w:t>
      </w:r>
    </w:p>
    <w:p w14:paraId="0576B9E6">
      <w:pPr>
        <w:spacing w:line="360" w:lineRule="auto"/>
        <w:ind w:firstLine="422" w:firstLineChars="200"/>
        <w:rPr>
          <w:rFonts w:hint="eastAsia" w:ascii="宋体" w:hAnsi="宋体" w:eastAsia="宋体" w:cs="宋体"/>
          <w:color w:val="auto"/>
          <w:sz w:val="21"/>
          <w:szCs w:val="21"/>
          <w:highlight w:val="none"/>
          <w:u w:val="none"/>
        </w:rPr>
      </w:pPr>
      <w:r>
        <w:rPr>
          <w:rFonts w:hint="eastAsia" w:ascii="宋体" w:hAnsi="宋体" w:eastAsia="宋体" w:cs="宋体"/>
          <w:b/>
          <w:color w:val="auto"/>
          <w:szCs w:val="21"/>
          <w:highlight w:val="none"/>
        </w:rPr>
        <w:t>原文：</w:t>
      </w:r>
      <w:r>
        <w:rPr>
          <w:rFonts w:hint="eastAsia" w:ascii="宋体" w:hAnsi="宋体" w:eastAsia="宋体" w:cs="宋体"/>
          <w:bCs/>
          <w:color w:val="auto"/>
          <w:sz w:val="21"/>
          <w:szCs w:val="21"/>
          <w:highlight w:val="none"/>
          <w:u w:val="none"/>
        </w:rPr>
        <w:t>7.1</w:t>
      </w:r>
      <w:r>
        <w:rPr>
          <w:rFonts w:hint="eastAsia" w:ascii="宋体" w:hAnsi="宋体" w:eastAsia="宋体" w:cs="宋体"/>
          <w:color w:val="auto"/>
          <w:sz w:val="21"/>
          <w:szCs w:val="21"/>
          <w:highlight w:val="none"/>
          <w:u w:val="none"/>
        </w:rPr>
        <w:t>本招标文件包括下列文件，以及所有按本须知第8条发出的招标答疑会会议纪要和按本须知第9条发出的澄清或修改：</w:t>
      </w:r>
    </w:p>
    <w:p w14:paraId="425F6CDE">
      <w:pPr>
        <w:pStyle w:val="35"/>
        <w:numPr>
          <w:ilvl w:val="0"/>
          <w:numId w:val="3"/>
        </w:numPr>
        <w:spacing w:after="0" w:line="360" w:lineRule="auto"/>
        <w:ind w:left="0" w:leftChars="0" w:firstLine="420" w:firstLineChars="200"/>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招标公告</w:t>
      </w:r>
    </w:p>
    <w:p w14:paraId="7F550D1C">
      <w:pPr>
        <w:pStyle w:val="35"/>
        <w:numPr>
          <w:ilvl w:val="0"/>
          <w:numId w:val="3"/>
        </w:numPr>
        <w:spacing w:after="0" w:line="360" w:lineRule="auto"/>
        <w:ind w:left="0" w:leftChars="0"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投标须知</w:t>
      </w:r>
    </w:p>
    <w:p w14:paraId="235EF951">
      <w:pPr>
        <w:pStyle w:val="35"/>
        <w:numPr>
          <w:ilvl w:val="0"/>
          <w:numId w:val="3"/>
        </w:numPr>
        <w:spacing w:after="0" w:line="360" w:lineRule="auto"/>
        <w:ind w:left="0" w:leftChars="0"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开标、评标及定标办法</w:t>
      </w:r>
    </w:p>
    <w:p w14:paraId="3BCB905E">
      <w:pPr>
        <w:pStyle w:val="35"/>
        <w:numPr>
          <w:ilvl w:val="0"/>
          <w:numId w:val="3"/>
        </w:numPr>
        <w:spacing w:after="0" w:line="360" w:lineRule="auto"/>
        <w:ind w:left="0" w:leftChars="0"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合同条款</w:t>
      </w:r>
    </w:p>
    <w:p w14:paraId="4A154B10">
      <w:pPr>
        <w:pStyle w:val="35"/>
        <w:numPr>
          <w:ilvl w:val="0"/>
          <w:numId w:val="3"/>
        </w:numPr>
        <w:spacing w:after="0" w:line="360" w:lineRule="auto"/>
        <w:ind w:left="0" w:leftChars="0"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投标文件格式</w:t>
      </w:r>
    </w:p>
    <w:p w14:paraId="12E78890">
      <w:pPr>
        <w:pStyle w:val="35"/>
        <w:numPr>
          <w:ilvl w:val="0"/>
          <w:numId w:val="3"/>
        </w:numPr>
        <w:spacing w:after="0" w:line="360" w:lineRule="auto"/>
        <w:ind w:left="0" w:leftChars="0"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技术条件（工程建设标准）</w:t>
      </w:r>
    </w:p>
    <w:p w14:paraId="07798AD7">
      <w:pPr>
        <w:pStyle w:val="35"/>
        <w:numPr>
          <w:ilvl w:val="0"/>
          <w:numId w:val="3"/>
        </w:numPr>
        <w:spacing w:after="0" w:line="360" w:lineRule="auto"/>
        <w:ind w:left="0" w:leftChars="0"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图纸及勘察资料</w:t>
      </w:r>
    </w:p>
    <w:p w14:paraId="17C8AEC9">
      <w:pPr>
        <w:pStyle w:val="35"/>
        <w:numPr>
          <w:ilvl w:val="0"/>
          <w:numId w:val="3"/>
        </w:numPr>
        <w:spacing w:after="0" w:line="360" w:lineRule="auto"/>
        <w:ind w:left="0" w:leftChars="0" w:firstLine="420" w:firstLineChars="200"/>
        <w:rPr>
          <w:rFonts w:hint="eastAsia" w:ascii="宋体" w:hAnsi="宋体" w:eastAsia="宋体" w:cs="宋体"/>
          <w:color w:val="auto"/>
          <w:sz w:val="21"/>
          <w:szCs w:val="21"/>
          <w:highlight w:val="none"/>
          <w:u w:val="none"/>
        </w:rPr>
      </w:pPr>
      <w:r>
        <w:rPr>
          <w:rFonts w:hint="eastAsia" w:ascii="宋体" w:hAnsi="宋体" w:eastAsia="宋体" w:cs="宋体"/>
          <w:bCs/>
          <w:color w:val="auto"/>
          <w:sz w:val="21"/>
          <w:szCs w:val="21"/>
          <w:highlight w:val="none"/>
          <w:u w:val="none"/>
        </w:rPr>
        <w:t>招标</w:t>
      </w:r>
      <w:r>
        <w:rPr>
          <w:rFonts w:hint="eastAsia" w:ascii="宋体" w:hAnsi="宋体" w:eastAsia="宋体" w:cs="宋体"/>
          <w:color w:val="auto"/>
          <w:sz w:val="21"/>
          <w:szCs w:val="21"/>
          <w:highlight w:val="none"/>
          <w:u w:val="none"/>
        </w:rPr>
        <w:t>工程量清单</w:t>
      </w:r>
    </w:p>
    <w:p w14:paraId="4C5F9C50">
      <w:pPr>
        <w:pStyle w:val="35"/>
        <w:numPr>
          <w:ilvl w:val="0"/>
          <w:numId w:val="3"/>
        </w:numPr>
        <w:spacing w:after="0" w:line="360" w:lineRule="auto"/>
        <w:ind w:left="0" w:leftChars="0"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最高投标限价</w:t>
      </w:r>
    </w:p>
    <w:p w14:paraId="14F9C2A4">
      <w:pPr>
        <w:pStyle w:val="35"/>
        <w:spacing w:after="0" w:line="360" w:lineRule="auto"/>
        <w:ind w:left="-2" w:firstLine="420" w:firstLineChars="200"/>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sz w:val="21"/>
          <w:szCs w:val="21"/>
          <w:highlight w:val="none"/>
        </w:rPr>
        <w:t>注：</w:t>
      </w:r>
      <w:r>
        <w:rPr>
          <w:rFonts w:hint="eastAsia" w:ascii="宋体" w:hAnsi="宋体" w:eastAsia="宋体" w:cs="宋体"/>
          <w:b w:val="0"/>
          <w:bCs w:val="0"/>
          <w:color w:val="auto"/>
          <w:kern w:val="0"/>
          <w:sz w:val="21"/>
          <w:szCs w:val="21"/>
          <w:highlight w:val="none"/>
        </w:rPr>
        <w:t>招标人应在技术条件（工程建设标准）中明确</w:t>
      </w:r>
      <w:r>
        <w:rPr>
          <w:rFonts w:hint="eastAsia" w:ascii="宋体" w:hAnsi="宋体" w:eastAsia="宋体" w:cs="宋体"/>
          <w:b w:val="0"/>
          <w:bCs w:val="0"/>
          <w:color w:val="auto"/>
          <w:kern w:val="0"/>
          <w:sz w:val="21"/>
          <w:szCs w:val="21"/>
          <w:highlight w:val="none"/>
          <w:lang w:eastAsia="zh-CN"/>
        </w:rPr>
        <w:t>如下内容：</w:t>
      </w:r>
    </w:p>
    <w:p w14:paraId="34CAD41E">
      <w:pPr>
        <w:pStyle w:val="35"/>
        <w:numPr>
          <w:ilvl w:val="0"/>
          <w:numId w:val="0"/>
        </w:numPr>
        <w:spacing w:after="0" w:line="360" w:lineRule="auto"/>
        <w:ind w:left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施工现场建筑垃圾源头减量的具体要求和建筑垃圾综合利用产品的使用要求。</w:t>
      </w:r>
    </w:p>
    <w:p w14:paraId="37B37CE6">
      <w:pPr>
        <w:pStyle w:val="35"/>
        <w:numPr>
          <w:ilvl w:val="0"/>
          <w:numId w:val="0"/>
        </w:numPr>
        <w:spacing w:after="0" w:line="360" w:lineRule="auto"/>
        <w:ind w:left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eastAsia="zh-CN"/>
        </w:rPr>
        <w:t>占道施工相关告知、围蔽、修复等要求。</w:t>
      </w:r>
    </w:p>
    <w:p w14:paraId="392F7149">
      <w:pPr>
        <w:pStyle w:val="35"/>
        <w:numPr>
          <w:ilvl w:val="0"/>
          <w:numId w:val="0"/>
        </w:numPr>
        <w:spacing w:after="0" w:line="360" w:lineRule="auto"/>
        <w:ind w:left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eastAsia="zh-CN"/>
        </w:rPr>
        <w:t>对照《广州市智能建造技术清单（</w:t>
      </w:r>
      <w:r>
        <w:rPr>
          <w:rFonts w:hint="eastAsia" w:ascii="宋体" w:hAnsi="宋体" w:eastAsia="宋体" w:cs="宋体"/>
          <w:b w:val="0"/>
          <w:bCs w:val="0"/>
          <w:color w:val="auto"/>
          <w:kern w:val="0"/>
          <w:sz w:val="21"/>
          <w:szCs w:val="21"/>
          <w:highlight w:val="none"/>
          <w:lang w:val="en-US" w:eastAsia="zh-CN"/>
        </w:rPr>
        <w:t>1.0版）》对招标项目智能建造提出要求。</w:t>
      </w:r>
    </w:p>
    <w:p w14:paraId="68502FBD">
      <w:pPr>
        <w:pStyle w:val="35"/>
        <w:numPr>
          <w:ilvl w:val="0"/>
          <w:numId w:val="0"/>
        </w:numPr>
        <w:spacing w:after="0" w:line="360" w:lineRule="auto"/>
        <w:ind w:left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4.招标人对中标人参与“百千万工程”的具体要求。</w:t>
      </w:r>
    </w:p>
    <w:p w14:paraId="79963906">
      <w:pPr>
        <w:pStyle w:val="35"/>
        <w:numPr>
          <w:ilvl w:val="0"/>
          <w:numId w:val="0"/>
        </w:numPr>
        <w:spacing w:after="0"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val="0"/>
          <w:bCs w:val="0"/>
          <w:color w:val="auto"/>
          <w:kern w:val="0"/>
          <w:sz w:val="21"/>
          <w:szCs w:val="21"/>
          <w:highlight w:val="none"/>
          <w:lang w:val="en-US" w:eastAsia="zh-CN"/>
        </w:rPr>
        <w:t>5.在建筑废弃物运输上落实《关于加快推动氢能产业高质量发展的若干措施》的要求。</w:t>
      </w:r>
    </w:p>
    <w:p w14:paraId="6E7BC90D">
      <w:pPr>
        <w:spacing w:line="360" w:lineRule="auto"/>
        <w:ind w:firstLine="422" w:firstLineChars="200"/>
        <w:rPr>
          <w:rFonts w:hint="eastAsia" w:ascii="宋体" w:hAnsi="宋体" w:eastAsia="宋体" w:cs="宋体"/>
          <w:color w:val="auto"/>
          <w:sz w:val="21"/>
          <w:szCs w:val="21"/>
          <w:highlight w:val="none"/>
          <w:u w:val="none"/>
        </w:rPr>
      </w:pPr>
      <w:r>
        <w:rPr>
          <w:rFonts w:hint="eastAsia" w:ascii="宋体" w:hAnsi="宋体" w:eastAsia="宋体" w:cs="宋体"/>
          <w:b/>
          <w:color w:val="auto"/>
          <w:szCs w:val="21"/>
          <w:highlight w:val="none"/>
        </w:rPr>
        <w:t>现文：</w:t>
      </w:r>
      <w:r>
        <w:rPr>
          <w:rFonts w:hint="eastAsia" w:ascii="宋体" w:hAnsi="宋体" w:eastAsia="宋体" w:cs="宋体"/>
          <w:bCs/>
          <w:color w:val="auto"/>
          <w:sz w:val="21"/>
          <w:szCs w:val="21"/>
          <w:highlight w:val="none"/>
          <w:u w:val="none"/>
        </w:rPr>
        <w:t>7.1</w:t>
      </w:r>
      <w:r>
        <w:rPr>
          <w:rFonts w:hint="eastAsia" w:ascii="宋体" w:hAnsi="宋体" w:eastAsia="宋体" w:cs="宋体"/>
          <w:color w:val="auto"/>
          <w:sz w:val="21"/>
          <w:szCs w:val="21"/>
          <w:highlight w:val="none"/>
          <w:u w:val="none"/>
        </w:rPr>
        <w:t>本招标文件包括下列文件，以及所有按本须知第8条发出的</w:t>
      </w:r>
      <w:r>
        <w:rPr>
          <w:rFonts w:hint="eastAsia" w:ascii="宋体" w:hAnsi="宋体" w:eastAsia="宋体" w:cs="宋体"/>
          <w:color w:val="auto"/>
          <w:sz w:val="21"/>
          <w:szCs w:val="21"/>
          <w:highlight w:val="none"/>
          <w:u w:val="single"/>
        </w:rPr>
        <w:t>招标答疑纪要</w:t>
      </w:r>
      <w:r>
        <w:rPr>
          <w:rFonts w:hint="eastAsia" w:ascii="宋体" w:hAnsi="宋体" w:eastAsia="宋体" w:cs="宋体"/>
          <w:color w:val="auto"/>
          <w:sz w:val="21"/>
          <w:szCs w:val="21"/>
          <w:highlight w:val="none"/>
          <w:u w:val="none"/>
        </w:rPr>
        <w:t>和按本须知第9条发出的澄清或修改：</w:t>
      </w:r>
    </w:p>
    <w:p w14:paraId="0C7D8B09">
      <w:pPr>
        <w:pStyle w:val="35"/>
        <w:numPr>
          <w:ilvl w:val="0"/>
          <w:numId w:val="0"/>
        </w:numPr>
        <w:spacing w:after="0" w:line="360" w:lineRule="auto"/>
        <w:ind w:leftChars="200"/>
        <w:rPr>
          <w:rFonts w:hint="eastAsia" w:ascii="宋体" w:hAnsi="宋体" w:eastAsia="宋体" w:cs="宋体"/>
          <w:bCs/>
          <w:color w:val="auto"/>
          <w:sz w:val="21"/>
          <w:szCs w:val="21"/>
          <w:highlight w:val="none"/>
          <w:u w:val="none"/>
          <w:lang w:val="en-US" w:eastAsia="zh-CN"/>
        </w:rPr>
      </w:pPr>
      <w:r>
        <w:rPr>
          <w:rFonts w:hint="eastAsia" w:ascii="宋体" w:hAnsi="宋体" w:cs="宋体"/>
          <w:bCs/>
          <w:color w:val="auto"/>
          <w:sz w:val="21"/>
          <w:szCs w:val="21"/>
          <w:highlight w:val="none"/>
          <w:u w:val="none"/>
          <w:lang w:val="en-US" w:eastAsia="zh-CN"/>
        </w:rPr>
        <w:t>（1）</w:t>
      </w:r>
      <w:r>
        <w:rPr>
          <w:rFonts w:hint="eastAsia" w:ascii="宋体" w:hAnsi="宋体" w:eastAsia="宋体" w:cs="宋体"/>
          <w:bCs/>
          <w:color w:val="auto"/>
          <w:sz w:val="21"/>
          <w:szCs w:val="21"/>
          <w:highlight w:val="none"/>
          <w:u w:val="none"/>
          <w:lang w:val="en-US" w:eastAsia="zh-CN"/>
        </w:rPr>
        <w:t>招标公告</w:t>
      </w:r>
    </w:p>
    <w:p w14:paraId="10663024">
      <w:pPr>
        <w:pStyle w:val="35"/>
        <w:numPr>
          <w:ilvl w:val="0"/>
          <w:numId w:val="0"/>
        </w:numPr>
        <w:spacing w:after="0" w:line="360" w:lineRule="auto"/>
        <w:ind w:leftChars="200"/>
        <w:rPr>
          <w:rFonts w:hint="eastAsia" w:ascii="宋体" w:hAnsi="宋体" w:eastAsia="宋体" w:cs="宋体"/>
          <w:color w:val="auto"/>
          <w:sz w:val="21"/>
          <w:szCs w:val="21"/>
          <w:highlight w:val="none"/>
          <w:u w:val="none"/>
        </w:rPr>
      </w:pP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lang w:val="en-US" w:eastAsia="zh-CN"/>
        </w:rPr>
        <w:t>2</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投标须知</w:t>
      </w:r>
    </w:p>
    <w:p w14:paraId="5CA95A86">
      <w:pPr>
        <w:pStyle w:val="35"/>
        <w:numPr>
          <w:ilvl w:val="0"/>
          <w:numId w:val="0"/>
        </w:numPr>
        <w:spacing w:after="0" w:line="360" w:lineRule="auto"/>
        <w:ind w:leftChars="200"/>
        <w:rPr>
          <w:rFonts w:hint="eastAsia" w:ascii="宋体" w:hAnsi="宋体" w:eastAsia="宋体" w:cs="宋体"/>
          <w:color w:val="auto"/>
          <w:sz w:val="21"/>
          <w:szCs w:val="21"/>
          <w:highlight w:val="none"/>
          <w:u w:val="none"/>
        </w:rPr>
      </w:pP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lang w:val="en-US" w:eastAsia="zh-CN"/>
        </w:rPr>
        <w:t>3</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开标、评标及定标办法</w:t>
      </w:r>
    </w:p>
    <w:p w14:paraId="2EAED55F">
      <w:pPr>
        <w:pStyle w:val="35"/>
        <w:numPr>
          <w:ilvl w:val="0"/>
          <w:numId w:val="0"/>
        </w:numPr>
        <w:spacing w:after="0" w:line="360" w:lineRule="auto"/>
        <w:ind w:leftChars="200"/>
        <w:rPr>
          <w:rFonts w:hint="eastAsia" w:ascii="宋体" w:hAnsi="宋体" w:eastAsia="宋体" w:cs="宋体"/>
          <w:color w:val="auto"/>
          <w:sz w:val="21"/>
          <w:szCs w:val="21"/>
          <w:highlight w:val="none"/>
          <w:u w:val="none"/>
        </w:rPr>
      </w:pP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lang w:val="en-US" w:eastAsia="zh-CN"/>
        </w:rPr>
        <w:t>4</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合同条款</w:t>
      </w:r>
    </w:p>
    <w:p w14:paraId="45C3A93D">
      <w:pPr>
        <w:pStyle w:val="35"/>
        <w:numPr>
          <w:ilvl w:val="0"/>
          <w:numId w:val="0"/>
        </w:numPr>
        <w:spacing w:after="0" w:line="360" w:lineRule="auto"/>
        <w:ind w:leftChars="200"/>
        <w:rPr>
          <w:rFonts w:hint="eastAsia" w:ascii="宋体" w:hAnsi="宋体" w:eastAsia="宋体" w:cs="宋体"/>
          <w:color w:val="auto"/>
          <w:sz w:val="21"/>
          <w:szCs w:val="21"/>
          <w:highlight w:val="none"/>
          <w:u w:val="none"/>
        </w:rPr>
      </w:pP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lang w:val="en-US" w:eastAsia="zh-CN"/>
        </w:rPr>
        <w:t>5</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投标文件格式</w:t>
      </w:r>
    </w:p>
    <w:p w14:paraId="6D98CC54">
      <w:pPr>
        <w:pStyle w:val="35"/>
        <w:numPr>
          <w:ilvl w:val="0"/>
          <w:numId w:val="0"/>
        </w:numPr>
        <w:spacing w:after="0" w:line="360" w:lineRule="auto"/>
        <w:ind w:leftChars="200"/>
        <w:rPr>
          <w:rFonts w:hint="eastAsia" w:ascii="宋体" w:hAnsi="宋体" w:eastAsia="宋体" w:cs="宋体"/>
          <w:color w:val="auto"/>
          <w:sz w:val="21"/>
          <w:szCs w:val="21"/>
          <w:highlight w:val="none"/>
          <w:u w:val="none"/>
        </w:rPr>
      </w:pP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lang w:val="en-US" w:eastAsia="zh-CN"/>
        </w:rPr>
        <w:t>6</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技术条件（工程建设标准）</w:t>
      </w:r>
    </w:p>
    <w:p w14:paraId="0EE6EA88">
      <w:pPr>
        <w:pStyle w:val="35"/>
        <w:numPr>
          <w:ilvl w:val="0"/>
          <w:numId w:val="0"/>
        </w:numPr>
        <w:spacing w:after="0" w:line="360" w:lineRule="auto"/>
        <w:ind w:leftChars="200"/>
        <w:rPr>
          <w:rFonts w:hint="eastAsia" w:ascii="宋体" w:hAnsi="宋体" w:eastAsia="宋体" w:cs="宋体"/>
          <w:color w:val="auto"/>
          <w:sz w:val="21"/>
          <w:szCs w:val="21"/>
          <w:highlight w:val="none"/>
          <w:u w:val="none"/>
        </w:rPr>
      </w:pP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lang w:val="en-US" w:eastAsia="zh-CN"/>
        </w:rPr>
        <w:t>7</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图纸及勘察资料</w:t>
      </w:r>
    </w:p>
    <w:p w14:paraId="7AD9507B">
      <w:pPr>
        <w:pStyle w:val="35"/>
        <w:numPr>
          <w:ilvl w:val="0"/>
          <w:numId w:val="0"/>
        </w:numPr>
        <w:spacing w:after="0" w:line="360" w:lineRule="auto"/>
        <w:ind w:leftChars="200"/>
        <w:rPr>
          <w:rFonts w:hint="eastAsia" w:ascii="宋体" w:hAnsi="宋体" w:eastAsia="宋体" w:cs="宋体"/>
          <w:color w:val="auto"/>
          <w:sz w:val="21"/>
          <w:szCs w:val="21"/>
          <w:highlight w:val="none"/>
          <w:u w:val="none"/>
        </w:rPr>
      </w:pPr>
      <w:r>
        <w:rPr>
          <w:rFonts w:hint="eastAsia" w:ascii="宋体" w:hAnsi="宋体" w:cs="宋体"/>
          <w:bCs/>
          <w:color w:val="auto"/>
          <w:sz w:val="21"/>
          <w:szCs w:val="21"/>
          <w:highlight w:val="none"/>
          <w:u w:val="none"/>
          <w:lang w:eastAsia="zh-CN"/>
        </w:rPr>
        <w:t>（</w:t>
      </w:r>
      <w:r>
        <w:rPr>
          <w:rFonts w:hint="eastAsia" w:ascii="宋体" w:hAnsi="宋体" w:cs="宋体"/>
          <w:bCs/>
          <w:color w:val="auto"/>
          <w:sz w:val="21"/>
          <w:szCs w:val="21"/>
          <w:highlight w:val="none"/>
          <w:u w:val="none"/>
          <w:lang w:val="en-US" w:eastAsia="zh-CN"/>
        </w:rPr>
        <w:t>8</w:t>
      </w:r>
      <w:r>
        <w:rPr>
          <w:rFonts w:hint="eastAsia" w:ascii="宋体" w:hAnsi="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rPr>
        <w:t>招标</w:t>
      </w:r>
      <w:r>
        <w:rPr>
          <w:rFonts w:hint="eastAsia" w:ascii="宋体" w:hAnsi="宋体" w:eastAsia="宋体" w:cs="宋体"/>
          <w:color w:val="auto"/>
          <w:sz w:val="21"/>
          <w:szCs w:val="21"/>
          <w:highlight w:val="none"/>
          <w:u w:val="none"/>
        </w:rPr>
        <w:t>工程量清单</w:t>
      </w:r>
    </w:p>
    <w:p w14:paraId="123769DE">
      <w:pPr>
        <w:pStyle w:val="35"/>
        <w:numPr>
          <w:ilvl w:val="0"/>
          <w:numId w:val="0"/>
        </w:numPr>
        <w:spacing w:after="0" w:line="360" w:lineRule="auto"/>
        <w:ind w:leftChars="200"/>
        <w:rPr>
          <w:rFonts w:hint="eastAsia" w:ascii="宋体" w:hAnsi="宋体" w:eastAsia="宋体" w:cs="宋体"/>
          <w:color w:val="auto"/>
          <w:sz w:val="21"/>
          <w:szCs w:val="21"/>
          <w:highlight w:val="none"/>
          <w:u w:val="none"/>
        </w:rPr>
      </w:pP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lang w:val="en-US" w:eastAsia="zh-CN"/>
        </w:rPr>
        <w:t>9</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最高投标限价</w:t>
      </w:r>
    </w:p>
    <w:p w14:paraId="3F3DF59F">
      <w:pPr>
        <w:pStyle w:val="35"/>
        <w:spacing w:after="0" w:line="360" w:lineRule="auto"/>
        <w:ind w:left="-2" w:firstLine="420" w:firstLineChars="200"/>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sz w:val="21"/>
          <w:szCs w:val="21"/>
          <w:highlight w:val="none"/>
        </w:rPr>
        <w:t>注：</w:t>
      </w:r>
      <w:r>
        <w:rPr>
          <w:rFonts w:hint="eastAsia" w:ascii="宋体" w:hAnsi="宋体" w:eastAsia="宋体" w:cs="宋体"/>
          <w:b w:val="0"/>
          <w:bCs w:val="0"/>
          <w:color w:val="auto"/>
          <w:kern w:val="0"/>
          <w:sz w:val="21"/>
          <w:szCs w:val="21"/>
          <w:highlight w:val="none"/>
        </w:rPr>
        <w:t>招标人应在技术条件（工程建设标准）中明确</w:t>
      </w:r>
      <w:r>
        <w:rPr>
          <w:rFonts w:hint="eastAsia" w:ascii="宋体" w:hAnsi="宋体" w:eastAsia="宋体" w:cs="宋体"/>
          <w:b w:val="0"/>
          <w:bCs w:val="0"/>
          <w:color w:val="auto"/>
          <w:kern w:val="0"/>
          <w:sz w:val="21"/>
          <w:szCs w:val="21"/>
          <w:highlight w:val="none"/>
          <w:lang w:eastAsia="zh-CN"/>
        </w:rPr>
        <w:t>如下内容：</w:t>
      </w:r>
    </w:p>
    <w:p w14:paraId="2784A0CB">
      <w:pPr>
        <w:pStyle w:val="35"/>
        <w:numPr>
          <w:ilvl w:val="0"/>
          <w:numId w:val="0"/>
        </w:numPr>
        <w:spacing w:after="0" w:line="360" w:lineRule="auto"/>
        <w:ind w:left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施工现场建筑垃圾源头减量的具体要求和建筑垃圾综合利用产品的使用要求。</w:t>
      </w:r>
    </w:p>
    <w:p w14:paraId="28AFB74D">
      <w:pPr>
        <w:pStyle w:val="35"/>
        <w:numPr>
          <w:ilvl w:val="0"/>
          <w:numId w:val="0"/>
        </w:numPr>
        <w:spacing w:after="0" w:line="360" w:lineRule="auto"/>
        <w:ind w:left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eastAsia="zh-CN"/>
        </w:rPr>
        <w:t>占道施工相关告知、围蔽、修复等要求。</w:t>
      </w:r>
    </w:p>
    <w:p w14:paraId="391CC8E6">
      <w:pPr>
        <w:pStyle w:val="35"/>
        <w:numPr>
          <w:ilvl w:val="0"/>
          <w:numId w:val="0"/>
        </w:numPr>
        <w:spacing w:after="0" w:line="360" w:lineRule="auto"/>
        <w:ind w:left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eastAsia="zh-CN"/>
        </w:rPr>
        <w:t>对照《广州市智能建造技术清单（</w:t>
      </w:r>
      <w:r>
        <w:rPr>
          <w:rFonts w:hint="eastAsia" w:ascii="宋体" w:hAnsi="宋体" w:eastAsia="宋体" w:cs="宋体"/>
          <w:b w:val="0"/>
          <w:bCs w:val="0"/>
          <w:color w:val="auto"/>
          <w:kern w:val="0"/>
          <w:sz w:val="21"/>
          <w:szCs w:val="21"/>
          <w:highlight w:val="none"/>
          <w:lang w:val="en-US" w:eastAsia="zh-CN"/>
        </w:rPr>
        <w:t>1.0版）》对招标项目智能建造提出要求。</w:t>
      </w:r>
    </w:p>
    <w:p w14:paraId="15BE3626">
      <w:pPr>
        <w:pStyle w:val="35"/>
        <w:numPr>
          <w:ilvl w:val="0"/>
          <w:numId w:val="0"/>
        </w:numPr>
        <w:spacing w:after="0" w:line="360" w:lineRule="auto"/>
        <w:ind w:left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4.招标人对中标人参与“百千万工程”的具体要求。</w:t>
      </w:r>
    </w:p>
    <w:p w14:paraId="13973C30">
      <w:pPr>
        <w:pStyle w:val="35"/>
        <w:numPr>
          <w:ilvl w:val="0"/>
          <w:numId w:val="0"/>
        </w:numPr>
        <w:pBdr>
          <w:bottom w:val="single" w:color="auto" w:sz="4" w:space="0"/>
        </w:pBdr>
        <w:spacing w:after="0"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5.在建筑废弃物运输上落实《关于加快推动氢能产业高质量发展的若干措施》的要求。</w:t>
      </w:r>
    </w:p>
    <w:p w14:paraId="28FD07BB">
      <w:pPr>
        <w:spacing w:line="48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8.1</w:t>
      </w:r>
      <w:r>
        <w:rPr>
          <w:rFonts w:hint="eastAsia" w:ascii="宋体" w:hAnsi="宋体" w:eastAsia="宋体" w:cs="宋体"/>
          <w:b/>
          <w:color w:val="auto"/>
          <w:szCs w:val="21"/>
          <w:highlight w:val="none"/>
        </w:rPr>
        <w:t xml:space="preserve">             修改类型：修改</w:t>
      </w:r>
    </w:p>
    <w:p w14:paraId="30C70A1F">
      <w:pPr>
        <w:pStyle w:val="35"/>
        <w:spacing w:after="0"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16"/>
          <w:highlight w:val="none"/>
        </w:rPr>
        <w:t>8.1 投标人若对招标文件（包括招标图纸）中有疑问，可以书面形式</w:t>
      </w:r>
      <w:r>
        <w:rPr>
          <w:rFonts w:hint="eastAsia" w:ascii="宋体" w:hAnsi="宋体" w:eastAsia="宋体" w:cs="宋体"/>
          <w:color w:val="auto"/>
          <w:sz w:val="21"/>
          <w:szCs w:val="21"/>
          <w:highlight w:val="none"/>
        </w:rPr>
        <w:t>通过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交易平台提交</w:t>
      </w:r>
      <w:r>
        <w:rPr>
          <w:rFonts w:hint="eastAsia" w:ascii="宋体" w:hAnsi="宋体" w:eastAsia="宋体" w:cs="宋体"/>
          <w:color w:val="auto"/>
          <w:sz w:val="21"/>
          <w:szCs w:val="16"/>
          <w:highlight w:val="none"/>
        </w:rPr>
        <w:t>给招标人或招标代理人，提交形式见本须知前附表第</w:t>
      </w:r>
      <w:r>
        <w:rPr>
          <w:rFonts w:hint="eastAsia" w:ascii="宋体" w:hAnsi="宋体" w:eastAsia="宋体" w:cs="宋体"/>
          <w:color w:val="auto"/>
          <w:sz w:val="21"/>
          <w:szCs w:val="16"/>
          <w:highlight w:val="none"/>
          <w:lang w:val="en-US" w:eastAsia="zh-CN"/>
        </w:rPr>
        <w:t>13</w:t>
      </w:r>
      <w:r>
        <w:rPr>
          <w:rFonts w:hint="eastAsia" w:ascii="宋体" w:hAnsi="宋体" w:eastAsia="宋体" w:cs="宋体"/>
          <w:color w:val="auto"/>
          <w:sz w:val="21"/>
          <w:szCs w:val="16"/>
          <w:highlight w:val="none"/>
        </w:rPr>
        <w:t>项。</w:t>
      </w:r>
    </w:p>
    <w:p w14:paraId="430ED04A">
      <w:pPr>
        <w:pBdr>
          <w:bottom w:val="single" w:color="auto" w:sz="6" w:space="1"/>
        </w:pBdr>
        <w:spacing w:line="360" w:lineRule="auto"/>
        <w:ind w:firstLine="527" w:firstLineChars="250"/>
        <w:rPr>
          <w:rFonts w:hint="eastAsia" w:ascii="宋体" w:hAnsi="宋体" w:eastAsia="宋体" w:cs="宋体"/>
          <w:color w:val="auto"/>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u w:val="single"/>
        </w:rPr>
        <w:t>招标答疑采用网上答疑方式进行。投标人若对招标文件有疑问的，可在规定的时间内通过广州交易集团有限公司（广州公共资源交易中心）网站进入提问区域将问题提交给招标人或招标代理人，提交问题时一律不得署名。网上答疑的操作指南为：登陆广州交易集团有限公司（广州公共资源交易中心）网站→进入交易业务/建设工程 “网上答疑”专区→通过项目编号或名称找到所需的项目→在上述的答疑时间内点击“提问”→登录系统进入到提问区域→无记名或匿名提出问题以及查看所有的问题。</w:t>
      </w:r>
    </w:p>
    <w:p w14:paraId="6E1D154B">
      <w:pPr>
        <w:spacing w:line="48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8.2</w:t>
      </w:r>
      <w:r>
        <w:rPr>
          <w:rFonts w:hint="eastAsia" w:ascii="宋体" w:hAnsi="宋体" w:eastAsia="宋体" w:cs="宋体"/>
          <w:b/>
          <w:color w:val="auto"/>
          <w:szCs w:val="21"/>
          <w:highlight w:val="none"/>
        </w:rPr>
        <w:t xml:space="preserve">             修改类型：修改</w:t>
      </w:r>
    </w:p>
    <w:p w14:paraId="56F56DA7">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原文：条款号：8.2             修改类型：修改</w:t>
      </w:r>
    </w:p>
    <w:p w14:paraId="40E1094D">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原文：8.2</w:t>
      </w:r>
      <w:r>
        <w:rPr>
          <w:rFonts w:hint="eastAsia" w:ascii="宋体" w:hAnsi="宋体" w:eastAsia="宋体" w:cs="宋体"/>
          <w:color w:val="auto"/>
          <w:sz w:val="21"/>
          <w:szCs w:val="20"/>
          <w:highlight w:val="none"/>
        </w:rPr>
        <w:t>招标答疑会会议纪要将在提交投标文件截止时间15日前在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w:t>
      </w:r>
      <w:r>
        <w:rPr>
          <w:rFonts w:hint="eastAsia" w:ascii="宋体" w:hAnsi="宋体" w:eastAsia="宋体" w:cs="宋体"/>
          <w:color w:val="auto"/>
          <w:sz w:val="21"/>
          <w:szCs w:val="20"/>
          <w:highlight w:val="none"/>
        </w:rPr>
        <w:t xml:space="preserve"> “项目答疑纪要”专区公开发布。答疑纪要一经在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w:t>
      </w:r>
      <w:r>
        <w:rPr>
          <w:rFonts w:hint="eastAsia" w:ascii="宋体" w:hAnsi="宋体" w:eastAsia="宋体" w:cs="宋体"/>
          <w:color w:val="auto"/>
          <w:sz w:val="21"/>
          <w:szCs w:val="20"/>
          <w:highlight w:val="none"/>
        </w:rPr>
        <w:t>发布，视作已发放给所有投标人</w:t>
      </w:r>
      <w:r>
        <w:rPr>
          <w:rFonts w:hint="eastAsia" w:ascii="宋体" w:hAnsi="宋体" w:eastAsia="宋体" w:cs="宋体"/>
          <w:bCs/>
          <w:color w:val="auto"/>
          <w:sz w:val="18"/>
          <w:szCs w:val="18"/>
          <w:highlight w:val="none"/>
        </w:rPr>
        <w:t>。</w:t>
      </w:r>
    </w:p>
    <w:p w14:paraId="13E10C72">
      <w:pPr>
        <w:pBdr>
          <w:bottom w:val="single" w:color="auto" w:sz="6" w:space="1"/>
        </w:pBd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现文：8.2</w:t>
      </w:r>
      <w:r>
        <w:rPr>
          <w:rFonts w:hint="eastAsia" w:ascii="宋体" w:hAnsi="宋体" w:eastAsia="宋体" w:cs="宋体"/>
          <w:bCs/>
          <w:color w:val="auto"/>
          <w:szCs w:val="21"/>
          <w:highlight w:val="none"/>
          <w:u w:val="single"/>
        </w:rPr>
        <w:t>招标答疑纪要</w:t>
      </w:r>
      <w:r>
        <w:rPr>
          <w:rFonts w:hint="eastAsia" w:ascii="宋体" w:hAnsi="宋体" w:eastAsia="宋体" w:cs="宋体"/>
          <w:bCs/>
          <w:color w:val="auto"/>
          <w:szCs w:val="21"/>
          <w:highlight w:val="none"/>
        </w:rPr>
        <w:t>将在提交投标文件截止时间15日前在</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bCs/>
          <w:color w:val="auto"/>
          <w:szCs w:val="21"/>
          <w:highlight w:val="none"/>
        </w:rPr>
        <w:t>交易平台</w:t>
      </w:r>
      <w:r>
        <w:rPr>
          <w:rFonts w:hint="eastAsia" w:ascii="宋体" w:hAnsi="宋体" w:eastAsia="宋体" w:cs="宋体"/>
          <w:bCs/>
          <w:color w:val="auto"/>
          <w:szCs w:val="21"/>
          <w:highlight w:val="none"/>
          <w:u w:val="single"/>
        </w:rPr>
        <w:t>“</w:t>
      </w:r>
      <w:bookmarkStart w:id="12" w:name="_Hlk62738754"/>
      <w:r>
        <w:rPr>
          <w:rFonts w:hint="eastAsia" w:ascii="宋体" w:hAnsi="宋体" w:eastAsia="宋体" w:cs="宋体"/>
          <w:bCs/>
          <w:color w:val="auto"/>
          <w:szCs w:val="21"/>
          <w:highlight w:val="none"/>
          <w:u w:val="single"/>
        </w:rPr>
        <w:t>项目查询（日程安排、答疑纪要）</w:t>
      </w:r>
      <w:bookmarkEnd w:id="12"/>
      <w:r>
        <w:rPr>
          <w:rFonts w:hint="eastAsia" w:ascii="宋体" w:hAnsi="宋体" w:eastAsia="宋体" w:cs="宋体"/>
          <w:bCs/>
          <w:color w:val="auto"/>
          <w:szCs w:val="21"/>
          <w:highlight w:val="none"/>
          <w:u w:val="single"/>
        </w:rPr>
        <w:t>”</w:t>
      </w:r>
      <w:r>
        <w:rPr>
          <w:rFonts w:hint="eastAsia" w:ascii="宋体" w:hAnsi="宋体" w:eastAsia="宋体" w:cs="宋体"/>
          <w:bCs/>
          <w:color w:val="auto"/>
          <w:szCs w:val="21"/>
          <w:highlight w:val="none"/>
        </w:rPr>
        <w:t>专区公开发布。答疑纪要一经在</w:t>
      </w:r>
      <w:r>
        <w:rPr>
          <w:rFonts w:hint="eastAsia" w:ascii="宋体" w:hAnsi="宋体" w:eastAsia="宋体" w:cs="宋体"/>
          <w:bCs/>
          <w:color w:val="auto"/>
          <w:szCs w:val="21"/>
          <w:highlight w:val="none"/>
          <w:u w:val="single"/>
        </w:rPr>
        <w:t>广州公共资源交易中心网站</w:t>
      </w:r>
      <w:r>
        <w:rPr>
          <w:rFonts w:hint="eastAsia" w:ascii="宋体" w:hAnsi="宋体" w:eastAsia="宋体" w:cs="宋体"/>
          <w:bCs/>
          <w:color w:val="auto"/>
          <w:szCs w:val="21"/>
          <w:highlight w:val="none"/>
        </w:rPr>
        <w:t>发布，视作已发放给所有投标人。</w:t>
      </w:r>
    </w:p>
    <w:p w14:paraId="608EBB6F">
      <w:pPr>
        <w:pStyle w:val="35"/>
        <w:spacing w:after="0" w:line="400" w:lineRule="exact"/>
        <w:ind w:firstLine="422" w:firstLineChars="200"/>
        <w:rPr>
          <w:rFonts w:hint="eastAsia" w:ascii="宋体" w:hAnsi="宋体" w:eastAsia="宋体" w:cs="宋体"/>
          <w:b/>
          <w:color w:val="auto"/>
          <w:szCs w:val="21"/>
          <w:highlight w:val="none"/>
        </w:rPr>
      </w:pPr>
      <w:bookmarkStart w:id="13" w:name="_Hlk61366684"/>
      <w:r>
        <w:rPr>
          <w:rFonts w:hint="eastAsia" w:ascii="宋体" w:hAnsi="宋体" w:eastAsia="宋体" w:cs="宋体"/>
          <w:b/>
          <w:color w:val="auto"/>
          <w:szCs w:val="21"/>
          <w:highlight w:val="none"/>
        </w:rPr>
        <w:t>条款号：8.3              修改类型：修改</w:t>
      </w:r>
    </w:p>
    <w:p w14:paraId="07E6FB8B">
      <w:pPr>
        <w:pStyle w:val="35"/>
        <w:spacing w:after="0" w:line="400" w:lineRule="exact"/>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w:t>
      </w:r>
      <w:r>
        <w:rPr>
          <w:rFonts w:hint="eastAsia" w:ascii="宋体" w:hAnsi="宋体" w:eastAsia="宋体" w:cs="宋体"/>
          <w:b/>
          <w:color w:val="auto"/>
          <w:szCs w:val="21"/>
          <w:highlight w:val="none"/>
        </w:rPr>
        <w:t>8.3</w:t>
      </w:r>
      <w:r>
        <w:rPr>
          <w:rFonts w:hint="eastAsia" w:ascii="宋体" w:hAnsi="宋体" w:eastAsia="宋体" w:cs="宋体"/>
          <w:bCs/>
          <w:color w:val="auto"/>
          <w:szCs w:val="21"/>
          <w:highlight w:val="none"/>
        </w:rPr>
        <w:t>答疑会会议纪要为招标文件的一部分。</w:t>
      </w:r>
    </w:p>
    <w:p w14:paraId="0544EC38">
      <w:pPr>
        <w:pBdr>
          <w:bottom w:val="single" w:color="auto" w:sz="6" w:space="1"/>
        </w:pBdr>
        <w:spacing w:line="360" w:lineRule="auto"/>
        <w:ind w:firstLine="424" w:firstLineChars="201"/>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
          <w:color w:val="auto"/>
          <w:kern w:val="0"/>
          <w:szCs w:val="21"/>
          <w:highlight w:val="none"/>
        </w:rPr>
        <w:t>8.3</w:t>
      </w:r>
      <w:r>
        <w:rPr>
          <w:rFonts w:hint="eastAsia" w:ascii="宋体" w:hAnsi="宋体" w:eastAsia="宋体" w:cs="宋体"/>
          <w:color w:val="auto"/>
          <w:szCs w:val="21"/>
          <w:highlight w:val="none"/>
          <w:u w:val="single"/>
        </w:rPr>
        <w:t>招标答疑纪要</w:t>
      </w:r>
      <w:r>
        <w:rPr>
          <w:rFonts w:hint="eastAsia" w:ascii="宋体" w:hAnsi="宋体" w:eastAsia="宋体" w:cs="宋体"/>
          <w:color w:val="auto"/>
          <w:szCs w:val="21"/>
          <w:highlight w:val="none"/>
        </w:rPr>
        <w:t>为招标文件的一部分。</w:t>
      </w:r>
    </w:p>
    <w:p w14:paraId="7D9E69C2">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条款号：8.4              修改类型：修改</w:t>
      </w:r>
      <w:bookmarkEnd w:id="13"/>
    </w:p>
    <w:p w14:paraId="44C46E84">
      <w:pPr>
        <w:pStyle w:val="35"/>
        <w:spacing w:after="0" w:line="400" w:lineRule="exact"/>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原文：8.4</w:t>
      </w:r>
      <w:r>
        <w:rPr>
          <w:rFonts w:hint="eastAsia" w:ascii="宋体" w:hAnsi="宋体" w:eastAsia="宋体" w:cs="宋体"/>
          <w:b w:val="0"/>
          <w:bCs/>
          <w:color w:val="auto"/>
          <w:szCs w:val="21"/>
          <w:highlight w:val="none"/>
        </w:rPr>
        <w:t>若招标答疑会会议纪要与招标文件有矛盾，以答疑会议纪要最后发出的书面形式的文件为准。</w:t>
      </w:r>
    </w:p>
    <w:p w14:paraId="6D685FC9">
      <w:pPr>
        <w:pBdr>
          <w:bottom w:val="single" w:color="auto" w:sz="6" w:space="1"/>
        </w:pBdr>
        <w:spacing w:line="360" w:lineRule="auto"/>
        <w:ind w:firstLine="527" w:firstLineChars="250"/>
        <w:rPr>
          <w:rFonts w:hint="eastAsia" w:ascii="宋体" w:hAnsi="宋体" w:eastAsia="宋体" w:cs="宋体"/>
          <w:color w:val="auto"/>
          <w:highlight w:val="none"/>
        </w:rPr>
      </w:pPr>
      <w:r>
        <w:rPr>
          <w:rFonts w:hint="eastAsia" w:ascii="宋体" w:hAnsi="宋体" w:eastAsia="宋体" w:cs="宋体"/>
          <w:b/>
          <w:color w:val="auto"/>
          <w:szCs w:val="21"/>
          <w:highlight w:val="none"/>
        </w:rPr>
        <w:t>现文：</w:t>
      </w:r>
      <w:r>
        <w:rPr>
          <w:rFonts w:hint="eastAsia" w:ascii="宋体" w:hAnsi="宋体" w:eastAsia="宋体" w:cs="宋体"/>
          <w:b/>
          <w:color w:val="auto"/>
          <w:kern w:val="0"/>
          <w:szCs w:val="21"/>
          <w:highlight w:val="none"/>
        </w:rPr>
        <w:t>8.4</w:t>
      </w:r>
      <w:r>
        <w:rPr>
          <w:rFonts w:hint="eastAsia" w:ascii="宋体" w:hAnsi="宋体" w:eastAsia="宋体" w:cs="宋体"/>
          <w:color w:val="auto"/>
          <w:szCs w:val="21"/>
          <w:highlight w:val="none"/>
        </w:rPr>
        <w:t>若</w:t>
      </w:r>
      <w:r>
        <w:rPr>
          <w:rFonts w:hint="eastAsia" w:ascii="宋体" w:hAnsi="宋体" w:eastAsia="宋体" w:cs="宋体"/>
          <w:color w:val="auto"/>
          <w:szCs w:val="21"/>
          <w:highlight w:val="none"/>
          <w:u w:val="single"/>
        </w:rPr>
        <w:t>招标答疑纪要</w:t>
      </w:r>
      <w:r>
        <w:rPr>
          <w:rFonts w:hint="eastAsia" w:ascii="宋体" w:hAnsi="宋体" w:eastAsia="宋体" w:cs="宋体"/>
          <w:color w:val="auto"/>
          <w:szCs w:val="21"/>
          <w:highlight w:val="none"/>
        </w:rPr>
        <w:t>与招标文件有矛盾时，以</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Cs w:val="21"/>
          <w:highlight w:val="none"/>
          <w:u w:val="single"/>
        </w:rPr>
        <w:t>交易平台</w:t>
      </w:r>
      <w:r>
        <w:rPr>
          <w:rFonts w:hint="eastAsia" w:ascii="宋体" w:hAnsi="宋体" w:eastAsia="宋体" w:cs="宋体"/>
          <w:color w:val="auto"/>
          <w:szCs w:val="21"/>
          <w:highlight w:val="none"/>
        </w:rPr>
        <w:t>最后发布的答疑纪要为准。</w:t>
      </w:r>
    </w:p>
    <w:p w14:paraId="5FCFE3D3">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条款号：9.2             修改类型：修改</w:t>
      </w:r>
    </w:p>
    <w:p w14:paraId="51BC08E2">
      <w:pPr>
        <w:pStyle w:val="35"/>
        <w:spacing w:after="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
          <w:bCs/>
          <w:color w:val="auto"/>
          <w:szCs w:val="21"/>
          <w:highlight w:val="none"/>
        </w:rPr>
        <w:t>9.2</w:t>
      </w:r>
      <w:r>
        <w:rPr>
          <w:rFonts w:hint="eastAsia" w:ascii="宋体"/>
          <w:color w:val="auto"/>
          <w:sz w:val="21"/>
          <w:szCs w:val="16"/>
          <w:highlight w:val="none"/>
        </w:rPr>
        <w:t>招标文件的澄清或修改将在</w:t>
      </w:r>
      <w:r>
        <w:rPr>
          <w:color w:val="auto"/>
          <w:sz w:val="21"/>
          <w:szCs w:val="21"/>
          <w:highlight w:val="none"/>
          <w:u w:val="single"/>
        </w:rPr>
        <w:t xml:space="preserve">        </w:t>
      </w:r>
      <w:r>
        <w:rPr>
          <w:rFonts w:hint="eastAsia" w:ascii="宋体" w:hAnsi="宋体"/>
          <w:color w:val="auto"/>
          <w:sz w:val="21"/>
          <w:szCs w:val="21"/>
          <w:highlight w:val="none"/>
        </w:rPr>
        <w:t>交易平台</w:t>
      </w:r>
      <w:r>
        <w:rPr>
          <w:rFonts w:hint="eastAsia" w:ascii="宋体"/>
          <w:color w:val="auto"/>
          <w:sz w:val="21"/>
          <w:szCs w:val="16"/>
          <w:highlight w:val="none"/>
        </w:rPr>
        <w:t>“项目答疑纪要”专区公开发布。答疑纪要一经在</w:t>
      </w:r>
      <w:r>
        <w:rPr>
          <w:color w:val="auto"/>
          <w:sz w:val="21"/>
          <w:szCs w:val="21"/>
          <w:highlight w:val="none"/>
          <w:u w:val="single"/>
        </w:rPr>
        <w:t xml:space="preserve">        </w:t>
      </w:r>
      <w:r>
        <w:rPr>
          <w:rFonts w:hint="eastAsia" w:ascii="宋体" w:hAnsi="宋体"/>
          <w:color w:val="auto"/>
          <w:sz w:val="21"/>
          <w:szCs w:val="21"/>
          <w:highlight w:val="none"/>
        </w:rPr>
        <w:t>交易平台</w:t>
      </w:r>
      <w:r>
        <w:rPr>
          <w:rFonts w:hint="eastAsia" w:ascii="宋体"/>
          <w:color w:val="auto"/>
          <w:sz w:val="21"/>
          <w:szCs w:val="16"/>
          <w:highlight w:val="none"/>
        </w:rPr>
        <w:t>发布，视作已发放给所有投标人，以</w:t>
      </w:r>
      <w:r>
        <w:rPr>
          <w:color w:val="auto"/>
          <w:sz w:val="21"/>
          <w:szCs w:val="21"/>
          <w:highlight w:val="none"/>
          <w:u w:val="single"/>
        </w:rPr>
        <w:t xml:space="preserve">        </w:t>
      </w:r>
      <w:r>
        <w:rPr>
          <w:rFonts w:hint="eastAsia" w:ascii="宋体" w:hAnsi="宋体"/>
          <w:color w:val="auto"/>
          <w:sz w:val="21"/>
          <w:szCs w:val="21"/>
          <w:highlight w:val="none"/>
        </w:rPr>
        <w:t>交易平台</w:t>
      </w:r>
      <w:r>
        <w:rPr>
          <w:rFonts w:hint="eastAsia" w:ascii="宋体"/>
          <w:color w:val="auto"/>
          <w:sz w:val="21"/>
          <w:szCs w:val="16"/>
          <w:highlight w:val="none"/>
        </w:rPr>
        <w:t>上网发布时间作为送达时间</w:t>
      </w:r>
      <w:r>
        <w:rPr>
          <w:rFonts w:hint="eastAsia" w:ascii="宋体" w:hAnsi="宋体" w:eastAsia="宋体" w:cs="宋体"/>
          <w:color w:val="auto"/>
          <w:sz w:val="18"/>
          <w:szCs w:val="13"/>
          <w:highlight w:val="none"/>
        </w:rPr>
        <w:t>。</w:t>
      </w:r>
    </w:p>
    <w:p w14:paraId="42BE4B44">
      <w:pPr>
        <w:pBdr>
          <w:bottom w:val="single" w:color="auto" w:sz="6" w:space="1"/>
        </w:pBdr>
        <w:spacing w:line="360" w:lineRule="auto"/>
        <w:ind w:firstLine="424" w:firstLineChars="201"/>
        <w:rPr>
          <w:rFonts w:hint="eastAsia" w:ascii="宋体" w:hAnsi="宋体" w:eastAsia="宋体" w:cs="宋体"/>
          <w:color w:val="auto"/>
          <w:highlight w:val="none"/>
        </w:rPr>
      </w:pPr>
      <w:r>
        <w:rPr>
          <w:rFonts w:hint="eastAsia" w:ascii="宋体" w:hAnsi="宋体" w:eastAsia="宋体" w:cs="宋体"/>
          <w:b/>
          <w:color w:val="auto"/>
          <w:szCs w:val="21"/>
          <w:highlight w:val="none"/>
        </w:rPr>
        <w:t>现文：</w:t>
      </w:r>
      <w:r>
        <w:rPr>
          <w:rFonts w:hint="eastAsia" w:ascii="宋体" w:hAnsi="宋体" w:eastAsia="宋体" w:cs="宋体"/>
          <w:b/>
          <w:bCs/>
          <w:color w:val="auto"/>
          <w:szCs w:val="21"/>
          <w:highlight w:val="none"/>
        </w:rPr>
        <w:t>9.2</w:t>
      </w:r>
      <w:r>
        <w:rPr>
          <w:rFonts w:hint="eastAsia" w:ascii="宋体" w:hAnsi="宋体" w:eastAsia="宋体" w:cs="宋体"/>
          <w:color w:val="auto"/>
          <w:szCs w:val="21"/>
          <w:highlight w:val="none"/>
        </w:rPr>
        <w:t>招标文件的澄清或修改将在</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Cs w:val="21"/>
          <w:highlight w:val="none"/>
        </w:rPr>
        <w:t>交易平台“</w:t>
      </w:r>
      <w:r>
        <w:rPr>
          <w:rFonts w:hint="eastAsia" w:ascii="宋体" w:hAnsi="宋体" w:eastAsia="宋体" w:cs="宋体"/>
          <w:color w:val="auto"/>
          <w:szCs w:val="21"/>
          <w:highlight w:val="none"/>
          <w:u w:val="single"/>
        </w:rPr>
        <w:t>项目查询（日程安排、答疑纪要</w:t>
      </w:r>
      <w:r>
        <w:rPr>
          <w:rFonts w:hint="eastAsia" w:ascii="宋体" w:hAnsi="宋体" w:eastAsia="宋体" w:cs="宋体"/>
          <w:color w:val="auto"/>
          <w:szCs w:val="21"/>
          <w:highlight w:val="none"/>
        </w:rPr>
        <w:t>）”专区公开发布。答疑纪要一经在</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Cs w:val="21"/>
          <w:highlight w:val="none"/>
        </w:rPr>
        <w:t>交易平台发布，视作已发放给所有投标人，以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Cs w:val="21"/>
          <w:highlight w:val="none"/>
        </w:rPr>
        <w:t>交易平台上网发布时间作为送达时间。</w:t>
      </w:r>
    </w:p>
    <w:p w14:paraId="5723C61A">
      <w:pPr>
        <w:spacing w:line="360" w:lineRule="auto"/>
        <w:ind w:firstLine="211" w:firstLineChars="100"/>
        <w:rPr>
          <w:rFonts w:hint="eastAsia" w:ascii="宋体" w:hAnsi="宋体" w:eastAsia="宋体" w:cs="宋体"/>
          <w:b/>
          <w:color w:val="auto"/>
          <w:szCs w:val="21"/>
          <w:highlight w:val="none"/>
        </w:rPr>
      </w:pPr>
    </w:p>
    <w:p w14:paraId="7A3EA1D8">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条款号：9.</w:t>
      </w: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 xml:space="preserve">             修改类型：修改</w:t>
      </w:r>
    </w:p>
    <w:p w14:paraId="5B07529B">
      <w:pPr>
        <w:pStyle w:val="35"/>
        <w:spacing w:after="0" w:line="360" w:lineRule="auto"/>
        <w:ind w:firstLine="422" w:firstLineChars="200"/>
        <w:rPr>
          <w:rFonts w:hint="eastAsia" w:ascii="宋体" w:hAnsi="宋体" w:eastAsia="宋体" w:cs="宋体"/>
          <w:color w:val="auto"/>
          <w:sz w:val="24"/>
          <w:highlight w:val="none"/>
        </w:rPr>
      </w:pPr>
      <w:r>
        <w:rPr>
          <w:rFonts w:hint="eastAsia" w:ascii="宋体" w:hAnsi="宋体" w:eastAsia="宋体" w:cs="宋体"/>
          <w:b/>
          <w:color w:val="auto"/>
          <w:szCs w:val="21"/>
          <w:highlight w:val="none"/>
        </w:rPr>
        <w:t>原文：</w:t>
      </w:r>
      <w:r>
        <w:rPr>
          <w:rFonts w:hint="eastAsia" w:ascii="宋体" w:hAnsi="宋体" w:eastAsia="宋体" w:cs="宋体"/>
          <w:b/>
          <w:bCs/>
          <w:color w:val="auto"/>
          <w:szCs w:val="21"/>
          <w:highlight w:val="none"/>
        </w:rPr>
        <w:t>9.</w:t>
      </w:r>
      <w:r>
        <w:rPr>
          <w:rFonts w:hint="eastAsia" w:ascii="宋体" w:hAnsi="宋体" w:eastAsia="宋体" w:cs="宋体"/>
          <w:b/>
          <w:bCs/>
          <w:color w:val="auto"/>
          <w:szCs w:val="21"/>
          <w:highlight w:val="none"/>
          <w:lang w:val="en-US" w:eastAsia="zh-CN"/>
        </w:rPr>
        <w:t>4</w:t>
      </w:r>
      <w:r>
        <w:rPr>
          <w:rFonts w:hint="eastAsia" w:ascii="宋体" w:hAnsi="宋体" w:eastAsia="宋体" w:cs="宋体"/>
          <w:color w:val="auto"/>
          <w:sz w:val="21"/>
          <w:szCs w:val="16"/>
          <w:highlight w:val="none"/>
        </w:rPr>
        <w:t>招标文件的澄清或修改均以</w:t>
      </w:r>
      <w:r>
        <w:rPr>
          <w:rFonts w:hint="eastAsia" w:ascii="宋体" w:hAnsi="宋体" w:eastAsia="宋体" w:cs="宋体"/>
          <w:color w:val="auto"/>
          <w:sz w:val="21"/>
          <w:szCs w:val="16"/>
          <w:highlight w:val="none"/>
          <w:u w:val="single"/>
          <w:lang w:val="en-US" w:eastAsia="zh-CN"/>
        </w:rPr>
        <w:t xml:space="preserve">          </w:t>
      </w:r>
      <w:r>
        <w:rPr>
          <w:rFonts w:hint="eastAsia" w:ascii="宋体" w:hAnsi="宋体" w:eastAsia="宋体" w:cs="宋体"/>
          <w:color w:val="auto"/>
          <w:sz w:val="21"/>
          <w:szCs w:val="16"/>
          <w:highlight w:val="none"/>
          <w:u w:val="single"/>
          <w:lang w:eastAsia="zh-CN"/>
        </w:rPr>
        <w:t>网站</w:t>
      </w:r>
      <w:r>
        <w:rPr>
          <w:rFonts w:hint="eastAsia" w:ascii="宋体" w:hAnsi="宋体" w:eastAsia="宋体" w:cs="宋体"/>
          <w:color w:val="auto"/>
          <w:sz w:val="21"/>
          <w:szCs w:val="16"/>
          <w:highlight w:val="none"/>
        </w:rPr>
        <w:t>发布的内容为准。当招标文件的澄清、修改、补充等在同一内容的表述不一致时，以最后发出的书面形式的文件为准。</w:t>
      </w:r>
    </w:p>
    <w:p w14:paraId="64B68654">
      <w:pPr>
        <w:pBdr>
          <w:bottom w:val="single" w:color="auto" w:sz="6" w:space="1"/>
        </w:pBdr>
        <w:spacing w:line="360" w:lineRule="auto"/>
        <w:ind w:firstLine="424" w:firstLineChars="201"/>
        <w:rPr>
          <w:rFonts w:hint="eastAsia" w:ascii="宋体" w:hAnsi="宋体" w:eastAsia="宋体" w:cs="宋体"/>
          <w:color w:val="auto"/>
          <w:highlight w:val="none"/>
        </w:rPr>
      </w:pPr>
      <w:r>
        <w:rPr>
          <w:rFonts w:hint="eastAsia" w:ascii="宋体" w:hAnsi="宋体" w:eastAsia="宋体" w:cs="宋体"/>
          <w:b/>
          <w:color w:val="auto"/>
          <w:szCs w:val="21"/>
          <w:highlight w:val="none"/>
        </w:rPr>
        <w:t>现文：</w:t>
      </w:r>
      <w:r>
        <w:rPr>
          <w:rFonts w:hint="eastAsia" w:ascii="宋体" w:hAnsi="宋体" w:eastAsia="宋体" w:cs="宋体"/>
          <w:b/>
          <w:bCs/>
          <w:color w:val="auto"/>
          <w:szCs w:val="21"/>
          <w:highlight w:val="none"/>
        </w:rPr>
        <w:t>9.</w:t>
      </w:r>
      <w:r>
        <w:rPr>
          <w:rFonts w:hint="eastAsia" w:ascii="宋体" w:hAnsi="宋体" w:eastAsia="宋体" w:cs="宋体"/>
          <w:b/>
          <w:bCs/>
          <w:color w:val="auto"/>
          <w:szCs w:val="21"/>
          <w:highlight w:val="none"/>
          <w:lang w:val="en-US" w:eastAsia="zh-CN"/>
        </w:rPr>
        <w:t>4</w:t>
      </w:r>
      <w:r>
        <w:rPr>
          <w:rFonts w:hint="eastAsia" w:ascii="宋体" w:hAnsi="宋体" w:eastAsia="宋体" w:cs="宋体"/>
          <w:color w:val="auto"/>
          <w:sz w:val="21"/>
          <w:szCs w:val="16"/>
          <w:highlight w:val="none"/>
        </w:rPr>
        <w:t>招标文件的澄清或修改均以</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16"/>
          <w:highlight w:val="none"/>
          <w:u w:val="single"/>
          <w:lang w:eastAsia="zh-CN"/>
        </w:rPr>
        <w:t>网站</w:t>
      </w:r>
      <w:r>
        <w:rPr>
          <w:rFonts w:hint="eastAsia" w:ascii="宋体" w:hAnsi="宋体" w:eastAsia="宋体" w:cs="宋体"/>
          <w:color w:val="auto"/>
          <w:sz w:val="21"/>
          <w:szCs w:val="16"/>
          <w:highlight w:val="none"/>
        </w:rPr>
        <w:t>发布的内容为准。当招标文件的澄清、修改、补充等在同一内容的表述不一致时，以最后发出的</w:t>
      </w:r>
      <w:r>
        <w:rPr>
          <w:rFonts w:hint="eastAsia" w:ascii="宋体" w:hAnsi="宋体" w:eastAsia="宋体" w:cs="宋体"/>
          <w:color w:val="auto"/>
          <w:sz w:val="21"/>
          <w:szCs w:val="16"/>
          <w:highlight w:val="none"/>
          <w:u w:val="single"/>
        </w:rPr>
        <w:t>文件</w:t>
      </w:r>
      <w:r>
        <w:rPr>
          <w:rFonts w:hint="eastAsia" w:ascii="宋体" w:hAnsi="宋体" w:eastAsia="宋体" w:cs="宋体"/>
          <w:color w:val="auto"/>
          <w:sz w:val="21"/>
          <w:szCs w:val="16"/>
          <w:highlight w:val="none"/>
        </w:rPr>
        <w:t>为准</w:t>
      </w:r>
      <w:r>
        <w:rPr>
          <w:rFonts w:hint="eastAsia" w:ascii="宋体" w:hAnsi="宋体" w:eastAsia="宋体" w:cs="宋体"/>
          <w:color w:val="auto"/>
          <w:szCs w:val="21"/>
          <w:highlight w:val="none"/>
        </w:rPr>
        <w:t>。</w:t>
      </w:r>
    </w:p>
    <w:p w14:paraId="6193573C">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11.1</w:t>
      </w:r>
      <w:r>
        <w:rPr>
          <w:rFonts w:hint="eastAsia" w:ascii="宋体" w:hAnsi="宋体" w:eastAsia="宋体" w:cs="宋体"/>
          <w:b/>
          <w:color w:val="auto"/>
          <w:szCs w:val="21"/>
          <w:highlight w:val="none"/>
        </w:rPr>
        <w:t xml:space="preserve">             修改类型：修改</w:t>
      </w:r>
    </w:p>
    <w:p w14:paraId="69A1DE54">
      <w:pPr>
        <w:pStyle w:val="35"/>
        <w:spacing w:after="0" w:line="360" w:lineRule="auto"/>
        <w:ind w:firstLine="422" w:firstLineChars="200"/>
        <w:rPr>
          <w:rFonts w:hint="eastAsia" w:ascii="宋体" w:hAnsi="宋体" w:eastAsia="宋体" w:cs="宋体"/>
          <w:color w:val="auto"/>
          <w:sz w:val="24"/>
          <w:highlight w:val="none"/>
        </w:rPr>
      </w:pPr>
      <w:r>
        <w:rPr>
          <w:rFonts w:hint="eastAsia" w:ascii="宋体" w:hAnsi="宋体" w:eastAsia="宋体" w:cs="宋体"/>
          <w:b/>
          <w:color w:val="auto"/>
          <w:szCs w:val="21"/>
          <w:highlight w:val="none"/>
        </w:rPr>
        <w:t>原文：</w:t>
      </w:r>
      <w:r>
        <w:rPr>
          <w:rFonts w:hint="eastAsia" w:ascii="宋体" w:hAnsi="宋体" w:eastAsia="宋体" w:cs="宋体"/>
          <w:b w:val="0"/>
          <w:bCs/>
          <w:color w:val="auto"/>
          <w:szCs w:val="21"/>
          <w:highlight w:val="none"/>
        </w:rPr>
        <w:t>11.1投标文件由技术部分（含资格审查文件）和经济部分二部分投标文件组成。</w:t>
      </w:r>
    </w:p>
    <w:p w14:paraId="2B02F6E5">
      <w:pPr>
        <w:pBdr>
          <w:bottom w:val="single" w:color="auto" w:sz="6" w:space="1"/>
        </w:pBdr>
        <w:spacing w:line="360" w:lineRule="auto"/>
        <w:ind w:firstLine="424" w:firstLineChars="201"/>
        <w:rPr>
          <w:rFonts w:hint="eastAsia" w:ascii="宋体" w:hAnsi="宋体" w:eastAsia="宋体" w:cs="宋体"/>
          <w:color w:val="auto"/>
          <w:highlight w:val="none"/>
        </w:rPr>
      </w:pPr>
      <w:r>
        <w:rPr>
          <w:rFonts w:hint="eastAsia" w:ascii="宋体" w:hAnsi="宋体" w:eastAsia="宋体" w:cs="宋体"/>
          <w:b/>
          <w:color w:val="auto"/>
          <w:szCs w:val="21"/>
          <w:highlight w:val="none"/>
        </w:rPr>
        <w:t>现文：</w:t>
      </w:r>
      <w:r>
        <w:rPr>
          <w:rFonts w:hint="eastAsia" w:ascii="宋体" w:hAnsi="宋体" w:eastAsia="宋体" w:cs="宋体"/>
          <w:b w:val="0"/>
          <w:bCs/>
          <w:color w:val="auto"/>
          <w:szCs w:val="21"/>
          <w:highlight w:val="none"/>
          <w:u w:val="single"/>
        </w:rPr>
        <w:t>11.1投标文件由技术部分（含资格审查文件）和经济部分、定标文件组成，其中定标文件组成详见11.4条。</w:t>
      </w:r>
    </w:p>
    <w:p w14:paraId="5BCE7226">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11.2</w:t>
      </w:r>
      <w:r>
        <w:rPr>
          <w:rFonts w:hint="eastAsia" w:ascii="宋体" w:hAnsi="宋体" w:eastAsia="宋体" w:cs="宋体"/>
          <w:b/>
          <w:color w:val="auto"/>
          <w:szCs w:val="21"/>
          <w:highlight w:val="none"/>
        </w:rPr>
        <w:t xml:space="preserve">             修改类型：修改</w:t>
      </w:r>
    </w:p>
    <w:p w14:paraId="68F0A3F1">
      <w:pPr>
        <w:spacing w:line="360" w:lineRule="auto"/>
        <w:ind w:firstLine="422" w:firstLineChars="200"/>
        <w:rPr>
          <w:rFonts w:hint="eastAsia" w:ascii="宋体" w:hAnsi="宋体" w:eastAsia="宋体" w:cs="宋体"/>
          <w:bCs/>
          <w:color w:val="auto"/>
          <w:sz w:val="21"/>
          <w:szCs w:val="21"/>
          <w:highlight w:val="none"/>
          <w:u w:val="single"/>
        </w:rPr>
      </w:pPr>
      <w:r>
        <w:rPr>
          <w:rFonts w:hint="eastAsia" w:ascii="宋体" w:hAnsi="宋体" w:eastAsia="宋体" w:cs="宋体"/>
          <w:b/>
          <w:color w:val="auto"/>
          <w:szCs w:val="21"/>
          <w:highlight w:val="none"/>
        </w:rPr>
        <w:t>原文：</w:t>
      </w:r>
      <w:r>
        <w:rPr>
          <w:rFonts w:hint="eastAsia" w:ascii="宋体" w:hAnsi="宋体" w:eastAsia="宋体" w:cs="宋体"/>
          <w:b/>
          <w:bCs/>
          <w:color w:val="auto"/>
          <w:sz w:val="21"/>
          <w:szCs w:val="21"/>
          <w:highlight w:val="none"/>
          <w:lang w:val="en-US" w:eastAsia="zh-CN"/>
        </w:rPr>
        <w:t>11.2</w:t>
      </w:r>
      <w:r>
        <w:rPr>
          <w:rFonts w:hint="eastAsia" w:ascii="宋体" w:hAnsi="宋体" w:eastAsia="宋体" w:cs="宋体"/>
          <w:bCs/>
          <w:color w:val="auto"/>
          <w:sz w:val="21"/>
          <w:szCs w:val="21"/>
          <w:highlight w:val="none"/>
          <w:u w:val="single"/>
        </w:rPr>
        <w:t>投标文件</w:t>
      </w:r>
      <w:r>
        <w:rPr>
          <w:rFonts w:hint="eastAsia" w:ascii="宋体" w:hAnsi="宋体" w:eastAsia="宋体" w:cs="宋体"/>
          <w:bCs/>
          <w:color w:val="auto"/>
          <w:sz w:val="21"/>
          <w:szCs w:val="21"/>
          <w:highlight w:val="none"/>
          <w:u w:val="single"/>
          <w:lang w:eastAsia="zh-CN"/>
        </w:rPr>
        <w:t>技术标</w:t>
      </w:r>
      <w:r>
        <w:rPr>
          <w:rFonts w:hint="eastAsia" w:ascii="宋体" w:hAnsi="宋体" w:eastAsia="宋体" w:cs="宋体"/>
          <w:bCs/>
          <w:color w:val="auto"/>
          <w:sz w:val="21"/>
          <w:szCs w:val="21"/>
          <w:highlight w:val="none"/>
          <w:u w:val="single"/>
        </w:rPr>
        <w:t>部分主要包括下列内容:</w:t>
      </w:r>
    </w:p>
    <w:p w14:paraId="1C1A2CF1">
      <w:pPr>
        <w:pStyle w:val="19"/>
        <w:spacing w:line="360" w:lineRule="auto"/>
        <w:ind w:firstLine="480"/>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u w:val="single"/>
          <w:lang w:val="en-US" w:eastAsia="zh-CN"/>
        </w:rPr>
        <w:t>11.2.1资格审查文件</w:t>
      </w:r>
    </w:p>
    <w:p w14:paraId="7CB225D6">
      <w:pPr>
        <w:numPr>
          <w:ilvl w:val="0"/>
          <w:numId w:val="4"/>
        </w:num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投标人声明</w:t>
      </w:r>
      <w:r>
        <w:rPr>
          <w:rFonts w:hint="eastAsia" w:ascii="宋体" w:hAnsi="宋体" w:eastAsia="宋体" w:cs="宋体"/>
          <w:bCs/>
          <w:color w:val="auto"/>
          <w:sz w:val="21"/>
          <w:szCs w:val="21"/>
          <w:highlight w:val="none"/>
          <w:u w:val="single"/>
          <w:lang w:val="en-US" w:eastAsia="zh-CN"/>
        </w:rPr>
        <w:t>；</w:t>
      </w:r>
    </w:p>
    <w:p w14:paraId="3B0EEC68">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（2）法定代表人证明书、法定代表人签字或盖章的本投标文件授权委托证明书</w:t>
      </w:r>
      <w:r>
        <w:rPr>
          <w:rFonts w:hint="eastAsia" w:ascii="宋体" w:hAnsi="宋体" w:eastAsia="宋体" w:cs="宋体"/>
          <w:bCs/>
          <w:color w:val="auto"/>
          <w:sz w:val="21"/>
          <w:szCs w:val="21"/>
          <w:highlight w:val="none"/>
          <w:u w:val="single"/>
          <w:lang w:eastAsia="zh-CN"/>
        </w:rPr>
        <w:t>；</w:t>
      </w:r>
    </w:p>
    <w:p w14:paraId="24F63E35">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（3）企业营业执照</w:t>
      </w:r>
      <w:r>
        <w:rPr>
          <w:rFonts w:hint="eastAsia" w:ascii="宋体" w:hAnsi="宋体" w:eastAsia="宋体" w:cs="宋体"/>
          <w:bCs/>
          <w:color w:val="auto"/>
          <w:sz w:val="21"/>
          <w:szCs w:val="21"/>
          <w:highlight w:val="none"/>
          <w:u w:val="single"/>
          <w:lang w:eastAsia="zh-CN"/>
        </w:rPr>
        <w:t>；</w:t>
      </w:r>
    </w:p>
    <w:p w14:paraId="2621AF70">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（4）企业资质证书</w:t>
      </w:r>
      <w:r>
        <w:rPr>
          <w:rFonts w:hint="eastAsia" w:ascii="宋体" w:hAnsi="宋体" w:eastAsia="宋体" w:cs="宋体"/>
          <w:bCs/>
          <w:color w:val="auto"/>
          <w:sz w:val="21"/>
          <w:szCs w:val="21"/>
          <w:highlight w:val="none"/>
          <w:u w:val="single"/>
          <w:lang w:eastAsia="zh-CN"/>
        </w:rPr>
        <w:t>；</w:t>
      </w:r>
    </w:p>
    <w:p w14:paraId="4969CF6D">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（5）建筑施工企业安全生产许可证</w:t>
      </w:r>
      <w:r>
        <w:rPr>
          <w:rFonts w:hint="eastAsia" w:ascii="宋体" w:hAnsi="宋体" w:eastAsia="宋体" w:cs="宋体"/>
          <w:bCs/>
          <w:color w:val="auto"/>
          <w:sz w:val="21"/>
          <w:szCs w:val="21"/>
          <w:highlight w:val="none"/>
          <w:u w:val="single"/>
          <w:lang w:eastAsia="zh-CN"/>
        </w:rPr>
        <w:t>；</w:t>
      </w:r>
    </w:p>
    <w:p w14:paraId="7794E58D">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（6）项目负责人（按网上投标登记时选择拟投标的项目负责人</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color w:val="auto"/>
          <w:sz w:val="21"/>
          <w:szCs w:val="21"/>
          <w:highlight w:val="none"/>
          <w:u w:val="single"/>
        </w:rPr>
        <w:t>投标人须在广州市交通建设项目企业信息库建立企业信用信息档案，拟担任本工程项目负责人须是本企业信息档案中的在册人员</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eastAsia="zh-CN"/>
        </w:rPr>
        <w:t>；</w:t>
      </w:r>
    </w:p>
    <w:p w14:paraId="501C35EC">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（7）专职安全员（按网上投标登记时选择拟投标的专职安全员</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color w:val="auto"/>
          <w:sz w:val="21"/>
          <w:szCs w:val="21"/>
          <w:highlight w:val="none"/>
          <w:u w:val="single"/>
        </w:rPr>
        <w:t>投标人须在广州市交通建设项目企业信息库建立企业信用信息档案，拟担任本工程专职安全员须是本企业信息档案中的在册人员</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eastAsia="zh-CN"/>
        </w:rPr>
        <w:t>；</w:t>
      </w:r>
    </w:p>
    <w:p w14:paraId="7C92E013">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（8）拟委派项目负责人的建造师注册证书（取自</w:t>
      </w:r>
      <w:r>
        <w:rPr>
          <w:rFonts w:hint="eastAsia" w:ascii="宋体" w:hAnsi="宋体" w:eastAsia="宋体" w:cs="宋体"/>
          <w:color w:val="auto"/>
          <w:sz w:val="21"/>
          <w:szCs w:val="21"/>
          <w:highlight w:val="none"/>
          <w:u w:val="single"/>
        </w:rPr>
        <w:t>广州市交通建设项目企业信息库</w:t>
      </w:r>
      <w:r>
        <w:rPr>
          <w:rFonts w:hint="eastAsia" w:ascii="宋体" w:hAnsi="宋体" w:eastAsia="宋体" w:cs="宋体"/>
          <w:bCs/>
          <w:color w:val="auto"/>
          <w:sz w:val="21"/>
          <w:szCs w:val="21"/>
          <w:highlight w:val="none"/>
          <w:u w:val="single"/>
        </w:rPr>
        <w:t xml:space="preserve">内上传件） </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 xml:space="preserve"> </w:t>
      </w:r>
    </w:p>
    <w:p w14:paraId="5BF851CA">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9</w:t>
      </w:r>
      <w:r>
        <w:rPr>
          <w:rFonts w:hint="eastAsia" w:ascii="宋体" w:hAnsi="宋体" w:eastAsia="宋体" w:cs="宋体"/>
          <w:bCs/>
          <w:color w:val="auto"/>
          <w:sz w:val="21"/>
          <w:szCs w:val="21"/>
          <w:highlight w:val="none"/>
          <w:u w:val="single"/>
        </w:rPr>
        <w:t>）项目负责人安全生产考核合格证明或在有效期内的安全考核合格证书（B类）或建筑施工企业项目负责人安全生产考核合格证书</w:t>
      </w:r>
      <w:r>
        <w:rPr>
          <w:rFonts w:hint="eastAsia" w:ascii="宋体" w:hAnsi="宋体" w:eastAsia="宋体" w:cs="宋体"/>
          <w:bCs/>
          <w:color w:val="auto"/>
          <w:sz w:val="21"/>
          <w:szCs w:val="21"/>
          <w:highlight w:val="none"/>
          <w:u w:val="single"/>
          <w:lang w:eastAsia="zh-CN"/>
        </w:rPr>
        <w:t>；</w:t>
      </w:r>
    </w:p>
    <w:p w14:paraId="3ADF9579">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10</w:t>
      </w:r>
      <w:r>
        <w:rPr>
          <w:rFonts w:hint="eastAsia" w:ascii="宋体" w:hAnsi="宋体" w:eastAsia="宋体" w:cs="宋体"/>
          <w:bCs/>
          <w:color w:val="auto"/>
          <w:sz w:val="21"/>
          <w:szCs w:val="21"/>
          <w:highlight w:val="none"/>
          <w:u w:val="single"/>
        </w:rPr>
        <w:t>）专职安全员须具有在有效期内的安全考核合格证书（C类）或建筑施工企业专职安全生产管理人员安全生产考核合格证书（C3）</w:t>
      </w:r>
      <w:r>
        <w:rPr>
          <w:rFonts w:hint="eastAsia" w:ascii="宋体" w:hAnsi="宋体" w:eastAsia="宋体" w:cs="宋体"/>
          <w:bCs/>
          <w:color w:val="auto"/>
          <w:sz w:val="21"/>
          <w:szCs w:val="21"/>
          <w:highlight w:val="none"/>
          <w:u w:val="single"/>
          <w:lang w:eastAsia="zh-CN"/>
        </w:rPr>
        <w:t>；</w:t>
      </w:r>
    </w:p>
    <w:p w14:paraId="17BCBF90">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11</w:t>
      </w:r>
      <w:r>
        <w:rPr>
          <w:rFonts w:hint="eastAsia" w:ascii="宋体" w:hAnsi="宋体" w:eastAsia="宋体" w:cs="宋体"/>
          <w:bCs/>
          <w:color w:val="auto"/>
          <w:sz w:val="21"/>
          <w:szCs w:val="21"/>
          <w:highlight w:val="none"/>
          <w:u w:val="single"/>
        </w:rPr>
        <w:t>）用于资格审查的业绩（设置业绩要求时选择此项，</w:t>
      </w:r>
      <w:r>
        <w:rPr>
          <w:rFonts w:hint="eastAsia" w:ascii="宋体" w:hAnsi="宋体" w:eastAsia="宋体" w:cs="宋体"/>
          <w:color w:val="auto"/>
          <w:sz w:val="21"/>
          <w:szCs w:val="21"/>
          <w:highlight w:val="none"/>
          <w:u w:val="single"/>
        </w:rPr>
        <w:t>具体格式由招标人自定</w:t>
      </w:r>
      <w:r>
        <w:rPr>
          <w:rFonts w:hint="eastAsia" w:ascii="宋体" w:hAnsi="宋体" w:eastAsia="宋体" w:cs="宋体"/>
          <w:bCs/>
          <w:color w:val="auto"/>
          <w:sz w:val="21"/>
          <w:szCs w:val="21"/>
          <w:highlight w:val="none"/>
          <w:u w:val="single"/>
        </w:rPr>
        <w:t>）</w:t>
      </w:r>
    </w:p>
    <w:p w14:paraId="19D5E322">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12</w:t>
      </w:r>
      <w:r>
        <w:rPr>
          <w:rFonts w:hint="eastAsia" w:ascii="宋体" w:hAnsi="宋体" w:eastAsia="宋体" w:cs="宋体"/>
          <w:bCs/>
          <w:color w:val="auto"/>
          <w:sz w:val="21"/>
          <w:szCs w:val="21"/>
          <w:highlight w:val="none"/>
          <w:u w:val="single"/>
        </w:rPr>
        <w:t>）列明主办单位的联合体工作协议（采用联合体投标时需递交，</w:t>
      </w:r>
      <w:r>
        <w:rPr>
          <w:rFonts w:hint="eastAsia" w:ascii="宋体" w:hAnsi="宋体" w:eastAsia="宋体" w:cs="宋体"/>
          <w:color w:val="auto"/>
          <w:sz w:val="21"/>
          <w:szCs w:val="21"/>
          <w:highlight w:val="none"/>
          <w:u w:val="single"/>
        </w:rPr>
        <w:t>联合体工作协议应明确约定各方拟承担的工作和责任</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eastAsia="zh-CN"/>
        </w:rPr>
        <w:t>；</w:t>
      </w:r>
    </w:p>
    <w:p w14:paraId="5E2AD566">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lang w:val="en-US" w:eastAsia="zh-CN"/>
        </w:rPr>
        <w:t>13）投标人认为应提交的其他资料</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w:t>
      </w:r>
    </w:p>
    <w:p w14:paraId="01FB911E">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w:t>
      </w:r>
      <w:r>
        <w:rPr>
          <w:rFonts w:hint="eastAsia" w:ascii="宋体" w:hAnsi="宋体" w:eastAsia="宋体" w:cs="宋体"/>
          <w:color w:val="auto"/>
          <w:sz w:val="21"/>
          <w:szCs w:val="21"/>
          <w:highlight w:val="none"/>
          <w:u w:val="single"/>
          <w:lang w:val="en-US" w:eastAsia="zh-CN"/>
        </w:rPr>
        <w:t>2.2</w:t>
      </w:r>
      <w:r>
        <w:rPr>
          <w:rFonts w:hint="eastAsia" w:ascii="宋体" w:hAnsi="宋体" w:eastAsia="宋体" w:cs="宋体"/>
          <w:color w:val="auto"/>
          <w:sz w:val="21"/>
          <w:szCs w:val="21"/>
          <w:highlight w:val="none"/>
          <w:u w:val="single"/>
        </w:rPr>
        <w:t>技术投标文件主要包括下列内容：</w:t>
      </w:r>
    </w:p>
    <w:p w14:paraId="40D30B7A">
      <w:pPr>
        <w:numPr>
          <w:ilvl w:val="0"/>
          <w:numId w:val="5"/>
        </w:num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u w:val="single"/>
          <w:lang w:eastAsia="zh-CN"/>
        </w:rPr>
        <w:t>《广州建设工程施工招标投标书》；</w:t>
      </w:r>
    </w:p>
    <w:p w14:paraId="4E7BCA16">
      <w:pPr>
        <w:numPr>
          <w:ilvl w:val="0"/>
          <w:numId w:val="5"/>
        </w:num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项目管理机构配备：</w:t>
      </w:r>
    </w:p>
    <w:p w14:paraId="1B81ABBD">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①投标人应列出该项目工程的施工组织机构构成和画出机构框架图及其负责人；</w:t>
      </w:r>
    </w:p>
    <w:p w14:paraId="113CD27F">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②投标人应详细列出该施工组织机构中主要成员的名单、简历资料、职务职称和在本项目中拟担任的职务等资料，并附上有关证明材料扫描件；</w:t>
      </w:r>
    </w:p>
    <w:p w14:paraId="47779C2C">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③其他辅助说明资料。</w:t>
      </w:r>
    </w:p>
    <w:p w14:paraId="23B622EA">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）施工组织设计或施工方案</w:t>
      </w:r>
      <w:r>
        <w:rPr>
          <w:rFonts w:hint="eastAsia" w:ascii="宋体" w:hAnsi="宋体" w:eastAsia="宋体" w:cs="宋体"/>
          <w:color w:val="auto"/>
          <w:sz w:val="21"/>
          <w:szCs w:val="21"/>
          <w:highlight w:val="none"/>
          <w:u w:val="single"/>
          <w:lang w:eastAsia="zh-CN"/>
        </w:rPr>
        <w:t>；</w:t>
      </w:r>
    </w:p>
    <w:p w14:paraId="589C38A1">
      <w:pPr>
        <w:pStyle w:val="7"/>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注：建议招标人在招标文件中提出</w:t>
      </w:r>
      <w:r>
        <w:rPr>
          <w:rFonts w:hint="eastAsia" w:ascii="宋体" w:hAnsi="宋体" w:eastAsia="宋体" w:cs="宋体"/>
          <w:bCs w:val="0"/>
          <w:color w:val="auto"/>
          <w:kern w:val="2"/>
          <w:sz w:val="21"/>
          <w:szCs w:val="21"/>
          <w:highlight w:val="none"/>
          <w:u w:val="single"/>
        </w:rPr>
        <w:t>篇幅上限</w:t>
      </w:r>
      <w:r>
        <w:rPr>
          <w:rFonts w:hint="eastAsia" w:ascii="宋体" w:hAnsi="宋体" w:eastAsia="宋体" w:cs="宋体"/>
          <w:bCs w:val="0"/>
          <w:color w:val="auto"/>
          <w:kern w:val="2"/>
          <w:sz w:val="21"/>
          <w:szCs w:val="21"/>
          <w:highlight w:val="none"/>
          <w:u w:val="single"/>
          <w:lang w:eastAsia="zh-CN"/>
        </w:rPr>
        <w:t>，国家及地方现有工法规范已有的内容</w:t>
      </w:r>
      <w:r>
        <w:rPr>
          <w:rFonts w:hint="eastAsia" w:ascii="宋体" w:hAnsi="宋体" w:eastAsia="宋体" w:cs="宋体"/>
          <w:bCs w:val="0"/>
          <w:color w:val="auto"/>
          <w:kern w:val="2"/>
          <w:sz w:val="21"/>
          <w:szCs w:val="21"/>
          <w:highlight w:val="none"/>
          <w:u w:val="single"/>
          <w:lang w:val="en-US" w:eastAsia="zh-CN"/>
        </w:rPr>
        <w:t>无需重复提交</w:t>
      </w:r>
      <w:r>
        <w:rPr>
          <w:rFonts w:hint="eastAsia" w:ascii="宋体" w:hAnsi="宋体" w:eastAsia="宋体" w:cs="宋体"/>
          <w:bCs w:val="0"/>
          <w:color w:val="auto"/>
          <w:kern w:val="2"/>
          <w:sz w:val="21"/>
          <w:szCs w:val="21"/>
          <w:highlight w:val="none"/>
          <w:u w:val="single"/>
        </w:rPr>
        <w:t>。</w:t>
      </w:r>
    </w:p>
    <w:p w14:paraId="1BD13A18">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4）（选择性条款）</w:t>
      </w:r>
      <w:r>
        <w:rPr>
          <w:rFonts w:hint="eastAsia" w:ascii="宋体" w:hAnsi="宋体" w:eastAsia="宋体" w:cs="宋体"/>
          <w:color w:val="auto"/>
          <w:sz w:val="21"/>
          <w:szCs w:val="21"/>
          <w:highlight w:val="none"/>
          <w:u w:val="single"/>
        </w:rPr>
        <w:t>有余泥渣土产生的项目</w:t>
      </w:r>
      <w:r>
        <w:rPr>
          <w:rFonts w:hint="eastAsia" w:ascii="宋体" w:hAnsi="宋体" w:eastAsia="宋体" w:cs="宋体"/>
          <w:color w:val="auto"/>
          <w:sz w:val="21"/>
          <w:szCs w:val="21"/>
          <w:highlight w:val="none"/>
          <w:u w:val="single"/>
          <w:lang w:eastAsia="zh-CN"/>
        </w:rPr>
        <w:t>可要求提供</w:t>
      </w:r>
      <w:r>
        <w:rPr>
          <w:rFonts w:hint="eastAsia" w:ascii="宋体" w:hAnsi="宋体" w:eastAsia="宋体" w:cs="宋体"/>
          <w:color w:val="auto"/>
          <w:sz w:val="21"/>
          <w:szCs w:val="21"/>
          <w:highlight w:val="none"/>
          <w:u w:val="single"/>
        </w:rPr>
        <w:t>余泥渣土运输与排放方案</w:t>
      </w:r>
      <w:r>
        <w:rPr>
          <w:rFonts w:hint="eastAsia" w:ascii="宋体" w:hAnsi="宋体" w:eastAsia="宋体" w:cs="宋体"/>
          <w:color w:val="auto"/>
          <w:sz w:val="21"/>
          <w:szCs w:val="21"/>
          <w:highlight w:val="none"/>
          <w:u w:val="single"/>
          <w:lang w:eastAsia="zh-CN"/>
        </w:rPr>
        <w:t>；</w:t>
      </w:r>
    </w:p>
    <w:p w14:paraId="71B686EB">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（选择性条款）</w:t>
      </w:r>
      <w:r>
        <w:rPr>
          <w:rFonts w:hint="eastAsia" w:ascii="宋体" w:hAnsi="宋体" w:eastAsia="宋体" w:cs="宋体"/>
          <w:color w:val="auto"/>
          <w:sz w:val="21"/>
          <w:szCs w:val="21"/>
          <w:highlight w:val="none"/>
          <w:u w:val="single"/>
        </w:rPr>
        <w:t>投标人可使用适合本工程的机械设备</w:t>
      </w:r>
      <w:r>
        <w:rPr>
          <w:rFonts w:hint="eastAsia" w:ascii="宋体" w:hAnsi="宋体" w:eastAsia="宋体" w:cs="宋体"/>
          <w:color w:val="auto"/>
          <w:sz w:val="21"/>
          <w:szCs w:val="21"/>
          <w:highlight w:val="none"/>
          <w:u w:val="single"/>
          <w:lang w:eastAsia="zh-CN"/>
        </w:rPr>
        <w:t>；</w:t>
      </w:r>
    </w:p>
    <w:p w14:paraId="71038B11">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（选择性条款）</w:t>
      </w:r>
      <w:r>
        <w:rPr>
          <w:rFonts w:hint="eastAsia" w:ascii="宋体" w:hAnsi="宋体" w:eastAsia="宋体" w:cs="宋体"/>
          <w:color w:val="auto"/>
          <w:sz w:val="21"/>
          <w:szCs w:val="21"/>
          <w:highlight w:val="none"/>
          <w:u w:val="single"/>
        </w:rPr>
        <w:t>类似工程业绩材料</w:t>
      </w:r>
      <w:r>
        <w:rPr>
          <w:rFonts w:hint="eastAsia" w:ascii="宋体" w:hAnsi="宋体" w:eastAsia="宋体" w:cs="宋体"/>
          <w:color w:val="auto"/>
          <w:sz w:val="21"/>
          <w:szCs w:val="21"/>
          <w:highlight w:val="none"/>
          <w:u w:val="single"/>
          <w:lang w:eastAsia="zh-CN"/>
        </w:rPr>
        <w:t>；</w:t>
      </w:r>
    </w:p>
    <w:p w14:paraId="09CF7110">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）按本招标文件规定提交的其它所有技术资料</w:t>
      </w:r>
      <w:r>
        <w:rPr>
          <w:rFonts w:hint="eastAsia" w:ascii="宋体" w:hAnsi="宋体" w:eastAsia="宋体" w:cs="宋体"/>
          <w:color w:val="auto"/>
          <w:sz w:val="21"/>
          <w:szCs w:val="21"/>
          <w:highlight w:val="none"/>
          <w:u w:val="single"/>
          <w:lang w:eastAsia="zh-CN"/>
        </w:rPr>
        <w:t>；</w:t>
      </w:r>
    </w:p>
    <w:p w14:paraId="0E9FE6EA">
      <w:pPr>
        <w:pStyle w:val="35"/>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）按照招标文件要求填写的《参与编制技术标投标文件人员名单》。</w:t>
      </w:r>
    </w:p>
    <w:p w14:paraId="1A2EC214">
      <w:pPr>
        <w:spacing w:line="360" w:lineRule="auto"/>
        <w:ind w:firstLine="422" w:firstLineChars="200"/>
        <w:rPr>
          <w:rFonts w:hint="eastAsia" w:ascii="宋体" w:hAnsi="宋体" w:eastAsia="宋体" w:cs="宋体"/>
          <w:bCs/>
          <w:color w:val="auto"/>
          <w:sz w:val="21"/>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b/>
          <w:bCs/>
          <w:color w:val="auto"/>
          <w:sz w:val="21"/>
          <w:szCs w:val="21"/>
          <w:highlight w:val="none"/>
          <w:lang w:val="en-US" w:eastAsia="zh-CN"/>
        </w:rPr>
        <w:t>11.2</w:t>
      </w:r>
      <w:r>
        <w:rPr>
          <w:rFonts w:hint="eastAsia" w:ascii="宋体" w:hAnsi="宋体" w:eastAsia="宋体" w:cs="宋体"/>
          <w:bCs/>
          <w:color w:val="auto"/>
          <w:sz w:val="21"/>
          <w:szCs w:val="21"/>
          <w:highlight w:val="none"/>
          <w:u w:val="single"/>
        </w:rPr>
        <w:t>投标文件</w:t>
      </w:r>
      <w:r>
        <w:rPr>
          <w:rFonts w:hint="eastAsia" w:ascii="宋体" w:hAnsi="宋体" w:eastAsia="宋体" w:cs="宋体"/>
          <w:bCs/>
          <w:color w:val="auto"/>
          <w:sz w:val="21"/>
          <w:szCs w:val="21"/>
          <w:highlight w:val="none"/>
          <w:u w:val="single"/>
          <w:lang w:eastAsia="zh-CN"/>
        </w:rPr>
        <w:t>技术标</w:t>
      </w:r>
      <w:r>
        <w:rPr>
          <w:rFonts w:hint="eastAsia" w:ascii="宋体" w:hAnsi="宋体" w:eastAsia="宋体" w:cs="宋体"/>
          <w:bCs/>
          <w:color w:val="auto"/>
          <w:sz w:val="21"/>
          <w:szCs w:val="21"/>
          <w:highlight w:val="none"/>
          <w:u w:val="single"/>
        </w:rPr>
        <w:t>部分主要包括下列内容:</w:t>
      </w:r>
    </w:p>
    <w:p w14:paraId="1773F9F7">
      <w:pPr>
        <w:pStyle w:val="19"/>
        <w:spacing w:line="360" w:lineRule="auto"/>
        <w:ind w:firstLine="480"/>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u w:val="single"/>
          <w:lang w:val="en-US" w:eastAsia="zh-CN"/>
        </w:rPr>
        <w:t>11.2.1资格审查文件</w:t>
      </w:r>
    </w:p>
    <w:p w14:paraId="6B04789E">
      <w:pPr>
        <w:numPr>
          <w:ilvl w:val="0"/>
          <w:numId w:val="4"/>
        </w:num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投标人声明（须按招标公告附件一）</w:t>
      </w:r>
      <w:r>
        <w:rPr>
          <w:rFonts w:hint="eastAsia" w:ascii="宋体" w:hAnsi="宋体" w:eastAsia="宋体" w:cs="宋体"/>
          <w:bCs/>
          <w:color w:val="auto"/>
          <w:sz w:val="21"/>
          <w:szCs w:val="21"/>
          <w:highlight w:val="none"/>
          <w:u w:val="single"/>
          <w:lang w:val="en-US" w:eastAsia="zh-CN"/>
        </w:rPr>
        <w:t>；</w:t>
      </w:r>
    </w:p>
    <w:p w14:paraId="151BDAE1">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（2）经投标人盖章的法定代表人证明书、投标人盖章及法定代表人签字或盖章的本投标文件授权委托证明书(联合体投标的，法定代表人证明书、授权委托证明书由联合体</w:t>
      </w:r>
      <w:r>
        <w:rPr>
          <w:rFonts w:hint="eastAsia" w:ascii="宋体" w:hAnsi="宋体" w:eastAsia="宋体" w:cs="宋体"/>
          <w:bCs/>
          <w:color w:val="auto"/>
          <w:sz w:val="21"/>
          <w:szCs w:val="21"/>
          <w:highlight w:val="none"/>
          <w:u w:val="single"/>
          <w:lang w:eastAsia="zh-CN"/>
        </w:rPr>
        <w:t>牵头方</w:t>
      </w:r>
      <w:r>
        <w:rPr>
          <w:rFonts w:hint="eastAsia" w:ascii="宋体" w:hAnsi="宋体" w:eastAsia="宋体" w:cs="宋体"/>
          <w:bCs/>
          <w:color w:val="auto"/>
          <w:sz w:val="21"/>
          <w:szCs w:val="21"/>
          <w:highlight w:val="none"/>
          <w:u w:val="single"/>
        </w:rPr>
        <w:t>出具，并由联合体</w:t>
      </w:r>
      <w:r>
        <w:rPr>
          <w:rFonts w:hint="eastAsia" w:ascii="宋体" w:hAnsi="宋体" w:eastAsia="宋体" w:cs="宋体"/>
          <w:bCs/>
          <w:color w:val="auto"/>
          <w:sz w:val="21"/>
          <w:szCs w:val="21"/>
          <w:highlight w:val="none"/>
          <w:u w:val="single"/>
          <w:lang w:eastAsia="zh-CN"/>
        </w:rPr>
        <w:t>牵头方</w:t>
      </w:r>
      <w:r>
        <w:rPr>
          <w:rFonts w:hint="eastAsia" w:ascii="宋体" w:hAnsi="宋体" w:eastAsia="宋体" w:cs="宋体"/>
          <w:bCs/>
          <w:color w:val="auto"/>
          <w:sz w:val="21"/>
          <w:szCs w:val="21"/>
          <w:highlight w:val="none"/>
          <w:u w:val="single"/>
        </w:rPr>
        <w:t>签字、盖章即可)</w:t>
      </w:r>
      <w:r>
        <w:rPr>
          <w:rFonts w:hint="eastAsia" w:ascii="宋体" w:hAnsi="宋体" w:eastAsia="宋体" w:cs="宋体"/>
          <w:bCs/>
          <w:color w:val="auto"/>
          <w:sz w:val="21"/>
          <w:szCs w:val="21"/>
          <w:highlight w:val="none"/>
          <w:u w:val="single"/>
          <w:lang w:eastAsia="zh-CN"/>
        </w:rPr>
        <w:t>；</w:t>
      </w:r>
    </w:p>
    <w:p w14:paraId="1AF2DAF7">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（3）企业营业执照</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lang w:val="en-US" w:eastAsia="zh-CN"/>
        </w:rPr>
        <w:t>联合体投标的，联合体各方均应提供</w:t>
      </w:r>
      <w:r>
        <w:rPr>
          <w:rFonts w:hint="eastAsia" w:ascii="宋体" w:hAnsi="宋体" w:eastAsia="宋体" w:cs="宋体"/>
          <w:bCs/>
          <w:color w:val="auto"/>
          <w:sz w:val="21"/>
          <w:szCs w:val="21"/>
          <w:highlight w:val="none"/>
          <w:u w:val="single"/>
          <w:lang w:eastAsia="zh-CN"/>
        </w:rPr>
        <w:t>）；</w:t>
      </w:r>
    </w:p>
    <w:p w14:paraId="00AE7AE9">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（4）企业资质证书</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lang w:val="en-US" w:eastAsia="zh-CN"/>
        </w:rPr>
        <w:t>联合体投标的，联合体各方均应提供</w:t>
      </w:r>
      <w:r>
        <w:rPr>
          <w:rFonts w:hint="eastAsia" w:ascii="宋体" w:hAnsi="宋体" w:eastAsia="宋体" w:cs="宋体"/>
          <w:bCs/>
          <w:color w:val="auto"/>
          <w:sz w:val="21"/>
          <w:szCs w:val="21"/>
          <w:highlight w:val="none"/>
          <w:u w:val="single"/>
          <w:lang w:eastAsia="zh-CN"/>
        </w:rPr>
        <w:t>）；</w:t>
      </w:r>
    </w:p>
    <w:p w14:paraId="558357FF">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（5）建筑施工企业安全生产许可证</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lang w:val="en-US" w:eastAsia="zh-CN"/>
        </w:rPr>
        <w:t>联合体投标的，联合体各方均应提供</w:t>
      </w:r>
      <w:r>
        <w:rPr>
          <w:rFonts w:hint="eastAsia" w:ascii="宋体" w:hAnsi="宋体" w:eastAsia="宋体" w:cs="宋体"/>
          <w:bCs/>
          <w:color w:val="auto"/>
          <w:sz w:val="21"/>
          <w:szCs w:val="21"/>
          <w:highlight w:val="none"/>
          <w:u w:val="single"/>
          <w:lang w:eastAsia="zh-CN"/>
        </w:rPr>
        <w:t>）；</w:t>
      </w:r>
    </w:p>
    <w:p w14:paraId="73BD897A">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（6）项目负责人（按网上投标登记时选择拟投标的项目负责人）</w:t>
      </w:r>
      <w:r>
        <w:rPr>
          <w:rFonts w:hint="eastAsia" w:ascii="宋体" w:hAnsi="宋体" w:eastAsia="宋体" w:cs="宋体"/>
          <w:bCs/>
          <w:color w:val="auto"/>
          <w:sz w:val="21"/>
          <w:szCs w:val="21"/>
          <w:highlight w:val="none"/>
          <w:u w:val="single"/>
          <w:lang w:eastAsia="zh-CN"/>
        </w:rPr>
        <w:t>；</w:t>
      </w:r>
    </w:p>
    <w:p w14:paraId="5CD3B3AE">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（7）专职安全员（按网上投标登记时选择拟投标的专职安全员）</w:t>
      </w:r>
      <w:r>
        <w:rPr>
          <w:rFonts w:hint="eastAsia" w:ascii="宋体" w:hAnsi="宋体" w:eastAsia="宋体" w:cs="宋体"/>
          <w:bCs/>
          <w:color w:val="auto"/>
          <w:sz w:val="21"/>
          <w:szCs w:val="21"/>
          <w:highlight w:val="none"/>
          <w:u w:val="single"/>
          <w:lang w:eastAsia="zh-CN"/>
        </w:rPr>
        <w:t>；</w:t>
      </w:r>
    </w:p>
    <w:p w14:paraId="69E9F048">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（8）拟委派项目负责人的建造师</w:t>
      </w:r>
      <w:r>
        <w:rPr>
          <w:rFonts w:hint="eastAsia" w:ascii="宋体" w:hAnsi="宋体" w:eastAsia="宋体" w:cs="宋体"/>
          <w:bCs/>
          <w:color w:val="auto"/>
          <w:sz w:val="21"/>
          <w:szCs w:val="21"/>
          <w:highlight w:val="none"/>
          <w:u w:val="single"/>
          <w:lang w:val="en-US" w:eastAsia="zh-CN"/>
        </w:rPr>
        <w:t>注册</w:t>
      </w:r>
      <w:r>
        <w:rPr>
          <w:rFonts w:hint="eastAsia" w:ascii="宋体" w:hAnsi="宋体" w:eastAsia="宋体" w:cs="宋体"/>
          <w:bCs/>
          <w:color w:val="auto"/>
          <w:sz w:val="21"/>
          <w:szCs w:val="21"/>
          <w:highlight w:val="none"/>
          <w:u w:val="single"/>
        </w:rPr>
        <w:t>证书扫描件或电子证照</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 xml:space="preserve"> </w:t>
      </w:r>
    </w:p>
    <w:p w14:paraId="290EDEDC">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9</w:t>
      </w:r>
      <w:r>
        <w:rPr>
          <w:rFonts w:hint="eastAsia" w:ascii="宋体" w:hAnsi="宋体" w:eastAsia="宋体" w:cs="宋体"/>
          <w:bCs/>
          <w:color w:val="auto"/>
          <w:sz w:val="21"/>
          <w:szCs w:val="21"/>
          <w:highlight w:val="none"/>
          <w:u w:val="single"/>
        </w:rPr>
        <w:t>）项目负责人安全生产考核合格证明或在有效期内的安全考核合格证书（B类）或建筑施工企业项目负责人安全生产考核合格证书扫描件或电子证照</w:t>
      </w:r>
      <w:r>
        <w:rPr>
          <w:rFonts w:hint="eastAsia" w:ascii="宋体" w:hAnsi="宋体" w:eastAsia="宋体" w:cs="宋体"/>
          <w:bCs/>
          <w:color w:val="auto"/>
          <w:sz w:val="21"/>
          <w:szCs w:val="21"/>
          <w:highlight w:val="none"/>
          <w:u w:val="single"/>
          <w:lang w:eastAsia="zh-CN"/>
        </w:rPr>
        <w:t>；</w:t>
      </w:r>
    </w:p>
    <w:p w14:paraId="0C8D24A3">
      <w:pPr>
        <w:spacing w:line="360" w:lineRule="auto"/>
        <w:ind w:firstLine="420" w:firstLineChars="200"/>
        <w:rPr>
          <w:rFonts w:hint="default" w:ascii="宋体" w:hAnsi="宋体" w:eastAsia="宋体" w:cs="宋体"/>
          <w:bCs/>
          <w:color w:val="auto"/>
          <w:sz w:val="21"/>
          <w:szCs w:val="21"/>
          <w:highlight w:val="none"/>
          <w:u w:val="single"/>
          <w:lang w:val="en-US" w:eastAsia="zh-CN"/>
        </w:rPr>
      </w:pPr>
      <w:r>
        <w:rPr>
          <w:rFonts w:hint="eastAsia" w:ascii="宋体" w:hAnsi="宋体" w:cs="宋体"/>
          <w:bCs/>
          <w:color w:val="auto"/>
          <w:sz w:val="21"/>
          <w:szCs w:val="21"/>
          <w:highlight w:val="none"/>
          <w:u w:val="single"/>
          <w:lang w:eastAsia="zh-CN"/>
        </w:rPr>
        <w:t>（</w:t>
      </w:r>
      <w:r>
        <w:rPr>
          <w:rFonts w:hint="eastAsia" w:ascii="宋体" w:hAnsi="宋体" w:cs="宋体"/>
          <w:bCs/>
          <w:color w:val="auto"/>
          <w:sz w:val="21"/>
          <w:szCs w:val="21"/>
          <w:highlight w:val="none"/>
          <w:u w:val="single"/>
          <w:lang w:val="en-US" w:eastAsia="zh-CN"/>
        </w:rPr>
        <w:t>10</w:t>
      </w:r>
      <w:r>
        <w:rPr>
          <w:rFonts w:hint="eastAsia" w:ascii="宋体" w:hAnsi="宋体" w:cs="宋体"/>
          <w:bCs/>
          <w:color w:val="auto"/>
          <w:sz w:val="21"/>
          <w:szCs w:val="21"/>
          <w:highlight w:val="none"/>
          <w:u w:val="single"/>
          <w:lang w:eastAsia="zh-CN"/>
        </w:rPr>
        <w:t>）</w:t>
      </w:r>
      <w:r>
        <w:rPr>
          <w:rFonts w:hint="eastAsia" w:ascii="宋体" w:hAnsi="宋体" w:cs="宋体"/>
          <w:bCs/>
          <w:color w:val="auto"/>
          <w:sz w:val="21"/>
          <w:szCs w:val="21"/>
          <w:highlight w:val="none"/>
          <w:u w:val="single"/>
          <w:lang w:val="en-US" w:eastAsia="zh-CN"/>
        </w:rPr>
        <w:t>技术负责人职称证书扫描件；</w:t>
      </w:r>
    </w:p>
    <w:p w14:paraId="336C9AA2">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1</w:t>
      </w:r>
      <w:r>
        <w:rPr>
          <w:rFonts w:hint="eastAsia" w:ascii="宋体" w:hAnsi="宋体" w:cs="宋体"/>
          <w:bCs/>
          <w:color w:val="auto"/>
          <w:sz w:val="21"/>
          <w:szCs w:val="21"/>
          <w:highlight w:val="none"/>
          <w:u w:val="single"/>
          <w:lang w:val="en-US" w:eastAsia="zh-CN"/>
        </w:rPr>
        <w:t>1</w:t>
      </w:r>
      <w:r>
        <w:rPr>
          <w:rFonts w:hint="eastAsia" w:ascii="宋体" w:hAnsi="宋体" w:eastAsia="宋体" w:cs="宋体"/>
          <w:bCs/>
          <w:color w:val="auto"/>
          <w:sz w:val="21"/>
          <w:szCs w:val="21"/>
          <w:highlight w:val="none"/>
          <w:u w:val="single"/>
        </w:rPr>
        <w:t>）专职安全员须具有在有效期内的安全考核合格证书（C类）或建筑施工企业专职安全生产管理人员安全生产考核合格证书（C3）扫描件或电子证照</w:t>
      </w:r>
      <w:r>
        <w:rPr>
          <w:rFonts w:hint="eastAsia" w:ascii="宋体" w:hAnsi="宋体" w:eastAsia="宋体" w:cs="宋体"/>
          <w:bCs/>
          <w:color w:val="auto"/>
          <w:sz w:val="21"/>
          <w:szCs w:val="21"/>
          <w:highlight w:val="none"/>
          <w:u w:val="single"/>
          <w:lang w:eastAsia="zh-CN"/>
        </w:rPr>
        <w:t>；</w:t>
      </w:r>
    </w:p>
    <w:p w14:paraId="7859D667">
      <w:pPr>
        <w:spacing w:line="360" w:lineRule="auto"/>
        <w:ind w:firstLine="420" w:firstLineChars="200"/>
        <w:rPr>
          <w:rFonts w:hint="default" w:ascii="宋体" w:hAnsi="宋体" w:eastAsia="宋体" w:cs="宋体"/>
          <w:bCs/>
          <w:color w:val="auto"/>
          <w:sz w:val="21"/>
          <w:szCs w:val="21"/>
          <w:highlight w:val="none"/>
          <w:u w:val="single"/>
          <w:lang w:val="en-US" w:eastAsia="zh-CN"/>
        </w:rPr>
      </w:pPr>
      <w:r>
        <w:rPr>
          <w:rFonts w:hint="eastAsia" w:ascii="宋体" w:hAnsi="宋体" w:cs="宋体"/>
          <w:bCs/>
          <w:color w:val="auto"/>
          <w:sz w:val="21"/>
          <w:szCs w:val="21"/>
          <w:highlight w:val="none"/>
          <w:u w:val="single"/>
          <w:lang w:eastAsia="zh-CN"/>
        </w:rPr>
        <w:t>（</w:t>
      </w:r>
      <w:r>
        <w:rPr>
          <w:rFonts w:hint="eastAsia" w:ascii="宋体" w:hAnsi="宋体" w:cs="宋体"/>
          <w:bCs/>
          <w:color w:val="auto"/>
          <w:sz w:val="21"/>
          <w:szCs w:val="21"/>
          <w:highlight w:val="none"/>
          <w:u w:val="single"/>
          <w:lang w:val="en-US" w:eastAsia="zh-CN"/>
        </w:rPr>
        <w:t>12</w:t>
      </w:r>
      <w:r>
        <w:rPr>
          <w:rFonts w:hint="eastAsia" w:ascii="宋体" w:hAnsi="宋体" w:cs="宋体"/>
          <w:bCs/>
          <w:color w:val="auto"/>
          <w:sz w:val="21"/>
          <w:szCs w:val="21"/>
          <w:highlight w:val="none"/>
          <w:u w:val="single"/>
          <w:lang w:eastAsia="zh-CN"/>
        </w:rPr>
        <w:t>）</w:t>
      </w:r>
      <w:r>
        <w:rPr>
          <w:rFonts w:hint="eastAsia" w:ascii="宋体" w:hAnsi="宋体" w:cs="宋体"/>
          <w:bCs/>
          <w:color w:val="auto"/>
          <w:sz w:val="21"/>
          <w:szCs w:val="21"/>
          <w:highlight w:val="none"/>
          <w:u w:val="single"/>
          <w:lang w:val="en-US" w:eastAsia="zh-CN"/>
        </w:rPr>
        <w:t>用于资格审查</w:t>
      </w:r>
      <w:r>
        <w:rPr>
          <w:rFonts w:hint="eastAsia" w:ascii="宋体" w:hAnsi="宋体" w:cs="宋体"/>
          <w:bCs/>
          <w:color w:val="auto"/>
          <w:sz w:val="21"/>
          <w:szCs w:val="21"/>
          <w:highlight w:val="none"/>
          <w:u w:val="single"/>
          <w:lang w:eastAsia="zh-CN"/>
        </w:rPr>
        <w:t>的类似工程业绩</w:t>
      </w:r>
      <w:r>
        <w:rPr>
          <w:rFonts w:hint="eastAsia" w:ascii="宋体" w:hAnsi="宋体" w:cs="宋体"/>
          <w:bCs/>
          <w:color w:val="auto"/>
          <w:sz w:val="21"/>
          <w:szCs w:val="21"/>
          <w:highlight w:val="none"/>
          <w:u w:val="single"/>
          <w:lang w:val="en-US" w:eastAsia="zh-CN"/>
        </w:rPr>
        <w:t>证明材料；</w:t>
      </w:r>
    </w:p>
    <w:p w14:paraId="582D6625">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（1</w:t>
      </w:r>
      <w:r>
        <w:rPr>
          <w:rFonts w:hint="eastAsia" w:ascii="宋体" w:hAnsi="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rPr>
        <w:t>）资格审查前，投标人（若为联合体投标，指联合体各方）须在广州交易集团有限公司（广州公共资源交易中心）办理企业信息登记及拟担任本工程项目负责人、专职安全员须是本企业信息登记中的在册人员。</w:t>
      </w:r>
    </w:p>
    <w:p w14:paraId="710DB14A">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注：①相关电子证书按规定需打印后手写本人签名的，应按照规定手写本人签名后再扫描提交。</w:t>
      </w:r>
    </w:p>
    <w:p w14:paraId="7DB3028A">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②投标人在投标登记时选择了拟投入本项目的项目负责人、专职安全员，即已满足“资格审查前，投标人（若为联合体投标，指联合体各方）须在广州交易集团有限公司（广州公共资源交易中心）办理企业信息登记及拟担任本工程项目负责人、专职安全员须是本企业信息登记中的在册人员。”的要求，投标人无需提供证明材料。</w:t>
      </w:r>
      <w:r>
        <w:rPr>
          <w:rFonts w:hint="eastAsia" w:ascii="宋体" w:hAnsi="宋体" w:eastAsia="宋体" w:cs="宋体"/>
          <w:bCs/>
          <w:color w:val="auto"/>
          <w:sz w:val="21"/>
          <w:szCs w:val="21"/>
          <w:highlight w:val="none"/>
          <w:u w:val="single"/>
          <w:lang w:val="en-US" w:eastAsia="zh-CN"/>
        </w:rPr>
        <w:t xml:space="preserve"> </w:t>
      </w:r>
    </w:p>
    <w:p w14:paraId="0D90F764">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1</w:t>
      </w:r>
      <w:r>
        <w:rPr>
          <w:rFonts w:hint="eastAsia" w:ascii="宋体" w:hAnsi="宋体" w:cs="宋体"/>
          <w:bCs/>
          <w:color w:val="auto"/>
          <w:sz w:val="21"/>
          <w:szCs w:val="21"/>
          <w:highlight w:val="none"/>
          <w:u w:val="single"/>
          <w:lang w:val="en-US" w:eastAsia="zh-CN"/>
        </w:rPr>
        <w:t>4</w:t>
      </w:r>
      <w:r>
        <w:rPr>
          <w:rFonts w:hint="eastAsia" w:ascii="宋体" w:hAnsi="宋体" w:eastAsia="宋体" w:cs="宋体"/>
          <w:bCs/>
          <w:color w:val="auto"/>
          <w:sz w:val="21"/>
          <w:szCs w:val="21"/>
          <w:highlight w:val="none"/>
          <w:u w:val="single"/>
        </w:rPr>
        <w:t>）列明</w:t>
      </w:r>
      <w:r>
        <w:rPr>
          <w:rFonts w:hint="eastAsia" w:ascii="宋体" w:hAnsi="宋体" w:eastAsia="宋体" w:cs="宋体"/>
          <w:bCs/>
          <w:color w:val="auto"/>
          <w:sz w:val="21"/>
          <w:szCs w:val="21"/>
          <w:highlight w:val="none"/>
          <w:u w:val="single"/>
          <w:lang w:val="en-US" w:eastAsia="zh-CN"/>
        </w:rPr>
        <w:t>牵头</w:t>
      </w:r>
      <w:r>
        <w:rPr>
          <w:rFonts w:hint="eastAsia" w:ascii="宋体" w:hAnsi="宋体" w:eastAsia="宋体" w:cs="宋体"/>
          <w:bCs/>
          <w:color w:val="auto"/>
          <w:sz w:val="21"/>
          <w:szCs w:val="21"/>
          <w:highlight w:val="none"/>
          <w:u w:val="single"/>
        </w:rPr>
        <w:t>单位的联合体工作协议（采用联合体投标时需递交，</w:t>
      </w:r>
      <w:r>
        <w:rPr>
          <w:rFonts w:hint="eastAsia" w:ascii="宋体" w:hAnsi="宋体" w:eastAsia="宋体" w:cs="宋体"/>
          <w:color w:val="auto"/>
          <w:sz w:val="21"/>
          <w:szCs w:val="21"/>
          <w:highlight w:val="none"/>
          <w:u w:val="single"/>
        </w:rPr>
        <w:t>联合体工作协议应明确约定各方拟承担的工作和责任</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eastAsia="zh-CN"/>
        </w:rPr>
        <w:t>；</w:t>
      </w:r>
    </w:p>
    <w:p w14:paraId="1AB7729B">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lang w:val="en-US" w:eastAsia="zh-CN"/>
        </w:rPr>
        <w:t>1</w:t>
      </w:r>
      <w:r>
        <w:rPr>
          <w:rFonts w:hint="eastAsia" w:ascii="宋体" w:hAnsi="宋体" w:cs="宋体"/>
          <w:bCs/>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lang w:val="en-US" w:eastAsia="zh-CN"/>
        </w:rPr>
        <w:t>）投标人认为应提交的其他资料</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w:t>
      </w:r>
    </w:p>
    <w:p w14:paraId="480821A0">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w:t>
      </w:r>
      <w:r>
        <w:rPr>
          <w:rFonts w:hint="eastAsia" w:ascii="宋体" w:hAnsi="宋体" w:eastAsia="宋体" w:cs="宋体"/>
          <w:color w:val="auto"/>
          <w:sz w:val="21"/>
          <w:szCs w:val="21"/>
          <w:highlight w:val="none"/>
          <w:u w:val="single"/>
          <w:lang w:val="en-US" w:eastAsia="zh-CN"/>
        </w:rPr>
        <w:t>2.2</w:t>
      </w:r>
      <w:r>
        <w:rPr>
          <w:rFonts w:hint="eastAsia" w:ascii="宋体" w:hAnsi="宋体" w:eastAsia="宋体" w:cs="宋体"/>
          <w:color w:val="auto"/>
          <w:sz w:val="21"/>
          <w:szCs w:val="21"/>
          <w:highlight w:val="none"/>
          <w:u w:val="single"/>
        </w:rPr>
        <w:t>技术投标文件主要包括下列内容：</w:t>
      </w:r>
    </w:p>
    <w:p w14:paraId="69D48B3D">
      <w:pPr>
        <w:numPr>
          <w:ilvl w:val="0"/>
          <w:numId w:val="0"/>
        </w:num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cs="宋体"/>
          <w:bCs/>
          <w:color w:val="auto"/>
          <w:sz w:val="21"/>
          <w:szCs w:val="21"/>
          <w:highlight w:val="none"/>
          <w:u w:val="single"/>
          <w:lang w:eastAsia="zh-CN"/>
        </w:rPr>
        <w:t>（</w:t>
      </w:r>
      <w:r>
        <w:rPr>
          <w:rFonts w:hint="eastAsia" w:ascii="宋体" w:hAnsi="宋体" w:cs="宋体"/>
          <w:bCs/>
          <w:color w:val="auto"/>
          <w:sz w:val="21"/>
          <w:szCs w:val="21"/>
          <w:highlight w:val="none"/>
          <w:u w:val="single"/>
          <w:lang w:val="en-US" w:eastAsia="zh-CN"/>
        </w:rPr>
        <w:t>1</w:t>
      </w:r>
      <w:r>
        <w:rPr>
          <w:rFonts w:hint="eastAsia" w:ascii="宋体" w:hAnsi="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lang w:eastAsia="zh-CN"/>
        </w:rPr>
        <w:t>《广州建设工程施工招标投标书》；</w:t>
      </w:r>
    </w:p>
    <w:p w14:paraId="698EBEF9">
      <w:pPr>
        <w:numPr>
          <w:ilvl w:val="0"/>
          <w:numId w:val="0"/>
        </w:num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2</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项目管理机构配备：</w:t>
      </w:r>
    </w:p>
    <w:p w14:paraId="236EE4BC">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①投标人应列出该项目工程的施工组织机构构成和画出机构框架图及其负责人；</w:t>
      </w:r>
    </w:p>
    <w:p w14:paraId="13FB666C">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②投标人应详细列出该施工组织机构中主要成员的名单、简历资料、职务职称和在本项目中拟担任的职务等资料，并附上有关证明材料扫描件；</w:t>
      </w:r>
    </w:p>
    <w:p w14:paraId="6E0BD46B">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③其他辅助说明资料。</w:t>
      </w:r>
    </w:p>
    <w:p w14:paraId="7E59F495">
      <w:pPr>
        <w:spacing w:line="360" w:lineRule="auto"/>
        <w:ind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）施工组织设计或施工方案</w:t>
      </w:r>
      <w:r>
        <w:rPr>
          <w:rFonts w:hint="eastAsia" w:ascii="宋体" w:hAnsi="宋体" w:eastAsia="宋体" w:cs="宋体"/>
          <w:color w:val="auto"/>
          <w:sz w:val="21"/>
          <w:szCs w:val="21"/>
          <w:highlight w:val="none"/>
          <w:u w:val="single"/>
          <w:lang w:eastAsia="zh-CN"/>
        </w:rPr>
        <w:t>；</w:t>
      </w:r>
    </w:p>
    <w:p w14:paraId="1225E51B">
      <w:pPr>
        <w:widowControl/>
        <w:spacing w:line="360" w:lineRule="auto"/>
        <w:ind w:firstLine="420" w:firstLineChars="200"/>
        <w:rPr>
          <w:rFonts w:ascii="宋体" w:hAnsi="宋体" w:cs="宋体"/>
          <w:color w:val="auto"/>
          <w:kern w:val="0"/>
          <w:szCs w:val="21"/>
          <w:highlight w:val="none"/>
          <w:u w:val="single"/>
        </w:rPr>
      </w:pPr>
      <w:r>
        <w:rPr>
          <w:rFonts w:hint="eastAsia" w:ascii="宋体" w:hAnsi="宋体"/>
          <w:color w:val="auto"/>
          <w:szCs w:val="21"/>
          <w:highlight w:val="none"/>
          <w:u w:val="single"/>
        </w:rPr>
        <w:t>①</w:t>
      </w:r>
      <w:r>
        <w:rPr>
          <w:rFonts w:hint="eastAsia" w:ascii="宋体" w:hAnsi="宋体" w:cs="宋体"/>
          <w:color w:val="auto"/>
          <w:kern w:val="0"/>
          <w:szCs w:val="21"/>
          <w:highlight w:val="none"/>
          <w:u w:val="single"/>
        </w:rPr>
        <w:t>投标人在编制施工组织设计时应按照招标人提出的施工现场建筑垃圾源头减量的具体要求以及建筑垃圾综合利用产品的使用要求提供相应措施。</w:t>
      </w:r>
    </w:p>
    <w:p w14:paraId="1579A194">
      <w:pPr>
        <w:pStyle w:val="19"/>
        <w:spacing w:line="360" w:lineRule="auto"/>
        <w:ind w:firstLine="420" w:firstLineChars="200"/>
        <w:rPr>
          <w:color w:val="auto"/>
          <w:szCs w:val="21"/>
          <w:highlight w:val="none"/>
          <w:u w:val="single"/>
        </w:rPr>
      </w:pPr>
      <w:r>
        <w:rPr>
          <w:rFonts w:hint="eastAsia" w:hAnsi="宋体"/>
          <w:color w:val="auto"/>
          <w:szCs w:val="21"/>
          <w:highlight w:val="none"/>
          <w:u w:val="single"/>
        </w:rPr>
        <w:t>②</w:t>
      </w:r>
      <w:r>
        <w:rPr>
          <w:rFonts w:hint="eastAsia" w:hAnsi="宋体" w:cs="宋体"/>
          <w:bCs/>
          <w:color w:val="auto"/>
          <w:szCs w:val="21"/>
          <w:highlight w:val="none"/>
          <w:u w:val="single"/>
        </w:rPr>
        <w:t>投标人在编制施工组织设计时应按照招标文件要求，并针对本项目的关键技术、工艺、重点、难点以及拟在本项目采用的新工艺、新技术、新材料编制，应突出重点，标准、规范中已有的内容无需赘述，一般篇幅不宜超过</w:t>
      </w:r>
      <w:r>
        <w:rPr>
          <w:rFonts w:hint="eastAsia" w:hAnsi="宋体" w:cs="宋体"/>
          <w:bCs/>
          <w:color w:val="auto"/>
          <w:szCs w:val="21"/>
          <w:highlight w:val="none"/>
          <w:u w:val="single"/>
          <w:lang w:val="en-US" w:eastAsia="zh-CN"/>
        </w:rPr>
        <w:t>200</w:t>
      </w:r>
      <w:r>
        <w:rPr>
          <w:rFonts w:hint="eastAsia" w:hAnsi="宋体" w:cs="宋体"/>
          <w:bCs/>
          <w:color w:val="auto"/>
          <w:szCs w:val="21"/>
          <w:highlight w:val="none"/>
          <w:u w:val="single"/>
        </w:rPr>
        <w:t>页。超过部分不予评审。</w:t>
      </w:r>
    </w:p>
    <w:p w14:paraId="4BA406E8">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余泥渣土运输与排放方案</w:t>
      </w:r>
      <w:r>
        <w:rPr>
          <w:rFonts w:hint="eastAsia" w:ascii="宋体" w:hAnsi="宋体" w:eastAsia="宋体" w:cs="宋体"/>
          <w:color w:val="auto"/>
          <w:sz w:val="21"/>
          <w:szCs w:val="21"/>
          <w:highlight w:val="none"/>
          <w:u w:val="single"/>
          <w:lang w:eastAsia="zh-CN"/>
        </w:rPr>
        <w:t>；</w:t>
      </w:r>
    </w:p>
    <w:p w14:paraId="4A05476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cs="宋体"/>
          <w:color w:val="auto"/>
          <w:szCs w:val="21"/>
          <w:highlight w:val="none"/>
        </w:rPr>
        <w:t>（5）投标人可使用适合本工程的机械设备</w:t>
      </w:r>
      <w:r>
        <w:rPr>
          <w:rFonts w:hint="eastAsia" w:ascii="宋体" w:hAnsi="宋体" w:cs="宋体"/>
          <w:bCs/>
          <w:color w:val="auto"/>
          <w:szCs w:val="21"/>
          <w:highlight w:val="none"/>
          <w:u w:val="single"/>
        </w:rPr>
        <w:t>（附：机械设备为自有或租赁的说明；及承诺机械设备如属于租赁的，其租赁是不属于重复租赁）</w:t>
      </w:r>
      <w:r>
        <w:rPr>
          <w:rFonts w:hint="eastAsia" w:ascii="宋体" w:hAnsi="宋体" w:cs="宋体"/>
          <w:color w:val="auto"/>
          <w:szCs w:val="21"/>
          <w:highlight w:val="none"/>
          <w:u w:val="single"/>
        </w:rPr>
        <w:t>；</w:t>
      </w:r>
    </w:p>
    <w:p w14:paraId="78345F7C">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）类似工程业绩材料</w:t>
      </w:r>
      <w:r>
        <w:rPr>
          <w:rFonts w:hint="eastAsia" w:ascii="宋体" w:hAnsi="宋体" w:eastAsia="宋体" w:cs="宋体"/>
          <w:color w:val="auto"/>
          <w:sz w:val="21"/>
          <w:szCs w:val="21"/>
          <w:highlight w:val="none"/>
          <w:u w:val="single"/>
          <w:lang w:eastAsia="zh-CN"/>
        </w:rPr>
        <w:t>；</w:t>
      </w:r>
    </w:p>
    <w:p w14:paraId="3B9BE633">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）按本招标文件规定提交的其它所有技术资料</w:t>
      </w:r>
      <w:r>
        <w:rPr>
          <w:rFonts w:hint="eastAsia" w:ascii="宋体" w:hAnsi="宋体" w:eastAsia="宋体" w:cs="宋体"/>
          <w:color w:val="auto"/>
          <w:sz w:val="21"/>
          <w:szCs w:val="21"/>
          <w:highlight w:val="none"/>
          <w:u w:val="single"/>
          <w:lang w:eastAsia="zh-CN"/>
        </w:rPr>
        <w:t>；</w:t>
      </w:r>
    </w:p>
    <w:p w14:paraId="3A8616DB">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）按照招标文件</w:t>
      </w:r>
      <w:r>
        <w:rPr>
          <w:rFonts w:hint="eastAsia" w:ascii="宋体" w:hAnsi="宋体" w:cs="宋体"/>
          <w:color w:val="auto"/>
          <w:sz w:val="21"/>
          <w:szCs w:val="21"/>
          <w:highlight w:val="none"/>
          <w:u w:val="single"/>
          <w:lang w:val="en-US" w:eastAsia="zh-CN"/>
        </w:rPr>
        <w:t>格式</w:t>
      </w:r>
      <w:r>
        <w:rPr>
          <w:rFonts w:hint="eastAsia" w:ascii="宋体" w:hAnsi="宋体" w:eastAsia="宋体" w:cs="宋体"/>
          <w:color w:val="auto"/>
          <w:sz w:val="21"/>
          <w:szCs w:val="21"/>
          <w:highlight w:val="none"/>
          <w:u w:val="single"/>
        </w:rPr>
        <w:t>要求填写的</w:t>
      </w:r>
      <w:r>
        <w:rPr>
          <w:rFonts w:hint="eastAsia" w:ascii="宋体" w:hAnsi="宋体" w:eastAsia="宋体" w:cs="宋体"/>
          <w:color w:val="auto"/>
          <w:sz w:val="21"/>
          <w:szCs w:val="21"/>
          <w:highlight w:val="none"/>
          <w:u w:val="single"/>
          <w:lang w:eastAsia="zh-CN"/>
        </w:rPr>
        <w:t>《人员投入承诺书》、《投标人廉洁承诺书》、《承诺书》、《投标函》、《施工项目管理团队人员信息表》、</w:t>
      </w:r>
      <w:r>
        <w:rPr>
          <w:rFonts w:hint="eastAsia" w:ascii="宋体" w:hAnsi="宋体" w:eastAsia="宋体" w:cs="宋体"/>
          <w:color w:val="auto"/>
          <w:sz w:val="21"/>
          <w:szCs w:val="21"/>
          <w:highlight w:val="none"/>
          <w:u w:val="single"/>
        </w:rPr>
        <w:t>《参与编制技术标投标文件人员名单》</w:t>
      </w:r>
      <w:r>
        <w:rPr>
          <w:rFonts w:hint="eastAsia" w:ascii="宋体" w:hAnsi="宋体" w:eastAsia="宋体" w:cs="宋体"/>
          <w:color w:val="auto"/>
          <w:sz w:val="21"/>
          <w:szCs w:val="21"/>
          <w:highlight w:val="none"/>
          <w:u w:val="single"/>
          <w:lang w:eastAsia="zh-CN"/>
        </w:rPr>
        <w:t>、《危险性较大的分部分项工程清单及超过一定规模的危险性较大的分部分项工程清单》</w:t>
      </w:r>
      <w:r>
        <w:rPr>
          <w:rFonts w:hint="eastAsia" w:ascii="宋体" w:hAnsi="宋体" w:eastAsia="宋体" w:cs="宋体"/>
          <w:color w:val="auto"/>
          <w:sz w:val="21"/>
          <w:szCs w:val="21"/>
          <w:highlight w:val="none"/>
          <w:u w:val="single"/>
          <w:lang w:val="en-US" w:eastAsia="zh-CN"/>
        </w:rPr>
        <w:t>等</w:t>
      </w:r>
      <w:r>
        <w:rPr>
          <w:rFonts w:hint="eastAsia" w:ascii="宋体" w:hAnsi="宋体" w:cs="宋体"/>
          <w:color w:val="auto"/>
          <w:szCs w:val="21"/>
          <w:highlight w:val="none"/>
          <w:lang w:eastAsia="zh-CN"/>
        </w:rPr>
        <w:t>；</w:t>
      </w:r>
    </w:p>
    <w:p w14:paraId="5397DA44">
      <w:pPr>
        <w:pBdr>
          <w:bottom w:val="single" w:color="auto" w:sz="4" w:space="0"/>
        </w:pBd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bCs/>
          <w:color w:val="auto"/>
          <w:sz w:val="21"/>
          <w:szCs w:val="21"/>
          <w:highlight w:val="none"/>
          <w:u w:val="single"/>
          <w:lang w:eastAsia="zh-CN"/>
        </w:rPr>
        <w:t>（</w:t>
      </w:r>
      <w:r>
        <w:rPr>
          <w:rFonts w:hint="eastAsia" w:ascii="宋体" w:hAnsi="宋体" w:cs="宋体"/>
          <w:bCs/>
          <w:color w:val="auto"/>
          <w:sz w:val="21"/>
          <w:szCs w:val="21"/>
          <w:highlight w:val="none"/>
          <w:u w:val="single"/>
          <w:lang w:val="en-US" w:eastAsia="zh-CN"/>
        </w:rPr>
        <w:t>9</w:t>
      </w:r>
      <w:r>
        <w:rPr>
          <w:rFonts w:hint="eastAsia" w:ascii="宋体" w:hAnsi="宋体" w:eastAsia="宋体" w:cs="宋体"/>
          <w:bCs/>
          <w:color w:val="auto"/>
          <w:sz w:val="21"/>
          <w:szCs w:val="21"/>
          <w:highlight w:val="none"/>
          <w:u w:val="single"/>
          <w:lang w:val="en-US" w:eastAsia="zh-CN"/>
        </w:rPr>
        <w:t>）投标人认为应提交的其他资料</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w:t>
      </w:r>
    </w:p>
    <w:p w14:paraId="4CB2C90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条款号：11.3                 修改类型：修改</w:t>
      </w:r>
    </w:p>
    <w:p w14:paraId="599D49DB">
      <w:pPr>
        <w:spacing w:line="360" w:lineRule="auto"/>
        <w:ind w:firstLine="422" w:firstLineChars="200"/>
        <w:rPr>
          <w:rFonts w:hint="eastAsia" w:ascii="宋体" w:hAnsi="宋体" w:eastAsia="宋体" w:cs="宋体"/>
          <w:bCs/>
          <w:color w:val="auto"/>
          <w:sz w:val="21"/>
          <w:szCs w:val="21"/>
          <w:highlight w:val="none"/>
          <w:u w:val="singl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 xml:space="preserve">11.3 </w:t>
      </w:r>
      <w:r>
        <w:rPr>
          <w:rFonts w:hint="eastAsia" w:ascii="宋体" w:hAnsi="宋体" w:eastAsia="宋体" w:cs="宋体"/>
          <w:bCs/>
          <w:color w:val="auto"/>
          <w:sz w:val="21"/>
          <w:szCs w:val="21"/>
          <w:highlight w:val="none"/>
          <w:u w:val="single"/>
        </w:rPr>
        <w:t>经济部分投标文件主要包括下列内容：</w:t>
      </w:r>
    </w:p>
    <w:p w14:paraId="4156E7E2">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11.3.1 经济投标文件</w:t>
      </w:r>
    </w:p>
    <w:p w14:paraId="5B5A607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18EA2708">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（1）投标总价封面、扉页；</w:t>
      </w:r>
    </w:p>
    <w:p w14:paraId="62359730">
      <w:pPr>
        <w:spacing w:line="360" w:lineRule="auto"/>
        <w:ind w:firstLine="495" w:firstLineChars="236"/>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rPr>
        <w:t>（2）总说明</w:t>
      </w:r>
      <w:r>
        <w:rPr>
          <w:rFonts w:hint="eastAsia" w:ascii="宋体" w:hAnsi="宋体" w:eastAsia="宋体" w:cs="宋体"/>
          <w:color w:val="auto"/>
          <w:sz w:val="21"/>
          <w:szCs w:val="21"/>
          <w:highlight w:val="none"/>
          <w:u w:val="single"/>
          <w:lang w:eastAsia="zh-CN"/>
        </w:rPr>
        <w:t>；</w:t>
      </w:r>
    </w:p>
    <w:p w14:paraId="313A3789">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（3）工程项目投标报价汇总表；</w:t>
      </w:r>
    </w:p>
    <w:p w14:paraId="5BEC9805">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（4）单项工程投标报价汇总表；</w:t>
      </w:r>
    </w:p>
    <w:p w14:paraId="47EC2AFC">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（5）单位工程投标报价汇总表；</w:t>
      </w:r>
    </w:p>
    <w:p w14:paraId="61766C86">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（6）分部分项工程清单与计价表；</w:t>
      </w:r>
    </w:p>
    <w:p w14:paraId="691E7865">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（7）单价措施项目清单与计价表；</w:t>
      </w:r>
    </w:p>
    <w:p w14:paraId="30E6ACE9">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（8）总价措施项目清单与计价表；</w:t>
      </w:r>
    </w:p>
    <w:p w14:paraId="5DE6C789">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（9）综合单价分析表；</w:t>
      </w:r>
    </w:p>
    <w:p w14:paraId="15F98E92">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（10）其他项目清单与计价汇总表；</w:t>
      </w:r>
    </w:p>
    <w:p w14:paraId="3A05F8B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（11）暂列金额明细表；</w:t>
      </w:r>
    </w:p>
    <w:p w14:paraId="04CDDC61">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（12）材料（工程设备）暂估价明细表；</w:t>
      </w:r>
    </w:p>
    <w:p w14:paraId="531A8D05">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（13）专业工程暂估价明细表；</w:t>
      </w:r>
    </w:p>
    <w:p w14:paraId="663DE8D6">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（14）计日工表；</w:t>
      </w:r>
    </w:p>
    <w:p w14:paraId="519B36F5">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（15）总承包服务计价表；</w:t>
      </w:r>
    </w:p>
    <w:p w14:paraId="1DA40C9A">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（16）规费和税金项目计价表；</w:t>
      </w:r>
    </w:p>
    <w:p w14:paraId="30A426D0">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（17）人工、主要材料和设备一览表</w:t>
      </w:r>
    </w:p>
    <w:p w14:paraId="1C566906">
      <w:pPr>
        <w:tabs>
          <w:tab w:val="left" w:pos="1125"/>
        </w:tabs>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11.3.3按照</w:t>
      </w:r>
      <w:r>
        <w:rPr>
          <w:rFonts w:hint="eastAsia" w:ascii="宋体" w:hAnsi="宋体" w:eastAsia="宋体" w:cs="宋体"/>
          <w:bCs/>
          <w:color w:val="auto"/>
          <w:sz w:val="21"/>
          <w:szCs w:val="21"/>
          <w:highlight w:val="none"/>
          <w:u w:val="single"/>
        </w:rPr>
        <w:t>招标文件要求</w:t>
      </w:r>
      <w:r>
        <w:rPr>
          <w:rFonts w:hint="eastAsia" w:ascii="宋体" w:hAnsi="宋体" w:eastAsia="宋体" w:cs="宋体"/>
          <w:color w:val="auto"/>
          <w:sz w:val="21"/>
          <w:szCs w:val="21"/>
          <w:highlight w:val="none"/>
          <w:u w:val="single"/>
        </w:rPr>
        <w:t>填写的《参与编制经济标投标文件人员名单》。</w:t>
      </w:r>
    </w:p>
    <w:p w14:paraId="0AB4C796">
      <w:pPr>
        <w:tabs>
          <w:tab w:val="left" w:pos="1125"/>
        </w:tabs>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11.3.4若投标人的投标报价低于工程成本警</w:t>
      </w:r>
      <w:r>
        <w:rPr>
          <w:rFonts w:hint="eastAsia" w:ascii="宋体" w:hAnsi="宋体" w:eastAsia="宋体" w:cs="宋体"/>
          <w:color w:val="auto"/>
          <w:sz w:val="21"/>
          <w:szCs w:val="21"/>
          <w:highlight w:val="none"/>
          <w:u w:val="single"/>
          <w:lang w:eastAsia="zh-CN"/>
        </w:rPr>
        <w:t>示</w:t>
      </w:r>
      <w:r>
        <w:rPr>
          <w:rFonts w:hint="eastAsia" w:ascii="宋体" w:hAnsi="宋体" w:eastAsia="宋体" w:cs="宋体"/>
          <w:color w:val="auto"/>
          <w:sz w:val="21"/>
          <w:szCs w:val="21"/>
          <w:highlight w:val="none"/>
          <w:u w:val="single"/>
        </w:rPr>
        <w:t>价的，投标人还须提供详细的施工组织设计、单价、措施性费用、单价分析表、主要材料价格表、投标人成本分析供评标委员会评审。</w:t>
      </w:r>
    </w:p>
    <w:p w14:paraId="04EAD791">
      <w:pPr>
        <w:spacing w:line="360" w:lineRule="auto"/>
        <w:ind w:firstLine="422" w:firstLineChars="200"/>
        <w:rPr>
          <w:rFonts w:hint="eastAsia" w:ascii="宋体" w:hAnsi="宋体" w:eastAsia="宋体" w:cs="宋体"/>
          <w:bCs/>
          <w:color w:val="auto"/>
          <w:sz w:val="21"/>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u w:val="single"/>
        </w:rPr>
        <w:t xml:space="preserve">11.3 </w:t>
      </w:r>
      <w:r>
        <w:rPr>
          <w:rFonts w:hint="eastAsia" w:ascii="宋体" w:hAnsi="宋体" w:eastAsia="宋体" w:cs="宋体"/>
          <w:bCs/>
          <w:color w:val="auto"/>
          <w:sz w:val="21"/>
          <w:szCs w:val="21"/>
          <w:highlight w:val="none"/>
          <w:u w:val="single"/>
        </w:rPr>
        <w:t>经济部分投标文件主要包括下列内容：</w:t>
      </w:r>
    </w:p>
    <w:p w14:paraId="3D6288A2">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11.3.1 经济投标文件</w:t>
      </w:r>
    </w:p>
    <w:p w14:paraId="2332E904">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2B94AA95">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（1）投标总价封面、扉页；</w:t>
      </w:r>
    </w:p>
    <w:p w14:paraId="684136C4">
      <w:pPr>
        <w:spacing w:line="360" w:lineRule="auto"/>
        <w:ind w:firstLine="495" w:firstLineChars="236"/>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rPr>
        <w:t>（2）总说明</w:t>
      </w:r>
      <w:r>
        <w:rPr>
          <w:rFonts w:hint="eastAsia" w:ascii="宋体" w:hAnsi="宋体" w:eastAsia="宋体" w:cs="宋体"/>
          <w:color w:val="auto"/>
          <w:sz w:val="21"/>
          <w:szCs w:val="21"/>
          <w:highlight w:val="none"/>
          <w:u w:val="single"/>
          <w:lang w:eastAsia="zh-CN"/>
        </w:rPr>
        <w:t>；</w:t>
      </w:r>
    </w:p>
    <w:p w14:paraId="2AEB4AD8">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（3）工程项目投标报价汇总表；</w:t>
      </w:r>
    </w:p>
    <w:p w14:paraId="45729D95">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（4）单项工程投标报价汇总表；</w:t>
      </w:r>
    </w:p>
    <w:p w14:paraId="7DD051E8">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（5）单位工程投标报价汇总表；</w:t>
      </w:r>
    </w:p>
    <w:p w14:paraId="0E66E47E">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（6）分部分项工程清单与计价表；</w:t>
      </w:r>
    </w:p>
    <w:p w14:paraId="7C0198DF">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（7）单价措施项目清单与计价表；</w:t>
      </w:r>
    </w:p>
    <w:p w14:paraId="28294A66">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（8）总价措施项目清单与计价表；</w:t>
      </w:r>
    </w:p>
    <w:p w14:paraId="1D1CFE9B">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（9）综合单价分析表；</w:t>
      </w:r>
    </w:p>
    <w:p w14:paraId="0EFBD840">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（10）其他项目清单与计价汇总表；</w:t>
      </w:r>
    </w:p>
    <w:p w14:paraId="2340305D">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（11）暂列金额明细表；</w:t>
      </w:r>
    </w:p>
    <w:p w14:paraId="2E7D165F">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（12）材料（工程设备）暂估价明细表；</w:t>
      </w:r>
    </w:p>
    <w:p w14:paraId="21AB9FF0">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（13）专业工程暂估价明细表；</w:t>
      </w:r>
    </w:p>
    <w:p w14:paraId="79BF9EED">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（14）计日工表；</w:t>
      </w:r>
    </w:p>
    <w:p w14:paraId="4E78B010">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（15）总承包服务计价表；</w:t>
      </w:r>
    </w:p>
    <w:p w14:paraId="0203AFA6">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（16）规费和税金项目计价表；</w:t>
      </w:r>
    </w:p>
    <w:p w14:paraId="458EC064">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（17）人工、主要材料和设备一览表</w:t>
      </w:r>
      <w:r>
        <w:rPr>
          <w:rFonts w:hint="eastAsia" w:ascii="宋体" w:hAnsi="宋体" w:cs="宋体"/>
          <w:color w:val="auto"/>
          <w:sz w:val="21"/>
          <w:szCs w:val="21"/>
          <w:highlight w:val="none"/>
          <w:u w:val="single"/>
          <w:lang w:eastAsia="zh-CN"/>
        </w:rPr>
        <w:t>。</w:t>
      </w:r>
    </w:p>
    <w:p w14:paraId="1E599351">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cs="宋体"/>
          <w:color w:val="auto"/>
          <w:szCs w:val="21"/>
          <w:highlight w:val="none"/>
          <w:u w:val="single"/>
        </w:rPr>
        <w:t>具体内容详见第七章工程量清单。</w:t>
      </w:r>
    </w:p>
    <w:p w14:paraId="7620E10D">
      <w:pPr>
        <w:tabs>
          <w:tab w:val="left" w:pos="1125"/>
        </w:tabs>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11.3.3按照</w:t>
      </w:r>
      <w:r>
        <w:rPr>
          <w:rFonts w:hint="eastAsia" w:ascii="宋体" w:hAnsi="宋体" w:eastAsia="宋体" w:cs="宋体"/>
          <w:bCs/>
          <w:color w:val="auto"/>
          <w:sz w:val="21"/>
          <w:szCs w:val="21"/>
          <w:highlight w:val="none"/>
          <w:u w:val="single"/>
        </w:rPr>
        <w:t>招标文件要求</w:t>
      </w:r>
      <w:r>
        <w:rPr>
          <w:rFonts w:hint="eastAsia" w:ascii="宋体" w:hAnsi="宋体" w:eastAsia="宋体" w:cs="宋体"/>
          <w:color w:val="auto"/>
          <w:sz w:val="21"/>
          <w:szCs w:val="21"/>
          <w:highlight w:val="none"/>
          <w:u w:val="single"/>
        </w:rPr>
        <w:t>填写的《参与编制经济标投标文件人员名单》</w:t>
      </w:r>
      <w:r>
        <w:rPr>
          <w:rFonts w:hint="eastAsia" w:ascii="宋体" w:hAnsi="宋体" w:cs="宋体"/>
          <w:color w:val="auto"/>
          <w:sz w:val="21"/>
          <w:szCs w:val="21"/>
          <w:highlight w:val="none"/>
          <w:u w:val="single"/>
          <w:lang w:eastAsia="zh-CN"/>
        </w:rPr>
        <w:t>；</w:t>
      </w:r>
    </w:p>
    <w:p w14:paraId="62AC9C4C">
      <w:pPr>
        <w:tabs>
          <w:tab w:val="left" w:pos="1125"/>
        </w:tabs>
        <w:spacing w:line="360" w:lineRule="auto"/>
        <w:ind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11.3.4《</w:t>
      </w:r>
      <w:r>
        <w:rPr>
          <w:rFonts w:hint="eastAsia" w:ascii="宋体" w:hAnsi="宋体" w:eastAsia="宋体" w:cs="宋体"/>
          <w:color w:val="auto"/>
          <w:szCs w:val="21"/>
          <w:highlight w:val="none"/>
          <w:u w:val="single"/>
        </w:rPr>
        <w:t>对投标文件编制的承诺</w:t>
      </w:r>
      <w:r>
        <w:rPr>
          <w:rFonts w:hint="eastAsia" w:ascii="宋体" w:hAnsi="宋体" w:eastAsia="宋体" w:cs="宋体"/>
          <w:color w:val="auto"/>
          <w:szCs w:val="21"/>
          <w:highlight w:val="none"/>
          <w:u w:val="single"/>
          <w:lang w:eastAsia="zh-CN"/>
        </w:rPr>
        <w:t>》</w:t>
      </w:r>
      <w:r>
        <w:rPr>
          <w:rFonts w:hint="eastAsia" w:ascii="宋体" w:hAnsi="宋体" w:eastAsia="宋体" w:cs="宋体"/>
          <w:bCs/>
          <w:color w:val="auto"/>
          <w:szCs w:val="21"/>
          <w:highlight w:val="none"/>
          <w:u w:val="single"/>
        </w:rPr>
        <w:t>(格式按招标文件要求)</w:t>
      </w:r>
      <w:r>
        <w:rPr>
          <w:rFonts w:hint="eastAsia" w:ascii="宋体" w:hAnsi="宋体" w:cs="宋体"/>
          <w:bCs/>
          <w:color w:val="auto"/>
          <w:szCs w:val="21"/>
          <w:highlight w:val="none"/>
          <w:u w:val="single"/>
          <w:lang w:eastAsia="zh-CN"/>
        </w:rPr>
        <w:t>；</w:t>
      </w:r>
    </w:p>
    <w:p w14:paraId="1A06880D">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cs="宋体"/>
          <w:color w:val="auto"/>
          <w:szCs w:val="21"/>
          <w:highlight w:val="none"/>
          <w:u w:val="single"/>
        </w:rPr>
        <w:t>11.3.5《消纳费明细表》</w:t>
      </w:r>
      <w:r>
        <w:rPr>
          <w:rFonts w:hint="eastAsia" w:ascii="宋体" w:hAnsi="宋体" w:cs="宋体"/>
          <w:bCs/>
          <w:color w:val="auto"/>
          <w:szCs w:val="21"/>
          <w:highlight w:val="none"/>
          <w:u w:val="single"/>
        </w:rPr>
        <w:t>(</w:t>
      </w:r>
      <w:r>
        <w:rPr>
          <w:rFonts w:hint="eastAsia" w:ascii="宋体" w:hAnsi="宋体"/>
          <w:color w:val="auto"/>
          <w:szCs w:val="21"/>
          <w:highlight w:val="none"/>
          <w:u w:val="single"/>
        </w:rPr>
        <w:t>按本招标文件“第四章投标文件格式”经济标投标文件格式</w:t>
      </w:r>
      <w:r>
        <w:rPr>
          <w:rFonts w:hint="eastAsia" w:ascii="宋体" w:hAnsi="宋体"/>
          <w:color w:val="auto"/>
          <w:szCs w:val="21"/>
          <w:highlight w:val="none"/>
          <w:u w:val="single"/>
          <w:lang w:val="en-US" w:eastAsia="zh-CN"/>
        </w:rPr>
        <w:t>三</w:t>
      </w:r>
      <w:r>
        <w:rPr>
          <w:rFonts w:hint="eastAsia" w:ascii="宋体" w:hAnsi="宋体" w:cs="宋体"/>
          <w:bCs/>
          <w:color w:val="auto"/>
          <w:szCs w:val="21"/>
          <w:highlight w:val="none"/>
          <w:u w:val="single"/>
        </w:rPr>
        <w:t>)</w:t>
      </w:r>
      <w:r>
        <w:rPr>
          <w:rFonts w:hint="eastAsia" w:ascii="宋体" w:hAnsi="宋体" w:cs="宋体"/>
          <w:bCs/>
          <w:color w:val="auto"/>
          <w:szCs w:val="21"/>
          <w:highlight w:val="none"/>
          <w:u w:val="single"/>
          <w:lang w:eastAsia="zh-CN"/>
        </w:rPr>
        <w:t>；</w:t>
      </w:r>
    </w:p>
    <w:p w14:paraId="1A84DEC7">
      <w:pPr>
        <w:pBdr>
          <w:bottom w:val="single" w:color="auto" w:sz="4" w:space="0"/>
        </w:pBdr>
        <w:tabs>
          <w:tab w:val="left" w:pos="1125"/>
        </w:tabs>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11.3.</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若投标人的投标报价低于工程成本警</w:t>
      </w:r>
      <w:r>
        <w:rPr>
          <w:rFonts w:hint="eastAsia" w:ascii="宋体" w:hAnsi="宋体" w:eastAsia="宋体" w:cs="宋体"/>
          <w:color w:val="auto"/>
          <w:sz w:val="21"/>
          <w:szCs w:val="21"/>
          <w:highlight w:val="none"/>
          <w:u w:val="single"/>
          <w:lang w:eastAsia="zh-CN"/>
        </w:rPr>
        <w:t>示</w:t>
      </w:r>
      <w:r>
        <w:rPr>
          <w:rFonts w:hint="eastAsia" w:ascii="宋体" w:hAnsi="宋体" w:eastAsia="宋体" w:cs="宋体"/>
          <w:color w:val="auto"/>
          <w:sz w:val="21"/>
          <w:szCs w:val="21"/>
          <w:highlight w:val="none"/>
          <w:u w:val="single"/>
        </w:rPr>
        <w:t>价的，投标人还须提供详细的施工组织设计、单价、措施性费用、单价分析表、主要材料价格表、投标人成本分析供评标委员会评审</w:t>
      </w:r>
      <w:r>
        <w:rPr>
          <w:rFonts w:hint="eastAsia" w:ascii="宋体" w:hAnsi="宋体" w:cs="宋体"/>
          <w:color w:val="auto"/>
          <w:sz w:val="21"/>
          <w:szCs w:val="21"/>
          <w:highlight w:val="none"/>
          <w:u w:val="single"/>
          <w:lang w:eastAsia="zh-CN"/>
        </w:rPr>
        <w:t>；</w:t>
      </w:r>
    </w:p>
    <w:p w14:paraId="77FF19D2">
      <w:pPr>
        <w:pBdr>
          <w:bottom w:val="single" w:color="auto" w:sz="4" w:space="0"/>
        </w:pBdr>
        <w:tabs>
          <w:tab w:val="left" w:pos="1125"/>
        </w:tabs>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cs="宋体"/>
          <w:color w:val="auto"/>
          <w:szCs w:val="21"/>
          <w:highlight w:val="none"/>
          <w:u w:val="single"/>
        </w:rPr>
        <w:t>11.3.7投标人认为应</w:t>
      </w:r>
      <w:r>
        <w:rPr>
          <w:rFonts w:hint="eastAsia" w:ascii="宋体" w:hAnsi="宋体"/>
          <w:bCs/>
          <w:color w:val="auto"/>
          <w:szCs w:val="21"/>
          <w:highlight w:val="none"/>
          <w:u w:val="single"/>
        </w:rPr>
        <w:t>该提供的其他经济标资料（如《中小企业声明函》、《监狱企业证明文件》、《残疾人福利性单位声明函》等，</w:t>
      </w:r>
      <w:r>
        <w:rPr>
          <w:rFonts w:hint="eastAsia" w:ascii="宋体" w:hAnsi="宋体"/>
          <w:color w:val="auto"/>
          <w:szCs w:val="21"/>
          <w:highlight w:val="none"/>
          <w:u w:val="single"/>
        </w:rPr>
        <w:t>按本招标文件“第四章投标文件格式”经济标投标文件格式</w:t>
      </w:r>
      <w:r>
        <w:rPr>
          <w:rFonts w:hint="eastAsia" w:ascii="宋体" w:hAnsi="宋体"/>
          <w:color w:val="auto"/>
          <w:szCs w:val="21"/>
          <w:highlight w:val="none"/>
          <w:u w:val="single"/>
          <w:lang w:val="en-US" w:eastAsia="zh-CN"/>
        </w:rPr>
        <w:t>四</w:t>
      </w:r>
      <w:r>
        <w:rPr>
          <w:rFonts w:hint="eastAsia" w:ascii="宋体" w:hAnsi="宋体"/>
          <w:color w:val="auto"/>
          <w:szCs w:val="21"/>
          <w:highlight w:val="none"/>
          <w:u w:val="single"/>
        </w:rPr>
        <w:t>、格式</w:t>
      </w:r>
      <w:r>
        <w:rPr>
          <w:rFonts w:hint="eastAsia" w:ascii="宋体" w:hAnsi="宋体"/>
          <w:color w:val="auto"/>
          <w:szCs w:val="21"/>
          <w:highlight w:val="none"/>
          <w:u w:val="single"/>
          <w:lang w:val="en-US" w:eastAsia="zh-CN"/>
        </w:rPr>
        <w:t>五</w:t>
      </w:r>
      <w:r>
        <w:rPr>
          <w:rFonts w:hint="eastAsia" w:ascii="宋体" w:hAnsi="宋体"/>
          <w:color w:val="auto"/>
          <w:szCs w:val="21"/>
          <w:highlight w:val="none"/>
          <w:u w:val="single"/>
        </w:rPr>
        <w:t>、格式</w:t>
      </w:r>
      <w:r>
        <w:rPr>
          <w:rFonts w:hint="eastAsia" w:ascii="宋体" w:hAnsi="宋体"/>
          <w:color w:val="auto"/>
          <w:szCs w:val="21"/>
          <w:highlight w:val="none"/>
          <w:u w:val="single"/>
          <w:lang w:val="en-US" w:eastAsia="zh-CN"/>
        </w:rPr>
        <w:t>六</w:t>
      </w:r>
      <w:r>
        <w:rPr>
          <w:rFonts w:hint="eastAsia" w:ascii="宋体" w:hAnsi="宋体"/>
          <w:bCs/>
          <w:color w:val="auto"/>
          <w:szCs w:val="21"/>
          <w:highlight w:val="none"/>
          <w:u w:val="single"/>
        </w:rPr>
        <w:t>）。</w:t>
      </w:r>
    </w:p>
    <w:p w14:paraId="5943FA6C">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条款号：11.4              修改类型：增加</w:t>
      </w:r>
    </w:p>
    <w:p w14:paraId="2E6618EE">
      <w:pPr>
        <w:spacing w:line="360" w:lineRule="auto"/>
        <w:ind w:firstLine="472" w:firstLineChars="224"/>
        <w:rPr>
          <w:rFonts w:hint="eastAsia" w:ascii="宋体" w:hAnsi="宋体" w:cs="宋体"/>
          <w:b/>
          <w:bCs/>
          <w:color w:val="auto"/>
          <w:sz w:val="21"/>
          <w:szCs w:val="21"/>
          <w:highlight w:val="none"/>
          <w:u w:val="single"/>
        </w:rPr>
      </w:pPr>
      <w:r>
        <w:rPr>
          <w:rFonts w:hint="eastAsia" w:ascii="宋体" w:hAnsi="宋体" w:cs="宋体"/>
          <w:b/>
          <w:color w:val="auto"/>
          <w:sz w:val="21"/>
          <w:szCs w:val="21"/>
          <w:highlight w:val="none"/>
        </w:rPr>
        <w:t>现文：</w:t>
      </w:r>
      <w:r>
        <w:rPr>
          <w:rFonts w:hint="eastAsia" w:ascii="宋体" w:hAnsi="宋体" w:cs="宋体"/>
          <w:b/>
          <w:bCs/>
          <w:color w:val="auto"/>
          <w:sz w:val="21"/>
          <w:szCs w:val="21"/>
          <w:highlight w:val="none"/>
          <w:u w:val="single"/>
        </w:rPr>
        <w:t>11.4</w:t>
      </w:r>
      <w:r>
        <w:rPr>
          <w:rFonts w:hint="eastAsia" w:ascii="宋体" w:hAnsi="宋体" w:cs="宋体"/>
          <w:b w:val="0"/>
          <w:bCs w:val="0"/>
          <w:color w:val="auto"/>
          <w:sz w:val="21"/>
          <w:szCs w:val="21"/>
          <w:highlight w:val="none"/>
          <w:u w:val="single"/>
        </w:rPr>
        <w:t>定标文件的组成</w:t>
      </w:r>
    </w:p>
    <w:p w14:paraId="2BDBBE27">
      <w:pPr>
        <w:spacing w:line="360" w:lineRule="auto"/>
        <w:ind w:firstLine="420" w:firstLineChars="200"/>
        <w:rPr>
          <w:rFonts w:hint="eastAsia" w:ascii="宋体" w:hAnsi="宋体" w:eastAsia="宋体" w:cs="宋体"/>
          <w:b w:val="0"/>
          <w:bCs w:val="0"/>
          <w:color w:val="auto"/>
          <w:sz w:val="21"/>
          <w:szCs w:val="21"/>
          <w:highlight w:val="none"/>
          <w:u w:val="single"/>
          <w:lang w:eastAsia="zh-CN"/>
        </w:rPr>
      </w:pPr>
      <w:r>
        <w:rPr>
          <w:rFonts w:hint="eastAsia" w:ascii="宋体" w:hAnsi="宋体" w:cs="宋体"/>
          <w:b w:val="0"/>
          <w:bCs w:val="0"/>
          <w:color w:val="auto"/>
          <w:sz w:val="21"/>
          <w:szCs w:val="21"/>
          <w:highlight w:val="none"/>
          <w:u w:val="single"/>
        </w:rPr>
        <w:t>11.4.</w:t>
      </w:r>
      <w:r>
        <w:rPr>
          <w:rFonts w:hint="eastAsia" w:ascii="宋体" w:hAnsi="宋体" w:cs="宋体"/>
          <w:b w:val="0"/>
          <w:bCs w:val="0"/>
          <w:color w:val="auto"/>
          <w:sz w:val="21"/>
          <w:szCs w:val="21"/>
          <w:highlight w:val="none"/>
          <w:u w:val="single"/>
          <w:lang w:val="en-US" w:eastAsia="zh-CN"/>
        </w:rPr>
        <w:t>1</w:t>
      </w:r>
      <w:r>
        <w:rPr>
          <w:rFonts w:hint="eastAsia" w:ascii="宋体" w:hAnsi="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u w:val="single"/>
          <w:lang w:val="en-US" w:eastAsia="zh-CN"/>
        </w:rPr>
        <w:t>定标文件封面</w:t>
      </w:r>
      <w:r>
        <w:rPr>
          <w:rFonts w:hint="eastAsia" w:ascii="宋体" w:hAnsi="宋体" w:cs="宋体"/>
          <w:b w:val="0"/>
          <w:bCs w:val="0"/>
          <w:color w:val="auto"/>
          <w:sz w:val="21"/>
          <w:szCs w:val="21"/>
          <w:highlight w:val="none"/>
          <w:u w:val="single"/>
        </w:rPr>
        <w:t>；</w:t>
      </w:r>
      <w:r>
        <w:rPr>
          <w:rFonts w:hint="eastAsia" w:ascii="宋体" w:hAnsi="宋体" w:cs="宋体"/>
          <w:b w:val="0"/>
          <w:bCs w:val="0"/>
          <w:color w:val="auto"/>
          <w:sz w:val="21"/>
          <w:szCs w:val="21"/>
          <w:highlight w:val="none"/>
          <w:u w:val="single"/>
          <w:lang w:eastAsia="zh-CN"/>
        </w:rPr>
        <w:t>（</w:t>
      </w:r>
      <w:r>
        <w:rPr>
          <w:rFonts w:hint="eastAsia" w:ascii="宋体" w:hAnsi="宋体" w:cs="宋体"/>
          <w:b w:val="0"/>
          <w:bCs w:val="0"/>
          <w:color w:val="auto"/>
          <w:sz w:val="21"/>
          <w:szCs w:val="21"/>
          <w:highlight w:val="none"/>
          <w:u w:val="single"/>
          <w:lang w:val="en-US" w:eastAsia="zh-CN"/>
        </w:rPr>
        <w:t>详见</w:t>
      </w:r>
      <w:r>
        <w:rPr>
          <w:rFonts w:hint="eastAsia" w:ascii="宋体" w:hAnsi="宋体" w:cs="宋体"/>
          <w:b w:val="0"/>
          <w:bCs w:val="0"/>
          <w:color w:val="auto"/>
          <w:sz w:val="21"/>
          <w:szCs w:val="21"/>
          <w:highlight w:val="none"/>
          <w:u w:val="single"/>
        </w:rPr>
        <w:t>定标文件格式一：定标文件封面</w:t>
      </w:r>
      <w:r>
        <w:rPr>
          <w:rFonts w:hint="eastAsia" w:ascii="宋体" w:hAnsi="宋体" w:cs="宋体"/>
          <w:b w:val="0"/>
          <w:bCs w:val="0"/>
          <w:color w:val="auto"/>
          <w:sz w:val="21"/>
          <w:szCs w:val="21"/>
          <w:highlight w:val="none"/>
          <w:u w:val="single"/>
          <w:lang w:eastAsia="zh-CN"/>
        </w:rPr>
        <w:t>）</w:t>
      </w:r>
    </w:p>
    <w:p w14:paraId="7064E2EF">
      <w:pPr>
        <w:spacing w:line="360" w:lineRule="auto"/>
        <w:ind w:firstLine="420" w:firstLineChars="200"/>
        <w:rPr>
          <w:rFonts w:hint="eastAsia" w:ascii="宋体" w:hAnsi="宋体" w:cs="宋体"/>
          <w:b w:val="0"/>
          <w:bCs w:val="0"/>
          <w:color w:val="auto"/>
          <w:sz w:val="21"/>
          <w:szCs w:val="21"/>
          <w:highlight w:val="none"/>
          <w:u w:val="single"/>
        </w:rPr>
      </w:pPr>
      <w:r>
        <w:rPr>
          <w:rFonts w:hint="eastAsia" w:ascii="宋体" w:hAnsi="宋体" w:cs="宋体"/>
          <w:b w:val="0"/>
          <w:bCs w:val="0"/>
          <w:color w:val="auto"/>
          <w:sz w:val="21"/>
          <w:szCs w:val="21"/>
          <w:highlight w:val="none"/>
          <w:u w:val="single"/>
        </w:rPr>
        <w:t>11.4.</w:t>
      </w:r>
      <w:r>
        <w:rPr>
          <w:rFonts w:hint="eastAsia" w:ascii="宋体" w:hAnsi="宋体" w:cs="宋体"/>
          <w:b w:val="0"/>
          <w:bCs w:val="0"/>
          <w:color w:val="auto"/>
          <w:sz w:val="21"/>
          <w:szCs w:val="21"/>
          <w:highlight w:val="none"/>
          <w:u w:val="single"/>
          <w:lang w:val="en-US" w:eastAsia="zh-CN"/>
        </w:rPr>
        <w:t>2</w:t>
      </w:r>
      <w:r>
        <w:rPr>
          <w:rFonts w:hint="eastAsia" w:ascii="宋体" w:hAnsi="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u w:val="single"/>
          <w:lang w:val="en-US" w:eastAsia="zh-CN"/>
        </w:rPr>
        <w:t>履约能力因素（格式自拟）</w:t>
      </w:r>
      <w:r>
        <w:rPr>
          <w:rFonts w:hint="eastAsia" w:ascii="宋体" w:hAnsi="宋体" w:cs="宋体"/>
          <w:b w:val="0"/>
          <w:bCs w:val="0"/>
          <w:color w:val="auto"/>
          <w:sz w:val="21"/>
          <w:szCs w:val="21"/>
          <w:highlight w:val="none"/>
          <w:u w:val="single"/>
        </w:rPr>
        <w:t>；</w:t>
      </w:r>
    </w:p>
    <w:p w14:paraId="44167FD9">
      <w:pPr>
        <w:pBdr>
          <w:bottom w:val="single" w:color="auto" w:sz="4" w:space="0"/>
        </w:pBdr>
        <w:spacing w:line="360" w:lineRule="auto"/>
        <w:ind w:firstLine="420" w:firstLineChars="200"/>
        <w:rPr>
          <w:rFonts w:hint="default" w:ascii="宋体" w:hAnsi="宋体" w:cs="宋体"/>
          <w:b w:val="0"/>
          <w:bCs w:val="0"/>
          <w:color w:val="auto"/>
          <w:sz w:val="21"/>
          <w:szCs w:val="21"/>
          <w:highlight w:val="none"/>
          <w:u w:val="single"/>
          <w:lang w:val="en-US" w:eastAsia="zh-CN"/>
        </w:rPr>
      </w:pPr>
      <w:r>
        <w:rPr>
          <w:rFonts w:hint="eastAsia" w:ascii="宋体" w:hAnsi="宋体" w:cs="宋体"/>
          <w:b w:val="0"/>
          <w:bCs w:val="0"/>
          <w:color w:val="auto"/>
          <w:sz w:val="21"/>
          <w:szCs w:val="21"/>
          <w:highlight w:val="none"/>
          <w:u w:val="single"/>
          <w:lang w:val="en-US" w:eastAsia="zh-CN"/>
        </w:rPr>
        <w:t>11.4.3 价格因素（格式自拟）；</w:t>
      </w:r>
    </w:p>
    <w:p w14:paraId="497528B9">
      <w:pPr>
        <w:pBdr>
          <w:bottom w:val="single" w:color="auto" w:sz="4" w:space="0"/>
        </w:pBdr>
        <w:spacing w:line="360" w:lineRule="auto"/>
        <w:ind w:firstLine="420" w:firstLineChars="200"/>
        <w:rPr>
          <w:rFonts w:hint="eastAsia" w:ascii="宋体" w:hAnsi="宋体" w:cs="宋体"/>
          <w:b w:val="0"/>
          <w:bCs w:val="0"/>
          <w:color w:val="auto"/>
          <w:sz w:val="21"/>
          <w:szCs w:val="21"/>
          <w:highlight w:val="none"/>
          <w:u w:val="single"/>
        </w:rPr>
      </w:pPr>
      <w:r>
        <w:rPr>
          <w:rFonts w:hint="eastAsia" w:ascii="宋体" w:hAnsi="宋体" w:cs="宋体"/>
          <w:b w:val="0"/>
          <w:bCs w:val="0"/>
          <w:color w:val="auto"/>
          <w:sz w:val="21"/>
          <w:szCs w:val="21"/>
          <w:highlight w:val="none"/>
          <w:u w:val="single"/>
          <w:lang w:val="en-US" w:eastAsia="zh-CN"/>
        </w:rPr>
        <w:t>11.4.4</w:t>
      </w:r>
      <w:r>
        <w:rPr>
          <w:rFonts w:hint="eastAsia" w:ascii="宋体" w:hAnsi="宋体" w:cs="宋体"/>
          <w:b w:val="0"/>
          <w:bCs w:val="0"/>
          <w:color w:val="auto"/>
          <w:sz w:val="21"/>
          <w:szCs w:val="21"/>
          <w:highlight w:val="none"/>
          <w:u w:val="single"/>
        </w:rPr>
        <w:t>投标人认为需要提交的其</w:t>
      </w:r>
      <w:r>
        <w:rPr>
          <w:rFonts w:hint="eastAsia" w:ascii="宋体" w:hAnsi="宋体" w:cs="宋体"/>
          <w:b w:val="0"/>
          <w:bCs w:val="0"/>
          <w:color w:val="auto"/>
          <w:sz w:val="21"/>
          <w:szCs w:val="21"/>
          <w:highlight w:val="none"/>
          <w:u w:val="single"/>
          <w:lang w:val="en-US" w:eastAsia="zh-CN"/>
        </w:rPr>
        <w:t>他</w:t>
      </w:r>
      <w:r>
        <w:rPr>
          <w:rFonts w:hint="eastAsia" w:ascii="宋体" w:hAnsi="宋体" w:cs="宋体"/>
          <w:b w:val="0"/>
          <w:bCs w:val="0"/>
          <w:color w:val="auto"/>
          <w:sz w:val="21"/>
          <w:szCs w:val="21"/>
          <w:highlight w:val="none"/>
          <w:u w:val="single"/>
        </w:rPr>
        <w:t>文件。</w:t>
      </w:r>
    </w:p>
    <w:p w14:paraId="7916F73A">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12.2</w:t>
      </w:r>
      <w:r>
        <w:rPr>
          <w:rFonts w:hint="eastAsia" w:ascii="宋体" w:hAnsi="宋体" w:eastAsia="宋体" w:cs="宋体"/>
          <w:b/>
          <w:color w:val="auto"/>
          <w:szCs w:val="21"/>
          <w:highlight w:val="none"/>
        </w:rPr>
        <w:t xml:space="preserve">             修改类型：修改</w:t>
      </w:r>
    </w:p>
    <w:p w14:paraId="7A43914B">
      <w:pPr>
        <w:pStyle w:val="35"/>
        <w:spacing w:after="0" w:line="360" w:lineRule="auto"/>
        <w:ind w:firstLine="422" w:firstLineChars="200"/>
        <w:rPr>
          <w:rFonts w:hint="eastAsia" w:ascii="宋体" w:hAnsi="宋体" w:eastAsia="宋体" w:cs="宋体"/>
          <w:color w:val="auto"/>
          <w:sz w:val="24"/>
          <w:highlight w:val="none"/>
        </w:rPr>
      </w:pPr>
      <w:r>
        <w:rPr>
          <w:rFonts w:hint="eastAsia" w:ascii="宋体" w:hAnsi="宋体" w:eastAsia="宋体" w:cs="宋体"/>
          <w:b/>
          <w:color w:val="auto"/>
          <w:szCs w:val="21"/>
          <w:highlight w:val="none"/>
        </w:rPr>
        <w:t>原文：</w:t>
      </w:r>
      <w:r>
        <w:rPr>
          <w:rFonts w:hint="eastAsia" w:ascii="宋体" w:hAnsi="宋体" w:eastAsia="宋体" w:cs="宋体"/>
          <w:b/>
          <w:bCs/>
          <w:color w:val="auto"/>
          <w:sz w:val="21"/>
          <w:szCs w:val="21"/>
          <w:highlight w:val="none"/>
          <w:lang w:val="en-US" w:eastAsia="zh-CN"/>
        </w:rPr>
        <w:t>12.2</w:t>
      </w:r>
      <w:r>
        <w:rPr>
          <w:rFonts w:hint="eastAsia" w:ascii="宋体" w:hAnsi="宋体"/>
          <w:color w:val="auto"/>
          <w:sz w:val="21"/>
          <w:szCs w:val="16"/>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 w:val="21"/>
          <w:szCs w:val="21"/>
          <w:highlight w:val="none"/>
        </w:rPr>
        <w:t>全流程电子化项目的相关指南进行操作。详见：</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rPr>
        <w:t xml:space="preserve"> </w:t>
      </w:r>
      <w:r>
        <w:rPr>
          <w:rFonts w:hint="eastAsia" w:ascii="宋体" w:hAnsi="宋体" w:eastAsia="宋体" w:cs="宋体"/>
          <w:color w:val="auto"/>
          <w:sz w:val="18"/>
          <w:szCs w:val="18"/>
          <w:highlight w:val="none"/>
        </w:rPr>
        <w:t xml:space="preserve"> 。</w:t>
      </w:r>
    </w:p>
    <w:p w14:paraId="25293E84">
      <w:pPr>
        <w:pBdr>
          <w:bottom w:val="single" w:color="auto" w:sz="6" w:space="1"/>
        </w:pBdr>
        <w:spacing w:line="360" w:lineRule="auto"/>
        <w:ind w:firstLine="527" w:firstLineChars="250"/>
        <w:rPr>
          <w:rFonts w:hint="eastAsia" w:ascii="宋体" w:hAnsi="宋体" w:eastAsia="宋体" w:cs="宋体"/>
          <w:b/>
          <w:bCs/>
          <w:color w:val="auto"/>
          <w:szCs w:val="21"/>
          <w:highlight w:val="none"/>
          <w:u w:val="single"/>
        </w:rPr>
      </w:pPr>
      <w:r>
        <w:rPr>
          <w:rFonts w:hint="eastAsia" w:ascii="宋体" w:hAnsi="宋体" w:eastAsia="宋体" w:cs="宋体"/>
          <w:b/>
          <w:color w:val="auto"/>
          <w:szCs w:val="21"/>
          <w:highlight w:val="none"/>
        </w:rPr>
        <w:t xml:space="preserve">现文：12.2 </w:t>
      </w:r>
      <w:r>
        <w:rPr>
          <w:rFonts w:hint="eastAsia" w:ascii="宋体" w:hAnsi="宋体" w:eastAsia="宋体" w:cs="宋体"/>
          <w:bCs/>
          <w:color w:val="auto"/>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签字或盖章后扫描上传。</w:t>
      </w:r>
      <w:r>
        <w:rPr>
          <w:rFonts w:hint="eastAsia" w:ascii="宋体" w:hAnsi="宋体" w:eastAsia="宋体" w:cs="宋体"/>
          <w:b/>
          <w:color w:val="auto"/>
          <w:szCs w:val="21"/>
          <w:highlight w:val="none"/>
          <w:u w:val="single"/>
        </w:rPr>
        <w:t>联合体投标的，除《联合体工作协议》必须联合体各方分别按要求进行签字、盖章，以及招标文件指定位置需要联合体各方分别按要求进行签字、盖章外，投标文件封面及其他内容落款中的“投标人”应填写联合体各方的单位全称【格式为：(主)XXXX公司(成)XXXX公司】，由联合体</w:t>
      </w:r>
      <w:r>
        <w:rPr>
          <w:rFonts w:hint="eastAsia" w:ascii="宋体" w:hAnsi="宋体" w:eastAsia="宋体" w:cs="宋体"/>
          <w:b/>
          <w:color w:val="auto"/>
          <w:szCs w:val="21"/>
          <w:highlight w:val="none"/>
          <w:u w:val="single"/>
          <w:lang w:eastAsia="zh-CN"/>
        </w:rPr>
        <w:t>牵头方</w:t>
      </w:r>
      <w:r>
        <w:rPr>
          <w:rFonts w:hint="eastAsia" w:ascii="宋体" w:hAnsi="宋体" w:eastAsia="宋体" w:cs="宋体"/>
          <w:b/>
          <w:color w:val="auto"/>
          <w:szCs w:val="21"/>
          <w:highlight w:val="none"/>
          <w:u w:val="single"/>
        </w:rPr>
        <w:t>单位签字、盖章即可。</w:t>
      </w:r>
      <w:r>
        <w:rPr>
          <w:rFonts w:hint="eastAsia" w:ascii="宋体" w:hAnsi="宋体" w:eastAsia="宋体" w:cs="宋体"/>
          <w:bCs/>
          <w:color w:val="auto"/>
          <w:szCs w:val="21"/>
          <w:highlight w:val="none"/>
        </w:rPr>
        <w:t>按照</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bCs/>
          <w:color w:val="auto"/>
          <w:szCs w:val="21"/>
          <w:highlight w:val="none"/>
        </w:rPr>
        <w:t>交易平台关于全流程电子化项目的相关指南进行操作。详见：</w:t>
      </w:r>
      <w:r>
        <w:rPr>
          <w:rFonts w:hint="eastAsia" w:ascii="宋体" w:hAnsi="宋体" w:eastAsia="宋体" w:cs="宋体"/>
          <w:b/>
          <w:bCs/>
          <w:color w:val="auto"/>
          <w:szCs w:val="21"/>
          <w:highlight w:val="none"/>
          <w:u w:val="single"/>
        </w:rPr>
        <w:t>【全流程电子化项目】电子招投标操作手册。</w:t>
      </w:r>
    </w:p>
    <w:p w14:paraId="5B25E2A8">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12.3</w:t>
      </w:r>
      <w:r>
        <w:rPr>
          <w:rFonts w:hint="eastAsia" w:ascii="宋体" w:hAnsi="宋体" w:eastAsia="宋体" w:cs="宋体"/>
          <w:b/>
          <w:color w:val="auto"/>
          <w:szCs w:val="21"/>
          <w:highlight w:val="none"/>
        </w:rPr>
        <w:t xml:space="preserve">             修改类型：修改</w:t>
      </w:r>
    </w:p>
    <w:p w14:paraId="6B5710E8">
      <w:pPr>
        <w:pStyle w:val="35"/>
        <w:spacing w:after="0" w:line="360" w:lineRule="auto"/>
        <w:ind w:firstLine="422" w:firstLineChars="200"/>
        <w:rPr>
          <w:rFonts w:hint="eastAsia" w:ascii="宋体" w:hAnsi="宋体" w:eastAsia="宋体" w:cs="宋体"/>
          <w:color w:val="auto"/>
          <w:sz w:val="24"/>
          <w:highlight w:val="none"/>
        </w:rPr>
      </w:pPr>
      <w:r>
        <w:rPr>
          <w:rFonts w:hint="eastAsia" w:ascii="宋体" w:hAnsi="宋体" w:eastAsia="宋体" w:cs="宋体"/>
          <w:b/>
          <w:color w:val="auto"/>
          <w:szCs w:val="21"/>
          <w:highlight w:val="none"/>
        </w:rPr>
        <w:t>原文：</w:t>
      </w:r>
      <w:r>
        <w:rPr>
          <w:rFonts w:hint="eastAsia" w:ascii="宋体" w:hAnsi="宋体" w:eastAsia="宋体" w:cs="宋体"/>
          <w:b/>
          <w:bCs/>
          <w:color w:val="auto"/>
          <w:sz w:val="21"/>
          <w:szCs w:val="21"/>
          <w:highlight w:val="none"/>
          <w:lang w:val="en-US" w:eastAsia="zh-CN"/>
        </w:rPr>
        <w:t>12.3</w:t>
      </w:r>
      <w:r>
        <w:rPr>
          <w:rFonts w:hint="eastAsia" w:ascii="宋体" w:hAnsi="宋体" w:eastAsia="宋体" w:cs="宋体"/>
          <w:bCs/>
          <w:color w:val="auto"/>
          <w:sz w:val="21"/>
          <w:szCs w:val="21"/>
          <w:highlight w:val="none"/>
        </w:rPr>
        <w:t>投标文件应按</w:t>
      </w:r>
      <w:r>
        <w:rPr>
          <w:rFonts w:hint="eastAsia" w:ascii="宋体" w:hAnsi="宋体" w:eastAsia="宋体" w:cs="宋体"/>
          <w:color w:val="auto"/>
          <w:sz w:val="21"/>
          <w:szCs w:val="21"/>
          <w:highlight w:val="none"/>
        </w:rPr>
        <w:t>照交易平台关于全流程电子化项目的相关指南进行编制，详见：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2D22E0A">
      <w:pPr>
        <w:pBdr>
          <w:bottom w:val="single" w:color="auto" w:sz="6" w:space="1"/>
        </w:pBdr>
        <w:spacing w:line="360" w:lineRule="auto"/>
        <w:ind w:firstLine="525" w:firstLineChars="250"/>
        <w:rPr>
          <w:rFonts w:hint="eastAsia" w:ascii="宋体" w:hAnsi="宋体" w:eastAsia="宋体" w:cs="宋体"/>
          <w:b/>
          <w:color w:val="auto"/>
          <w:szCs w:val="21"/>
          <w:highlight w:val="none"/>
        </w:rPr>
      </w:pPr>
      <w:r>
        <w:rPr>
          <w:rFonts w:hint="eastAsia" w:ascii="宋体" w:hAnsi="宋体" w:eastAsia="宋体" w:cs="宋体"/>
          <w:b w:val="0"/>
          <w:bCs/>
          <w:color w:val="auto"/>
          <w:szCs w:val="21"/>
          <w:highlight w:val="none"/>
        </w:rPr>
        <w:t>如不按上述要求编制引起系统无法检索、读取相关信息的，其后果由投标人承担。</w:t>
      </w:r>
    </w:p>
    <w:p w14:paraId="229A4E85">
      <w:pPr>
        <w:pBdr>
          <w:bottom w:val="single" w:color="auto" w:sz="6" w:space="1"/>
        </w:pBdr>
        <w:spacing w:line="360" w:lineRule="auto"/>
        <w:ind w:firstLine="527" w:firstLineChars="250"/>
        <w:rPr>
          <w:rFonts w:hint="eastAsia" w:ascii="宋体" w:hAnsi="宋体" w:eastAsia="宋体" w:cs="宋体"/>
          <w:b/>
          <w:bCs/>
          <w:color w:val="auto"/>
          <w:szCs w:val="21"/>
          <w:highlight w:val="none"/>
          <w:u w:val="single"/>
        </w:rPr>
      </w:pPr>
      <w:r>
        <w:rPr>
          <w:rFonts w:hint="eastAsia" w:ascii="宋体" w:hAnsi="宋体" w:eastAsia="宋体" w:cs="宋体"/>
          <w:b/>
          <w:color w:val="auto"/>
          <w:szCs w:val="21"/>
          <w:highlight w:val="none"/>
        </w:rPr>
        <w:t>现文：12.</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 xml:space="preserve"> </w:t>
      </w:r>
      <w:r>
        <w:rPr>
          <w:rFonts w:hint="eastAsia" w:ascii="宋体" w:hAnsi="宋体" w:eastAsia="宋体" w:cs="宋体"/>
          <w:bCs/>
          <w:color w:val="auto"/>
          <w:szCs w:val="21"/>
          <w:highlight w:val="none"/>
        </w:rPr>
        <w:t>投标文件应按照交易平台关于全流程电子化项目的相关指南进行编制，详见：</w:t>
      </w:r>
      <w:r>
        <w:rPr>
          <w:rFonts w:hint="eastAsia" w:ascii="宋体" w:hAnsi="宋体" w:eastAsia="宋体" w:cs="宋体"/>
          <w:b/>
          <w:bCs/>
          <w:color w:val="auto"/>
          <w:szCs w:val="21"/>
          <w:highlight w:val="none"/>
          <w:u w:val="single"/>
        </w:rPr>
        <w:t>【全流程电子化项目】电子招投标操作手册。</w:t>
      </w:r>
    </w:p>
    <w:p w14:paraId="6C434A6A">
      <w:pPr>
        <w:pBdr>
          <w:bottom w:val="single" w:color="auto" w:sz="6" w:space="1"/>
        </w:pBdr>
        <w:spacing w:line="360" w:lineRule="auto"/>
        <w:ind w:firstLine="525" w:firstLineChars="250"/>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如不按上述要求编制引起系统无法检索、读取相关信息的，其后果由投标人承担。</w:t>
      </w:r>
    </w:p>
    <w:p w14:paraId="0519EDC5">
      <w:pPr>
        <w:pStyle w:val="130"/>
        <w:tabs>
          <w:tab w:val="left" w:pos="1125"/>
        </w:tabs>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条款号：13                   修改类型：修改</w:t>
      </w:r>
    </w:p>
    <w:p w14:paraId="751E07E9">
      <w:pPr>
        <w:pStyle w:val="35"/>
        <w:spacing w:after="0" w:line="360" w:lineRule="auto"/>
        <w:ind w:firstLine="422" w:firstLineChars="200"/>
        <w:rPr>
          <w:rFonts w:ascii="宋体" w:hAnsi="宋体"/>
          <w:b/>
          <w:bCs/>
          <w:color w:val="auto"/>
          <w:szCs w:val="21"/>
          <w:highlight w:val="none"/>
        </w:rPr>
      </w:pPr>
      <w:r>
        <w:rPr>
          <w:rFonts w:hint="eastAsia" w:ascii="宋体" w:hAnsi="宋体"/>
          <w:b/>
          <w:color w:val="auto"/>
          <w:szCs w:val="21"/>
          <w:highlight w:val="none"/>
        </w:rPr>
        <w:t>原文：</w:t>
      </w:r>
      <w:r>
        <w:rPr>
          <w:rFonts w:ascii="宋体" w:hAnsi="宋体"/>
          <w:bCs/>
          <w:color w:val="auto"/>
          <w:szCs w:val="21"/>
          <w:highlight w:val="none"/>
        </w:rPr>
        <w:t>13</w:t>
      </w:r>
      <w:r>
        <w:rPr>
          <w:rFonts w:hint="eastAsia" w:ascii="宋体" w:hAnsi="宋体"/>
          <w:bCs/>
          <w:color w:val="auto"/>
          <w:szCs w:val="21"/>
          <w:highlight w:val="none"/>
        </w:rPr>
        <w:t>．投标报价及造价承包和变更结算方式</w:t>
      </w:r>
    </w:p>
    <w:p w14:paraId="43E9C15B">
      <w:pPr>
        <w:pStyle w:val="35"/>
        <w:pBdr>
          <w:bottom w:val="single" w:color="auto" w:sz="4" w:space="1"/>
        </w:pBdr>
        <w:spacing w:after="0" w:line="360" w:lineRule="auto"/>
        <w:ind w:firstLine="422" w:firstLineChars="200"/>
        <w:rPr>
          <w:rFonts w:ascii="宋体"/>
          <w:b/>
          <w:bCs/>
          <w:color w:val="auto"/>
          <w:szCs w:val="21"/>
          <w:highlight w:val="none"/>
        </w:rPr>
      </w:pPr>
      <w:r>
        <w:rPr>
          <w:rFonts w:hint="eastAsia" w:ascii="宋体" w:hAnsi="宋体"/>
          <w:b/>
          <w:bCs/>
          <w:color w:val="auto"/>
          <w:szCs w:val="21"/>
          <w:highlight w:val="none"/>
        </w:rPr>
        <w:t>现文：</w:t>
      </w:r>
      <w:r>
        <w:rPr>
          <w:rFonts w:hint="eastAsia" w:ascii="宋体" w:hAnsi="宋体"/>
          <w:bCs/>
          <w:color w:val="auto"/>
          <w:szCs w:val="21"/>
          <w:highlight w:val="none"/>
        </w:rPr>
        <w:t>13.</w:t>
      </w:r>
      <w:r>
        <w:rPr>
          <w:rFonts w:ascii="宋体" w:hAnsi="宋体"/>
          <w:bCs/>
          <w:color w:val="auto"/>
          <w:szCs w:val="21"/>
          <w:highlight w:val="none"/>
        </w:rPr>
        <w:t xml:space="preserve"> </w:t>
      </w:r>
      <w:r>
        <w:rPr>
          <w:rFonts w:hint="eastAsia" w:ascii="宋体" w:hAnsi="宋体"/>
          <w:bCs/>
          <w:color w:val="auto"/>
          <w:szCs w:val="21"/>
          <w:highlight w:val="none"/>
        </w:rPr>
        <w:t>投标报价及造价承包和变更结算方式</w:t>
      </w:r>
      <w:r>
        <w:rPr>
          <w:rFonts w:hint="eastAsia" w:ascii="宋体" w:hAnsi="宋体"/>
          <w:b/>
          <w:bCs/>
          <w:color w:val="auto"/>
          <w:szCs w:val="21"/>
          <w:highlight w:val="none"/>
          <w:u w:val="single"/>
        </w:rPr>
        <w:t>（本条如与合同条款有矛盾，按合同条款执行）</w:t>
      </w:r>
    </w:p>
    <w:p w14:paraId="6BB972B2">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 xml:space="preserve">13.1 </w:t>
      </w:r>
      <w:r>
        <w:rPr>
          <w:rFonts w:hint="eastAsia" w:ascii="宋体" w:hAnsi="宋体" w:eastAsia="宋体" w:cs="宋体"/>
          <w:b/>
          <w:color w:val="auto"/>
          <w:szCs w:val="21"/>
          <w:highlight w:val="none"/>
        </w:rPr>
        <w:t xml:space="preserve">            修改类型：修改</w:t>
      </w:r>
    </w:p>
    <w:p w14:paraId="7934678C">
      <w:pPr>
        <w:pStyle w:val="35"/>
        <w:spacing w:after="0" w:line="360" w:lineRule="auto"/>
        <w:ind w:firstLine="422" w:firstLineChars="200"/>
        <w:rPr>
          <w:rFonts w:hint="eastAsia" w:ascii="宋体" w:hAnsi="宋体" w:eastAsia="宋体" w:cs="宋体"/>
          <w:color w:val="auto"/>
          <w:sz w:val="24"/>
          <w:highlight w:val="none"/>
        </w:rPr>
      </w:pPr>
      <w:r>
        <w:rPr>
          <w:rFonts w:hint="eastAsia" w:ascii="宋体" w:hAnsi="宋体" w:eastAsia="宋体" w:cs="宋体"/>
          <w:b/>
          <w:color w:val="auto"/>
          <w:szCs w:val="21"/>
          <w:highlight w:val="none"/>
        </w:rPr>
        <w:t>原文：</w:t>
      </w:r>
      <w:r>
        <w:rPr>
          <w:rFonts w:hint="eastAsia" w:ascii="宋体" w:hAnsi="宋体" w:eastAsia="宋体" w:cs="宋体"/>
          <w:b/>
          <w:bCs/>
          <w:color w:val="auto"/>
          <w:sz w:val="21"/>
          <w:szCs w:val="21"/>
          <w:highlight w:val="none"/>
          <w:lang w:val="en-US" w:eastAsia="zh-CN"/>
        </w:rPr>
        <w:t>13.1</w:t>
      </w:r>
      <w:r>
        <w:rPr>
          <w:rFonts w:hint="eastAsia" w:ascii="宋体" w:hAnsi="宋体" w:eastAsia="宋体" w:cs="宋体"/>
          <w:b w:val="0"/>
          <w:bCs w:val="0"/>
          <w:color w:val="auto"/>
          <w:sz w:val="21"/>
          <w:szCs w:val="21"/>
          <w:highlight w:val="none"/>
          <w:lang w:val="en-US" w:eastAsia="zh-CN"/>
        </w:rPr>
        <w:t>本工程的投标报价采用投标须知前附表第14项所规定的方式。投标报价（含单价及总价）精确到“分”</w:t>
      </w:r>
      <w:r>
        <w:rPr>
          <w:rFonts w:hint="eastAsia" w:ascii="宋体" w:hAnsi="宋体" w:eastAsia="宋体" w:cs="宋体"/>
          <w:b w:val="0"/>
          <w:bCs w:val="0"/>
          <w:color w:val="auto"/>
          <w:sz w:val="21"/>
          <w:szCs w:val="21"/>
          <w:highlight w:val="none"/>
        </w:rPr>
        <w:t>。</w:t>
      </w:r>
    </w:p>
    <w:p w14:paraId="7E5A445E">
      <w:pPr>
        <w:pBdr>
          <w:bottom w:val="single" w:color="auto" w:sz="6" w:space="1"/>
        </w:pBdr>
        <w:spacing w:line="360" w:lineRule="auto"/>
        <w:ind w:firstLine="527" w:firstLineChars="250"/>
        <w:rPr>
          <w:rFonts w:hint="eastAsia" w:ascii="宋体" w:hAnsi="宋体" w:eastAsia="宋体" w:cs="宋体"/>
          <w:b/>
          <w:bCs/>
          <w:color w:val="auto"/>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b/>
          <w:color w:val="auto"/>
          <w:szCs w:val="21"/>
          <w:highlight w:val="none"/>
          <w:lang w:val="en-US" w:eastAsia="zh-CN"/>
        </w:rPr>
        <w:t>13.1</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本工程的投标报价采用投标须知前附表第</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项所规定的方式。</w:t>
      </w:r>
      <w:r>
        <w:rPr>
          <w:rFonts w:hint="eastAsia" w:ascii="宋体" w:hAnsi="宋体" w:eastAsia="宋体" w:cs="宋体"/>
          <w:color w:val="auto"/>
          <w:szCs w:val="21"/>
          <w:highlight w:val="none"/>
          <w:u w:val="single"/>
        </w:rPr>
        <w:t>投标文件中的大写金额和小写金额不一致的，以大写金额为准，投标报价精确到“分”。</w:t>
      </w:r>
    </w:p>
    <w:p w14:paraId="6EECF18F">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 xml:space="preserve">13.4 </w:t>
      </w:r>
      <w:r>
        <w:rPr>
          <w:rFonts w:hint="eastAsia" w:ascii="宋体" w:hAnsi="宋体" w:eastAsia="宋体" w:cs="宋体"/>
          <w:b/>
          <w:color w:val="auto"/>
          <w:szCs w:val="21"/>
          <w:highlight w:val="none"/>
        </w:rPr>
        <w:t xml:space="preserve">            修改类型：修改</w:t>
      </w:r>
    </w:p>
    <w:p w14:paraId="745AB461">
      <w:pPr>
        <w:pStyle w:val="35"/>
        <w:spacing w:after="0" w:line="360" w:lineRule="auto"/>
        <w:ind w:firstLine="422" w:firstLineChars="200"/>
        <w:rPr>
          <w:rFonts w:hint="eastAsia" w:ascii="宋体" w:hAnsi="宋体" w:eastAsia="宋体" w:cs="宋体"/>
          <w:color w:val="auto"/>
          <w:sz w:val="24"/>
          <w:highlight w:val="none"/>
        </w:rPr>
      </w:pPr>
      <w:r>
        <w:rPr>
          <w:rFonts w:hint="eastAsia" w:ascii="宋体" w:hAnsi="宋体" w:eastAsia="宋体" w:cs="宋体"/>
          <w:b/>
          <w:color w:val="auto"/>
          <w:szCs w:val="21"/>
          <w:highlight w:val="none"/>
        </w:rPr>
        <w:t>原文：</w:t>
      </w:r>
      <w:r>
        <w:rPr>
          <w:rFonts w:hint="eastAsia" w:ascii="宋体" w:hAnsi="宋体" w:eastAsia="宋体" w:cs="宋体"/>
          <w:b/>
          <w:bCs/>
          <w:color w:val="auto"/>
          <w:sz w:val="21"/>
          <w:szCs w:val="21"/>
          <w:highlight w:val="none"/>
          <w:lang w:val="en-US" w:eastAsia="zh-CN"/>
        </w:rPr>
        <w:t>13.4</w:t>
      </w:r>
      <w:r>
        <w:rPr>
          <w:rFonts w:hint="eastAsia" w:ascii="宋体" w:hAnsi="宋体"/>
          <w:color w:val="auto"/>
          <w:sz w:val="21"/>
          <w:szCs w:val="16"/>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r>
        <w:rPr>
          <w:rFonts w:hint="eastAsia" w:ascii="宋体" w:hAnsi="宋体" w:eastAsia="宋体" w:cs="宋体"/>
          <w:b w:val="0"/>
          <w:bCs w:val="0"/>
          <w:color w:val="auto"/>
          <w:sz w:val="18"/>
          <w:szCs w:val="18"/>
          <w:highlight w:val="none"/>
        </w:rPr>
        <w:t>。</w:t>
      </w:r>
    </w:p>
    <w:p w14:paraId="33392564">
      <w:pPr>
        <w:pBdr>
          <w:bottom w:val="single" w:color="auto" w:sz="6" w:space="1"/>
        </w:pBdr>
        <w:spacing w:line="360" w:lineRule="auto"/>
        <w:ind w:firstLine="527" w:firstLineChars="250"/>
        <w:rPr>
          <w:rFonts w:hint="eastAsia" w:ascii="宋体" w:hAnsi="宋体" w:eastAsia="宋体" w:cs="宋体"/>
          <w:b/>
          <w:bCs/>
          <w:color w:val="auto"/>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b/>
          <w:color w:val="auto"/>
          <w:szCs w:val="21"/>
          <w:highlight w:val="none"/>
          <w:lang w:val="en-US" w:eastAsia="zh-CN"/>
        </w:rPr>
        <w:t>13.4</w:t>
      </w:r>
      <w:r>
        <w:rPr>
          <w:rFonts w:hint="eastAsia" w:ascii="宋体" w:hAnsi="宋体" w:eastAsia="宋体" w:cs="宋体"/>
          <w:b/>
          <w:color w:val="auto"/>
          <w:szCs w:val="21"/>
          <w:highlight w:val="none"/>
        </w:rPr>
        <w:t xml:space="preserve"> </w:t>
      </w:r>
      <w:r>
        <w:rPr>
          <w:rFonts w:hint="eastAsia" w:ascii="宋体" w:hAnsi="宋体" w:eastAsia="宋体" w:cs="宋体"/>
          <w:bCs/>
          <w:color w:val="auto"/>
          <w:szCs w:val="21"/>
          <w:highlight w:val="none"/>
        </w:rPr>
        <w:t>投标人一旦中标，投标人对招标人提供的招标工程量清单中列出的工程项目所报出的综合单价，</w:t>
      </w:r>
      <w:r>
        <w:rPr>
          <w:rFonts w:hint="eastAsia" w:ascii="宋体" w:hAnsi="宋体" w:eastAsia="宋体" w:cs="宋体"/>
          <w:bCs/>
          <w:color w:val="auto"/>
          <w:szCs w:val="21"/>
          <w:highlight w:val="none"/>
          <w:u w:val="single"/>
        </w:rPr>
        <w:t>除合同约定可以调整综合单价的情况外，综合单价在工程结算时将不得变更。招标人应在合同中明确在市场价格发生异常变动情况时合同价款的调整办法。因应计算的实际工程量与招标工程量清单出现偏差或因工程变更等原因导致的工程量偏差，引起相关项目相应发生变化时，按合同条款相关约定调整。</w:t>
      </w:r>
    </w:p>
    <w:p w14:paraId="7172E42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条款号：13.5  13.5.1  13.5.2  13.5.3  13.5.4          修改类型：修改</w:t>
      </w:r>
    </w:p>
    <w:p w14:paraId="6E494981">
      <w:pPr>
        <w:pStyle w:val="35"/>
        <w:pBdr>
          <w:bottom w:val="single" w:color="auto" w:sz="6" w:space="1"/>
        </w:pBdr>
        <w:spacing w:after="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
          <w:bCs/>
          <w:color w:val="auto"/>
          <w:szCs w:val="21"/>
          <w:highlight w:val="none"/>
        </w:rPr>
        <w:t>13.5</w:t>
      </w:r>
      <w:r>
        <w:rPr>
          <w:rFonts w:hint="eastAsia" w:ascii="宋体" w:hAnsi="宋体" w:eastAsia="宋体" w:cs="宋体"/>
          <w:color w:val="auto"/>
          <w:szCs w:val="21"/>
          <w:highlight w:val="none"/>
        </w:rPr>
        <w:t>工程项目实施期间……，中标后双方协商约定。</w:t>
      </w:r>
    </w:p>
    <w:p w14:paraId="634F58C1">
      <w:pPr>
        <w:pStyle w:val="35"/>
        <w:pBdr>
          <w:bottom w:val="single" w:color="auto" w:sz="6" w:space="1"/>
        </w:pBdr>
        <w:spacing w:after="0" w:line="360" w:lineRule="auto"/>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现文：13.5</w:t>
      </w:r>
      <w:r>
        <w:rPr>
          <w:rFonts w:hint="eastAsia" w:ascii="宋体" w:hAnsi="宋体" w:eastAsia="宋体" w:cs="宋体"/>
          <w:color w:val="auto"/>
          <w:szCs w:val="21"/>
          <w:highlight w:val="none"/>
          <w:u w:val="single"/>
        </w:rPr>
        <w:t>变更结算方式按招标文件及施工合同相关规定执行。</w:t>
      </w:r>
    </w:p>
    <w:p w14:paraId="619D652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条款号：13.9             修改类型：修改</w:t>
      </w:r>
    </w:p>
    <w:p w14:paraId="51AE57D0">
      <w:pPr>
        <w:pBdr>
          <w:bottom w:val="single" w:color="auto" w:sz="6" w:space="1"/>
        </w:pBd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原文：13.9</w:t>
      </w:r>
      <w:r>
        <w:rPr>
          <w:rFonts w:hint="eastAsia" w:ascii="宋体"/>
          <w:color w:val="auto"/>
          <w:sz w:val="21"/>
          <w:szCs w:val="21"/>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r>
        <w:rPr>
          <w:rFonts w:hint="eastAsia" w:ascii="宋体" w:hAnsi="宋体" w:eastAsia="宋体" w:cs="宋体"/>
          <w:b w:val="0"/>
          <w:bCs/>
          <w:color w:val="auto"/>
          <w:sz w:val="21"/>
          <w:szCs w:val="21"/>
          <w:highlight w:val="none"/>
        </w:rPr>
        <w:t>。</w:t>
      </w:r>
    </w:p>
    <w:p w14:paraId="5F47238B">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
          <w:bCs/>
          <w:color w:val="auto"/>
          <w:szCs w:val="21"/>
          <w:highlight w:val="none"/>
        </w:rPr>
        <w:t>13.9</w:t>
      </w:r>
      <w:r>
        <w:rPr>
          <w:rFonts w:hint="eastAsia" w:ascii="宋体"/>
          <w:color w:val="auto"/>
          <w:szCs w:val="21"/>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w:t>
      </w:r>
      <w:r>
        <w:rPr>
          <w:rFonts w:hint="eastAsia" w:ascii="宋体" w:hAnsi="宋体"/>
          <w:b/>
          <w:bCs/>
          <w:color w:val="auto"/>
          <w:szCs w:val="21"/>
          <w:highlight w:val="none"/>
          <w:u w:val="single"/>
        </w:rPr>
        <w:t>按施工合同相关规定执行</w:t>
      </w:r>
      <w:r>
        <w:rPr>
          <w:rFonts w:hint="eastAsia" w:ascii="宋体"/>
          <w:color w:val="auto"/>
          <w:szCs w:val="21"/>
          <w:highlight w:val="none"/>
        </w:rPr>
        <w:t>。</w:t>
      </w:r>
    </w:p>
    <w:p w14:paraId="7B3E973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条款号：15.2              修改类型：修改</w:t>
      </w:r>
    </w:p>
    <w:p w14:paraId="4A49B07D">
      <w:pPr>
        <w:pStyle w:val="35"/>
        <w:pBdr>
          <w:bottom w:val="single" w:color="auto" w:sz="6" w:space="1"/>
        </w:pBdr>
        <w:spacing w:after="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
          <w:bCs/>
          <w:color w:val="auto"/>
          <w:szCs w:val="21"/>
          <w:highlight w:val="none"/>
        </w:rPr>
        <w:t xml:space="preserve">15.2 </w:t>
      </w:r>
      <w:r>
        <w:rPr>
          <w:rFonts w:hint="eastAsia" w:ascii="宋体" w:hAnsi="宋体" w:eastAsia="宋体" w:cs="宋体"/>
          <w:color w:val="auto"/>
          <w:sz w:val="21"/>
          <w:szCs w:val="21"/>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r>
        <w:rPr>
          <w:rFonts w:hint="eastAsia" w:ascii="宋体" w:hAnsi="宋体" w:eastAsia="宋体" w:cs="宋体"/>
          <w:b w:val="0"/>
          <w:bCs w:val="0"/>
          <w:color w:val="auto"/>
          <w:sz w:val="21"/>
          <w:szCs w:val="21"/>
          <w:highlight w:val="none"/>
        </w:rPr>
        <w:t>。</w:t>
      </w:r>
    </w:p>
    <w:p w14:paraId="22BFF394">
      <w:pPr>
        <w:pStyle w:val="35"/>
        <w:pBdr>
          <w:bottom w:val="single" w:color="auto" w:sz="6" w:space="1"/>
        </w:pBdr>
        <w:spacing w:after="0" w:line="360" w:lineRule="auto"/>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现文：15.2</w:t>
      </w:r>
      <w:r>
        <w:rPr>
          <w:rFonts w:hint="eastAsia" w:ascii="宋体" w:hAnsi="宋体" w:eastAsia="宋体" w:cs="宋体"/>
          <w:bCs/>
          <w:color w:val="auto"/>
          <w:szCs w:val="21"/>
          <w:highlight w:val="none"/>
        </w:rPr>
        <w:t>在特殊情况下，招标人在原定投标有效期内，可以根据需要以书面形式向投标人提出延长投标有效期的要求，对此要求投标人须以书面形式予以答复。</w:t>
      </w:r>
      <w:r>
        <w:rPr>
          <w:rFonts w:hint="eastAsia" w:ascii="宋体" w:hAnsi="宋体" w:eastAsia="宋体" w:cs="宋体"/>
          <w:bCs/>
          <w:color w:val="auto"/>
          <w:szCs w:val="21"/>
          <w:highlight w:val="none"/>
          <w:u w:val="single"/>
        </w:rPr>
        <w:t>投标人可以拒绝招标人这种要求。同意延长投标有效期的投标人既不能要求也不允许修改其投标文件。</w:t>
      </w:r>
    </w:p>
    <w:p w14:paraId="67C75E9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条款号：16.1  16.1.1  16.1.2  16.1.3  16.2  16.3  </w:t>
      </w:r>
      <w:r>
        <w:rPr>
          <w:rFonts w:hint="eastAsia" w:ascii="宋体" w:hAnsi="宋体" w:eastAsia="宋体" w:cs="宋体"/>
          <w:b/>
          <w:color w:val="auto"/>
          <w:szCs w:val="21"/>
          <w:highlight w:val="none"/>
          <w:lang w:val="en-US" w:eastAsia="zh-CN"/>
        </w:rPr>
        <w:t>16.4</w:t>
      </w:r>
      <w:r>
        <w:rPr>
          <w:rFonts w:hint="eastAsia" w:ascii="宋体" w:hAnsi="宋体" w:eastAsia="宋体" w:cs="宋体"/>
          <w:b/>
          <w:color w:val="auto"/>
          <w:szCs w:val="21"/>
          <w:highlight w:val="none"/>
        </w:rPr>
        <w:t xml:space="preserve">       修改类型：删除</w:t>
      </w:r>
    </w:p>
    <w:p w14:paraId="7CDD6437">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16.1投标人应按</w:t>
      </w:r>
      <w:r>
        <w:rPr>
          <w:rFonts w:hint="eastAsia" w:ascii="宋体" w:hAnsi="宋体" w:eastAsia="宋体" w:cs="宋体"/>
          <w:color w:val="auto"/>
          <w:sz w:val="21"/>
          <w:szCs w:val="21"/>
          <w:highlight w:val="none"/>
          <w:lang w:eastAsia="zh-CN"/>
        </w:rPr>
        <w:t>国家、省、市有关规定和</w:t>
      </w:r>
      <w:r>
        <w:rPr>
          <w:rFonts w:hint="eastAsia" w:ascii="宋体" w:hAnsi="宋体" w:eastAsia="宋体" w:cs="宋体"/>
          <w:color w:val="auto"/>
          <w:sz w:val="21"/>
          <w:szCs w:val="21"/>
          <w:highlight w:val="none"/>
        </w:rPr>
        <w:t>投标须知前附表第</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项所述金额和时间递交</w:t>
      </w:r>
      <w:r>
        <w:rPr>
          <w:rFonts w:hint="eastAsia" w:ascii="宋体" w:hAnsi="宋体" w:eastAsia="宋体" w:cs="宋体"/>
          <w:bCs/>
          <w:color w:val="auto"/>
          <w:sz w:val="21"/>
          <w:szCs w:val="21"/>
          <w:highlight w:val="none"/>
        </w:rPr>
        <w:t>投标保证金</w:t>
      </w:r>
      <w:r>
        <w:rPr>
          <w:rFonts w:hint="eastAsia" w:ascii="宋体" w:hAnsi="宋体" w:eastAsia="宋体" w:cs="宋体"/>
          <w:color w:val="auto"/>
          <w:sz w:val="21"/>
          <w:szCs w:val="21"/>
          <w:highlight w:val="none"/>
        </w:rPr>
        <w:t>。招标人应当允许投标人自主选择现金、银行保函、保证保险、专业工程担保公司担保等方式缴纳投标保证金。</w:t>
      </w:r>
    </w:p>
    <w:p w14:paraId="4DD38FB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 采用现金或者支票形式提交的，投标保证金须从投标人的银行基本账户转出。</w:t>
      </w:r>
    </w:p>
    <w:p w14:paraId="31F9FD0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16.1.2 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0C7AC70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采用电子形式的保函、担保或保证保险提交投标保证金的，应在招标文件中明确电子递交途径。</w:t>
      </w:r>
    </w:p>
    <w:p w14:paraId="08CC93D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1D0EF6C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16.3投标保证金应依据法律法规的相关规定退还。</w:t>
      </w:r>
    </w:p>
    <w:p w14:paraId="29EE0925">
      <w:pPr>
        <w:pStyle w:val="35"/>
        <w:pBdr>
          <w:bottom w:val="single" w:color="auto" w:sz="6" w:space="1"/>
        </w:pBd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16.4如有下列情况之一的，招标人可以不予退还投标保证金（是否退还投标保证金由招标人</w:t>
      </w:r>
      <w:r>
        <w:rPr>
          <w:rFonts w:hint="eastAsia" w:ascii="宋体" w:hAnsi="宋体" w:eastAsia="宋体" w:cs="宋体"/>
          <w:color w:val="auto"/>
          <w:sz w:val="21"/>
          <w:szCs w:val="21"/>
          <w:highlight w:val="none"/>
          <w:lang w:eastAsia="zh-CN"/>
        </w:rPr>
        <w:t>依法依规</w:t>
      </w:r>
      <w:r>
        <w:rPr>
          <w:rFonts w:hint="eastAsia" w:ascii="宋体" w:hAnsi="宋体" w:eastAsia="宋体" w:cs="宋体"/>
          <w:color w:val="auto"/>
          <w:sz w:val="21"/>
          <w:szCs w:val="21"/>
          <w:highlight w:val="none"/>
        </w:rPr>
        <w:t>在招标文件中规定）</w:t>
      </w:r>
      <w:r>
        <w:rPr>
          <w:rFonts w:hint="eastAsia" w:ascii="宋体" w:hAnsi="宋体" w:eastAsia="宋体" w:cs="宋体"/>
          <w:color w:val="auto"/>
          <w:sz w:val="21"/>
          <w:szCs w:val="21"/>
          <w:highlight w:val="none"/>
          <w:lang w:eastAsia="zh-CN"/>
        </w:rPr>
        <w:t>。</w:t>
      </w:r>
    </w:p>
    <w:p w14:paraId="39A74814">
      <w:pPr>
        <w:spacing w:line="360" w:lineRule="auto"/>
        <w:ind w:firstLine="472" w:firstLineChars="224"/>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条款号：16.5             修改类型：</w:t>
      </w:r>
      <w:r>
        <w:rPr>
          <w:rFonts w:hint="eastAsia" w:ascii="宋体" w:hAnsi="宋体" w:cs="宋体"/>
          <w:b/>
          <w:color w:val="auto"/>
          <w:szCs w:val="21"/>
          <w:highlight w:val="none"/>
          <w:lang w:val="en-US" w:eastAsia="zh-CN"/>
        </w:rPr>
        <w:t>修改</w:t>
      </w:r>
    </w:p>
    <w:p w14:paraId="1A5A4858">
      <w:pPr>
        <w:pBdr>
          <w:bottom w:val="single" w:color="auto" w:sz="4" w:space="0"/>
        </w:pBdr>
        <w:spacing w:line="360" w:lineRule="auto"/>
        <w:ind w:firstLine="472" w:firstLineChars="224"/>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
          <w:bCs w:val="0"/>
          <w:color w:val="auto"/>
          <w:szCs w:val="21"/>
          <w:highlight w:val="none"/>
        </w:rPr>
        <w:t>16.5</w:t>
      </w:r>
      <w:r>
        <w:rPr>
          <w:rFonts w:hint="eastAsia" w:ascii="宋体" w:hAnsi="宋体" w:eastAsia="宋体" w:cs="宋体"/>
          <w:bCs/>
          <w:color w:val="auto"/>
          <w:szCs w:val="21"/>
          <w:highlight w:val="none"/>
        </w:rPr>
        <w:t>投标人如存在下列情况之一的，将被拒绝在一定时期内参与招标人后续工程投标（由</w:t>
      </w:r>
    </w:p>
    <w:p w14:paraId="628ABA53">
      <w:pPr>
        <w:pBdr>
          <w:bottom w:val="single" w:color="auto" w:sz="4" w:space="0"/>
        </w:pBd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招标人</w:t>
      </w:r>
      <w:r>
        <w:rPr>
          <w:rFonts w:hint="eastAsia" w:ascii="宋体" w:hAnsi="宋体" w:eastAsia="宋体" w:cs="宋体"/>
          <w:bCs/>
          <w:color w:val="auto"/>
          <w:szCs w:val="21"/>
          <w:highlight w:val="none"/>
          <w:lang w:eastAsia="zh-CN"/>
        </w:rPr>
        <w:t>依法依规</w:t>
      </w:r>
      <w:r>
        <w:rPr>
          <w:rFonts w:hint="eastAsia" w:ascii="宋体" w:hAnsi="宋体" w:eastAsia="宋体" w:cs="宋体"/>
          <w:bCs/>
          <w:color w:val="auto"/>
          <w:szCs w:val="21"/>
          <w:highlight w:val="none"/>
        </w:rPr>
        <w:t>在招标文件中明确）：</w:t>
      </w:r>
    </w:p>
    <w:p w14:paraId="72BAAB38">
      <w:pPr>
        <w:pBdr>
          <w:bottom w:val="single" w:color="auto" w:sz="4" w:space="0"/>
        </w:pBdr>
        <w:spacing w:line="360" w:lineRule="auto"/>
        <w:ind w:firstLine="472" w:firstLineChars="224"/>
        <w:rPr>
          <w:rFonts w:hint="eastAsia" w:ascii="宋体" w:hAnsi="宋体" w:eastAsia="宋体" w:cs="宋体"/>
          <w:bCs/>
          <w:color w:val="auto"/>
          <w:szCs w:val="21"/>
          <w:highlight w:val="none"/>
        </w:rPr>
      </w:pPr>
      <w:r>
        <w:rPr>
          <w:rFonts w:hint="eastAsia" w:ascii="宋体" w:hAnsi="宋体" w:eastAsia="宋体" w:cs="宋体"/>
          <w:b/>
          <w:bCs w:val="0"/>
          <w:color w:val="auto"/>
          <w:szCs w:val="21"/>
          <w:highlight w:val="none"/>
          <w:lang w:val="en-US" w:eastAsia="zh-CN"/>
        </w:rPr>
        <w:t>现文：</w:t>
      </w:r>
      <w:r>
        <w:rPr>
          <w:rFonts w:hint="eastAsia" w:ascii="宋体" w:hAnsi="宋体" w:eastAsia="宋体" w:cs="宋体"/>
          <w:bCs/>
          <w:color w:val="auto"/>
          <w:szCs w:val="21"/>
          <w:highlight w:val="none"/>
        </w:rPr>
        <w:t>16.5投标人如存在下列情况之一的，将被拒绝在一定时期内参与招标人后续工程投标：</w:t>
      </w:r>
    </w:p>
    <w:p w14:paraId="78E3FE41">
      <w:pPr>
        <w:pBdr>
          <w:bottom w:val="single" w:color="auto" w:sz="4" w:space="0"/>
        </w:pBd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16.5</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1将中标工程转包或者违法分包的；</w:t>
      </w:r>
    </w:p>
    <w:p w14:paraId="3864A6BA">
      <w:pPr>
        <w:pBdr>
          <w:bottom w:val="single" w:color="auto" w:sz="4" w:space="0"/>
        </w:pBd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16.5</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2在中标工程中不执行质量、安全生产相关规定的，造成质量或安全事故的；</w:t>
      </w:r>
    </w:p>
    <w:p w14:paraId="28C9D0B1">
      <w:pPr>
        <w:pBdr>
          <w:bottom w:val="single" w:color="auto" w:sz="4" w:space="0"/>
        </w:pBd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16.5</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3出让投标资格的；</w:t>
      </w:r>
    </w:p>
    <w:p w14:paraId="43B2ADC4">
      <w:pPr>
        <w:pBdr>
          <w:bottom w:val="single" w:color="auto" w:sz="4" w:space="0"/>
        </w:pBd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16.5</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4存在围标、串标情形的;</w:t>
      </w:r>
    </w:p>
    <w:p w14:paraId="2B02F261">
      <w:pPr>
        <w:pBdr>
          <w:bottom w:val="single" w:color="auto" w:sz="4" w:space="0"/>
        </w:pBd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16.5</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5在投标文件中提供虚假材料的；</w:t>
      </w:r>
    </w:p>
    <w:p w14:paraId="261B6069">
      <w:pPr>
        <w:pBdr>
          <w:bottom w:val="single" w:color="auto" w:sz="4" w:space="0"/>
        </w:pBd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16.5</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6存在少放、不放业绩、奖项等客观评审资料，减少自身竞争力情形的；</w:t>
      </w:r>
    </w:p>
    <w:p w14:paraId="3DEAAD43">
      <w:pPr>
        <w:pBdr>
          <w:bottom w:val="single" w:color="auto" w:sz="4" w:space="0"/>
        </w:pBd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16.5</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7存在行贿情形的;</w:t>
      </w:r>
    </w:p>
    <w:p w14:paraId="1B443755">
      <w:pPr>
        <w:pBdr>
          <w:bottom w:val="single" w:color="auto" w:sz="4" w:space="0"/>
        </w:pBd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16.5</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8拖欠农民工工资的；</w:t>
      </w:r>
    </w:p>
    <w:p w14:paraId="7C387DFB">
      <w:pPr>
        <w:pBdr>
          <w:bottom w:val="single" w:color="auto" w:sz="4" w:space="0"/>
        </w:pBd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16.5</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9未按照国家、省、市有关建筑施工实名制管理和工人工资支付分账管理的规定执行，被行政监管部门处罚的；</w:t>
      </w:r>
    </w:p>
    <w:p w14:paraId="1AD95953">
      <w:pPr>
        <w:pBdr>
          <w:bottom w:val="single" w:color="auto" w:sz="4" w:space="0"/>
        </w:pBd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16.5</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10中标人在项目实施过程中选取的专业分包单位或劳务企业或劳务班组长与投标时不一致的（如有）。</w:t>
      </w:r>
    </w:p>
    <w:p w14:paraId="59B43B83">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条款号：17.1             修改类型：修改</w:t>
      </w:r>
    </w:p>
    <w:p w14:paraId="12634DF4">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原文：17.1</w:t>
      </w:r>
      <w:r>
        <w:rPr>
          <w:rFonts w:hint="eastAsia" w:ascii="宋体" w:hAnsi="宋体"/>
          <w:color w:val="auto"/>
          <w:sz w:val="21"/>
          <w:szCs w:val="21"/>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r>
        <w:rPr>
          <w:rFonts w:hint="eastAsia" w:ascii="宋体" w:hAnsi="宋体" w:eastAsia="宋体" w:cs="宋体"/>
          <w:color w:val="auto"/>
          <w:sz w:val="21"/>
          <w:szCs w:val="21"/>
          <w:highlight w:val="none"/>
        </w:rPr>
        <w:t xml:space="preserve"> </w:t>
      </w:r>
    </w:p>
    <w:p w14:paraId="10073A11">
      <w:pPr>
        <w:pBdr>
          <w:bottom w:val="single" w:color="auto" w:sz="6" w:space="1"/>
        </w:pBdr>
        <w:spacing w:line="360" w:lineRule="auto"/>
        <w:ind w:firstLine="527" w:firstLineChars="25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现文：17.1</w:t>
      </w:r>
      <w:r>
        <w:rPr>
          <w:rFonts w:hint="eastAsia" w:ascii="宋体" w:hAnsi="宋体" w:eastAsia="宋体" w:cs="宋体"/>
          <w:bCs/>
          <w:color w:val="auto"/>
          <w:szCs w:val="21"/>
          <w:highlight w:val="none"/>
        </w:rPr>
        <w:t>投标人应采用单位数字证书，按招标文件要求在相应位置加盖电子印章。投标文件中需个人签字或盖章的，应加盖个人电子印章或在线下完成签字或盖章后扫描上传。</w:t>
      </w:r>
      <w:r>
        <w:rPr>
          <w:rFonts w:hint="eastAsia" w:ascii="宋体" w:hAnsi="宋体" w:eastAsia="宋体" w:cs="宋体"/>
          <w:b/>
          <w:color w:val="auto"/>
          <w:szCs w:val="21"/>
          <w:highlight w:val="none"/>
          <w:u w:val="single"/>
        </w:rPr>
        <w:t>联合体投标的，除《联合体工作协议》必须联合体各方分别按要求进行签字、盖章，以及招标文件指定位置需要联合体各方分别按要求进行签字、盖章外，投标文件封面及其他内容落款中的“投标人”应填写联合体各方的单位全称【格式为：(主)XXXX公司(成)XXXX公司】，由联合体</w:t>
      </w:r>
      <w:r>
        <w:rPr>
          <w:rFonts w:hint="eastAsia" w:ascii="宋体" w:hAnsi="宋体" w:eastAsia="宋体" w:cs="宋体"/>
          <w:b/>
          <w:color w:val="auto"/>
          <w:szCs w:val="21"/>
          <w:highlight w:val="none"/>
          <w:u w:val="single"/>
          <w:lang w:eastAsia="zh-CN"/>
        </w:rPr>
        <w:t>牵头方</w:t>
      </w:r>
      <w:r>
        <w:rPr>
          <w:rFonts w:hint="eastAsia" w:ascii="宋体" w:hAnsi="宋体" w:eastAsia="宋体" w:cs="宋体"/>
          <w:b/>
          <w:color w:val="auto"/>
          <w:szCs w:val="21"/>
          <w:highlight w:val="none"/>
          <w:u w:val="single"/>
        </w:rPr>
        <w:t>单位签字、盖章即可。</w:t>
      </w:r>
      <w:r>
        <w:rPr>
          <w:rFonts w:hint="eastAsia" w:ascii="宋体" w:hAnsi="宋体" w:eastAsia="宋体" w:cs="宋体"/>
          <w:bCs/>
          <w:color w:val="auto"/>
          <w:szCs w:val="21"/>
          <w:highlight w:val="none"/>
        </w:rPr>
        <w:t>按照交易平台关于全流程电子化项目的相关指南进行操作。详见：</w:t>
      </w:r>
      <w:r>
        <w:rPr>
          <w:rFonts w:hint="eastAsia" w:ascii="宋体" w:hAnsi="宋体" w:eastAsia="宋体" w:cs="宋体"/>
          <w:b/>
          <w:bCs/>
          <w:color w:val="auto"/>
          <w:szCs w:val="21"/>
          <w:highlight w:val="none"/>
          <w:u w:val="single"/>
        </w:rPr>
        <w:t>【全流程电子化项目】电子招投标操作手册</w:t>
      </w:r>
      <w:r>
        <w:rPr>
          <w:rFonts w:hint="eastAsia" w:ascii="宋体" w:hAnsi="宋体" w:eastAsia="宋体" w:cs="宋体"/>
          <w:color w:val="auto"/>
          <w:szCs w:val="21"/>
          <w:highlight w:val="none"/>
        </w:rPr>
        <w:t>。</w:t>
      </w:r>
    </w:p>
    <w:p w14:paraId="6E3B3ACB">
      <w:pPr>
        <w:spacing w:line="48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条款号：18.1             修改类型：修改</w:t>
      </w:r>
    </w:p>
    <w:p w14:paraId="2B3745DE">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原文：18.1</w:t>
      </w:r>
      <w:r>
        <w:rPr>
          <w:rFonts w:hint="eastAsia" w:ascii="宋体" w:hAnsi="宋体" w:eastAsia="宋体" w:cs="宋体"/>
          <w:bCs/>
          <w:color w:val="auto"/>
          <w:sz w:val="21"/>
          <w:szCs w:val="21"/>
          <w:highlight w:val="none"/>
        </w:rPr>
        <w:t>递交的电子投标文件（不含备用光盘）必须进行加密。按照交易平台关于</w:t>
      </w:r>
      <w:r>
        <w:rPr>
          <w:rFonts w:hint="eastAsia" w:ascii="宋体" w:hAnsi="宋体" w:eastAsia="宋体" w:cs="宋体"/>
          <w:color w:val="auto"/>
          <w:sz w:val="21"/>
          <w:szCs w:val="21"/>
          <w:highlight w:val="none"/>
        </w:rPr>
        <w:t>全流程电子化项目的相关指南进行操作。详见：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rPr>
        <w:t>。</w:t>
      </w:r>
    </w:p>
    <w:p w14:paraId="4AE8B0B1">
      <w:pPr>
        <w:pBdr>
          <w:bottom w:val="single" w:color="auto" w:sz="6" w:space="1"/>
        </w:pBdr>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现文：18.1</w:t>
      </w:r>
      <w:r>
        <w:rPr>
          <w:rFonts w:hint="eastAsia" w:ascii="宋体" w:hAnsi="宋体" w:eastAsia="宋体" w:cs="宋体"/>
          <w:bCs/>
          <w:color w:val="auto"/>
          <w:szCs w:val="21"/>
          <w:highlight w:val="none"/>
        </w:rPr>
        <w:t>递交的电子投标文件（不含备用光盘）必须进行加密。按照交易平台关于全流程电子化项目的相关指南进行操作。详见：</w:t>
      </w:r>
      <w:r>
        <w:rPr>
          <w:rFonts w:hint="eastAsia" w:ascii="宋体" w:hAnsi="宋体" w:eastAsia="宋体" w:cs="宋体"/>
          <w:b/>
          <w:bCs/>
          <w:color w:val="auto"/>
          <w:szCs w:val="21"/>
          <w:highlight w:val="none"/>
          <w:u w:val="single"/>
        </w:rPr>
        <w:t>【全流程电子化项目】电子招投标操作手册</w:t>
      </w:r>
      <w:r>
        <w:rPr>
          <w:rFonts w:hint="eastAsia" w:ascii="宋体" w:hAnsi="宋体" w:eastAsia="宋体" w:cs="宋体"/>
          <w:color w:val="auto"/>
          <w:szCs w:val="21"/>
          <w:highlight w:val="none"/>
        </w:rPr>
        <w:t>。</w:t>
      </w:r>
    </w:p>
    <w:p w14:paraId="00082B26">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条款号：18.2             修改类型：修改</w:t>
      </w:r>
    </w:p>
    <w:p w14:paraId="08AF77EA">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原文：18.2</w:t>
      </w:r>
      <w:r>
        <w:rPr>
          <w:rFonts w:hint="eastAsia" w:ascii="宋体" w:hAnsi="宋体" w:eastAsia="宋体" w:cs="宋体"/>
          <w:bCs/>
          <w:color w:val="auto"/>
          <w:szCs w:val="21"/>
          <w:highlight w:val="none"/>
        </w:rPr>
        <w:t xml:space="preserve"> 未按要求加密的投标文件，</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交易平台将予以拒收。</w:t>
      </w:r>
    </w:p>
    <w:p w14:paraId="202B05E0">
      <w:pPr>
        <w:pBdr>
          <w:bottom w:val="single" w:color="auto" w:sz="6" w:space="1"/>
        </w:pBdr>
        <w:spacing w:line="360" w:lineRule="auto"/>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现文：18.2</w:t>
      </w:r>
      <w:r>
        <w:rPr>
          <w:rFonts w:hint="eastAsia" w:ascii="宋体" w:hAnsi="宋体" w:eastAsia="宋体" w:cs="宋体"/>
          <w:bCs/>
          <w:color w:val="auto"/>
          <w:szCs w:val="21"/>
          <w:highlight w:val="none"/>
        </w:rPr>
        <w:t xml:space="preserve"> 未按要求加密的投标文件，</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bCs/>
          <w:color w:val="auto"/>
          <w:szCs w:val="21"/>
          <w:highlight w:val="none"/>
        </w:rPr>
        <w:t>交易平台将予以拒收。</w:t>
      </w:r>
    </w:p>
    <w:p w14:paraId="6EC79B2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条款号：19               修改类型：修改</w:t>
      </w:r>
    </w:p>
    <w:p w14:paraId="2BA1CA8D">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
          <w:bCs/>
          <w:color w:val="auto"/>
          <w:szCs w:val="21"/>
          <w:highlight w:val="none"/>
        </w:rPr>
        <w:t>19．</w:t>
      </w:r>
      <w:r>
        <w:rPr>
          <w:rFonts w:hint="eastAsia" w:ascii="宋体" w:hAnsi="宋体" w:eastAsia="宋体" w:cs="宋体"/>
          <w:color w:val="auto"/>
          <w:szCs w:val="21"/>
          <w:highlight w:val="none"/>
        </w:rPr>
        <w:t>投标文件的递交和接收</w:t>
      </w:r>
    </w:p>
    <w:p w14:paraId="10F15522">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19.1投标人通过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交易平台递交电子投标文件。</w:t>
      </w:r>
    </w:p>
    <w:p w14:paraId="1153F685">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19.2投标人完成电子</w:t>
      </w:r>
      <w:r>
        <w:rPr>
          <w:rFonts w:hint="eastAsia" w:ascii="宋体" w:hAnsi="宋体" w:eastAsia="宋体" w:cs="宋体"/>
          <w:color w:val="auto"/>
          <w:sz w:val="21"/>
          <w:szCs w:val="21"/>
          <w:highlight w:val="none"/>
        </w:rPr>
        <w:t>投标文件</w:t>
      </w:r>
      <w:r>
        <w:rPr>
          <w:rFonts w:hint="eastAsia" w:ascii="宋体" w:hAnsi="宋体" w:eastAsia="宋体" w:cs="宋体"/>
          <w:bCs/>
          <w:color w:val="auto"/>
          <w:sz w:val="21"/>
          <w:szCs w:val="21"/>
          <w:highlight w:val="none"/>
        </w:rPr>
        <w:t>上传后，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交易平台即时向投标人发出递交回执通知。递交时间以递交回执通知载明的传输完成时间为准。</w:t>
      </w:r>
    </w:p>
    <w:p w14:paraId="1E7600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19.3逾期送达的电子投标文件，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交易平台将予以拒收。</w:t>
      </w:r>
    </w:p>
    <w:p w14:paraId="434B064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19.4 投标截止前，招标人拒绝接收符合条件的投标文件，投标人可向招标投标监督机构投诉。</w:t>
      </w:r>
    </w:p>
    <w:p w14:paraId="79BDC2F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19.5如技术标和经济标先后分别开启，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交易平台将按招标文件规定的时间分别开启技术标和经济标。</w:t>
      </w:r>
    </w:p>
    <w:p w14:paraId="27227F85">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
          <w:bCs/>
          <w:color w:val="auto"/>
          <w:szCs w:val="21"/>
          <w:highlight w:val="none"/>
        </w:rPr>
        <w:t>19．</w:t>
      </w:r>
      <w:r>
        <w:rPr>
          <w:rFonts w:hint="eastAsia" w:ascii="宋体" w:hAnsi="宋体" w:eastAsia="宋体" w:cs="宋体"/>
          <w:color w:val="auto"/>
          <w:szCs w:val="21"/>
          <w:highlight w:val="none"/>
        </w:rPr>
        <w:t>投标文件的递交和接收</w:t>
      </w:r>
    </w:p>
    <w:p w14:paraId="0853777E">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19.1投标人通过</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交易平台递交电子投标文件。</w:t>
      </w:r>
    </w:p>
    <w:p w14:paraId="2C34BF05">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19.2投标人完成电子</w:t>
      </w:r>
      <w:r>
        <w:rPr>
          <w:rFonts w:hint="eastAsia" w:ascii="宋体" w:hAnsi="宋体" w:eastAsia="宋体" w:cs="宋体"/>
          <w:color w:val="auto"/>
          <w:sz w:val="21"/>
          <w:szCs w:val="21"/>
          <w:highlight w:val="none"/>
        </w:rPr>
        <w:t>投标文件</w:t>
      </w:r>
      <w:r>
        <w:rPr>
          <w:rFonts w:hint="eastAsia" w:ascii="宋体" w:hAnsi="宋体" w:eastAsia="宋体" w:cs="宋体"/>
          <w:bCs/>
          <w:color w:val="auto"/>
          <w:sz w:val="21"/>
          <w:szCs w:val="21"/>
          <w:highlight w:val="none"/>
        </w:rPr>
        <w:t>上传后，</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交易平台即时向投标人发出递交回执通知。递交时间以递交回执通知载明的传输完成时间为准。</w:t>
      </w:r>
    </w:p>
    <w:p w14:paraId="31B6CD5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19.3逾期送达的电子投标文件，</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交易平台将予以拒收。</w:t>
      </w:r>
    </w:p>
    <w:p w14:paraId="4B05A13E">
      <w:pPr>
        <w:spacing w:line="360" w:lineRule="auto"/>
        <w:ind w:left="420" w:leftChars="200" w:firstLine="0" w:firstLine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19.4 投标截止前，招标人拒绝接收符合条件的投标文件，投标人可向招标投标监督机构投诉。19.5</w:t>
      </w:r>
      <w:r>
        <w:rPr>
          <w:rFonts w:hint="eastAsia" w:ascii="宋体" w:hAnsi="宋体" w:eastAsia="宋体" w:cs="宋体"/>
          <w:color w:val="auto"/>
          <w:sz w:val="21"/>
          <w:szCs w:val="21"/>
          <w:highlight w:val="none"/>
          <w:u w:val="single"/>
        </w:rPr>
        <w:t>技术标和经济标同时开启，广州交易集团有限公司（广州公共资源交易中心）交易平台将</w:t>
      </w:r>
    </w:p>
    <w:p w14:paraId="70D55D2B">
      <w:pPr>
        <w:pBdr>
          <w:bottom w:val="single" w:color="auto" w:sz="4" w:space="0"/>
        </w:pBdr>
        <w:spacing w:line="360" w:lineRule="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rPr>
        <w:t>按招标文件规定的时间同时开启技术标</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经济标</w:t>
      </w:r>
      <w:r>
        <w:rPr>
          <w:rFonts w:hint="eastAsia" w:ascii="宋体" w:hAnsi="宋体" w:eastAsia="宋体" w:cs="宋体"/>
          <w:color w:val="auto"/>
          <w:sz w:val="21"/>
          <w:szCs w:val="21"/>
          <w:highlight w:val="none"/>
          <w:u w:val="single"/>
          <w:lang w:eastAsia="zh-CN"/>
        </w:rPr>
        <w:t>及定标文件</w:t>
      </w:r>
      <w:r>
        <w:rPr>
          <w:rFonts w:hint="eastAsia" w:ascii="宋体" w:hAnsi="宋体" w:eastAsia="宋体" w:cs="宋体"/>
          <w:color w:val="auto"/>
          <w:sz w:val="21"/>
          <w:szCs w:val="21"/>
          <w:highlight w:val="none"/>
          <w:u w:val="single"/>
        </w:rPr>
        <w:t>。</w:t>
      </w:r>
    </w:p>
    <w:p w14:paraId="61AD9F9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条款号：21.1                       修改类型：修改</w:t>
      </w:r>
    </w:p>
    <w:p w14:paraId="4999D8D5">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21.1 本须知前附表第</w:t>
      </w:r>
      <w:r>
        <w:rPr>
          <w:rFonts w:hint="eastAsia" w:ascii="宋体" w:hAnsi="宋体" w:eastAsia="宋体" w:cs="宋体"/>
          <w:color w:val="auto"/>
          <w:szCs w:val="21"/>
          <w:highlight w:val="none"/>
          <w:lang w:val="en-US" w:eastAsia="zh-CN"/>
        </w:rPr>
        <w:t>17</w:t>
      </w:r>
      <w:r>
        <w:rPr>
          <w:rFonts w:hint="eastAsia" w:ascii="宋体" w:hAnsi="宋体" w:eastAsia="宋体" w:cs="宋体"/>
          <w:color w:val="auto"/>
          <w:szCs w:val="21"/>
          <w:highlight w:val="none"/>
        </w:rPr>
        <w:t>项规定的投标截止时间后送达的电子投标文件，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交易平台将予以拒收。</w:t>
      </w:r>
    </w:p>
    <w:p w14:paraId="15D9C9C5">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21.1 本须知前附表第</w:t>
      </w:r>
      <w:r>
        <w:rPr>
          <w:rFonts w:hint="eastAsia" w:ascii="宋体" w:hAnsi="宋体" w:eastAsia="宋体" w:cs="宋体"/>
          <w:color w:val="auto"/>
          <w:szCs w:val="21"/>
          <w:highlight w:val="none"/>
          <w:lang w:val="en-US" w:eastAsia="zh-CN"/>
        </w:rPr>
        <w:t>17</w:t>
      </w:r>
      <w:r>
        <w:rPr>
          <w:rFonts w:hint="eastAsia" w:ascii="宋体" w:hAnsi="宋体" w:eastAsia="宋体" w:cs="宋体"/>
          <w:color w:val="auto"/>
          <w:szCs w:val="21"/>
          <w:highlight w:val="none"/>
        </w:rPr>
        <w:t>项规定的投标截止时间后送达的电子投标文件，</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Cs w:val="21"/>
          <w:highlight w:val="none"/>
        </w:rPr>
        <w:t>交易平台将予以拒收。。</w:t>
      </w:r>
    </w:p>
    <w:p w14:paraId="5A4A5641">
      <w:pPr>
        <w:spacing w:line="360" w:lineRule="auto"/>
        <w:ind w:firstLine="517" w:firstLineChars="245"/>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条款号：24.             修改类型：修改</w:t>
      </w:r>
    </w:p>
    <w:p w14:paraId="13ECB7D4">
      <w:pPr>
        <w:spacing w:line="360" w:lineRule="auto"/>
        <w:ind w:firstLine="525" w:firstLineChars="249"/>
        <w:rPr>
          <w:rFonts w:hint="eastAsia"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24.1开标后，直至中标公示为止，凡属于对投标文件的审查、澄清、评价和比较有关的资料以及中标候选人的推荐情况，与评标有关的其他任何情况均严格保密。</w:t>
      </w:r>
    </w:p>
    <w:p w14:paraId="6532D946">
      <w:pPr>
        <w:pBdr>
          <w:bottom w:val="single" w:color="auto" w:sz="6" w:space="1"/>
        </w:pBdr>
        <w:spacing w:line="360" w:lineRule="auto"/>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rPr>
        <w:t>24.2在投标文件的评审和比较、中标候选人推荐以及授予合同的过程中，投标人向招标人和评标委员会施加不公正影响的任何行为，都将会导致其投标被拒绝</w:t>
      </w:r>
    </w:p>
    <w:p w14:paraId="6CF21C82">
      <w:pPr>
        <w:pBdr>
          <w:bottom w:val="single" w:color="auto" w:sz="6" w:space="1"/>
        </w:pBdr>
        <w:spacing w:line="360" w:lineRule="auto"/>
        <w:ind w:firstLine="527" w:firstLineChars="250"/>
        <w:rPr>
          <w:rFonts w:hint="eastAsia"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24.1开标后，直至中标公示为止，凡属于对投标文件的审查、澄清、评价和比较有关的资料以及中标候选人的推荐情况，与评标</w:t>
      </w:r>
      <w:r>
        <w:rPr>
          <w:rFonts w:hint="eastAsia" w:ascii="宋体" w:hAnsi="宋体" w:cs="宋体"/>
          <w:b/>
          <w:bCs/>
          <w:color w:val="auto"/>
          <w:sz w:val="21"/>
          <w:szCs w:val="21"/>
          <w:highlight w:val="none"/>
          <w:u w:val="single"/>
        </w:rPr>
        <w:t>及定标</w:t>
      </w:r>
      <w:r>
        <w:rPr>
          <w:rFonts w:hint="eastAsia" w:ascii="宋体" w:hAnsi="宋体" w:cs="宋体"/>
          <w:color w:val="auto"/>
          <w:sz w:val="21"/>
          <w:szCs w:val="21"/>
          <w:highlight w:val="none"/>
        </w:rPr>
        <w:t>有关的其他任何情况均严格保密。</w:t>
      </w:r>
    </w:p>
    <w:p w14:paraId="41703567">
      <w:pPr>
        <w:pBdr>
          <w:bottom w:val="single" w:color="auto" w:sz="6" w:space="1"/>
        </w:pBdr>
        <w:spacing w:line="360" w:lineRule="auto"/>
        <w:ind w:firstLine="525" w:firstLineChars="250"/>
        <w:rPr>
          <w:rFonts w:hint="eastAsia" w:ascii="宋体" w:hAnsi="宋体" w:eastAsia="宋体" w:cs="宋体"/>
          <w:b/>
          <w:color w:val="auto"/>
          <w:szCs w:val="21"/>
          <w:highlight w:val="none"/>
        </w:rPr>
      </w:pPr>
      <w:r>
        <w:rPr>
          <w:rFonts w:hint="eastAsia" w:ascii="宋体" w:hAnsi="宋体" w:cs="宋体"/>
          <w:color w:val="auto"/>
          <w:sz w:val="21"/>
          <w:szCs w:val="21"/>
          <w:highlight w:val="none"/>
        </w:rPr>
        <w:t>24.2在投标文件的评审和比较、中标候选人推荐以及授予合同的过程中，投标人向招标人、评标委员会</w:t>
      </w:r>
      <w:r>
        <w:rPr>
          <w:rFonts w:hint="eastAsia" w:ascii="宋体" w:hAnsi="宋体" w:cs="宋体"/>
          <w:b/>
          <w:bCs/>
          <w:color w:val="auto"/>
          <w:sz w:val="21"/>
          <w:szCs w:val="21"/>
          <w:highlight w:val="none"/>
          <w:u w:val="single"/>
        </w:rPr>
        <w:t>和定标委员会</w:t>
      </w:r>
      <w:r>
        <w:rPr>
          <w:rFonts w:hint="eastAsia" w:ascii="宋体" w:hAnsi="宋体" w:cs="宋体"/>
          <w:color w:val="auto"/>
          <w:sz w:val="21"/>
          <w:szCs w:val="21"/>
          <w:highlight w:val="none"/>
        </w:rPr>
        <w:t>施加不公正影响的任何行为，都将会导致其投标被拒绝。</w:t>
      </w:r>
    </w:p>
    <w:p w14:paraId="6A290B5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条款号：2</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 xml:space="preserve">                         修改类型：修改</w:t>
      </w:r>
    </w:p>
    <w:p w14:paraId="00E10CEB">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8</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中标通知书</w:t>
      </w:r>
    </w:p>
    <w:p w14:paraId="7A20F19F">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.1招标人将在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交易平台、广东省招标投标监管网和中国招标投标公共服务平台公示中标候选人，公示期为三天</w:t>
      </w:r>
      <w:r>
        <w:rPr>
          <w:rFonts w:hint="eastAsia" w:ascii="宋体" w:hAnsi="宋体" w:eastAsia="宋体" w:cs="宋体"/>
          <w:color w:val="auto"/>
          <w:sz w:val="21"/>
          <w:szCs w:val="21"/>
          <w:highlight w:val="none"/>
          <w:lang w:eastAsia="zh-CN"/>
        </w:rPr>
        <w:t>（最后一天应为工作日）</w:t>
      </w:r>
      <w:r>
        <w:rPr>
          <w:rFonts w:hint="eastAsia" w:ascii="宋体" w:hAnsi="宋体" w:eastAsia="宋体" w:cs="宋体"/>
          <w:color w:val="auto"/>
          <w:sz w:val="21"/>
          <w:szCs w:val="21"/>
          <w:highlight w:val="none"/>
        </w:rPr>
        <w:t>。投标人或其他利害关系人对评标结果有异议的，应当在中标候选人公示期间提出，通过</w:t>
      </w:r>
      <w:r>
        <w:rPr>
          <w:rFonts w:hint="eastAsia" w:ascii="宋体" w:hAnsi="宋体" w:eastAsia="宋体" w:cs="宋体"/>
          <w:color w:val="auto"/>
          <w:sz w:val="21"/>
          <w:szCs w:val="21"/>
          <w:highlight w:val="none"/>
          <w:lang w:eastAsia="zh-CN"/>
        </w:rPr>
        <w:t>电子交易系统向招标人</w:t>
      </w:r>
      <w:r>
        <w:rPr>
          <w:rFonts w:hint="eastAsia" w:ascii="宋体" w:hAnsi="宋体" w:eastAsia="宋体" w:cs="宋体"/>
          <w:color w:val="auto"/>
          <w:sz w:val="21"/>
          <w:szCs w:val="21"/>
          <w:highlight w:val="none"/>
        </w:rPr>
        <w:t>提出异议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招标人也应通过交易平台答复线上提交的异议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具体按照</w:t>
      </w:r>
      <w:r>
        <w:rPr>
          <w:rFonts w:hint="eastAsia" w:ascii="宋体" w:hAnsi="宋体" w:eastAsia="宋体" w:cs="宋体"/>
          <w:color w:val="auto"/>
          <w:sz w:val="21"/>
          <w:szCs w:val="21"/>
          <w:highlight w:val="none"/>
          <w:lang w:eastAsia="zh-CN"/>
        </w:rPr>
        <w:t>电子招标投标</w:t>
      </w:r>
      <w:r>
        <w:rPr>
          <w:rFonts w:hint="eastAsia" w:ascii="宋体" w:hAnsi="宋体" w:eastAsia="宋体" w:cs="宋体"/>
          <w:color w:val="auto"/>
          <w:sz w:val="21"/>
          <w:szCs w:val="21"/>
          <w:highlight w:val="none"/>
        </w:rPr>
        <w:t>交易平台相关指南进行操作。作出答复前，应当暂停招标投标活动。</w:t>
      </w:r>
      <w:r>
        <w:rPr>
          <w:rFonts w:hint="eastAsia" w:ascii="宋体" w:hAnsi="宋体" w:eastAsia="宋体" w:cs="宋体"/>
          <w:color w:val="auto"/>
          <w:sz w:val="21"/>
          <w:szCs w:val="21"/>
          <w:highlight w:val="none"/>
          <w:u w:val="single"/>
          <w:lang w:eastAsia="zh-CN"/>
        </w:rPr>
        <w:t>投标人提出异议时需</w:t>
      </w:r>
      <w:r>
        <w:rPr>
          <w:rFonts w:hint="eastAsia" w:ascii="宋体" w:hAnsi="宋体" w:eastAsia="宋体" w:cs="宋体"/>
          <w:color w:val="auto"/>
          <w:sz w:val="21"/>
          <w:szCs w:val="21"/>
          <w:highlight w:val="none"/>
          <w:u w:val="single"/>
          <w:lang w:val="en-US" w:eastAsia="zh-CN"/>
        </w:rPr>
        <w:t>在线提交</w:t>
      </w:r>
      <w:r>
        <w:rPr>
          <w:rFonts w:hint="eastAsia" w:ascii="宋体" w:hAnsi="宋体" w:eastAsia="宋体" w:cs="宋体"/>
          <w:color w:val="auto"/>
          <w:sz w:val="21"/>
          <w:szCs w:val="21"/>
          <w:highlight w:val="none"/>
          <w:u w:val="single"/>
          <w:lang w:eastAsia="zh-CN"/>
        </w:rPr>
        <w:t>书面的异议书（异议书应清晰表述异议事项、依据、线索、请求或主张、有效的联系方式等）并附法定代表人证明书、有效的授权委托书、被授权人的有效身份证明。</w:t>
      </w:r>
    </w:p>
    <w:p w14:paraId="443D4E1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.2招标人应当自确定中标人后，向招标投标监管机构提交招标投标情况的书面报告。</w:t>
      </w:r>
    </w:p>
    <w:p w14:paraId="7C50DEA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.3中标人必须在收到中标通知书后24小时之内以书面形式回复招标人，确认收到。</w:t>
      </w:r>
    </w:p>
    <w:p w14:paraId="6BEACE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.4在产生中标候选人后，招标人将中标候选人的投标文件商务部分文件的所有内容（包括人员、业绩、奖项等资料）在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交易平台和广东省招标投标监管网公开。</w:t>
      </w:r>
    </w:p>
    <w:p w14:paraId="5B16C957">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28.5（适用于轨道交通建设项目）如</w:t>
      </w:r>
      <w:r>
        <w:rPr>
          <w:rFonts w:hint="eastAsia" w:ascii="宋体" w:hAnsi="宋体" w:eastAsia="宋体" w:cs="宋体"/>
          <w:color w:val="auto"/>
          <w:sz w:val="21"/>
          <w:szCs w:val="21"/>
          <w:highlight w:val="none"/>
        </w:rPr>
        <w:t>项目采用整体发包的形式开展施工总承包招标，</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后续需分</w:t>
      </w:r>
      <w:r>
        <w:rPr>
          <w:rFonts w:hint="eastAsia" w:ascii="宋体" w:hAnsi="宋体" w:eastAsia="宋体" w:cs="宋体"/>
          <w:color w:val="auto"/>
          <w:sz w:val="21"/>
          <w:szCs w:val="21"/>
          <w:highlight w:val="none"/>
          <w:lang w:eastAsia="zh-CN"/>
        </w:rPr>
        <w:t>段办理监督手续</w:t>
      </w:r>
      <w:r>
        <w:rPr>
          <w:rFonts w:hint="eastAsia" w:ascii="宋体" w:hAnsi="宋体" w:eastAsia="宋体" w:cs="宋体"/>
          <w:color w:val="auto"/>
          <w:sz w:val="21"/>
          <w:szCs w:val="21"/>
          <w:highlight w:val="none"/>
        </w:rPr>
        <w:t>，确定中标单位后，</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在向中标单位发出的中标通知书中一并标注施工总承包项目经理和各段项目经理</w:t>
      </w:r>
      <w:r>
        <w:rPr>
          <w:rFonts w:hint="eastAsia" w:ascii="宋体" w:hAnsi="宋体" w:eastAsia="宋体" w:cs="宋体"/>
          <w:color w:val="auto"/>
          <w:sz w:val="21"/>
          <w:szCs w:val="21"/>
          <w:highlight w:val="none"/>
          <w:lang w:eastAsia="zh-CN"/>
        </w:rPr>
        <w:t>。</w:t>
      </w:r>
    </w:p>
    <w:p w14:paraId="1C33B087">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8</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中标通知书</w:t>
      </w:r>
    </w:p>
    <w:p w14:paraId="6B88E7E8">
      <w:pPr>
        <w:pBdr>
          <w:bottom w:val="single" w:color="auto" w:sz="6" w:space="1"/>
        </w:pBd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.1招标人将在</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Cs w:val="21"/>
          <w:highlight w:val="none"/>
        </w:rPr>
        <w:t>交易平台、广东省招标投标监管网和中国招标投标公共服务平台公示中标候选人，公示期为三天</w:t>
      </w:r>
      <w:r>
        <w:rPr>
          <w:rFonts w:hint="eastAsia" w:ascii="宋体" w:hAnsi="宋体" w:eastAsia="宋体" w:cs="宋体"/>
          <w:color w:val="auto"/>
          <w:szCs w:val="21"/>
          <w:highlight w:val="none"/>
          <w:lang w:eastAsia="zh-CN"/>
        </w:rPr>
        <w:t>（最后一天应为工作日）</w:t>
      </w:r>
      <w:r>
        <w:rPr>
          <w:rFonts w:hint="eastAsia" w:ascii="宋体" w:hAnsi="宋体" w:eastAsia="宋体" w:cs="宋体"/>
          <w:color w:val="auto"/>
          <w:szCs w:val="21"/>
          <w:highlight w:val="none"/>
        </w:rPr>
        <w:t>。投标人或其他利害关系人对评标结果有异议的，应当在中标候选人公示期间提出，通过</w:t>
      </w:r>
      <w:r>
        <w:rPr>
          <w:rFonts w:hint="eastAsia" w:ascii="宋体" w:hAnsi="宋体" w:eastAsia="宋体" w:cs="宋体"/>
          <w:color w:val="auto"/>
          <w:szCs w:val="21"/>
          <w:highlight w:val="none"/>
          <w:lang w:eastAsia="zh-CN"/>
        </w:rPr>
        <w:t>电子交易系统向招标人</w:t>
      </w:r>
      <w:r>
        <w:rPr>
          <w:rFonts w:hint="eastAsia" w:ascii="宋体" w:hAnsi="宋体" w:eastAsia="宋体" w:cs="宋体"/>
          <w:color w:val="auto"/>
          <w:szCs w:val="21"/>
          <w:highlight w:val="none"/>
        </w:rPr>
        <w:t>提出异议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招标人也应通过交易平台答复线上提交的异议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具体按照</w:t>
      </w:r>
      <w:r>
        <w:rPr>
          <w:rFonts w:hint="eastAsia" w:ascii="宋体" w:hAnsi="宋体" w:eastAsia="宋体" w:cs="宋体"/>
          <w:color w:val="auto"/>
          <w:szCs w:val="21"/>
          <w:highlight w:val="none"/>
          <w:lang w:eastAsia="zh-CN"/>
        </w:rPr>
        <w:t>电子招标投标</w:t>
      </w:r>
      <w:r>
        <w:rPr>
          <w:rFonts w:hint="eastAsia" w:ascii="宋体" w:hAnsi="宋体" w:eastAsia="宋体" w:cs="宋体"/>
          <w:color w:val="auto"/>
          <w:szCs w:val="21"/>
          <w:highlight w:val="none"/>
        </w:rPr>
        <w:t>交易平台相关指南进行操作。作出答复前，应当暂停招标投标活动。</w:t>
      </w:r>
      <w:r>
        <w:rPr>
          <w:rFonts w:hint="eastAsia" w:ascii="宋体" w:hAnsi="宋体" w:eastAsia="宋体" w:cs="宋体"/>
          <w:color w:val="auto"/>
          <w:szCs w:val="21"/>
          <w:highlight w:val="none"/>
          <w:lang w:eastAsia="zh-CN"/>
        </w:rPr>
        <w:t>投标人提出异议时需</w:t>
      </w:r>
      <w:r>
        <w:rPr>
          <w:rFonts w:hint="eastAsia" w:ascii="宋体" w:hAnsi="宋体" w:eastAsia="宋体" w:cs="宋体"/>
          <w:color w:val="auto"/>
          <w:szCs w:val="21"/>
          <w:highlight w:val="none"/>
          <w:lang w:val="en-US" w:eastAsia="zh-CN"/>
        </w:rPr>
        <w:t>在线提交</w:t>
      </w:r>
      <w:r>
        <w:rPr>
          <w:rFonts w:hint="eastAsia" w:ascii="宋体" w:hAnsi="宋体" w:eastAsia="宋体" w:cs="宋体"/>
          <w:color w:val="auto"/>
          <w:szCs w:val="21"/>
          <w:highlight w:val="none"/>
          <w:lang w:eastAsia="zh-CN"/>
        </w:rPr>
        <w:t>书面的异议书（异议书应清晰表述异议事项、依据、线索、请求或主张、有效的联系方式等）并附法定代表人证明书、有效的授权委托书、被授权人的有效身份证明。</w:t>
      </w:r>
    </w:p>
    <w:p w14:paraId="7550DEE9">
      <w:pPr>
        <w:pBdr>
          <w:bottom w:val="single" w:color="auto" w:sz="6" w:space="1"/>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.2招标人应当自确定中标人后，向招标投标监管机构提交招标投标情况的书面报告；经招投标监管机构备案后，方可发出中标通知书。</w:t>
      </w:r>
    </w:p>
    <w:p w14:paraId="48B752C8">
      <w:pPr>
        <w:pBdr>
          <w:bottom w:val="single" w:color="auto" w:sz="6" w:space="1"/>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u w:val="single"/>
        </w:rPr>
        <w:t>中标人自行于广州交易集团有限公司（广州公共资源交易中心）交易平台下载中标通知书。中标人须对其投标文件真实性负责，并准备投标文件涉及的所有原件待查，如存在弄虚作假情况或原件不齐或与原件不符的，招标人有权取消其中标人资格，并上报建设行政主管部门。</w:t>
      </w:r>
    </w:p>
    <w:p w14:paraId="55EE48B7">
      <w:pPr>
        <w:pBdr>
          <w:bottom w:val="single" w:color="auto" w:sz="6" w:space="1"/>
        </w:pBdr>
        <w:spacing w:line="360" w:lineRule="auto"/>
        <w:ind w:firstLine="420" w:firstLineChars="200"/>
        <w:rPr>
          <w:rFonts w:hint="eastAsia" w:ascii="宋体" w:hAnsi="宋体" w:eastAsia="宋体" w:cs="宋体"/>
          <w:color w:val="auto"/>
          <w:sz w:val="21"/>
          <w:szCs w:val="20"/>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.4</w:t>
      </w:r>
      <w:r>
        <w:rPr>
          <w:rFonts w:hint="eastAsia" w:ascii="宋体" w:hAnsi="宋体" w:eastAsia="宋体" w:cs="宋体"/>
          <w:color w:val="auto"/>
          <w:sz w:val="21"/>
          <w:szCs w:val="20"/>
          <w:highlight w:val="none"/>
        </w:rPr>
        <w:t>在产生中标候选人后，招标人将中标候选人的投标文件商务部分文件的所有内容（包括人员、业绩、奖项等资料）在</w:t>
      </w:r>
      <w:r>
        <w:rPr>
          <w:rFonts w:hint="eastAsia" w:ascii="宋体" w:hAnsi="宋体" w:eastAsia="宋体" w:cs="宋体"/>
          <w:color w:val="auto"/>
          <w:sz w:val="21"/>
          <w:szCs w:val="20"/>
          <w:highlight w:val="none"/>
          <w:u w:val="single"/>
        </w:rPr>
        <w:t>广州交易集团有限公司（广州公共资源交易中心）</w:t>
      </w:r>
      <w:r>
        <w:rPr>
          <w:rFonts w:hint="eastAsia" w:ascii="宋体" w:hAnsi="宋体" w:eastAsia="宋体" w:cs="宋体"/>
          <w:color w:val="auto"/>
          <w:sz w:val="21"/>
          <w:szCs w:val="20"/>
          <w:highlight w:val="none"/>
        </w:rPr>
        <w:t>交易平台和广东省招标投标监管网公开。</w:t>
      </w:r>
    </w:p>
    <w:p w14:paraId="0DCB242A">
      <w:pPr>
        <w:pBdr>
          <w:bottom w:val="single" w:color="auto" w:sz="6" w:space="1"/>
        </w:pBd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b w:val="0"/>
          <w:bCs w:val="0"/>
          <w:color w:val="auto"/>
          <w:szCs w:val="21"/>
          <w:highlight w:val="none"/>
          <w:u w:val="single"/>
        </w:rPr>
        <w:t>2</w:t>
      </w:r>
      <w:r>
        <w:rPr>
          <w:rFonts w:hint="eastAsia" w:ascii="宋体" w:hAnsi="宋体" w:eastAsia="宋体" w:cs="宋体"/>
          <w:b w:val="0"/>
          <w:bCs w:val="0"/>
          <w:color w:val="auto"/>
          <w:szCs w:val="21"/>
          <w:highlight w:val="none"/>
          <w:u w:val="single"/>
          <w:lang w:val="en-US" w:eastAsia="zh-CN"/>
        </w:rPr>
        <w:t>8</w:t>
      </w:r>
      <w:r>
        <w:rPr>
          <w:rFonts w:hint="eastAsia" w:ascii="宋体" w:hAnsi="宋体" w:eastAsia="宋体" w:cs="宋体"/>
          <w:b w:val="0"/>
          <w:bCs w:val="0"/>
          <w:color w:val="auto"/>
          <w:szCs w:val="21"/>
          <w:highlight w:val="none"/>
          <w:u w:val="single"/>
        </w:rPr>
        <w:t>.5</w:t>
      </w:r>
      <w:r>
        <w:rPr>
          <w:rFonts w:hint="eastAsia" w:ascii="宋体" w:hAnsi="宋体" w:eastAsia="宋体" w:cs="宋体"/>
          <w:color w:val="auto"/>
          <w:szCs w:val="21"/>
          <w:highlight w:val="none"/>
          <w:u w:val="single"/>
        </w:rPr>
        <w:t>中标人在签订合同前需向招标人另行提供与投标递交的电子标书一致的纸质投标文件（含投标人须知11.3列表明细包含的所有工程量清单报价表）2份及电子文件1份（不用生成投标书；包括用Microsoft Excel 软件或广州交易集团有限公司（广州公共资源交易中心）提供的投标书制作软件制作的工程量清单报价表和单价分析表，用 Microsoft Word 软件或广州公共资源交易中心提供的投标书制作软件制作的经济投标文件其他部分。电子文件介质使用CD-R 光盘或U盘，所有电子文件不能采用压缩处理）。</w:t>
      </w:r>
    </w:p>
    <w:p w14:paraId="028E5F1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条款号：2</w:t>
      </w:r>
      <w:r>
        <w:rPr>
          <w:rFonts w:hint="eastAsia" w:ascii="宋体" w:hAnsi="宋体" w:eastAsia="宋体" w:cs="宋体"/>
          <w:b/>
          <w:color w:val="auto"/>
          <w:szCs w:val="21"/>
          <w:highlight w:val="none"/>
          <w:lang w:val="en-US" w:eastAsia="zh-CN"/>
        </w:rPr>
        <w:t>9</w:t>
      </w:r>
      <w:r>
        <w:rPr>
          <w:rFonts w:hint="eastAsia" w:ascii="宋体" w:hAnsi="宋体" w:eastAsia="宋体" w:cs="宋体"/>
          <w:b/>
          <w:color w:val="auto"/>
          <w:szCs w:val="21"/>
          <w:highlight w:val="none"/>
        </w:rPr>
        <w:t>.2                       修改类型：修改</w:t>
      </w:r>
    </w:p>
    <w:p w14:paraId="4B24B1D5">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原文：2</w:t>
      </w:r>
      <w:r>
        <w:rPr>
          <w:rFonts w:hint="eastAsia" w:ascii="宋体" w:hAnsi="宋体" w:eastAsia="宋体" w:cs="宋体"/>
          <w:b/>
          <w:color w:val="auto"/>
          <w:szCs w:val="21"/>
          <w:highlight w:val="none"/>
          <w:lang w:val="en-US" w:eastAsia="zh-CN"/>
        </w:rPr>
        <w:t>9</w:t>
      </w:r>
      <w:r>
        <w:rPr>
          <w:rFonts w:hint="eastAsia" w:ascii="宋体" w:hAnsi="宋体" w:eastAsia="宋体" w:cs="宋体"/>
          <w:b/>
          <w:color w:val="auto"/>
          <w:szCs w:val="21"/>
          <w:highlight w:val="none"/>
        </w:rPr>
        <w:t>.2</w:t>
      </w:r>
      <w:r>
        <w:rPr>
          <w:rFonts w:hint="eastAsia" w:ascii="宋体" w:hAnsi="宋体" w:eastAsia="宋体" w:cs="宋体"/>
          <w:b w:val="0"/>
          <w:bCs/>
          <w:color w:val="auto"/>
          <w:szCs w:val="21"/>
          <w:highlight w:val="none"/>
        </w:rPr>
        <w:t>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2BBEB8A8">
      <w:pPr>
        <w:pBdr>
          <w:bottom w:val="single" w:color="auto" w:sz="6" w:space="1"/>
        </w:pBdr>
        <w:spacing w:line="360" w:lineRule="auto"/>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现文：2</w:t>
      </w:r>
      <w:r>
        <w:rPr>
          <w:rFonts w:hint="eastAsia" w:ascii="宋体" w:hAnsi="宋体" w:eastAsia="宋体" w:cs="宋体"/>
          <w:b/>
          <w:color w:val="auto"/>
          <w:szCs w:val="21"/>
          <w:highlight w:val="none"/>
          <w:lang w:val="en-US" w:eastAsia="zh-CN"/>
        </w:rPr>
        <w:t>9</w:t>
      </w:r>
      <w:r>
        <w:rPr>
          <w:rFonts w:hint="eastAsia" w:ascii="宋体" w:hAnsi="宋体" w:eastAsia="宋体" w:cs="宋体"/>
          <w:b/>
          <w:color w:val="auto"/>
          <w:szCs w:val="21"/>
          <w:highlight w:val="none"/>
        </w:rPr>
        <w:t>.2</w:t>
      </w:r>
      <w:r>
        <w:rPr>
          <w:rFonts w:hint="eastAsia" w:ascii="宋体" w:hAnsi="宋体" w:eastAsia="宋体" w:cs="宋体"/>
          <w:color w:val="auto"/>
          <w:szCs w:val="21"/>
          <w:highlight w:val="none"/>
        </w:rPr>
        <w:t>中标通知书发出之日起30日后，中标人未按上款的规定与招标人订立合同，招标人将解除中标通知书，</w:t>
      </w:r>
      <w:r>
        <w:rPr>
          <w:rFonts w:hint="eastAsia" w:ascii="宋体" w:hAnsi="宋体" w:eastAsia="宋体" w:cs="宋体"/>
          <w:color w:val="auto"/>
          <w:szCs w:val="21"/>
          <w:highlight w:val="none"/>
          <w:u w:val="single"/>
        </w:rPr>
        <w:t>且依法承担相应法律责任。原中标人给招标人造成的损失，应当予以赔偿。原中标人有异议的，可以向人民法院起诉。</w:t>
      </w:r>
    </w:p>
    <w:p w14:paraId="470AF16C">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条款号：2</w:t>
      </w: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.4                       修改类型：修改</w:t>
      </w:r>
    </w:p>
    <w:p w14:paraId="569CC4AF">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.4招标人支付工程款时，中标人应按规定开具发票</w:t>
      </w:r>
      <w:r>
        <w:rPr>
          <w:rFonts w:hint="eastAsia" w:ascii="宋体" w:hAnsi="宋体" w:eastAsia="宋体" w:cs="宋体"/>
          <w:color w:val="auto"/>
          <w:sz w:val="21"/>
          <w:szCs w:val="21"/>
          <w:highlight w:val="none"/>
          <w:lang w:eastAsia="zh-CN"/>
        </w:rPr>
        <w:t>并完税</w:t>
      </w:r>
      <w:r>
        <w:rPr>
          <w:rFonts w:hint="eastAsia" w:ascii="宋体" w:hAnsi="宋体" w:eastAsia="宋体" w:cs="宋体"/>
          <w:color w:val="auto"/>
          <w:sz w:val="21"/>
          <w:szCs w:val="21"/>
          <w:highlight w:val="none"/>
        </w:rPr>
        <w:t>。</w:t>
      </w:r>
    </w:p>
    <w:p w14:paraId="4F31BA70">
      <w:pPr>
        <w:pStyle w:val="2"/>
        <w:pageBreakBefore w:val="0"/>
        <w:widowControl w:val="0"/>
        <w:pBdr>
          <w:bottom w:val="single" w:color="auto" w:sz="4" w:space="0"/>
        </w:pBdr>
        <w:kinsoku/>
        <w:wordWrap/>
        <w:overflowPunct/>
        <w:topLinePunct w:val="0"/>
        <w:autoSpaceDE/>
        <w:autoSpaceDN/>
        <w:bidi w:val="0"/>
        <w:adjustRightInd/>
        <w:snapToGrid/>
        <w:spacing w:before="0" w:after="0"/>
        <w:ind w:firstLine="422"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
          <w:color w:val="auto"/>
          <w:sz w:val="21"/>
          <w:szCs w:val="21"/>
          <w:highlight w:val="none"/>
        </w:rPr>
        <w:t>现文：</w:t>
      </w:r>
      <w:r>
        <w:rPr>
          <w:rFonts w:hint="eastAsia" w:ascii="宋体" w:hAnsi="宋体" w:eastAsia="宋体" w:cs="宋体"/>
          <w:b w:val="0"/>
          <w:bCs/>
          <w:color w:val="auto"/>
          <w:kern w:val="2"/>
          <w:sz w:val="21"/>
          <w:szCs w:val="21"/>
          <w:highlight w:val="none"/>
          <w:lang w:val="en-US" w:eastAsia="zh-CN" w:bidi="ar-SA"/>
        </w:rPr>
        <w:t>29.4招标人支付工程款时，中标人应按规定开具符合国家税务相关部门要求的发票并完税。</w:t>
      </w:r>
    </w:p>
    <w:p w14:paraId="6EF16A4A">
      <w:pPr>
        <w:spacing w:line="276"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rPr>
        <w:t xml:space="preserve">                       修改类型：修改</w:t>
      </w:r>
    </w:p>
    <w:p w14:paraId="498258B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rPr>
        <w:t>．履约担保</w:t>
      </w:r>
    </w:p>
    <w:p w14:paraId="4B1457E3">
      <w:pPr>
        <w:snapToGrid w:val="0"/>
        <w:spacing w:line="360" w:lineRule="auto"/>
        <w:ind w:firstLine="420" w:firstLineChars="200"/>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lang w:val="en-US" w:eastAsia="zh-CN"/>
        </w:rPr>
        <w:t>30</w:t>
      </w:r>
      <w:r>
        <w:rPr>
          <w:rFonts w:hint="eastAsia" w:ascii="宋体" w:hAnsi="宋体" w:eastAsia="宋体" w:cs="宋体"/>
          <w:color w:val="auto"/>
          <w:sz w:val="21"/>
          <w:szCs w:val="20"/>
          <w:highlight w:val="none"/>
        </w:rPr>
        <w:t>.1在收到中标通知书后的</w:t>
      </w:r>
      <w:r>
        <w:rPr>
          <w:rFonts w:hint="eastAsia" w:ascii="宋体" w:hAnsi="宋体" w:eastAsia="宋体" w:cs="宋体"/>
          <w:b w:val="0"/>
          <w:bCs/>
          <w:color w:val="auto"/>
          <w:sz w:val="21"/>
          <w:szCs w:val="20"/>
          <w:highlight w:val="none"/>
        </w:rPr>
        <w:t>15日内</w:t>
      </w:r>
      <w:r>
        <w:rPr>
          <w:rFonts w:hint="eastAsia" w:ascii="宋体" w:hAnsi="宋体" w:eastAsia="宋体" w:cs="宋体"/>
          <w:color w:val="auto"/>
          <w:sz w:val="21"/>
          <w:szCs w:val="20"/>
          <w:highlight w:val="none"/>
        </w:rPr>
        <w:t>，中标人应按本须知前附表第20项的规定向招标人提交履约担保。</w:t>
      </w:r>
    </w:p>
    <w:p w14:paraId="42DE55C3">
      <w:pPr>
        <w:snapToGrid w:val="0"/>
        <w:spacing w:line="360" w:lineRule="auto"/>
        <w:ind w:firstLine="420" w:firstLineChars="200"/>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lang w:val="en-US" w:eastAsia="zh-CN"/>
        </w:rPr>
        <w:t>30</w:t>
      </w:r>
      <w:r>
        <w:rPr>
          <w:rFonts w:hint="eastAsia" w:ascii="宋体" w:hAnsi="宋体" w:eastAsia="宋体" w:cs="宋体"/>
          <w:color w:val="auto"/>
          <w:sz w:val="21"/>
          <w:szCs w:val="20"/>
          <w:highlight w:val="none"/>
        </w:rPr>
        <w:t>.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2D5522B9">
      <w:pPr>
        <w:snapToGrid w:val="0"/>
        <w:spacing w:line="360" w:lineRule="auto"/>
        <w:ind w:firstLine="420" w:firstLineChars="200"/>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lang w:val="en-US" w:eastAsia="zh-CN"/>
        </w:rPr>
        <w:t>30.3中标候选人的经营、财务状况发生较大变化或存在违法行为，招标人认为可能影响其履约能力的，将在发出中标通知书前提请原评标委员会按照招标文件规定的标准和方法进行审查确认。</w:t>
      </w:r>
    </w:p>
    <w:p w14:paraId="1F6FB7E8">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rPr>
        <w:t>．履约担保</w:t>
      </w:r>
    </w:p>
    <w:p w14:paraId="29A4528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val="0"/>
          <w:bCs/>
          <w:color w:val="auto"/>
          <w:szCs w:val="21"/>
          <w:highlight w:val="none"/>
          <w:lang w:val="en-US" w:eastAsia="zh-CN"/>
        </w:rPr>
        <w:t>30</w:t>
      </w:r>
      <w:r>
        <w:rPr>
          <w:rFonts w:hint="eastAsia" w:ascii="宋体" w:hAnsi="宋体" w:eastAsia="宋体" w:cs="宋体"/>
          <w:b w:val="0"/>
          <w:bCs/>
          <w:color w:val="auto"/>
          <w:szCs w:val="21"/>
          <w:highlight w:val="none"/>
        </w:rPr>
        <w:t xml:space="preserve">.1 </w:t>
      </w:r>
      <w:r>
        <w:rPr>
          <w:rFonts w:hint="eastAsia" w:ascii="宋体" w:hAnsi="宋体" w:eastAsia="宋体" w:cs="宋体"/>
          <w:color w:val="auto"/>
          <w:szCs w:val="21"/>
          <w:highlight w:val="none"/>
          <w:u w:val="single"/>
        </w:rPr>
        <w:t>中标人应按本须知前附表第2</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u w:val="single"/>
        </w:rPr>
        <w:t>项的规定向招标人提交履约担保</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具体以合同约定为准</w:t>
      </w:r>
      <w:r>
        <w:rPr>
          <w:rFonts w:hint="eastAsia" w:ascii="宋体" w:hAnsi="宋体" w:eastAsia="宋体" w:cs="宋体"/>
          <w:color w:val="auto"/>
          <w:szCs w:val="21"/>
          <w:highlight w:val="none"/>
        </w:rPr>
        <w:t>。</w:t>
      </w:r>
    </w:p>
    <w:p w14:paraId="5AE14752">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30</w:t>
      </w:r>
      <w:r>
        <w:rPr>
          <w:rFonts w:hint="eastAsia" w:ascii="宋体" w:hAnsi="宋体" w:eastAsia="宋体" w:cs="宋体"/>
          <w:b w:val="0"/>
          <w:bCs/>
          <w:color w:val="auto"/>
          <w:szCs w:val="21"/>
          <w:highlight w:val="none"/>
        </w:rPr>
        <w:t>.2</w:t>
      </w:r>
      <w:r>
        <w:rPr>
          <w:rFonts w:hint="eastAsia" w:ascii="宋体" w:hAnsi="宋体" w:eastAsia="宋体" w:cs="宋体"/>
          <w:color w:val="auto"/>
          <w:szCs w:val="21"/>
          <w:highlight w:val="none"/>
        </w:rPr>
        <w:t>中标人未按上款的规定提交履约担保，招标人将解除中标通知书</w:t>
      </w:r>
      <w:r>
        <w:rPr>
          <w:rFonts w:hint="eastAsia" w:ascii="宋体" w:hAnsi="宋体" w:eastAsia="宋体" w:cs="宋体"/>
          <w:color w:val="auto"/>
          <w:szCs w:val="21"/>
          <w:highlight w:val="none"/>
          <w:u w:val="single"/>
        </w:rPr>
        <w:t>，且依法承担相应法律责任。原中标人给招标人造成的损失，应当予以赔偿。原中标人有异议的，可以向人民法院起诉。</w:t>
      </w:r>
      <w:r>
        <w:rPr>
          <w:rFonts w:hint="eastAsia" w:ascii="宋体" w:hAnsi="宋体" w:eastAsia="宋体" w:cs="宋体"/>
          <w:color w:val="auto"/>
          <w:szCs w:val="21"/>
          <w:highlight w:val="none"/>
          <w:lang w:val="en-US" w:eastAsia="zh-CN"/>
        </w:rPr>
        <w:t>具体以合同约定为准。</w:t>
      </w:r>
    </w:p>
    <w:p w14:paraId="1A0CA6A9">
      <w:pPr>
        <w:pBdr>
          <w:bottom w:val="single" w:color="auto" w:sz="4" w:space="0"/>
        </w:pBdr>
        <w:snapToGrid w:val="0"/>
        <w:spacing w:line="360" w:lineRule="auto"/>
        <w:ind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30.3中标候选人的经营、财务状况发生较大变化或存在违法行为，招标人认为可能影响其履约能力的，将在发出中标通知书前提请原评标委员会按照招标文件规定的标准和方法进行审查确认。</w:t>
      </w:r>
    </w:p>
    <w:p w14:paraId="69299E3D">
      <w:pPr>
        <w:adjustRightInd w:val="0"/>
        <w:spacing w:line="400" w:lineRule="exact"/>
        <w:ind w:firstLine="472" w:firstLineChars="224"/>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条款号：3</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rPr>
        <w:t>.1                      修改类型：修改</w:t>
      </w:r>
    </w:p>
    <w:p w14:paraId="23B68035">
      <w:pPr>
        <w:adjustRightInd w:val="0"/>
        <w:spacing w:line="400" w:lineRule="exact"/>
        <w:ind w:firstLine="472" w:firstLineChars="224"/>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.1在合同双方全权代表在合同协议书上签字，并分别加盖双方单位的公章后，合同正式生效。</w:t>
      </w:r>
    </w:p>
    <w:p w14:paraId="5DADDBE5">
      <w:pPr>
        <w:pBdr>
          <w:bottom w:val="single" w:color="auto" w:sz="6" w:space="1"/>
        </w:pBdr>
        <w:adjustRightInd w:val="0"/>
        <w:spacing w:line="400" w:lineRule="exact"/>
        <w:ind w:firstLine="424" w:firstLineChars="201"/>
        <w:textAlignment w:val="baseline"/>
        <w:rPr>
          <w:rFonts w:hint="eastAsia" w:ascii="宋体" w:hAnsi="宋体" w:eastAsia="宋体" w:cs="宋体"/>
          <w:color w:val="auto"/>
          <w:highlight w:val="none"/>
          <w:lang w:val="en-US" w:eastAsia="zh-CN"/>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.1在合同双方全权代表在合同协议书上签字，并分别加盖双方单位的公章</w:t>
      </w:r>
      <w:r>
        <w:rPr>
          <w:rFonts w:hint="eastAsia" w:ascii="宋体" w:hAnsi="宋体" w:eastAsia="宋体" w:cs="宋体"/>
          <w:color w:val="auto"/>
          <w:szCs w:val="21"/>
          <w:highlight w:val="none"/>
          <w:u w:val="single"/>
        </w:rPr>
        <w:t>且承包人提交履约担保后，合同正式生效。</w:t>
      </w:r>
    </w:p>
    <w:p w14:paraId="2776F1D8">
      <w:pPr>
        <w:spacing w:line="360" w:lineRule="auto"/>
        <w:ind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注：以上修改，仅限于本范本中有可供选择条款的情形。</w:t>
      </w:r>
    </w:p>
    <w:p w14:paraId="223180BA">
      <w:pPr>
        <w:spacing w:line="360" w:lineRule="auto"/>
        <w:rPr>
          <w:rFonts w:hint="eastAsia" w:ascii="宋体" w:hAnsi="宋体" w:eastAsia="宋体" w:cs="宋体"/>
          <w:color w:val="auto"/>
          <w:highlight w:val="none"/>
        </w:rPr>
      </w:pPr>
      <w:r>
        <w:rPr>
          <w:rFonts w:hint="eastAsia" w:ascii="宋体" w:hAnsi="宋体" w:eastAsia="宋体" w:cs="宋体"/>
          <w:b/>
          <w:color w:val="auto"/>
          <w:szCs w:val="21"/>
          <w:highlight w:val="none"/>
        </w:rPr>
        <w:t>（以下无正文）</w:t>
      </w:r>
    </w:p>
    <w:p w14:paraId="703BBD36">
      <w:pPr>
        <w:pStyle w:val="4"/>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4" w:name="_Toc12778"/>
      <w:bookmarkStart w:id="15" w:name="_Toc19765"/>
      <w:bookmarkStart w:id="16" w:name="_Toc2272548"/>
      <w:bookmarkStart w:id="17" w:name="_Toc21525492"/>
      <w:r>
        <w:rPr>
          <w:rFonts w:hint="eastAsia" w:ascii="宋体" w:hAnsi="宋体" w:eastAsia="宋体" w:cs="宋体"/>
          <w:color w:val="auto"/>
          <w:highlight w:val="none"/>
        </w:rPr>
        <w:t>三、投标须知通用条款</w:t>
      </w:r>
      <w:bookmarkEnd w:id="14"/>
      <w:bookmarkEnd w:id="15"/>
      <w:bookmarkEnd w:id="16"/>
      <w:bookmarkEnd w:id="17"/>
    </w:p>
    <w:p w14:paraId="2AA82946">
      <w:pPr>
        <w:pStyle w:val="5"/>
        <w:bidi w:val="0"/>
        <w:rPr>
          <w:rFonts w:hint="eastAsia" w:ascii="宋体" w:hAnsi="宋体" w:eastAsia="宋体" w:cs="宋体"/>
          <w:color w:val="auto"/>
          <w:highlight w:val="none"/>
        </w:rPr>
      </w:pPr>
      <w:bookmarkStart w:id="18" w:name="_Toc21525493"/>
      <w:bookmarkStart w:id="19" w:name="_Toc2272549"/>
      <w:bookmarkStart w:id="20" w:name="_Toc752"/>
      <w:bookmarkStart w:id="21" w:name="_Toc821"/>
      <w:r>
        <w:rPr>
          <w:rFonts w:hint="eastAsia" w:ascii="宋体" w:hAnsi="宋体" w:eastAsia="宋体" w:cs="宋体"/>
          <w:color w:val="auto"/>
          <w:highlight w:val="none"/>
        </w:rPr>
        <w:t>（一）总则</w:t>
      </w:r>
      <w:bookmarkEnd w:id="18"/>
      <w:bookmarkEnd w:id="19"/>
      <w:bookmarkEnd w:id="20"/>
      <w:bookmarkEnd w:id="21"/>
    </w:p>
    <w:p w14:paraId="1672F1DA">
      <w:pPr>
        <w:pStyle w:val="35"/>
        <w:spacing w:after="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1、定义</w:t>
      </w:r>
    </w:p>
    <w:p w14:paraId="14EA739B">
      <w:pPr>
        <w:pStyle w:val="35"/>
        <w:spacing w:after="0"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本招标文件使用的下列词语具有如下规定的意义：</w:t>
      </w:r>
    </w:p>
    <w:p w14:paraId="7CB55632">
      <w:pPr>
        <w:pStyle w:val="35"/>
        <w:spacing w:after="0"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（1）“招标人”（即发包人）、“项目建设管理单位”（或称“项目代建单位”）、“招标代理”、“设计单位”、“监理单位”均已在投标须知前附表中列明。</w:t>
      </w:r>
    </w:p>
    <w:p w14:paraId="10F80378">
      <w:pPr>
        <w:pStyle w:val="35"/>
        <w:spacing w:after="0"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（2）“投标人”指向招标人提交投标文件的当事人。   </w:t>
      </w:r>
    </w:p>
    <w:p w14:paraId="6252436E">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（3）“承包人”指其投标被招标人接受并与其签订承包合同的当事人。</w:t>
      </w:r>
    </w:p>
    <w:p w14:paraId="120792EB">
      <w:pPr>
        <w:pStyle w:val="35"/>
        <w:spacing w:after="0"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（4）“招标文件”指由招标代理发出的本文件（包括全部章节、附件）及招标答疑会会议纪要和</w:t>
      </w:r>
      <w:r>
        <w:rPr>
          <w:rFonts w:hint="eastAsia" w:ascii="宋体" w:hAnsi="宋体" w:eastAsia="宋体" w:cs="宋体"/>
          <w:bCs/>
          <w:color w:val="auto"/>
          <w:sz w:val="24"/>
          <w:highlight w:val="none"/>
        </w:rPr>
        <w:t>招标文件的澄清与修改</w:t>
      </w:r>
      <w:r>
        <w:rPr>
          <w:rFonts w:hint="eastAsia" w:ascii="宋体" w:hAnsi="宋体" w:eastAsia="宋体" w:cs="宋体"/>
          <w:color w:val="auto"/>
          <w:sz w:val="24"/>
          <w:highlight w:val="none"/>
        </w:rPr>
        <w:t>文件。</w:t>
      </w:r>
    </w:p>
    <w:p w14:paraId="654C82AB">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（5）“投标文件”指投标人根据本项目招标文件向招标人提交的全部文件。</w:t>
      </w:r>
    </w:p>
    <w:p w14:paraId="29ED2095">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（6）“书面形式”指打字或印刷的文件和数据电文（包括电报、电传、传真、电子数据交换和电子邮件）。</w:t>
      </w:r>
    </w:p>
    <w:p w14:paraId="5219D4BF">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2、招标说明</w:t>
      </w:r>
    </w:p>
    <w:p w14:paraId="75CAA7AA">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2.1本招标工程项目按照《中华人民共和国招标投标法》等有关法律、行政法规、规章和规范性文件，通过招标方式选定承包人。</w:t>
      </w:r>
    </w:p>
    <w:p w14:paraId="5E248FD1">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2.2工程名称、</w:t>
      </w:r>
      <w:r>
        <w:rPr>
          <w:rFonts w:hint="eastAsia" w:ascii="宋体" w:hAnsi="宋体" w:eastAsia="宋体" w:cs="宋体"/>
          <w:bCs/>
          <w:color w:val="auto"/>
          <w:sz w:val="24"/>
          <w:highlight w:val="none"/>
          <w:lang w:eastAsia="zh-CN"/>
        </w:rPr>
        <w:t>招标项目名称、</w:t>
      </w:r>
      <w:r>
        <w:rPr>
          <w:rFonts w:hint="eastAsia" w:ascii="宋体" w:hAnsi="宋体" w:eastAsia="宋体" w:cs="宋体"/>
          <w:bCs/>
          <w:color w:val="auto"/>
          <w:sz w:val="24"/>
          <w:highlight w:val="none"/>
        </w:rPr>
        <w:t>建设地点、建设规模、承包方式、质量标准、招标范围、工期要求等均在投标须知前附表中列明。</w:t>
      </w:r>
    </w:p>
    <w:p w14:paraId="70FAC6BE">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2.3设计说明：详见招标图纸。</w:t>
      </w:r>
    </w:p>
    <w:p w14:paraId="34A418CA">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2.4工程施工特点：详见招标图纸。</w:t>
      </w:r>
    </w:p>
    <w:p w14:paraId="6240999D">
      <w:pPr>
        <w:tabs>
          <w:tab w:val="left" w:pos="10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3．资金来源</w:t>
      </w:r>
    </w:p>
    <w:p w14:paraId="08525C9A">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3.1本招标工程项目资金来源见投标须知前附表第9项</w:t>
      </w:r>
    </w:p>
    <w:p w14:paraId="16163D39">
      <w:pPr>
        <w:tabs>
          <w:tab w:val="left" w:pos="10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4．合格投标人的条件</w:t>
      </w:r>
    </w:p>
    <w:p w14:paraId="61A237BB">
      <w:pPr>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4.1</w:t>
      </w:r>
      <w:r>
        <w:rPr>
          <w:rFonts w:hint="eastAsia" w:ascii="宋体" w:hAnsi="宋体" w:eastAsia="宋体" w:cs="宋体"/>
          <w:bCs/>
          <w:color w:val="auto"/>
          <w:sz w:val="24"/>
          <w:highlight w:val="none"/>
          <w:lang w:eastAsia="zh-CN"/>
        </w:rPr>
        <w:t>投标人合格条件</w:t>
      </w:r>
      <w:r>
        <w:rPr>
          <w:rFonts w:hint="eastAsia" w:ascii="宋体" w:hAnsi="宋体" w:eastAsia="宋体" w:cs="宋体"/>
          <w:bCs/>
          <w:color w:val="auto"/>
          <w:sz w:val="24"/>
          <w:highlight w:val="none"/>
        </w:rPr>
        <w:t>详见本项目招标公告</w:t>
      </w:r>
      <w:r>
        <w:rPr>
          <w:rFonts w:hint="eastAsia" w:ascii="宋体" w:hAnsi="宋体" w:eastAsia="宋体" w:cs="宋体"/>
          <w:bCs/>
          <w:color w:val="auto"/>
          <w:sz w:val="24"/>
          <w:highlight w:val="none"/>
          <w:lang w:eastAsia="zh-CN"/>
        </w:rPr>
        <w:t>。</w:t>
      </w:r>
    </w:p>
    <w:p w14:paraId="1D20B003">
      <w:pPr>
        <w:pStyle w:val="19"/>
        <w:ind w:firstLine="480" w:firstLineChars="200"/>
        <w:rPr>
          <w:rFonts w:hint="eastAsia" w:ascii="宋体" w:hAnsi="宋体" w:eastAsia="宋体" w:cs="宋体"/>
          <w:color w:val="auto"/>
          <w:highlight w:val="none"/>
          <w:lang w:val="en-US" w:eastAsia="zh-CN"/>
        </w:rPr>
      </w:pPr>
      <w:r>
        <w:rPr>
          <w:rFonts w:hint="eastAsia" w:ascii="宋体" w:hAnsi="宋体" w:eastAsia="宋体" w:cs="宋体"/>
          <w:bCs/>
          <w:color w:val="auto"/>
          <w:sz w:val="24"/>
          <w:highlight w:val="none"/>
          <w:lang w:val="en-US" w:eastAsia="zh-CN"/>
        </w:rPr>
        <w:t>4.2资格审查方式详见本项目招标公告。</w:t>
      </w:r>
    </w:p>
    <w:p w14:paraId="3E85C87F">
      <w:pPr>
        <w:tabs>
          <w:tab w:val="left" w:pos="10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5．踏勘现场</w:t>
      </w:r>
    </w:p>
    <w:p w14:paraId="5566B2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5.1 投标人应按本投标须知前附表第1</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项所述时间和要求</w:t>
      </w:r>
      <w:r>
        <w:rPr>
          <w:rFonts w:hint="eastAsia" w:ascii="宋体" w:hAnsi="宋体" w:eastAsia="宋体" w:cs="宋体"/>
          <w:bCs/>
          <w:color w:val="auto"/>
          <w:sz w:val="24"/>
          <w:highlight w:val="none"/>
          <w:lang w:eastAsia="zh-CN"/>
        </w:rPr>
        <w:t>自行</w:t>
      </w:r>
      <w:r>
        <w:rPr>
          <w:rFonts w:hint="eastAsia" w:ascii="宋体" w:hAnsi="宋体" w:eastAsia="宋体" w:cs="宋体"/>
          <w:bCs/>
          <w:color w:val="auto"/>
          <w:sz w:val="24"/>
          <w:highlight w:val="none"/>
        </w:rPr>
        <w:t>对工程现场及周围环境进行踏勘，</w:t>
      </w:r>
      <w:r>
        <w:rPr>
          <w:rFonts w:hint="eastAsia" w:ascii="宋体" w:hAnsi="宋体" w:eastAsia="宋体" w:cs="宋体"/>
          <w:color w:val="auto"/>
          <w:sz w:val="24"/>
          <w:highlight w:val="none"/>
        </w:rPr>
        <w:t>投标人应充分重视和仔细地进行这种考察，</w:t>
      </w:r>
      <w:r>
        <w:rPr>
          <w:rFonts w:hint="eastAsia" w:ascii="宋体" w:hAnsi="宋体" w:eastAsia="宋体" w:cs="宋体"/>
          <w:bCs/>
          <w:color w:val="auto"/>
          <w:sz w:val="24"/>
          <w:highlight w:val="none"/>
        </w:rPr>
        <w:t>以便投标人获取</w:t>
      </w:r>
      <w:r>
        <w:rPr>
          <w:rFonts w:hint="eastAsia" w:ascii="宋体" w:hAnsi="宋体" w:eastAsia="宋体" w:cs="宋体"/>
          <w:color w:val="auto"/>
          <w:sz w:val="24"/>
          <w:highlight w:val="none"/>
        </w:rPr>
        <w:t>那些须投标人自己负责的</w:t>
      </w:r>
      <w:r>
        <w:rPr>
          <w:rFonts w:hint="eastAsia" w:ascii="宋体" w:hAnsi="宋体" w:eastAsia="宋体" w:cs="宋体"/>
          <w:bCs/>
          <w:color w:val="auto"/>
          <w:sz w:val="24"/>
          <w:highlight w:val="none"/>
        </w:rPr>
        <w:t>有关编制投标文件和签署合同所涉及现场所有的资料。</w:t>
      </w:r>
      <w:r>
        <w:rPr>
          <w:rFonts w:hint="eastAsia" w:ascii="宋体" w:hAnsi="宋体" w:eastAsia="宋体" w:cs="宋体"/>
          <w:color w:val="auto"/>
          <w:sz w:val="24"/>
          <w:highlight w:val="none"/>
        </w:rPr>
        <w:t>一旦中标，这种考察即被认为其结果已在中标文件中得到充分反映。</w:t>
      </w:r>
    </w:p>
    <w:p w14:paraId="63459777">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lang w:val="en-US" w:eastAsia="zh-CN"/>
        </w:rPr>
        <w:t>5.2投标人</w:t>
      </w:r>
      <w:r>
        <w:rPr>
          <w:rFonts w:hint="eastAsia" w:ascii="宋体" w:hAnsi="宋体" w:eastAsia="宋体" w:cs="宋体"/>
          <w:bCs/>
          <w:color w:val="auto"/>
          <w:sz w:val="24"/>
          <w:highlight w:val="none"/>
        </w:rPr>
        <w:t>踏勘</w:t>
      </w:r>
      <w:r>
        <w:rPr>
          <w:rFonts w:hint="eastAsia" w:ascii="宋体" w:hAnsi="宋体" w:eastAsia="宋体" w:cs="宋体"/>
          <w:color w:val="auto"/>
          <w:sz w:val="24"/>
          <w:highlight w:val="none"/>
        </w:rPr>
        <w:t>现场的费用</w:t>
      </w:r>
      <w:r>
        <w:rPr>
          <w:rFonts w:hint="eastAsia" w:ascii="宋体" w:hAnsi="宋体" w:eastAsia="宋体" w:cs="宋体"/>
          <w:color w:val="auto"/>
          <w:sz w:val="24"/>
          <w:highlight w:val="none"/>
          <w:lang w:eastAsia="zh-CN"/>
        </w:rPr>
        <w:t>自理</w:t>
      </w:r>
      <w:r>
        <w:rPr>
          <w:rFonts w:hint="eastAsia" w:ascii="宋体" w:hAnsi="宋体" w:eastAsia="宋体" w:cs="宋体"/>
          <w:color w:val="auto"/>
          <w:sz w:val="24"/>
          <w:highlight w:val="none"/>
        </w:rPr>
        <w:t>。</w:t>
      </w:r>
    </w:p>
    <w:p w14:paraId="321514B2">
      <w:pPr>
        <w:tabs>
          <w:tab w:val="left" w:pos="105"/>
        </w:tabs>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 xml:space="preserve"> 招标人向投标人提供的有关现场的数据和资料，是招标人现有的能被投标人利用的资料，招标人对投标人做出的任何推论、理解和结论均不负责任。</w:t>
      </w:r>
    </w:p>
    <w:p w14:paraId="403BF7B3">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 xml:space="preserve"> 经招标人允许，投标人可为踏勘目的进入招标人的项目现场。</w:t>
      </w:r>
      <w:r>
        <w:rPr>
          <w:rFonts w:hint="eastAsia" w:ascii="宋体" w:hAnsi="宋体" w:eastAsia="宋体" w:cs="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eastAsia="宋体" w:cs="宋体"/>
          <w:bCs/>
          <w:color w:val="auto"/>
          <w:sz w:val="24"/>
          <w:highlight w:val="none"/>
        </w:rPr>
        <w:t>投标人不得因此使招标人承担有关的责任和蒙受损失。</w:t>
      </w:r>
    </w:p>
    <w:p w14:paraId="7749A968">
      <w:pPr>
        <w:pStyle w:val="19"/>
        <w:spacing w:line="360" w:lineRule="auto"/>
        <w:rPr>
          <w:rFonts w:hint="eastAsia" w:ascii="宋体" w:hAnsi="宋体" w:eastAsia="宋体" w:cs="宋体"/>
          <w:color w:val="auto"/>
          <w:highlight w:val="none"/>
          <w:lang w:val="en-US" w:eastAsia="zh-CN"/>
        </w:rPr>
      </w:pPr>
      <w:r>
        <w:rPr>
          <w:rFonts w:hint="eastAsia" w:ascii="宋体" w:hAnsi="宋体" w:eastAsia="宋体" w:cs="宋体"/>
          <w:bCs/>
          <w:color w:val="auto"/>
          <w:sz w:val="24"/>
          <w:highlight w:val="none"/>
          <w:lang w:val="en-US" w:eastAsia="zh-CN"/>
        </w:rPr>
        <w:t xml:space="preserve">    5.4由于投标人没有对工程现场及周围环境进行</w:t>
      </w:r>
      <w:r>
        <w:rPr>
          <w:rFonts w:hint="eastAsia" w:ascii="宋体" w:hAnsi="宋体" w:eastAsia="宋体" w:cs="宋体"/>
          <w:bCs/>
          <w:color w:val="auto"/>
          <w:sz w:val="24"/>
          <w:highlight w:val="none"/>
        </w:rPr>
        <w:t>踏勘</w:t>
      </w:r>
      <w:r>
        <w:rPr>
          <w:rFonts w:hint="eastAsia" w:ascii="宋体" w:hAnsi="宋体" w:eastAsia="宋体" w:cs="宋体"/>
          <w:bCs/>
          <w:color w:val="auto"/>
          <w:sz w:val="24"/>
          <w:highlight w:val="none"/>
          <w:lang w:eastAsia="zh-CN"/>
        </w:rPr>
        <w:t>，造成投标失误的，由投标人自行承担责任和损失。</w:t>
      </w:r>
    </w:p>
    <w:p w14:paraId="5F023AC2">
      <w:pPr>
        <w:tabs>
          <w:tab w:val="left" w:pos="10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6．投标费用</w:t>
      </w:r>
    </w:p>
    <w:p w14:paraId="263EAB70">
      <w:pPr>
        <w:tabs>
          <w:tab w:val="left" w:pos="105"/>
        </w:tabs>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6.1</w:t>
      </w:r>
      <w:r>
        <w:rPr>
          <w:rFonts w:hint="eastAsia" w:ascii="宋体" w:hAnsi="宋体" w:eastAsia="宋体" w:cs="宋体"/>
          <w:bCs/>
          <w:color w:val="auto"/>
          <w:sz w:val="24"/>
          <w:highlight w:val="none"/>
          <w:lang w:eastAsia="zh-CN"/>
        </w:rPr>
        <w:t>投标人准备和参加投标活动发生的费用自理。</w:t>
      </w:r>
    </w:p>
    <w:p w14:paraId="11C81D55">
      <w:pPr>
        <w:tabs>
          <w:tab w:val="left" w:pos="105"/>
        </w:tabs>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6.2</w:t>
      </w:r>
      <w:r>
        <w:rPr>
          <w:rFonts w:hint="eastAsia" w:ascii="宋体" w:hAnsi="宋体" w:eastAsia="宋体" w:cs="宋体"/>
          <w:color w:val="auto"/>
          <w:sz w:val="24"/>
          <w:highlight w:val="none"/>
        </w:rPr>
        <w:t>不论投标结果如何，投标人应承担</w:t>
      </w:r>
      <w:r>
        <w:rPr>
          <w:rFonts w:hint="eastAsia" w:ascii="宋体" w:hAnsi="宋体" w:eastAsia="宋体" w:cs="宋体"/>
          <w:bCs/>
          <w:color w:val="auto"/>
          <w:sz w:val="24"/>
          <w:highlight w:val="none"/>
        </w:rPr>
        <w:t>自身</w:t>
      </w:r>
      <w:r>
        <w:rPr>
          <w:rFonts w:hint="eastAsia" w:ascii="宋体" w:hAnsi="宋体" w:eastAsia="宋体" w:cs="宋体"/>
          <w:color w:val="auto"/>
          <w:sz w:val="24"/>
          <w:highlight w:val="none"/>
        </w:rPr>
        <w:t>因投标文件编制、递交及其他</w:t>
      </w:r>
      <w:r>
        <w:rPr>
          <w:rFonts w:hint="eastAsia" w:ascii="宋体" w:hAnsi="宋体" w:eastAsia="宋体" w:cs="宋体"/>
          <w:bCs/>
          <w:color w:val="auto"/>
          <w:sz w:val="24"/>
          <w:highlight w:val="none"/>
        </w:rPr>
        <w:t>参加本招标活动</w:t>
      </w:r>
      <w:r>
        <w:rPr>
          <w:rFonts w:hint="eastAsia" w:ascii="宋体" w:hAnsi="宋体" w:eastAsia="宋体" w:cs="宋体"/>
          <w:color w:val="auto"/>
          <w:sz w:val="24"/>
          <w:highlight w:val="none"/>
        </w:rPr>
        <w:t>所涉及的一切费用，招标人对上述费用不负任何责任。</w:t>
      </w:r>
    </w:p>
    <w:p w14:paraId="33EB4CF5">
      <w:pPr>
        <w:pStyle w:val="5"/>
        <w:bidi w:val="0"/>
        <w:rPr>
          <w:rFonts w:hint="eastAsia" w:ascii="宋体" w:hAnsi="宋体" w:eastAsia="宋体" w:cs="宋体"/>
          <w:color w:val="auto"/>
          <w:highlight w:val="none"/>
        </w:rPr>
      </w:pPr>
      <w:bookmarkStart w:id="22" w:name="_Toc21525494"/>
      <w:bookmarkStart w:id="23" w:name="_Toc19361"/>
      <w:bookmarkStart w:id="24" w:name="_Toc5661"/>
      <w:bookmarkStart w:id="25" w:name="_Toc2272550"/>
      <w:r>
        <w:rPr>
          <w:rFonts w:hint="eastAsia" w:ascii="宋体" w:hAnsi="宋体" w:eastAsia="宋体" w:cs="宋体"/>
          <w:color w:val="auto"/>
          <w:highlight w:val="none"/>
        </w:rPr>
        <w:t>（二）招标文件</w:t>
      </w:r>
      <w:bookmarkEnd w:id="22"/>
      <w:bookmarkEnd w:id="23"/>
      <w:bookmarkEnd w:id="24"/>
      <w:bookmarkEnd w:id="25"/>
    </w:p>
    <w:p w14:paraId="06427DC1">
      <w:pPr>
        <w:tabs>
          <w:tab w:val="left" w:pos="10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7.招标文件的组成</w:t>
      </w:r>
    </w:p>
    <w:p w14:paraId="5D6FBE43">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bCs/>
          <w:color w:val="auto"/>
          <w:sz w:val="24"/>
          <w:highlight w:val="none"/>
          <w:u w:val="single"/>
        </w:rPr>
        <w:t>7.1</w:t>
      </w:r>
      <w:r>
        <w:rPr>
          <w:rFonts w:hint="eastAsia" w:ascii="宋体" w:hAnsi="宋体" w:eastAsia="宋体" w:cs="宋体"/>
          <w:color w:val="auto"/>
          <w:sz w:val="24"/>
          <w:highlight w:val="none"/>
          <w:u w:val="single"/>
        </w:rPr>
        <w:t>本招标文件包括下列文件，以及所有按本须知第8条发出的招标答疑会会议纪要和按本须知第9条发出的澄清或修改：</w:t>
      </w:r>
    </w:p>
    <w:p w14:paraId="3D023F48">
      <w:pPr>
        <w:pStyle w:val="35"/>
        <w:numPr>
          <w:ilvl w:val="0"/>
          <w:numId w:val="3"/>
        </w:numPr>
        <w:spacing w:after="0" w:line="360" w:lineRule="auto"/>
        <w:ind w:left="0" w:leftChars="0" w:firstLine="480" w:firstLineChars="200"/>
        <w:rPr>
          <w:rFonts w:hint="eastAsia" w:ascii="宋体" w:hAnsi="宋体" w:eastAsia="宋体" w:cs="宋体"/>
          <w:bCs/>
          <w:color w:val="auto"/>
          <w:sz w:val="24"/>
          <w:highlight w:val="none"/>
          <w:u w:val="single"/>
          <w:lang w:val="en-US" w:eastAsia="zh-CN"/>
        </w:rPr>
      </w:pPr>
      <w:r>
        <w:rPr>
          <w:rFonts w:hint="eastAsia" w:ascii="宋体" w:hAnsi="宋体" w:eastAsia="宋体" w:cs="宋体"/>
          <w:bCs/>
          <w:color w:val="auto"/>
          <w:sz w:val="24"/>
          <w:highlight w:val="none"/>
          <w:u w:val="single"/>
          <w:lang w:val="en-US" w:eastAsia="zh-CN"/>
        </w:rPr>
        <w:t>招标公告</w:t>
      </w:r>
    </w:p>
    <w:p w14:paraId="0EFB1F52">
      <w:pPr>
        <w:pStyle w:val="35"/>
        <w:numPr>
          <w:ilvl w:val="0"/>
          <w:numId w:val="3"/>
        </w:numPr>
        <w:spacing w:after="0" w:line="360" w:lineRule="auto"/>
        <w:ind w:left="0" w:leftChars="0"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投标须知</w:t>
      </w:r>
    </w:p>
    <w:p w14:paraId="4BE45F70">
      <w:pPr>
        <w:pStyle w:val="35"/>
        <w:numPr>
          <w:ilvl w:val="0"/>
          <w:numId w:val="3"/>
        </w:numPr>
        <w:spacing w:after="0" w:line="360" w:lineRule="auto"/>
        <w:ind w:left="0" w:leftChars="0"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开标、评标及定标办法</w:t>
      </w:r>
    </w:p>
    <w:p w14:paraId="2E3637B1">
      <w:pPr>
        <w:pStyle w:val="35"/>
        <w:numPr>
          <w:ilvl w:val="0"/>
          <w:numId w:val="3"/>
        </w:numPr>
        <w:spacing w:after="0" w:line="360" w:lineRule="auto"/>
        <w:ind w:left="0" w:leftChars="0"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合同条款</w:t>
      </w:r>
    </w:p>
    <w:p w14:paraId="54280D13">
      <w:pPr>
        <w:pStyle w:val="35"/>
        <w:numPr>
          <w:ilvl w:val="0"/>
          <w:numId w:val="3"/>
        </w:numPr>
        <w:spacing w:after="0" w:line="360" w:lineRule="auto"/>
        <w:ind w:left="0" w:leftChars="0"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投标文件格式</w:t>
      </w:r>
    </w:p>
    <w:p w14:paraId="6CE06A4F">
      <w:pPr>
        <w:pStyle w:val="35"/>
        <w:numPr>
          <w:ilvl w:val="0"/>
          <w:numId w:val="3"/>
        </w:numPr>
        <w:spacing w:after="0" w:line="360" w:lineRule="auto"/>
        <w:ind w:left="0" w:leftChars="0"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技术条件（工程建设标准）</w:t>
      </w:r>
    </w:p>
    <w:p w14:paraId="57A80977">
      <w:pPr>
        <w:pStyle w:val="35"/>
        <w:numPr>
          <w:ilvl w:val="0"/>
          <w:numId w:val="3"/>
        </w:numPr>
        <w:spacing w:after="0" w:line="360" w:lineRule="auto"/>
        <w:ind w:left="0" w:leftChars="0"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图纸及勘察资料</w:t>
      </w:r>
    </w:p>
    <w:p w14:paraId="61DBB531">
      <w:pPr>
        <w:pStyle w:val="35"/>
        <w:numPr>
          <w:ilvl w:val="0"/>
          <w:numId w:val="3"/>
        </w:numPr>
        <w:spacing w:after="0" w:line="360" w:lineRule="auto"/>
        <w:ind w:left="0" w:leftChars="0" w:firstLine="480" w:firstLineChars="200"/>
        <w:rPr>
          <w:rFonts w:hint="eastAsia" w:ascii="宋体" w:hAnsi="宋体" w:eastAsia="宋体" w:cs="宋体"/>
          <w:color w:val="auto"/>
          <w:sz w:val="24"/>
          <w:highlight w:val="none"/>
          <w:u w:val="single"/>
        </w:rPr>
      </w:pPr>
      <w:r>
        <w:rPr>
          <w:rFonts w:hint="eastAsia" w:ascii="宋体" w:hAnsi="宋体" w:eastAsia="宋体" w:cs="宋体"/>
          <w:bCs/>
          <w:color w:val="auto"/>
          <w:sz w:val="24"/>
          <w:highlight w:val="none"/>
          <w:u w:val="single"/>
        </w:rPr>
        <w:t>招标</w:t>
      </w:r>
      <w:r>
        <w:rPr>
          <w:rFonts w:hint="eastAsia" w:ascii="宋体" w:hAnsi="宋体" w:eastAsia="宋体" w:cs="宋体"/>
          <w:color w:val="auto"/>
          <w:sz w:val="24"/>
          <w:highlight w:val="none"/>
          <w:u w:val="single"/>
        </w:rPr>
        <w:t>工程量清单</w:t>
      </w:r>
    </w:p>
    <w:p w14:paraId="3E3C378A">
      <w:pPr>
        <w:pStyle w:val="35"/>
        <w:numPr>
          <w:ilvl w:val="0"/>
          <w:numId w:val="3"/>
        </w:numPr>
        <w:spacing w:after="0" w:line="360" w:lineRule="auto"/>
        <w:ind w:left="0" w:leftChars="0"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最高投标限价</w:t>
      </w:r>
    </w:p>
    <w:p w14:paraId="2C1ECBA8">
      <w:pPr>
        <w:pStyle w:val="35"/>
        <w:spacing w:after="0" w:line="360" w:lineRule="auto"/>
        <w:ind w:left="-2" w:firstLine="480" w:firstLineChars="20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sz w:val="24"/>
          <w:highlight w:val="none"/>
        </w:rPr>
        <w:t>注：</w:t>
      </w:r>
      <w:r>
        <w:rPr>
          <w:rFonts w:hint="eastAsia" w:ascii="宋体" w:hAnsi="宋体" w:eastAsia="宋体" w:cs="宋体"/>
          <w:b w:val="0"/>
          <w:bCs w:val="0"/>
          <w:color w:val="auto"/>
          <w:kern w:val="0"/>
          <w:sz w:val="24"/>
          <w:szCs w:val="24"/>
          <w:highlight w:val="none"/>
        </w:rPr>
        <w:t>招标人应在技术条件（工程建设标准）中明确</w:t>
      </w:r>
      <w:r>
        <w:rPr>
          <w:rFonts w:hint="eastAsia" w:ascii="宋体" w:hAnsi="宋体" w:eastAsia="宋体" w:cs="宋体"/>
          <w:b w:val="0"/>
          <w:bCs w:val="0"/>
          <w:color w:val="auto"/>
          <w:kern w:val="0"/>
          <w:sz w:val="24"/>
          <w:szCs w:val="24"/>
          <w:highlight w:val="none"/>
          <w:lang w:eastAsia="zh-CN"/>
        </w:rPr>
        <w:t>如下内容：</w:t>
      </w:r>
    </w:p>
    <w:p w14:paraId="625C8333">
      <w:pPr>
        <w:pStyle w:val="35"/>
        <w:numPr>
          <w:ilvl w:val="0"/>
          <w:numId w:val="0"/>
        </w:numPr>
        <w:spacing w:after="0" w:line="360" w:lineRule="auto"/>
        <w:ind w:left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rPr>
        <w:t>施工现场建筑垃圾源头减量的具体要求和建筑垃圾综合利用产品的使用要求。</w:t>
      </w:r>
    </w:p>
    <w:p w14:paraId="4AF13D99">
      <w:pPr>
        <w:pStyle w:val="35"/>
        <w:numPr>
          <w:ilvl w:val="0"/>
          <w:numId w:val="0"/>
        </w:numPr>
        <w:spacing w:after="0" w:line="360" w:lineRule="auto"/>
        <w:ind w:left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eastAsia="zh-CN"/>
        </w:rPr>
        <w:t>占道施工相关告知、围蔽、修复等要求。</w:t>
      </w:r>
    </w:p>
    <w:p w14:paraId="683BAF1B">
      <w:pPr>
        <w:pStyle w:val="35"/>
        <w:numPr>
          <w:ilvl w:val="0"/>
          <w:numId w:val="0"/>
        </w:numPr>
        <w:spacing w:after="0" w:line="360" w:lineRule="auto"/>
        <w:ind w:left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eastAsia="zh-CN"/>
        </w:rPr>
        <w:t>对照《广州市智能建造技术清单（</w:t>
      </w:r>
      <w:r>
        <w:rPr>
          <w:rFonts w:hint="eastAsia" w:ascii="宋体" w:hAnsi="宋体" w:eastAsia="宋体" w:cs="宋体"/>
          <w:b w:val="0"/>
          <w:bCs w:val="0"/>
          <w:color w:val="auto"/>
          <w:kern w:val="0"/>
          <w:sz w:val="24"/>
          <w:szCs w:val="24"/>
          <w:highlight w:val="none"/>
          <w:lang w:val="en-US" w:eastAsia="zh-CN"/>
        </w:rPr>
        <w:t>1.0版）》对招标项目智能建造提出要求。</w:t>
      </w:r>
    </w:p>
    <w:p w14:paraId="061C011B">
      <w:pPr>
        <w:pStyle w:val="35"/>
        <w:numPr>
          <w:ilvl w:val="0"/>
          <w:numId w:val="0"/>
        </w:numPr>
        <w:spacing w:after="0" w:line="360" w:lineRule="auto"/>
        <w:ind w:left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4.招标人对中标人参与“百千万工程”的具体要求。</w:t>
      </w:r>
    </w:p>
    <w:p w14:paraId="1ACB9685">
      <w:pPr>
        <w:pStyle w:val="35"/>
        <w:numPr>
          <w:ilvl w:val="0"/>
          <w:numId w:val="0"/>
        </w:numPr>
        <w:spacing w:after="0"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5.在建筑废弃物运输上落实《关于加快推动氢能产业高质量发展的若干措施》的要求。</w:t>
      </w:r>
    </w:p>
    <w:p w14:paraId="0C3B0D64">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2C3394E1">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7.3 投标人一旦中标，招标文件的内容对招标人和中标人双方均有约束力。</w:t>
      </w:r>
    </w:p>
    <w:p w14:paraId="00BB3F0B">
      <w:pPr>
        <w:pStyle w:val="35"/>
        <w:spacing w:after="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8．招标答疑</w:t>
      </w:r>
    </w:p>
    <w:p w14:paraId="42F95DEA">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8.1 投标人若对招标文件（包括招标图纸）中有疑问，可以书面形式</w:t>
      </w:r>
      <w:r>
        <w:rPr>
          <w:rFonts w:hint="eastAsia" w:ascii="宋体" w:hAnsi="宋体" w:eastAsia="宋体" w:cs="宋体"/>
          <w:color w:val="auto"/>
          <w:sz w:val="24"/>
          <w:szCs w:val="24"/>
          <w:highlight w:val="none"/>
        </w:rPr>
        <w:t>通过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交易平台提交</w:t>
      </w:r>
      <w:r>
        <w:rPr>
          <w:rFonts w:hint="eastAsia" w:ascii="宋体" w:hAnsi="宋体" w:eastAsia="宋体" w:cs="宋体"/>
          <w:color w:val="auto"/>
          <w:sz w:val="24"/>
          <w:highlight w:val="none"/>
        </w:rPr>
        <w:t>给招标人或招标代理人，提交形式见本须知前附表第</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项。</w:t>
      </w:r>
    </w:p>
    <w:p w14:paraId="00320C98">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8.2招标答疑会会议纪要将在提交投标文件截止时间15日前在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 xml:space="preserve"> “项目答疑纪要”专区公开发布。答疑纪要一经在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发布，视作已发放给所有投标人。</w:t>
      </w:r>
    </w:p>
    <w:p w14:paraId="08063246">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8.3答疑会会议纪要为招标文件的一部分。</w:t>
      </w:r>
    </w:p>
    <w:p w14:paraId="06AFE65F">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8.4若招标答疑会会议纪要与招标文件有矛盾，以答疑会议纪要最后发出的书面形式的文件为准。</w:t>
      </w:r>
    </w:p>
    <w:p w14:paraId="3C1017B4">
      <w:pPr>
        <w:pStyle w:val="35"/>
        <w:spacing w:after="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9.招标文件的澄清与修改</w:t>
      </w:r>
    </w:p>
    <w:p w14:paraId="6FC698D6">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9.1招标文件发出后,在提交投标文件截止时间15日前，招标人可对招标文件进行必要的澄清或修改。</w:t>
      </w:r>
    </w:p>
    <w:p w14:paraId="7DCA402A">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9.2招标文件的澄清或修改将在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“项目答疑纪要”专区公开发布。答疑纪要一经在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发布，视作已发放给所有投标人，以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上网发布时间作为送达时间。</w:t>
      </w:r>
    </w:p>
    <w:p w14:paraId="68460811">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9.3招标文件的</w:t>
      </w:r>
      <w:r>
        <w:rPr>
          <w:rFonts w:hint="eastAsia" w:ascii="宋体" w:hAnsi="宋体" w:eastAsia="宋体" w:cs="宋体"/>
          <w:color w:val="auto"/>
          <w:sz w:val="24"/>
          <w:highlight w:val="none"/>
          <w:lang w:eastAsia="zh-CN"/>
        </w:rPr>
        <w:t>澄清或</w:t>
      </w:r>
      <w:r>
        <w:rPr>
          <w:rFonts w:hint="eastAsia" w:ascii="宋体" w:hAnsi="宋体" w:eastAsia="宋体" w:cs="宋体"/>
          <w:color w:val="auto"/>
          <w:sz w:val="24"/>
          <w:highlight w:val="none"/>
        </w:rPr>
        <w:t>修改内容为招标文件的组成部分</w:t>
      </w:r>
      <w:r>
        <w:rPr>
          <w:rFonts w:hint="eastAsia" w:ascii="宋体" w:hAnsi="宋体" w:eastAsia="宋体" w:cs="宋体"/>
          <w:color w:val="auto"/>
          <w:sz w:val="24"/>
          <w:highlight w:val="none"/>
          <w:lang w:eastAsia="zh-CN"/>
        </w:rPr>
        <w:t>，对投标人起约束作用</w:t>
      </w:r>
      <w:r>
        <w:rPr>
          <w:rFonts w:hint="eastAsia" w:ascii="宋体" w:hAnsi="宋体" w:eastAsia="宋体" w:cs="宋体"/>
          <w:color w:val="auto"/>
          <w:sz w:val="24"/>
          <w:highlight w:val="none"/>
        </w:rPr>
        <w:t>。</w:t>
      </w:r>
    </w:p>
    <w:p w14:paraId="51BADF51">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9.4招标文件的澄清或修改均以</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网站</w:t>
      </w:r>
      <w:r>
        <w:rPr>
          <w:rFonts w:hint="eastAsia" w:ascii="宋体" w:hAnsi="宋体" w:eastAsia="宋体" w:cs="宋体"/>
          <w:color w:val="auto"/>
          <w:sz w:val="24"/>
          <w:highlight w:val="none"/>
        </w:rPr>
        <w:t>发布的内容为准。当招标文件的澄清、修改、补充等在同一内容的表述不一致时，以最后发出的书面形式的文件为准。</w:t>
      </w:r>
    </w:p>
    <w:p w14:paraId="471FCD80">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025505AE">
      <w:pPr>
        <w:pStyle w:val="5"/>
        <w:bidi w:val="0"/>
        <w:rPr>
          <w:rFonts w:hint="eastAsia" w:ascii="宋体" w:hAnsi="宋体" w:eastAsia="宋体" w:cs="宋体"/>
          <w:color w:val="auto"/>
          <w:highlight w:val="none"/>
        </w:rPr>
      </w:pPr>
      <w:bookmarkStart w:id="26" w:name="_Toc21525495"/>
      <w:bookmarkStart w:id="27" w:name="_Toc19531"/>
      <w:bookmarkStart w:id="28" w:name="_Toc644"/>
      <w:bookmarkStart w:id="29" w:name="_Toc2272551"/>
      <w:r>
        <w:rPr>
          <w:rFonts w:hint="eastAsia" w:ascii="宋体" w:hAnsi="宋体" w:eastAsia="宋体" w:cs="宋体"/>
          <w:color w:val="auto"/>
          <w:highlight w:val="none"/>
        </w:rPr>
        <w:t>（三）投标文件的编制</w:t>
      </w:r>
      <w:bookmarkEnd w:id="26"/>
      <w:bookmarkEnd w:id="27"/>
      <w:bookmarkEnd w:id="28"/>
      <w:bookmarkEnd w:id="29"/>
    </w:p>
    <w:p w14:paraId="6273E124">
      <w:pPr>
        <w:pStyle w:val="35"/>
        <w:spacing w:after="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10．投标文件的语言及度量衡单位</w:t>
      </w:r>
    </w:p>
    <w:p w14:paraId="65F56855">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 投标文件和与投标有关的所有文件均应使用中文。</w:t>
      </w:r>
    </w:p>
    <w:p w14:paraId="1F71F7A1">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 除工程规范另有规定外，投标文件使用的度量衡单位，均采用中华人民共和国法定计量单位。</w:t>
      </w:r>
    </w:p>
    <w:p w14:paraId="5AA0D62B">
      <w:pPr>
        <w:pStyle w:val="35"/>
        <w:spacing w:after="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11．投标文件的组成</w:t>
      </w:r>
    </w:p>
    <w:p w14:paraId="179CA59B">
      <w:pPr>
        <w:pStyle w:val="35"/>
        <w:spacing w:after="0"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由招标人根据招标项目实际情况自行确定）</w:t>
      </w:r>
    </w:p>
    <w:p w14:paraId="1415C481">
      <w:pPr>
        <w:pStyle w:val="35"/>
        <w:spacing w:after="0" w:line="360" w:lineRule="auto"/>
        <w:ind w:firstLine="480" w:firstLineChars="200"/>
        <w:rPr>
          <w:rFonts w:hint="eastAsia" w:ascii="宋体" w:hAnsi="宋体" w:eastAsia="宋体" w:cs="宋体"/>
          <w:b/>
          <w:color w:val="auto"/>
          <w:sz w:val="24"/>
          <w:highlight w:val="none"/>
          <w:u w:val="single"/>
        </w:rPr>
      </w:pPr>
      <w:r>
        <w:rPr>
          <w:rFonts w:hint="eastAsia" w:ascii="宋体" w:hAnsi="宋体" w:eastAsia="宋体" w:cs="宋体"/>
          <w:color w:val="auto"/>
          <w:sz w:val="24"/>
          <w:highlight w:val="none"/>
          <w:u w:val="single"/>
        </w:rPr>
        <w:t>11.1 投标文件由技术</w:t>
      </w:r>
      <w:r>
        <w:rPr>
          <w:rFonts w:hint="eastAsia" w:ascii="宋体" w:hAnsi="宋体" w:eastAsia="宋体" w:cs="宋体"/>
          <w:color w:val="auto"/>
          <w:sz w:val="24"/>
          <w:highlight w:val="none"/>
          <w:u w:val="single"/>
          <w:lang w:eastAsia="zh-CN"/>
        </w:rPr>
        <w:t>部分（含资格审查文件）</w:t>
      </w:r>
      <w:r>
        <w:rPr>
          <w:rFonts w:hint="eastAsia" w:ascii="宋体" w:hAnsi="宋体" w:eastAsia="宋体" w:cs="宋体"/>
          <w:color w:val="auto"/>
          <w:sz w:val="24"/>
          <w:highlight w:val="none"/>
          <w:u w:val="single"/>
        </w:rPr>
        <w:t>和经济</w:t>
      </w:r>
      <w:r>
        <w:rPr>
          <w:rFonts w:hint="eastAsia" w:ascii="宋体" w:hAnsi="宋体" w:eastAsia="宋体" w:cs="宋体"/>
          <w:color w:val="auto"/>
          <w:sz w:val="24"/>
          <w:highlight w:val="none"/>
          <w:u w:val="single"/>
          <w:lang w:eastAsia="zh-CN"/>
        </w:rPr>
        <w:t>部分二</w:t>
      </w:r>
      <w:r>
        <w:rPr>
          <w:rFonts w:hint="eastAsia" w:ascii="宋体" w:hAnsi="宋体" w:eastAsia="宋体" w:cs="宋体"/>
          <w:color w:val="auto"/>
          <w:sz w:val="24"/>
          <w:highlight w:val="none"/>
          <w:u w:val="single"/>
        </w:rPr>
        <w:t>部分</w:t>
      </w:r>
      <w:r>
        <w:rPr>
          <w:rFonts w:hint="eastAsia" w:ascii="宋体" w:hAnsi="宋体" w:eastAsia="宋体" w:cs="宋体"/>
          <w:color w:val="auto"/>
          <w:sz w:val="24"/>
          <w:highlight w:val="none"/>
          <w:u w:val="single"/>
          <w:lang w:eastAsia="zh-CN"/>
        </w:rPr>
        <w:t>投标文件</w:t>
      </w:r>
      <w:r>
        <w:rPr>
          <w:rFonts w:hint="eastAsia" w:ascii="宋体" w:hAnsi="宋体" w:eastAsia="宋体" w:cs="宋体"/>
          <w:color w:val="auto"/>
          <w:sz w:val="24"/>
          <w:highlight w:val="none"/>
          <w:u w:val="single"/>
        </w:rPr>
        <w:t>组成</w:t>
      </w:r>
      <w:r>
        <w:rPr>
          <w:rFonts w:hint="eastAsia" w:ascii="宋体" w:hAnsi="宋体" w:eastAsia="宋体" w:cs="宋体"/>
          <w:b/>
          <w:color w:val="auto"/>
          <w:sz w:val="24"/>
          <w:highlight w:val="none"/>
          <w:u w:val="single"/>
        </w:rPr>
        <w:t>。</w:t>
      </w:r>
    </w:p>
    <w:p w14:paraId="0A98735D">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u w:val="single"/>
        </w:rPr>
        <w:t>11.2投标文件</w:t>
      </w:r>
      <w:r>
        <w:rPr>
          <w:rFonts w:hint="eastAsia" w:ascii="宋体" w:hAnsi="宋体" w:eastAsia="宋体" w:cs="宋体"/>
          <w:bCs/>
          <w:color w:val="auto"/>
          <w:sz w:val="24"/>
          <w:highlight w:val="none"/>
          <w:u w:val="single"/>
          <w:lang w:eastAsia="zh-CN"/>
        </w:rPr>
        <w:t>技术标</w:t>
      </w:r>
      <w:r>
        <w:rPr>
          <w:rFonts w:hint="eastAsia" w:ascii="宋体" w:hAnsi="宋体" w:eastAsia="宋体" w:cs="宋体"/>
          <w:bCs/>
          <w:color w:val="auto"/>
          <w:sz w:val="24"/>
          <w:highlight w:val="none"/>
          <w:u w:val="single"/>
        </w:rPr>
        <w:t>部分主要包括下列内容:</w:t>
      </w:r>
    </w:p>
    <w:p w14:paraId="5A9E68E5">
      <w:pPr>
        <w:pStyle w:val="19"/>
        <w:spacing w:line="360" w:lineRule="auto"/>
        <w:ind w:firstLine="480"/>
        <w:rPr>
          <w:rFonts w:hint="eastAsia" w:ascii="宋体" w:hAnsi="宋体" w:eastAsia="宋体" w:cs="宋体"/>
          <w:bCs/>
          <w:color w:val="auto"/>
          <w:sz w:val="24"/>
          <w:highlight w:val="none"/>
          <w:u w:val="single"/>
          <w:lang w:val="en-US" w:eastAsia="zh-CN"/>
        </w:rPr>
      </w:pPr>
      <w:r>
        <w:rPr>
          <w:rFonts w:hint="eastAsia" w:ascii="宋体" w:hAnsi="宋体" w:eastAsia="宋体" w:cs="宋体"/>
          <w:bCs/>
          <w:color w:val="auto"/>
          <w:sz w:val="24"/>
          <w:highlight w:val="none"/>
          <w:u w:val="single"/>
          <w:lang w:val="en-US" w:eastAsia="zh-CN"/>
        </w:rPr>
        <w:t>11.2.1资格审查文件</w:t>
      </w:r>
    </w:p>
    <w:p w14:paraId="585CD410">
      <w:pPr>
        <w:numPr>
          <w:ilvl w:val="0"/>
          <w:numId w:val="4"/>
        </w:num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u w:val="single"/>
        </w:rPr>
        <w:t>投标人声明</w:t>
      </w:r>
      <w:r>
        <w:rPr>
          <w:rFonts w:hint="eastAsia" w:ascii="宋体" w:hAnsi="宋体" w:eastAsia="宋体" w:cs="宋体"/>
          <w:bCs/>
          <w:color w:val="auto"/>
          <w:sz w:val="24"/>
          <w:highlight w:val="none"/>
          <w:u w:val="single"/>
          <w:lang w:val="en-US" w:eastAsia="zh-CN"/>
        </w:rPr>
        <w:t>；</w:t>
      </w:r>
    </w:p>
    <w:p w14:paraId="72084CAC">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u w:val="single"/>
        </w:rPr>
        <w:t>（2）法定代表人证明书、法定代表人签字或盖章的本投标文件授权委托证明书</w:t>
      </w:r>
      <w:r>
        <w:rPr>
          <w:rFonts w:hint="eastAsia" w:ascii="宋体" w:hAnsi="宋体" w:eastAsia="宋体" w:cs="宋体"/>
          <w:bCs/>
          <w:color w:val="auto"/>
          <w:sz w:val="24"/>
          <w:highlight w:val="none"/>
          <w:u w:val="single"/>
          <w:lang w:eastAsia="zh-CN"/>
        </w:rPr>
        <w:t>；</w:t>
      </w:r>
    </w:p>
    <w:p w14:paraId="3CC8F827">
      <w:pPr>
        <w:spacing w:line="360" w:lineRule="auto"/>
        <w:ind w:firstLine="480" w:firstLineChars="200"/>
        <w:rPr>
          <w:rFonts w:hint="eastAsia" w:ascii="宋体" w:hAnsi="宋体" w:eastAsia="宋体" w:cs="宋体"/>
          <w:bCs/>
          <w:color w:val="auto"/>
          <w:sz w:val="24"/>
          <w:highlight w:val="none"/>
          <w:u w:val="single"/>
          <w:lang w:eastAsia="zh-CN"/>
        </w:rPr>
      </w:pPr>
      <w:r>
        <w:rPr>
          <w:rFonts w:hint="eastAsia" w:ascii="宋体" w:hAnsi="宋体" w:eastAsia="宋体" w:cs="宋体"/>
          <w:bCs/>
          <w:color w:val="auto"/>
          <w:sz w:val="24"/>
          <w:highlight w:val="none"/>
          <w:u w:val="single"/>
        </w:rPr>
        <w:t>（3）企业营业执照</w:t>
      </w:r>
      <w:r>
        <w:rPr>
          <w:rFonts w:hint="eastAsia" w:ascii="宋体" w:hAnsi="宋体" w:eastAsia="宋体" w:cs="宋体"/>
          <w:bCs/>
          <w:color w:val="auto"/>
          <w:sz w:val="24"/>
          <w:highlight w:val="none"/>
          <w:u w:val="single"/>
          <w:lang w:eastAsia="zh-CN"/>
        </w:rPr>
        <w:t>；</w:t>
      </w:r>
    </w:p>
    <w:p w14:paraId="2A794AAC">
      <w:pPr>
        <w:spacing w:line="360" w:lineRule="auto"/>
        <w:ind w:firstLine="480" w:firstLineChars="200"/>
        <w:rPr>
          <w:rFonts w:hint="eastAsia" w:ascii="宋体" w:hAnsi="宋体" w:eastAsia="宋体" w:cs="宋体"/>
          <w:bCs/>
          <w:color w:val="auto"/>
          <w:sz w:val="24"/>
          <w:highlight w:val="none"/>
          <w:u w:val="single"/>
          <w:lang w:eastAsia="zh-CN"/>
        </w:rPr>
      </w:pPr>
      <w:r>
        <w:rPr>
          <w:rFonts w:hint="eastAsia" w:ascii="宋体" w:hAnsi="宋体" w:eastAsia="宋体" w:cs="宋体"/>
          <w:bCs/>
          <w:color w:val="auto"/>
          <w:sz w:val="24"/>
          <w:highlight w:val="none"/>
          <w:u w:val="single"/>
        </w:rPr>
        <w:t>（4）企业资质证书</w:t>
      </w:r>
      <w:r>
        <w:rPr>
          <w:rFonts w:hint="eastAsia" w:ascii="宋体" w:hAnsi="宋体" w:eastAsia="宋体" w:cs="宋体"/>
          <w:bCs/>
          <w:color w:val="auto"/>
          <w:sz w:val="24"/>
          <w:highlight w:val="none"/>
          <w:u w:val="single"/>
          <w:lang w:eastAsia="zh-CN"/>
        </w:rPr>
        <w:t>；</w:t>
      </w:r>
    </w:p>
    <w:p w14:paraId="3C0DEEBE">
      <w:pPr>
        <w:spacing w:line="360" w:lineRule="auto"/>
        <w:ind w:firstLine="480" w:firstLineChars="200"/>
        <w:rPr>
          <w:rFonts w:hint="eastAsia" w:ascii="宋体" w:hAnsi="宋体" w:eastAsia="宋体" w:cs="宋体"/>
          <w:bCs/>
          <w:color w:val="auto"/>
          <w:sz w:val="24"/>
          <w:highlight w:val="none"/>
          <w:u w:val="single"/>
          <w:lang w:eastAsia="zh-CN"/>
        </w:rPr>
      </w:pPr>
      <w:r>
        <w:rPr>
          <w:rFonts w:hint="eastAsia" w:ascii="宋体" w:hAnsi="宋体" w:eastAsia="宋体" w:cs="宋体"/>
          <w:bCs/>
          <w:color w:val="auto"/>
          <w:sz w:val="24"/>
          <w:highlight w:val="none"/>
          <w:u w:val="single"/>
        </w:rPr>
        <w:t>（5）建筑施工企业安全生产许可证</w:t>
      </w:r>
      <w:r>
        <w:rPr>
          <w:rFonts w:hint="eastAsia" w:ascii="宋体" w:hAnsi="宋体" w:eastAsia="宋体" w:cs="宋体"/>
          <w:bCs/>
          <w:color w:val="auto"/>
          <w:sz w:val="24"/>
          <w:highlight w:val="none"/>
          <w:u w:val="single"/>
          <w:lang w:eastAsia="zh-CN"/>
        </w:rPr>
        <w:t>；</w:t>
      </w:r>
    </w:p>
    <w:p w14:paraId="727D23F6">
      <w:pPr>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highlight w:val="none"/>
          <w:u w:val="single"/>
        </w:rPr>
        <w:t>（6）</w:t>
      </w:r>
      <w:r>
        <w:rPr>
          <w:rFonts w:hint="eastAsia" w:ascii="宋体" w:hAnsi="宋体" w:eastAsia="宋体" w:cs="宋体"/>
          <w:bCs/>
          <w:color w:val="auto"/>
          <w:sz w:val="24"/>
          <w:szCs w:val="24"/>
          <w:highlight w:val="none"/>
          <w:u w:val="single"/>
        </w:rPr>
        <w:t>项目负责人（按网上投标登记时选择拟投标的项目负责人</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color w:val="auto"/>
          <w:sz w:val="24"/>
          <w:highlight w:val="none"/>
          <w:u w:val="single"/>
        </w:rPr>
        <w:t>投标人须在广州市交通建设项目企业信息库建立企业信用信息档案，拟担任本工程项目负责人须是本企业信息档案中的在册人员</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eastAsia="zh-CN"/>
        </w:rPr>
        <w:t>；</w:t>
      </w:r>
    </w:p>
    <w:p w14:paraId="24E8CA40">
      <w:pPr>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u w:val="single"/>
        </w:rPr>
        <w:t>（7）专职安全员（按网上投标登记时选择拟投标的专职安全员</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color w:val="auto"/>
          <w:sz w:val="24"/>
          <w:highlight w:val="none"/>
          <w:u w:val="single"/>
        </w:rPr>
        <w:t>投标人须在广州市交通建设项目企业信息库建立企业信用信息档案，拟担任本工程专职安全员须是本企业信息档案中的在册人员</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eastAsia="zh-CN"/>
        </w:rPr>
        <w:t>；</w:t>
      </w:r>
    </w:p>
    <w:p w14:paraId="16286FEA">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u w:val="single"/>
        </w:rPr>
        <w:t>（8）拟委派项目负责人的建造师注册证书（取自</w:t>
      </w:r>
      <w:r>
        <w:rPr>
          <w:rFonts w:hint="eastAsia" w:ascii="宋体" w:hAnsi="宋体" w:eastAsia="宋体" w:cs="宋体"/>
          <w:color w:val="auto"/>
          <w:sz w:val="24"/>
          <w:highlight w:val="none"/>
          <w:u w:val="single"/>
        </w:rPr>
        <w:t>广州市交通建设项目企业信息库</w:t>
      </w:r>
      <w:r>
        <w:rPr>
          <w:rFonts w:hint="eastAsia" w:ascii="宋体" w:hAnsi="宋体" w:eastAsia="宋体" w:cs="宋体"/>
          <w:bCs/>
          <w:color w:val="auto"/>
          <w:sz w:val="24"/>
          <w:highlight w:val="none"/>
          <w:u w:val="single"/>
        </w:rPr>
        <w:t xml:space="preserve">内上传件） </w:t>
      </w:r>
      <w:r>
        <w:rPr>
          <w:rFonts w:hint="eastAsia" w:ascii="宋体" w:hAnsi="宋体" w:eastAsia="宋体" w:cs="宋体"/>
          <w:bCs/>
          <w:color w:val="auto"/>
          <w:sz w:val="24"/>
          <w:highlight w:val="none"/>
          <w:u w:val="single"/>
          <w:lang w:eastAsia="zh-CN"/>
        </w:rPr>
        <w:t>；</w:t>
      </w:r>
      <w:r>
        <w:rPr>
          <w:rFonts w:hint="eastAsia" w:ascii="宋体" w:hAnsi="宋体" w:eastAsia="宋体" w:cs="宋体"/>
          <w:bCs/>
          <w:color w:val="auto"/>
          <w:sz w:val="24"/>
          <w:highlight w:val="none"/>
          <w:u w:val="single"/>
        </w:rPr>
        <w:t xml:space="preserve"> </w:t>
      </w:r>
    </w:p>
    <w:p w14:paraId="2568980D">
      <w:pPr>
        <w:spacing w:line="360" w:lineRule="auto"/>
        <w:ind w:firstLine="480" w:firstLineChars="200"/>
        <w:rPr>
          <w:rFonts w:hint="eastAsia" w:ascii="宋体" w:hAnsi="宋体" w:eastAsia="宋体" w:cs="宋体"/>
          <w:bCs/>
          <w:color w:val="auto"/>
          <w:sz w:val="24"/>
          <w:highlight w:val="none"/>
          <w:u w:val="single"/>
          <w:lang w:eastAsia="zh-CN"/>
        </w:rPr>
      </w:pP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u w:val="single"/>
          <w:lang w:val="en-US" w:eastAsia="zh-CN"/>
        </w:rPr>
        <w:t>9</w:t>
      </w:r>
      <w:r>
        <w:rPr>
          <w:rFonts w:hint="eastAsia" w:ascii="宋体" w:hAnsi="宋体" w:eastAsia="宋体" w:cs="宋体"/>
          <w:bCs/>
          <w:color w:val="auto"/>
          <w:sz w:val="24"/>
          <w:highlight w:val="none"/>
          <w:u w:val="single"/>
        </w:rPr>
        <w:t>）项目负责人安全生产考核合格证明或在有效期内的安全考核合格证书（B类）或建筑施工企业项目负责人安全生产考核合格证书</w:t>
      </w:r>
      <w:r>
        <w:rPr>
          <w:rFonts w:hint="eastAsia" w:ascii="宋体" w:hAnsi="宋体" w:eastAsia="宋体" w:cs="宋体"/>
          <w:bCs/>
          <w:color w:val="auto"/>
          <w:sz w:val="24"/>
          <w:highlight w:val="none"/>
          <w:u w:val="single"/>
          <w:lang w:eastAsia="zh-CN"/>
        </w:rPr>
        <w:t>；</w:t>
      </w:r>
    </w:p>
    <w:p w14:paraId="541AD1AA">
      <w:pPr>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u w:val="single"/>
          <w:lang w:val="en-US" w:eastAsia="zh-CN"/>
        </w:rPr>
        <w:t>10</w:t>
      </w:r>
      <w:r>
        <w:rPr>
          <w:rFonts w:hint="eastAsia" w:ascii="宋体" w:hAnsi="宋体" w:eastAsia="宋体" w:cs="宋体"/>
          <w:bCs/>
          <w:color w:val="auto"/>
          <w:sz w:val="24"/>
          <w:highlight w:val="none"/>
          <w:u w:val="single"/>
        </w:rPr>
        <w:t>）专职安全员须具有在有效期内的安全考核合格证书（C类）或建筑施工企业专职安全生产管理人员安全生产考核合格证书（C3）</w:t>
      </w:r>
      <w:r>
        <w:rPr>
          <w:rFonts w:hint="eastAsia" w:ascii="宋体" w:hAnsi="宋体" w:eastAsia="宋体" w:cs="宋体"/>
          <w:bCs/>
          <w:color w:val="auto"/>
          <w:sz w:val="24"/>
          <w:highlight w:val="none"/>
          <w:u w:val="single"/>
          <w:lang w:eastAsia="zh-CN"/>
        </w:rPr>
        <w:t>；</w:t>
      </w:r>
    </w:p>
    <w:p w14:paraId="5173B62F">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val="en-US" w:eastAsia="zh-CN"/>
        </w:rPr>
        <w:t>11</w:t>
      </w:r>
      <w:r>
        <w:rPr>
          <w:rFonts w:hint="eastAsia" w:ascii="宋体" w:hAnsi="宋体" w:eastAsia="宋体" w:cs="宋体"/>
          <w:bCs/>
          <w:color w:val="auto"/>
          <w:sz w:val="24"/>
          <w:szCs w:val="24"/>
          <w:highlight w:val="none"/>
          <w:u w:val="single"/>
        </w:rPr>
        <w:t>）用于资格审查的业绩（设置业绩要求时选择此项，</w:t>
      </w:r>
      <w:r>
        <w:rPr>
          <w:rFonts w:hint="eastAsia" w:ascii="宋体" w:hAnsi="宋体" w:eastAsia="宋体" w:cs="宋体"/>
          <w:color w:val="auto"/>
          <w:sz w:val="24"/>
          <w:highlight w:val="none"/>
          <w:u w:val="single"/>
        </w:rPr>
        <w:t>具体格式由招标人自定</w:t>
      </w:r>
      <w:r>
        <w:rPr>
          <w:rFonts w:hint="eastAsia" w:ascii="宋体" w:hAnsi="宋体" w:eastAsia="宋体" w:cs="宋体"/>
          <w:bCs/>
          <w:color w:val="auto"/>
          <w:sz w:val="24"/>
          <w:szCs w:val="24"/>
          <w:highlight w:val="none"/>
          <w:u w:val="single"/>
        </w:rPr>
        <w:t>）</w:t>
      </w:r>
    </w:p>
    <w:p w14:paraId="56ED8E53">
      <w:pPr>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val="en-US" w:eastAsia="zh-CN"/>
        </w:rPr>
        <w:t>12</w:t>
      </w:r>
      <w:r>
        <w:rPr>
          <w:rFonts w:hint="eastAsia" w:ascii="宋体" w:hAnsi="宋体" w:eastAsia="宋体" w:cs="宋体"/>
          <w:bCs/>
          <w:color w:val="auto"/>
          <w:sz w:val="24"/>
          <w:szCs w:val="24"/>
          <w:highlight w:val="none"/>
          <w:u w:val="single"/>
        </w:rPr>
        <w:t>）列明主办单位的联合体工作协议（采用联合体投标时需递交，</w:t>
      </w:r>
      <w:r>
        <w:rPr>
          <w:rFonts w:hint="eastAsia" w:ascii="宋体" w:hAnsi="宋体" w:eastAsia="宋体" w:cs="宋体"/>
          <w:color w:val="auto"/>
          <w:sz w:val="24"/>
          <w:szCs w:val="24"/>
          <w:highlight w:val="none"/>
          <w:u w:val="single"/>
        </w:rPr>
        <w:t>联合体工作协议应明确约定各方拟承担的工作和责任</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eastAsia="zh-CN"/>
        </w:rPr>
        <w:t>；</w:t>
      </w:r>
    </w:p>
    <w:p w14:paraId="513F0431">
      <w:pPr>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lang w:val="en-US" w:eastAsia="zh-CN"/>
        </w:rPr>
        <w:t>13）投标人认为应提交的其他资料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w:t>
      </w:r>
    </w:p>
    <w:p w14:paraId="4CA78DF0">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11.</w:t>
      </w:r>
      <w:r>
        <w:rPr>
          <w:rFonts w:hint="eastAsia" w:ascii="宋体" w:hAnsi="宋体" w:eastAsia="宋体" w:cs="宋体"/>
          <w:color w:val="auto"/>
          <w:sz w:val="24"/>
          <w:highlight w:val="none"/>
          <w:u w:val="single"/>
          <w:lang w:val="en-US" w:eastAsia="zh-CN"/>
        </w:rPr>
        <w:t>2.2</w:t>
      </w:r>
      <w:r>
        <w:rPr>
          <w:rFonts w:hint="eastAsia" w:ascii="宋体" w:hAnsi="宋体" w:eastAsia="宋体" w:cs="宋体"/>
          <w:color w:val="auto"/>
          <w:sz w:val="24"/>
          <w:highlight w:val="none"/>
          <w:u w:val="single"/>
        </w:rPr>
        <w:t>技术投标文件主要包括下列内容：</w:t>
      </w:r>
    </w:p>
    <w:p w14:paraId="189D7039">
      <w:pPr>
        <w:numPr>
          <w:ilvl w:val="0"/>
          <w:numId w:val="5"/>
        </w:num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bCs/>
          <w:color w:val="auto"/>
          <w:sz w:val="24"/>
          <w:highlight w:val="none"/>
          <w:u w:val="single"/>
          <w:lang w:eastAsia="zh-CN"/>
        </w:rPr>
        <w:t>《广州建设工程施工招标投标书》；</w:t>
      </w:r>
    </w:p>
    <w:p w14:paraId="520ED34A">
      <w:pPr>
        <w:numPr>
          <w:ilvl w:val="0"/>
          <w:numId w:val="5"/>
        </w:num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项目管理机构配备：</w:t>
      </w:r>
    </w:p>
    <w:p w14:paraId="414E1BD4">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szCs w:val="24"/>
          <w:highlight w:val="none"/>
          <w:u w:val="single"/>
        </w:rPr>
        <w:t>①</w:t>
      </w:r>
      <w:r>
        <w:rPr>
          <w:rFonts w:hint="eastAsia" w:ascii="宋体" w:hAnsi="宋体" w:eastAsia="宋体" w:cs="宋体"/>
          <w:color w:val="auto"/>
          <w:sz w:val="24"/>
          <w:highlight w:val="none"/>
          <w:u w:val="single"/>
        </w:rPr>
        <w:t>投标人应列出该项目工程的施工组织机构构成和画出机构框架图及其负责人；</w:t>
      </w:r>
    </w:p>
    <w:p w14:paraId="2B7F00A8">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szCs w:val="24"/>
          <w:highlight w:val="none"/>
          <w:u w:val="single"/>
        </w:rPr>
        <w:t>②</w:t>
      </w:r>
      <w:r>
        <w:rPr>
          <w:rFonts w:hint="eastAsia" w:ascii="宋体" w:hAnsi="宋体" w:eastAsia="宋体" w:cs="宋体"/>
          <w:color w:val="auto"/>
          <w:sz w:val="24"/>
          <w:highlight w:val="none"/>
          <w:u w:val="single"/>
        </w:rPr>
        <w:t>投标人应详细列出该施工组织机构中主要成员的名单、简历资料、职务职称和在本项目中拟担任的职务等资料，并附上有关证明材料扫描件；</w:t>
      </w:r>
    </w:p>
    <w:p w14:paraId="05E04091">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szCs w:val="24"/>
          <w:highlight w:val="none"/>
          <w:u w:val="single"/>
        </w:rPr>
        <w:t>③</w:t>
      </w:r>
      <w:r>
        <w:rPr>
          <w:rFonts w:hint="eastAsia" w:ascii="宋体" w:hAnsi="宋体" w:eastAsia="宋体" w:cs="宋体"/>
          <w:color w:val="auto"/>
          <w:sz w:val="24"/>
          <w:highlight w:val="none"/>
          <w:u w:val="single"/>
        </w:rPr>
        <w:t>其他辅助说明资料。</w:t>
      </w:r>
    </w:p>
    <w:p w14:paraId="236E6F2E">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）施工组织设计或施工方案</w:t>
      </w:r>
      <w:r>
        <w:rPr>
          <w:rFonts w:hint="eastAsia" w:ascii="宋体" w:hAnsi="宋体" w:eastAsia="宋体" w:cs="宋体"/>
          <w:color w:val="auto"/>
          <w:sz w:val="24"/>
          <w:highlight w:val="none"/>
          <w:u w:val="single"/>
          <w:lang w:eastAsia="zh-CN"/>
        </w:rPr>
        <w:t>；</w:t>
      </w:r>
    </w:p>
    <w:p w14:paraId="21050C5A">
      <w:pPr>
        <w:pStyle w:val="7"/>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注：建议招标人在招标文件中提出</w:t>
      </w:r>
      <w:r>
        <w:rPr>
          <w:rFonts w:hint="eastAsia" w:ascii="宋体" w:hAnsi="宋体" w:eastAsia="宋体" w:cs="宋体"/>
          <w:bCs w:val="0"/>
          <w:color w:val="auto"/>
          <w:kern w:val="2"/>
          <w:sz w:val="24"/>
          <w:highlight w:val="none"/>
          <w:u w:val="single"/>
        </w:rPr>
        <w:t>篇幅上限</w:t>
      </w:r>
      <w:r>
        <w:rPr>
          <w:rFonts w:hint="eastAsia" w:ascii="宋体" w:hAnsi="宋体" w:eastAsia="宋体" w:cs="宋体"/>
          <w:bCs w:val="0"/>
          <w:color w:val="auto"/>
          <w:kern w:val="2"/>
          <w:sz w:val="24"/>
          <w:highlight w:val="none"/>
          <w:u w:val="single"/>
          <w:lang w:eastAsia="zh-CN"/>
        </w:rPr>
        <w:t>，国家及地方现有工法规范已有的内容</w:t>
      </w:r>
      <w:r>
        <w:rPr>
          <w:rFonts w:hint="eastAsia" w:ascii="宋体" w:hAnsi="宋体" w:eastAsia="宋体" w:cs="宋体"/>
          <w:bCs w:val="0"/>
          <w:color w:val="auto"/>
          <w:kern w:val="2"/>
          <w:sz w:val="24"/>
          <w:highlight w:val="none"/>
          <w:u w:val="single"/>
          <w:lang w:val="en-US" w:eastAsia="zh-CN"/>
        </w:rPr>
        <w:t>无需重复提交</w:t>
      </w:r>
      <w:r>
        <w:rPr>
          <w:rFonts w:hint="eastAsia" w:ascii="宋体" w:hAnsi="宋体" w:eastAsia="宋体" w:cs="宋体"/>
          <w:bCs w:val="0"/>
          <w:color w:val="auto"/>
          <w:kern w:val="2"/>
          <w:sz w:val="24"/>
          <w:highlight w:val="none"/>
          <w:u w:val="single"/>
        </w:rPr>
        <w:t>。</w:t>
      </w:r>
    </w:p>
    <w:p w14:paraId="5AD8B5EC">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4）（选择性条款）</w:t>
      </w:r>
      <w:r>
        <w:rPr>
          <w:rFonts w:hint="eastAsia" w:ascii="宋体" w:hAnsi="宋体" w:eastAsia="宋体" w:cs="宋体"/>
          <w:color w:val="auto"/>
          <w:sz w:val="24"/>
          <w:highlight w:val="none"/>
          <w:u w:val="single"/>
        </w:rPr>
        <w:t>有余泥渣土产生的项目</w:t>
      </w:r>
      <w:r>
        <w:rPr>
          <w:rFonts w:hint="eastAsia" w:ascii="宋体" w:hAnsi="宋体" w:eastAsia="宋体" w:cs="宋体"/>
          <w:color w:val="auto"/>
          <w:sz w:val="24"/>
          <w:highlight w:val="none"/>
          <w:u w:val="single"/>
          <w:lang w:eastAsia="zh-CN"/>
        </w:rPr>
        <w:t>可要求提供</w:t>
      </w:r>
      <w:r>
        <w:rPr>
          <w:rFonts w:hint="eastAsia" w:ascii="宋体" w:hAnsi="宋体" w:eastAsia="宋体" w:cs="宋体"/>
          <w:color w:val="auto"/>
          <w:sz w:val="24"/>
          <w:highlight w:val="none"/>
          <w:u w:val="single"/>
        </w:rPr>
        <w:t>余泥渣土运输与排放方案</w:t>
      </w:r>
      <w:r>
        <w:rPr>
          <w:rFonts w:hint="eastAsia" w:ascii="宋体" w:hAnsi="宋体" w:eastAsia="宋体" w:cs="宋体"/>
          <w:color w:val="auto"/>
          <w:sz w:val="24"/>
          <w:highlight w:val="none"/>
          <w:u w:val="single"/>
          <w:lang w:eastAsia="zh-CN"/>
        </w:rPr>
        <w:t>；</w:t>
      </w:r>
    </w:p>
    <w:p w14:paraId="0E0BB8F4">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（选择性条款）</w:t>
      </w:r>
      <w:r>
        <w:rPr>
          <w:rFonts w:hint="eastAsia" w:ascii="宋体" w:hAnsi="宋体" w:eastAsia="宋体" w:cs="宋体"/>
          <w:color w:val="auto"/>
          <w:sz w:val="24"/>
          <w:highlight w:val="none"/>
          <w:u w:val="single"/>
        </w:rPr>
        <w:t>投标人可使用适合本工程的机械设备</w:t>
      </w:r>
      <w:r>
        <w:rPr>
          <w:rFonts w:hint="eastAsia" w:ascii="宋体" w:hAnsi="宋体" w:eastAsia="宋体" w:cs="宋体"/>
          <w:color w:val="auto"/>
          <w:sz w:val="24"/>
          <w:highlight w:val="none"/>
          <w:u w:val="single"/>
          <w:lang w:eastAsia="zh-CN"/>
        </w:rPr>
        <w:t>；</w:t>
      </w:r>
    </w:p>
    <w:p w14:paraId="6AC32D86">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6</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（选择性条款）</w:t>
      </w:r>
      <w:r>
        <w:rPr>
          <w:rFonts w:hint="eastAsia" w:ascii="宋体" w:hAnsi="宋体" w:eastAsia="宋体" w:cs="宋体"/>
          <w:color w:val="auto"/>
          <w:sz w:val="24"/>
          <w:highlight w:val="none"/>
          <w:u w:val="single"/>
        </w:rPr>
        <w:t>类似工程业绩材料</w:t>
      </w:r>
      <w:r>
        <w:rPr>
          <w:rFonts w:hint="eastAsia" w:ascii="宋体" w:hAnsi="宋体" w:eastAsia="宋体" w:cs="宋体"/>
          <w:color w:val="auto"/>
          <w:sz w:val="24"/>
          <w:highlight w:val="none"/>
          <w:u w:val="single"/>
          <w:lang w:eastAsia="zh-CN"/>
        </w:rPr>
        <w:t>；</w:t>
      </w:r>
    </w:p>
    <w:p w14:paraId="5E34144E">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7</w:t>
      </w:r>
      <w:r>
        <w:rPr>
          <w:rFonts w:hint="eastAsia" w:ascii="宋体" w:hAnsi="宋体" w:eastAsia="宋体" w:cs="宋体"/>
          <w:color w:val="auto"/>
          <w:sz w:val="24"/>
          <w:highlight w:val="none"/>
          <w:u w:val="single"/>
        </w:rPr>
        <w:t>）按本招标文件规定提交的其它所有技术资料</w:t>
      </w:r>
      <w:r>
        <w:rPr>
          <w:rFonts w:hint="eastAsia" w:ascii="宋体" w:hAnsi="宋体" w:eastAsia="宋体" w:cs="宋体"/>
          <w:color w:val="auto"/>
          <w:sz w:val="24"/>
          <w:highlight w:val="none"/>
          <w:u w:val="single"/>
          <w:lang w:eastAsia="zh-CN"/>
        </w:rPr>
        <w:t>；</w:t>
      </w:r>
    </w:p>
    <w:p w14:paraId="27CF03E9">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8</w:t>
      </w:r>
      <w:r>
        <w:rPr>
          <w:rFonts w:hint="eastAsia" w:ascii="宋体" w:hAnsi="宋体" w:eastAsia="宋体" w:cs="宋体"/>
          <w:color w:val="auto"/>
          <w:sz w:val="24"/>
          <w:highlight w:val="none"/>
          <w:u w:val="single"/>
        </w:rPr>
        <w:t>）按照招标文件要求填写的《参与编制技术标投标文件人员名单》。</w:t>
      </w:r>
    </w:p>
    <w:p w14:paraId="6AD3E80E">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u w:val="single"/>
        </w:rPr>
        <w:t>11.3 经济部分投标文件主要包括下列内容：</w:t>
      </w:r>
    </w:p>
    <w:p w14:paraId="565F9FA2">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11.3.1 经济投标文件</w:t>
      </w:r>
    </w:p>
    <w:p w14:paraId="60986DE2">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eastAsia="宋体" w:cs="宋体"/>
          <w:color w:val="auto"/>
          <w:sz w:val="24"/>
          <w:szCs w:val="24"/>
          <w:highlight w:val="none"/>
          <w:u w:val="single"/>
        </w:rPr>
        <w:t>其中包括如下：</w:t>
      </w:r>
      <w:r>
        <w:rPr>
          <w:rFonts w:hint="eastAsia" w:ascii="宋体" w:hAnsi="宋体" w:eastAsia="宋体" w:cs="宋体"/>
          <w:color w:val="auto"/>
          <w:sz w:val="24"/>
          <w:highlight w:val="none"/>
          <w:u w:val="single"/>
        </w:rPr>
        <w:t xml:space="preserve"> </w:t>
      </w:r>
    </w:p>
    <w:p w14:paraId="31836C18">
      <w:pPr>
        <w:spacing w:line="360" w:lineRule="auto"/>
        <w:ind w:firstLine="566" w:firstLineChars="236"/>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（1）投标总价封面、扉页；</w:t>
      </w:r>
    </w:p>
    <w:p w14:paraId="668E2CD1">
      <w:pPr>
        <w:spacing w:line="360" w:lineRule="auto"/>
        <w:ind w:firstLine="566" w:firstLineChars="236"/>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rPr>
        <w:t>（2）总说明</w:t>
      </w:r>
      <w:r>
        <w:rPr>
          <w:rFonts w:hint="eastAsia" w:ascii="宋体" w:hAnsi="宋体" w:eastAsia="宋体" w:cs="宋体"/>
          <w:color w:val="auto"/>
          <w:sz w:val="24"/>
          <w:szCs w:val="24"/>
          <w:highlight w:val="none"/>
          <w:u w:val="single"/>
          <w:lang w:eastAsia="zh-CN"/>
        </w:rPr>
        <w:t>；</w:t>
      </w:r>
    </w:p>
    <w:p w14:paraId="72A39439">
      <w:pPr>
        <w:spacing w:line="360" w:lineRule="auto"/>
        <w:ind w:firstLine="566" w:firstLineChars="23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（3）工程项目投标报价汇总表；</w:t>
      </w:r>
    </w:p>
    <w:p w14:paraId="2CB683BE">
      <w:pPr>
        <w:spacing w:line="360" w:lineRule="auto"/>
        <w:ind w:firstLine="566" w:firstLineChars="23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（4）单项工程投标报价汇总表；</w:t>
      </w:r>
    </w:p>
    <w:p w14:paraId="39C9D503">
      <w:pPr>
        <w:spacing w:line="360" w:lineRule="auto"/>
        <w:ind w:firstLine="566" w:firstLineChars="23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（5）单位工程投标报价汇总表；</w:t>
      </w:r>
    </w:p>
    <w:p w14:paraId="29926260">
      <w:pPr>
        <w:spacing w:line="360" w:lineRule="auto"/>
        <w:ind w:firstLine="566" w:firstLineChars="23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（6）分部分项工程清单与计价表；</w:t>
      </w:r>
    </w:p>
    <w:p w14:paraId="5D09F57A">
      <w:pPr>
        <w:spacing w:line="360" w:lineRule="auto"/>
        <w:ind w:firstLine="566" w:firstLineChars="23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（7）单价措施项目清单与计价表；</w:t>
      </w:r>
    </w:p>
    <w:p w14:paraId="44C5AF0D">
      <w:pPr>
        <w:spacing w:line="360" w:lineRule="auto"/>
        <w:ind w:firstLine="566" w:firstLineChars="23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（8）总价措施项目清单与计价表；</w:t>
      </w:r>
    </w:p>
    <w:p w14:paraId="610758B6">
      <w:pPr>
        <w:spacing w:line="360" w:lineRule="auto"/>
        <w:ind w:firstLine="566" w:firstLineChars="23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（9）综合单价分析表；</w:t>
      </w:r>
    </w:p>
    <w:p w14:paraId="7EA03B6D">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（10）其他项目清单与计价汇总表；</w:t>
      </w:r>
    </w:p>
    <w:p w14:paraId="46F7C71E">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（11）暂列金额明细表；</w:t>
      </w:r>
    </w:p>
    <w:p w14:paraId="735A7340">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（12）材料（工程设备）暂估价明细表；</w:t>
      </w:r>
    </w:p>
    <w:p w14:paraId="76BEC104">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（13）专业工程暂估价明细表；</w:t>
      </w:r>
    </w:p>
    <w:p w14:paraId="6F863966">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（14）计日工表；</w:t>
      </w:r>
    </w:p>
    <w:p w14:paraId="44E194FA">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（15）总承包服务计价表；</w:t>
      </w:r>
    </w:p>
    <w:p w14:paraId="63378070">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（16）规费和税金项目计价表；</w:t>
      </w:r>
    </w:p>
    <w:p w14:paraId="3FE7A7AE">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szCs w:val="24"/>
          <w:highlight w:val="none"/>
          <w:u w:val="single"/>
        </w:rPr>
        <w:t>（17）人工、主要材料和设备一览表</w:t>
      </w:r>
    </w:p>
    <w:p w14:paraId="4B17D6C4">
      <w:pPr>
        <w:tabs>
          <w:tab w:val="left" w:pos="1125"/>
        </w:tabs>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11.3.3按照</w:t>
      </w:r>
      <w:r>
        <w:rPr>
          <w:rFonts w:hint="eastAsia" w:ascii="宋体" w:hAnsi="宋体" w:eastAsia="宋体" w:cs="宋体"/>
          <w:bCs/>
          <w:color w:val="auto"/>
          <w:sz w:val="24"/>
          <w:highlight w:val="none"/>
          <w:u w:val="single"/>
        </w:rPr>
        <w:t>招标文件要求</w:t>
      </w:r>
      <w:r>
        <w:rPr>
          <w:rFonts w:hint="eastAsia" w:ascii="宋体" w:hAnsi="宋体" w:eastAsia="宋体" w:cs="宋体"/>
          <w:color w:val="auto"/>
          <w:sz w:val="24"/>
          <w:highlight w:val="none"/>
          <w:u w:val="single"/>
        </w:rPr>
        <w:t>填写的《参与编制经济标投标文件人员名单》。</w:t>
      </w:r>
    </w:p>
    <w:p w14:paraId="2DDB9883">
      <w:pPr>
        <w:tabs>
          <w:tab w:val="left" w:pos="1125"/>
        </w:tabs>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11.3.4若投标人的投标报价低于工程成本警</w:t>
      </w:r>
      <w:r>
        <w:rPr>
          <w:rFonts w:hint="eastAsia" w:ascii="宋体" w:hAnsi="宋体" w:eastAsia="宋体" w:cs="宋体"/>
          <w:color w:val="auto"/>
          <w:sz w:val="24"/>
          <w:highlight w:val="none"/>
          <w:u w:val="single"/>
          <w:lang w:eastAsia="zh-CN"/>
        </w:rPr>
        <w:t>示</w:t>
      </w:r>
      <w:r>
        <w:rPr>
          <w:rFonts w:hint="eastAsia" w:ascii="宋体" w:hAnsi="宋体" w:eastAsia="宋体" w:cs="宋体"/>
          <w:color w:val="auto"/>
          <w:sz w:val="24"/>
          <w:highlight w:val="none"/>
          <w:u w:val="single"/>
        </w:rPr>
        <w:t>价的，投标人还须提供详细的施工组织设计、单价、措施性费用、单价分析表、主要材料价格表、投标人成本分析供评标委员会评审。</w:t>
      </w:r>
    </w:p>
    <w:p w14:paraId="2B05059B">
      <w:pPr>
        <w:pStyle w:val="35"/>
        <w:spacing w:after="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12．投标文件格式</w:t>
      </w:r>
    </w:p>
    <w:p w14:paraId="01D54789">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投标文件包括本须知第11条中规定的内容，投标人提交的投标文件应当使用招标文件所提供的投标文件全部格式（表格可以按同样格式扩展）。</w:t>
      </w:r>
    </w:p>
    <w:p w14:paraId="29684DDA">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ascii="宋体" w:hAnsi="宋体" w:eastAsia="宋体" w:cs="宋体"/>
          <w:color w:val="auto"/>
          <w:sz w:val="24"/>
          <w:szCs w:val="24"/>
          <w:highlight w:val="none"/>
        </w:rPr>
        <w:t>全流程电子化项目的相关指南进行操作。详见：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A9B05BB">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12.3 </w:t>
      </w:r>
      <w:r>
        <w:rPr>
          <w:rFonts w:hint="eastAsia" w:ascii="宋体" w:hAnsi="宋体" w:eastAsia="宋体" w:cs="宋体"/>
          <w:bCs/>
          <w:color w:val="auto"/>
          <w:sz w:val="24"/>
          <w:szCs w:val="24"/>
          <w:highlight w:val="none"/>
        </w:rPr>
        <w:t>投标文件应按</w:t>
      </w:r>
      <w:r>
        <w:rPr>
          <w:rFonts w:hint="eastAsia" w:ascii="宋体" w:hAnsi="宋体" w:eastAsia="宋体" w:cs="宋体"/>
          <w:color w:val="auto"/>
          <w:sz w:val="24"/>
          <w:highlight w:val="none"/>
        </w:rPr>
        <w:t>照交易平台关于全流程电子化项目的相关指南进行编制，详见：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highlight w:val="none"/>
        </w:rPr>
        <w:t>。</w:t>
      </w:r>
    </w:p>
    <w:p w14:paraId="44B0B1D3">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rPr>
        <w:t>如不按上述要求编制引起系统无法检索、读取相关信息的，其后果由投标人承担。</w:t>
      </w:r>
    </w:p>
    <w:p w14:paraId="501D5C70">
      <w:pPr>
        <w:pStyle w:val="35"/>
        <w:spacing w:after="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13．投标报价及造价承包和变更结算方式</w:t>
      </w:r>
    </w:p>
    <w:p w14:paraId="64F3CA9E">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 本工程的投标报价采用投标须知前附表第1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项所规定的方式。投标报价（含单价及总价）精确到“分”。</w:t>
      </w:r>
    </w:p>
    <w:p w14:paraId="6DAEFEE9">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726EF549">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eastAsia="宋体" w:cs="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2A4BE514">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54841DF9">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01DC91BB">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13.5.1中标的投标文件工程量清单中已有相同项目的适用综合单价，则沿用；</w:t>
      </w:r>
    </w:p>
    <w:p w14:paraId="7FB7EBEF">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36B59C5D">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13.5.3 中标的投标文件工程量清单中没有相同项目或类似项目的，如可套取相关定额，则以相关定额为基数下浮计算单价,下浮率为中标价</w:t>
      </w:r>
      <w:r>
        <w:rPr>
          <w:rFonts w:hint="eastAsia" w:ascii="宋体" w:hAnsi="宋体" w:eastAsia="宋体" w:cs="宋体"/>
          <w:color w:val="auto"/>
          <w:sz w:val="24"/>
          <w:szCs w:val="24"/>
          <w:highlight w:val="none"/>
        </w:rPr>
        <w:t>相对于最高投标限价的下</w:t>
      </w:r>
      <w:r>
        <w:rPr>
          <w:rFonts w:hint="eastAsia" w:ascii="宋体" w:hAnsi="宋体" w:eastAsia="宋体" w:cs="宋体"/>
          <w:color w:val="auto"/>
          <w:sz w:val="24"/>
          <w:highlight w:val="none"/>
        </w:rPr>
        <w:t>浮率（下浮率=(</w:t>
      </w:r>
      <w:r>
        <w:rPr>
          <w:rFonts w:hint="eastAsia" w:ascii="宋体" w:hAnsi="宋体" w:eastAsia="宋体" w:cs="宋体"/>
          <w:color w:val="auto"/>
          <w:sz w:val="24"/>
          <w:szCs w:val="24"/>
          <w:highlight w:val="none"/>
        </w:rPr>
        <w:t>最高投标限价</w:t>
      </w:r>
      <w:r>
        <w:rPr>
          <w:rFonts w:hint="eastAsia" w:ascii="宋体" w:hAnsi="宋体" w:eastAsia="宋体" w:cs="宋体"/>
          <w:color w:val="auto"/>
          <w:sz w:val="24"/>
          <w:highlight w:val="none"/>
        </w:rPr>
        <w:t>-中标价)/</w:t>
      </w:r>
      <w:r>
        <w:rPr>
          <w:rFonts w:hint="eastAsia" w:ascii="宋体" w:hAnsi="宋体" w:eastAsia="宋体" w:cs="宋体"/>
          <w:color w:val="auto"/>
          <w:sz w:val="24"/>
          <w:szCs w:val="24"/>
          <w:highlight w:val="none"/>
        </w:rPr>
        <w:t xml:space="preserve"> 最高投标限价</w:t>
      </w:r>
      <w:r>
        <w:rPr>
          <w:rFonts w:hint="eastAsia" w:ascii="宋体" w:hAnsi="宋体" w:eastAsia="宋体" w:cs="宋体"/>
          <w:color w:val="auto"/>
          <w:sz w:val="24"/>
          <w:highlight w:val="none"/>
        </w:rPr>
        <w:t>）。</w:t>
      </w:r>
    </w:p>
    <w:p w14:paraId="081BF5BC">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13.5.4 如相关定额没有相应子目的，其计价方式由招标人在本招标文件第三章中另行规定。未规定的，中标后双方协商约定。</w:t>
      </w:r>
    </w:p>
    <w:p w14:paraId="13828F29">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13.6暂列金额、暂估价</w:t>
      </w:r>
    </w:p>
    <w:p w14:paraId="2E2800B0">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53CD0C5A">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暂估价是指招标人在工程量清单中提供的用于支付必然发生但暂时不能确定价格的材料的单价以及专业工程的金额。</w:t>
      </w:r>
    </w:p>
    <w:p w14:paraId="7CEF20D0">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1E758C93">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2A771ACF">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196062C4">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79735986">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280B57A3">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13.7投标人可先到工地踏勘以充分了解工地位置、情况、道路、储存空间、装卸限制及任何其他足以影响承包价的情况，任何因忽视或误解工地情况而导致的索赔或工期延长申请将不被批准。</w:t>
      </w:r>
    </w:p>
    <w:p w14:paraId="646C716E">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6717C420">
      <w:pPr>
        <w:pStyle w:val="35"/>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13.9</w:t>
      </w:r>
      <w:r>
        <w:rPr>
          <w:rFonts w:hint="eastAsia" w:ascii="宋体" w:hAnsi="宋体" w:eastAsia="宋体" w:cs="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5DDE6B8A">
      <w:pPr>
        <w:pStyle w:val="35"/>
        <w:spacing w:after="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14．投标货币</w:t>
      </w:r>
    </w:p>
    <w:p w14:paraId="4D6C307A">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本工程投标报价采用的币种为人民币。</w:t>
      </w:r>
    </w:p>
    <w:p w14:paraId="6DD02294">
      <w:pPr>
        <w:pStyle w:val="35"/>
        <w:spacing w:after="0"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15．投标有效期</w:t>
      </w:r>
    </w:p>
    <w:p w14:paraId="7CEF7341">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15.1 投标有效期见投标须知前附表第</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项所规定的期限，在此期限内，凡符合本招标文件要求的投标文件均保持有效。</w:t>
      </w:r>
    </w:p>
    <w:p w14:paraId="5293C8FA">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508A168E">
      <w:pPr>
        <w:pStyle w:val="35"/>
        <w:spacing w:after="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16．投标保证金</w:t>
      </w:r>
    </w:p>
    <w:p w14:paraId="1B9BFF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16.1投标人应按</w:t>
      </w:r>
      <w:r>
        <w:rPr>
          <w:rFonts w:hint="eastAsia" w:ascii="宋体" w:hAnsi="宋体" w:eastAsia="宋体" w:cs="宋体"/>
          <w:color w:val="auto"/>
          <w:sz w:val="24"/>
          <w:highlight w:val="none"/>
          <w:lang w:eastAsia="zh-CN"/>
        </w:rPr>
        <w:t>国家、省、市有关规定和</w:t>
      </w:r>
      <w:r>
        <w:rPr>
          <w:rFonts w:hint="eastAsia" w:ascii="宋体" w:hAnsi="宋体" w:eastAsia="宋体" w:cs="宋体"/>
          <w:color w:val="auto"/>
          <w:sz w:val="24"/>
          <w:highlight w:val="none"/>
        </w:rPr>
        <w:t>投标须知前附表第</w:t>
      </w: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rPr>
        <w:t>项所述金额和时间递交</w:t>
      </w:r>
      <w:r>
        <w:rPr>
          <w:rFonts w:hint="eastAsia" w:ascii="宋体" w:hAnsi="宋体" w:eastAsia="宋体" w:cs="宋体"/>
          <w:bCs/>
          <w:color w:val="auto"/>
          <w:sz w:val="24"/>
          <w:highlight w:val="none"/>
        </w:rPr>
        <w:t>投标保证金</w:t>
      </w:r>
      <w:r>
        <w:rPr>
          <w:rFonts w:hint="eastAsia" w:ascii="宋体" w:hAnsi="宋体" w:eastAsia="宋体" w:cs="宋体"/>
          <w:color w:val="auto"/>
          <w:sz w:val="24"/>
          <w:highlight w:val="none"/>
        </w:rPr>
        <w:t>。招标人应当允许投标人自主选择现金、银行保函、保证保险、专业工程担保公司担保等方式缴纳投标保证金。</w:t>
      </w:r>
    </w:p>
    <w:p w14:paraId="38F74E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16.1.1 采用现金或者支票形式提交的，投标保证金须从投标人的银行基本账户转出。</w:t>
      </w:r>
    </w:p>
    <w:p w14:paraId="41564DD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16.1.2 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34A9BA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16.1.3 采用电子形式的保函、担保或保证保险提交投标保证金的，应在招标文件中明确电子递交途径。</w:t>
      </w:r>
    </w:p>
    <w:p w14:paraId="7009CF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4CB8ADB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16.3投标保证金应依据法律法规的相关规定退还。</w:t>
      </w:r>
    </w:p>
    <w:p w14:paraId="75B8DA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16.4如有下列情况之一的，招标人可以不予退还投标保证金（是否退还投标保证金由招标人</w:t>
      </w:r>
      <w:r>
        <w:rPr>
          <w:rFonts w:hint="eastAsia" w:ascii="宋体" w:hAnsi="宋体" w:eastAsia="宋体" w:cs="宋体"/>
          <w:color w:val="auto"/>
          <w:sz w:val="24"/>
          <w:highlight w:val="none"/>
          <w:lang w:eastAsia="zh-CN"/>
        </w:rPr>
        <w:t>依法依规</w:t>
      </w:r>
      <w:r>
        <w:rPr>
          <w:rFonts w:hint="eastAsia" w:ascii="宋体" w:hAnsi="宋体" w:eastAsia="宋体" w:cs="宋体"/>
          <w:color w:val="auto"/>
          <w:sz w:val="24"/>
          <w:highlight w:val="none"/>
        </w:rPr>
        <w:t>在招标文件中规定）：</w:t>
      </w:r>
    </w:p>
    <w:p w14:paraId="3763F4D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16.5投标人如存在下列情况之一的，将被拒绝在一定时期内参与招标人后续工程投标（由招标人</w:t>
      </w:r>
      <w:r>
        <w:rPr>
          <w:rFonts w:hint="eastAsia" w:ascii="宋体" w:hAnsi="宋体" w:eastAsia="宋体" w:cs="宋体"/>
          <w:color w:val="auto"/>
          <w:sz w:val="24"/>
          <w:highlight w:val="none"/>
          <w:lang w:eastAsia="zh-CN"/>
        </w:rPr>
        <w:t>依法依规</w:t>
      </w:r>
      <w:r>
        <w:rPr>
          <w:rFonts w:hint="eastAsia" w:ascii="宋体" w:hAnsi="宋体" w:eastAsia="宋体" w:cs="宋体"/>
          <w:color w:val="auto"/>
          <w:sz w:val="24"/>
          <w:highlight w:val="none"/>
        </w:rPr>
        <w:t>在招标文件中明确）：</w:t>
      </w:r>
    </w:p>
    <w:p w14:paraId="09668779">
      <w:pPr>
        <w:pStyle w:val="35"/>
        <w:spacing w:after="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17．投标文件的签署</w:t>
      </w:r>
    </w:p>
    <w:p w14:paraId="417E3D0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58D4F529">
      <w:pPr>
        <w:pStyle w:val="5"/>
        <w:bidi w:val="0"/>
        <w:rPr>
          <w:rFonts w:hint="eastAsia" w:ascii="宋体" w:hAnsi="宋体" w:eastAsia="宋体" w:cs="宋体"/>
          <w:color w:val="auto"/>
          <w:highlight w:val="none"/>
        </w:rPr>
      </w:pPr>
      <w:bookmarkStart w:id="30" w:name="_Toc4944"/>
      <w:bookmarkStart w:id="31" w:name="_Toc21525496"/>
      <w:bookmarkStart w:id="32" w:name="_Toc2272552"/>
      <w:bookmarkStart w:id="33" w:name="_Toc32530"/>
      <w:r>
        <w:rPr>
          <w:rFonts w:hint="eastAsia" w:ascii="宋体" w:hAnsi="宋体" w:eastAsia="宋体" w:cs="宋体"/>
          <w:color w:val="auto"/>
          <w:highlight w:val="none"/>
        </w:rPr>
        <w:t>（四）投标文件的提交</w:t>
      </w:r>
      <w:bookmarkEnd w:id="30"/>
      <w:bookmarkEnd w:id="31"/>
      <w:bookmarkEnd w:id="32"/>
      <w:bookmarkEnd w:id="33"/>
    </w:p>
    <w:p w14:paraId="5756A8FF">
      <w:pPr>
        <w:pStyle w:val="35"/>
        <w:spacing w:after="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w:t>
      </w:r>
      <w:r>
        <w:rPr>
          <w:rFonts w:hint="eastAsia" w:ascii="宋体" w:hAnsi="宋体" w:eastAsia="宋体" w:cs="宋体"/>
          <w:b/>
          <w:color w:val="auto"/>
          <w:sz w:val="24"/>
          <w:szCs w:val="24"/>
          <w:highlight w:val="none"/>
        </w:rPr>
        <w:t>投标文件的密封和标记</w:t>
      </w:r>
    </w:p>
    <w:p w14:paraId="5378468C">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18.1递交的电子投标文件（不含备用光盘）必须进行加密。按照交易平台关于</w:t>
      </w:r>
      <w:r>
        <w:rPr>
          <w:rFonts w:hint="eastAsia" w:ascii="宋体" w:hAnsi="宋体" w:eastAsia="宋体" w:cs="宋体"/>
          <w:color w:val="auto"/>
          <w:sz w:val="24"/>
          <w:szCs w:val="24"/>
          <w:highlight w:val="none"/>
        </w:rPr>
        <w:t>全流程电子化项目的相关指南进行操作。详见：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E4ED257">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18.2 未按要求加密的投标文件，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bCs/>
          <w:color w:val="auto"/>
          <w:sz w:val="24"/>
          <w:highlight w:val="none"/>
        </w:rPr>
        <w:t>将予以拒收。</w:t>
      </w:r>
    </w:p>
    <w:p w14:paraId="0DDBB5E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19．投标文件的递交和接收</w:t>
      </w:r>
    </w:p>
    <w:p w14:paraId="4E973B56">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19.1投标人通过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递交电子投标文件。</w:t>
      </w:r>
    </w:p>
    <w:p w14:paraId="45ABE512">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19.2投标人完成电子</w:t>
      </w:r>
      <w:r>
        <w:rPr>
          <w:rFonts w:hint="eastAsia" w:ascii="宋体" w:hAnsi="宋体" w:eastAsia="宋体" w:cs="宋体"/>
          <w:color w:val="auto"/>
          <w:sz w:val="24"/>
          <w:highlight w:val="none"/>
        </w:rPr>
        <w:t>投标文件</w:t>
      </w:r>
      <w:r>
        <w:rPr>
          <w:rFonts w:hint="eastAsia" w:ascii="宋体" w:hAnsi="宋体" w:eastAsia="宋体" w:cs="宋体"/>
          <w:bCs/>
          <w:color w:val="auto"/>
          <w:sz w:val="24"/>
          <w:highlight w:val="none"/>
        </w:rPr>
        <w:t>上传后，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即时向投标人发出递交回执通知。递交时间以递交回执通知载明的传输完成时间为准。</w:t>
      </w:r>
    </w:p>
    <w:p w14:paraId="508DD8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19.3</w:t>
      </w:r>
      <w:r>
        <w:rPr>
          <w:rFonts w:hint="eastAsia" w:ascii="宋体" w:hAnsi="宋体" w:eastAsia="宋体" w:cs="宋体"/>
          <w:bCs/>
          <w:color w:val="auto"/>
          <w:sz w:val="24"/>
          <w:szCs w:val="24"/>
          <w:highlight w:val="none"/>
        </w:rPr>
        <w:t>逾期送达的</w:t>
      </w:r>
      <w:r>
        <w:rPr>
          <w:rFonts w:hint="eastAsia" w:ascii="宋体" w:hAnsi="宋体" w:eastAsia="宋体" w:cs="宋体"/>
          <w:bCs/>
          <w:color w:val="auto"/>
          <w:sz w:val="24"/>
          <w:highlight w:val="none"/>
        </w:rPr>
        <w:t>电子投标文件，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将予以拒收。</w:t>
      </w:r>
    </w:p>
    <w:p w14:paraId="0299C4A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19.4 </w:t>
      </w:r>
      <w:r>
        <w:rPr>
          <w:rFonts w:hint="eastAsia" w:ascii="宋体" w:hAnsi="宋体" w:eastAsia="宋体" w:cs="宋体"/>
          <w:color w:val="auto"/>
          <w:sz w:val="24"/>
          <w:szCs w:val="24"/>
          <w:highlight w:val="none"/>
        </w:rPr>
        <w:t>投标截止前，招标人拒绝接收符合条件的投标文件，投标人可向招标投标监督机构投诉。</w:t>
      </w:r>
    </w:p>
    <w:p w14:paraId="748569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19.5如技术标和经济标先后分别开启，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将按招标文件规定的时间分别开启技术标和经济标。</w:t>
      </w:r>
    </w:p>
    <w:p w14:paraId="07C4298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20．投标文件提交的截止时间</w:t>
      </w:r>
    </w:p>
    <w:p w14:paraId="6C4D422C">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20.1投标人应在投标须知前附表第</w:t>
      </w: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项所述的时间前提交投标文件。</w:t>
      </w:r>
    </w:p>
    <w:p w14:paraId="77C6C8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20.2招标人可按本须知第9条规定以招标文件修改的方式，酌情延长提交投标文件的截止时间。在此情况下，投标人的所有权利和义务以及投标人受制约的截止时间，均以延长后新的投标截止时间为准。</w:t>
      </w:r>
    </w:p>
    <w:p w14:paraId="284090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20.3 到投标截止时间止，招标人收到的投标文件少于3家的，招标人将重新组织招标</w:t>
      </w:r>
      <w:r>
        <w:rPr>
          <w:rFonts w:hint="eastAsia" w:ascii="宋体" w:hAnsi="宋体" w:eastAsia="宋体" w:cs="宋体"/>
          <w:color w:val="auto"/>
          <w:sz w:val="24"/>
          <w:szCs w:val="24"/>
          <w:highlight w:val="none"/>
        </w:rPr>
        <w:t>（当N个标段同时招标且不允许兼中时，若有效投标人不足N+2家，则重新组织招标）</w:t>
      </w:r>
      <w:r>
        <w:rPr>
          <w:rFonts w:hint="eastAsia" w:ascii="宋体" w:hAnsi="宋体" w:eastAsia="宋体" w:cs="宋体"/>
          <w:color w:val="auto"/>
          <w:sz w:val="24"/>
          <w:highlight w:val="none"/>
        </w:rPr>
        <w:t>。</w:t>
      </w:r>
    </w:p>
    <w:p w14:paraId="7BB6226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21．迟交的投标文件</w:t>
      </w:r>
    </w:p>
    <w:p w14:paraId="4D2F50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本须知前附表第</w:t>
      </w: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项规定的投标截止时间</w:t>
      </w:r>
      <w:r>
        <w:rPr>
          <w:rFonts w:hint="eastAsia" w:ascii="宋体" w:hAnsi="宋体" w:eastAsia="宋体" w:cs="宋体"/>
          <w:bCs/>
          <w:color w:val="auto"/>
          <w:sz w:val="24"/>
          <w:szCs w:val="24"/>
          <w:highlight w:val="none"/>
        </w:rPr>
        <w:t>后送达的</w:t>
      </w:r>
      <w:r>
        <w:rPr>
          <w:rFonts w:hint="eastAsia" w:ascii="宋体" w:hAnsi="宋体" w:eastAsia="宋体" w:cs="宋体"/>
          <w:bCs/>
          <w:color w:val="auto"/>
          <w:sz w:val="24"/>
          <w:highlight w:val="none"/>
        </w:rPr>
        <w:t>电子投标文件，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将予以拒收。</w:t>
      </w:r>
    </w:p>
    <w:p w14:paraId="30332E9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22．投标文件的修改与撤回</w:t>
      </w:r>
    </w:p>
    <w:p w14:paraId="73F91A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22.1在规定的投标截止时间前，投标人可以修改或撤回已递交的投标文件，但应以书面形式通知招标人。</w:t>
      </w:r>
    </w:p>
    <w:p w14:paraId="640F5B2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22.2投标人修改或撤回已递交的投标文件，需在</w:t>
      </w:r>
      <w:r>
        <w:rPr>
          <w:rFonts w:hint="eastAsia" w:ascii="宋体" w:hAnsi="宋体" w:eastAsia="宋体" w:cs="宋体"/>
          <w:color w:val="auto"/>
          <w:sz w:val="24"/>
          <w:highlight w:val="none"/>
        </w:rPr>
        <w:t>交易平台发出修改或撤回</w:t>
      </w:r>
      <w:r>
        <w:rPr>
          <w:rFonts w:hint="eastAsia" w:ascii="宋体" w:hAnsi="宋体" w:eastAsia="宋体" w:cs="宋体"/>
          <w:color w:val="auto"/>
          <w:sz w:val="24"/>
          <w:szCs w:val="24"/>
          <w:highlight w:val="none"/>
        </w:rPr>
        <w:t>通知，并按要求加盖电子印章。</w:t>
      </w:r>
      <w:r>
        <w:rPr>
          <w:rFonts w:hint="eastAsia" w:ascii="宋体" w:hAnsi="宋体" w:eastAsia="宋体" w:cs="宋体"/>
          <w:bCs/>
          <w:iCs/>
          <w:color w:val="auto"/>
          <w:sz w:val="24"/>
          <w:szCs w:val="24"/>
          <w:highlight w:val="none"/>
        </w:rPr>
        <w:t>电子招标投标交易平台收到通知后，</w:t>
      </w:r>
      <w:r>
        <w:rPr>
          <w:rFonts w:hint="eastAsia" w:ascii="宋体" w:hAnsi="宋体" w:eastAsia="宋体" w:cs="宋体"/>
          <w:color w:val="auto"/>
          <w:sz w:val="24"/>
          <w:szCs w:val="24"/>
          <w:highlight w:val="none"/>
        </w:rPr>
        <w:t>即时向投标人发出确认回执通知。</w:t>
      </w:r>
    </w:p>
    <w:p w14:paraId="345914C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22.3修改后再次递交的</w:t>
      </w:r>
      <w:r>
        <w:rPr>
          <w:rFonts w:hint="eastAsia" w:ascii="宋体" w:hAnsi="宋体" w:eastAsia="宋体" w:cs="宋体"/>
          <w:bCs/>
          <w:iCs/>
          <w:color w:val="auto"/>
          <w:sz w:val="24"/>
          <w:szCs w:val="24"/>
          <w:highlight w:val="none"/>
        </w:rPr>
        <w:t>，按19点的规</w:t>
      </w:r>
      <w:r>
        <w:rPr>
          <w:rFonts w:hint="eastAsia" w:ascii="宋体" w:hAnsi="宋体" w:eastAsia="宋体" w:cs="宋体"/>
          <w:color w:val="auto"/>
          <w:sz w:val="24"/>
          <w:szCs w:val="24"/>
          <w:highlight w:val="none"/>
        </w:rPr>
        <w:t>定执行。</w:t>
      </w:r>
    </w:p>
    <w:p w14:paraId="5AC780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 在投标截止时间之后，投标人不得补充、修改和更换投标文件。</w:t>
      </w:r>
    </w:p>
    <w:p w14:paraId="0E5C7341">
      <w:pPr>
        <w:pStyle w:val="5"/>
        <w:spacing w:before="156" w:after="156"/>
        <w:rPr>
          <w:rFonts w:hint="eastAsia" w:ascii="宋体" w:hAnsi="宋体" w:eastAsia="宋体" w:cs="宋体"/>
          <w:color w:val="auto"/>
          <w:highlight w:val="none"/>
        </w:rPr>
      </w:pPr>
      <w:bookmarkStart w:id="34" w:name="_Toc21525497"/>
      <w:bookmarkStart w:id="35" w:name="_Toc6026"/>
      <w:bookmarkStart w:id="36" w:name="_Toc28853"/>
      <w:bookmarkStart w:id="37" w:name="_Toc2272553"/>
      <w:r>
        <w:rPr>
          <w:rFonts w:hint="eastAsia" w:ascii="宋体" w:hAnsi="宋体" w:eastAsia="宋体" w:cs="宋体"/>
          <w:color w:val="auto"/>
          <w:highlight w:val="none"/>
        </w:rPr>
        <w:t>（五）开标、评标、定标及合同签定</w:t>
      </w:r>
      <w:bookmarkEnd w:id="34"/>
      <w:bookmarkEnd w:id="35"/>
      <w:bookmarkEnd w:id="36"/>
      <w:bookmarkEnd w:id="37"/>
    </w:p>
    <w:p w14:paraId="3824597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23、开标。</w:t>
      </w:r>
    </w:p>
    <w:p w14:paraId="0BC5DB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详见第二章开标、评标及定标办法</w:t>
      </w:r>
    </w:p>
    <w:p w14:paraId="7D51D85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24．评标过程的保密</w:t>
      </w:r>
    </w:p>
    <w:p w14:paraId="785E5C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 开标后，直至中标公示为止，凡属于对投标文件的审查、澄清、评价和比较有关的资料以及中标候选人的推荐情况，与评标有关的其他任何情况均严格保密。</w:t>
      </w:r>
    </w:p>
    <w:p w14:paraId="29EDBE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在投标文件的评审和比较、中标候选人推荐以及授予合同的过程中，投标人向招标人和评标委员会施加不公正影响的任何行为，都将会导致其投标被拒绝。</w:t>
      </w:r>
    </w:p>
    <w:p w14:paraId="465DBDF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25．投标文件的澄清，计算错误的修正</w:t>
      </w:r>
    </w:p>
    <w:p w14:paraId="093C36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详见招标文件第二章开标、评标及定标办法</w:t>
      </w:r>
    </w:p>
    <w:p w14:paraId="37BF4A5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26．投标文件的评审、比较和否决</w:t>
      </w:r>
    </w:p>
    <w:p w14:paraId="712C0C9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highlight w:val="none"/>
        </w:rPr>
        <w:t>详见招标文件第二章开标、评标及定标办法。</w:t>
      </w:r>
    </w:p>
    <w:p w14:paraId="4A19258C">
      <w:pPr>
        <w:numPr>
          <w:ilvl w:val="0"/>
          <w:numId w:val="6"/>
        </w:num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定标</w:t>
      </w:r>
    </w:p>
    <w:p w14:paraId="0566BC63">
      <w:pPr>
        <w:pStyle w:val="19"/>
        <w:ind w:firstLine="480" w:firstLineChars="200"/>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27.1按照投标人须知前附表的规定，由招标人或招标人授权的评标委员会依法确定中标人。</w:t>
      </w:r>
    </w:p>
    <w:p w14:paraId="02F1D647">
      <w:pPr>
        <w:pStyle w:val="19"/>
        <w:ind w:firstLine="480" w:firstLineChars="200"/>
        <w:rPr>
          <w:rFonts w:hint="eastAsia" w:ascii="宋体" w:hAnsi="宋体" w:eastAsia="宋体" w:cs="宋体"/>
          <w:b w:val="0"/>
          <w:bCs w:val="0"/>
          <w:color w:val="auto"/>
          <w:highlight w:val="none"/>
          <w:lang w:val="en-US" w:eastAsia="zh-CN"/>
        </w:rPr>
      </w:pPr>
      <w:r>
        <w:rPr>
          <w:rFonts w:hint="eastAsia" w:ascii="宋体" w:hAnsi="宋体" w:eastAsia="宋体" w:cs="宋体"/>
          <w:color w:val="auto"/>
          <w:kern w:val="2"/>
          <w:sz w:val="24"/>
          <w:szCs w:val="22"/>
          <w:highlight w:val="none"/>
          <w:lang w:val="en-US" w:eastAsia="zh-CN" w:bidi="ar-SA"/>
        </w:rPr>
        <w:t>27.2采用评定分离方式确定中标人的，从其规定。</w:t>
      </w:r>
    </w:p>
    <w:p w14:paraId="240726E6">
      <w:pPr>
        <w:numPr>
          <w:ilvl w:val="0"/>
          <w:numId w:val="6"/>
        </w:num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中标通知书</w:t>
      </w:r>
    </w:p>
    <w:p w14:paraId="1197F9D4">
      <w:pPr>
        <w:spacing w:line="360" w:lineRule="auto"/>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.1招标人将在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交易平台、广东省招标投标监管网和中国招标投标公共服务平台公示中标候选人，公示期为三天</w:t>
      </w:r>
      <w:r>
        <w:rPr>
          <w:rFonts w:hint="eastAsia" w:ascii="宋体" w:hAnsi="宋体" w:eastAsia="宋体" w:cs="宋体"/>
          <w:color w:val="auto"/>
          <w:sz w:val="24"/>
          <w:highlight w:val="none"/>
          <w:lang w:eastAsia="zh-CN"/>
        </w:rPr>
        <w:t>（最后一天应为工作日）</w:t>
      </w:r>
      <w:r>
        <w:rPr>
          <w:rFonts w:hint="eastAsia" w:ascii="宋体" w:hAnsi="宋体" w:eastAsia="宋体" w:cs="宋体"/>
          <w:color w:val="auto"/>
          <w:sz w:val="24"/>
          <w:highlight w:val="none"/>
        </w:rPr>
        <w:t>。投标人或其他利害关系人对评标结果有异议的，应当在中标候选人公示期间提出，通过</w:t>
      </w:r>
      <w:r>
        <w:rPr>
          <w:rFonts w:hint="eastAsia" w:ascii="宋体" w:hAnsi="宋体" w:eastAsia="宋体" w:cs="宋体"/>
          <w:color w:val="auto"/>
          <w:sz w:val="24"/>
          <w:highlight w:val="none"/>
          <w:lang w:eastAsia="zh-CN"/>
        </w:rPr>
        <w:t>电子交易系统向招标人</w:t>
      </w:r>
      <w:r>
        <w:rPr>
          <w:rFonts w:hint="eastAsia" w:ascii="宋体" w:hAnsi="宋体" w:eastAsia="宋体" w:cs="宋体"/>
          <w:color w:val="auto"/>
          <w:sz w:val="24"/>
          <w:highlight w:val="none"/>
        </w:rPr>
        <w:t>提出异议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招标人也应通过交易平台答复线上提交的异议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具体按照</w:t>
      </w:r>
      <w:r>
        <w:rPr>
          <w:rFonts w:hint="eastAsia" w:ascii="宋体" w:hAnsi="宋体" w:eastAsia="宋体" w:cs="宋体"/>
          <w:color w:val="auto"/>
          <w:sz w:val="24"/>
          <w:highlight w:val="none"/>
          <w:lang w:eastAsia="zh-CN"/>
        </w:rPr>
        <w:t>电子招标投标</w:t>
      </w:r>
      <w:r>
        <w:rPr>
          <w:rFonts w:hint="eastAsia" w:ascii="宋体" w:hAnsi="宋体" w:eastAsia="宋体" w:cs="宋体"/>
          <w:color w:val="auto"/>
          <w:sz w:val="24"/>
          <w:highlight w:val="none"/>
        </w:rPr>
        <w:t>交易平台相关指南进行操作。作出答复前，应当暂停招标投标活动。</w:t>
      </w:r>
      <w:r>
        <w:rPr>
          <w:rFonts w:hint="eastAsia" w:ascii="宋体" w:hAnsi="宋体" w:eastAsia="宋体" w:cs="宋体"/>
          <w:color w:val="auto"/>
          <w:sz w:val="24"/>
          <w:highlight w:val="none"/>
          <w:u w:val="single"/>
          <w:lang w:eastAsia="zh-CN"/>
        </w:rPr>
        <w:t>投标人提出异议时需</w:t>
      </w:r>
      <w:r>
        <w:rPr>
          <w:rFonts w:hint="eastAsia" w:ascii="宋体" w:hAnsi="宋体" w:eastAsia="宋体" w:cs="宋体"/>
          <w:color w:val="auto"/>
          <w:sz w:val="24"/>
          <w:highlight w:val="none"/>
          <w:u w:val="single"/>
          <w:lang w:val="en-US" w:eastAsia="zh-CN"/>
        </w:rPr>
        <w:t>在线提交</w:t>
      </w:r>
      <w:r>
        <w:rPr>
          <w:rFonts w:hint="eastAsia" w:ascii="宋体" w:hAnsi="宋体" w:eastAsia="宋体" w:cs="宋体"/>
          <w:color w:val="auto"/>
          <w:sz w:val="24"/>
          <w:highlight w:val="none"/>
          <w:u w:val="single"/>
          <w:lang w:eastAsia="zh-CN"/>
        </w:rPr>
        <w:t>书面的异议书（异议书应清晰表述异议事项、依据、线索、请求或主张、有效的联系方式等）并附法定代表人证明书、有效的授权委托书、被授权人的有效身份证明。</w:t>
      </w:r>
    </w:p>
    <w:p w14:paraId="35C6CF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.2招标人应当自确定中标人后，向招标投标监管机构提交招标投标情况的书面报告。</w:t>
      </w:r>
    </w:p>
    <w:p w14:paraId="77B44A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.3中标人必须在收到中标通知书后24小时之内以书面形式回复招标人，确认收到。</w:t>
      </w:r>
    </w:p>
    <w:p w14:paraId="026045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.4在产生中标候选人后，招标人将中标候选人的投标文件商务部分文件的所有内容（包括人员、业绩、奖项等资料）在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交易平台和广东省招标投标监管网公开。</w:t>
      </w:r>
    </w:p>
    <w:p w14:paraId="7599F14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28.5（适用于轨道交通建设项目）如</w:t>
      </w:r>
      <w:r>
        <w:rPr>
          <w:rFonts w:hint="eastAsia" w:ascii="宋体" w:hAnsi="宋体" w:eastAsia="宋体" w:cs="宋体"/>
          <w:color w:val="auto"/>
          <w:sz w:val="24"/>
          <w:highlight w:val="none"/>
        </w:rPr>
        <w:t>项目采用整体发包的形式开展施工总承包招标，</w:t>
      </w:r>
      <w:r>
        <w:rPr>
          <w:rFonts w:hint="eastAsia" w:ascii="宋体" w:hAnsi="宋体" w:eastAsia="宋体" w:cs="宋体"/>
          <w:color w:val="auto"/>
          <w:sz w:val="24"/>
          <w:highlight w:val="none"/>
          <w:lang w:eastAsia="zh-CN"/>
        </w:rPr>
        <w:t>且</w:t>
      </w:r>
      <w:r>
        <w:rPr>
          <w:rFonts w:hint="eastAsia" w:ascii="宋体" w:hAnsi="宋体" w:eastAsia="宋体" w:cs="宋体"/>
          <w:color w:val="auto"/>
          <w:sz w:val="24"/>
          <w:highlight w:val="none"/>
        </w:rPr>
        <w:t>后续需分</w:t>
      </w:r>
      <w:r>
        <w:rPr>
          <w:rFonts w:hint="eastAsia" w:ascii="宋体" w:hAnsi="宋体" w:eastAsia="宋体" w:cs="宋体"/>
          <w:color w:val="auto"/>
          <w:sz w:val="24"/>
          <w:highlight w:val="none"/>
          <w:lang w:eastAsia="zh-CN"/>
        </w:rPr>
        <w:t>段办理监督手续</w:t>
      </w:r>
      <w:r>
        <w:rPr>
          <w:rFonts w:hint="eastAsia" w:ascii="宋体" w:hAnsi="宋体" w:eastAsia="宋体" w:cs="宋体"/>
          <w:color w:val="auto"/>
          <w:sz w:val="24"/>
          <w:highlight w:val="none"/>
        </w:rPr>
        <w:t>，确定中标单位后，</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在向中标单位发出的中标通知书中一并标注施工总承包项目经理和各段项目经理</w:t>
      </w:r>
      <w:r>
        <w:rPr>
          <w:rFonts w:hint="eastAsia" w:ascii="宋体" w:hAnsi="宋体" w:eastAsia="宋体" w:cs="宋体"/>
          <w:color w:val="auto"/>
          <w:sz w:val="24"/>
          <w:highlight w:val="none"/>
          <w:lang w:eastAsia="zh-CN"/>
        </w:rPr>
        <w:t>。</w:t>
      </w:r>
    </w:p>
    <w:p w14:paraId="1B17FC1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29</w:t>
      </w:r>
      <w:r>
        <w:rPr>
          <w:rFonts w:hint="eastAsia" w:ascii="宋体" w:hAnsi="宋体" w:eastAsia="宋体" w:cs="宋体"/>
          <w:b/>
          <w:bCs/>
          <w:color w:val="auto"/>
          <w:sz w:val="24"/>
          <w:highlight w:val="none"/>
        </w:rPr>
        <w:t>．合同协议书的签订</w:t>
      </w:r>
    </w:p>
    <w:p w14:paraId="4F4E12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.1 招标人与中标人将于中标通知书发出之日起30日内，按照招标文件和中标人的投标文件商定和签订合同，招标人和中标人不得再行订立背离合同实质性内容的其他协议。</w:t>
      </w:r>
    </w:p>
    <w:p w14:paraId="7E8054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A7926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.3非经招标人同意，中标人在投标过程中使用的银行名称及帐号至完成竣工结算不得变更，否则招标人有权停止工程款项的</w:t>
      </w:r>
      <w:r>
        <w:rPr>
          <w:rFonts w:hint="eastAsia" w:ascii="宋体" w:hAnsi="宋体" w:eastAsia="宋体" w:cs="宋体"/>
          <w:color w:val="auto"/>
          <w:sz w:val="24"/>
          <w:highlight w:val="none"/>
          <w:lang w:eastAsia="zh-CN"/>
        </w:rPr>
        <w:t>拨付</w:t>
      </w:r>
      <w:r>
        <w:rPr>
          <w:rFonts w:hint="eastAsia" w:ascii="宋体" w:hAnsi="宋体" w:eastAsia="宋体" w:cs="宋体"/>
          <w:color w:val="auto"/>
          <w:sz w:val="24"/>
          <w:highlight w:val="none"/>
        </w:rPr>
        <w:t>及至解除合同，由此造成的一切责任由中标人承担。</w:t>
      </w:r>
    </w:p>
    <w:p w14:paraId="2CDA84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.4招标人支付工程款时，中标人应按规定开具发票</w:t>
      </w:r>
      <w:r>
        <w:rPr>
          <w:rFonts w:hint="eastAsia" w:ascii="宋体" w:hAnsi="宋体" w:eastAsia="宋体" w:cs="宋体"/>
          <w:color w:val="auto"/>
          <w:sz w:val="24"/>
          <w:highlight w:val="none"/>
          <w:lang w:eastAsia="zh-CN"/>
        </w:rPr>
        <w:t>并完税</w:t>
      </w:r>
      <w:r>
        <w:rPr>
          <w:rFonts w:hint="eastAsia" w:ascii="宋体" w:hAnsi="宋体" w:eastAsia="宋体" w:cs="宋体"/>
          <w:color w:val="auto"/>
          <w:sz w:val="24"/>
          <w:highlight w:val="none"/>
        </w:rPr>
        <w:t>。</w:t>
      </w:r>
    </w:p>
    <w:p w14:paraId="3100A19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30</w:t>
      </w:r>
      <w:r>
        <w:rPr>
          <w:rFonts w:hint="eastAsia" w:ascii="宋体" w:hAnsi="宋体" w:eastAsia="宋体" w:cs="宋体"/>
          <w:b/>
          <w:bCs/>
          <w:color w:val="auto"/>
          <w:sz w:val="24"/>
          <w:highlight w:val="none"/>
        </w:rPr>
        <w:t>．履约担保</w:t>
      </w:r>
    </w:p>
    <w:p w14:paraId="0187065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.1 在收到中标通知书后的</w:t>
      </w:r>
      <w:r>
        <w:rPr>
          <w:rFonts w:hint="eastAsia" w:ascii="宋体" w:hAnsi="宋体" w:eastAsia="宋体" w:cs="宋体"/>
          <w:b w:val="0"/>
          <w:bCs/>
          <w:color w:val="auto"/>
          <w:sz w:val="24"/>
          <w:highlight w:val="none"/>
        </w:rPr>
        <w:t>15日内</w:t>
      </w:r>
      <w:r>
        <w:rPr>
          <w:rFonts w:hint="eastAsia" w:ascii="宋体" w:hAnsi="宋体" w:eastAsia="宋体" w:cs="宋体"/>
          <w:color w:val="auto"/>
          <w:sz w:val="24"/>
          <w:highlight w:val="none"/>
        </w:rPr>
        <w:t>，中标人应按本须知前附表第20项的规定向招标人提交履约担保。</w:t>
      </w:r>
    </w:p>
    <w:p w14:paraId="55ABB41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C29E35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30.3中标候选人的经营、财务状况发生较大变化或存在违法行为，招标人认为可能影响其履约能力的，将在发出中标通知书前提请原评标委员会按照招标文件规定的标准和方法进行审查确认。</w:t>
      </w:r>
    </w:p>
    <w:p w14:paraId="67B75A5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．合同生效</w:t>
      </w:r>
    </w:p>
    <w:p w14:paraId="401799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.1在合同双方全权代表在合同协议书上签字，并分别加盖双方单位的公章后，合同正式生效。</w:t>
      </w:r>
    </w:p>
    <w:p w14:paraId="45D514E2">
      <w:pPr>
        <w:numPr>
          <w:ilvl w:val="0"/>
          <w:numId w:val="7"/>
        </w:num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专业分包</w:t>
      </w:r>
    </w:p>
    <w:p w14:paraId="652CB624">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32.1投标人拟在中标后将中标项目的非主体、非关键性施工工作进行分包的，应符合投标须知前附表规定的分包内容、分包金额和资质要求等限制性条件，除投标人须知前附表规定的非主体、非关键性施工工作分包外，其他工作不得分包。</w:t>
      </w:r>
    </w:p>
    <w:p w14:paraId="3A1B88A4">
      <w:pPr>
        <w:pStyle w:val="19"/>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 xml:space="preserve">    32.2中标人不得向他人转让中标项目，接受分包的人不得再次分包。中标人应当就分包项目向招标人负责，接受分包的人就分包项目承担连带责任。</w:t>
      </w:r>
    </w:p>
    <w:p w14:paraId="04490EFF">
      <w:pPr>
        <w:pStyle w:val="35"/>
        <w:spacing w:after="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．腐败与欺诈行为</w:t>
      </w:r>
    </w:p>
    <w:p w14:paraId="638CA487">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在招标和合同实施期间，招标人要求投标人和承包人遵守最高的道德标准。</w:t>
      </w:r>
    </w:p>
    <w:p w14:paraId="747391F5">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1对本条款的规定，特定义如下词汇：</w:t>
      </w:r>
    </w:p>
    <w:p w14:paraId="7500F5E8">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“腐败行为”是指在招标或合同执行期间，通过提供、给予、接受或索要任何有价值的东西，从而影响招标人有关人员工作的行为；</w:t>
      </w:r>
    </w:p>
    <w:p w14:paraId="476BD926">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1A88534B">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2如果投标人被认定在本招标竞争中有腐败或欺诈行为，则会被取消投标资格。</w:t>
      </w:r>
    </w:p>
    <w:p w14:paraId="63462366">
      <w:pPr>
        <w:pStyle w:val="3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3投标人如在本项目中存在串通投标、弄虚作假骗取中标、行贿情形的，中标无效，行政监督部门将对其违法行为进行政处罚。</w:t>
      </w:r>
    </w:p>
    <w:p w14:paraId="51EB7AED">
      <w:pPr>
        <w:numPr>
          <w:ilvl w:val="0"/>
          <w:numId w:val="0"/>
        </w:num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34.</w:t>
      </w:r>
      <w:r>
        <w:rPr>
          <w:rFonts w:hint="eastAsia" w:ascii="宋体" w:hAnsi="宋体" w:eastAsia="宋体" w:cs="宋体"/>
          <w:b/>
          <w:bCs/>
          <w:color w:val="auto"/>
          <w:sz w:val="24"/>
          <w:highlight w:val="none"/>
        </w:rPr>
        <w:t>其它费用</w:t>
      </w:r>
    </w:p>
    <w:p w14:paraId="0AD9F6D3">
      <w:pPr>
        <w:pStyle w:val="2"/>
        <w:rPr>
          <w:rFonts w:hint="eastAsia" w:ascii="宋体" w:hAnsi="宋体" w:eastAsia="宋体" w:cs="宋体"/>
          <w:color w:val="auto"/>
          <w:highlight w:val="none"/>
        </w:rPr>
      </w:pPr>
      <w:bookmarkStart w:id="38" w:name="_Toc21525498"/>
      <w:bookmarkStart w:id="39" w:name="_Toc32047"/>
      <w:bookmarkStart w:id="40" w:name="_Toc17683"/>
      <w:bookmarkStart w:id="41" w:name="_Toc2272554"/>
      <w:r>
        <w:rPr>
          <w:rFonts w:hint="eastAsia" w:ascii="宋体" w:hAnsi="宋体" w:eastAsia="宋体" w:cs="宋体"/>
          <w:color w:val="auto"/>
          <w:highlight w:val="none"/>
        </w:rPr>
        <w:t>第二章  开标、评标及定标办法</w:t>
      </w:r>
      <w:bookmarkEnd w:id="38"/>
      <w:bookmarkEnd w:id="39"/>
      <w:bookmarkEnd w:id="40"/>
      <w:bookmarkEnd w:id="41"/>
    </w:p>
    <w:p w14:paraId="148DB6E0">
      <w:pPr>
        <w:pStyle w:val="4"/>
        <w:bidi w:val="0"/>
        <w:rPr>
          <w:rFonts w:hint="eastAsia" w:ascii="宋体" w:hAnsi="宋体" w:eastAsia="宋体" w:cs="宋体"/>
          <w:color w:val="auto"/>
          <w:highlight w:val="none"/>
        </w:rPr>
      </w:pPr>
      <w:bookmarkStart w:id="42" w:name="_Toc15032"/>
      <w:bookmarkStart w:id="43" w:name="_Toc21525499"/>
      <w:bookmarkStart w:id="44" w:name="_Toc2272555"/>
      <w:bookmarkStart w:id="45" w:name="_Toc28311"/>
      <w:r>
        <w:rPr>
          <w:rFonts w:hint="eastAsia" w:ascii="宋体" w:hAnsi="宋体" w:eastAsia="宋体" w:cs="宋体"/>
          <w:color w:val="auto"/>
          <w:highlight w:val="none"/>
        </w:rPr>
        <w:t>一、开标、评标及定标办法修改表</w:t>
      </w:r>
      <w:bookmarkEnd w:id="42"/>
      <w:bookmarkEnd w:id="43"/>
      <w:bookmarkEnd w:id="44"/>
      <w:bookmarkEnd w:id="45"/>
    </w:p>
    <w:p w14:paraId="4E6292C4">
      <w:pPr>
        <w:pStyle w:val="35"/>
        <w:spacing w:after="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Cs w:val="21"/>
          <w:highlight w:val="none"/>
        </w:rPr>
        <w:t>声明：本</w:t>
      </w:r>
      <w:r>
        <w:rPr>
          <w:rFonts w:hint="eastAsia" w:ascii="宋体" w:hAnsi="宋体" w:eastAsia="宋体" w:cs="宋体"/>
          <w:b/>
          <w:color w:val="auto"/>
          <w:highlight w:val="none"/>
        </w:rPr>
        <w:t>开标、评标及定标办法使用</w:t>
      </w:r>
      <w:r>
        <w:rPr>
          <w:rFonts w:hint="eastAsia" w:ascii="宋体" w:hAnsi="宋体" w:eastAsia="宋体" w:cs="宋体"/>
          <w:b/>
          <w:color w:val="auto"/>
          <w:highlight w:val="none"/>
          <w:lang w:eastAsia="zh-CN"/>
        </w:rPr>
        <w:t>GZJTZB202</w:t>
      </w:r>
      <w:r>
        <w:rPr>
          <w:rFonts w:hint="eastAsia" w:ascii="宋体" w:hAnsi="宋体" w:eastAsia="宋体" w:cs="宋体"/>
          <w:b/>
          <w:color w:val="auto"/>
          <w:highlight w:val="none"/>
          <w:lang w:val="en-US" w:eastAsia="zh-CN"/>
        </w:rPr>
        <w:t>5</w:t>
      </w:r>
      <w:r>
        <w:rPr>
          <w:rFonts w:hint="eastAsia" w:ascii="宋体" w:hAnsi="宋体" w:eastAsia="宋体" w:cs="宋体"/>
          <w:b/>
          <w:color w:val="auto"/>
          <w:highlight w:val="none"/>
          <w:lang w:eastAsia="zh-CN"/>
        </w:rPr>
        <w:t>-3</w:t>
      </w:r>
      <w:r>
        <w:rPr>
          <w:rFonts w:hint="eastAsia" w:ascii="宋体" w:hAnsi="宋体" w:eastAsia="宋体" w:cs="宋体"/>
          <w:b/>
          <w:color w:val="auto"/>
          <w:highlight w:val="none"/>
        </w:rPr>
        <w:t>招标文件范本的开标、评标及定标办法通用条款，与该通用条款不同之处，均在本表中列明，并以现文为准，原</w:t>
      </w:r>
      <w:r>
        <w:rPr>
          <w:rFonts w:hint="eastAsia" w:ascii="宋体" w:hAnsi="宋体" w:eastAsia="宋体" w:cs="宋体"/>
          <w:b/>
          <w:color w:val="auto"/>
          <w:szCs w:val="21"/>
          <w:highlight w:val="none"/>
        </w:rPr>
        <w:t>文不再有效。</w:t>
      </w:r>
      <w:r>
        <w:rPr>
          <w:rFonts w:hint="eastAsia" w:ascii="宋体" w:hAnsi="宋体" w:eastAsia="宋体" w:cs="宋体"/>
          <w:b w:val="0"/>
          <w:bCs/>
          <w:color w:val="auto"/>
          <w:sz w:val="21"/>
          <w:szCs w:val="21"/>
          <w:highlight w:val="none"/>
          <w:lang w:eastAsia="zh-CN"/>
        </w:rPr>
        <w:t>（注：招标人按《开标、评标及定标办法修改表》修改的内容对应修改通用条款，属于删除的采用“</w:t>
      </w:r>
      <w:r>
        <w:rPr>
          <w:rFonts w:hint="eastAsia" w:ascii="宋体" w:hAnsi="宋体" w:eastAsia="宋体" w:cs="宋体"/>
          <w:b w:val="0"/>
          <w:bCs/>
          <w:strike/>
          <w:dstrike w:val="0"/>
          <w:color w:val="auto"/>
          <w:sz w:val="21"/>
          <w:szCs w:val="21"/>
          <w:highlight w:val="none"/>
          <w:lang w:val="en-US" w:eastAsia="zh-CN"/>
        </w:rPr>
        <w:t xml:space="preserve">   </w:t>
      </w:r>
      <w:r>
        <w:rPr>
          <w:rFonts w:hint="eastAsia" w:ascii="宋体" w:hAnsi="宋体" w:eastAsia="宋体" w:cs="宋体"/>
          <w:b w:val="0"/>
          <w:bCs/>
          <w:strike w:val="0"/>
          <w:dstrike w:val="0"/>
          <w:color w:val="auto"/>
          <w:sz w:val="21"/>
          <w:szCs w:val="21"/>
          <w:highlight w:val="none"/>
          <w:lang w:val="en-US" w:eastAsia="zh-CN"/>
        </w:rPr>
        <w:t>”表示，</w:t>
      </w:r>
      <w:r>
        <w:rPr>
          <w:rFonts w:hint="eastAsia" w:ascii="宋体" w:hAnsi="宋体" w:eastAsia="宋体" w:cs="宋体"/>
          <w:b w:val="0"/>
          <w:bCs/>
          <w:color w:val="auto"/>
          <w:sz w:val="21"/>
          <w:szCs w:val="21"/>
          <w:highlight w:val="none"/>
          <w:lang w:eastAsia="zh-CN"/>
        </w:rPr>
        <w:t>如“</w:t>
      </w:r>
      <w:r>
        <w:rPr>
          <w:rFonts w:hint="eastAsia" w:ascii="宋体" w:hAnsi="宋体" w:eastAsia="宋体" w:cs="宋体"/>
          <w:b w:val="0"/>
          <w:bCs/>
          <w:strike/>
          <w:dstrike w:val="0"/>
          <w:color w:val="auto"/>
          <w:sz w:val="21"/>
          <w:szCs w:val="21"/>
          <w:highlight w:val="none"/>
          <w:u w:val="none"/>
          <w:lang w:eastAsia="zh-CN"/>
        </w:rPr>
        <w:t>删除</w:t>
      </w:r>
      <w:r>
        <w:rPr>
          <w:rFonts w:hint="eastAsia" w:ascii="宋体" w:hAnsi="宋体" w:eastAsia="宋体" w:cs="宋体"/>
          <w:b w:val="0"/>
          <w:bCs/>
          <w:color w:val="auto"/>
          <w:sz w:val="21"/>
          <w:szCs w:val="21"/>
          <w:highlight w:val="none"/>
          <w:lang w:eastAsia="zh-CN"/>
        </w:rPr>
        <w:t>”；属于新增、修改的内容，用</w:t>
      </w:r>
      <w:r>
        <w:rPr>
          <w:rFonts w:hint="eastAsia" w:ascii="宋体" w:hAnsi="宋体" w:eastAsia="宋体" w:cs="宋体"/>
          <w:b/>
          <w:bCs w:val="0"/>
          <w:color w:val="auto"/>
          <w:sz w:val="21"/>
          <w:szCs w:val="21"/>
          <w:highlight w:val="none"/>
          <w:lang w:eastAsia="zh-CN"/>
        </w:rPr>
        <w:t>黑色加粗</w:t>
      </w:r>
      <w:r>
        <w:rPr>
          <w:rFonts w:hint="eastAsia" w:ascii="宋体" w:hAnsi="宋体" w:eastAsia="宋体" w:cs="宋体"/>
          <w:b w:val="0"/>
          <w:bCs/>
          <w:color w:val="auto"/>
          <w:sz w:val="21"/>
          <w:szCs w:val="21"/>
          <w:highlight w:val="none"/>
          <w:lang w:eastAsia="zh-CN"/>
        </w:rPr>
        <w:t>字体显示</w:t>
      </w:r>
      <w:r>
        <w:rPr>
          <w:rFonts w:hint="eastAsia" w:ascii="宋体" w:hAnsi="宋体" w:eastAsia="宋体" w:cs="宋体"/>
          <w:b w:val="0"/>
          <w:bCs/>
          <w:color w:val="auto"/>
          <w:sz w:val="21"/>
          <w:szCs w:val="21"/>
          <w:highlight w:val="none"/>
          <w:lang w:val="en-US" w:eastAsia="zh-CN"/>
        </w:rPr>
        <w:t>,并加注下划线，如“</w:t>
      </w:r>
      <w:r>
        <w:rPr>
          <w:rFonts w:hint="eastAsia" w:ascii="宋体" w:hAnsi="宋体" w:eastAsia="宋体" w:cs="宋体"/>
          <w:b/>
          <w:bCs w:val="0"/>
          <w:color w:val="auto"/>
          <w:sz w:val="21"/>
          <w:szCs w:val="21"/>
          <w:highlight w:val="none"/>
          <w:u w:val="single"/>
          <w:lang w:val="en-US" w:eastAsia="zh-CN"/>
        </w:rPr>
        <w:t>新增修改</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eastAsia="zh-CN"/>
        </w:rPr>
        <w:t>。）</w:t>
      </w:r>
    </w:p>
    <w:p w14:paraId="5B50AE5E">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条款号：35             修改类型：修改</w:t>
      </w:r>
    </w:p>
    <w:p w14:paraId="1E65D184">
      <w:pPr>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开标、评标及定标所依据的规则</w:t>
      </w:r>
    </w:p>
    <w:p w14:paraId="755291E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.1《中华人民共和国招标投标法》；</w:t>
      </w:r>
    </w:p>
    <w:p w14:paraId="0981313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.2《中华人民共和国招标投标法实施条例》；</w:t>
      </w:r>
    </w:p>
    <w:p w14:paraId="61633500">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.3《评标委员会和评标方法暂行规定》（七部委第12号令）</w:t>
      </w:r>
      <w:r>
        <w:rPr>
          <w:rFonts w:hint="eastAsia" w:ascii="宋体" w:hAnsi="宋体" w:eastAsia="宋体" w:cs="宋体"/>
          <w:color w:val="auto"/>
          <w:sz w:val="21"/>
          <w:szCs w:val="21"/>
          <w:highlight w:val="none"/>
          <w:lang w:eastAsia="zh-CN"/>
        </w:rPr>
        <w:t>；</w:t>
      </w:r>
    </w:p>
    <w:p w14:paraId="68175FE1">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.4《工程建设项目施工招标投标办法》（七部委2003年第30号令）</w:t>
      </w:r>
      <w:r>
        <w:rPr>
          <w:rFonts w:hint="eastAsia" w:ascii="宋体" w:hAnsi="宋体" w:eastAsia="宋体" w:cs="宋体"/>
          <w:color w:val="auto"/>
          <w:sz w:val="21"/>
          <w:szCs w:val="21"/>
          <w:highlight w:val="none"/>
          <w:lang w:eastAsia="zh-CN"/>
        </w:rPr>
        <w:t>；</w:t>
      </w:r>
    </w:p>
    <w:p w14:paraId="3934D70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《电子招标投标办法</w:t>
      </w:r>
      <w:r>
        <w:rPr>
          <w:rFonts w:hint="eastAsia" w:ascii="宋体" w:hAnsi="宋体" w:eastAsia="宋体" w:cs="宋体"/>
          <w:color w:val="auto"/>
          <w:sz w:val="21"/>
          <w:szCs w:val="21"/>
          <w:highlight w:val="none"/>
          <w:lang w:val="en-US" w:eastAsia="zh-CN"/>
        </w:rPr>
        <w:t>》；</w:t>
      </w:r>
    </w:p>
    <w:p w14:paraId="6AFBD0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35.6</w:t>
      </w:r>
      <w:r>
        <w:rPr>
          <w:rFonts w:hint="eastAsia" w:ascii="宋体" w:hAnsi="宋体" w:eastAsia="宋体" w:cs="宋体"/>
          <w:color w:val="auto"/>
          <w:sz w:val="21"/>
          <w:szCs w:val="21"/>
          <w:highlight w:val="none"/>
        </w:rPr>
        <w:t>《广东省实施〈中华人民共和国招标投标法〉办法》；</w:t>
      </w:r>
    </w:p>
    <w:p w14:paraId="673C3B72">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《房屋建筑和市政基础设施工程施工招标投标管理办法》（建设部令第89号）</w:t>
      </w:r>
      <w:r>
        <w:rPr>
          <w:rFonts w:hint="eastAsia" w:ascii="宋体" w:hAnsi="宋体" w:eastAsia="宋体" w:cs="宋体"/>
          <w:color w:val="auto"/>
          <w:sz w:val="21"/>
          <w:szCs w:val="21"/>
          <w:highlight w:val="none"/>
          <w:lang w:eastAsia="zh-CN"/>
        </w:rPr>
        <w:t>；</w:t>
      </w:r>
    </w:p>
    <w:p w14:paraId="32A94A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《广东省加强建设工程招标投标监督管理的若干规定》（粤发[2004]4号）；</w:t>
      </w:r>
    </w:p>
    <w:p w14:paraId="30F2415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《广州市工程建设项目招标投标管理办法》（穗建规字〔2023〕12号）。</w:t>
      </w:r>
    </w:p>
    <w:p w14:paraId="617A8C66">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本项目招标文件。</w:t>
      </w:r>
    </w:p>
    <w:p w14:paraId="6C9395E8">
      <w:pPr>
        <w:pBdr>
          <w:bottom w:val="single" w:color="auto" w:sz="6" w:space="1"/>
        </w:pBdr>
        <w:spacing w:line="360" w:lineRule="auto"/>
        <w:ind w:firstLine="424" w:firstLineChars="201"/>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Cs/>
          <w:color w:val="auto"/>
          <w:szCs w:val="21"/>
          <w:highlight w:val="none"/>
        </w:rPr>
        <w:t>35 开标、评标及定标所依据的规则</w:t>
      </w:r>
    </w:p>
    <w:p w14:paraId="1FB64ED1">
      <w:pPr>
        <w:pBdr>
          <w:bottom w:val="single" w:color="auto" w:sz="6" w:space="1"/>
        </w:pBdr>
        <w:spacing w:line="360" w:lineRule="auto"/>
        <w:ind w:firstLine="422" w:firstLineChars="20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35.1《中华人民共和国招标投标法》；</w:t>
      </w:r>
    </w:p>
    <w:p w14:paraId="45BBDB63">
      <w:pPr>
        <w:pBdr>
          <w:bottom w:val="single" w:color="auto" w:sz="6" w:space="1"/>
        </w:pBdr>
        <w:spacing w:line="360" w:lineRule="auto"/>
        <w:ind w:firstLine="422" w:firstLineChars="20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35.2《中华人民共和国招标投标法实施条例》；</w:t>
      </w:r>
    </w:p>
    <w:p w14:paraId="01F6D444">
      <w:pPr>
        <w:pBdr>
          <w:bottom w:val="single" w:color="auto" w:sz="6" w:space="1"/>
        </w:pBdr>
        <w:spacing w:line="360" w:lineRule="auto"/>
        <w:ind w:firstLine="422" w:firstLineChars="20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35.3《评标委员会和评标方法暂行规定》（七部委第12号令）；</w:t>
      </w:r>
    </w:p>
    <w:p w14:paraId="730DE754">
      <w:pPr>
        <w:pBdr>
          <w:bottom w:val="single" w:color="auto" w:sz="6" w:space="1"/>
        </w:pBdr>
        <w:spacing w:line="360" w:lineRule="auto"/>
        <w:ind w:firstLine="422" w:firstLineChars="20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35.4《工程建设项目施工招标投标办法》（七部委2003年第30号令）；</w:t>
      </w:r>
    </w:p>
    <w:p w14:paraId="48482E9B">
      <w:pPr>
        <w:pBdr>
          <w:bottom w:val="single" w:color="auto" w:sz="6" w:space="1"/>
        </w:pBdr>
        <w:spacing w:line="360" w:lineRule="auto"/>
        <w:ind w:firstLine="422" w:firstLineChars="20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35</w:t>
      </w:r>
      <w:r>
        <w:rPr>
          <w:rFonts w:hint="eastAsia" w:ascii="宋体" w:hAnsi="宋体" w:eastAsia="宋体" w:cs="宋体"/>
          <w:bCs/>
          <w:color w:val="auto"/>
          <w:szCs w:val="21"/>
          <w:highlight w:val="none"/>
        </w:rPr>
        <w:t>.5</w:t>
      </w:r>
      <w:r>
        <w:rPr>
          <w:rFonts w:hint="eastAsia" w:ascii="宋体" w:hAnsi="宋体" w:eastAsia="宋体" w:cs="宋体"/>
          <w:bCs/>
          <w:color w:val="auto"/>
          <w:szCs w:val="21"/>
          <w:highlight w:val="none"/>
          <w:lang w:eastAsia="zh-CN"/>
        </w:rPr>
        <w:t>《电子招标投标办法</w:t>
      </w:r>
      <w:r>
        <w:rPr>
          <w:rFonts w:hint="eastAsia" w:ascii="宋体" w:hAnsi="宋体" w:eastAsia="宋体" w:cs="宋体"/>
          <w:bCs/>
          <w:color w:val="auto"/>
          <w:szCs w:val="21"/>
          <w:highlight w:val="none"/>
          <w:lang w:val="en-US" w:eastAsia="zh-CN"/>
        </w:rPr>
        <w:t>》；</w:t>
      </w:r>
    </w:p>
    <w:p w14:paraId="09A534BA">
      <w:pPr>
        <w:pBdr>
          <w:bottom w:val="single" w:color="auto" w:sz="6" w:space="1"/>
        </w:pBdr>
        <w:spacing w:line="360" w:lineRule="auto"/>
        <w:ind w:firstLine="422" w:firstLineChars="20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《广东省实施〈中华人民共和国招标投标法〉办法》；</w:t>
      </w:r>
    </w:p>
    <w:p w14:paraId="1C1DFC4E">
      <w:pPr>
        <w:pBdr>
          <w:bottom w:val="single" w:color="auto" w:sz="6" w:space="1"/>
        </w:pBdr>
        <w:spacing w:line="360" w:lineRule="auto"/>
        <w:ind w:firstLine="422" w:firstLineChars="20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en-US" w:eastAsia="zh-CN"/>
        </w:rPr>
        <w:t>7</w:t>
      </w:r>
      <w:r>
        <w:rPr>
          <w:rFonts w:hint="eastAsia" w:ascii="宋体" w:hAnsi="宋体" w:eastAsia="宋体" w:cs="宋体"/>
          <w:bCs/>
          <w:color w:val="auto"/>
          <w:szCs w:val="21"/>
          <w:highlight w:val="none"/>
        </w:rPr>
        <w:t>《房屋建筑和市政基础设施工程施工招标投标管理办法》（建设部令第89号）；</w:t>
      </w:r>
    </w:p>
    <w:p w14:paraId="29FFEDE5">
      <w:pPr>
        <w:pBdr>
          <w:bottom w:val="single" w:color="auto" w:sz="6" w:space="1"/>
        </w:pBdr>
        <w:spacing w:line="360" w:lineRule="auto"/>
        <w:ind w:firstLine="422" w:firstLineChars="20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35</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《广东省加强建设工程招标投标监督管理的若干规定》（粤发[2004]4号）；</w:t>
      </w:r>
    </w:p>
    <w:p w14:paraId="155ACFED">
      <w:pPr>
        <w:pBdr>
          <w:bottom w:val="single" w:color="auto" w:sz="6" w:space="1"/>
        </w:pBdr>
        <w:spacing w:line="360" w:lineRule="auto"/>
        <w:ind w:firstLine="422" w:firstLineChars="20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35</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9</w:t>
      </w:r>
      <w:r>
        <w:rPr>
          <w:rFonts w:hint="eastAsia" w:ascii="宋体" w:hAnsi="宋体" w:eastAsia="宋体" w:cs="宋体"/>
          <w:bCs/>
          <w:color w:val="auto"/>
          <w:szCs w:val="21"/>
          <w:highlight w:val="none"/>
        </w:rPr>
        <w:t>《广州市工程建设项目招标投标管理办法》（穗建规字〔2023〕12号）。</w:t>
      </w:r>
    </w:p>
    <w:p w14:paraId="30AC58D8">
      <w:pPr>
        <w:pBdr>
          <w:bottom w:val="single" w:color="auto" w:sz="6" w:space="1"/>
        </w:pBdr>
        <w:spacing w:line="360" w:lineRule="auto"/>
        <w:ind w:firstLine="422" w:firstLineChars="201"/>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u w:val="single"/>
        </w:rPr>
        <w:t>《财政部工业和信息化部关于印发〈政府采购促进中小企业发展管理办法〉的通知》（财库〔2020〕46号）</w:t>
      </w:r>
      <w:r>
        <w:rPr>
          <w:rFonts w:hint="eastAsia" w:ascii="宋体" w:hAnsi="宋体" w:cs="宋体"/>
          <w:bCs/>
          <w:color w:val="auto"/>
          <w:szCs w:val="21"/>
          <w:highlight w:val="none"/>
          <w:u w:val="single"/>
          <w:lang w:eastAsia="zh-CN"/>
        </w:rPr>
        <w:t>。</w:t>
      </w:r>
    </w:p>
    <w:p w14:paraId="3E34E961">
      <w:pPr>
        <w:pBdr>
          <w:bottom w:val="single" w:color="auto" w:sz="6" w:space="1"/>
        </w:pBdr>
        <w:spacing w:line="360" w:lineRule="auto"/>
        <w:ind w:firstLine="422" w:firstLineChars="201"/>
        <w:rPr>
          <w:rFonts w:hint="eastAsia" w:ascii="宋体" w:hAnsi="宋体" w:eastAsia="宋体" w:cs="宋体"/>
          <w:bCs/>
          <w:color w:val="auto"/>
          <w:szCs w:val="21"/>
          <w:highlight w:val="none"/>
          <w:u w:val="single"/>
          <w:lang w:eastAsia="zh-CN"/>
        </w:rPr>
      </w:pPr>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en-US" w:eastAsia="zh-CN"/>
        </w:rPr>
        <w:t>11</w:t>
      </w:r>
      <w:r>
        <w:rPr>
          <w:rFonts w:hint="eastAsia" w:ascii="宋体" w:hAnsi="宋体" w:eastAsia="宋体" w:cs="宋体"/>
          <w:bCs/>
          <w:color w:val="auto"/>
          <w:szCs w:val="21"/>
          <w:highlight w:val="none"/>
          <w:u w:val="single"/>
        </w:rPr>
        <w:t>《广东省政府采购促进中小企业发展实施细则（试行）》</w:t>
      </w:r>
      <w:r>
        <w:rPr>
          <w:rFonts w:hint="eastAsia" w:ascii="宋体" w:hAnsi="宋体" w:cs="宋体"/>
          <w:bCs/>
          <w:color w:val="auto"/>
          <w:szCs w:val="21"/>
          <w:highlight w:val="none"/>
          <w:u w:val="single"/>
          <w:lang w:eastAsia="zh-CN"/>
        </w:rPr>
        <w:t>。</w:t>
      </w:r>
    </w:p>
    <w:p w14:paraId="7401437C">
      <w:pPr>
        <w:pBdr>
          <w:bottom w:val="single" w:color="auto" w:sz="6" w:space="1"/>
        </w:pBdr>
        <w:spacing w:line="360" w:lineRule="auto"/>
        <w:ind w:firstLine="422" w:firstLineChars="20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35.1</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u w:val="single"/>
        </w:rPr>
        <w:t>《广州市财政局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r>
        <w:rPr>
          <w:rFonts w:hint="eastAsia" w:ascii="宋体" w:hAnsi="宋体" w:eastAsia="宋体" w:cs="宋体"/>
          <w:bCs/>
          <w:color w:val="auto"/>
          <w:szCs w:val="21"/>
          <w:highlight w:val="none"/>
        </w:rPr>
        <w:t>；</w:t>
      </w:r>
    </w:p>
    <w:p w14:paraId="2442F521">
      <w:pPr>
        <w:pBdr>
          <w:bottom w:val="single" w:color="auto" w:sz="6" w:space="1"/>
        </w:pBdr>
        <w:spacing w:line="360" w:lineRule="auto"/>
        <w:ind w:firstLine="422" w:firstLineChars="20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en-US" w:eastAsia="zh-CN"/>
        </w:rPr>
        <w:t>13</w:t>
      </w:r>
      <w:r>
        <w:rPr>
          <w:rFonts w:hint="eastAsia" w:ascii="宋体" w:hAnsi="宋体" w:eastAsia="宋体" w:cs="宋体"/>
          <w:bCs/>
          <w:color w:val="auto"/>
          <w:szCs w:val="21"/>
          <w:highlight w:val="none"/>
        </w:rPr>
        <w:t>本项目招标文件。</w:t>
      </w:r>
    </w:p>
    <w:p w14:paraId="4B152C1C">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 36.3            修改类型：删除</w:t>
      </w:r>
    </w:p>
    <w:p w14:paraId="767BCDA3">
      <w:pPr>
        <w:pBdr>
          <w:bottom w:val="single" w:color="auto" w:sz="4" w:space="0"/>
        </w:pBdr>
        <w:spacing w:line="360" w:lineRule="auto"/>
        <w:ind w:firstLine="472" w:firstLineChars="224"/>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36.3根据投标须知前附表第19项，如需抽取某一种评标办法供评标时使用的，</w:t>
      </w:r>
      <w:r>
        <w:rPr>
          <w:rFonts w:hint="eastAsia" w:ascii="宋体" w:hAnsi="宋体" w:eastAsia="宋体" w:cs="宋体"/>
          <w:bCs/>
          <w:color w:val="auto"/>
          <w:szCs w:val="21"/>
          <w:highlight w:val="none"/>
          <w:lang w:val="en-US" w:eastAsia="zh-CN"/>
        </w:rPr>
        <w:t>可</w:t>
      </w:r>
      <w:r>
        <w:rPr>
          <w:rFonts w:hint="eastAsia" w:ascii="宋体" w:hAnsi="宋体" w:eastAsia="宋体" w:cs="宋体"/>
          <w:bCs/>
          <w:color w:val="auto"/>
          <w:szCs w:val="21"/>
          <w:highlight w:val="none"/>
        </w:rPr>
        <w:t>在开标</w:t>
      </w:r>
      <w:r>
        <w:rPr>
          <w:rFonts w:hint="eastAsia" w:ascii="宋体" w:hAnsi="宋体" w:eastAsia="宋体" w:cs="宋体"/>
          <w:bCs/>
          <w:color w:val="auto"/>
          <w:szCs w:val="21"/>
          <w:highlight w:val="none"/>
          <w:lang w:val="en-US" w:eastAsia="zh-CN"/>
        </w:rPr>
        <w:t>时（唱标工作完成后）</w:t>
      </w:r>
      <w:r>
        <w:rPr>
          <w:rFonts w:hint="eastAsia" w:ascii="宋体" w:hAnsi="宋体" w:eastAsia="宋体" w:cs="宋体"/>
          <w:bCs/>
          <w:color w:val="auto"/>
          <w:szCs w:val="21"/>
          <w:highlight w:val="none"/>
        </w:rPr>
        <w:t>抽取。首先对招标文件中约定的若干种评标方法进行编号，再随机抽取某一编号，该编号所对应的评标办法供评标时使用。</w:t>
      </w:r>
    </w:p>
    <w:p w14:paraId="26A146A2">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条款号：36.4             修改类型：修改</w:t>
      </w:r>
    </w:p>
    <w:p w14:paraId="2C51CA31">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36.4若递交投标文件的投标人不足3家，则重新组织招标。（当N个标段同时招标且不允许兼中时，若有效投标人不足N+2家，则重新组织招标）。</w:t>
      </w:r>
    </w:p>
    <w:p w14:paraId="384F635A">
      <w:pPr>
        <w:pBdr>
          <w:bottom w:val="single" w:color="auto" w:sz="6" w:space="1"/>
        </w:pBdr>
        <w:spacing w:line="360" w:lineRule="auto"/>
        <w:ind w:firstLine="472" w:firstLineChars="224"/>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Cs/>
          <w:color w:val="auto"/>
          <w:szCs w:val="21"/>
          <w:highlight w:val="none"/>
        </w:rPr>
        <w:t>36.4若递交投标文件的投标人不足3家，则重新组织招标。</w:t>
      </w:r>
    </w:p>
    <w:p w14:paraId="4E8192E8">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条款号：36.5.3           修改类型：修改</w:t>
      </w:r>
    </w:p>
    <w:p w14:paraId="66F39B3E">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36.5.3投标人代表、招标人代表、监标人、记录人等有关人员在开标记录上签字确认；若有关人员不签字的，不影响开标程序；</w:t>
      </w:r>
    </w:p>
    <w:p w14:paraId="3F8C373C">
      <w:pPr>
        <w:pBdr>
          <w:bottom w:val="single" w:color="auto" w:sz="6" w:space="1"/>
        </w:pBdr>
        <w:spacing w:line="360" w:lineRule="auto"/>
        <w:ind w:firstLine="472" w:firstLineChars="224"/>
        <w:rPr>
          <w:rFonts w:hint="eastAsia" w:ascii="宋体" w:hAnsi="宋体" w:eastAsia="宋体" w:cs="宋体"/>
          <w:bCs/>
          <w:color w:val="auto"/>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36.5.3投标人代表、招标人代表、监标人、记录人等有关人员在开标记录上签字确认；若有关人员不签字的，不影响开标程序；</w:t>
      </w:r>
      <w:r>
        <w:rPr>
          <w:rFonts w:hint="eastAsia" w:ascii="宋体" w:hAnsi="宋体" w:eastAsia="宋体" w:cs="宋体"/>
          <w:color w:val="auto"/>
          <w:szCs w:val="21"/>
          <w:highlight w:val="none"/>
          <w:u w:val="single"/>
        </w:rPr>
        <w:t>若投标人不参加开标会的，或未在开标记录表上签字确认的，视同该投标人认可开标结果。</w:t>
      </w:r>
    </w:p>
    <w:p w14:paraId="57797658">
      <w:pPr>
        <w:pStyle w:val="35"/>
        <w:spacing w:after="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37</w:t>
      </w:r>
      <w:r>
        <w:rPr>
          <w:rFonts w:hint="eastAsia" w:ascii="宋体" w:hAnsi="宋体" w:eastAsia="宋体" w:cs="宋体"/>
          <w:b/>
          <w:color w:val="auto"/>
          <w:szCs w:val="21"/>
          <w:highlight w:val="none"/>
        </w:rPr>
        <w:t xml:space="preserve">        修改类型：修改</w:t>
      </w:r>
    </w:p>
    <w:p w14:paraId="4A7E41D4">
      <w:pPr>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原文：37．评标</w:t>
      </w:r>
    </w:p>
    <w:p w14:paraId="756AD97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37.1</w:t>
      </w:r>
      <w:r>
        <w:rPr>
          <w:rFonts w:hint="eastAsia" w:ascii="宋体" w:hAnsi="宋体" w:eastAsia="宋体" w:cs="宋体"/>
          <w:color w:val="auto"/>
          <w:sz w:val="21"/>
          <w:szCs w:val="20"/>
          <w:highlight w:val="none"/>
        </w:rPr>
        <w:t>评标由招标人依法组建的评标委员会负责。评标委员会由有关技术、经济等方面的专家和招标人代表组成，专家</w:t>
      </w:r>
      <w:r>
        <w:rPr>
          <w:rFonts w:hint="eastAsia" w:ascii="宋体" w:hAnsi="宋体" w:eastAsia="宋体" w:cs="宋体"/>
          <w:color w:val="auto"/>
          <w:sz w:val="21"/>
          <w:szCs w:val="20"/>
          <w:highlight w:val="none"/>
          <w:lang w:eastAsia="zh-CN"/>
        </w:rPr>
        <w:t>从广东省综合评标评审</w:t>
      </w:r>
      <w:r>
        <w:rPr>
          <w:rFonts w:hint="eastAsia" w:ascii="宋体" w:hAnsi="宋体" w:eastAsia="宋体" w:cs="宋体"/>
          <w:color w:val="auto"/>
          <w:sz w:val="21"/>
          <w:szCs w:val="20"/>
          <w:highlight w:val="none"/>
        </w:rPr>
        <w:t>专家库中抽取或按远程异地评标专家抽取相关规定组建。评标委员会成员人数以及技术、经济等方面专家的确定方式见投标人须知前附表</w:t>
      </w:r>
      <w:r>
        <w:rPr>
          <w:rFonts w:hint="eastAsia" w:ascii="宋体" w:hAnsi="宋体" w:eastAsia="宋体" w:cs="宋体"/>
          <w:color w:val="auto"/>
          <w:sz w:val="21"/>
          <w:szCs w:val="20"/>
          <w:highlight w:val="none"/>
          <w:lang w:eastAsia="zh-CN"/>
        </w:rPr>
        <w:t>第</w:t>
      </w:r>
      <w:r>
        <w:rPr>
          <w:rFonts w:hint="eastAsia" w:ascii="宋体" w:hAnsi="宋体" w:eastAsia="宋体" w:cs="宋体"/>
          <w:color w:val="auto"/>
          <w:sz w:val="21"/>
          <w:szCs w:val="20"/>
          <w:highlight w:val="none"/>
          <w:lang w:val="en-US" w:eastAsia="zh-CN"/>
        </w:rPr>
        <w:t>30项</w:t>
      </w:r>
      <w:r>
        <w:rPr>
          <w:rFonts w:hint="eastAsia" w:ascii="宋体" w:hAnsi="宋体" w:eastAsia="宋体" w:cs="宋体"/>
          <w:color w:val="auto"/>
          <w:sz w:val="21"/>
          <w:szCs w:val="21"/>
          <w:highlight w:val="none"/>
        </w:rPr>
        <w:t>。</w:t>
      </w:r>
    </w:p>
    <w:p w14:paraId="546CE279">
      <w:pPr>
        <w:snapToGrid w:val="0"/>
        <w:spacing w:line="360" w:lineRule="auto"/>
        <w:ind w:firstLine="420" w:firstLineChars="200"/>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lang w:val="en-US" w:eastAsia="zh-CN"/>
        </w:rPr>
        <w:t>37.2</w:t>
      </w:r>
      <w:r>
        <w:rPr>
          <w:rFonts w:hint="eastAsia" w:ascii="宋体" w:hAnsi="宋体" w:eastAsia="宋体" w:cs="宋体"/>
          <w:color w:val="auto"/>
          <w:sz w:val="21"/>
          <w:szCs w:val="20"/>
          <w:highlight w:val="none"/>
        </w:rPr>
        <w:t>评标委员会成员有下列情形之一的，应当回避：</w:t>
      </w:r>
    </w:p>
    <w:p w14:paraId="42E8C010">
      <w:pPr>
        <w:snapToGrid w:val="0"/>
        <w:spacing w:line="360" w:lineRule="auto"/>
        <w:ind w:firstLine="420" w:firstLineChars="200"/>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rPr>
        <w:t>（1）招标人或投标人的主要负责人的近亲属；</w:t>
      </w:r>
    </w:p>
    <w:p w14:paraId="784D31B0">
      <w:pPr>
        <w:snapToGrid w:val="0"/>
        <w:spacing w:line="360" w:lineRule="auto"/>
        <w:ind w:firstLine="420" w:firstLineChars="200"/>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rPr>
        <w:t>（2）项目主管部门或者行政监督部门的人员；</w:t>
      </w:r>
    </w:p>
    <w:p w14:paraId="45D7A318">
      <w:pPr>
        <w:snapToGrid w:val="0"/>
        <w:spacing w:line="360" w:lineRule="auto"/>
        <w:ind w:firstLine="420" w:firstLineChars="200"/>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lang w:eastAsia="zh-CN"/>
        </w:rPr>
        <w:t>（</w:t>
      </w:r>
      <w:r>
        <w:rPr>
          <w:rFonts w:hint="eastAsia" w:ascii="宋体" w:hAnsi="宋体" w:eastAsia="宋体" w:cs="宋体"/>
          <w:color w:val="auto"/>
          <w:sz w:val="21"/>
          <w:szCs w:val="20"/>
          <w:highlight w:val="none"/>
          <w:lang w:val="en-US" w:eastAsia="zh-CN"/>
        </w:rPr>
        <w:t>3</w:t>
      </w:r>
      <w:r>
        <w:rPr>
          <w:rFonts w:hint="eastAsia" w:ascii="宋体" w:hAnsi="宋体" w:eastAsia="宋体" w:cs="宋体"/>
          <w:color w:val="auto"/>
          <w:sz w:val="21"/>
          <w:szCs w:val="20"/>
          <w:highlight w:val="none"/>
          <w:lang w:eastAsia="zh-CN"/>
        </w:rPr>
        <w:t>）</w:t>
      </w:r>
      <w:r>
        <w:rPr>
          <w:rFonts w:hint="eastAsia" w:ascii="宋体" w:hAnsi="宋体" w:eastAsia="宋体" w:cs="宋体"/>
          <w:color w:val="auto"/>
          <w:sz w:val="21"/>
          <w:szCs w:val="20"/>
          <w:highlight w:val="none"/>
        </w:rPr>
        <w:t>招标人</w:t>
      </w:r>
      <w:r>
        <w:rPr>
          <w:rFonts w:hint="eastAsia" w:ascii="宋体" w:hAnsi="宋体" w:eastAsia="宋体" w:cs="宋体"/>
          <w:color w:val="auto"/>
          <w:sz w:val="21"/>
          <w:szCs w:val="20"/>
          <w:highlight w:val="none"/>
          <w:lang w:val="en-US" w:eastAsia="zh-CN"/>
        </w:rPr>
        <w:t>或</w:t>
      </w:r>
      <w:r>
        <w:rPr>
          <w:rFonts w:hint="eastAsia" w:ascii="宋体" w:hAnsi="宋体" w:eastAsia="宋体" w:cs="宋体"/>
          <w:color w:val="auto"/>
          <w:sz w:val="21"/>
          <w:szCs w:val="20"/>
          <w:highlight w:val="none"/>
        </w:rPr>
        <w:t>投标人的工作人员、退休或离职未满3年的人员；</w:t>
      </w:r>
    </w:p>
    <w:p w14:paraId="3A28319B">
      <w:pPr>
        <w:snapToGrid w:val="0"/>
        <w:spacing w:line="360" w:lineRule="auto"/>
        <w:ind w:firstLine="420" w:firstLineChars="200"/>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rPr>
        <w:t>（</w:t>
      </w:r>
      <w:r>
        <w:rPr>
          <w:rFonts w:hint="eastAsia" w:ascii="宋体" w:hAnsi="宋体" w:eastAsia="宋体" w:cs="宋体"/>
          <w:color w:val="auto"/>
          <w:sz w:val="21"/>
          <w:szCs w:val="20"/>
          <w:highlight w:val="none"/>
          <w:lang w:val="en-US" w:eastAsia="zh-CN"/>
        </w:rPr>
        <w:t>4</w:t>
      </w:r>
      <w:r>
        <w:rPr>
          <w:rFonts w:hint="eastAsia" w:ascii="宋体" w:hAnsi="宋体" w:eastAsia="宋体" w:cs="宋体"/>
          <w:color w:val="auto"/>
          <w:sz w:val="21"/>
          <w:szCs w:val="20"/>
          <w:highlight w:val="none"/>
        </w:rPr>
        <w:t>）与投标人有经济利益关系，可能影响对投标公正评审的；</w:t>
      </w:r>
    </w:p>
    <w:p w14:paraId="55E9C68B">
      <w:pPr>
        <w:snapToGrid w:val="0"/>
        <w:spacing w:line="360" w:lineRule="auto"/>
        <w:ind w:firstLine="420" w:firstLineChars="200"/>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rPr>
        <w:t>（</w:t>
      </w:r>
      <w:r>
        <w:rPr>
          <w:rFonts w:hint="eastAsia" w:ascii="宋体" w:hAnsi="宋体" w:eastAsia="宋体" w:cs="宋体"/>
          <w:color w:val="auto"/>
          <w:sz w:val="21"/>
          <w:szCs w:val="20"/>
          <w:highlight w:val="none"/>
          <w:lang w:val="en-US" w:eastAsia="zh-CN"/>
        </w:rPr>
        <w:t>5</w:t>
      </w:r>
      <w:r>
        <w:rPr>
          <w:rFonts w:hint="eastAsia" w:ascii="宋体" w:hAnsi="宋体" w:eastAsia="宋体" w:cs="宋体"/>
          <w:color w:val="auto"/>
          <w:sz w:val="21"/>
          <w:szCs w:val="20"/>
          <w:highlight w:val="none"/>
        </w:rPr>
        <w:t>）曾因在招标、评标以及其他与招标投标有关活动中从事违法行为而受过行政处罚或刑事处罚的。</w:t>
      </w:r>
    </w:p>
    <w:p w14:paraId="1A3E2354">
      <w:pPr>
        <w:spacing w:line="360" w:lineRule="auto"/>
        <w:ind w:firstLine="420" w:firstLineChars="200"/>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rPr>
        <w:t>（</w:t>
      </w:r>
      <w:r>
        <w:rPr>
          <w:rFonts w:hint="eastAsia" w:ascii="宋体" w:hAnsi="宋体" w:eastAsia="宋体" w:cs="宋体"/>
          <w:color w:val="auto"/>
          <w:sz w:val="21"/>
          <w:szCs w:val="20"/>
          <w:highlight w:val="none"/>
          <w:lang w:val="en-US" w:eastAsia="zh-CN"/>
        </w:rPr>
        <w:t>6</w:t>
      </w:r>
      <w:r>
        <w:rPr>
          <w:rFonts w:hint="eastAsia" w:ascii="宋体" w:hAnsi="宋体" w:eastAsia="宋体" w:cs="宋体"/>
          <w:color w:val="auto"/>
          <w:sz w:val="21"/>
          <w:szCs w:val="20"/>
          <w:highlight w:val="none"/>
        </w:rPr>
        <w:t>）与投标人有其他利害关系。</w:t>
      </w:r>
    </w:p>
    <w:p w14:paraId="553EE84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评标委员会的职责及守则：</w:t>
      </w:r>
    </w:p>
    <w:p w14:paraId="0E97420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.1根据评标细则，对</w:t>
      </w:r>
      <w:r>
        <w:rPr>
          <w:rFonts w:hint="eastAsia" w:ascii="宋体" w:hAnsi="宋体" w:eastAsia="宋体" w:cs="宋体"/>
          <w:color w:val="auto"/>
          <w:sz w:val="21"/>
          <w:szCs w:val="20"/>
          <w:highlight w:val="none"/>
        </w:rPr>
        <w:t>投标文件</w:t>
      </w:r>
      <w:r>
        <w:rPr>
          <w:rFonts w:hint="eastAsia" w:ascii="宋体" w:hAnsi="宋体" w:eastAsia="宋体" w:cs="宋体"/>
          <w:color w:val="auto"/>
          <w:sz w:val="21"/>
          <w:szCs w:val="21"/>
          <w:highlight w:val="none"/>
        </w:rPr>
        <w:t>进行认真评审，完成评审报告；</w:t>
      </w:r>
    </w:p>
    <w:p w14:paraId="422AD84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.2向招标人报告评审意见，推荐合格的中标候选人。</w:t>
      </w:r>
    </w:p>
    <w:p w14:paraId="2B54D17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37.</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.3</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7F044D1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.4全体参与评标人员：</w:t>
      </w:r>
    </w:p>
    <w:p w14:paraId="52E1646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.4.1 必须遵守评标纪律、不得泄密；</w:t>
      </w:r>
    </w:p>
    <w:p w14:paraId="67A2513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.4.2 必须公正、不得循私；</w:t>
      </w:r>
    </w:p>
    <w:p w14:paraId="35A6041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.4.3 必须科学、不得草率；</w:t>
      </w:r>
    </w:p>
    <w:p w14:paraId="0A116B4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.4.4 必须客观、不得带有成见；</w:t>
      </w:r>
    </w:p>
    <w:p w14:paraId="47FCB5E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.4.5 必须平等、不得强加于人；</w:t>
      </w:r>
    </w:p>
    <w:p w14:paraId="3E118B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.4.6 必须严谨、不得随意马虎。</w:t>
      </w:r>
    </w:p>
    <w:p w14:paraId="20EE62E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724FFD4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37.5</w:t>
      </w:r>
      <w:r>
        <w:rPr>
          <w:rFonts w:hint="eastAsia" w:ascii="宋体" w:hAnsi="宋体" w:eastAsia="宋体" w:cs="宋体"/>
          <w:color w:val="auto"/>
          <w:sz w:val="21"/>
          <w:szCs w:val="21"/>
          <w:highlight w:val="none"/>
        </w:rPr>
        <w:t>评标委员会按照第</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评标</w:t>
      </w:r>
      <w:r>
        <w:rPr>
          <w:rFonts w:hint="eastAsia" w:ascii="宋体" w:hAnsi="宋体" w:eastAsia="宋体" w:cs="宋体"/>
          <w:color w:val="auto"/>
          <w:sz w:val="21"/>
          <w:szCs w:val="21"/>
          <w:highlight w:val="none"/>
          <w:lang w:eastAsia="zh-CN"/>
        </w:rPr>
        <w:t>及定标</w:t>
      </w:r>
      <w:r>
        <w:rPr>
          <w:rFonts w:hint="eastAsia" w:ascii="宋体" w:hAnsi="宋体" w:eastAsia="宋体" w:cs="宋体"/>
          <w:color w:val="auto"/>
          <w:sz w:val="21"/>
          <w:szCs w:val="21"/>
          <w:highlight w:val="none"/>
        </w:rPr>
        <w:t>办法”规定的方法、评审因素、标准和程序对投标文件进行评审。第三章“</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评标</w:t>
      </w:r>
      <w:r>
        <w:rPr>
          <w:rFonts w:hint="eastAsia" w:ascii="宋体" w:hAnsi="宋体" w:eastAsia="宋体" w:cs="宋体"/>
          <w:color w:val="auto"/>
          <w:sz w:val="21"/>
          <w:szCs w:val="21"/>
          <w:highlight w:val="none"/>
          <w:lang w:eastAsia="zh-CN"/>
        </w:rPr>
        <w:t>及定标</w:t>
      </w:r>
      <w:r>
        <w:rPr>
          <w:rFonts w:hint="eastAsia" w:ascii="宋体" w:hAnsi="宋体" w:eastAsia="宋体" w:cs="宋体"/>
          <w:color w:val="auto"/>
          <w:sz w:val="21"/>
          <w:szCs w:val="21"/>
          <w:highlight w:val="none"/>
        </w:rPr>
        <w:t>办法”没有规定的方法、评审因素和标准，不作为评标依据</w:t>
      </w:r>
      <w:r>
        <w:rPr>
          <w:rFonts w:hint="eastAsia" w:ascii="宋体" w:hAnsi="宋体" w:eastAsia="宋体" w:cs="宋体"/>
          <w:color w:val="auto"/>
          <w:sz w:val="21"/>
          <w:szCs w:val="21"/>
          <w:highlight w:val="none"/>
          <w:lang w:eastAsia="zh-CN"/>
        </w:rPr>
        <w:t>。</w:t>
      </w:r>
    </w:p>
    <w:p w14:paraId="0709D9DA">
      <w:pPr>
        <w:spacing w:line="360" w:lineRule="auto"/>
        <w:ind w:firstLine="420" w:firstLineChars="200"/>
        <w:rPr>
          <w:rFonts w:hint="eastAsia" w:ascii="宋体" w:hAnsi="宋体" w:eastAsia="宋体" w:cs="宋体"/>
          <w:b/>
          <w:bCs w:val="0"/>
          <w:color w:val="auto"/>
          <w:szCs w:val="21"/>
          <w:highlight w:val="none"/>
          <w:u w:val="none"/>
        </w:rPr>
      </w:pPr>
      <w:r>
        <w:rPr>
          <w:rFonts w:hint="eastAsia" w:ascii="宋体" w:hAnsi="宋体" w:eastAsia="宋体" w:cs="宋体"/>
          <w:color w:val="auto"/>
          <w:sz w:val="21"/>
          <w:szCs w:val="21"/>
          <w:highlight w:val="none"/>
          <w:lang w:val="en-US" w:eastAsia="zh-CN"/>
        </w:rPr>
        <w:t>37.6评标结束后，评标委员会递交评标报告并依法推荐中标候选人。</w:t>
      </w:r>
    </w:p>
    <w:p w14:paraId="68BE534D">
      <w:pPr>
        <w:snapToGrid w:val="0"/>
        <w:spacing w:line="360" w:lineRule="auto"/>
        <w:ind w:firstLine="422" w:firstLineChars="200"/>
        <w:rPr>
          <w:rFonts w:hint="eastAsia" w:ascii="宋体" w:hAnsi="宋体" w:eastAsia="宋体" w:cs="宋体"/>
          <w:b/>
          <w:bCs/>
          <w:color w:val="auto"/>
          <w:sz w:val="21"/>
          <w:szCs w:val="20"/>
          <w:highlight w:val="none"/>
          <w:lang w:val="en-US" w:eastAsia="zh-CN"/>
        </w:rPr>
      </w:pPr>
      <w:r>
        <w:rPr>
          <w:rFonts w:hint="eastAsia" w:ascii="宋体" w:hAnsi="宋体" w:eastAsia="宋体" w:cs="宋体"/>
          <w:b/>
          <w:bCs/>
          <w:color w:val="auto"/>
          <w:sz w:val="21"/>
          <w:szCs w:val="20"/>
          <w:highlight w:val="none"/>
          <w:lang w:val="en-US" w:eastAsia="zh-CN"/>
        </w:rPr>
        <w:t>现文：37．评标</w:t>
      </w:r>
    </w:p>
    <w:p w14:paraId="5DF78129">
      <w:pPr>
        <w:snapToGrid w:val="0"/>
        <w:spacing w:line="360" w:lineRule="auto"/>
        <w:ind w:firstLine="420" w:firstLineChars="20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37.1评标由招标人依法组建的评标委员会负责。评标委员会由有关技术、经济等方面的专家和招标人代表组成，专家从广东省综合评标评审专家库中抽取或按远程异地评标专家抽取相关规定组建。评标委员会成员人数以及技术、经济等方面专家的确定方式见投标人须知前附表第30项。</w:t>
      </w:r>
    </w:p>
    <w:p w14:paraId="59A8A9FB">
      <w:pPr>
        <w:snapToGrid w:val="0"/>
        <w:spacing w:line="360" w:lineRule="auto"/>
        <w:ind w:firstLine="420" w:firstLineChars="200"/>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lang w:val="en-US" w:eastAsia="zh-CN"/>
        </w:rPr>
        <w:t>37.2</w:t>
      </w:r>
      <w:r>
        <w:rPr>
          <w:rFonts w:hint="eastAsia" w:ascii="宋体" w:hAnsi="宋体" w:eastAsia="宋体" w:cs="宋体"/>
          <w:color w:val="auto"/>
          <w:sz w:val="21"/>
          <w:szCs w:val="20"/>
          <w:highlight w:val="none"/>
        </w:rPr>
        <w:t>评标委员会成员有下列情形之一的，应当回避：</w:t>
      </w:r>
    </w:p>
    <w:p w14:paraId="0005E36A">
      <w:pPr>
        <w:snapToGrid w:val="0"/>
        <w:spacing w:line="360" w:lineRule="auto"/>
        <w:ind w:firstLine="420" w:firstLineChars="200"/>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rPr>
        <w:t>（1）招标人或投标人的主要负责人的近亲属；</w:t>
      </w:r>
    </w:p>
    <w:p w14:paraId="5F19D778">
      <w:pPr>
        <w:snapToGrid w:val="0"/>
        <w:spacing w:line="360" w:lineRule="auto"/>
        <w:ind w:firstLine="420" w:firstLineChars="200"/>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rPr>
        <w:t>（2）项目主管部门或者行政监督部门的人员；</w:t>
      </w:r>
    </w:p>
    <w:p w14:paraId="6B635997">
      <w:pPr>
        <w:snapToGrid w:val="0"/>
        <w:spacing w:line="360" w:lineRule="auto"/>
        <w:ind w:firstLine="420" w:firstLineChars="200"/>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lang w:eastAsia="zh-CN"/>
        </w:rPr>
        <w:t>（</w:t>
      </w:r>
      <w:r>
        <w:rPr>
          <w:rFonts w:hint="eastAsia" w:ascii="宋体" w:hAnsi="宋体" w:eastAsia="宋体" w:cs="宋体"/>
          <w:color w:val="auto"/>
          <w:sz w:val="21"/>
          <w:szCs w:val="20"/>
          <w:highlight w:val="none"/>
          <w:lang w:val="en-US" w:eastAsia="zh-CN"/>
        </w:rPr>
        <w:t>3</w:t>
      </w:r>
      <w:r>
        <w:rPr>
          <w:rFonts w:hint="eastAsia" w:ascii="宋体" w:hAnsi="宋体" w:eastAsia="宋体" w:cs="宋体"/>
          <w:color w:val="auto"/>
          <w:sz w:val="21"/>
          <w:szCs w:val="20"/>
          <w:highlight w:val="none"/>
          <w:lang w:eastAsia="zh-CN"/>
        </w:rPr>
        <w:t>）</w:t>
      </w:r>
      <w:r>
        <w:rPr>
          <w:rFonts w:hint="eastAsia" w:ascii="宋体" w:hAnsi="宋体" w:eastAsia="宋体" w:cs="宋体"/>
          <w:color w:val="auto"/>
          <w:sz w:val="21"/>
          <w:szCs w:val="20"/>
          <w:highlight w:val="none"/>
        </w:rPr>
        <w:t>招标人</w:t>
      </w:r>
      <w:r>
        <w:rPr>
          <w:rFonts w:hint="eastAsia" w:ascii="宋体" w:hAnsi="宋体" w:eastAsia="宋体" w:cs="宋体"/>
          <w:color w:val="auto"/>
          <w:sz w:val="21"/>
          <w:szCs w:val="20"/>
          <w:highlight w:val="none"/>
          <w:lang w:val="en-US" w:eastAsia="zh-CN"/>
        </w:rPr>
        <w:t>或</w:t>
      </w:r>
      <w:r>
        <w:rPr>
          <w:rFonts w:hint="eastAsia" w:ascii="宋体" w:hAnsi="宋体" w:eastAsia="宋体" w:cs="宋体"/>
          <w:color w:val="auto"/>
          <w:sz w:val="21"/>
          <w:szCs w:val="20"/>
          <w:highlight w:val="none"/>
        </w:rPr>
        <w:t>投标人的工作人员、退休或离职未满3年的人员；</w:t>
      </w:r>
    </w:p>
    <w:p w14:paraId="3AE5130E">
      <w:pPr>
        <w:snapToGrid w:val="0"/>
        <w:spacing w:line="360" w:lineRule="auto"/>
        <w:ind w:firstLine="420" w:firstLineChars="200"/>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rPr>
        <w:t>（</w:t>
      </w:r>
      <w:r>
        <w:rPr>
          <w:rFonts w:hint="eastAsia" w:ascii="宋体" w:hAnsi="宋体" w:eastAsia="宋体" w:cs="宋体"/>
          <w:color w:val="auto"/>
          <w:sz w:val="21"/>
          <w:szCs w:val="20"/>
          <w:highlight w:val="none"/>
          <w:lang w:val="en-US" w:eastAsia="zh-CN"/>
        </w:rPr>
        <w:t>4</w:t>
      </w:r>
      <w:r>
        <w:rPr>
          <w:rFonts w:hint="eastAsia" w:ascii="宋体" w:hAnsi="宋体" w:eastAsia="宋体" w:cs="宋体"/>
          <w:color w:val="auto"/>
          <w:sz w:val="21"/>
          <w:szCs w:val="20"/>
          <w:highlight w:val="none"/>
        </w:rPr>
        <w:t>）与投标人有经济利益关系，可能影响对投标公正评审的；</w:t>
      </w:r>
    </w:p>
    <w:p w14:paraId="4CAB25FF">
      <w:pPr>
        <w:snapToGrid w:val="0"/>
        <w:spacing w:line="360" w:lineRule="auto"/>
        <w:ind w:firstLine="420" w:firstLineChars="200"/>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rPr>
        <w:t>（</w:t>
      </w:r>
      <w:r>
        <w:rPr>
          <w:rFonts w:hint="eastAsia" w:ascii="宋体" w:hAnsi="宋体" w:eastAsia="宋体" w:cs="宋体"/>
          <w:color w:val="auto"/>
          <w:sz w:val="21"/>
          <w:szCs w:val="20"/>
          <w:highlight w:val="none"/>
          <w:lang w:val="en-US" w:eastAsia="zh-CN"/>
        </w:rPr>
        <w:t>5</w:t>
      </w:r>
      <w:r>
        <w:rPr>
          <w:rFonts w:hint="eastAsia" w:ascii="宋体" w:hAnsi="宋体" w:eastAsia="宋体" w:cs="宋体"/>
          <w:color w:val="auto"/>
          <w:sz w:val="21"/>
          <w:szCs w:val="20"/>
          <w:highlight w:val="none"/>
        </w:rPr>
        <w:t>）曾因在招标、评标以及其他与招标投标有关活动中从事违法行为而受过行政处罚或刑事处罚的。</w:t>
      </w:r>
    </w:p>
    <w:p w14:paraId="5A73B5FB">
      <w:pPr>
        <w:spacing w:line="360" w:lineRule="auto"/>
        <w:ind w:firstLine="420" w:firstLineChars="200"/>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rPr>
        <w:t>（</w:t>
      </w:r>
      <w:r>
        <w:rPr>
          <w:rFonts w:hint="eastAsia" w:ascii="宋体" w:hAnsi="宋体" w:eastAsia="宋体" w:cs="宋体"/>
          <w:color w:val="auto"/>
          <w:sz w:val="21"/>
          <w:szCs w:val="20"/>
          <w:highlight w:val="none"/>
          <w:lang w:val="en-US" w:eastAsia="zh-CN"/>
        </w:rPr>
        <w:t>6</w:t>
      </w:r>
      <w:r>
        <w:rPr>
          <w:rFonts w:hint="eastAsia" w:ascii="宋体" w:hAnsi="宋体" w:eastAsia="宋体" w:cs="宋体"/>
          <w:color w:val="auto"/>
          <w:sz w:val="21"/>
          <w:szCs w:val="20"/>
          <w:highlight w:val="none"/>
        </w:rPr>
        <w:t>）与投标人有其他利害关系。</w:t>
      </w:r>
    </w:p>
    <w:p w14:paraId="4EA7C6E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bCs/>
          <w:color w:val="auto"/>
          <w:szCs w:val="21"/>
          <w:highlight w:val="none"/>
          <w:u w:val="single"/>
          <w:lang w:val="en-US" w:eastAsia="zh-CN"/>
        </w:rPr>
        <w:t>评标委员会在开始评标前，应了解评标专家的职责及守则，认真阅读招标公告附件</w:t>
      </w:r>
      <w:r>
        <w:rPr>
          <w:rFonts w:hint="eastAsia" w:ascii="宋体" w:hAnsi="宋体" w:cs="宋体"/>
          <w:bCs/>
          <w:color w:val="auto"/>
          <w:szCs w:val="21"/>
          <w:highlight w:val="none"/>
          <w:u w:val="single"/>
          <w:lang w:val="en-US" w:eastAsia="zh-CN"/>
        </w:rPr>
        <w:t>二</w:t>
      </w:r>
      <w:r>
        <w:rPr>
          <w:rFonts w:hint="eastAsia" w:ascii="宋体" w:hAnsi="宋体" w:eastAsia="宋体" w:cs="宋体"/>
          <w:bCs/>
          <w:color w:val="auto"/>
          <w:szCs w:val="21"/>
          <w:highlight w:val="none"/>
          <w:u w:val="single"/>
          <w:lang w:val="en-US" w:eastAsia="zh-CN"/>
        </w:rPr>
        <w:t>《评标委员会成员声明》的内容并签名，签字后方可进行评标。</w:t>
      </w:r>
      <w:r>
        <w:rPr>
          <w:rFonts w:hint="eastAsia" w:ascii="宋体" w:hAnsi="宋体" w:eastAsia="宋体" w:cs="宋体"/>
          <w:color w:val="auto"/>
          <w:sz w:val="21"/>
          <w:szCs w:val="21"/>
          <w:highlight w:val="none"/>
        </w:rPr>
        <w:t>评标委员会的职责及守则：</w:t>
      </w:r>
    </w:p>
    <w:p w14:paraId="2F4551C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.1根据评标细则，对</w:t>
      </w:r>
      <w:r>
        <w:rPr>
          <w:rFonts w:hint="eastAsia" w:ascii="宋体" w:hAnsi="宋体" w:eastAsia="宋体" w:cs="宋体"/>
          <w:color w:val="auto"/>
          <w:sz w:val="21"/>
          <w:szCs w:val="20"/>
          <w:highlight w:val="none"/>
        </w:rPr>
        <w:t>投标文件</w:t>
      </w:r>
      <w:r>
        <w:rPr>
          <w:rFonts w:hint="eastAsia" w:ascii="宋体" w:hAnsi="宋体" w:eastAsia="宋体" w:cs="宋体"/>
          <w:color w:val="auto"/>
          <w:sz w:val="21"/>
          <w:szCs w:val="21"/>
          <w:highlight w:val="none"/>
        </w:rPr>
        <w:t>进行认真评审，完成评审报告；</w:t>
      </w:r>
    </w:p>
    <w:p w14:paraId="30080E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.2向招标人报告评审意见，</w:t>
      </w:r>
      <w:r>
        <w:rPr>
          <w:rFonts w:hint="eastAsia" w:ascii="宋体" w:hAnsi="宋体" w:eastAsia="宋体" w:cs="宋体"/>
          <w:color w:val="auto"/>
          <w:sz w:val="21"/>
          <w:szCs w:val="21"/>
          <w:highlight w:val="none"/>
          <w:u w:val="single"/>
        </w:rPr>
        <w:t>推荐进入定标阶段的合格中标候选人，并递交资格审查报告和评标报告</w:t>
      </w:r>
      <w:r>
        <w:rPr>
          <w:rFonts w:hint="eastAsia" w:ascii="宋体" w:hAnsi="宋体" w:eastAsia="宋体" w:cs="宋体"/>
          <w:color w:val="auto"/>
          <w:sz w:val="21"/>
          <w:szCs w:val="21"/>
          <w:highlight w:val="none"/>
        </w:rPr>
        <w:t>。</w:t>
      </w:r>
    </w:p>
    <w:p w14:paraId="3D63BA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37.</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.3</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5487206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.4全体参与评标人员：</w:t>
      </w:r>
    </w:p>
    <w:p w14:paraId="25CD6AD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.4.1 必须遵守评标纪律、不得泄密；</w:t>
      </w:r>
    </w:p>
    <w:p w14:paraId="3A9C648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.4.2 必须公正、不得循私；</w:t>
      </w:r>
    </w:p>
    <w:p w14:paraId="3705854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.4.3 必须科学、不得草率；</w:t>
      </w:r>
    </w:p>
    <w:p w14:paraId="6BAD8C9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.4.4 必须客观、不得带有成见；</w:t>
      </w:r>
    </w:p>
    <w:p w14:paraId="19BAD9D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.4.5 必须平等、不得强加于人；</w:t>
      </w:r>
    </w:p>
    <w:p w14:paraId="79D3EAF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.4.6 必须严谨、不得随意马虎。</w:t>
      </w:r>
    </w:p>
    <w:p w14:paraId="05F1B97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3B3FA37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37.5</w:t>
      </w:r>
      <w:r>
        <w:rPr>
          <w:rFonts w:hint="eastAsia" w:ascii="宋体" w:hAnsi="宋体" w:eastAsia="宋体" w:cs="宋体"/>
          <w:color w:val="auto"/>
          <w:sz w:val="21"/>
          <w:szCs w:val="21"/>
          <w:highlight w:val="none"/>
        </w:rPr>
        <w:t>评标委员会按照第</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评标</w:t>
      </w:r>
      <w:r>
        <w:rPr>
          <w:rFonts w:hint="eastAsia" w:ascii="宋体" w:hAnsi="宋体" w:eastAsia="宋体" w:cs="宋体"/>
          <w:color w:val="auto"/>
          <w:sz w:val="21"/>
          <w:szCs w:val="21"/>
          <w:highlight w:val="none"/>
          <w:lang w:eastAsia="zh-CN"/>
        </w:rPr>
        <w:t>及定标</w:t>
      </w:r>
      <w:r>
        <w:rPr>
          <w:rFonts w:hint="eastAsia" w:ascii="宋体" w:hAnsi="宋体" w:eastAsia="宋体" w:cs="宋体"/>
          <w:color w:val="auto"/>
          <w:sz w:val="21"/>
          <w:szCs w:val="21"/>
          <w:highlight w:val="none"/>
        </w:rPr>
        <w:t>办法”规定的方法、评审因素、标准和程序对投标文件进行评审。第三章“</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评标</w:t>
      </w:r>
      <w:r>
        <w:rPr>
          <w:rFonts w:hint="eastAsia" w:ascii="宋体" w:hAnsi="宋体" w:eastAsia="宋体" w:cs="宋体"/>
          <w:color w:val="auto"/>
          <w:sz w:val="21"/>
          <w:szCs w:val="21"/>
          <w:highlight w:val="none"/>
          <w:lang w:eastAsia="zh-CN"/>
        </w:rPr>
        <w:t>及定标</w:t>
      </w:r>
      <w:r>
        <w:rPr>
          <w:rFonts w:hint="eastAsia" w:ascii="宋体" w:hAnsi="宋体" w:eastAsia="宋体" w:cs="宋体"/>
          <w:color w:val="auto"/>
          <w:sz w:val="21"/>
          <w:szCs w:val="21"/>
          <w:highlight w:val="none"/>
        </w:rPr>
        <w:t>办法”没有规定的方法、评审因素和标准，不作为评标依据</w:t>
      </w:r>
      <w:r>
        <w:rPr>
          <w:rFonts w:hint="eastAsia" w:ascii="宋体" w:hAnsi="宋体" w:eastAsia="宋体" w:cs="宋体"/>
          <w:color w:val="auto"/>
          <w:sz w:val="21"/>
          <w:szCs w:val="21"/>
          <w:highlight w:val="none"/>
          <w:lang w:eastAsia="zh-CN"/>
        </w:rPr>
        <w:t>。</w:t>
      </w:r>
    </w:p>
    <w:p w14:paraId="3C0F3111">
      <w:pPr>
        <w:pBdr>
          <w:bottom w:val="single" w:color="auto" w:sz="4" w:space="0"/>
        </w:pBd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37.6评标结束后，评标委员会</w:t>
      </w:r>
      <w:r>
        <w:rPr>
          <w:rFonts w:hint="eastAsia" w:ascii="宋体" w:hAnsi="宋体" w:eastAsia="宋体" w:cs="宋体"/>
          <w:color w:val="auto"/>
          <w:sz w:val="21"/>
          <w:szCs w:val="21"/>
          <w:highlight w:val="none"/>
          <w:u w:val="single"/>
        </w:rPr>
        <w:t>推荐进入定标阶段的合格中标候选人，并递交资格审查报告和评标报告</w:t>
      </w:r>
      <w:r>
        <w:rPr>
          <w:rFonts w:hint="eastAsia" w:ascii="宋体" w:hAnsi="宋体" w:eastAsia="宋体" w:cs="宋体"/>
          <w:color w:val="auto"/>
          <w:sz w:val="21"/>
          <w:szCs w:val="21"/>
          <w:highlight w:val="none"/>
          <w:lang w:val="en-US" w:eastAsia="zh-CN"/>
        </w:rPr>
        <w:t>。</w:t>
      </w:r>
    </w:p>
    <w:p w14:paraId="4B9E0809">
      <w:pPr>
        <w:pStyle w:val="35"/>
        <w:spacing w:after="0"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条款号：38.1        修改类型：修改</w:t>
      </w:r>
    </w:p>
    <w:p w14:paraId="660CA2BE">
      <w:pPr>
        <w:spacing w:line="360" w:lineRule="auto"/>
        <w:ind w:firstLine="413" w:firstLineChars="196"/>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
          <w:bCs/>
          <w:color w:val="auto"/>
          <w:szCs w:val="21"/>
          <w:highlight w:val="none"/>
        </w:rPr>
        <w:t>38.1</w:t>
      </w:r>
      <w:r>
        <w:rPr>
          <w:rFonts w:hint="eastAsia" w:ascii="宋体" w:hAnsi="宋体" w:eastAsia="宋体" w:cs="宋体"/>
          <w:color w:val="auto"/>
          <w:szCs w:val="21"/>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宋体" w:hAnsi="宋体" w:eastAsia="宋体" w:cs="宋体"/>
          <w:color w:val="auto"/>
          <w:szCs w:val="21"/>
          <w:highlight w:val="none"/>
          <w:lang w:eastAsia="zh-CN"/>
        </w:rPr>
        <w:t>、对同类问题表述不一致，有明显</w:t>
      </w:r>
      <w:r>
        <w:rPr>
          <w:rFonts w:hint="eastAsia" w:ascii="宋体" w:hAnsi="宋体" w:eastAsia="宋体" w:cs="宋体"/>
          <w:color w:val="auto"/>
          <w:szCs w:val="21"/>
          <w:highlight w:val="none"/>
          <w:lang w:val="en-US" w:eastAsia="zh-CN"/>
        </w:rPr>
        <w:t>格式或</w:t>
      </w:r>
      <w:r>
        <w:rPr>
          <w:rFonts w:hint="eastAsia" w:ascii="宋体" w:hAnsi="宋体" w:eastAsia="宋体" w:cs="宋体"/>
          <w:color w:val="auto"/>
          <w:szCs w:val="21"/>
          <w:highlight w:val="none"/>
          <w:lang w:eastAsia="zh-CN"/>
        </w:rPr>
        <w:t>文字、计算错误</w:t>
      </w:r>
      <w:r>
        <w:rPr>
          <w:rFonts w:hint="eastAsia" w:ascii="宋体" w:hAnsi="宋体" w:eastAsia="宋体" w:cs="宋体"/>
          <w:color w:val="auto"/>
          <w:szCs w:val="21"/>
          <w:highlight w:val="none"/>
        </w:rPr>
        <w:t>的内容作出澄清。</w:t>
      </w:r>
    </w:p>
    <w:p w14:paraId="5C0D6FC6">
      <w:pPr>
        <w:pBdr>
          <w:bottom w:val="single" w:color="auto" w:sz="6" w:space="1"/>
        </w:pBdr>
        <w:spacing w:line="360" w:lineRule="auto"/>
        <w:ind w:firstLine="413" w:firstLineChars="196"/>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b/>
          <w:bCs/>
          <w:color w:val="auto"/>
          <w:szCs w:val="21"/>
          <w:highlight w:val="none"/>
        </w:rPr>
        <w:t>38.1</w:t>
      </w:r>
      <w:r>
        <w:rPr>
          <w:rFonts w:hint="eastAsia" w:ascii="宋体" w:hAnsi="宋体" w:eastAsia="宋体" w:cs="宋体"/>
          <w:bCs/>
          <w:color w:val="auto"/>
          <w:szCs w:val="21"/>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w:t>
      </w:r>
      <w:r>
        <w:rPr>
          <w:rFonts w:hint="eastAsia" w:ascii="宋体" w:hAnsi="宋体" w:eastAsia="宋体" w:cs="宋体"/>
          <w:bCs/>
          <w:color w:val="auto"/>
          <w:szCs w:val="21"/>
          <w:highlight w:val="none"/>
          <w:u w:val="single"/>
        </w:rPr>
        <w:t>对投标文件含义不明确、对同类问题表述不一致、有明显文字和计算错误的内容以及细微偏差的内容作出澄清。</w:t>
      </w:r>
    </w:p>
    <w:p w14:paraId="0C56CCD0">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r>
        <w:rPr>
          <w:rFonts w:hint="eastAsia" w:ascii="宋体" w:hAnsi="宋体" w:eastAsia="宋体" w:cs="宋体"/>
          <w:b/>
          <w:color w:val="auto"/>
          <w:sz w:val="21"/>
          <w:szCs w:val="21"/>
          <w:highlight w:val="none"/>
        </w:rPr>
        <w:t>39</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 xml:space="preserve">  </w:t>
      </w:r>
      <w:r>
        <w:rPr>
          <w:rFonts w:hint="eastAsia" w:ascii="宋体" w:hAnsi="宋体" w:eastAsia="宋体" w:cs="宋体"/>
          <w:b/>
          <w:bCs/>
          <w:color w:val="auto"/>
          <w:sz w:val="21"/>
          <w:szCs w:val="21"/>
          <w:highlight w:val="none"/>
        </w:rPr>
        <w:t xml:space="preserve">            修改类型：修改</w:t>
      </w:r>
    </w:p>
    <w:p w14:paraId="58FD205C">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原文：39．定标</w:t>
      </w:r>
    </w:p>
    <w:p w14:paraId="4CA5B859">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39.1</w:t>
      </w:r>
      <w:r>
        <w:rPr>
          <w:rFonts w:hint="eastAsia" w:ascii="宋体" w:hAnsi="宋体" w:eastAsia="宋体" w:cs="宋体"/>
          <w:color w:val="auto"/>
          <w:sz w:val="21"/>
          <w:szCs w:val="21"/>
          <w:highlight w:val="none"/>
        </w:rPr>
        <w:t>招标人根据评标委员会递交的评标报告，最终审定中标人。</w:t>
      </w:r>
    </w:p>
    <w:p w14:paraId="42503A5F">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39.2</w:t>
      </w:r>
      <w:r>
        <w:rPr>
          <w:rFonts w:hint="eastAsia" w:ascii="宋体" w:hAnsi="宋体" w:eastAsia="宋体" w:cs="宋体"/>
          <w:color w:val="auto"/>
          <w:sz w:val="21"/>
          <w:szCs w:val="21"/>
          <w:highlight w:val="none"/>
        </w:rPr>
        <w:t>依法必须进行公开招标的项目，招标人应当确定排名第一的中标候选人为中标人</w:t>
      </w:r>
      <w:r>
        <w:rPr>
          <w:rFonts w:hint="eastAsia" w:ascii="宋体" w:hAnsi="宋体" w:eastAsia="宋体" w:cs="宋体"/>
          <w:color w:val="auto"/>
          <w:sz w:val="21"/>
          <w:szCs w:val="21"/>
          <w:highlight w:val="none"/>
          <w:lang w:eastAsia="zh-CN"/>
        </w:rPr>
        <w:t>。采用评定分离方式确定中标人的从其规定。若发现委派的项目负责人已在其他在建项目中任职，不符合任职数量规定时，招标人可以确定排名第二的中标候选人为中标人</w:t>
      </w:r>
      <w:r>
        <w:rPr>
          <w:rFonts w:hint="eastAsia" w:ascii="宋体" w:hAnsi="宋体" w:eastAsia="宋体" w:cs="宋体"/>
          <w:color w:val="auto"/>
          <w:sz w:val="21"/>
          <w:szCs w:val="21"/>
          <w:highlight w:val="none"/>
        </w:rPr>
        <w:t>。</w:t>
      </w:r>
    </w:p>
    <w:p w14:paraId="00D279BD">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39.3</w:t>
      </w:r>
      <w:r>
        <w:rPr>
          <w:rFonts w:hint="eastAsia" w:ascii="宋体" w:hAnsi="宋体" w:eastAsia="宋体" w:cs="宋体"/>
          <w:color w:val="auto"/>
          <w:sz w:val="21"/>
          <w:szCs w:val="21"/>
          <w:highlight w:val="none"/>
        </w:rPr>
        <w:t>排名第一的中标候选人放弃中标、或因不可抗力提出不能履行合同，或者招标文件规定应当提交履约担保而在规定的期限内未能提交的，</w:t>
      </w:r>
      <w:r>
        <w:rPr>
          <w:rFonts w:hint="eastAsia" w:ascii="宋体" w:hAnsi="宋体" w:eastAsia="宋体" w:cs="宋体"/>
          <w:color w:val="auto"/>
          <w:sz w:val="21"/>
          <w:szCs w:val="21"/>
          <w:highlight w:val="none"/>
          <w:lang w:eastAsia="zh-CN"/>
        </w:rPr>
        <w:t>或经核查发现委派的项目负责人已在其他在建项目中任职，不符合任职数量规定时，</w:t>
      </w:r>
      <w:r>
        <w:rPr>
          <w:rFonts w:hint="eastAsia" w:ascii="宋体" w:hAnsi="宋体" w:eastAsia="宋体" w:cs="宋体"/>
          <w:color w:val="auto"/>
          <w:sz w:val="21"/>
          <w:szCs w:val="21"/>
          <w:highlight w:val="none"/>
        </w:rPr>
        <w:t>招标人可以确定排名第二的中标候选人为中标人。</w:t>
      </w:r>
    </w:p>
    <w:p w14:paraId="714F8047">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39.4</w:t>
      </w:r>
      <w:r>
        <w:rPr>
          <w:rFonts w:hint="eastAsia" w:ascii="宋体" w:hAnsi="宋体" w:eastAsia="宋体" w:cs="宋体"/>
          <w:color w:val="auto"/>
          <w:sz w:val="21"/>
          <w:szCs w:val="21"/>
          <w:highlight w:val="none"/>
        </w:rPr>
        <w:t>排名第二的中标候选人出现前款所列的情形的，招标人可以确定排名第三的中标候选人为中标人。以此类推，如所有中标候选人均出现前款所列的情形，为招标失败，招标人</w:t>
      </w:r>
      <w:r>
        <w:rPr>
          <w:rFonts w:hint="eastAsia" w:ascii="宋体" w:hAnsi="宋体" w:eastAsia="宋体" w:cs="宋体"/>
          <w:color w:val="auto"/>
          <w:sz w:val="21"/>
          <w:szCs w:val="21"/>
          <w:highlight w:val="none"/>
          <w:lang w:eastAsia="zh-CN"/>
        </w:rPr>
        <w:t>依法重新招标</w:t>
      </w:r>
      <w:r>
        <w:rPr>
          <w:rFonts w:hint="eastAsia" w:ascii="宋体" w:hAnsi="宋体" w:eastAsia="宋体" w:cs="宋体"/>
          <w:color w:val="auto"/>
          <w:sz w:val="21"/>
          <w:szCs w:val="21"/>
          <w:highlight w:val="none"/>
        </w:rPr>
        <w:t>。</w:t>
      </w:r>
    </w:p>
    <w:p w14:paraId="6E6B7AB9">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39.5</w:t>
      </w:r>
      <w:r>
        <w:rPr>
          <w:rFonts w:hint="eastAsia" w:ascii="宋体" w:hAnsi="宋体" w:eastAsia="宋体" w:cs="宋体"/>
          <w:color w:val="auto"/>
          <w:sz w:val="21"/>
          <w:szCs w:val="21"/>
          <w:highlight w:val="none"/>
        </w:rPr>
        <w:t>重新评标的，评标信息（含业绩、奖项等）仍以投标截止时投标人的信息为准。因特殊原因需要延长投标有效期，投标人拒绝延长投标有效期的，仍参与评标，但不被推荐为中标候选人。</w:t>
      </w:r>
    </w:p>
    <w:p w14:paraId="720CABD3">
      <w:pPr>
        <w:keepNext w:val="0"/>
        <w:keepLines w:val="0"/>
        <w:pageBreakBefore w:val="0"/>
        <w:kinsoku/>
        <w:wordWrap/>
        <w:overflowPunct/>
        <w:topLinePunct w:val="0"/>
        <w:autoSpaceDE/>
        <w:autoSpaceDN/>
        <w:bidi w:val="0"/>
        <w:spacing w:line="360" w:lineRule="auto"/>
        <w:ind w:firstLine="422" w:firstLineChars="200"/>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39.6</w:t>
      </w:r>
      <w:r>
        <w:rPr>
          <w:rFonts w:hint="eastAsia" w:ascii="宋体" w:hAnsi="宋体" w:eastAsia="宋体" w:cs="宋体"/>
          <w:b w:val="0"/>
          <w:bCs w:val="0"/>
          <w:color w:val="auto"/>
          <w:sz w:val="21"/>
          <w:szCs w:val="21"/>
          <w:highlight w:val="none"/>
        </w:rPr>
        <w:t>有效投标不足3个的，评标委员会应当对投标是否明显缺乏竞争和是否需要否决全部投标进行充分论证，并在评标报告中记载论证过程和结果。</w:t>
      </w:r>
    </w:p>
    <w:p w14:paraId="42D61903">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注：</w:t>
      </w:r>
      <w:r>
        <w:rPr>
          <w:rFonts w:hint="eastAsia" w:ascii="宋体" w:hAnsi="宋体" w:eastAsia="宋体" w:cs="宋体"/>
          <w:color w:val="auto"/>
          <w:sz w:val="21"/>
          <w:szCs w:val="21"/>
          <w:highlight w:val="none"/>
          <w:lang w:val="en-US" w:eastAsia="zh-CN"/>
        </w:rPr>
        <w:t>采用评定分离方式的，招标人应在招标文件中明确定标方式。</w:t>
      </w:r>
    </w:p>
    <w:p w14:paraId="3C1E4771">
      <w:pPr>
        <w:keepNext w:val="0"/>
        <w:keepLines w:val="0"/>
        <w:pageBreakBefore w:val="0"/>
        <w:pBdr>
          <w:bottom w:val="single" w:color="auto" w:sz="6" w:space="1"/>
        </w:pBdr>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bCs/>
          <w:color w:val="auto"/>
          <w:sz w:val="21"/>
          <w:szCs w:val="21"/>
          <w:highlight w:val="none"/>
        </w:rPr>
        <w:t>现文：39.</w:t>
      </w:r>
      <w:r>
        <w:rPr>
          <w:rFonts w:hint="eastAsia" w:ascii="宋体" w:hAnsi="宋体" w:eastAsia="宋体" w:cs="宋体"/>
          <w:color w:val="auto"/>
          <w:sz w:val="21"/>
          <w:szCs w:val="21"/>
          <w:highlight w:val="none"/>
          <w:u w:val="single"/>
        </w:rPr>
        <w:t>定标详细规定条款详见本章第5</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条内容。</w:t>
      </w:r>
    </w:p>
    <w:p w14:paraId="2218EBB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条款号： </w:t>
      </w:r>
      <w:r>
        <w:rPr>
          <w:rFonts w:hint="eastAsia" w:ascii="宋体" w:hAnsi="宋体" w:eastAsia="宋体" w:cs="宋体"/>
          <w:b/>
          <w:color w:val="auto"/>
          <w:szCs w:val="21"/>
          <w:highlight w:val="none"/>
          <w:lang w:eastAsia="zh-CN"/>
        </w:rPr>
        <w:t>（二）</w:t>
      </w:r>
      <w:r>
        <w:rPr>
          <w:rFonts w:hint="eastAsia" w:ascii="宋体" w:hAnsi="宋体" w:eastAsia="宋体" w:cs="宋体"/>
          <w:b/>
          <w:color w:val="auto"/>
          <w:szCs w:val="21"/>
          <w:highlight w:val="none"/>
        </w:rPr>
        <w:t>开标评标办法程序和细则</w:t>
      </w: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auto"/>
          <w:szCs w:val="21"/>
          <w:highlight w:val="none"/>
        </w:rPr>
        <w:t xml:space="preserve"> 修改类型：删除</w:t>
      </w:r>
    </w:p>
    <w:p w14:paraId="4DD5EA8A">
      <w:pPr>
        <w:spacing w:line="360" w:lineRule="auto"/>
        <w:ind w:firstLine="422" w:firstLineChars="200"/>
        <w:rPr>
          <w:rFonts w:hint="eastAsia" w:ascii="宋体" w:hAnsi="宋体" w:eastAsia="宋体" w:cs="宋体"/>
          <w:b w:val="0"/>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 w:val="0"/>
          <w:bCs/>
          <w:color w:val="auto"/>
          <w:szCs w:val="21"/>
          <w:highlight w:val="none"/>
        </w:rPr>
        <w:t>可选办法一（适合综合评分法一，技术标与经济标先后分别开启）</w:t>
      </w:r>
    </w:p>
    <w:p w14:paraId="75699A80">
      <w:pPr>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可选办法二（适合综合评分法一，技术标与经济标同时开启）</w:t>
      </w:r>
    </w:p>
    <w:p w14:paraId="7341BB72">
      <w:pPr>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可选办法三（适合综合评分法二，技术标与经济标先后分别开启）</w:t>
      </w:r>
    </w:p>
    <w:p w14:paraId="0D5BA984">
      <w:pPr>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可选办法四（适合综合评分法二，技术标与经济标同时开启）</w:t>
      </w:r>
    </w:p>
    <w:p w14:paraId="3C319CB2">
      <w:pPr>
        <w:spacing w:line="360" w:lineRule="auto"/>
        <w:ind w:firstLine="470" w:firstLineChars="224"/>
        <w:rPr>
          <w:rFonts w:hint="eastAsia" w:ascii="宋体" w:hAnsi="宋体" w:eastAsia="宋体" w:cs="宋体"/>
          <w:b w:val="0"/>
          <w:bCs/>
          <w:color w:val="auto"/>
          <w:highlight w:val="none"/>
        </w:rPr>
      </w:pPr>
      <w:r>
        <w:rPr>
          <w:rFonts w:hint="eastAsia" w:ascii="宋体" w:hAnsi="宋体" w:eastAsia="宋体" w:cs="宋体"/>
          <w:b w:val="0"/>
          <w:bCs/>
          <w:color w:val="auto"/>
          <w:highlight w:val="none"/>
        </w:rPr>
        <w:t>可选办法五（适合综合评分法三，技术标与经济标先后分别开启）</w:t>
      </w:r>
    </w:p>
    <w:p w14:paraId="6A18CD08">
      <w:pPr>
        <w:pBdr>
          <w:bottom w:val="single" w:color="auto" w:sz="4" w:space="0"/>
        </w:pBdr>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可选办法六（适合综合评分法三，技术标与经济标同时开启）</w:t>
      </w:r>
    </w:p>
    <w:p w14:paraId="40E38EAD">
      <w:pPr>
        <w:pBdr>
          <w:bottom w:val="single" w:color="auto" w:sz="4" w:space="0"/>
        </w:pBdr>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可选办法八（适合经评审的最低投标价法，技术标与经济标同时开启）</w:t>
      </w:r>
    </w:p>
    <w:p w14:paraId="72EA6158">
      <w:pPr>
        <w:pBdr>
          <w:bottom w:val="single" w:color="auto" w:sz="4" w:space="0"/>
        </w:pBdr>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eastAsia="zh-CN"/>
        </w:rPr>
        <w:t>可选办法九（适用于规模较小的一般项目）</w:t>
      </w:r>
    </w:p>
    <w:p w14:paraId="09F397BB">
      <w:pPr>
        <w:spacing w:line="360" w:lineRule="auto"/>
        <w:ind w:firstLine="517" w:firstLineChars="245"/>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条款号：可选办法、40.           修改类型：修改</w:t>
      </w:r>
    </w:p>
    <w:p w14:paraId="357ADE7F">
      <w:pPr>
        <w:snapToGrid w:val="0"/>
        <w:spacing w:line="360" w:lineRule="auto"/>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可选办法七（适合综合评分法四，技术标与经济标同时开启）</w:t>
      </w:r>
    </w:p>
    <w:p w14:paraId="40A06DCC">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开标和评标程序</w:t>
      </w:r>
    </w:p>
    <w:p w14:paraId="04207C46">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40.1投标人递交技术标、经济标投标文件；</w:t>
      </w:r>
    </w:p>
    <w:p w14:paraId="039CCD9C">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40.2技术标（含资格审查文件）与经济标投标文件同时公开开标；</w:t>
      </w:r>
    </w:p>
    <w:p w14:paraId="31D7DAFF">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40.3由招标人随机抽取确定该工程计算评标参考价的等分点值X（适用于区间抽取法）；</w:t>
      </w:r>
    </w:p>
    <w:p w14:paraId="4A4DC9DB">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40.4由评标委员会对所有已公开开标的投标人进行资格审查；</w:t>
      </w:r>
    </w:p>
    <w:p w14:paraId="78A4C207">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40.5技术标投标文件有效性审查；</w:t>
      </w:r>
    </w:p>
    <w:p w14:paraId="3BC47A08">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40.6技术标详细审查评分；</w:t>
      </w:r>
    </w:p>
    <w:p w14:paraId="5A01125D">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40.7经济标的算术校核；</w:t>
      </w:r>
    </w:p>
    <w:p w14:paraId="097D245A">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40.8经济标详细审查评分； </w:t>
      </w:r>
    </w:p>
    <w:p w14:paraId="4628D786">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40.9评标委员会按照投标人总得分由高至低排序；</w:t>
      </w:r>
    </w:p>
    <w:p w14:paraId="292B9679">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40.10经济标投标文件有效性审查；</w:t>
      </w:r>
    </w:p>
    <w:p w14:paraId="58C50C0F">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40.11评标委员会按排序向招标人推荐中标候选人名单，并递交资格审查报告及评标报告。</w:t>
      </w:r>
    </w:p>
    <w:p w14:paraId="1D9C08DA">
      <w:pPr>
        <w:pBdr>
          <w:bottom w:val="single" w:color="auto" w:sz="6" w:space="1"/>
        </w:pBdr>
        <w:spacing w:line="360" w:lineRule="auto"/>
        <w:ind w:firstLine="517" w:firstLineChars="245"/>
        <w:rPr>
          <w:rFonts w:hint="eastAsia" w:ascii="宋体" w:hAnsi="宋体" w:cs="宋体"/>
          <w:color w:val="auto"/>
          <w:sz w:val="21"/>
          <w:szCs w:val="21"/>
          <w:highlight w:val="none"/>
          <w:u w:val="single"/>
          <w:lang w:eastAsia="zh-CN"/>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u w:val="single"/>
          <w:lang w:eastAsia="zh-CN"/>
        </w:rPr>
        <w:t>开标、评标及定标程序</w:t>
      </w:r>
    </w:p>
    <w:p w14:paraId="40CDA98E">
      <w:pPr>
        <w:pBdr>
          <w:bottom w:val="single" w:color="auto" w:sz="6" w:space="1"/>
        </w:pBdr>
        <w:spacing w:line="360" w:lineRule="auto"/>
        <w:ind w:firstLine="514" w:firstLineChars="245"/>
        <w:rPr>
          <w:rFonts w:hint="eastAsia" w:ascii="宋体" w:hAnsi="宋体" w:cs="宋体"/>
          <w:color w:val="auto"/>
          <w:sz w:val="21"/>
          <w:szCs w:val="21"/>
          <w:highlight w:val="none"/>
          <w:u w:val="single"/>
          <w:lang w:eastAsia="zh-CN"/>
        </w:rPr>
      </w:pPr>
      <w:r>
        <w:rPr>
          <w:rFonts w:hint="eastAsia" w:ascii="宋体" w:hAnsi="宋体" w:cs="宋体"/>
          <w:color w:val="auto"/>
          <w:sz w:val="21"/>
          <w:szCs w:val="21"/>
          <w:highlight w:val="none"/>
          <w:u w:val="single"/>
          <w:lang w:eastAsia="zh-CN"/>
        </w:rPr>
        <w:t>40.1技术标投标文件（含资格审查文件）、经济标投标文件、定标文件同时公开开标；</w:t>
      </w:r>
    </w:p>
    <w:p w14:paraId="7BAED30B">
      <w:pPr>
        <w:pBdr>
          <w:bottom w:val="single" w:color="auto" w:sz="6" w:space="1"/>
        </w:pBdr>
        <w:spacing w:line="360" w:lineRule="auto"/>
        <w:ind w:firstLine="514" w:firstLineChars="245"/>
        <w:rPr>
          <w:rFonts w:hint="eastAsia" w:ascii="宋体" w:hAnsi="宋体" w:cs="宋体"/>
          <w:color w:val="auto"/>
          <w:sz w:val="21"/>
          <w:szCs w:val="21"/>
          <w:highlight w:val="none"/>
          <w:u w:val="single"/>
          <w:lang w:eastAsia="zh-CN"/>
        </w:rPr>
      </w:pPr>
      <w:r>
        <w:rPr>
          <w:rFonts w:hint="eastAsia" w:ascii="宋体" w:hAnsi="宋体" w:cs="宋体"/>
          <w:color w:val="auto"/>
          <w:sz w:val="21"/>
          <w:szCs w:val="21"/>
          <w:highlight w:val="none"/>
          <w:u w:val="single"/>
          <w:lang w:eastAsia="zh-CN"/>
        </w:rPr>
        <w:t>40.2由评标委员会对所有已公开开标的投标人进行资格审查，并编写资格审查报告；</w:t>
      </w:r>
    </w:p>
    <w:p w14:paraId="7970FE20">
      <w:pPr>
        <w:pBdr>
          <w:bottom w:val="single" w:color="auto" w:sz="6" w:space="1"/>
        </w:pBdr>
        <w:spacing w:line="360" w:lineRule="auto"/>
        <w:ind w:firstLine="514" w:firstLineChars="245"/>
        <w:rPr>
          <w:rFonts w:hint="eastAsia" w:ascii="宋体" w:hAnsi="宋体" w:cs="宋体"/>
          <w:color w:val="auto"/>
          <w:sz w:val="21"/>
          <w:szCs w:val="21"/>
          <w:highlight w:val="none"/>
          <w:u w:val="single"/>
          <w:lang w:eastAsia="zh-CN"/>
        </w:rPr>
      </w:pPr>
      <w:r>
        <w:rPr>
          <w:rFonts w:hint="eastAsia" w:ascii="宋体" w:hAnsi="宋体" w:cs="宋体"/>
          <w:color w:val="auto"/>
          <w:sz w:val="21"/>
          <w:szCs w:val="21"/>
          <w:highlight w:val="none"/>
          <w:u w:val="single"/>
          <w:lang w:eastAsia="zh-CN"/>
        </w:rPr>
        <w:t>40.3技术标投标文件有效性审查；</w:t>
      </w:r>
    </w:p>
    <w:p w14:paraId="43CB58C6">
      <w:pPr>
        <w:pBdr>
          <w:bottom w:val="single" w:color="auto" w:sz="6" w:space="1"/>
        </w:pBdr>
        <w:spacing w:line="360" w:lineRule="auto"/>
        <w:ind w:firstLine="514" w:firstLineChars="245"/>
        <w:rPr>
          <w:rFonts w:hint="eastAsia" w:ascii="宋体" w:hAnsi="宋体" w:cs="宋体"/>
          <w:color w:val="auto"/>
          <w:sz w:val="21"/>
          <w:szCs w:val="21"/>
          <w:highlight w:val="none"/>
          <w:u w:val="single"/>
          <w:lang w:eastAsia="zh-CN"/>
        </w:rPr>
      </w:pPr>
      <w:r>
        <w:rPr>
          <w:rFonts w:hint="eastAsia" w:ascii="宋体" w:hAnsi="宋体" w:cs="宋体"/>
          <w:color w:val="auto"/>
          <w:sz w:val="21"/>
          <w:szCs w:val="21"/>
          <w:highlight w:val="none"/>
          <w:u w:val="single"/>
          <w:lang w:eastAsia="zh-CN"/>
        </w:rPr>
        <w:t>40.4技术标详细审查评分；</w:t>
      </w:r>
    </w:p>
    <w:p w14:paraId="74D41781">
      <w:pPr>
        <w:pBdr>
          <w:bottom w:val="single" w:color="auto" w:sz="6" w:space="1"/>
        </w:pBdr>
        <w:spacing w:line="360" w:lineRule="auto"/>
        <w:ind w:firstLine="514" w:firstLineChars="245"/>
        <w:rPr>
          <w:rFonts w:hint="eastAsia" w:ascii="宋体" w:hAnsi="宋体" w:cs="宋体"/>
          <w:color w:val="auto"/>
          <w:sz w:val="21"/>
          <w:szCs w:val="21"/>
          <w:highlight w:val="none"/>
          <w:u w:val="single"/>
          <w:lang w:eastAsia="zh-CN"/>
        </w:rPr>
      </w:pPr>
      <w:r>
        <w:rPr>
          <w:rFonts w:hint="eastAsia" w:ascii="宋体" w:hAnsi="宋体" w:cs="宋体"/>
          <w:color w:val="auto"/>
          <w:sz w:val="21"/>
          <w:szCs w:val="21"/>
          <w:highlight w:val="none"/>
          <w:u w:val="single"/>
          <w:lang w:eastAsia="zh-CN"/>
        </w:rPr>
        <w:t>40.5评标委员会按照投标人总得分由高至低排序；</w:t>
      </w:r>
    </w:p>
    <w:p w14:paraId="3DBD77AF">
      <w:pPr>
        <w:pBdr>
          <w:bottom w:val="single" w:color="auto" w:sz="6" w:space="1"/>
        </w:pBdr>
        <w:spacing w:line="360" w:lineRule="auto"/>
        <w:ind w:firstLine="514" w:firstLineChars="245"/>
        <w:rPr>
          <w:rFonts w:hint="eastAsia" w:ascii="宋体" w:hAnsi="宋体" w:cs="宋体"/>
          <w:color w:val="auto"/>
          <w:sz w:val="21"/>
          <w:szCs w:val="21"/>
          <w:highlight w:val="none"/>
          <w:u w:val="single"/>
          <w:lang w:eastAsia="zh-CN"/>
        </w:rPr>
      </w:pPr>
      <w:r>
        <w:rPr>
          <w:rFonts w:hint="eastAsia" w:ascii="宋体" w:hAnsi="宋体" w:cs="宋体"/>
          <w:color w:val="auto"/>
          <w:sz w:val="21"/>
          <w:szCs w:val="21"/>
          <w:highlight w:val="none"/>
          <w:u w:val="single"/>
          <w:lang w:eastAsia="zh-CN"/>
        </w:rPr>
        <w:t>40.6经济标投标文件有效性审查；</w:t>
      </w:r>
    </w:p>
    <w:p w14:paraId="17A20AF3">
      <w:pPr>
        <w:pBdr>
          <w:bottom w:val="single" w:color="auto" w:sz="6" w:space="1"/>
        </w:pBdr>
        <w:spacing w:line="360" w:lineRule="auto"/>
        <w:ind w:firstLine="514" w:firstLineChars="245"/>
        <w:rPr>
          <w:rFonts w:hint="eastAsia" w:ascii="宋体" w:hAnsi="宋体" w:cs="宋体"/>
          <w:color w:val="auto"/>
          <w:sz w:val="21"/>
          <w:szCs w:val="21"/>
          <w:highlight w:val="none"/>
          <w:u w:val="single"/>
          <w:lang w:eastAsia="zh-CN"/>
        </w:rPr>
      </w:pPr>
      <w:r>
        <w:rPr>
          <w:rFonts w:hint="eastAsia" w:ascii="宋体" w:hAnsi="宋体" w:cs="宋体"/>
          <w:color w:val="auto"/>
          <w:sz w:val="21"/>
          <w:szCs w:val="21"/>
          <w:highlight w:val="none"/>
          <w:u w:val="single"/>
          <w:lang w:eastAsia="zh-CN"/>
        </w:rPr>
        <w:t>40.7评标委员会按照招标文件规定的评标程序对投标人进行评审。若通过技术标及经济标有效性审查的合格投标人大于等于3家且少于等于</w:t>
      </w:r>
      <w:r>
        <w:rPr>
          <w:rFonts w:hint="eastAsia" w:ascii="宋体" w:hAnsi="宋体" w:cs="宋体"/>
          <w:color w:val="auto"/>
          <w:sz w:val="21"/>
          <w:szCs w:val="21"/>
          <w:highlight w:val="none"/>
          <w:u w:val="single"/>
          <w:lang w:val="en-US" w:eastAsia="zh-CN"/>
        </w:rPr>
        <w:t>7</w:t>
      </w:r>
      <w:r>
        <w:rPr>
          <w:rFonts w:hint="eastAsia" w:ascii="宋体" w:hAnsi="宋体" w:cs="宋体"/>
          <w:color w:val="auto"/>
          <w:sz w:val="21"/>
          <w:szCs w:val="21"/>
          <w:highlight w:val="none"/>
          <w:u w:val="single"/>
          <w:lang w:eastAsia="zh-CN"/>
        </w:rPr>
        <w:t>家的，则推荐全部合格的投标人为合格中标候选人（不排序）进入定标阶段。若通过技术标及经济标有效性审查的合格投标人大于</w:t>
      </w:r>
      <w:r>
        <w:rPr>
          <w:rFonts w:hint="eastAsia" w:ascii="宋体" w:hAnsi="宋体" w:cs="宋体"/>
          <w:color w:val="auto"/>
          <w:sz w:val="21"/>
          <w:szCs w:val="21"/>
          <w:highlight w:val="none"/>
          <w:u w:val="single"/>
          <w:lang w:val="en-US" w:eastAsia="zh-CN"/>
        </w:rPr>
        <w:t>7</w:t>
      </w:r>
      <w:r>
        <w:rPr>
          <w:rFonts w:hint="eastAsia" w:ascii="宋体" w:hAnsi="宋体" w:cs="宋体"/>
          <w:color w:val="auto"/>
          <w:sz w:val="21"/>
          <w:szCs w:val="21"/>
          <w:highlight w:val="none"/>
          <w:u w:val="single"/>
          <w:lang w:eastAsia="zh-CN"/>
        </w:rPr>
        <w:t>家的，按投标人总得分由高至低推荐排前</w:t>
      </w:r>
      <w:r>
        <w:rPr>
          <w:rFonts w:hint="eastAsia" w:ascii="宋体" w:hAnsi="宋体" w:cs="宋体"/>
          <w:color w:val="auto"/>
          <w:sz w:val="21"/>
          <w:szCs w:val="21"/>
          <w:highlight w:val="none"/>
          <w:u w:val="single"/>
          <w:lang w:val="en-US" w:eastAsia="zh-CN"/>
        </w:rPr>
        <w:t>7</w:t>
      </w:r>
      <w:r>
        <w:rPr>
          <w:rFonts w:hint="eastAsia" w:ascii="宋体" w:hAnsi="宋体" w:cs="宋体"/>
          <w:color w:val="auto"/>
          <w:sz w:val="21"/>
          <w:szCs w:val="21"/>
          <w:highlight w:val="none"/>
          <w:u w:val="single"/>
          <w:lang w:eastAsia="zh-CN"/>
        </w:rPr>
        <w:t>的合格中标候选人【不排序，按统一社会信用代码后4位（除校验码外）大小排位，如统一社会信用代码后4位出现字母情况的，字母以“0”进行代替大小排位；如出现后4位（除校验码外）大小一致的，则随机排位】进入定标阶段，进入定标阶段不排序。</w:t>
      </w:r>
    </w:p>
    <w:p w14:paraId="06E83379">
      <w:pPr>
        <w:pBdr>
          <w:bottom w:val="single" w:color="auto" w:sz="6" w:space="1"/>
        </w:pBdr>
        <w:spacing w:line="360" w:lineRule="auto"/>
        <w:ind w:firstLine="514" w:firstLineChars="245"/>
        <w:rPr>
          <w:rFonts w:hint="eastAsia" w:ascii="宋体" w:hAnsi="宋体" w:cs="宋体"/>
          <w:color w:val="auto"/>
          <w:sz w:val="21"/>
          <w:szCs w:val="21"/>
          <w:highlight w:val="none"/>
          <w:u w:val="single"/>
          <w:lang w:eastAsia="zh-CN"/>
        </w:rPr>
      </w:pPr>
      <w:r>
        <w:rPr>
          <w:rFonts w:hint="eastAsia" w:ascii="宋体" w:hAnsi="宋体" w:cs="宋体"/>
          <w:color w:val="auto"/>
          <w:sz w:val="21"/>
          <w:szCs w:val="21"/>
          <w:highlight w:val="none"/>
          <w:u w:val="single"/>
          <w:lang w:eastAsia="zh-CN"/>
        </w:rPr>
        <w:t>总得分相同的投标文件，以现场答辩得分较高的排前；总得分与现场答辩得分均相同的投标文件，则按报价低的排前。若名次排列出现并列，则占用下一名次(如：第一名分数均相同的投标人有N个，则该N个投标人并列为第一名，下一名按第N+1名计算，依此类推）。如排名第</w:t>
      </w:r>
      <w:r>
        <w:rPr>
          <w:rFonts w:hint="eastAsia" w:ascii="宋体" w:hAnsi="宋体" w:cs="宋体"/>
          <w:color w:val="auto"/>
          <w:sz w:val="21"/>
          <w:szCs w:val="21"/>
          <w:highlight w:val="none"/>
          <w:u w:val="single"/>
          <w:lang w:val="en-US" w:eastAsia="zh-CN"/>
        </w:rPr>
        <w:t>7名</w:t>
      </w:r>
      <w:r>
        <w:rPr>
          <w:rFonts w:hint="eastAsia" w:ascii="宋体" w:hAnsi="宋体" w:cs="宋体"/>
          <w:color w:val="auto"/>
          <w:sz w:val="21"/>
          <w:szCs w:val="21"/>
          <w:highlight w:val="none"/>
          <w:u w:val="single"/>
          <w:lang w:eastAsia="zh-CN"/>
        </w:rPr>
        <w:t>的投标人有N个，则这N个投标人都推荐进入定标阶段。</w:t>
      </w:r>
    </w:p>
    <w:p w14:paraId="2B7C3E48">
      <w:pPr>
        <w:pBdr>
          <w:bottom w:val="single" w:color="auto" w:sz="6" w:space="1"/>
        </w:pBdr>
        <w:spacing w:line="360" w:lineRule="auto"/>
        <w:ind w:firstLine="514" w:firstLineChars="245"/>
        <w:rPr>
          <w:rFonts w:hint="eastAsia" w:ascii="宋体" w:hAnsi="宋体" w:cs="宋体"/>
          <w:b/>
          <w:color w:val="auto"/>
          <w:sz w:val="21"/>
          <w:szCs w:val="21"/>
          <w:highlight w:val="none"/>
        </w:rPr>
      </w:pPr>
      <w:r>
        <w:rPr>
          <w:rFonts w:hint="eastAsia" w:ascii="宋体" w:hAnsi="宋体" w:cs="宋体"/>
          <w:color w:val="auto"/>
          <w:sz w:val="21"/>
          <w:szCs w:val="21"/>
          <w:highlight w:val="none"/>
          <w:u w:val="single"/>
          <w:lang w:eastAsia="zh-CN"/>
        </w:rPr>
        <w:t>40.8定标委员会对评标委员会推荐的合格中标候选人按《定标因素表》，以总得分=</w:t>
      </w:r>
      <w:r>
        <w:rPr>
          <w:rFonts w:hint="eastAsia" w:ascii="宋体" w:hAnsi="宋体" w:cs="宋体"/>
          <w:color w:val="auto"/>
          <w:sz w:val="21"/>
          <w:szCs w:val="21"/>
          <w:highlight w:val="none"/>
          <w:u w:val="single"/>
          <w:lang w:val="en-US" w:eastAsia="zh-CN"/>
        </w:rPr>
        <w:t>履约能力</w:t>
      </w:r>
      <w:r>
        <w:rPr>
          <w:rFonts w:hint="eastAsia" w:ascii="宋体" w:hAnsi="宋体" w:cs="宋体"/>
          <w:color w:val="auto"/>
          <w:sz w:val="21"/>
          <w:szCs w:val="21"/>
          <w:highlight w:val="none"/>
          <w:u w:val="single"/>
          <w:lang w:eastAsia="zh-CN"/>
        </w:rPr>
        <w:t>因素（满分</w:t>
      </w:r>
      <w:r>
        <w:rPr>
          <w:rFonts w:hint="eastAsia" w:ascii="宋体" w:hAnsi="宋体" w:cs="宋体"/>
          <w:color w:val="auto"/>
          <w:sz w:val="21"/>
          <w:szCs w:val="21"/>
          <w:highlight w:val="none"/>
          <w:u w:val="single"/>
          <w:lang w:val="en-US" w:eastAsia="zh-CN"/>
        </w:rPr>
        <w:t>80</w:t>
      </w:r>
      <w:r>
        <w:rPr>
          <w:rFonts w:hint="eastAsia" w:ascii="宋体" w:hAnsi="宋体" w:cs="宋体"/>
          <w:color w:val="auto"/>
          <w:sz w:val="21"/>
          <w:szCs w:val="21"/>
          <w:highlight w:val="none"/>
          <w:u w:val="single"/>
          <w:lang w:eastAsia="zh-CN"/>
        </w:rPr>
        <w:t>分）+价格因素（满分</w:t>
      </w:r>
      <w:r>
        <w:rPr>
          <w:rFonts w:hint="eastAsia" w:ascii="宋体" w:hAnsi="宋体" w:cs="宋体"/>
          <w:color w:val="auto"/>
          <w:sz w:val="21"/>
          <w:szCs w:val="21"/>
          <w:highlight w:val="none"/>
          <w:u w:val="single"/>
          <w:lang w:val="en-US" w:eastAsia="zh-CN"/>
        </w:rPr>
        <w:t>20</w:t>
      </w:r>
      <w:r>
        <w:rPr>
          <w:rFonts w:hint="eastAsia" w:ascii="宋体" w:hAnsi="宋体" w:cs="宋体"/>
          <w:color w:val="auto"/>
          <w:sz w:val="21"/>
          <w:szCs w:val="21"/>
          <w:highlight w:val="none"/>
          <w:u w:val="single"/>
          <w:lang w:eastAsia="zh-CN"/>
        </w:rPr>
        <w:t>分），由高至低排序合格中标候选人的名次，确定得分最高的为中标人。定标结束后，定标委员会向招标人递交定标报告</w:t>
      </w:r>
      <w:r>
        <w:rPr>
          <w:rFonts w:hint="eastAsia" w:ascii="宋体" w:hAnsi="宋体" w:cs="宋体"/>
          <w:color w:val="auto"/>
          <w:sz w:val="21"/>
          <w:szCs w:val="21"/>
          <w:highlight w:val="none"/>
          <w:u w:val="single"/>
        </w:rPr>
        <w:t>。</w:t>
      </w:r>
    </w:p>
    <w:p w14:paraId="21CD09F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 41.1             修改类型：修改</w:t>
      </w:r>
    </w:p>
    <w:p w14:paraId="32AC680E">
      <w:pPr>
        <w:pBdr>
          <w:bottom w:val="single" w:color="auto" w:sz="6" w:space="1"/>
        </w:pBdr>
        <w:spacing w:line="360" w:lineRule="auto"/>
        <w:ind w:firstLine="527" w:firstLineChars="25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41.1 开标由招标人主持；</w:t>
      </w:r>
    </w:p>
    <w:p w14:paraId="1D838385">
      <w:pPr>
        <w:pBdr>
          <w:bottom w:val="single" w:color="auto" w:sz="6" w:space="1"/>
        </w:pBdr>
        <w:spacing w:line="360" w:lineRule="auto"/>
        <w:ind w:firstLine="527" w:firstLineChars="25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41.1 开标由招标人</w:t>
      </w:r>
      <w:r>
        <w:rPr>
          <w:rFonts w:hint="eastAsia" w:ascii="宋体" w:hAnsi="宋体" w:eastAsia="宋体" w:cs="宋体"/>
          <w:color w:val="auto"/>
          <w:szCs w:val="21"/>
          <w:highlight w:val="none"/>
          <w:u w:val="single"/>
        </w:rPr>
        <w:t>或招标代理</w:t>
      </w:r>
      <w:r>
        <w:rPr>
          <w:rFonts w:hint="eastAsia" w:ascii="宋体" w:hAnsi="宋体" w:eastAsia="宋体" w:cs="宋体"/>
          <w:color w:val="auto"/>
          <w:szCs w:val="21"/>
          <w:highlight w:val="none"/>
        </w:rPr>
        <w:t>主持；</w:t>
      </w:r>
    </w:p>
    <w:p w14:paraId="4E56B33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条款号：41.2.1             修改类型：修改</w:t>
      </w:r>
    </w:p>
    <w:p w14:paraId="08E1E48E">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cs="宋体"/>
          <w:b/>
          <w:color w:val="auto"/>
          <w:szCs w:val="21"/>
          <w:highlight w:val="none"/>
          <w:lang w:val="en-US" w:eastAsia="zh-CN"/>
        </w:rPr>
        <w:t>41.2.1</w:t>
      </w:r>
      <w:r>
        <w:rPr>
          <w:rFonts w:hint="eastAsia" w:ascii="宋体" w:hAnsi="宋体" w:eastAsia="宋体" w:cs="宋体"/>
          <w:color w:val="auto"/>
          <w:sz w:val="21"/>
          <w:szCs w:val="21"/>
          <w:highlight w:val="none"/>
        </w:rPr>
        <w:t>投标截止期前，各投标人递交投标文件（包括技术标投标文件、经济标投标文件）至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交易平台。有关投标文件提交的事项详见第一章投标须知。</w:t>
      </w:r>
    </w:p>
    <w:p w14:paraId="5312AC4B">
      <w:pPr>
        <w:pBdr>
          <w:bottom w:val="single" w:color="auto" w:sz="6" w:space="1"/>
        </w:pBd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41.2.1投标截止期前，各投标人递交投标文件（包括</w:t>
      </w:r>
      <w:r>
        <w:rPr>
          <w:rFonts w:hint="eastAsia" w:ascii="宋体" w:hAnsi="宋体" w:eastAsia="宋体" w:cs="宋体"/>
          <w:color w:val="auto"/>
          <w:szCs w:val="21"/>
          <w:highlight w:val="none"/>
          <w:u w:val="single"/>
        </w:rPr>
        <w:t>技术标投标文件（含资格审查文件）</w:t>
      </w:r>
      <w:r>
        <w:rPr>
          <w:rFonts w:hint="eastAsia" w:ascii="宋体" w:hAnsi="宋体" w:eastAsia="宋体" w:cs="宋体"/>
          <w:color w:val="auto"/>
          <w:szCs w:val="21"/>
          <w:highlight w:val="none"/>
        </w:rPr>
        <w:t>、经济标投标文件）至</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Cs w:val="21"/>
          <w:highlight w:val="none"/>
        </w:rPr>
        <w:t>交易平台。有关投标文件提交的事项详见第一章投标须知。</w:t>
      </w:r>
    </w:p>
    <w:p w14:paraId="263670BA">
      <w:pPr>
        <w:spacing w:line="360" w:lineRule="auto"/>
        <w:ind w:firstLine="422" w:firstLineChars="200"/>
        <w:rPr>
          <w:rFonts w:hint="eastAsia" w:ascii="宋体" w:hAnsi="宋体" w:eastAsia="宋体" w:cs="宋体"/>
          <w:color w:val="auto"/>
          <w:sz w:val="24"/>
          <w:szCs w:val="24"/>
          <w:highlight w:val="none"/>
        </w:rPr>
      </w:pPr>
      <w:r>
        <w:rPr>
          <w:rFonts w:hint="eastAsia" w:ascii="宋体" w:hAnsi="宋体" w:eastAsia="宋体" w:cs="宋体"/>
          <w:b/>
          <w:color w:val="auto"/>
          <w:szCs w:val="21"/>
          <w:highlight w:val="none"/>
        </w:rPr>
        <w:t>条款号：41.2.</w:t>
      </w:r>
      <w:r>
        <w:rPr>
          <w:rFonts w:hint="eastAsia" w:ascii="宋体" w:hAnsi="宋体" w:cs="宋体"/>
          <w:b/>
          <w:color w:val="auto"/>
          <w:szCs w:val="21"/>
          <w:highlight w:val="none"/>
          <w:lang w:val="en-US" w:eastAsia="zh-CN"/>
        </w:rPr>
        <w:t>3.</w:t>
      </w:r>
      <w:r>
        <w:rPr>
          <w:rFonts w:hint="eastAsia" w:ascii="宋体" w:hAnsi="宋体" w:eastAsia="宋体" w:cs="宋体"/>
          <w:b/>
          <w:color w:val="auto"/>
          <w:szCs w:val="21"/>
          <w:highlight w:val="none"/>
        </w:rPr>
        <w:t>1             修改类型：修改</w:t>
      </w:r>
    </w:p>
    <w:p w14:paraId="61F91E9B">
      <w:pPr>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原文：</w:t>
      </w:r>
      <w:r>
        <w:rPr>
          <w:rFonts w:hint="eastAsia" w:ascii="宋体" w:hAnsi="宋体" w:eastAsia="宋体" w:cs="宋体"/>
          <w:b/>
          <w:bCs/>
          <w:color w:val="auto"/>
          <w:sz w:val="21"/>
          <w:szCs w:val="21"/>
          <w:highlight w:val="none"/>
        </w:rPr>
        <w:t>41.2.</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.1</w:t>
      </w:r>
      <w:r>
        <w:rPr>
          <w:rFonts w:hint="eastAsia" w:ascii="宋体" w:hAnsi="宋体" w:eastAsia="宋体" w:cs="宋体"/>
          <w:color w:val="auto"/>
          <w:sz w:val="21"/>
          <w:szCs w:val="21"/>
          <w:highlight w:val="none"/>
        </w:rPr>
        <w:t>开标时，公布：a、投标人名称；b、</w:t>
      </w:r>
      <w:r>
        <w:rPr>
          <w:rFonts w:hint="eastAsia" w:ascii="宋体" w:hAnsi="宋体" w:eastAsia="宋体" w:cs="宋体"/>
          <w:color w:val="auto"/>
          <w:sz w:val="21"/>
          <w:szCs w:val="21"/>
          <w:highlight w:val="none"/>
          <w:lang w:eastAsia="zh-CN"/>
        </w:rPr>
        <w:t>投标文件递交情况</w:t>
      </w:r>
      <w:r>
        <w:rPr>
          <w:rFonts w:hint="eastAsia" w:ascii="宋体" w:hAnsi="宋体" w:eastAsia="宋体" w:cs="宋体"/>
          <w:color w:val="auto"/>
          <w:sz w:val="21"/>
          <w:szCs w:val="21"/>
          <w:highlight w:val="none"/>
        </w:rPr>
        <w:t>c、</w:t>
      </w:r>
      <w:r>
        <w:rPr>
          <w:rFonts w:hint="eastAsia" w:ascii="宋体" w:hAnsi="宋体" w:eastAsia="宋体" w:cs="宋体"/>
          <w:color w:val="auto"/>
          <w:sz w:val="21"/>
          <w:szCs w:val="20"/>
          <w:highlight w:val="none"/>
        </w:rPr>
        <w:t>投标文件</w:t>
      </w:r>
      <w:r>
        <w:rPr>
          <w:rFonts w:hint="eastAsia" w:ascii="宋体" w:hAnsi="宋体" w:eastAsia="宋体" w:cs="宋体"/>
          <w:color w:val="auto"/>
          <w:sz w:val="21"/>
          <w:szCs w:val="20"/>
          <w:highlight w:val="none"/>
          <w:lang w:eastAsia="zh-CN"/>
        </w:rPr>
        <w:t>解</w:t>
      </w:r>
      <w:r>
        <w:rPr>
          <w:rFonts w:hint="eastAsia" w:ascii="宋体" w:hAnsi="宋体" w:eastAsia="宋体" w:cs="宋体"/>
          <w:color w:val="auto"/>
          <w:sz w:val="21"/>
          <w:szCs w:val="21"/>
          <w:highlight w:val="none"/>
        </w:rPr>
        <w:t>密情况；d、法定代表人证明及授权委托；e、投标保证金；</w:t>
      </w:r>
      <w:r>
        <w:rPr>
          <w:rFonts w:hint="eastAsia" w:ascii="宋体" w:hAnsi="宋体" w:eastAsia="宋体" w:cs="宋体"/>
          <w:color w:val="auto"/>
          <w:sz w:val="21"/>
          <w:szCs w:val="21"/>
          <w:highlight w:val="none"/>
          <w:lang w:val="en-US" w:eastAsia="zh-CN"/>
        </w:rPr>
        <w:t>f、</w:t>
      </w:r>
      <w:r>
        <w:rPr>
          <w:rFonts w:hint="eastAsia" w:ascii="宋体" w:hAnsi="宋体" w:eastAsia="宋体" w:cs="宋体"/>
          <w:color w:val="auto"/>
          <w:sz w:val="21"/>
          <w:szCs w:val="21"/>
          <w:highlight w:val="none"/>
        </w:rPr>
        <w:t>项目经理（负责人）名称；f、投标报价等主要内容及开标记录表中的其他必要内容。投标报价以数字和文字两种方式表述的，应公布文字表述的投标报价。</w:t>
      </w:r>
    </w:p>
    <w:p w14:paraId="5B3BFCB4">
      <w:pPr>
        <w:pBdr>
          <w:bottom w:val="single" w:color="auto" w:sz="6" w:space="1"/>
        </w:pBd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
          <w:bCs/>
          <w:color w:val="auto"/>
          <w:sz w:val="21"/>
          <w:szCs w:val="21"/>
          <w:highlight w:val="none"/>
        </w:rPr>
        <w:t>41.2.</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.1</w:t>
      </w:r>
      <w:r>
        <w:rPr>
          <w:rFonts w:hint="eastAsia" w:ascii="宋体" w:hAnsi="宋体" w:eastAsia="宋体" w:cs="宋体"/>
          <w:color w:val="auto"/>
          <w:sz w:val="21"/>
          <w:szCs w:val="21"/>
          <w:highlight w:val="none"/>
        </w:rPr>
        <w:t>开标时，公布：a、投标人名称；b、</w:t>
      </w:r>
      <w:r>
        <w:rPr>
          <w:rFonts w:hint="eastAsia" w:ascii="宋体" w:hAnsi="宋体" w:eastAsia="宋体" w:cs="宋体"/>
          <w:color w:val="auto"/>
          <w:sz w:val="21"/>
          <w:szCs w:val="21"/>
          <w:highlight w:val="none"/>
          <w:lang w:eastAsia="zh-CN"/>
        </w:rPr>
        <w:t>投标文件递交情况</w:t>
      </w:r>
      <w:r>
        <w:rPr>
          <w:rFonts w:hint="eastAsia" w:ascii="宋体" w:hAnsi="宋体" w:eastAsia="宋体" w:cs="宋体"/>
          <w:color w:val="auto"/>
          <w:sz w:val="21"/>
          <w:szCs w:val="21"/>
          <w:highlight w:val="none"/>
        </w:rPr>
        <w:t>c、</w:t>
      </w:r>
      <w:r>
        <w:rPr>
          <w:rFonts w:hint="eastAsia" w:ascii="宋体" w:hAnsi="宋体" w:eastAsia="宋体" w:cs="宋体"/>
          <w:color w:val="auto"/>
          <w:sz w:val="21"/>
          <w:szCs w:val="20"/>
          <w:highlight w:val="none"/>
        </w:rPr>
        <w:t>投标文件</w:t>
      </w:r>
      <w:r>
        <w:rPr>
          <w:rFonts w:hint="eastAsia" w:ascii="宋体" w:hAnsi="宋体" w:eastAsia="宋体" w:cs="宋体"/>
          <w:color w:val="auto"/>
          <w:sz w:val="21"/>
          <w:szCs w:val="20"/>
          <w:highlight w:val="none"/>
          <w:lang w:eastAsia="zh-CN"/>
        </w:rPr>
        <w:t>解</w:t>
      </w:r>
      <w:r>
        <w:rPr>
          <w:rFonts w:hint="eastAsia" w:ascii="宋体" w:hAnsi="宋体" w:eastAsia="宋体" w:cs="宋体"/>
          <w:color w:val="auto"/>
          <w:sz w:val="21"/>
          <w:szCs w:val="21"/>
          <w:highlight w:val="none"/>
        </w:rPr>
        <w:t>密情况；d、法定代表人证明及授权委托；</w:t>
      </w:r>
      <w:r>
        <w:rPr>
          <w:rFonts w:hint="eastAsia" w:ascii="宋体" w:hAnsi="宋体" w:eastAsia="宋体" w:cs="宋体"/>
          <w:strike/>
          <w:dstrike w:val="0"/>
          <w:color w:val="auto"/>
          <w:sz w:val="21"/>
          <w:szCs w:val="21"/>
          <w:highlight w:val="none"/>
        </w:rPr>
        <w:t>e、投标保证金；</w:t>
      </w:r>
      <w:r>
        <w:rPr>
          <w:rFonts w:hint="eastAsia" w:ascii="宋体" w:hAnsi="宋体" w:eastAsia="宋体" w:cs="宋体"/>
          <w:color w:val="auto"/>
          <w:sz w:val="21"/>
          <w:szCs w:val="21"/>
          <w:highlight w:val="none"/>
          <w:lang w:val="en-US" w:eastAsia="zh-CN"/>
        </w:rPr>
        <w:t>f、</w:t>
      </w:r>
      <w:r>
        <w:rPr>
          <w:rFonts w:hint="eastAsia" w:ascii="宋体" w:hAnsi="宋体" w:eastAsia="宋体" w:cs="宋体"/>
          <w:color w:val="auto"/>
          <w:sz w:val="21"/>
          <w:szCs w:val="21"/>
          <w:highlight w:val="none"/>
        </w:rPr>
        <w:t>项目经理（负责人）名称；f、投标报价等主要内容及开标记录表中的其他必要内容。投标报价以数字和文字两种方式表述的，应公布文字表述的投标报价。</w:t>
      </w:r>
    </w:p>
    <w:p w14:paraId="73959794">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条款号：42.2              修改类型：修改</w:t>
      </w:r>
    </w:p>
    <w:p w14:paraId="3E4F0D5C">
      <w:pPr>
        <w:spacing w:line="360" w:lineRule="auto"/>
        <w:ind w:firstLine="472" w:firstLineChars="224"/>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原文：42.2</w:t>
      </w:r>
      <w:r>
        <w:rPr>
          <w:rFonts w:hint="eastAsia" w:ascii="宋体" w:hAnsi="宋体" w:eastAsia="宋体" w:cs="宋体"/>
          <w:bCs/>
          <w:color w:val="auto"/>
          <w:szCs w:val="21"/>
          <w:highlight w:val="none"/>
        </w:rPr>
        <w:t>评标委员会的组成：方式</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w:t>
      </w:r>
    </w:p>
    <w:p w14:paraId="358786F4">
      <w:pPr>
        <w:spacing w:line="360" w:lineRule="auto"/>
        <w:ind w:firstLine="470" w:firstLineChars="224"/>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方式一：评标委员会为综合评标委员会，负责资格审查及评标工作。</w:t>
      </w:r>
    </w:p>
    <w:p w14:paraId="0AE5B946">
      <w:pPr>
        <w:spacing w:line="360" w:lineRule="auto"/>
        <w:ind w:firstLine="470" w:firstLineChars="224"/>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方式二：评标委员会由技术评审组和经济评审组组成。其中：资格审查及技术评审由技术评标组负责，经济评审由经济评审组负责。</w:t>
      </w:r>
    </w:p>
    <w:p w14:paraId="2924FFD4">
      <w:pPr>
        <w:spacing w:line="360" w:lineRule="auto"/>
        <w:ind w:firstLine="472" w:firstLineChars="224"/>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现文：42.2</w:t>
      </w:r>
      <w:r>
        <w:rPr>
          <w:rFonts w:hint="eastAsia" w:ascii="宋体" w:hAnsi="宋体" w:eastAsia="宋体" w:cs="宋体"/>
          <w:bCs/>
          <w:color w:val="auto"/>
          <w:szCs w:val="21"/>
          <w:highlight w:val="none"/>
        </w:rPr>
        <w:t>评标委员会的组成：方式</w:t>
      </w:r>
      <w:r>
        <w:rPr>
          <w:rFonts w:hint="eastAsia" w:ascii="宋体" w:hAnsi="宋体" w:eastAsia="宋体" w:cs="宋体"/>
          <w:bCs/>
          <w:color w:val="auto"/>
          <w:szCs w:val="21"/>
          <w:highlight w:val="none"/>
          <w:u w:val="single"/>
        </w:rPr>
        <w:t xml:space="preserve"> 一 </w:t>
      </w:r>
      <w:r>
        <w:rPr>
          <w:rFonts w:hint="eastAsia" w:ascii="宋体" w:hAnsi="宋体" w:eastAsia="宋体" w:cs="宋体"/>
          <w:bCs/>
          <w:color w:val="auto"/>
          <w:szCs w:val="21"/>
          <w:highlight w:val="none"/>
        </w:rPr>
        <w:t>。</w:t>
      </w:r>
    </w:p>
    <w:p w14:paraId="2653EA6A">
      <w:pPr>
        <w:pBdr>
          <w:bottom w:val="single" w:color="auto" w:sz="6" w:space="1"/>
        </w:pBdr>
        <w:spacing w:line="360" w:lineRule="auto"/>
        <w:ind w:firstLine="525" w:firstLineChars="250"/>
        <w:rPr>
          <w:rFonts w:hint="eastAsia" w:ascii="宋体" w:hAnsi="宋体" w:eastAsia="宋体" w:cs="宋体"/>
          <w:color w:val="auto"/>
          <w:highlight w:val="none"/>
          <w:u w:val="single"/>
        </w:rPr>
      </w:pPr>
      <w:r>
        <w:rPr>
          <w:rFonts w:hint="eastAsia" w:ascii="宋体" w:hAnsi="宋体" w:eastAsia="宋体" w:cs="宋体"/>
          <w:bCs/>
          <w:color w:val="auto"/>
          <w:szCs w:val="21"/>
          <w:highlight w:val="none"/>
          <w:u w:val="single"/>
        </w:rPr>
        <w:t>方式一：评标委员会为综合评标委员会，负责资格审查及评标工作。</w:t>
      </w:r>
    </w:p>
    <w:p w14:paraId="54FE76A6">
      <w:pPr>
        <w:spacing w:line="360" w:lineRule="auto"/>
        <w:ind w:firstLine="517" w:firstLineChars="245"/>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rPr>
        <w:t>条款号：4</w:t>
      </w:r>
      <w:r>
        <w:rPr>
          <w:rFonts w:hint="eastAsia" w:ascii="宋体" w:hAnsi="宋体" w:cs="宋体"/>
          <w:b/>
          <w:color w:val="auto"/>
          <w:sz w:val="21"/>
          <w:szCs w:val="21"/>
          <w:highlight w:val="none"/>
          <w:lang w:val="en-US" w:eastAsia="zh-CN"/>
        </w:rPr>
        <w:t>6</w:t>
      </w:r>
      <w:r>
        <w:rPr>
          <w:rFonts w:hint="eastAsia" w:ascii="宋体" w:hAnsi="宋体" w:cs="宋体"/>
          <w:b/>
          <w:color w:val="auto"/>
          <w:sz w:val="21"/>
          <w:szCs w:val="21"/>
          <w:highlight w:val="none"/>
        </w:rPr>
        <w:t>.               修改类型：</w:t>
      </w:r>
      <w:r>
        <w:rPr>
          <w:rFonts w:hint="eastAsia" w:ascii="宋体" w:hAnsi="宋体" w:cs="宋体"/>
          <w:b/>
          <w:color w:val="auto"/>
          <w:sz w:val="21"/>
          <w:szCs w:val="21"/>
          <w:highlight w:val="none"/>
          <w:lang w:eastAsia="zh-CN"/>
        </w:rPr>
        <w:t>修改</w:t>
      </w:r>
    </w:p>
    <w:p w14:paraId="19FB18A2">
      <w:pPr>
        <w:pStyle w:val="35"/>
        <w:keepNext w:val="0"/>
        <w:keepLines w:val="0"/>
        <w:pageBreakBefore w:val="0"/>
        <w:widowControl w:val="0"/>
        <w:tabs>
          <w:tab w:val="left" w:pos="7380"/>
        </w:tabs>
        <w:kinsoku/>
        <w:wordWrap/>
        <w:overflowPunct/>
        <w:topLinePunct w:val="0"/>
        <w:autoSpaceDE/>
        <w:autoSpaceDN/>
        <w:bidi w:val="0"/>
        <w:snapToGrid w:val="0"/>
        <w:spacing w:after="0" w:line="360" w:lineRule="auto"/>
        <w:ind w:firstLine="525" w:firstLineChars="249"/>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.经济标评审和得分汇总</w:t>
      </w:r>
    </w:p>
    <w:p w14:paraId="18D047DF">
      <w:pPr>
        <w:pStyle w:val="35"/>
        <w:keepNext w:val="0"/>
        <w:keepLines w:val="0"/>
        <w:pageBreakBefore w:val="0"/>
        <w:widowControl w:val="0"/>
        <w:tabs>
          <w:tab w:val="left" w:pos="7380"/>
        </w:tabs>
        <w:kinsoku/>
        <w:wordWrap/>
        <w:overflowPunct/>
        <w:topLinePunct w:val="0"/>
        <w:autoSpaceDE/>
        <w:autoSpaceDN/>
        <w:bidi w:val="0"/>
        <w:snapToGrid w:val="0"/>
        <w:spacing w:after="0" w:line="360" w:lineRule="auto"/>
        <w:ind w:firstLine="525" w:firstLineChars="25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.1若通过技术标有效性审查的投标人中所有投标报价均大于等于最高投标限价的（具体金额为：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元），则本项目招标失败，由招标人依法重新招标。</w:t>
      </w:r>
    </w:p>
    <w:p w14:paraId="64994F5A">
      <w:pPr>
        <w:pStyle w:val="35"/>
        <w:keepNext w:val="0"/>
        <w:keepLines w:val="0"/>
        <w:pageBreakBefore w:val="0"/>
        <w:widowControl w:val="0"/>
        <w:tabs>
          <w:tab w:val="left" w:pos="7380"/>
        </w:tabs>
        <w:kinsoku/>
        <w:wordWrap/>
        <w:overflowPunct/>
        <w:topLinePunct w:val="0"/>
        <w:autoSpaceDE/>
        <w:autoSpaceDN/>
        <w:bidi w:val="0"/>
        <w:snapToGrid w:val="0"/>
        <w:spacing w:line="360" w:lineRule="auto"/>
        <w:ind w:firstLine="525" w:firstLineChars="250"/>
        <w:textAlignment w:val="auto"/>
        <w:rPr>
          <w:rFonts w:hint="eastAsia" w:ascii="宋体" w:hAnsi="宋体"/>
          <w:color w:val="auto"/>
          <w:sz w:val="21"/>
          <w:szCs w:val="21"/>
          <w:highlight w:val="none"/>
        </w:rPr>
      </w:pPr>
      <w:r>
        <w:rPr>
          <w:rFonts w:hint="eastAsia" w:ascii="宋体" w:hAnsi="宋体"/>
          <w:color w:val="auto"/>
          <w:sz w:val="21"/>
          <w:szCs w:val="21"/>
          <w:highlight w:val="none"/>
        </w:rPr>
        <w:t>4</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按</w:t>
      </w:r>
      <w:r>
        <w:rPr>
          <w:rFonts w:hint="eastAsia" w:ascii="宋体" w:hAnsi="宋体"/>
          <w:color w:val="auto"/>
          <w:sz w:val="21"/>
          <w:szCs w:val="21"/>
          <w:highlight w:val="none"/>
          <w:lang w:eastAsia="zh-CN"/>
        </w:rPr>
        <w:t>以下</w:t>
      </w:r>
      <w:r>
        <w:rPr>
          <w:rFonts w:hint="eastAsia" w:ascii="宋体" w:hAnsi="宋体"/>
          <w:color w:val="auto"/>
          <w:sz w:val="21"/>
          <w:szCs w:val="21"/>
          <w:highlight w:val="none"/>
        </w:rPr>
        <w:t>方法计算评标参考价：</w:t>
      </w:r>
    </w:p>
    <w:p w14:paraId="170A1651">
      <w:pPr>
        <w:pStyle w:val="35"/>
        <w:keepNext w:val="0"/>
        <w:keepLines w:val="0"/>
        <w:pageBreakBefore w:val="0"/>
        <w:widowControl w:val="0"/>
        <w:tabs>
          <w:tab w:val="left" w:pos="7380"/>
        </w:tabs>
        <w:kinsoku/>
        <w:wordWrap/>
        <w:overflowPunct/>
        <w:topLinePunct w:val="0"/>
        <w:autoSpaceDE/>
        <w:autoSpaceDN/>
        <w:bidi w:val="0"/>
        <w:snapToGrid w:val="0"/>
        <w:spacing w:line="360" w:lineRule="auto"/>
        <w:ind w:firstLine="527" w:firstLineChars="250"/>
        <w:textAlignment w:val="auto"/>
        <w:rPr>
          <w:rFonts w:ascii="宋体" w:hAnsi="宋体"/>
          <w:b/>
          <w:bCs/>
          <w:color w:val="auto"/>
          <w:kern w:val="0"/>
          <w:sz w:val="21"/>
          <w:szCs w:val="21"/>
          <w:highlight w:val="none"/>
        </w:rPr>
      </w:pPr>
      <w:r>
        <w:rPr>
          <w:rFonts w:hint="eastAsia" w:ascii="宋体" w:hAnsi="宋体" w:cs="仿宋"/>
          <w:b/>
          <w:bCs/>
          <w:color w:val="auto"/>
          <w:kern w:val="0"/>
          <w:sz w:val="21"/>
          <w:szCs w:val="21"/>
          <w:highlight w:val="none"/>
        </w:rPr>
        <w:t>区间抽取法</w:t>
      </w:r>
    </w:p>
    <w:p w14:paraId="5BCF7ECF">
      <w:pPr>
        <w:keepNext w:val="0"/>
        <w:keepLines w:val="0"/>
        <w:pageBreakBefore w:val="0"/>
        <w:widowControl w:val="0"/>
        <w:kinsoku/>
        <w:wordWrap/>
        <w:overflowPunct/>
        <w:topLinePunct w:val="0"/>
        <w:autoSpaceDE/>
        <w:autoSpaceDN/>
        <w:bidi w:val="0"/>
        <w:adjustRightInd/>
        <w:snapToGrid/>
        <w:spacing w:line="360" w:lineRule="auto"/>
        <w:ind w:firstLine="522" w:firstLineChars="249"/>
        <w:jc w:val="left"/>
        <w:textAlignment w:val="auto"/>
        <w:rPr>
          <w:rFonts w:hint="eastAsia" w:ascii="宋体" w:hAnsi="宋体" w:cs="宋体"/>
          <w:color w:val="auto"/>
          <w:kern w:val="0"/>
          <w:sz w:val="21"/>
          <w:szCs w:val="21"/>
          <w:highlight w:val="none"/>
        </w:rPr>
      </w:pPr>
      <w:r>
        <w:rPr>
          <w:rFonts w:hint="eastAsia" w:ascii="宋体" w:hAnsi="宋体" w:cs="宋体"/>
          <w:color w:val="auto"/>
          <w:sz w:val="21"/>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08DC0947">
      <w:pPr>
        <w:keepNext w:val="0"/>
        <w:keepLines w:val="0"/>
        <w:pageBreakBefore w:val="0"/>
        <w:widowControl w:val="0"/>
        <w:kinsoku/>
        <w:wordWrap/>
        <w:overflowPunct/>
        <w:topLinePunct w:val="0"/>
        <w:autoSpaceDE/>
        <w:autoSpaceDN/>
        <w:bidi w:val="0"/>
        <w:adjustRightInd w:val="0"/>
        <w:snapToGrid w:val="0"/>
        <w:spacing w:line="360" w:lineRule="auto"/>
        <w:ind w:firstLine="525" w:firstLineChars="25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评标参考价=（Q高-Q低）/100*Ｘ+Q低</w:t>
      </w:r>
    </w:p>
    <w:p w14:paraId="73BAC82E">
      <w:pPr>
        <w:widowControl/>
        <w:adjustRightInd w:val="0"/>
        <w:snapToGrid w:val="0"/>
        <w:spacing w:line="360" w:lineRule="auto"/>
        <w:ind w:firstLine="525" w:firstLineChars="25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Q低：为达到或超过技术标及格分数线的投标人最低报价与工程成本警示价两者中的较高值；</w:t>
      </w:r>
    </w:p>
    <w:p w14:paraId="4B69B661">
      <w:pPr>
        <w:widowControl/>
        <w:adjustRightInd w:val="0"/>
        <w:snapToGrid w:val="0"/>
        <w:spacing w:line="360" w:lineRule="auto"/>
        <w:ind w:firstLine="525" w:firstLineChars="25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Q高：为最高投标限价*D%（政府投资项目，D的取值范围为[94-100],由招标人自主确定；非政府投资项目由招标人自主确定取值范围），具体金额为               元。</w:t>
      </w:r>
    </w:p>
    <w:p w14:paraId="07A54516">
      <w:pPr>
        <w:widowControl/>
        <w:adjustRightInd w:val="0"/>
        <w:snapToGrid w:val="0"/>
        <w:spacing w:line="360" w:lineRule="auto"/>
        <w:ind w:firstLine="525" w:firstLineChars="25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X:为等分点值，在开标前从[0,100]整数中随机抽取</w:t>
      </w:r>
    </w:p>
    <w:p w14:paraId="09FF7FF7">
      <w:pPr>
        <w:spacing w:line="360" w:lineRule="auto"/>
        <w:ind w:firstLine="525" w:firstLineChars="25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46.3当标价等于评标参考价时得100分，标价每高于评标参考价1%，扣1.5分，每低于评标参考价1%，扣1分，扣至0分为止，得出经济分，精确到小数点后两位。</w:t>
      </w:r>
    </w:p>
    <w:p w14:paraId="24CE3893">
      <w:pPr>
        <w:pBdr>
          <w:bottom w:val="single" w:color="auto" w:sz="6" w:space="1"/>
        </w:pBdr>
        <w:spacing w:line="360" w:lineRule="auto"/>
        <w:ind w:firstLine="514" w:firstLineChars="245"/>
        <w:rPr>
          <w:rFonts w:hint="eastAsia"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.4计算通过技术标有效性审查的投标人总得分。投标人总得分=（技术得分×  %（技术得分权重）＋经济得分×  %（经济得分权重）×（1-信用评价分数权重）＋信用评价得分×  %（企业信用评价得分权重，招标人可在[10%-20%]范围内自主确定）。技术、经济得分权重按投标须知前附表的规定执行。总得分四舍五入保留两位小数。</w:t>
      </w:r>
    </w:p>
    <w:p w14:paraId="57E2AF1D">
      <w:pPr>
        <w:pBdr>
          <w:bottom w:val="single" w:color="auto" w:sz="6" w:space="1"/>
        </w:pBdr>
        <w:spacing w:line="360" w:lineRule="auto"/>
        <w:ind w:firstLine="517" w:firstLineChars="245"/>
        <w:rPr>
          <w:rFonts w:hint="eastAsia" w:ascii="宋体" w:hAnsi="宋体" w:cs="宋体"/>
          <w:color w:val="auto"/>
          <w:sz w:val="21"/>
          <w:szCs w:val="21"/>
          <w:highlight w:val="none"/>
          <w:u w:val="single"/>
        </w:rPr>
      </w:pPr>
      <w:r>
        <w:rPr>
          <w:rFonts w:hint="eastAsia" w:ascii="宋体" w:hAnsi="宋体" w:cs="宋体"/>
          <w:b/>
          <w:bCs/>
          <w:color w:val="auto"/>
          <w:sz w:val="21"/>
          <w:szCs w:val="21"/>
          <w:highlight w:val="none"/>
        </w:rPr>
        <w:t>现文：</w:t>
      </w:r>
      <w:r>
        <w:rPr>
          <w:rFonts w:hint="eastAsia" w:ascii="宋体" w:hAnsi="宋体" w:cs="宋体"/>
          <w:color w:val="auto"/>
          <w:sz w:val="21"/>
          <w:szCs w:val="21"/>
          <w:highlight w:val="none"/>
          <w:u w:val="single"/>
        </w:rPr>
        <w:t>4</w:t>
      </w:r>
      <w:r>
        <w:rPr>
          <w:rFonts w:hint="eastAsia" w:ascii="宋体" w:hAnsi="宋体" w:cs="宋体"/>
          <w:color w:val="auto"/>
          <w:sz w:val="21"/>
          <w:szCs w:val="21"/>
          <w:highlight w:val="none"/>
          <w:u w:val="single"/>
          <w:lang w:val="en-US" w:eastAsia="zh-CN"/>
        </w:rPr>
        <w:t>6</w:t>
      </w:r>
      <w:r>
        <w:rPr>
          <w:rFonts w:hint="eastAsia" w:ascii="宋体" w:hAnsi="宋体" w:cs="宋体"/>
          <w:color w:val="auto"/>
          <w:sz w:val="21"/>
          <w:szCs w:val="21"/>
          <w:highlight w:val="none"/>
          <w:u w:val="single"/>
        </w:rPr>
        <w:t>.得分汇总</w:t>
      </w:r>
    </w:p>
    <w:p w14:paraId="73CF1F40">
      <w:pPr>
        <w:pBdr>
          <w:bottom w:val="single" w:color="auto" w:sz="6" w:space="1"/>
        </w:pBdr>
        <w:spacing w:line="360" w:lineRule="auto"/>
        <w:ind w:firstLine="514" w:firstLineChars="245"/>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46.1若通过技术标有效性审查的投标人中所有投标报价均大于等于最高投标限价，则本项目招标失败，由招标人依法重新招标。</w:t>
      </w:r>
    </w:p>
    <w:p w14:paraId="5A8ED9DF">
      <w:pPr>
        <w:pBdr>
          <w:bottom w:val="single" w:color="auto" w:sz="6" w:space="1"/>
        </w:pBdr>
        <w:spacing w:line="360" w:lineRule="auto"/>
        <w:ind w:firstLine="514" w:firstLineChars="245"/>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46.2计算通过技术标有效性审查的投标人总得分。投标人总得分=技术得分（满分100分）×100%。相关部分得分权重按投标须知前附表的规定执行。总得分四舍五入保留两位小数。</w:t>
      </w:r>
    </w:p>
    <w:p w14:paraId="5563D383">
      <w:pPr>
        <w:spacing w:line="360" w:lineRule="auto"/>
        <w:ind w:firstLine="517" w:firstLineChars="245"/>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条款号：4</w:t>
      </w:r>
      <w:r>
        <w:rPr>
          <w:rFonts w:hint="eastAsia" w:ascii="宋体" w:hAnsi="宋体" w:cs="宋体"/>
          <w:b/>
          <w:color w:val="auto"/>
          <w:sz w:val="21"/>
          <w:szCs w:val="21"/>
          <w:highlight w:val="none"/>
          <w:lang w:val="en-US" w:eastAsia="zh-CN"/>
        </w:rPr>
        <w:t>8</w:t>
      </w:r>
      <w:r>
        <w:rPr>
          <w:rFonts w:hint="eastAsia" w:ascii="宋体" w:hAnsi="宋体" w:cs="宋体"/>
          <w:b/>
          <w:color w:val="auto"/>
          <w:sz w:val="21"/>
          <w:szCs w:val="21"/>
          <w:highlight w:val="none"/>
        </w:rPr>
        <w:t>.、</w:t>
      </w:r>
      <w:r>
        <w:rPr>
          <w:rFonts w:hint="eastAsia" w:ascii="宋体" w:hAnsi="宋体" w:cs="宋体"/>
          <w:b/>
          <w:color w:val="auto"/>
          <w:kern w:val="0"/>
          <w:sz w:val="21"/>
          <w:szCs w:val="21"/>
          <w:highlight w:val="none"/>
        </w:rPr>
        <w:t>4</w:t>
      </w:r>
      <w:r>
        <w:rPr>
          <w:rFonts w:hint="eastAsia" w:ascii="宋体" w:hAnsi="宋体" w:cs="宋体"/>
          <w:b/>
          <w:color w:val="auto"/>
          <w:kern w:val="0"/>
          <w:sz w:val="21"/>
          <w:szCs w:val="21"/>
          <w:highlight w:val="none"/>
          <w:lang w:val="en-US" w:eastAsia="zh-CN"/>
        </w:rPr>
        <w:t>9</w:t>
      </w:r>
      <w:r>
        <w:rPr>
          <w:rFonts w:hint="eastAsia" w:ascii="宋体" w:hAnsi="宋体" w:cs="宋体"/>
          <w:b/>
          <w:color w:val="auto"/>
          <w:kern w:val="0"/>
          <w:sz w:val="21"/>
          <w:szCs w:val="21"/>
          <w:highlight w:val="none"/>
        </w:rPr>
        <w:t>.</w:t>
      </w:r>
      <w:r>
        <w:rPr>
          <w:rFonts w:hint="eastAsia" w:ascii="宋体" w:hAnsi="宋体" w:cs="宋体"/>
          <w:b/>
          <w:color w:val="auto"/>
          <w:sz w:val="21"/>
          <w:szCs w:val="21"/>
          <w:highlight w:val="none"/>
        </w:rPr>
        <w:t xml:space="preserve">                修改类型：修改</w:t>
      </w:r>
    </w:p>
    <w:p w14:paraId="247F6337">
      <w:pPr>
        <w:spacing w:line="360" w:lineRule="auto"/>
        <w:ind w:firstLine="521" w:firstLineChars="247"/>
        <w:rPr>
          <w:rFonts w:hint="eastAsia" w:ascii="宋体" w:hAnsi="宋体" w:cs="宋体"/>
          <w:b/>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7534DA0C">
      <w:pPr>
        <w:spacing w:line="360" w:lineRule="auto"/>
        <w:ind w:firstLine="518" w:firstLineChars="247"/>
        <w:rPr>
          <w:rFonts w:hint="eastAsia"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.评标委员会应在通过投标文件经济标有效性审查的投标人中，按步骤45.4确定的投标人第二阶段排序，推荐前3名依次为第一中标候选人至第三中标候选人,并编制评标报告。</w:t>
      </w:r>
    </w:p>
    <w:p w14:paraId="3E4444C4">
      <w:pPr>
        <w:spacing w:line="360" w:lineRule="auto"/>
        <w:ind w:firstLine="521" w:firstLineChars="247"/>
        <w:rPr>
          <w:rFonts w:hint="eastAsia" w:ascii="宋体" w:hAnsi="宋体" w:cs="宋体"/>
          <w:b/>
          <w:color w:val="auto"/>
          <w:sz w:val="21"/>
          <w:szCs w:val="21"/>
          <w:highlight w:val="none"/>
          <w:u w:val="singl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u w:val="single"/>
        </w:rPr>
        <w:t>4</w:t>
      </w:r>
      <w:r>
        <w:rPr>
          <w:rFonts w:hint="eastAsia" w:ascii="宋体" w:hAnsi="宋体" w:cs="宋体"/>
          <w:color w:val="auto"/>
          <w:sz w:val="21"/>
          <w:szCs w:val="21"/>
          <w:highlight w:val="none"/>
          <w:u w:val="single"/>
          <w:lang w:val="en-US" w:eastAsia="zh-CN"/>
        </w:rPr>
        <w:t>8</w:t>
      </w:r>
      <w:r>
        <w:rPr>
          <w:rFonts w:hint="eastAsia" w:ascii="宋体" w:hAnsi="宋体" w:cs="宋体"/>
          <w:color w:val="auto"/>
          <w:sz w:val="21"/>
          <w:szCs w:val="21"/>
          <w:highlight w:val="none"/>
          <w:u w:val="single"/>
        </w:rPr>
        <w:t>.评标委员会按只有通过有效性审查的投标人的投标文件方可进入下一阶段有效性审查的原则，根据有效性审查结果，取消被否决投标的投标人进入定标阶段的入围合格的中标候选人资格，其余通过全部有效性审查的投标人均可进入定标阶段。</w:t>
      </w:r>
    </w:p>
    <w:p w14:paraId="70961CE3">
      <w:pPr>
        <w:pBdr>
          <w:bottom w:val="single" w:color="auto" w:sz="6" w:space="1"/>
        </w:pBdr>
        <w:spacing w:line="360" w:lineRule="auto"/>
        <w:ind w:firstLine="514" w:firstLineChars="245"/>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4</w:t>
      </w:r>
      <w:r>
        <w:rPr>
          <w:rFonts w:hint="eastAsia" w:ascii="宋体" w:hAnsi="宋体" w:cs="宋体"/>
          <w:color w:val="auto"/>
          <w:sz w:val="21"/>
          <w:szCs w:val="21"/>
          <w:highlight w:val="none"/>
          <w:u w:val="single"/>
          <w:lang w:val="en-US" w:eastAsia="zh-CN"/>
        </w:rPr>
        <w:t>9</w:t>
      </w:r>
      <w:r>
        <w:rPr>
          <w:rFonts w:hint="eastAsia" w:ascii="宋体" w:hAnsi="宋体" w:cs="宋体"/>
          <w:color w:val="auto"/>
          <w:sz w:val="21"/>
          <w:szCs w:val="21"/>
          <w:highlight w:val="none"/>
          <w:u w:val="single"/>
        </w:rPr>
        <w:t>.评标委员会应在通过投标文件经济标有效性审查的投标人中，按第一章投标须知“一、投标须知前附表”第19项的规定推荐合格中标候选人,并编制评标报告。</w:t>
      </w:r>
    </w:p>
    <w:p w14:paraId="13FF65A5">
      <w:pPr>
        <w:spacing w:line="360" w:lineRule="auto"/>
        <w:ind w:firstLine="517" w:firstLineChars="245"/>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w:t>
      </w:r>
      <w:r>
        <w:rPr>
          <w:rFonts w:hint="eastAsia" w:ascii="宋体" w:hAnsi="宋体" w:cs="宋体"/>
          <w:b/>
          <w:color w:val="auto"/>
          <w:kern w:val="0"/>
          <w:sz w:val="21"/>
          <w:szCs w:val="21"/>
          <w:highlight w:val="none"/>
        </w:rPr>
        <w:t>5</w:t>
      </w:r>
      <w:r>
        <w:rPr>
          <w:rFonts w:hint="eastAsia" w:ascii="宋体" w:hAnsi="宋体" w:cs="宋体"/>
          <w:b/>
          <w:color w:val="auto"/>
          <w:kern w:val="0"/>
          <w:sz w:val="21"/>
          <w:szCs w:val="21"/>
          <w:highlight w:val="none"/>
          <w:lang w:val="en-US" w:eastAsia="zh-CN"/>
        </w:rPr>
        <w:t>1</w:t>
      </w:r>
      <w:r>
        <w:rPr>
          <w:rFonts w:hint="eastAsia" w:ascii="宋体" w:hAnsi="宋体" w:cs="宋体"/>
          <w:b/>
          <w:color w:val="auto"/>
          <w:kern w:val="0"/>
          <w:sz w:val="21"/>
          <w:szCs w:val="21"/>
          <w:highlight w:val="none"/>
        </w:rPr>
        <w:t>.</w:t>
      </w:r>
      <w:r>
        <w:rPr>
          <w:rFonts w:hint="eastAsia" w:ascii="宋体" w:hAnsi="宋体" w:cs="宋体"/>
          <w:color w:val="auto"/>
          <w:kern w:val="0"/>
          <w:sz w:val="21"/>
          <w:szCs w:val="21"/>
          <w:highlight w:val="none"/>
        </w:rPr>
        <w:t xml:space="preserve">                       </w:t>
      </w:r>
      <w:r>
        <w:rPr>
          <w:rFonts w:hint="eastAsia" w:ascii="宋体" w:hAnsi="宋体" w:cs="宋体"/>
          <w:b/>
          <w:color w:val="auto"/>
          <w:sz w:val="21"/>
          <w:szCs w:val="21"/>
          <w:highlight w:val="none"/>
        </w:rPr>
        <w:t>修改类型：增加</w:t>
      </w:r>
    </w:p>
    <w:p w14:paraId="626DA623">
      <w:pPr>
        <w:spacing w:line="360" w:lineRule="auto"/>
        <w:ind w:firstLine="422" w:firstLineChars="200"/>
        <w:rPr>
          <w:rFonts w:hint="eastAsia" w:ascii="宋体" w:hAnsi="宋体" w:cs="宋体"/>
          <w:color w:val="auto"/>
          <w:sz w:val="21"/>
          <w:szCs w:val="21"/>
          <w:highlight w:val="none"/>
          <w:u w:val="singl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u w:val="single"/>
        </w:rPr>
        <w:t>5</w:t>
      </w:r>
      <w:r>
        <w:rPr>
          <w:rFonts w:hint="eastAsia" w:ascii="宋体" w:hAnsi="宋体" w:cs="宋体"/>
          <w:color w:val="auto"/>
          <w:sz w:val="21"/>
          <w:szCs w:val="21"/>
          <w:highlight w:val="none"/>
          <w:u w:val="single"/>
          <w:lang w:val="en-US" w:eastAsia="zh-CN"/>
        </w:rPr>
        <w:t>1</w:t>
      </w:r>
      <w:r>
        <w:rPr>
          <w:rFonts w:hint="eastAsia" w:ascii="宋体" w:hAnsi="宋体" w:cs="宋体"/>
          <w:color w:val="auto"/>
          <w:sz w:val="21"/>
          <w:szCs w:val="21"/>
          <w:highlight w:val="none"/>
          <w:u w:val="single"/>
        </w:rPr>
        <w:t>.定标</w:t>
      </w:r>
    </w:p>
    <w:p w14:paraId="29333492">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评标结束后，招标人按以下规定组建定标委员会，在评标委员会推荐的合格投标人中确定中标候选人：</w:t>
      </w:r>
    </w:p>
    <w:p w14:paraId="7CB72EC1">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定标由招标人依法组建的定标委员会负责。</w:t>
      </w:r>
    </w:p>
    <w:p w14:paraId="42564761">
      <w:pPr>
        <w:spacing w:line="360" w:lineRule="auto"/>
        <w:ind w:firstLine="420" w:firstLineChars="200"/>
        <w:rPr>
          <w:rFonts w:hint="eastAsia" w:ascii="宋体" w:hAnsi="宋体" w:cs="宋体"/>
          <w:bCs/>
          <w:color w:val="auto"/>
          <w:sz w:val="21"/>
          <w:szCs w:val="21"/>
          <w:highlight w:val="none"/>
          <w:u w:val="single"/>
        </w:rPr>
      </w:pPr>
      <w:r>
        <w:rPr>
          <w:rFonts w:hint="eastAsia" w:ascii="宋体" w:hAnsi="宋体" w:cs="宋体"/>
          <w:bCs/>
          <w:color w:val="auto"/>
          <w:sz w:val="21"/>
          <w:szCs w:val="21"/>
          <w:highlight w:val="none"/>
          <w:u w:val="single"/>
        </w:rPr>
        <w:t>5</w:t>
      </w:r>
      <w:r>
        <w:rPr>
          <w:rFonts w:hint="eastAsia" w:ascii="宋体" w:hAnsi="宋体" w:cs="宋体"/>
          <w:bCs/>
          <w:color w:val="auto"/>
          <w:sz w:val="21"/>
          <w:szCs w:val="21"/>
          <w:highlight w:val="none"/>
          <w:u w:val="single"/>
          <w:lang w:val="en-US" w:eastAsia="zh-CN"/>
        </w:rPr>
        <w:t>1</w:t>
      </w:r>
      <w:r>
        <w:rPr>
          <w:rFonts w:hint="eastAsia" w:ascii="宋体" w:hAnsi="宋体" w:cs="宋体"/>
          <w:bCs/>
          <w:color w:val="auto"/>
          <w:sz w:val="21"/>
          <w:szCs w:val="21"/>
          <w:highlight w:val="none"/>
          <w:u w:val="single"/>
        </w:rPr>
        <w:t>.1 定标时间和地点</w:t>
      </w:r>
    </w:p>
    <w:p w14:paraId="5ECBA880">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招标人在合格的中标候选人公示完成后，</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rPr>
        <w:t>个工作日内在广州交易集团有限公司（广州公共资源交易中心）开展定标工作，招标人按规定程序在投标人须知的时间和地点完成定标工作。</w:t>
      </w:r>
    </w:p>
    <w:p w14:paraId="2144A8AC">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val="en-US" w:eastAsia="zh-CN"/>
        </w:rPr>
        <w:t>51.2</w:t>
      </w:r>
      <w:r>
        <w:rPr>
          <w:rFonts w:hint="eastAsia" w:ascii="宋体" w:hAnsi="宋体" w:cs="宋体"/>
          <w:color w:val="auto"/>
          <w:sz w:val="21"/>
          <w:szCs w:val="21"/>
          <w:highlight w:val="none"/>
          <w:u w:val="single"/>
        </w:rPr>
        <w:t>定标规则及程序</w:t>
      </w:r>
    </w:p>
    <w:p w14:paraId="2B37A714">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val="en-US" w:eastAsia="zh-CN"/>
        </w:rPr>
        <w:t>51.2</w:t>
      </w:r>
      <w:r>
        <w:rPr>
          <w:rFonts w:hint="eastAsia" w:ascii="宋体" w:hAnsi="宋体" w:cs="宋体"/>
          <w:color w:val="auto"/>
          <w:sz w:val="21"/>
          <w:szCs w:val="21"/>
          <w:highlight w:val="none"/>
          <w:u w:val="single"/>
        </w:rPr>
        <w:t>.1 本项目</w:t>
      </w:r>
      <w:r>
        <w:rPr>
          <w:rFonts w:hint="eastAsia" w:ascii="宋体" w:hAnsi="宋体" w:cs="宋体"/>
          <w:color w:val="auto"/>
          <w:sz w:val="21"/>
          <w:szCs w:val="21"/>
          <w:highlight w:val="none"/>
          <w:u w:val="single"/>
          <w:lang w:eastAsia="zh-CN"/>
        </w:rPr>
        <w:t>定标办法</w:t>
      </w:r>
      <w:r>
        <w:rPr>
          <w:rFonts w:hint="eastAsia" w:ascii="宋体" w:hAnsi="宋体" w:cs="宋体"/>
          <w:color w:val="auto"/>
          <w:sz w:val="21"/>
          <w:szCs w:val="21"/>
          <w:highlight w:val="none"/>
          <w:u w:val="single"/>
        </w:rPr>
        <w:t>采用评分法，定标委员会应根据</w:t>
      </w:r>
      <w:r>
        <w:rPr>
          <w:rFonts w:hint="eastAsia" w:ascii="宋体" w:hAnsi="宋体" w:cs="宋体"/>
          <w:color w:val="auto"/>
          <w:sz w:val="21"/>
          <w:szCs w:val="21"/>
          <w:highlight w:val="none"/>
          <w:u w:val="single"/>
          <w:lang w:eastAsia="zh-CN"/>
        </w:rPr>
        <w:t>定标</w:t>
      </w:r>
      <w:r>
        <w:rPr>
          <w:rFonts w:hint="eastAsia" w:ascii="宋体" w:hAnsi="宋体" w:cs="宋体"/>
          <w:color w:val="auto"/>
          <w:sz w:val="21"/>
          <w:szCs w:val="21"/>
          <w:highlight w:val="none"/>
          <w:u w:val="single"/>
        </w:rPr>
        <w:t>因素对合格的中标候选人的各项能力进行评审，确定总得分最高合格的中标候选人为中标人；</w:t>
      </w:r>
    </w:p>
    <w:p w14:paraId="3C9F2E80">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val="en-US" w:eastAsia="zh-CN"/>
        </w:rPr>
        <w:t>51.2</w:t>
      </w:r>
      <w:r>
        <w:rPr>
          <w:rFonts w:hint="eastAsia" w:ascii="宋体" w:hAnsi="宋体" w:cs="宋体"/>
          <w:color w:val="auto"/>
          <w:sz w:val="21"/>
          <w:szCs w:val="21"/>
          <w:highlight w:val="none"/>
          <w:u w:val="single"/>
        </w:rPr>
        <w:t>.2 定标工作开始后，定标委员会应推荐一人为定标委员会组长，主持当次定标会议。</w:t>
      </w:r>
    </w:p>
    <w:p w14:paraId="3CD1AFFD">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val="en-US" w:eastAsia="zh-CN"/>
        </w:rPr>
        <w:t>51.2</w:t>
      </w:r>
      <w:r>
        <w:rPr>
          <w:rFonts w:hint="eastAsia" w:ascii="宋体" w:hAnsi="宋体" w:cs="宋体"/>
          <w:color w:val="auto"/>
          <w:sz w:val="21"/>
          <w:szCs w:val="21"/>
          <w:highlight w:val="none"/>
          <w:u w:val="single"/>
        </w:rPr>
        <w:t>.3 定标辅助资料为评标阶段的评标报告、投标人提交的投标文件与定标文件。</w:t>
      </w:r>
    </w:p>
    <w:p w14:paraId="4FDFC9F7">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val="en-US" w:eastAsia="zh-CN"/>
        </w:rPr>
        <w:t>51.2</w:t>
      </w:r>
      <w:r>
        <w:rPr>
          <w:rFonts w:hint="eastAsia" w:ascii="宋体" w:hAnsi="宋体" w:cs="宋体"/>
          <w:color w:val="auto"/>
          <w:sz w:val="21"/>
          <w:szCs w:val="21"/>
          <w:highlight w:val="none"/>
          <w:u w:val="single"/>
        </w:rPr>
        <w:t>.4 定标委员会根据定标辅助资料，在同等条件下，定标因素的相对标准按以下几个方面进行：</w:t>
      </w:r>
    </w:p>
    <w:p w14:paraId="63A4FADA">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履约能力</w:t>
      </w:r>
      <w:r>
        <w:rPr>
          <w:rFonts w:hint="eastAsia" w:ascii="宋体" w:hAnsi="宋体" w:cs="宋体"/>
          <w:color w:val="auto"/>
          <w:sz w:val="21"/>
          <w:szCs w:val="21"/>
          <w:highlight w:val="none"/>
          <w:u w:val="single"/>
        </w:rPr>
        <w:t>因素</w:t>
      </w:r>
      <w:r>
        <w:rPr>
          <w:rFonts w:hint="eastAsia" w:ascii="宋体" w:hAnsi="宋体" w:cs="宋体"/>
          <w:color w:val="auto"/>
          <w:sz w:val="21"/>
          <w:szCs w:val="21"/>
          <w:highlight w:val="none"/>
          <w:u w:val="single"/>
          <w:lang w:eastAsia="zh-CN"/>
        </w:rPr>
        <w:t>；</w:t>
      </w:r>
    </w:p>
    <w:p w14:paraId="6AEFF1D1">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cs="宋体"/>
          <w:color w:val="auto"/>
          <w:sz w:val="21"/>
          <w:szCs w:val="21"/>
          <w:highlight w:val="none"/>
          <w:u w:val="single"/>
        </w:rPr>
        <w:t>2、</w:t>
      </w:r>
      <w:r>
        <w:rPr>
          <w:rFonts w:hint="eastAsia" w:ascii="宋体" w:hAnsi="宋体" w:cs="宋体"/>
          <w:color w:val="auto"/>
          <w:sz w:val="21"/>
          <w:szCs w:val="21"/>
          <w:highlight w:val="none"/>
          <w:u w:val="single"/>
          <w:lang w:val="en-US" w:eastAsia="zh-CN"/>
        </w:rPr>
        <w:t>价格</w:t>
      </w:r>
      <w:r>
        <w:rPr>
          <w:rFonts w:hint="eastAsia" w:ascii="宋体" w:hAnsi="宋体" w:cs="宋体"/>
          <w:color w:val="auto"/>
          <w:sz w:val="21"/>
          <w:szCs w:val="21"/>
          <w:highlight w:val="none"/>
          <w:u w:val="single"/>
        </w:rPr>
        <w:t>因素</w:t>
      </w:r>
      <w:r>
        <w:rPr>
          <w:rFonts w:hint="eastAsia" w:ascii="宋体" w:hAnsi="宋体" w:cs="宋体"/>
          <w:color w:val="auto"/>
          <w:sz w:val="21"/>
          <w:szCs w:val="21"/>
          <w:highlight w:val="none"/>
          <w:u w:val="single"/>
          <w:lang w:eastAsia="zh-CN"/>
        </w:rPr>
        <w:t>。</w:t>
      </w:r>
    </w:p>
    <w:p w14:paraId="5BC3F314">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具体评价标准详见附表</w:t>
      </w:r>
      <w:r>
        <w:rPr>
          <w:rFonts w:hint="eastAsia" w:ascii="宋体" w:hAnsi="宋体" w:cs="宋体"/>
          <w:color w:val="auto"/>
          <w:sz w:val="21"/>
          <w:szCs w:val="21"/>
          <w:highlight w:val="none"/>
          <w:u w:val="single"/>
          <w:lang w:eastAsia="zh-CN"/>
        </w:rPr>
        <w:t>六</w:t>
      </w:r>
      <w:r>
        <w:rPr>
          <w:rFonts w:hint="eastAsia" w:ascii="宋体" w:hAnsi="宋体" w:cs="宋体"/>
          <w:color w:val="auto"/>
          <w:sz w:val="21"/>
          <w:szCs w:val="21"/>
          <w:highlight w:val="none"/>
          <w:u w:val="single"/>
        </w:rPr>
        <w:t>：《定标因素表》。</w:t>
      </w:r>
    </w:p>
    <w:p w14:paraId="1A2572DC">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val="en-US" w:eastAsia="zh-CN"/>
        </w:rPr>
        <w:t>51.2</w:t>
      </w:r>
      <w:r>
        <w:rPr>
          <w:rFonts w:hint="eastAsia" w:ascii="宋体" w:hAnsi="宋体" w:cs="宋体"/>
          <w:color w:val="auto"/>
          <w:sz w:val="21"/>
          <w:szCs w:val="21"/>
          <w:highlight w:val="none"/>
          <w:u w:val="single"/>
        </w:rPr>
        <w:t>.5 定标规则：定标委员会根据合格的中标候选人总得分由高至低对合格的中标候选人进行排序。合格的中标候选人总得分=</w:t>
      </w:r>
      <w:r>
        <w:rPr>
          <w:rFonts w:hint="eastAsia" w:ascii="宋体" w:hAnsi="宋体" w:cs="宋体"/>
          <w:color w:val="auto"/>
          <w:sz w:val="21"/>
          <w:szCs w:val="21"/>
          <w:highlight w:val="none"/>
          <w:u w:val="single"/>
          <w:lang w:val="en-US" w:eastAsia="zh-CN"/>
        </w:rPr>
        <w:t>履约能力</w:t>
      </w:r>
      <w:r>
        <w:rPr>
          <w:rFonts w:hint="eastAsia" w:ascii="宋体" w:hAnsi="宋体" w:cs="宋体"/>
          <w:color w:val="auto"/>
          <w:sz w:val="21"/>
          <w:szCs w:val="21"/>
          <w:highlight w:val="none"/>
          <w:u w:val="single"/>
        </w:rPr>
        <w:t>因素（</w:t>
      </w:r>
      <w:r>
        <w:rPr>
          <w:rFonts w:hint="eastAsia" w:ascii="宋体" w:hAnsi="宋体" w:cs="宋体"/>
          <w:color w:val="auto"/>
          <w:sz w:val="21"/>
          <w:szCs w:val="21"/>
          <w:highlight w:val="none"/>
          <w:u w:val="single"/>
          <w:lang w:val="en-US" w:eastAsia="zh-CN"/>
        </w:rPr>
        <w:t>80</w:t>
      </w:r>
      <w:r>
        <w:rPr>
          <w:rFonts w:hint="eastAsia" w:ascii="宋体" w:hAnsi="宋体" w:cs="宋体"/>
          <w:color w:val="auto"/>
          <w:sz w:val="21"/>
          <w:szCs w:val="21"/>
          <w:highlight w:val="none"/>
          <w:u w:val="single"/>
        </w:rPr>
        <w:t>分）+价格因素（</w:t>
      </w:r>
      <w:r>
        <w:rPr>
          <w:rFonts w:hint="eastAsia" w:ascii="宋体" w:hAnsi="宋体" w:cs="宋体"/>
          <w:color w:val="auto"/>
          <w:sz w:val="21"/>
          <w:szCs w:val="21"/>
          <w:highlight w:val="none"/>
          <w:u w:val="single"/>
          <w:lang w:val="en-US" w:eastAsia="zh-CN"/>
        </w:rPr>
        <w:t>20</w:t>
      </w:r>
      <w:r>
        <w:rPr>
          <w:rFonts w:hint="eastAsia" w:ascii="宋体" w:hAnsi="宋体" w:cs="宋体"/>
          <w:color w:val="auto"/>
          <w:sz w:val="21"/>
          <w:szCs w:val="21"/>
          <w:highlight w:val="none"/>
          <w:u w:val="single"/>
        </w:rPr>
        <w:t>分）。总得分四舍五入保留两位小数。</w:t>
      </w:r>
    </w:p>
    <w:p w14:paraId="3E6A423A">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注：若合格的中标候选人总得分相同且影响定标排序的，以</w:t>
      </w:r>
      <w:r>
        <w:rPr>
          <w:rFonts w:hint="eastAsia" w:ascii="宋体" w:hAnsi="宋体" w:cs="宋体"/>
          <w:color w:val="auto"/>
          <w:sz w:val="21"/>
          <w:szCs w:val="21"/>
          <w:highlight w:val="none"/>
          <w:u w:val="single"/>
          <w:lang w:val="en-US" w:eastAsia="zh-CN"/>
        </w:rPr>
        <w:t>履约能力</w:t>
      </w:r>
      <w:r>
        <w:rPr>
          <w:rFonts w:hint="eastAsia" w:ascii="宋体" w:hAnsi="宋体" w:cs="宋体"/>
          <w:color w:val="auto"/>
          <w:sz w:val="21"/>
          <w:szCs w:val="21"/>
          <w:highlight w:val="none"/>
          <w:u w:val="single"/>
        </w:rPr>
        <w:t>因素得分高的排前；若</w:t>
      </w:r>
      <w:r>
        <w:rPr>
          <w:rFonts w:hint="eastAsia" w:ascii="宋体" w:hAnsi="宋体" w:cs="宋体"/>
          <w:color w:val="auto"/>
          <w:sz w:val="21"/>
          <w:szCs w:val="21"/>
          <w:highlight w:val="none"/>
          <w:u w:val="single"/>
          <w:lang w:val="en-US" w:eastAsia="zh-CN"/>
        </w:rPr>
        <w:t>履约能力</w:t>
      </w:r>
      <w:r>
        <w:rPr>
          <w:rFonts w:hint="eastAsia" w:ascii="宋体" w:hAnsi="宋体" w:cs="宋体"/>
          <w:color w:val="auto"/>
          <w:sz w:val="21"/>
          <w:szCs w:val="21"/>
          <w:highlight w:val="none"/>
          <w:u w:val="single"/>
        </w:rPr>
        <w:t>因素得分仍相同的，以价格因素得分高的排前，若价格因素得分仍相同的，由定标委员会投票确定排序。</w:t>
      </w:r>
    </w:p>
    <w:p w14:paraId="48C55132">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val="en-US" w:eastAsia="zh-CN"/>
        </w:rPr>
        <w:t>51.2</w:t>
      </w:r>
      <w:r>
        <w:rPr>
          <w:rFonts w:hint="eastAsia" w:ascii="宋体" w:hAnsi="宋体" w:cs="宋体"/>
          <w:color w:val="auto"/>
          <w:sz w:val="21"/>
          <w:szCs w:val="21"/>
          <w:highlight w:val="none"/>
          <w:u w:val="single"/>
        </w:rPr>
        <w:t>.6定标委员会确定总得分最高的合格的中标候选人为中标人。</w:t>
      </w:r>
    </w:p>
    <w:p w14:paraId="0D55D1BC">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val="en-US" w:eastAsia="zh-CN"/>
        </w:rPr>
        <w:t>51.2</w:t>
      </w:r>
      <w:r>
        <w:rPr>
          <w:rFonts w:hint="eastAsia" w:ascii="宋体" w:hAnsi="宋体" w:cs="宋体"/>
          <w:color w:val="auto"/>
          <w:sz w:val="21"/>
          <w:szCs w:val="21"/>
          <w:highlight w:val="none"/>
          <w:u w:val="single"/>
        </w:rPr>
        <w:t>.7 编写定标报告，定标委员会全体确认后签署定标报告。</w:t>
      </w:r>
    </w:p>
    <w:p w14:paraId="3B3E389D">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val="en-US" w:eastAsia="zh-CN"/>
        </w:rPr>
        <w:t>51.3</w:t>
      </w:r>
      <w:r>
        <w:rPr>
          <w:rFonts w:hint="eastAsia" w:ascii="宋体" w:hAnsi="宋体" w:cs="宋体"/>
          <w:color w:val="auto"/>
          <w:sz w:val="21"/>
          <w:szCs w:val="21"/>
          <w:highlight w:val="none"/>
          <w:u w:val="single"/>
        </w:rPr>
        <w:t>因质疑或投诉生效，需要重新评标或定标的，评标、定标信息（含业绩、奖项等）仍以投标截止时投标人的信息为准。因特殊原因需要延长投标有效期，投标人拒绝延长投标有效期的，仍参与评标、定标，但不被推荐为中标候选人。</w:t>
      </w:r>
    </w:p>
    <w:p w14:paraId="4614B29D">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val="en-US" w:eastAsia="zh-CN"/>
        </w:rPr>
        <w:t>51.4</w:t>
      </w:r>
      <w:r>
        <w:rPr>
          <w:rFonts w:hint="eastAsia" w:ascii="宋体" w:hAnsi="宋体" w:cs="宋体"/>
          <w:color w:val="auto"/>
          <w:sz w:val="21"/>
          <w:szCs w:val="21"/>
          <w:highlight w:val="none"/>
          <w:u w:val="single"/>
        </w:rPr>
        <w:t>定标委员会向招标人提交书面定标报告后即解散，定标过程中使用的文件、表格以及其他资料不得私自带离。</w:t>
      </w:r>
    </w:p>
    <w:p w14:paraId="45F2155A">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val="en-US" w:eastAsia="zh-CN"/>
        </w:rPr>
        <w:t>51.</w:t>
      </w:r>
      <w:r>
        <w:rPr>
          <w:rFonts w:hint="eastAsia" w:ascii="宋体" w:hAnsi="宋体" w:cs="宋体"/>
          <w:color w:val="auto"/>
          <w:sz w:val="21"/>
          <w:szCs w:val="21"/>
          <w:highlight w:val="none"/>
          <w:u w:val="single"/>
        </w:rPr>
        <w:t>5招标人应当在定标工作完成后的3日内公示中标结果。</w:t>
      </w:r>
    </w:p>
    <w:p w14:paraId="4253A93F">
      <w:pPr>
        <w:pBdr>
          <w:bottom w:val="single" w:color="auto" w:sz="6" w:space="1"/>
        </w:pBdr>
        <w:spacing w:line="360" w:lineRule="auto"/>
        <w:ind w:firstLine="367" w:firstLineChars="175"/>
        <w:rPr>
          <w:rFonts w:hint="eastAsia" w:ascii="宋体" w:hAnsi="宋体" w:cs="宋体"/>
          <w:color w:val="auto"/>
          <w:sz w:val="21"/>
          <w:szCs w:val="21"/>
          <w:highlight w:val="none"/>
        </w:rPr>
      </w:pPr>
      <w:r>
        <w:rPr>
          <w:rFonts w:hint="eastAsia" w:ascii="宋体" w:hAnsi="宋体" w:cs="宋体"/>
          <w:color w:val="auto"/>
          <w:sz w:val="21"/>
          <w:szCs w:val="21"/>
          <w:highlight w:val="none"/>
          <w:u w:val="single"/>
          <w:lang w:val="en-US" w:eastAsia="zh-CN"/>
        </w:rPr>
        <w:t>51.</w:t>
      </w:r>
      <w:r>
        <w:rPr>
          <w:rFonts w:hint="eastAsia" w:ascii="宋体" w:hAnsi="宋体" w:cs="宋体"/>
          <w:color w:val="auto"/>
          <w:sz w:val="21"/>
          <w:szCs w:val="21"/>
          <w:highlight w:val="none"/>
          <w:u w:val="single"/>
        </w:rPr>
        <w:t>6定标后出现中标人不符合法定情形的，招标人可从其他合格的中标候选人中采用原定标办法，由原定标委员会确定中标人，也可以重新招标。</w:t>
      </w:r>
    </w:p>
    <w:p w14:paraId="3CB98368">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条款号：附表一《资格审查表》                         修改类型：修改</w:t>
      </w:r>
    </w:p>
    <w:p w14:paraId="2481B42B">
      <w:pPr>
        <w:spacing w:line="360" w:lineRule="auto"/>
        <w:ind w:firstLine="472" w:firstLineChars="224"/>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详见《</w:t>
      </w:r>
      <w:r>
        <w:rPr>
          <w:rFonts w:hint="eastAsia" w:ascii="宋体" w:hAnsi="宋体" w:eastAsia="宋体" w:cs="宋体"/>
          <w:bCs/>
          <w:color w:val="auto"/>
          <w:szCs w:val="21"/>
          <w:highlight w:val="none"/>
          <w:lang w:eastAsia="zh-CN"/>
        </w:rPr>
        <w:t>广州市城市道路及轨道交通建设工程施工公开招标项目招标文件示范文本GZJTZB2025-3</w:t>
      </w:r>
      <w:r>
        <w:rPr>
          <w:rFonts w:hint="eastAsia" w:ascii="宋体" w:hAnsi="宋体" w:eastAsia="宋体" w:cs="宋体"/>
          <w:bCs/>
          <w:color w:val="auto"/>
          <w:szCs w:val="21"/>
          <w:highlight w:val="none"/>
        </w:rPr>
        <w:t>》</w:t>
      </w:r>
    </w:p>
    <w:p w14:paraId="644FD500">
      <w:pPr>
        <w:pBdr>
          <w:bottom w:val="single" w:color="auto" w:sz="6" w:space="1"/>
        </w:pBdr>
        <w:spacing w:line="360" w:lineRule="auto"/>
        <w:ind w:firstLine="527" w:firstLineChars="25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Cs/>
          <w:color w:val="auto"/>
          <w:szCs w:val="21"/>
          <w:highlight w:val="none"/>
        </w:rPr>
        <w:t>详见附表一《资格审查表》</w:t>
      </w:r>
    </w:p>
    <w:p w14:paraId="681AB0DF">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条款号：附表二《技术标有效性审查表》                 修改类型：修改</w:t>
      </w:r>
    </w:p>
    <w:p w14:paraId="5FC53DA5">
      <w:pPr>
        <w:spacing w:line="360" w:lineRule="auto"/>
        <w:ind w:firstLine="472" w:firstLineChars="224"/>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详见《</w:t>
      </w:r>
      <w:r>
        <w:rPr>
          <w:rFonts w:hint="eastAsia" w:ascii="宋体" w:hAnsi="宋体" w:eastAsia="宋体" w:cs="宋体"/>
          <w:bCs/>
          <w:color w:val="auto"/>
          <w:szCs w:val="21"/>
          <w:highlight w:val="none"/>
          <w:lang w:eastAsia="zh-CN"/>
        </w:rPr>
        <w:t>广州市城市道路及轨道交通建设工程施工公开招标项目招标文件示范文本GZJTZB2025-3</w:t>
      </w:r>
      <w:r>
        <w:rPr>
          <w:rFonts w:hint="eastAsia" w:ascii="宋体" w:hAnsi="宋体" w:eastAsia="宋体" w:cs="宋体"/>
          <w:bCs/>
          <w:color w:val="auto"/>
          <w:szCs w:val="21"/>
          <w:highlight w:val="none"/>
        </w:rPr>
        <w:t>》</w:t>
      </w:r>
    </w:p>
    <w:p w14:paraId="06C07E3C">
      <w:pPr>
        <w:pBdr>
          <w:bottom w:val="single" w:color="auto" w:sz="6" w:space="1"/>
        </w:pBdr>
        <w:spacing w:line="360" w:lineRule="auto"/>
        <w:ind w:firstLine="527" w:firstLineChars="25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Cs/>
          <w:color w:val="auto"/>
          <w:szCs w:val="21"/>
          <w:highlight w:val="none"/>
        </w:rPr>
        <w:t>详见附表二《技术标有效性审查表》</w:t>
      </w:r>
    </w:p>
    <w:p w14:paraId="1BB6114D">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条款号：附表三《经济标有效性审查表》                 修改类型：修改</w:t>
      </w:r>
    </w:p>
    <w:p w14:paraId="4ADC9FBD">
      <w:pPr>
        <w:spacing w:line="360" w:lineRule="auto"/>
        <w:ind w:firstLine="472" w:firstLineChars="224"/>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详见《</w:t>
      </w:r>
      <w:r>
        <w:rPr>
          <w:rFonts w:hint="eastAsia" w:ascii="宋体" w:hAnsi="宋体" w:eastAsia="宋体" w:cs="宋体"/>
          <w:bCs/>
          <w:color w:val="auto"/>
          <w:szCs w:val="21"/>
          <w:highlight w:val="none"/>
          <w:lang w:eastAsia="zh-CN"/>
        </w:rPr>
        <w:t>广州市城市道路及轨道交通建设工程施工公开招标项目招标文件示范文本GZJTZB2025-3</w:t>
      </w:r>
      <w:r>
        <w:rPr>
          <w:rFonts w:hint="eastAsia" w:ascii="宋体" w:hAnsi="宋体" w:eastAsia="宋体" w:cs="宋体"/>
          <w:bCs/>
          <w:color w:val="auto"/>
          <w:szCs w:val="21"/>
          <w:highlight w:val="none"/>
        </w:rPr>
        <w:t>》</w:t>
      </w:r>
    </w:p>
    <w:p w14:paraId="6B3A0005">
      <w:pPr>
        <w:pBdr>
          <w:bottom w:val="single" w:color="auto" w:sz="6" w:space="1"/>
        </w:pBdr>
        <w:spacing w:line="360" w:lineRule="auto"/>
        <w:ind w:firstLine="527" w:firstLineChars="25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Cs/>
          <w:color w:val="auto"/>
          <w:szCs w:val="21"/>
          <w:highlight w:val="none"/>
        </w:rPr>
        <w:t>详见附表三《经济标有效性审查表》</w:t>
      </w:r>
    </w:p>
    <w:p w14:paraId="31325C8B">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条款号：附表四《技术标详细审查评分表》               修改类型：修改</w:t>
      </w:r>
    </w:p>
    <w:p w14:paraId="29B425AD">
      <w:pPr>
        <w:pBdr>
          <w:bottom w:val="single" w:color="auto" w:sz="6" w:space="1"/>
        </w:pBdr>
        <w:spacing w:line="360" w:lineRule="auto"/>
        <w:ind w:firstLine="527" w:firstLineChars="25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Cs/>
          <w:color w:val="auto"/>
          <w:szCs w:val="21"/>
          <w:highlight w:val="none"/>
        </w:rPr>
        <w:t>详见附表四《技术标详细审查评分表》</w:t>
      </w:r>
    </w:p>
    <w:p w14:paraId="5EA4FA6F">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条款号：附表五（适用于加权平均法）经济标评分表       修改类型：删除</w:t>
      </w:r>
    </w:p>
    <w:p w14:paraId="27F9E8F5">
      <w:pPr>
        <w:pBdr>
          <w:bottom w:val="single" w:color="auto" w:sz="6" w:space="1"/>
        </w:pBdr>
        <w:spacing w:line="360" w:lineRule="auto"/>
        <w:ind w:firstLine="527" w:firstLineChars="250"/>
        <w:rPr>
          <w:rFonts w:hint="eastAsia" w:ascii="宋体" w:hAnsi="宋体" w:eastAsia="宋体" w:cs="宋体"/>
          <w:bCs/>
          <w:color w:val="auto"/>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详见《</w:t>
      </w:r>
      <w:r>
        <w:rPr>
          <w:rFonts w:hint="eastAsia" w:ascii="宋体" w:hAnsi="宋体" w:eastAsia="宋体" w:cs="宋体"/>
          <w:bCs/>
          <w:color w:val="auto"/>
          <w:szCs w:val="21"/>
          <w:highlight w:val="none"/>
          <w:lang w:eastAsia="zh-CN"/>
        </w:rPr>
        <w:t>广州市城市道路及轨道交通建设工程施工公开招标项目招标文件示范文本GZJTZB2025-3</w:t>
      </w:r>
      <w:r>
        <w:rPr>
          <w:rFonts w:hint="eastAsia" w:ascii="宋体" w:hAnsi="宋体" w:eastAsia="宋体" w:cs="宋体"/>
          <w:bCs/>
          <w:color w:val="auto"/>
          <w:szCs w:val="21"/>
          <w:highlight w:val="none"/>
        </w:rPr>
        <w:t>》</w:t>
      </w:r>
    </w:p>
    <w:p w14:paraId="238B6971">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条款号：附表</w:t>
      </w:r>
      <w:r>
        <w:rPr>
          <w:rFonts w:hint="eastAsia" w:ascii="宋体" w:hAnsi="宋体" w:cs="宋体"/>
          <w:b/>
          <w:color w:val="auto"/>
          <w:szCs w:val="21"/>
          <w:highlight w:val="none"/>
          <w:lang w:val="en-US" w:eastAsia="zh-CN"/>
        </w:rPr>
        <w:t>五</w:t>
      </w:r>
      <w:r>
        <w:rPr>
          <w:rFonts w:hint="eastAsia" w:ascii="宋体" w:hAnsi="宋体" w:eastAsia="宋体" w:cs="宋体"/>
          <w:b/>
          <w:color w:val="auto"/>
          <w:szCs w:val="21"/>
          <w:highlight w:val="none"/>
        </w:rPr>
        <w:t>（适用于区间抽取法）经济标评分表       修改类型：删除</w:t>
      </w:r>
    </w:p>
    <w:p w14:paraId="3B5AEB0C">
      <w:pPr>
        <w:pBdr>
          <w:bottom w:val="single" w:color="auto" w:sz="6" w:space="1"/>
        </w:pBdr>
        <w:spacing w:line="360" w:lineRule="auto"/>
        <w:ind w:firstLine="527" w:firstLineChars="25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详见《</w:t>
      </w:r>
      <w:r>
        <w:rPr>
          <w:rFonts w:hint="eastAsia" w:ascii="宋体" w:hAnsi="宋体" w:eastAsia="宋体" w:cs="宋体"/>
          <w:bCs/>
          <w:color w:val="auto"/>
          <w:szCs w:val="21"/>
          <w:highlight w:val="none"/>
          <w:lang w:eastAsia="zh-CN"/>
        </w:rPr>
        <w:t>广州市城市道路及轨道交通建设工程施工公开招标项目招标文件示范文本GZJTZB2025-3</w:t>
      </w:r>
      <w:r>
        <w:rPr>
          <w:rFonts w:hint="eastAsia" w:ascii="宋体" w:hAnsi="宋体" w:eastAsia="宋体" w:cs="宋体"/>
          <w:bCs/>
          <w:color w:val="auto"/>
          <w:szCs w:val="21"/>
          <w:highlight w:val="none"/>
        </w:rPr>
        <w:t>》</w:t>
      </w:r>
    </w:p>
    <w:p w14:paraId="751B0378">
      <w:pPr>
        <w:spacing w:line="360" w:lineRule="auto"/>
        <w:ind w:firstLine="472" w:firstLineChars="224"/>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条款号：附表</w:t>
      </w:r>
      <w:r>
        <w:rPr>
          <w:rFonts w:hint="eastAsia" w:ascii="宋体" w:hAnsi="宋体" w:cs="宋体"/>
          <w:b/>
          <w:color w:val="auto"/>
          <w:szCs w:val="21"/>
          <w:highlight w:val="none"/>
          <w:lang w:val="en-US" w:eastAsia="zh-CN"/>
        </w:rPr>
        <w:t>六</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算术复核表</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eastAsia="宋体" w:cs="宋体"/>
          <w:b/>
          <w:color w:val="auto"/>
          <w:szCs w:val="21"/>
          <w:highlight w:val="none"/>
        </w:rPr>
        <w:t>修改类型：</w:t>
      </w:r>
      <w:r>
        <w:rPr>
          <w:rFonts w:hint="eastAsia" w:ascii="宋体" w:hAnsi="宋体" w:cs="宋体"/>
          <w:b/>
          <w:color w:val="auto"/>
          <w:szCs w:val="21"/>
          <w:highlight w:val="none"/>
          <w:lang w:val="en-US" w:eastAsia="zh-CN"/>
        </w:rPr>
        <w:t>修改</w:t>
      </w:r>
    </w:p>
    <w:p w14:paraId="6D1A636A">
      <w:pPr>
        <w:pBdr>
          <w:bottom w:val="single" w:color="auto" w:sz="6" w:space="1"/>
        </w:pBdr>
        <w:spacing w:line="360" w:lineRule="auto"/>
        <w:ind w:firstLine="527" w:firstLineChars="25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详见《</w:t>
      </w:r>
      <w:r>
        <w:rPr>
          <w:rFonts w:hint="eastAsia" w:ascii="宋体" w:hAnsi="宋体" w:eastAsia="宋体" w:cs="宋体"/>
          <w:bCs/>
          <w:color w:val="auto"/>
          <w:szCs w:val="21"/>
          <w:highlight w:val="none"/>
          <w:lang w:eastAsia="zh-CN"/>
        </w:rPr>
        <w:t>广州市城市道路及轨道交通建设工程施工公开招标项目招标文件示范文本GZJTZB2025-3</w:t>
      </w:r>
      <w:r>
        <w:rPr>
          <w:rFonts w:hint="eastAsia" w:ascii="宋体" w:hAnsi="宋体" w:eastAsia="宋体" w:cs="宋体"/>
          <w:bCs/>
          <w:color w:val="auto"/>
          <w:szCs w:val="21"/>
          <w:highlight w:val="none"/>
        </w:rPr>
        <w:t>》</w:t>
      </w:r>
    </w:p>
    <w:p w14:paraId="347E9AE8">
      <w:pPr>
        <w:pBdr>
          <w:bottom w:val="single" w:color="auto" w:sz="6" w:space="1"/>
        </w:pBdr>
        <w:spacing w:line="360" w:lineRule="auto"/>
        <w:ind w:firstLine="527" w:firstLineChars="250"/>
        <w:rPr>
          <w:rFonts w:hint="default" w:ascii="宋体" w:hAnsi="宋体" w:eastAsia="宋体" w:cs="宋体"/>
          <w:bCs/>
          <w:color w:val="auto"/>
          <w:szCs w:val="21"/>
          <w:highlight w:val="none"/>
          <w:lang w:val="en-US" w:eastAsia="zh-CN"/>
        </w:rPr>
      </w:pPr>
      <w:r>
        <w:rPr>
          <w:rFonts w:hint="eastAsia" w:ascii="宋体" w:hAnsi="宋体" w:cs="宋体"/>
          <w:b/>
          <w:bCs w:val="0"/>
          <w:color w:val="auto"/>
          <w:szCs w:val="21"/>
          <w:highlight w:val="none"/>
          <w:lang w:val="en-US" w:eastAsia="zh-CN"/>
        </w:rPr>
        <w:t>现文：</w:t>
      </w:r>
      <w:r>
        <w:rPr>
          <w:rFonts w:hint="eastAsia" w:ascii="宋体" w:hAnsi="宋体" w:cs="宋体"/>
          <w:bCs/>
          <w:color w:val="auto"/>
          <w:szCs w:val="21"/>
          <w:highlight w:val="none"/>
          <w:lang w:val="en-US" w:eastAsia="zh-CN"/>
        </w:rPr>
        <w:t>附表五</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算术复核表</w:t>
      </w:r>
      <w:r>
        <w:rPr>
          <w:rFonts w:hint="eastAsia" w:ascii="宋体" w:hAnsi="宋体" w:cs="宋体"/>
          <w:b w:val="0"/>
          <w:bCs/>
          <w:color w:val="auto"/>
          <w:szCs w:val="21"/>
          <w:highlight w:val="none"/>
          <w:lang w:eastAsia="zh-CN"/>
        </w:rPr>
        <w:t>》</w:t>
      </w:r>
    </w:p>
    <w:p w14:paraId="596635DD">
      <w:pPr>
        <w:spacing w:line="360" w:lineRule="auto"/>
        <w:ind w:firstLine="472" w:firstLineChars="224"/>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条款号：附表</w:t>
      </w:r>
      <w:r>
        <w:rPr>
          <w:rFonts w:hint="eastAsia" w:ascii="宋体" w:hAnsi="宋体" w:cs="宋体"/>
          <w:b/>
          <w:color w:val="auto"/>
          <w:szCs w:val="21"/>
          <w:highlight w:val="none"/>
          <w:lang w:val="en-US" w:eastAsia="zh-CN"/>
        </w:rPr>
        <w:t>六</w:t>
      </w:r>
      <w:r>
        <w:rPr>
          <w:rFonts w:hint="eastAsia" w:ascii="宋体" w:hAnsi="宋体" w:eastAsia="宋体" w:cs="宋体"/>
          <w:b/>
          <w:color w:val="auto"/>
          <w:szCs w:val="21"/>
          <w:highlight w:val="none"/>
          <w:lang w:val="en-US" w:eastAsia="zh-CN"/>
        </w:rPr>
        <w:t>《定标因素表》</w:t>
      </w:r>
      <w:r>
        <w:rPr>
          <w:rFonts w:hint="eastAsia" w:ascii="宋体" w:hAnsi="宋体" w:eastAsia="宋体" w:cs="宋体"/>
          <w:b/>
          <w:color w:val="auto"/>
          <w:szCs w:val="21"/>
          <w:highlight w:val="none"/>
        </w:rPr>
        <w:t xml:space="preserve">       修改类型：</w:t>
      </w:r>
      <w:r>
        <w:rPr>
          <w:rFonts w:hint="eastAsia" w:ascii="宋体" w:hAnsi="宋体" w:eastAsia="宋体" w:cs="宋体"/>
          <w:b/>
          <w:color w:val="auto"/>
          <w:szCs w:val="21"/>
          <w:highlight w:val="none"/>
          <w:lang w:val="en-US" w:eastAsia="zh-CN"/>
        </w:rPr>
        <w:t>增加</w:t>
      </w:r>
    </w:p>
    <w:p w14:paraId="1C69A032">
      <w:pPr>
        <w:pBdr>
          <w:bottom w:val="single" w:color="auto" w:sz="6" w:space="1"/>
        </w:pBdr>
        <w:spacing w:line="360" w:lineRule="auto"/>
        <w:ind w:firstLine="527" w:firstLineChars="250"/>
        <w:rPr>
          <w:rFonts w:hint="eastAsia" w:ascii="宋体" w:hAnsi="宋体" w:eastAsia="宋体" w:cs="宋体"/>
          <w:bCs/>
          <w:color w:val="auto"/>
          <w:highlight w:val="none"/>
        </w:rPr>
      </w:pPr>
      <w:r>
        <w:rPr>
          <w:rFonts w:hint="eastAsia" w:ascii="宋体" w:hAnsi="宋体" w:eastAsia="宋体" w:cs="宋体"/>
          <w:b/>
          <w:color w:val="auto"/>
          <w:szCs w:val="21"/>
          <w:highlight w:val="none"/>
          <w:lang w:val="en-US" w:eastAsia="zh-CN"/>
        </w:rPr>
        <w:t>现文</w:t>
      </w:r>
      <w:r>
        <w:rPr>
          <w:rFonts w:hint="eastAsia" w:ascii="宋体" w:hAnsi="宋体" w:eastAsia="宋体" w:cs="宋体"/>
          <w:b/>
          <w:color w:val="auto"/>
          <w:szCs w:val="21"/>
          <w:highlight w:val="none"/>
        </w:rPr>
        <w:t>：</w:t>
      </w:r>
      <w:r>
        <w:rPr>
          <w:rFonts w:hint="eastAsia" w:ascii="宋体" w:hAnsi="宋体" w:eastAsia="宋体" w:cs="宋体"/>
          <w:bCs/>
          <w:color w:val="auto"/>
          <w:szCs w:val="21"/>
          <w:highlight w:val="none"/>
        </w:rPr>
        <w:t>详见附表</w:t>
      </w:r>
      <w:r>
        <w:rPr>
          <w:rFonts w:hint="eastAsia" w:ascii="宋体" w:hAnsi="宋体" w:eastAsia="宋体" w:cs="宋体"/>
          <w:bCs/>
          <w:color w:val="auto"/>
          <w:szCs w:val="21"/>
          <w:highlight w:val="none"/>
          <w:lang w:val="en-US" w:eastAsia="zh-CN"/>
        </w:rPr>
        <w:t>六《定标因素表》</w:t>
      </w:r>
    </w:p>
    <w:p w14:paraId="41ED9824">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条款号：第四章  投标文件格式          </w:t>
      </w: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auto"/>
          <w:szCs w:val="21"/>
          <w:highlight w:val="none"/>
        </w:rPr>
        <w:t>修改类型：修改</w:t>
      </w:r>
    </w:p>
    <w:p w14:paraId="6CE418EA">
      <w:pPr>
        <w:spacing w:line="360" w:lineRule="auto"/>
        <w:ind w:firstLine="472" w:firstLineChars="224"/>
        <w:rPr>
          <w:rFonts w:hint="eastAsia" w:ascii="宋体" w:hAnsi="宋体" w:eastAsia="宋体" w:cs="宋体"/>
          <w:b w:val="0"/>
          <w:bCs/>
          <w:color w:val="auto"/>
          <w:szCs w:val="21"/>
          <w:highlight w:val="none"/>
        </w:rPr>
      </w:pPr>
      <w:r>
        <w:rPr>
          <w:rFonts w:hint="eastAsia" w:ascii="宋体" w:hAnsi="宋体" w:eastAsia="宋体" w:cs="宋体"/>
          <w:b/>
          <w:bCs w:val="0"/>
          <w:color w:val="auto"/>
          <w:szCs w:val="21"/>
          <w:highlight w:val="none"/>
        </w:rPr>
        <w:t>原文：</w:t>
      </w:r>
      <w:r>
        <w:rPr>
          <w:rFonts w:hint="eastAsia" w:ascii="宋体" w:hAnsi="宋体" w:eastAsia="宋体" w:cs="宋体"/>
          <w:b w:val="0"/>
          <w:bCs/>
          <w:color w:val="auto"/>
          <w:szCs w:val="21"/>
          <w:highlight w:val="none"/>
        </w:rPr>
        <w:t>原范本</w:t>
      </w:r>
      <w:r>
        <w:rPr>
          <w:rFonts w:hint="eastAsia" w:ascii="宋体" w:hAnsi="宋体" w:eastAsia="宋体" w:cs="宋体"/>
          <w:b w:val="0"/>
          <w:bCs/>
          <w:color w:val="auto"/>
          <w:szCs w:val="21"/>
          <w:highlight w:val="none"/>
          <w:lang w:eastAsia="zh-CN"/>
        </w:rPr>
        <w:t>GZJTZB2025-3</w:t>
      </w:r>
      <w:r>
        <w:rPr>
          <w:rFonts w:hint="eastAsia" w:ascii="宋体" w:hAnsi="宋体" w:eastAsia="宋体" w:cs="宋体"/>
          <w:b w:val="0"/>
          <w:bCs/>
          <w:color w:val="auto"/>
          <w:szCs w:val="21"/>
          <w:highlight w:val="none"/>
        </w:rPr>
        <w:t xml:space="preserve"> 第四章 投标文件格式</w:t>
      </w:r>
    </w:p>
    <w:p w14:paraId="6435795A">
      <w:pPr>
        <w:pBdr>
          <w:bottom w:val="single" w:color="auto" w:sz="6" w:space="1"/>
        </w:pBdr>
        <w:spacing w:line="360" w:lineRule="auto"/>
        <w:ind w:firstLine="527" w:firstLineChars="250"/>
        <w:rPr>
          <w:rFonts w:hint="eastAsia" w:ascii="宋体" w:hAnsi="宋体" w:eastAsia="宋体" w:cs="宋体"/>
          <w:bCs/>
          <w:color w:val="auto"/>
          <w:highlight w:val="none"/>
        </w:rPr>
      </w:pPr>
      <w:r>
        <w:rPr>
          <w:rFonts w:hint="eastAsia" w:ascii="宋体" w:hAnsi="宋体" w:eastAsia="宋体" w:cs="宋体"/>
          <w:b/>
          <w:bCs w:val="0"/>
          <w:color w:val="auto"/>
          <w:szCs w:val="21"/>
          <w:highlight w:val="none"/>
        </w:rPr>
        <w:t>现文：</w:t>
      </w:r>
      <w:r>
        <w:rPr>
          <w:rFonts w:hint="eastAsia" w:ascii="宋体" w:hAnsi="宋体" w:eastAsia="宋体" w:cs="宋体"/>
          <w:b w:val="0"/>
          <w:bCs/>
          <w:color w:val="auto"/>
          <w:szCs w:val="21"/>
          <w:highlight w:val="none"/>
        </w:rPr>
        <w:t>本招标文件 第四章 投标文件格式</w:t>
      </w:r>
    </w:p>
    <w:p w14:paraId="6E53FA93">
      <w:pPr>
        <w:spacing w:line="360" w:lineRule="auto"/>
        <w:ind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注：以上修改，仅限于本范本中有可供选择条款的情形。</w:t>
      </w:r>
    </w:p>
    <w:p w14:paraId="02EF4C19">
      <w:pPr>
        <w:spacing w:line="360" w:lineRule="auto"/>
        <w:rPr>
          <w:rFonts w:hint="eastAsia" w:ascii="宋体" w:hAnsi="宋体" w:eastAsia="宋体" w:cs="宋体"/>
          <w:color w:val="auto"/>
          <w:highlight w:val="none"/>
        </w:rPr>
      </w:pPr>
      <w:r>
        <w:rPr>
          <w:rFonts w:hint="eastAsia" w:ascii="宋体" w:hAnsi="宋体" w:eastAsia="宋体" w:cs="宋体"/>
          <w:b/>
          <w:color w:val="auto"/>
          <w:szCs w:val="21"/>
          <w:highlight w:val="none"/>
        </w:rPr>
        <w:t>（以下无正文）</w:t>
      </w:r>
    </w:p>
    <w:p w14:paraId="704AFA21">
      <w:pPr>
        <w:pStyle w:val="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2D97707">
      <w:pPr>
        <w:pStyle w:val="4"/>
        <w:bidi w:val="0"/>
        <w:rPr>
          <w:rFonts w:hint="eastAsia" w:ascii="宋体" w:hAnsi="宋体" w:eastAsia="宋体" w:cs="宋体"/>
          <w:color w:val="auto"/>
          <w:highlight w:val="none"/>
        </w:rPr>
      </w:pPr>
      <w:bookmarkStart w:id="46" w:name="_Toc21525500"/>
      <w:bookmarkStart w:id="47" w:name="_Toc9828"/>
      <w:bookmarkStart w:id="48" w:name="_Toc2272556"/>
      <w:bookmarkStart w:id="49" w:name="_Toc22241"/>
      <w:r>
        <w:rPr>
          <w:rFonts w:hint="eastAsia" w:ascii="宋体" w:hAnsi="宋体" w:eastAsia="宋体" w:cs="宋体"/>
          <w:color w:val="auto"/>
          <w:highlight w:val="none"/>
        </w:rPr>
        <w:t>二、开标、评标及定标办法通用条款</w:t>
      </w:r>
      <w:bookmarkEnd w:id="46"/>
      <w:bookmarkEnd w:id="47"/>
      <w:bookmarkEnd w:id="48"/>
      <w:bookmarkEnd w:id="49"/>
    </w:p>
    <w:p w14:paraId="1464BEA7">
      <w:pPr>
        <w:pStyle w:val="5"/>
        <w:bidi w:val="0"/>
        <w:ind w:firstLine="480" w:firstLineChars="200"/>
        <w:rPr>
          <w:rFonts w:hint="eastAsia" w:ascii="宋体" w:hAnsi="宋体" w:eastAsia="宋体" w:cs="宋体"/>
          <w:color w:val="auto"/>
          <w:highlight w:val="none"/>
          <w:lang w:val="en-US" w:eastAsia="zh-CN"/>
        </w:rPr>
      </w:pPr>
      <w:bookmarkStart w:id="50" w:name="_Toc9587"/>
      <w:bookmarkStart w:id="51" w:name="_Toc26489"/>
      <w:r>
        <w:rPr>
          <w:rFonts w:hint="eastAsia" w:ascii="宋体" w:hAnsi="宋体" w:eastAsia="宋体" w:cs="宋体"/>
          <w:color w:val="auto"/>
          <w:highlight w:val="none"/>
          <w:lang w:val="en-US" w:eastAsia="zh-CN"/>
        </w:rPr>
        <w:t>（一）总则</w:t>
      </w:r>
      <w:bookmarkEnd w:id="50"/>
    </w:p>
    <w:p w14:paraId="2BC3BD60">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开标、评标及定标所依据的规则</w:t>
      </w:r>
      <w:bookmarkEnd w:id="51"/>
    </w:p>
    <w:p w14:paraId="1B75803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.1《中华人民共和国招标投标法》；</w:t>
      </w:r>
    </w:p>
    <w:p w14:paraId="555F827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.2《中华人民共和国招标投标法实施条例》；</w:t>
      </w:r>
    </w:p>
    <w:p w14:paraId="5F4A11B5">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.3《评标委员会和评标方法暂行规定》（七部委第12号令）</w:t>
      </w:r>
      <w:r>
        <w:rPr>
          <w:rFonts w:hint="eastAsia" w:ascii="宋体" w:hAnsi="宋体" w:eastAsia="宋体" w:cs="宋体"/>
          <w:color w:val="auto"/>
          <w:sz w:val="24"/>
          <w:szCs w:val="24"/>
          <w:highlight w:val="none"/>
          <w:lang w:eastAsia="zh-CN"/>
        </w:rPr>
        <w:t>；</w:t>
      </w:r>
    </w:p>
    <w:p w14:paraId="621467C7">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.4《工程建设项目施工招标投标办法》（七部委2003年第30号令）</w:t>
      </w:r>
      <w:r>
        <w:rPr>
          <w:rFonts w:hint="eastAsia" w:ascii="宋体" w:hAnsi="宋体" w:eastAsia="宋体" w:cs="宋体"/>
          <w:color w:val="auto"/>
          <w:sz w:val="24"/>
          <w:szCs w:val="24"/>
          <w:highlight w:val="none"/>
          <w:lang w:eastAsia="zh-CN"/>
        </w:rPr>
        <w:t>；</w:t>
      </w:r>
    </w:p>
    <w:p w14:paraId="184A072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《电子招标投标办法</w:t>
      </w:r>
      <w:r>
        <w:rPr>
          <w:rFonts w:hint="eastAsia" w:ascii="宋体" w:hAnsi="宋体" w:eastAsia="宋体" w:cs="宋体"/>
          <w:color w:val="auto"/>
          <w:sz w:val="24"/>
          <w:szCs w:val="24"/>
          <w:highlight w:val="none"/>
          <w:lang w:val="en-US" w:eastAsia="zh-CN"/>
        </w:rPr>
        <w:t>》；</w:t>
      </w:r>
    </w:p>
    <w:p w14:paraId="3D192E9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35.6</w:t>
      </w:r>
      <w:r>
        <w:rPr>
          <w:rFonts w:hint="eastAsia" w:ascii="宋体" w:hAnsi="宋体" w:eastAsia="宋体" w:cs="宋体"/>
          <w:color w:val="auto"/>
          <w:sz w:val="24"/>
          <w:szCs w:val="24"/>
          <w:highlight w:val="none"/>
        </w:rPr>
        <w:t>《广东省实施〈中华人民共和国招标投标法〉办法》；</w:t>
      </w:r>
    </w:p>
    <w:p w14:paraId="0E50EFAD">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《房屋建筑和市政基础设施工程施工招标投标管理办法》（建设部令第89号）</w:t>
      </w:r>
      <w:r>
        <w:rPr>
          <w:rFonts w:hint="eastAsia" w:ascii="宋体" w:hAnsi="宋体" w:eastAsia="宋体" w:cs="宋体"/>
          <w:color w:val="auto"/>
          <w:sz w:val="24"/>
          <w:szCs w:val="24"/>
          <w:highlight w:val="none"/>
          <w:lang w:eastAsia="zh-CN"/>
        </w:rPr>
        <w:t>；</w:t>
      </w:r>
    </w:p>
    <w:p w14:paraId="5D1875C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《广东省加强建设工程招标投标监督管理的若干规定》（粤发[2004]4号）；</w:t>
      </w:r>
    </w:p>
    <w:p w14:paraId="497C376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《广州市工程建设项目招标投标管理办法》（穗建规字〔2023〕12号）。</w:t>
      </w:r>
    </w:p>
    <w:p w14:paraId="7B88E83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本项目招标文件。</w:t>
      </w:r>
    </w:p>
    <w:p w14:paraId="1A65B35A">
      <w:pPr>
        <w:bidi w:val="0"/>
        <w:spacing w:line="360" w:lineRule="auto"/>
        <w:ind w:firstLine="480" w:firstLineChars="200"/>
        <w:rPr>
          <w:rFonts w:hint="eastAsia" w:ascii="宋体" w:hAnsi="宋体" w:eastAsia="宋体" w:cs="宋体"/>
          <w:color w:val="auto"/>
          <w:sz w:val="24"/>
          <w:szCs w:val="24"/>
          <w:highlight w:val="none"/>
        </w:rPr>
      </w:pPr>
      <w:bookmarkStart w:id="52" w:name="_Toc1310"/>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rPr>
        <w:t>．开标</w:t>
      </w:r>
      <w:bookmarkEnd w:id="52"/>
    </w:p>
    <w:p w14:paraId="51A6E8E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招标人按投标须知前附表第18项所规定的时间和地点</w:t>
      </w:r>
      <w:r>
        <w:rPr>
          <w:rFonts w:hint="eastAsia" w:ascii="宋体" w:hAnsi="宋体" w:eastAsia="宋体" w:cs="宋体"/>
          <w:color w:val="auto"/>
          <w:sz w:val="24"/>
          <w:szCs w:val="24"/>
          <w:highlight w:val="none"/>
          <w:lang w:eastAsia="zh-CN"/>
        </w:rPr>
        <w:t>通过电子招标投标交易平台</w:t>
      </w:r>
      <w:r>
        <w:rPr>
          <w:rFonts w:hint="eastAsia" w:ascii="宋体" w:hAnsi="宋体" w:eastAsia="宋体" w:cs="宋体"/>
          <w:color w:val="auto"/>
          <w:sz w:val="24"/>
          <w:szCs w:val="24"/>
          <w:highlight w:val="none"/>
        </w:rPr>
        <w:t>公开开标，并邀请所有投标人参加</w:t>
      </w:r>
      <w:r>
        <w:rPr>
          <w:rFonts w:hint="eastAsia" w:ascii="宋体" w:hAnsi="宋体" w:eastAsia="宋体" w:cs="宋体"/>
          <w:color w:val="auto"/>
          <w:sz w:val="24"/>
          <w:szCs w:val="24"/>
          <w:highlight w:val="none"/>
          <w:lang w:eastAsia="zh-CN"/>
        </w:rPr>
        <w:t>，投标人可选择在开标室参加开标或准时在线参加开标，也可以不参加开标，均不影响开标程序</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投标人不派代表</w:t>
      </w:r>
      <w:r>
        <w:rPr>
          <w:rFonts w:hint="eastAsia" w:ascii="宋体" w:hAnsi="宋体" w:eastAsia="宋体" w:cs="宋体"/>
          <w:color w:val="auto"/>
          <w:sz w:val="24"/>
          <w:highlight w:val="none"/>
          <w:lang w:eastAsia="zh-CN"/>
        </w:rPr>
        <w:t>参加</w:t>
      </w:r>
      <w:r>
        <w:rPr>
          <w:rFonts w:hint="eastAsia" w:ascii="宋体" w:hAnsi="宋体" w:eastAsia="宋体" w:cs="宋体"/>
          <w:color w:val="auto"/>
          <w:sz w:val="24"/>
          <w:highlight w:val="none"/>
        </w:rPr>
        <w:t>开标会，则视其为放弃参与开标的权利，认可开标结果。</w:t>
      </w:r>
      <w:r>
        <w:rPr>
          <w:rFonts w:hint="eastAsia" w:ascii="宋体" w:hAnsi="宋体" w:eastAsia="宋体" w:cs="宋体"/>
          <w:color w:val="auto"/>
          <w:sz w:val="24"/>
          <w:szCs w:val="24"/>
          <w:highlight w:val="none"/>
        </w:rPr>
        <w:t>截标后，开标开始时间因故推迟的，相关评标信息仍以原定的开标开始时间的信息为准。</w:t>
      </w:r>
    </w:p>
    <w:p w14:paraId="5480B64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 招标人在招标文件要求提交投标文件的截止时间前收到的投标文件，开标时都当众予以解密、公布。</w:t>
      </w:r>
    </w:p>
    <w:p w14:paraId="5669B81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36.3根据投标须知前附表第19项，如需抽取某一种评标办法供评标时使用的，</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在开标</w:t>
      </w:r>
      <w:r>
        <w:rPr>
          <w:rFonts w:hint="eastAsia" w:ascii="宋体" w:hAnsi="宋体" w:eastAsia="宋体" w:cs="宋体"/>
          <w:color w:val="auto"/>
          <w:sz w:val="24"/>
          <w:szCs w:val="24"/>
          <w:highlight w:val="none"/>
          <w:lang w:val="en-US" w:eastAsia="zh-CN"/>
        </w:rPr>
        <w:t>时（唱标工作完成后）</w:t>
      </w:r>
      <w:r>
        <w:rPr>
          <w:rFonts w:hint="eastAsia" w:ascii="宋体" w:hAnsi="宋体" w:eastAsia="宋体" w:cs="宋体"/>
          <w:color w:val="auto"/>
          <w:sz w:val="24"/>
          <w:szCs w:val="24"/>
          <w:highlight w:val="none"/>
        </w:rPr>
        <w:t>抽取。首先对招标文件中约定的若干种评标方法进行编号，再随机抽取某一编号，该编号所对应的评标办法供评标时使用。</w:t>
      </w:r>
    </w:p>
    <w:p w14:paraId="12214C08">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36.4若递交投标文件的投标人不足3家，则重新组织招标。（当N个标段同时招标且不允许兼中时，若有效投标人不足N+2家，则重新组织招标）</w:t>
      </w:r>
      <w:r>
        <w:rPr>
          <w:rFonts w:hint="eastAsia" w:ascii="宋体" w:hAnsi="宋体" w:eastAsia="宋体" w:cs="宋体"/>
          <w:color w:val="auto"/>
          <w:sz w:val="24"/>
          <w:szCs w:val="24"/>
          <w:highlight w:val="none"/>
          <w:lang w:eastAsia="zh-CN"/>
        </w:rPr>
        <w:t>。</w:t>
      </w:r>
    </w:p>
    <w:p w14:paraId="525A91F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36.5按下列程序进行开标：</w:t>
      </w:r>
    </w:p>
    <w:p w14:paraId="10B8E3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36.5.1在投标截止时间后</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rPr>
        <w:t>小时内，投标人通过交易平台对已递交的电子投标文件进行解密。投标人完成解密后，再由招标人进行解密。解密完成后，公布招标项目名称、投标人名称、投标保证金的递交情况、投标报价、工期及其他内容；</w:t>
      </w:r>
    </w:p>
    <w:p w14:paraId="594C3B3F">
      <w:pPr>
        <w:tabs>
          <w:tab w:val="left" w:pos="10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36.5.2备用光盘的读取按投标须知前附表第3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项的规定执行；</w:t>
      </w:r>
    </w:p>
    <w:p w14:paraId="0B1A89E2">
      <w:pPr>
        <w:spacing w:line="360" w:lineRule="auto"/>
        <w:ind w:firstLine="480" w:firstLineChars="200"/>
        <w:rPr>
          <w:rFonts w:hint="eastAsia" w:ascii="宋体" w:hAnsi="宋体" w:eastAsia="宋体" w:cs="宋体"/>
          <w:color w:val="auto"/>
          <w:sz w:val="24"/>
          <w:highlight w:val="none"/>
        </w:rPr>
      </w:pPr>
      <w:bookmarkStart w:id="53" w:name="_Toc501"/>
      <w:r>
        <w:rPr>
          <w:rFonts w:hint="eastAsia" w:ascii="宋体" w:hAnsi="宋体" w:eastAsia="宋体" w:cs="宋体"/>
          <w:color w:val="auto"/>
          <w:sz w:val="24"/>
          <w:highlight w:val="none"/>
        </w:rPr>
        <w:t>36.5.</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投标人代表、招标人代表、监标人、记录人等有关人员在开标记录上签字确认；若有关人员不签字的，不影响开标程序；</w:t>
      </w:r>
    </w:p>
    <w:p w14:paraId="40B939E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36.5.</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开标结束。</w:t>
      </w:r>
    </w:p>
    <w:p w14:paraId="2147D0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0409842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36.7开标时，两个（含两个）以上的投标人加密打包投标文件电脑机器特征码一致的，由评标委员会否决其投标。</w:t>
      </w:r>
    </w:p>
    <w:p w14:paraId="352D73BD">
      <w:pPr>
        <w:pStyle w:val="19"/>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36.8开标异议</w:t>
      </w:r>
    </w:p>
    <w:p w14:paraId="7C9D8A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36.8.1</w:t>
      </w:r>
      <w:r>
        <w:rPr>
          <w:rFonts w:hint="eastAsia" w:ascii="宋体" w:hAnsi="宋体" w:eastAsia="宋体" w:cs="宋体"/>
          <w:color w:val="auto"/>
          <w:sz w:val="24"/>
          <w:highlight w:val="none"/>
        </w:rPr>
        <w:t>参加现场开标的投标人对开标结果有异议的，应当在开标现场提出，该投标人代表须同时出示本人身份证原件，招标人应当当场作出答复，并制作记录。</w:t>
      </w:r>
    </w:p>
    <w:p w14:paraId="551EF7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36.8.2</w:t>
      </w:r>
      <w:r>
        <w:rPr>
          <w:rFonts w:hint="eastAsia" w:ascii="宋体" w:hAnsi="宋体" w:eastAsia="宋体" w:cs="宋体"/>
          <w:color w:val="auto"/>
          <w:sz w:val="24"/>
          <w:highlight w:val="none"/>
        </w:rPr>
        <w:t>参加在线开标的投标人对开标结果有异议的，应当在唱标结束后的规定时间内、使用单位数字证书登录电子招标投标交易平台后通过电子招标投标交易平台提出。招标人授权招标代理机构工作人员使用招标代理机构数字证书登录电子招标投标交易平台答复异议，异议答复是招标人真实意思表示。未答复的，开标程序不得结束。</w:t>
      </w:r>
    </w:p>
    <w:p w14:paraId="684B480C">
      <w:pPr>
        <w:pStyle w:val="19"/>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36.8.3</w:t>
      </w:r>
      <w:r>
        <w:rPr>
          <w:rFonts w:hint="eastAsia" w:ascii="宋体" w:hAnsi="宋体" w:eastAsia="宋体" w:cs="宋体"/>
          <w:color w:val="auto"/>
          <w:kern w:val="0"/>
          <w:sz w:val="24"/>
          <w:szCs w:val="24"/>
          <w:highlight w:val="none"/>
        </w:rPr>
        <w:t>对开标的异议，招标人应当当场作出答复并予以书面记录，异议成立的，招标人应当及时采取纠正措施，或者提交评标委员会评审确认；异议不成立的，招标人应当当场给予解释说明。</w:t>
      </w:r>
      <w:r>
        <w:rPr>
          <w:rFonts w:hint="eastAsia" w:ascii="宋体" w:hAnsi="宋体" w:eastAsia="宋体" w:cs="宋体"/>
          <w:color w:val="auto"/>
          <w:sz w:val="24"/>
          <w:highlight w:val="none"/>
          <w:lang w:eastAsia="zh-CN"/>
        </w:rPr>
        <w:t>投标人未参加开标或在规定的时间内未提出异议的，视为对开标无异议。</w:t>
      </w:r>
      <w:bookmarkEnd w:id="53"/>
    </w:p>
    <w:p w14:paraId="7E8136A2">
      <w:pPr>
        <w:pStyle w:val="19"/>
        <w:spacing w:line="360" w:lineRule="auto"/>
        <w:ind w:firstLine="48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highlight w:val="none"/>
          <w:lang w:val="en-US" w:eastAsia="zh-CN"/>
        </w:rPr>
        <w:t>36.8.4</w:t>
      </w:r>
      <w:r>
        <w:rPr>
          <w:rFonts w:hint="eastAsia" w:ascii="宋体" w:hAnsi="宋体" w:eastAsia="宋体" w:cs="宋体"/>
          <w:color w:val="auto"/>
          <w:kern w:val="0"/>
          <w:sz w:val="24"/>
          <w:szCs w:val="24"/>
          <w:highlight w:val="none"/>
        </w:rPr>
        <w:t>招标人应当按照同一异议提起人一份记录的方式，对异议事项的处理应逐条进行书面记录，并由异议提起人、招标人签名确认。书面记录含义应清晰而明确，包括但不限于纠正的措施、解释说明的内容、相关依据等</w:t>
      </w:r>
      <w:r>
        <w:rPr>
          <w:rFonts w:hint="eastAsia" w:ascii="宋体" w:hAnsi="宋体" w:eastAsia="宋体" w:cs="宋体"/>
          <w:color w:val="auto"/>
          <w:kern w:val="0"/>
          <w:sz w:val="24"/>
          <w:szCs w:val="24"/>
          <w:highlight w:val="none"/>
          <w:lang w:eastAsia="zh-CN"/>
        </w:rPr>
        <w:t>。</w:t>
      </w:r>
    </w:p>
    <w:p w14:paraId="09867C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37．评标</w:t>
      </w:r>
    </w:p>
    <w:p w14:paraId="2FE7382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w:t>
      </w:r>
      <w:r>
        <w:rPr>
          <w:rFonts w:hint="eastAsia" w:ascii="宋体" w:hAnsi="宋体" w:eastAsia="宋体" w:cs="宋体"/>
          <w:color w:val="auto"/>
          <w:sz w:val="24"/>
          <w:highlight w:val="none"/>
        </w:rPr>
        <w:t>评标由招标人依法组建的评标委员会负责。评标委员会由有关技术、经济等方面的专家和招标人代表组成，专家</w:t>
      </w:r>
      <w:r>
        <w:rPr>
          <w:rFonts w:hint="eastAsia" w:ascii="宋体" w:hAnsi="宋体" w:eastAsia="宋体" w:cs="宋体"/>
          <w:color w:val="auto"/>
          <w:sz w:val="24"/>
          <w:highlight w:val="none"/>
          <w:lang w:eastAsia="zh-CN"/>
        </w:rPr>
        <w:t>从广东省综合评标评审</w:t>
      </w:r>
      <w:r>
        <w:rPr>
          <w:rFonts w:hint="eastAsia" w:ascii="宋体" w:hAnsi="宋体" w:eastAsia="宋体" w:cs="宋体"/>
          <w:color w:val="auto"/>
          <w:sz w:val="24"/>
          <w:highlight w:val="none"/>
        </w:rPr>
        <w:t>专家库中抽取或按远程异地评标专家抽取相关规定组建。评标委员会成员人数以及技术、经济等方面专家的确定方式见投标人须知前附表</w:t>
      </w:r>
      <w:r>
        <w:rPr>
          <w:rFonts w:hint="eastAsia" w:ascii="宋体" w:hAnsi="宋体" w:eastAsia="宋体" w:cs="宋体"/>
          <w:color w:val="auto"/>
          <w:sz w:val="24"/>
          <w:highlight w:val="none"/>
          <w:lang w:eastAsia="zh-CN"/>
        </w:rPr>
        <w:t>第</w:t>
      </w:r>
      <w:r>
        <w:rPr>
          <w:rFonts w:hint="eastAsia" w:ascii="宋体" w:hAnsi="宋体" w:eastAsia="宋体" w:cs="宋体"/>
          <w:color w:val="auto"/>
          <w:sz w:val="24"/>
          <w:highlight w:val="none"/>
          <w:lang w:val="en-US" w:eastAsia="zh-CN"/>
        </w:rPr>
        <w:t>30项</w:t>
      </w:r>
      <w:r>
        <w:rPr>
          <w:rFonts w:hint="eastAsia" w:ascii="宋体" w:hAnsi="宋体" w:eastAsia="宋体" w:cs="宋体"/>
          <w:color w:val="auto"/>
          <w:sz w:val="24"/>
          <w:szCs w:val="24"/>
          <w:highlight w:val="none"/>
        </w:rPr>
        <w:t>。</w:t>
      </w:r>
    </w:p>
    <w:p w14:paraId="751ED76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37.2</w:t>
      </w:r>
      <w:r>
        <w:rPr>
          <w:rFonts w:hint="eastAsia" w:ascii="宋体" w:hAnsi="宋体" w:eastAsia="宋体" w:cs="宋体"/>
          <w:color w:val="auto"/>
          <w:sz w:val="24"/>
          <w:highlight w:val="none"/>
        </w:rPr>
        <w:t>评标委员会成员有下列情形之一的，应当回避：</w:t>
      </w:r>
    </w:p>
    <w:p w14:paraId="2B52B98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（1）招标人或投标人的主要负责人的近亲属；</w:t>
      </w:r>
    </w:p>
    <w:p w14:paraId="443CC80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（2）项目主管部门或者行政监督部门的人员；</w:t>
      </w:r>
    </w:p>
    <w:p w14:paraId="34FD7F0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招标人</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投标人的工作人员、退休或离职未满3年的人员；</w:t>
      </w:r>
    </w:p>
    <w:p w14:paraId="23C5160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）与投标人有经济利益关系，可能影响对投标公正评审的；</w:t>
      </w:r>
    </w:p>
    <w:p w14:paraId="0C9A1F8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）曾因在招标、评标以及其他与招标投标有关活动中从事违法行为而受过行政处罚或刑事处罚的。</w:t>
      </w:r>
    </w:p>
    <w:p w14:paraId="1C83504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）与投标人有其他利害关系。</w:t>
      </w:r>
    </w:p>
    <w:p w14:paraId="0D4BB64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评标委员会的职责及守则：</w:t>
      </w:r>
    </w:p>
    <w:p w14:paraId="0C4D921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.1根据评标细则，对</w:t>
      </w:r>
      <w:r>
        <w:rPr>
          <w:rFonts w:hint="eastAsia" w:ascii="宋体" w:hAnsi="宋体" w:eastAsia="宋体" w:cs="宋体"/>
          <w:color w:val="auto"/>
          <w:sz w:val="24"/>
          <w:highlight w:val="none"/>
        </w:rPr>
        <w:t>投标文件</w:t>
      </w:r>
      <w:r>
        <w:rPr>
          <w:rFonts w:hint="eastAsia" w:ascii="宋体" w:hAnsi="宋体" w:eastAsia="宋体" w:cs="宋体"/>
          <w:color w:val="auto"/>
          <w:sz w:val="24"/>
          <w:szCs w:val="24"/>
          <w:highlight w:val="none"/>
        </w:rPr>
        <w:t>进行认真评审，完成评审报告；</w:t>
      </w:r>
    </w:p>
    <w:p w14:paraId="345301D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.2向招标人报告评审意见，推荐合格的中标候选人。</w:t>
      </w:r>
    </w:p>
    <w:p w14:paraId="56864B2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37.</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.3</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756D197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.4全体参与评标人员：</w:t>
      </w:r>
    </w:p>
    <w:p w14:paraId="390C37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.4.1 必须遵守评标纪律、不得泄密；</w:t>
      </w:r>
    </w:p>
    <w:p w14:paraId="3D72E2A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.4.2 必须公正、不得循私；</w:t>
      </w:r>
    </w:p>
    <w:p w14:paraId="2BD5A1E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.4.3 必须科学、不得草率；</w:t>
      </w:r>
    </w:p>
    <w:p w14:paraId="04DB07C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.4.4 必须客观、不得带有成见；</w:t>
      </w:r>
    </w:p>
    <w:p w14:paraId="6C1EC3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.4.5 必须平等、不得强加于人；</w:t>
      </w:r>
    </w:p>
    <w:p w14:paraId="2B063D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.4.6 必须严谨、不得随意马虎。</w:t>
      </w:r>
    </w:p>
    <w:p w14:paraId="40E24086">
      <w:pPr>
        <w:pStyle w:val="19"/>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66E8C34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37.5</w:t>
      </w:r>
      <w:r>
        <w:rPr>
          <w:rFonts w:hint="eastAsia" w:ascii="宋体" w:hAnsi="宋体" w:eastAsia="宋体" w:cs="宋体"/>
          <w:color w:val="auto"/>
          <w:sz w:val="24"/>
          <w:highlight w:val="none"/>
        </w:rPr>
        <w:t>评标委员会按照第</w:t>
      </w:r>
      <w:r>
        <w:rPr>
          <w:rFonts w:hint="eastAsia" w:ascii="宋体" w:hAnsi="宋体" w:eastAsia="宋体" w:cs="宋体"/>
          <w:color w:val="auto"/>
          <w:sz w:val="24"/>
          <w:highlight w:val="none"/>
          <w:lang w:eastAsia="zh-CN"/>
        </w:rPr>
        <w:t>二</w:t>
      </w:r>
      <w:r>
        <w:rPr>
          <w:rFonts w:hint="eastAsia" w:ascii="宋体" w:hAnsi="宋体" w:eastAsia="宋体" w:cs="宋体"/>
          <w:color w:val="auto"/>
          <w:sz w:val="24"/>
          <w:highlight w:val="none"/>
        </w:rPr>
        <w:t>章“</w:t>
      </w:r>
      <w:r>
        <w:rPr>
          <w:rFonts w:hint="eastAsia" w:ascii="宋体" w:hAnsi="宋体" w:eastAsia="宋体" w:cs="宋体"/>
          <w:color w:val="auto"/>
          <w:sz w:val="24"/>
          <w:highlight w:val="none"/>
          <w:lang w:eastAsia="zh-CN"/>
        </w:rPr>
        <w:t>开标、</w:t>
      </w:r>
      <w:r>
        <w:rPr>
          <w:rFonts w:hint="eastAsia" w:ascii="宋体" w:hAnsi="宋体" w:eastAsia="宋体" w:cs="宋体"/>
          <w:color w:val="auto"/>
          <w:sz w:val="24"/>
          <w:highlight w:val="none"/>
        </w:rPr>
        <w:t>评标</w:t>
      </w:r>
      <w:r>
        <w:rPr>
          <w:rFonts w:hint="eastAsia" w:ascii="宋体" w:hAnsi="宋体" w:eastAsia="宋体" w:cs="宋体"/>
          <w:color w:val="auto"/>
          <w:sz w:val="24"/>
          <w:highlight w:val="none"/>
          <w:lang w:eastAsia="zh-CN"/>
        </w:rPr>
        <w:t>及定标</w:t>
      </w:r>
      <w:r>
        <w:rPr>
          <w:rFonts w:hint="eastAsia" w:ascii="宋体" w:hAnsi="宋体" w:eastAsia="宋体" w:cs="宋体"/>
          <w:color w:val="auto"/>
          <w:sz w:val="24"/>
          <w:highlight w:val="none"/>
        </w:rPr>
        <w:t>办法”规定的方法、评审因素、标准和程序对投标文件进行评审。第三章“</w:t>
      </w:r>
      <w:r>
        <w:rPr>
          <w:rFonts w:hint="eastAsia" w:ascii="宋体" w:hAnsi="宋体" w:eastAsia="宋体" w:cs="宋体"/>
          <w:color w:val="auto"/>
          <w:sz w:val="24"/>
          <w:highlight w:val="none"/>
          <w:lang w:eastAsia="zh-CN"/>
        </w:rPr>
        <w:t>开标、</w:t>
      </w:r>
      <w:r>
        <w:rPr>
          <w:rFonts w:hint="eastAsia" w:ascii="宋体" w:hAnsi="宋体" w:eastAsia="宋体" w:cs="宋体"/>
          <w:color w:val="auto"/>
          <w:sz w:val="24"/>
          <w:highlight w:val="none"/>
        </w:rPr>
        <w:t>评标</w:t>
      </w:r>
      <w:r>
        <w:rPr>
          <w:rFonts w:hint="eastAsia" w:ascii="宋体" w:hAnsi="宋体" w:eastAsia="宋体" w:cs="宋体"/>
          <w:color w:val="auto"/>
          <w:sz w:val="24"/>
          <w:highlight w:val="none"/>
          <w:lang w:eastAsia="zh-CN"/>
        </w:rPr>
        <w:t>及定标</w:t>
      </w:r>
      <w:r>
        <w:rPr>
          <w:rFonts w:hint="eastAsia" w:ascii="宋体" w:hAnsi="宋体" w:eastAsia="宋体" w:cs="宋体"/>
          <w:color w:val="auto"/>
          <w:sz w:val="24"/>
          <w:highlight w:val="none"/>
        </w:rPr>
        <w:t>办法”没有规定的方法、评审因素和标准，不作为评标依据</w:t>
      </w:r>
      <w:r>
        <w:rPr>
          <w:rFonts w:hint="eastAsia" w:ascii="宋体" w:hAnsi="宋体" w:eastAsia="宋体" w:cs="宋体"/>
          <w:color w:val="auto"/>
          <w:sz w:val="24"/>
          <w:highlight w:val="none"/>
          <w:lang w:eastAsia="zh-CN"/>
        </w:rPr>
        <w:t>。</w:t>
      </w:r>
    </w:p>
    <w:p w14:paraId="3A0BD48E">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37.6</w:t>
      </w:r>
      <w:r>
        <w:rPr>
          <w:rFonts w:hint="eastAsia" w:ascii="宋体" w:hAnsi="宋体" w:eastAsia="宋体" w:cs="宋体"/>
          <w:color w:val="auto"/>
          <w:kern w:val="2"/>
          <w:sz w:val="24"/>
          <w:szCs w:val="24"/>
          <w:highlight w:val="none"/>
          <w:lang w:val="en-US" w:eastAsia="zh-CN" w:bidi="ar-SA"/>
        </w:rPr>
        <w:t>评标结束后，评标委员会递交评标报告并依法推荐中标候选人。</w:t>
      </w:r>
    </w:p>
    <w:p w14:paraId="2941DF6A">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38．投标文件的澄清</w:t>
      </w:r>
    </w:p>
    <w:p w14:paraId="3BA9F02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宋体" w:hAnsi="宋体" w:eastAsia="宋体" w:cs="宋体"/>
          <w:color w:val="auto"/>
          <w:sz w:val="24"/>
          <w:szCs w:val="24"/>
          <w:highlight w:val="none"/>
          <w:lang w:eastAsia="zh-CN"/>
        </w:rPr>
        <w:t>、对同类问题表述不一致，有明显</w:t>
      </w:r>
      <w:r>
        <w:rPr>
          <w:rFonts w:hint="eastAsia" w:ascii="宋体" w:hAnsi="宋体" w:eastAsia="宋体" w:cs="宋体"/>
          <w:color w:val="auto"/>
          <w:sz w:val="24"/>
          <w:szCs w:val="24"/>
          <w:highlight w:val="none"/>
          <w:lang w:val="en-US" w:eastAsia="zh-CN"/>
        </w:rPr>
        <w:t>格式或</w:t>
      </w:r>
      <w:r>
        <w:rPr>
          <w:rFonts w:hint="eastAsia" w:ascii="宋体" w:hAnsi="宋体" w:eastAsia="宋体" w:cs="宋体"/>
          <w:color w:val="auto"/>
          <w:sz w:val="24"/>
          <w:szCs w:val="24"/>
          <w:highlight w:val="none"/>
          <w:lang w:eastAsia="zh-CN"/>
        </w:rPr>
        <w:t>文字、计算错误</w:t>
      </w:r>
      <w:r>
        <w:rPr>
          <w:rFonts w:hint="eastAsia" w:ascii="宋体" w:hAnsi="宋体" w:eastAsia="宋体" w:cs="宋体"/>
          <w:color w:val="auto"/>
          <w:sz w:val="24"/>
          <w:szCs w:val="24"/>
          <w:highlight w:val="none"/>
        </w:rPr>
        <w:t>的内容作出澄清。</w:t>
      </w:r>
    </w:p>
    <w:p w14:paraId="39AA9BD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548C238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38.3 评标委员会或评标委员会专业评审组成员均应当阅读投标人的澄清，但应独立参考澄清对投标文件进行评审。</w:t>
      </w:r>
    </w:p>
    <w:p w14:paraId="6B7956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38.4如果投标文件实质上不响应招标文件的各项要求，评标委员会将按照符合性审查标准予以拒绝，不接受投标人通过修改或撤销其不符合要求的差异或保留，使之成为具有响应性的投标。</w:t>
      </w:r>
    </w:p>
    <w:p w14:paraId="0E9909E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w:t>
      </w:r>
      <w:r>
        <w:rPr>
          <w:rFonts w:hint="eastAsia" w:ascii="宋体" w:hAnsi="宋体" w:eastAsia="宋体" w:cs="宋体"/>
          <w:color w:val="auto"/>
          <w:sz w:val="24"/>
          <w:szCs w:val="24"/>
          <w:highlight w:val="none"/>
          <w:lang w:eastAsia="zh-CN"/>
        </w:rPr>
        <w:t>依法重新招标</w:t>
      </w:r>
      <w:r>
        <w:rPr>
          <w:rFonts w:hint="eastAsia" w:ascii="宋体" w:hAnsi="宋体" w:eastAsia="宋体" w:cs="宋体"/>
          <w:color w:val="auto"/>
          <w:sz w:val="24"/>
          <w:szCs w:val="24"/>
          <w:highlight w:val="none"/>
        </w:rPr>
        <w:t>。</w:t>
      </w:r>
    </w:p>
    <w:p w14:paraId="1C9C149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39．定标</w:t>
      </w:r>
    </w:p>
    <w:p w14:paraId="4C4D964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39.1 招标人根据评标委员会递交的评标报告，最终审定中标人。</w:t>
      </w:r>
    </w:p>
    <w:p w14:paraId="3D4DEB13">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39.2 依法必须进行公开招标的项目，招标人应当确定排名第一的中标候选人为中标人</w:t>
      </w:r>
      <w:r>
        <w:rPr>
          <w:rFonts w:hint="eastAsia" w:ascii="宋体" w:hAnsi="宋体" w:eastAsia="宋体" w:cs="宋体"/>
          <w:color w:val="auto"/>
          <w:sz w:val="24"/>
          <w:szCs w:val="24"/>
          <w:highlight w:val="none"/>
          <w:lang w:eastAsia="zh-CN"/>
        </w:rPr>
        <w:t>。采用评定分离方式确定中标人的从其规定。若发现委派的项目负责人已在其他在建项目中任职，不符合任职数量规定时，招标人可以确定排名第二的中标候选人为中标人。</w:t>
      </w:r>
    </w:p>
    <w:p w14:paraId="1F2C65D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39.3排名第一的中标候选人放弃中标、或因不可抗力提出不能履行合同，或者招标文件规定应当提交履约担保而在规定的期限内未能提交的，</w:t>
      </w:r>
      <w:r>
        <w:rPr>
          <w:rFonts w:hint="eastAsia" w:ascii="宋体" w:hAnsi="宋体" w:eastAsia="宋体" w:cs="宋体"/>
          <w:color w:val="auto"/>
          <w:sz w:val="24"/>
          <w:szCs w:val="24"/>
          <w:highlight w:val="none"/>
          <w:lang w:eastAsia="zh-CN"/>
        </w:rPr>
        <w:t>或经核查发现委派的项目负责人已在其他在建项目中任职，不符合任职数量规定时，</w:t>
      </w:r>
      <w:r>
        <w:rPr>
          <w:rFonts w:hint="eastAsia" w:ascii="宋体" w:hAnsi="宋体" w:eastAsia="宋体" w:cs="宋体"/>
          <w:color w:val="auto"/>
          <w:sz w:val="24"/>
          <w:szCs w:val="24"/>
          <w:highlight w:val="none"/>
        </w:rPr>
        <w:t>招标人可以确定排名第二的中标候选人为中标人。</w:t>
      </w:r>
    </w:p>
    <w:p w14:paraId="52AA2C0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39.4排名第二的中标候选人出现前款所列的情形的，招标人可以确定排名第三的中标候选人为中标人。以此类推，如所有中标候选人均出现前款所列的情形，为招标失败，招标人</w:t>
      </w:r>
      <w:r>
        <w:rPr>
          <w:rFonts w:hint="eastAsia" w:ascii="宋体" w:hAnsi="宋体" w:eastAsia="宋体" w:cs="宋体"/>
          <w:color w:val="auto"/>
          <w:sz w:val="24"/>
          <w:szCs w:val="24"/>
          <w:highlight w:val="none"/>
          <w:lang w:eastAsia="zh-CN"/>
        </w:rPr>
        <w:t>依法重新招标</w:t>
      </w:r>
      <w:r>
        <w:rPr>
          <w:rFonts w:hint="eastAsia" w:ascii="宋体" w:hAnsi="宋体" w:eastAsia="宋体" w:cs="宋体"/>
          <w:color w:val="auto"/>
          <w:sz w:val="24"/>
          <w:szCs w:val="24"/>
          <w:highlight w:val="none"/>
        </w:rPr>
        <w:t>。</w:t>
      </w:r>
    </w:p>
    <w:p w14:paraId="2CC8FC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04CF54D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39.6有效投标不足3个的，评标委员会应当对投标是否明显缺乏竞争和是否需要否决全部投标进行充分论证，并在评标报告中记载论证过程和结果</w:t>
      </w:r>
      <w:r>
        <w:rPr>
          <w:rFonts w:hint="eastAsia" w:ascii="宋体" w:hAnsi="宋体" w:eastAsia="宋体" w:cs="宋体"/>
          <w:color w:val="auto"/>
          <w:sz w:val="24"/>
          <w:szCs w:val="24"/>
          <w:highlight w:val="none"/>
        </w:rPr>
        <w:t>。</w:t>
      </w:r>
    </w:p>
    <w:p w14:paraId="5E2761E3">
      <w:pPr>
        <w:pStyle w:val="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注：采用评定分离方式的，招标人应在招标文件中明确定标方式。</w:t>
      </w:r>
    </w:p>
    <w:p w14:paraId="1DE11833">
      <w:pPr>
        <w:rPr>
          <w:rFonts w:hint="eastAsia" w:ascii="宋体" w:hAnsi="宋体" w:eastAsia="宋体" w:cs="宋体"/>
          <w:color w:val="auto"/>
          <w:highlight w:val="none"/>
        </w:rPr>
      </w:pPr>
    </w:p>
    <w:p w14:paraId="60CECF6C">
      <w:pPr>
        <w:pStyle w:val="19"/>
        <w:jc w:val="center"/>
        <w:rPr>
          <w:rStyle w:val="46"/>
          <w:rFonts w:hint="eastAsia" w:ascii="宋体" w:hAnsi="宋体" w:eastAsia="宋体" w:cs="宋体"/>
          <w:b/>
          <w:color w:val="auto"/>
          <w:sz w:val="28"/>
          <w:szCs w:val="28"/>
          <w:highlight w:val="none"/>
        </w:rPr>
      </w:pPr>
      <w:bookmarkStart w:id="54" w:name="_Toc2272558"/>
      <w:bookmarkStart w:id="55" w:name="_Toc31469"/>
      <w:bookmarkStart w:id="56" w:name="_Toc21525502"/>
      <w:bookmarkStart w:id="57" w:name="_Toc16793"/>
      <w:r>
        <w:rPr>
          <w:rStyle w:val="46"/>
          <w:rFonts w:hint="eastAsia" w:ascii="宋体" w:hAnsi="宋体" w:eastAsia="宋体" w:cs="宋体"/>
          <w:b/>
          <w:bCs/>
          <w:color w:val="auto"/>
          <w:sz w:val="28"/>
          <w:szCs w:val="28"/>
          <w:highlight w:val="none"/>
          <w:lang w:eastAsia="zh-CN"/>
        </w:rPr>
        <w:t>（二）</w:t>
      </w:r>
      <w:r>
        <w:rPr>
          <w:rStyle w:val="46"/>
          <w:rFonts w:hint="eastAsia" w:ascii="宋体" w:hAnsi="宋体" w:eastAsia="宋体" w:cs="宋体"/>
          <w:b/>
          <w:bCs/>
          <w:color w:val="auto"/>
          <w:sz w:val="28"/>
          <w:szCs w:val="28"/>
          <w:highlight w:val="none"/>
        </w:rPr>
        <w:t>开标评标办法程序和细则</w:t>
      </w:r>
      <w:bookmarkEnd w:id="54"/>
      <w:bookmarkEnd w:id="55"/>
      <w:bookmarkEnd w:id="56"/>
      <w:bookmarkStart w:id="58" w:name="_Toc7116"/>
    </w:p>
    <w:p w14:paraId="253C9B91">
      <w:pPr>
        <w:jc w:val="center"/>
        <w:rPr>
          <w:rStyle w:val="46"/>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bCs/>
          <w:color w:val="auto"/>
          <w:sz w:val="28"/>
          <w:szCs w:val="28"/>
          <w:highlight w:val="none"/>
          <w:lang w:eastAsia="zh-CN"/>
        </w:rPr>
        <w:t>（</w:t>
      </w:r>
      <w:r>
        <w:rPr>
          <w:rFonts w:hint="eastAsia" w:ascii="宋体" w:hAnsi="宋体" w:eastAsia="宋体" w:cs="宋体"/>
          <w:b w:val="0"/>
          <w:color w:val="auto"/>
          <w:kern w:val="2"/>
          <w:sz w:val="28"/>
          <w:szCs w:val="28"/>
          <w:highlight w:val="none"/>
          <w:lang w:val="en-US" w:eastAsia="zh-CN" w:bidi="ar-SA"/>
        </w:rPr>
        <w:t>开评标办法由招标人自行选择，鼓励招标人创新评标办法）</w:t>
      </w:r>
    </w:p>
    <w:bookmarkEnd w:id="57"/>
    <w:p w14:paraId="583D1437">
      <w:pPr>
        <w:spacing w:before="156" w:after="156"/>
        <w:ind w:firstLine="482" w:firstLineChars="200"/>
        <w:rPr>
          <w:rFonts w:hint="eastAsia" w:ascii="宋体" w:hAnsi="宋体" w:eastAsia="宋体" w:cs="宋体"/>
          <w:b/>
          <w:bCs/>
          <w:color w:val="auto"/>
          <w:sz w:val="24"/>
          <w:szCs w:val="24"/>
          <w:highlight w:val="none"/>
        </w:rPr>
      </w:pPr>
      <w:bookmarkStart w:id="59" w:name="_Toc2272564"/>
      <w:bookmarkStart w:id="60" w:name="_Toc9750"/>
      <w:r>
        <w:rPr>
          <w:rFonts w:hint="eastAsia" w:ascii="宋体" w:hAnsi="宋体" w:eastAsia="宋体" w:cs="宋体"/>
          <w:b/>
          <w:bCs/>
          <w:color w:val="auto"/>
          <w:sz w:val="24"/>
          <w:szCs w:val="24"/>
          <w:highlight w:val="none"/>
        </w:rPr>
        <w:t>可选办法七（适合综合评分法四，技术标与经济标同时开启）</w:t>
      </w:r>
      <w:bookmarkEnd w:id="59"/>
      <w:bookmarkEnd w:id="60"/>
    </w:p>
    <w:p w14:paraId="7E037C2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40．开标和评标程序</w:t>
      </w:r>
    </w:p>
    <w:p w14:paraId="5E63BE1D">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40.1</w:t>
      </w:r>
      <w:r>
        <w:rPr>
          <w:rFonts w:hint="eastAsia" w:ascii="宋体" w:hAnsi="宋体" w:eastAsia="宋体" w:cs="宋体"/>
          <w:color w:val="auto"/>
          <w:sz w:val="24"/>
          <w:szCs w:val="24"/>
          <w:highlight w:val="none"/>
          <w:lang w:eastAsia="zh-CN"/>
        </w:rPr>
        <w:t>投标人递交技术标、经济标投标文件；</w:t>
      </w:r>
    </w:p>
    <w:p w14:paraId="160F6FB9">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40.2</w:t>
      </w:r>
      <w:r>
        <w:rPr>
          <w:rFonts w:hint="eastAsia" w:ascii="宋体" w:hAnsi="宋体" w:eastAsia="宋体" w:cs="宋体"/>
          <w:color w:val="auto"/>
          <w:sz w:val="24"/>
          <w:szCs w:val="24"/>
          <w:highlight w:val="none"/>
        </w:rPr>
        <w:t>技术标（含资格审查文件）与经济标投标文件同时公开开标；</w:t>
      </w:r>
    </w:p>
    <w:p w14:paraId="628E164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40.3</w:t>
      </w:r>
      <w:r>
        <w:rPr>
          <w:rFonts w:hint="eastAsia" w:ascii="宋体" w:hAnsi="宋体" w:eastAsia="宋体" w:cs="宋体"/>
          <w:color w:val="auto"/>
          <w:sz w:val="24"/>
          <w:szCs w:val="24"/>
          <w:highlight w:val="none"/>
          <w:lang w:eastAsia="zh-CN"/>
        </w:rPr>
        <w:t>由招标人随机抽取确定该工程计算评标参考价的等分点值</w:t>
      </w:r>
      <w:r>
        <w:rPr>
          <w:rFonts w:hint="eastAsia" w:ascii="宋体" w:hAnsi="宋体" w:eastAsia="宋体" w:cs="宋体"/>
          <w:color w:val="auto"/>
          <w:sz w:val="24"/>
          <w:szCs w:val="24"/>
          <w:highlight w:val="none"/>
          <w:lang w:val="en-US" w:eastAsia="zh-CN"/>
        </w:rPr>
        <w:t>X（适用于区间抽取法）；</w:t>
      </w:r>
    </w:p>
    <w:p w14:paraId="45509D0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由评标委员会对所有已公开开标的投标人进行资格审查；</w:t>
      </w:r>
    </w:p>
    <w:p w14:paraId="0F20D06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技术标投标文件有效性审查；</w:t>
      </w:r>
    </w:p>
    <w:p w14:paraId="5823046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技术标详细审查评分；</w:t>
      </w:r>
    </w:p>
    <w:p w14:paraId="40702DC0">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40.7经济标的算术校核；</w:t>
      </w:r>
    </w:p>
    <w:p w14:paraId="7B002FC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经济标详细审查评分； </w:t>
      </w:r>
    </w:p>
    <w:p w14:paraId="538DA08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评标委员会按照投标人总得分由高至低排序；</w:t>
      </w:r>
    </w:p>
    <w:p w14:paraId="3070781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经济标投标文件有效性审查；</w:t>
      </w:r>
    </w:p>
    <w:p w14:paraId="57F7C435">
      <w:pPr>
        <w:snapToGrid w:val="0"/>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40.</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评标委员会按排序向招标人推荐中标候选人名单，并递交资格审查报告及评标报告。</w:t>
      </w:r>
    </w:p>
    <w:p w14:paraId="7683FC9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41．开标细则</w:t>
      </w:r>
    </w:p>
    <w:p w14:paraId="7C4AE8CA">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41.1开标由招标人主持</w:t>
      </w:r>
      <w:r>
        <w:rPr>
          <w:rFonts w:hint="eastAsia" w:ascii="宋体" w:hAnsi="宋体" w:eastAsia="宋体" w:cs="宋体"/>
          <w:color w:val="auto"/>
          <w:sz w:val="24"/>
          <w:szCs w:val="24"/>
          <w:highlight w:val="none"/>
          <w:lang w:eastAsia="zh-CN"/>
        </w:rPr>
        <w:t>。</w:t>
      </w:r>
    </w:p>
    <w:p w14:paraId="2F7F971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 细则</w:t>
      </w:r>
    </w:p>
    <w:p w14:paraId="1DC743F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41.2.1投标截止期前，各投标人递交投标文件（包括技术标投标文件、经济标投标文件）至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交易平台。有关投标文件提交的事项详见第一章投标须知。 </w:t>
      </w:r>
    </w:p>
    <w:p w14:paraId="7122E1D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41.2.2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6F51E8D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按36.5.1的规定完成解密后，公布下列内容，并予以记录，记录提交评标委员会评审： </w:t>
      </w:r>
    </w:p>
    <w:p w14:paraId="74808B7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.1开标时，公布：a、投标人名称；b、</w:t>
      </w:r>
      <w:r>
        <w:rPr>
          <w:rFonts w:hint="eastAsia" w:ascii="宋体" w:hAnsi="宋体" w:eastAsia="宋体" w:cs="宋体"/>
          <w:color w:val="auto"/>
          <w:sz w:val="24"/>
          <w:szCs w:val="24"/>
          <w:highlight w:val="none"/>
          <w:lang w:eastAsia="zh-CN"/>
        </w:rPr>
        <w:t>投标文件递交情况</w:t>
      </w:r>
      <w:r>
        <w:rPr>
          <w:rFonts w:hint="eastAsia" w:ascii="宋体" w:hAnsi="宋体" w:eastAsia="宋体" w:cs="宋体"/>
          <w:color w:val="auto"/>
          <w:sz w:val="24"/>
          <w:szCs w:val="24"/>
          <w:highlight w:val="none"/>
        </w:rPr>
        <w:t>c、</w:t>
      </w:r>
      <w:r>
        <w:rPr>
          <w:rFonts w:hint="eastAsia" w:ascii="宋体" w:hAnsi="宋体" w:eastAsia="宋体" w:cs="宋体"/>
          <w:color w:val="auto"/>
          <w:sz w:val="24"/>
          <w:highlight w:val="none"/>
        </w:rPr>
        <w:t>投标文件</w:t>
      </w:r>
      <w:r>
        <w:rPr>
          <w:rFonts w:hint="eastAsia" w:ascii="宋体" w:hAnsi="宋体" w:eastAsia="宋体" w:cs="宋体"/>
          <w:color w:val="auto"/>
          <w:sz w:val="24"/>
          <w:highlight w:val="none"/>
          <w:lang w:eastAsia="zh-CN"/>
        </w:rPr>
        <w:t>解</w:t>
      </w:r>
      <w:r>
        <w:rPr>
          <w:rFonts w:hint="eastAsia" w:ascii="宋体" w:hAnsi="宋体" w:eastAsia="宋体" w:cs="宋体"/>
          <w:color w:val="auto"/>
          <w:sz w:val="24"/>
          <w:szCs w:val="24"/>
          <w:highlight w:val="none"/>
        </w:rPr>
        <w:t>密情况；d、法定代表人证明及授权委托；e、投标保证金；</w:t>
      </w: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rPr>
        <w:t>项目经理（负责人）名称；f、投标报价等主要内容及开标记录表中的其他必要内容。投标报价以数字和文字两种方式表述的，应公布文字表述的投标报价。</w:t>
      </w:r>
    </w:p>
    <w:p w14:paraId="273DD337">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41.2.3.2</w:t>
      </w:r>
      <w:r>
        <w:rPr>
          <w:rFonts w:hint="eastAsia" w:ascii="宋体" w:hAnsi="宋体" w:eastAsia="宋体" w:cs="宋体"/>
          <w:color w:val="auto"/>
          <w:sz w:val="24"/>
          <w:szCs w:val="24"/>
          <w:highlight w:val="none"/>
        </w:rPr>
        <w:t>由招标人随机抽取确定该工程计算评标参考价的等分点值X</w:t>
      </w:r>
      <w:r>
        <w:rPr>
          <w:rFonts w:hint="eastAsia" w:ascii="宋体" w:hAnsi="宋体" w:eastAsia="宋体" w:cs="宋体"/>
          <w:color w:val="auto"/>
          <w:sz w:val="24"/>
          <w:szCs w:val="24"/>
          <w:highlight w:val="none"/>
          <w:lang w:eastAsia="zh-CN"/>
        </w:rPr>
        <w:t>。</w:t>
      </w:r>
    </w:p>
    <w:p w14:paraId="027CD6E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41.3招标人对开标过程进行记录，并存档备查。</w:t>
      </w:r>
    </w:p>
    <w:p w14:paraId="6B8A900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 招标人将上述符合要求的投标文件，送至评标委员会进行评审。</w:t>
      </w:r>
    </w:p>
    <w:p w14:paraId="62AED4BD">
      <w:pPr>
        <w:pStyle w:val="35"/>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资格审查及评标细则</w:t>
      </w:r>
    </w:p>
    <w:p w14:paraId="41020EC2">
      <w:pPr>
        <w:pStyle w:val="35"/>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42.1资格审查及评标均由招标人依法组建的评标委员会负责。</w:t>
      </w:r>
    </w:p>
    <w:p w14:paraId="1095B6FB">
      <w:pPr>
        <w:pStyle w:val="35"/>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42.2评标委员会的组成：方式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B8AD16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方式一：评标委员会为综合评标委员会，负责资格审查及评标工作。</w:t>
      </w:r>
    </w:p>
    <w:p w14:paraId="66A0F554">
      <w:pPr>
        <w:pStyle w:val="35"/>
        <w:tabs>
          <w:tab w:val="left" w:pos="7380"/>
        </w:tabs>
        <w:snapToGrid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方式二：评标委员会由技术评审组和经济评审组组成。其中：资格审查及技术评审由技术评标组负责，经济评审由经济评审组负责。</w:t>
      </w:r>
    </w:p>
    <w:p w14:paraId="3F67ED9F">
      <w:pPr>
        <w:pStyle w:val="35"/>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43．投标人资格审查</w:t>
      </w:r>
    </w:p>
    <w:p w14:paraId="60479175">
      <w:pPr>
        <w:pStyle w:val="35"/>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673D39DC">
      <w:pPr>
        <w:pStyle w:val="35"/>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43.2汇总资格审查情况，编写资格审查报告。</w:t>
      </w:r>
    </w:p>
    <w:p w14:paraId="29647D7D">
      <w:pPr>
        <w:pStyle w:val="35"/>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43.3资格审查不合格的投标文件不参加下一阶段的评标，不参与评标参考价的计算。</w:t>
      </w:r>
    </w:p>
    <w:p w14:paraId="2034C02A">
      <w:pPr>
        <w:pStyle w:val="35"/>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235E6FDF">
      <w:pPr>
        <w:pStyle w:val="35"/>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43.5资审合格后，投标人的资格发生变化而不满足投标人合格条件，在发出中标通知书前，资格问题仍未解决的，招标人将取消其中标资格。</w:t>
      </w:r>
    </w:p>
    <w:p w14:paraId="0EC6C21A">
      <w:pPr>
        <w:pStyle w:val="35"/>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43.6资格审查合格的投标人少于3名的（当N个标段同时招标且不允许兼中时，资格审查合格的投标人少于N+2名），则本项目招标失败</w:t>
      </w:r>
      <w:r>
        <w:rPr>
          <w:rFonts w:hint="eastAsia" w:ascii="宋体" w:hAnsi="宋体" w:eastAsia="宋体" w:cs="宋体"/>
          <w:color w:val="auto"/>
          <w:sz w:val="24"/>
          <w:szCs w:val="24"/>
          <w:highlight w:val="none"/>
          <w:lang w:eastAsia="zh-CN"/>
        </w:rPr>
        <w:t>，由招标人依法重新招标</w:t>
      </w:r>
      <w:r>
        <w:rPr>
          <w:rFonts w:hint="eastAsia" w:ascii="宋体" w:hAnsi="宋体" w:eastAsia="宋体" w:cs="宋体"/>
          <w:color w:val="auto"/>
          <w:sz w:val="24"/>
          <w:szCs w:val="24"/>
          <w:highlight w:val="none"/>
        </w:rPr>
        <w:t>。</w:t>
      </w:r>
    </w:p>
    <w:p w14:paraId="0D3DEF5B">
      <w:pPr>
        <w:pStyle w:val="35"/>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44．技术标评审</w:t>
      </w:r>
    </w:p>
    <w:p w14:paraId="2A95066E">
      <w:pPr>
        <w:pStyle w:val="35"/>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w:t>
      </w:r>
      <w:r>
        <w:rPr>
          <w:rFonts w:hint="eastAsia" w:ascii="宋体" w:hAnsi="宋体" w:eastAsia="宋体" w:cs="宋体"/>
          <w:color w:val="auto"/>
          <w:sz w:val="24"/>
          <w:szCs w:val="24"/>
          <w:highlight w:val="none"/>
          <w:lang w:eastAsia="zh-CN"/>
        </w:rPr>
        <w:t>本项目招标失败</w:t>
      </w:r>
      <w:r>
        <w:rPr>
          <w:rFonts w:hint="eastAsia" w:ascii="宋体" w:hAnsi="宋体" w:eastAsia="宋体" w:cs="宋体"/>
          <w:color w:val="auto"/>
          <w:sz w:val="24"/>
          <w:szCs w:val="24"/>
          <w:highlight w:val="none"/>
        </w:rPr>
        <w:t>（当N个标段同时招标且不允许兼中时，通过技术标有效性审查投标人</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N+2）</w:t>
      </w:r>
      <w:r>
        <w:rPr>
          <w:rFonts w:hint="eastAsia" w:ascii="宋体" w:hAnsi="宋体" w:eastAsia="宋体" w:cs="宋体"/>
          <w:color w:val="auto"/>
          <w:sz w:val="24"/>
          <w:szCs w:val="24"/>
          <w:highlight w:val="none"/>
          <w:lang w:eastAsia="zh-CN"/>
        </w:rPr>
        <w:t>，由招标人依法重新招标</w:t>
      </w:r>
      <w:r>
        <w:rPr>
          <w:rFonts w:hint="eastAsia" w:ascii="宋体" w:hAnsi="宋体" w:eastAsia="宋体" w:cs="宋体"/>
          <w:color w:val="auto"/>
          <w:sz w:val="24"/>
          <w:szCs w:val="24"/>
          <w:highlight w:val="none"/>
        </w:rPr>
        <w:t>。评委发现投标文件中含义不明确、对同类问题表述不一致、有明显文字和计算错误的，应当要求投标人作必要的澄清、说明后再判定投标人是否通过有效性审查，不得直接否决投标。</w:t>
      </w:r>
    </w:p>
    <w:p w14:paraId="7486DE06">
      <w:pPr>
        <w:pStyle w:val="35"/>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76BA0EE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经济标的算术校核。评标委员会对进行经济标有效性审查的投标文件投标报价按照就低不就高的原则进行算术校核，具体标准如下：</w:t>
      </w:r>
    </w:p>
    <w:p w14:paraId="73FFBC9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1如果数字表示的金额和用文字表示的金额不一致时，应以文字表示的金额为准；</w:t>
      </w:r>
    </w:p>
    <w:p w14:paraId="3D5710B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2经算术复核的投标人报价与其投标报价不一致时，按就低不就高原则确定其最终报价；</w:t>
      </w:r>
    </w:p>
    <w:p w14:paraId="7F88F89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760416B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.4当合价、金额累加错误时，按就低不就高原则，如果累加修正值小于原累加值，则按累加修正值；如果累加修正值大于原累加值，则按原累加值；</w:t>
      </w:r>
    </w:p>
    <w:p w14:paraId="20A5660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.5如果投标人的有关规费、暂列金额、暂估价、绿色施工安全防护措施费等未按招标文件规定的金额填写的，由评标委员会按照招标文件规定的金额进行修正；</w:t>
      </w:r>
    </w:p>
    <w:p w14:paraId="530150A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5E6C2BF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7按就低不就高原则，当修正后报价小于原报价，总价按修正后报价；当修正后报价大于原报价，总价按原报价，并在签订合同时载明在结算价中扣除修正报价与原报价的差额。</w:t>
      </w:r>
    </w:p>
    <w:p w14:paraId="617BEF50">
      <w:pPr>
        <w:pStyle w:val="35"/>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8评标委员会按上述修正错误的原则及方法调整或修正</w:t>
      </w:r>
      <w:r>
        <w:rPr>
          <w:rFonts w:hint="eastAsia" w:ascii="宋体" w:hAnsi="宋体" w:eastAsia="宋体" w:cs="宋体"/>
          <w:color w:val="auto"/>
          <w:sz w:val="24"/>
          <w:szCs w:val="24"/>
          <w:highlight w:val="none"/>
          <w:lang w:eastAsia="zh-CN"/>
        </w:rPr>
        <w:t>经济标</w:t>
      </w:r>
      <w:r>
        <w:rPr>
          <w:rFonts w:hint="eastAsia" w:ascii="宋体" w:hAnsi="宋体" w:eastAsia="宋体" w:cs="宋体"/>
          <w:color w:val="auto"/>
          <w:sz w:val="24"/>
          <w:szCs w:val="24"/>
          <w:highlight w:val="none"/>
        </w:rPr>
        <w:t>投标文件的投标报价</w:t>
      </w:r>
      <w:r>
        <w:rPr>
          <w:rFonts w:hint="eastAsia" w:ascii="宋体" w:hAnsi="宋体" w:eastAsia="宋体" w:cs="宋体"/>
          <w:color w:val="auto"/>
          <w:sz w:val="24"/>
          <w:szCs w:val="24"/>
          <w:highlight w:val="none"/>
          <w:lang w:eastAsia="zh-CN"/>
        </w:rPr>
        <w:t>。评标委员会应</w:t>
      </w:r>
      <w:r>
        <w:rPr>
          <w:rFonts w:hint="eastAsia" w:ascii="宋体" w:hAnsi="宋体" w:eastAsia="宋体" w:cs="宋体"/>
          <w:color w:val="auto"/>
          <w:sz w:val="24"/>
          <w:szCs w:val="24"/>
          <w:highlight w:val="none"/>
        </w:rPr>
        <w:t>要求投标人以澄清形式进行核实和确认</w:t>
      </w:r>
      <w:r>
        <w:rPr>
          <w:rFonts w:hint="eastAsia" w:ascii="宋体" w:hAnsi="宋体" w:eastAsia="宋体" w:cs="宋体"/>
          <w:color w:val="auto"/>
          <w:sz w:val="24"/>
          <w:szCs w:val="24"/>
          <w:highlight w:val="none"/>
          <w:lang w:eastAsia="zh-CN"/>
        </w:rPr>
        <w:t>调整或修正的经济标投标文件的投标报价，投标人应在评标委员会在评标系统发出要求澄清的通知起</w:t>
      </w:r>
      <w:r>
        <w:rPr>
          <w:rFonts w:hint="eastAsia" w:ascii="宋体" w:hAnsi="宋体" w:eastAsia="宋体" w:cs="宋体"/>
          <w:color w:val="auto"/>
          <w:sz w:val="24"/>
          <w:szCs w:val="24"/>
          <w:highlight w:val="none"/>
          <w:lang w:val="en-US" w:eastAsia="zh-CN"/>
        </w:rPr>
        <w:t>120分钟内将核实和确认结果书面回复评标委员会，逾时不回复视作同意评标委员会调整或修正投标文件的投标报价。</w:t>
      </w:r>
      <w:r>
        <w:rPr>
          <w:rFonts w:hint="eastAsia" w:ascii="宋体" w:hAnsi="宋体" w:eastAsia="宋体" w:cs="宋体"/>
          <w:color w:val="auto"/>
          <w:sz w:val="24"/>
          <w:szCs w:val="24"/>
          <w:highlight w:val="none"/>
        </w:rPr>
        <w:t>调整后的投标报价对投标人起约束作用。如果投标人</w:t>
      </w:r>
      <w:r>
        <w:rPr>
          <w:rFonts w:hint="eastAsia" w:ascii="宋体" w:hAnsi="宋体" w:eastAsia="宋体" w:cs="宋体"/>
          <w:color w:val="auto"/>
          <w:sz w:val="24"/>
          <w:szCs w:val="24"/>
          <w:highlight w:val="none"/>
          <w:lang w:eastAsia="zh-CN"/>
        </w:rPr>
        <w:t>无正当理由</w:t>
      </w:r>
      <w:r>
        <w:rPr>
          <w:rFonts w:hint="eastAsia" w:ascii="宋体" w:hAnsi="宋体" w:eastAsia="宋体" w:cs="宋体"/>
          <w:color w:val="auto"/>
          <w:sz w:val="24"/>
          <w:szCs w:val="24"/>
          <w:highlight w:val="none"/>
        </w:rPr>
        <w:t>不接受修正后的报价，则取消其投标资格，并且其投标保证金也将不予退还。</w:t>
      </w:r>
    </w:p>
    <w:p w14:paraId="787B0B21">
      <w:pPr>
        <w:pStyle w:val="35"/>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．经济标评审和得分汇总</w:t>
      </w:r>
    </w:p>
    <w:p w14:paraId="5A53E4C1">
      <w:pPr>
        <w:pStyle w:val="35"/>
        <w:tabs>
          <w:tab w:val="left" w:pos="7380"/>
        </w:tabs>
        <w:snapToGrid w:val="0"/>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46.1</w:t>
      </w:r>
      <w:r>
        <w:rPr>
          <w:rFonts w:hint="eastAsia" w:ascii="宋体" w:hAnsi="宋体" w:eastAsia="宋体" w:cs="宋体"/>
          <w:color w:val="auto"/>
          <w:sz w:val="24"/>
          <w:szCs w:val="24"/>
          <w:highlight w:val="none"/>
        </w:rPr>
        <w:t>若通过技术标有效性审查的投标人中所有投标报价均大于等于最高投标限价，则本项目招标失败，由招标人依法</w:t>
      </w:r>
      <w:r>
        <w:rPr>
          <w:rFonts w:hint="eastAsia" w:ascii="宋体" w:hAnsi="宋体" w:eastAsia="宋体" w:cs="宋体"/>
          <w:color w:val="auto"/>
          <w:sz w:val="24"/>
          <w:szCs w:val="24"/>
          <w:highlight w:val="none"/>
          <w:lang w:eastAsia="zh-CN"/>
        </w:rPr>
        <w:t>重新招标</w:t>
      </w:r>
      <w:r>
        <w:rPr>
          <w:rFonts w:hint="eastAsia" w:ascii="宋体" w:hAnsi="宋体" w:eastAsia="宋体" w:cs="宋体"/>
          <w:color w:val="auto"/>
          <w:sz w:val="24"/>
          <w:szCs w:val="24"/>
          <w:highlight w:val="none"/>
        </w:rPr>
        <w:t>。</w:t>
      </w:r>
    </w:p>
    <w:p w14:paraId="03B63CCE">
      <w:pPr>
        <w:pStyle w:val="35"/>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以下</w:t>
      </w:r>
      <w:r>
        <w:rPr>
          <w:rFonts w:hint="eastAsia" w:ascii="宋体" w:hAnsi="宋体" w:eastAsia="宋体" w:cs="宋体"/>
          <w:color w:val="auto"/>
          <w:sz w:val="24"/>
          <w:szCs w:val="24"/>
          <w:highlight w:val="none"/>
        </w:rPr>
        <w:t>方法计算评标参考价：</w:t>
      </w:r>
    </w:p>
    <w:p w14:paraId="7DAF1E06">
      <w:pPr>
        <w:widowControl/>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区间抽取法</w:t>
      </w:r>
    </w:p>
    <w:p w14:paraId="741E34D1">
      <w:pPr>
        <w:widowControl/>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设立入围合格分数线（技术标或技术标加</w:t>
      </w:r>
      <w:r>
        <w:rPr>
          <w:rFonts w:hint="eastAsia" w:ascii="宋体" w:hAnsi="宋体" w:eastAsia="宋体" w:cs="宋体"/>
          <w:color w:val="auto"/>
          <w:sz w:val="24"/>
          <w:szCs w:val="24"/>
          <w:highlight w:val="none"/>
          <w:lang w:eastAsia="zh-CN"/>
        </w:rPr>
        <w:t>企业信用评价得分</w:t>
      </w:r>
      <w:r>
        <w:rPr>
          <w:rFonts w:hint="eastAsia" w:ascii="宋体" w:hAnsi="宋体" w:eastAsia="宋体" w:cs="宋体"/>
          <w:color w:val="auto"/>
          <w:sz w:val="24"/>
          <w:szCs w:val="24"/>
          <w:highlight w:val="none"/>
        </w:rPr>
        <w:t>，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0F839C08">
      <w:pPr>
        <w:widowControl/>
        <w:snapToGrid w:val="0"/>
        <w:spacing w:line="360" w:lineRule="auto"/>
        <w:ind w:firstLine="480" w:firstLineChars="200"/>
        <w:rPr>
          <w:rFonts w:hint="eastAsia" w:ascii="宋体" w:hAnsi="宋体" w:eastAsia="宋体" w:cs="宋体"/>
          <w:color w:val="auto"/>
          <w:kern w:val="0"/>
          <w:sz w:val="24"/>
          <w:szCs w:val="24"/>
          <w:highlight w:val="none"/>
          <w:vertAlign w:val="subscript"/>
        </w:rPr>
      </w:pPr>
      <w:r>
        <w:rPr>
          <w:rFonts w:hint="eastAsia" w:ascii="宋体" w:hAnsi="宋体" w:eastAsia="宋体" w:cs="宋体"/>
          <w:color w:val="auto"/>
          <w:kern w:val="0"/>
          <w:sz w:val="24"/>
          <w:szCs w:val="24"/>
          <w:highlight w:val="none"/>
        </w:rPr>
        <w:t>评标参考价=（Q</w:t>
      </w:r>
      <w:r>
        <w:rPr>
          <w:rFonts w:hint="eastAsia" w:ascii="宋体" w:hAnsi="宋体" w:eastAsia="宋体" w:cs="宋体"/>
          <w:color w:val="auto"/>
          <w:kern w:val="0"/>
          <w:sz w:val="24"/>
          <w:szCs w:val="24"/>
          <w:highlight w:val="none"/>
          <w:vertAlign w:val="subscript"/>
        </w:rPr>
        <w:t>高</w:t>
      </w:r>
      <w:r>
        <w:rPr>
          <w:rFonts w:hint="eastAsia" w:ascii="宋体" w:hAnsi="宋体" w:eastAsia="宋体" w:cs="宋体"/>
          <w:color w:val="auto"/>
          <w:kern w:val="0"/>
          <w:sz w:val="24"/>
          <w:szCs w:val="24"/>
          <w:highlight w:val="none"/>
        </w:rPr>
        <w:t>-Q</w:t>
      </w:r>
      <w:r>
        <w:rPr>
          <w:rFonts w:hint="eastAsia" w:ascii="宋体" w:hAnsi="宋体" w:eastAsia="宋体" w:cs="宋体"/>
          <w:color w:val="auto"/>
          <w:kern w:val="0"/>
          <w:sz w:val="24"/>
          <w:szCs w:val="24"/>
          <w:highlight w:val="none"/>
          <w:vertAlign w:val="subscript"/>
        </w:rPr>
        <w:t>低</w:t>
      </w:r>
      <w:r>
        <w:rPr>
          <w:rFonts w:hint="eastAsia" w:ascii="宋体" w:hAnsi="宋体" w:eastAsia="宋体" w:cs="宋体"/>
          <w:color w:val="auto"/>
          <w:kern w:val="0"/>
          <w:sz w:val="24"/>
          <w:szCs w:val="24"/>
          <w:highlight w:val="none"/>
        </w:rPr>
        <w:t>）/100*Ｘ+Q</w:t>
      </w:r>
      <w:r>
        <w:rPr>
          <w:rFonts w:hint="eastAsia" w:ascii="宋体" w:hAnsi="宋体" w:eastAsia="宋体" w:cs="宋体"/>
          <w:color w:val="auto"/>
          <w:kern w:val="0"/>
          <w:sz w:val="24"/>
          <w:szCs w:val="24"/>
          <w:highlight w:val="none"/>
          <w:vertAlign w:val="subscript"/>
        </w:rPr>
        <w:t>低</w:t>
      </w:r>
    </w:p>
    <w:p w14:paraId="2E445A74">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Q</w:t>
      </w:r>
      <w:r>
        <w:rPr>
          <w:rFonts w:hint="eastAsia" w:ascii="宋体" w:hAnsi="宋体" w:eastAsia="宋体" w:cs="宋体"/>
          <w:color w:val="auto"/>
          <w:sz w:val="24"/>
          <w:szCs w:val="24"/>
          <w:highlight w:val="none"/>
          <w:vertAlign w:val="subscript"/>
        </w:rPr>
        <w:t>低</w:t>
      </w:r>
      <w:r>
        <w:rPr>
          <w:rFonts w:hint="eastAsia" w:ascii="宋体" w:hAnsi="宋体" w:eastAsia="宋体" w:cs="宋体"/>
          <w:color w:val="auto"/>
          <w:sz w:val="24"/>
          <w:szCs w:val="24"/>
          <w:highlight w:val="none"/>
        </w:rPr>
        <w:t>：为达到或超过技术标及格分数线的投标人最低报价与工程成本警示价两者中的较高值；</w:t>
      </w:r>
    </w:p>
    <w:p w14:paraId="35C511B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Q</w:t>
      </w:r>
      <w:r>
        <w:rPr>
          <w:rFonts w:hint="eastAsia" w:ascii="宋体" w:hAnsi="宋体" w:eastAsia="宋体" w:cs="宋体"/>
          <w:color w:val="auto"/>
          <w:kern w:val="0"/>
          <w:sz w:val="24"/>
          <w:szCs w:val="24"/>
          <w:highlight w:val="none"/>
          <w:vertAlign w:val="subscript"/>
        </w:rPr>
        <w:t>高</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为</w:t>
      </w:r>
      <w:r>
        <w:rPr>
          <w:rFonts w:hint="eastAsia" w:ascii="宋体" w:hAnsi="宋体" w:eastAsia="宋体" w:cs="宋体"/>
          <w:color w:val="auto"/>
          <w:sz w:val="24"/>
          <w:szCs w:val="24"/>
          <w:highlight w:val="none"/>
          <w:u w:val="single"/>
          <w:lang w:eastAsia="zh-CN"/>
        </w:rPr>
        <w:t>最</w:t>
      </w:r>
      <w:r>
        <w:rPr>
          <w:rFonts w:hint="eastAsia" w:ascii="宋体" w:hAnsi="宋体" w:eastAsia="宋体" w:cs="宋体"/>
          <w:color w:val="auto"/>
          <w:sz w:val="24"/>
          <w:szCs w:val="24"/>
          <w:highlight w:val="none"/>
          <w:u w:val="single"/>
        </w:rPr>
        <w:t>高投标限价</w:t>
      </w:r>
      <w:r>
        <w:rPr>
          <w:rFonts w:hint="eastAsia" w:ascii="宋体" w:hAnsi="宋体" w:eastAsia="宋体" w:cs="宋体"/>
          <w:color w:val="auto"/>
          <w:sz w:val="24"/>
          <w:szCs w:val="24"/>
          <w:highlight w:val="none"/>
          <w:u w:val="single"/>
          <w:lang w:val="en-US" w:eastAsia="zh-CN"/>
        </w:rPr>
        <w:t>*D%（政府投资项目，D的取值范围为[94-100],由招标人自主确定；非政府投资项目由招标人自主确定取值范围），具体金额为               元。</w:t>
      </w:r>
    </w:p>
    <w:p w14:paraId="4ED9B51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X:为等分点值，在开标前从[0,100]整数中随机抽取</w:t>
      </w:r>
    </w:p>
    <w:p w14:paraId="67E9823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sz w:val="24"/>
          <w:szCs w:val="24"/>
          <w:highlight w:val="none"/>
        </w:rPr>
        <w:t>当标价等于评标参考价时得100分，标价每高于评标参考价1%，扣1.5分，每低于评标参考价1%，扣1分，扣至0分为止，得出经济分，精确到小数点后两位。</w:t>
      </w:r>
    </w:p>
    <w:p w14:paraId="37AF2FA4">
      <w:pPr>
        <w:pStyle w:val="35"/>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u w:val="single"/>
        </w:rPr>
        <w:t>计算通过技术标有效性审查的投标人总得分。投标人总得分=（技术得分×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技术得分权重</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＋经济得分×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经济得分权重）×（1-</w:t>
      </w:r>
      <w:r>
        <w:rPr>
          <w:rFonts w:hint="eastAsia" w:ascii="宋体" w:hAnsi="宋体" w:eastAsia="宋体" w:cs="宋体"/>
          <w:color w:val="auto"/>
          <w:sz w:val="24"/>
          <w:szCs w:val="24"/>
          <w:highlight w:val="none"/>
          <w:u w:val="single"/>
          <w:lang w:eastAsia="zh-CN"/>
        </w:rPr>
        <w:t>信用评价</w:t>
      </w:r>
      <w:r>
        <w:rPr>
          <w:rFonts w:hint="eastAsia" w:ascii="宋体" w:hAnsi="宋体" w:eastAsia="宋体" w:cs="宋体"/>
          <w:color w:val="auto"/>
          <w:sz w:val="24"/>
          <w:szCs w:val="24"/>
          <w:highlight w:val="none"/>
          <w:u w:val="single"/>
        </w:rPr>
        <w:t>分数权重）＋</w:t>
      </w:r>
      <w:r>
        <w:rPr>
          <w:rFonts w:hint="eastAsia" w:ascii="宋体" w:hAnsi="宋体" w:eastAsia="宋体" w:cs="宋体"/>
          <w:color w:val="auto"/>
          <w:sz w:val="24"/>
          <w:szCs w:val="24"/>
          <w:highlight w:val="none"/>
          <w:u w:val="single"/>
          <w:lang w:eastAsia="zh-CN"/>
        </w:rPr>
        <w:t>信用评价</w:t>
      </w:r>
      <w:r>
        <w:rPr>
          <w:rFonts w:hint="eastAsia" w:ascii="宋体" w:hAnsi="宋体" w:eastAsia="宋体" w:cs="宋体"/>
          <w:color w:val="auto"/>
          <w:sz w:val="24"/>
          <w:szCs w:val="24"/>
          <w:highlight w:val="none"/>
          <w:u w:val="single"/>
        </w:rPr>
        <w:t>得分×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企业信用</w:t>
      </w:r>
      <w:r>
        <w:rPr>
          <w:rFonts w:hint="eastAsia" w:ascii="宋体" w:hAnsi="宋体" w:eastAsia="宋体" w:cs="宋体"/>
          <w:color w:val="auto"/>
          <w:sz w:val="24"/>
          <w:szCs w:val="24"/>
          <w:highlight w:val="none"/>
          <w:u w:val="single"/>
        </w:rPr>
        <w:t>评价得分权重</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招标人</w:t>
      </w:r>
      <w:r>
        <w:rPr>
          <w:rFonts w:hint="eastAsia" w:ascii="宋体" w:hAnsi="宋体" w:eastAsia="宋体" w:cs="宋体"/>
          <w:color w:val="auto"/>
          <w:sz w:val="24"/>
          <w:szCs w:val="24"/>
          <w:highlight w:val="none"/>
          <w:u w:val="single"/>
          <w:lang w:eastAsia="zh-CN"/>
        </w:rPr>
        <w:t>可在</w:t>
      </w:r>
      <w:r>
        <w:rPr>
          <w:rFonts w:hint="eastAsia" w:ascii="宋体" w:hAnsi="宋体" w:eastAsia="宋体" w:cs="宋体"/>
          <w:color w:val="auto"/>
          <w:sz w:val="24"/>
          <w:szCs w:val="24"/>
          <w:highlight w:val="none"/>
          <w:u w:val="single"/>
          <w:lang w:val="en-US" w:eastAsia="zh-CN"/>
        </w:rPr>
        <w:t>[10%-20%]</w:t>
      </w:r>
      <w:r>
        <w:rPr>
          <w:rFonts w:hint="eastAsia" w:ascii="宋体" w:hAnsi="宋体" w:eastAsia="宋体" w:cs="宋体"/>
          <w:color w:val="auto"/>
          <w:sz w:val="24"/>
          <w:szCs w:val="24"/>
          <w:highlight w:val="none"/>
          <w:u w:val="single"/>
          <w:lang w:eastAsia="zh-CN"/>
        </w:rPr>
        <w:t>范围内</w:t>
      </w:r>
      <w:r>
        <w:rPr>
          <w:rFonts w:hint="eastAsia" w:ascii="宋体" w:hAnsi="宋体" w:eastAsia="宋体" w:cs="宋体"/>
          <w:color w:val="auto"/>
          <w:sz w:val="24"/>
          <w:szCs w:val="24"/>
          <w:highlight w:val="none"/>
          <w:u w:val="single"/>
          <w:lang w:val="en-US" w:eastAsia="zh-CN"/>
        </w:rPr>
        <w:t>自主确定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技术、经济得分权重按投标须知前附表的规定执行。总得分四舍五入保留两位小数。</w:t>
      </w:r>
    </w:p>
    <w:p w14:paraId="10E11CFD">
      <w:pPr>
        <w:pStyle w:val="35"/>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.经济标的有效性审查</w:t>
      </w:r>
    </w:p>
    <w:p w14:paraId="6B3D42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r>
        <w:rPr>
          <w:rFonts w:hint="eastAsia" w:ascii="宋体" w:hAnsi="宋体" w:eastAsia="宋体" w:cs="宋体"/>
          <w:color w:val="auto"/>
          <w:sz w:val="24"/>
          <w:szCs w:val="24"/>
          <w:highlight w:val="none"/>
          <w:lang w:eastAsia="zh-CN"/>
        </w:rPr>
        <w:t>属于经济标算术校核范围的不得作为否决投标的情形。</w:t>
      </w:r>
    </w:p>
    <w:p w14:paraId="3D13E88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rPr>
        <w:t>.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7446C8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.评标委员会应在通过投标文件经济标有效性审查的投标人中，按步骤45.4确定的投标人第二阶段排序，推荐前3名依次为第一中标候选人至第三中标候选人,并编制评标报告。</w:t>
      </w:r>
    </w:p>
    <w:p w14:paraId="0749F49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.若通过经济标有效性审查的投标人不足三家，</w:t>
      </w:r>
      <w:r>
        <w:rPr>
          <w:rFonts w:hint="eastAsia" w:ascii="宋体" w:hAnsi="宋体" w:eastAsia="宋体" w:cs="宋体"/>
          <w:color w:val="auto"/>
          <w:sz w:val="24"/>
          <w:szCs w:val="24"/>
          <w:highlight w:val="none"/>
          <w:lang w:eastAsia="zh-CN"/>
        </w:rPr>
        <w:t>则本项目招标失败，由招标人依法重新招标</w:t>
      </w:r>
      <w:r>
        <w:rPr>
          <w:rFonts w:hint="eastAsia" w:ascii="宋体" w:hAnsi="宋体" w:eastAsia="宋体" w:cs="宋体"/>
          <w:color w:val="auto"/>
          <w:sz w:val="24"/>
          <w:szCs w:val="24"/>
          <w:highlight w:val="none"/>
        </w:rPr>
        <w:t>（当N个标段同时招标且不允许兼中时，有效投标人</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N+2家）</w:t>
      </w:r>
      <w:r>
        <w:rPr>
          <w:rFonts w:hint="eastAsia" w:ascii="宋体" w:hAnsi="宋体" w:eastAsia="宋体" w:cs="宋体"/>
          <w:color w:val="auto"/>
          <w:sz w:val="24"/>
          <w:szCs w:val="24"/>
          <w:highlight w:val="none"/>
          <w:lang w:eastAsia="zh-CN"/>
        </w:rPr>
        <w:t>。</w:t>
      </w:r>
    </w:p>
    <w:bookmarkEnd w:id="58"/>
    <w:p w14:paraId="489C7EF1">
      <w:pPr>
        <w:tabs>
          <w:tab w:val="left" w:pos="72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B51DAA6">
      <w:pPr>
        <w:widowControl/>
        <w:snapToGrid w:val="0"/>
        <w:spacing w:line="360" w:lineRule="auto"/>
        <w:ind w:right="102"/>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附表一</w:t>
      </w:r>
    </w:p>
    <w:p w14:paraId="50ABCDE3">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资格审查表</w:t>
      </w:r>
    </w:p>
    <w:p w14:paraId="0C150320">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招标项目</w:t>
      </w:r>
      <w:r>
        <w:rPr>
          <w:rFonts w:hint="eastAsia" w:ascii="宋体" w:hAnsi="宋体" w:eastAsia="宋体" w:cs="宋体"/>
          <w:color w:val="auto"/>
          <w:sz w:val="24"/>
          <w:szCs w:val="24"/>
          <w:highlight w:val="none"/>
        </w:rPr>
        <w:t>名称：</w:t>
      </w:r>
    </w:p>
    <w:p w14:paraId="5B132A6C">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bl>
      <w:tblPr>
        <w:tblStyle w:val="36"/>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3884"/>
        <w:gridCol w:w="3294"/>
        <w:gridCol w:w="1287"/>
      </w:tblGrid>
      <w:tr w14:paraId="2C56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601FA743">
            <w:pPr>
              <w:spacing w:before="120" w:after="6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3884" w:type="dxa"/>
            <w:tcBorders>
              <w:top w:val="single" w:color="auto" w:sz="4" w:space="0"/>
              <w:left w:val="single" w:color="auto" w:sz="4" w:space="0"/>
              <w:bottom w:val="single" w:color="auto" w:sz="4" w:space="0"/>
              <w:right w:val="single" w:color="auto" w:sz="4" w:space="0"/>
            </w:tcBorders>
            <w:vAlign w:val="center"/>
          </w:tcPr>
          <w:p w14:paraId="66EE43DC">
            <w:pPr>
              <w:spacing w:before="120" w:after="6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审查项目</w:t>
            </w:r>
          </w:p>
        </w:tc>
        <w:tc>
          <w:tcPr>
            <w:tcW w:w="3294" w:type="dxa"/>
            <w:tcBorders>
              <w:top w:val="single" w:color="auto" w:sz="4" w:space="0"/>
              <w:left w:val="single" w:color="auto" w:sz="4" w:space="0"/>
              <w:bottom w:val="single" w:color="auto" w:sz="4" w:space="0"/>
              <w:right w:val="single" w:color="auto" w:sz="4" w:space="0"/>
            </w:tcBorders>
            <w:vAlign w:val="center"/>
          </w:tcPr>
          <w:p w14:paraId="7BE0E806">
            <w:pPr>
              <w:spacing w:before="120" w:after="6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须审查的资料</w:t>
            </w:r>
          </w:p>
        </w:tc>
        <w:tc>
          <w:tcPr>
            <w:tcW w:w="1287" w:type="dxa"/>
            <w:tcBorders>
              <w:top w:val="single" w:color="auto" w:sz="4" w:space="0"/>
              <w:left w:val="single" w:color="auto" w:sz="4" w:space="0"/>
              <w:bottom w:val="single" w:color="auto" w:sz="4" w:space="0"/>
              <w:right w:val="single" w:color="auto" w:sz="4" w:space="0"/>
            </w:tcBorders>
            <w:vAlign w:val="center"/>
          </w:tcPr>
          <w:p w14:paraId="16915431">
            <w:pPr>
              <w:spacing w:before="120" w:after="6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审查结果</w:t>
            </w:r>
          </w:p>
        </w:tc>
      </w:tr>
      <w:tr w14:paraId="1529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5226917A">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884" w:type="dxa"/>
            <w:tcBorders>
              <w:top w:val="single" w:color="auto" w:sz="4" w:space="0"/>
              <w:left w:val="single" w:color="auto" w:sz="4" w:space="0"/>
              <w:bottom w:val="single" w:color="auto" w:sz="4" w:space="0"/>
              <w:right w:val="single" w:color="auto" w:sz="4" w:space="0"/>
            </w:tcBorders>
            <w:vAlign w:val="center"/>
          </w:tcPr>
          <w:p w14:paraId="6050219B">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投标人参加投标的意思表达清楚，投标人代表被授权有效</w:t>
            </w:r>
          </w:p>
        </w:tc>
        <w:tc>
          <w:tcPr>
            <w:tcW w:w="3294" w:type="dxa"/>
            <w:tcBorders>
              <w:top w:val="single" w:color="auto" w:sz="4" w:space="0"/>
              <w:left w:val="single" w:color="auto" w:sz="4" w:space="0"/>
              <w:bottom w:val="single" w:color="auto" w:sz="4" w:space="0"/>
              <w:right w:val="single" w:color="auto" w:sz="4" w:space="0"/>
            </w:tcBorders>
            <w:vAlign w:val="center"/>
          </w:tcPr>
          <w:p w14:paraId="5C20D590">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投标人声明、法定代表人证明书；委托投标的还应提供法人授权委托证明书</w:t>
            </w:r>
          </w:p>
        </w:tc>
        <w:tc>
          <w:tcPr>
            <w:tcW w:w="1287" w:type="dxa"/>
            <w:tcBorders>
              <w:top w:val="single" w:color="auto" w:sz="4" w:space="0"/>
              <w:left w:val="single" w:color="auto" w:sz="4" w:space="0"/>
              <w:bottom w:val="single" w:color="auto" w:sz="4" w:space="0"/>
              <w:right w:val="single" w:color="auto" w:sz="4" w:space="0"/>
            </w:tcBorders>
            <w:vAlign w:val="center"/>
          </w:tcPr>
          <w:p w14:paraId="14714CC6">
            <w:pPr>
              <w:spacing w:before="120" w:after="60"/>
              <w:jc w:val="center"/>
              <w:rPr>
                <w:rFonts w:hint="eastAsia" w:ascii="宋体" w:hAnsi="宋体" w:eastAsia="宋体" w:cs="宋体"/>
                <w:color w:val="auto"/>
                <w:szCs w:val="21"/>
                <w:highlight w:val="none"/>
              </w:rPr>
            </w:pPr>
          </w:p>
        </w:tc>
      </w:tr>
      <w:tr w14:paraId="3840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79EF674A">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884" w:type="dxa"/>
            <w:tcBorders>
              <w:top w:val="single" w:color="auto" w:sz="4" w:space="0"/>
              <w:left w:val="single" w:color="auto" w:sz="4" w:space="0"/>
              <w:bottom w:val="single" w:color="auto" w:sz="4" w:space="0"/>
              <w:right w:val="single" w:color="auto" w:sz="4" w:space="0"/>
            </w:tcBorders>
            <w:vAlign w:val="center"/>
          </w:tcPr>
          <w:p w14:paraId="61B610E8">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投标人是法人或其他组织，按国家法律经营</w:t>
            </w:r>
          </w:p>
        </w:tc>
        <w:tc>
          <w:tcPr>
            <w:tcW w:w="3294" w:type="dxa"/>
            <w:tcBorders>
              <w:top w:val="single" w:color="auto" w:sz="4" w:space="0"/>
              <w:left w:val="single" w:color="auto" w:sz="4" w:space="0"/>
              <w:bottom w:val="single" w:color="auto" w:sz="4" w:space="0"/>
              <w:right w:val="single" w:color="auto" w:sz="4" w:space="0"/>
            </w:tcBorders>
            <w:vAlign w:val="center"/>
          </w:tcPr>
          <w:p w14:paraId="3D187F9C">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营业执照扫描件或电子证照</w:t>
            </w:r>
          </w:p>
        </w:tc>
        <w:tc>
          <w:tcPr>
            <w:tcW w:w="1287" w:type="dxa"/>
            <w:tcBorders>
              <w:top w:val="single" w:color="auto" w:sz="4" w:space="0"/>
              <w:left w:val="single" w:color="auto" w:sz="4" w:space="0"/>
              <w:bottom w:val="single" w:color="auto" w:sz="4" w:space="0"/>
              <w:right w:val="single" w:color="auto" w:sz="4" w:space="0"/>
            </w:tcBorders>
            <w:vAlign w:val="center"/>
          </w:tcPr>
          <w:p w14:paraId="3461B995">
            <w:pPr>
              <w:spacing w:before="120" w:after="60"/>
              <w:jc w:val="center"/>
              <w:rPr>
                <w:rFonts w:hint="eastAsia" w:ascii="宋体" w:hAnsi="宋体" w:eastAsia="宋体" w:cs="宋体"/>
                <w:color w:val="auto"/>
                <w:szCs w:val="21"/>
                <w:highlight w:val="none"/>
              </w:rPr>
            </w:pPr>
          </w:p>
        </w:tc>
      </w:tr>
      <w:tr w14:paraId="2B07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3C41096C">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884" w:type="dxa"/>
            <w:tcBorders>
              <w:top w:val="single" w:color="auto" w:sz="4" w:space="0"/>
              <w:left w:val="single" w:color="auto" w:sz="4" w:space="0"/>
              <w:bottom w:val="single" w:color="auto" w:sz="4" w:space="0"/>
              <w:right w:val="single" w:color="auto" w:sz="4" w:space="0"/>
            </w:tcBorders>
            <w:vAlign w:val="center"/>
          </w:tcPr>
          <w:p w14:paraId="317E82DB">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投标人均持有建设行政主管部门颁发的有效期内的企业资质证书及安全生产许可证；投标人资质符合公告要求</w:t>
            </w:r>
          </w:p>
        </w:tc>
        <w:tc>
          <w:tcPr>
            <w:tcW w:w="3294" w:type="dxa"/>
            <w:tcBorders>
              <w:top w:val="single" w:color="auto" w:sz="4" w:space="0"/>
              <w:left w:val="single" w:color="auto" w:sz="4" w:space="0"/>
              <w:bottom w:val="single" w:color="auto" w:sz="4" w:space="0"/>
              <w:right w:val="single" w:color="auto" w:sz="4" w:space="0"/>
            </w:tcBorders>
            <w:vAlign w:val="center"/>
          </w:tcPr>
          <w:p w14:paraId="41137655">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资质证书扫描件或电子证照、安全生产许可证扫描件或电子证照</w:t>
            </w:r>
          </w:p>
        </w:tc>
        <w:tc>
          <w:tcPr>
            <w:tcW w:w="1287" w:type="dxa"/>
            <w:tcBorders>
              <w:top w:val="single" w:color="auto" w:sz="4" w:space="0"/>
              <w:left w:val="single" w:color="auto" w:sz="4" w:space="0"/>
              <w:bottom w:val="single" w:color="auto" w:sz="4" w:space="0"/>
              <w:right w:val="single" w:color="auto" w:sz="4" w:space="0"/>
            </w:tcBorders>
            <w:vAlign w:val="center"/>
          </w:tcPr>
          <w:p w14:paraId="1F267670">
            <w:pPr>
              <w:spacing w:before="120" w:after="60"/>
              <w:jc w:val="center"/>
              <w:rPr>
                <w:rFonts w:hint="eastAsia" w:ascii="宋体" w:hAnsi="宋体" w:eastAsia="宋体" w:cs="宋体"/>
                <w:color w:val="auto"/>
                <w:szCs w:val="21"/>
                <w:highlight w:val="none"/>
              </w:rPr>
            </w:pPr>
          </w:p>
        </w:tc>
      </w:tr>
      <w:tr w14:paraId="1062A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57D3F98E">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884" w:type="dxa"/>
            <w:tcBorders>
              <w:top w:val="single" w:color="auto" w:sz="4" w:space="0"/>
              <w:left w:val="single" w:color="auto" w:sz="4" w:space="0"/>
              <w:bottom w:val="single" w:color="auto" w:sz="4" w:space="0"/>
              <w:right w:val="single" w:color="auto" w:sz="4" w:space="0"/>
            </w:tcBorders>
            <w:vAlign w:val="center"/>
          </w:tcPr>
          <w:p w14:paraId="5C2AC47F">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投标人拟担任本工程项目负责人符合公告要求</w:t>
            </w:r>
          </w:p>
        </w:tc>
        <w:tc>
          <w:tcPr>
            <w:tcW w:w="3294" w:type="dxa"/>
            <w:tcBorders>
              <w:top w:val="single" w:color="auto" w:sz="4" w:space="0"/>
              <w:left w:val="single" w:color="auto" w:sz="4" w:space="0"/>
              <w:bottom w:val="single" w:color="auto" w:sz="4" w:space="0"/>
              <w:right w:val="single" w:color="auto" w:sz="4" w:space="0"/>
            </w:tcBorders>
            <w:vAlign w:val="center"/>
          </w:tcPr>
          <w:p w14:paraId="77DA5252">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有效期内的建造师注册证书扫描件或电子证书（注：打印建造师电子证书后，在个人签名处手写本人签名再扫描提交。）</w:t>
            </w:r>
          </w:p>
        </w:tc>
        <w:tc>
          <w:tcPr>
            <w:tcW w:w="1287" w:type="dxa"/>
            <w:tcBorders>
              <w:top w:val="single" w:color="auto" w:sz="4" w:space="0"/>
              <w:left w:val="single" w:color="auto" w:sz="4" w:space="0"/>
              <w:bottom w:val="single" w:color="auto" w:sz="4" w:space="0"/>
              <w:right w:val="single" w:color="auto" w:sz="4" w:space="0"/>
            </w:tcBorders>
            <w:vAlign w:val="center"/>
          </w:tcPr>
          <w:p w14:paraId="28F67A38">
            <w:pPr>
              <w:spacing w:before="120" w:after="60"/>
              <w:jc w:val="center"/>
              <w:rPr>
                <w:rFonts w:hint="eastAsia" w:ascii="宋体" w:hAnsi="宋体" w:eastAsia="宋体" w:cs="宋体"/>
                <w:color w:val="auto"/>
                <w:szCs w:val="21"/>
                <w:highlight w:val="none"/>
              </w:rPr>
            </w:pPr>
          </w:p>
        </w:tc>
      </w:tr>
      <w:tr w14:paraId="3216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2C782F48">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884" w:type="dxa"/>
            <w:tcBorders>
              <w:top w:val="single" w:color="auto" w:sz="4" w:space="0"/>
              <w:left w:val="single" w:color="auto" w:sz="4" w:space="0"/>
              <w:bottom w:val="single" w:color="auto" w:sz="4" w:space="0"/>
              <w:right w:val="single" w:color="auto" w:sz="4" w:space="0"/>
            </w:tcBorders>
            <w:vAlign w:val="center"/>
          </w:tcPr>
          <w:p w14:paraId="557B357A">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持有项目负责人安全生产考核合格证（B类）或建筑施工企业项目负责人安全生产考核合格证</w:t>
            </w:r>
          </w:p>
        </w:tc>
        <w:tc>
          <w:tcPr>
            <w:tcW w:w="3294" w:type="dxa"/>
            <w:tcBorders>
              <w:top w:val="single" w:color="auto" w:sz="4" w:space="0"/>
              <w:left w:val="single" w:color="auto" w:sz="4" w:space="0"/>
              <w:bottom w:val="single" w:color="auto" w:sz="4" w:space="0"/>
              <w:right w:val="single" w:color="auto" w:sz="4" w:space="0"/>
            </w:tcBorders>
            <w:vAlign w:val="center"/>
          </w:tcPr>
          <w:p w14:paraId="1E8F5BFB">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项目负责人安全生产考核合格证（B类）或建筑施工企业项目负责人安全生产考核合格证</w:t>
            </w:r>
          </w:p>
        </w:tc>
        <w:tc>
          <w:tcPr>
            <w:tcW w:w="1287" w:type="dxa"/>
            <w:tcBorders>
              <w:top w:val="single" w:color="auto" w:sz="4" w:space="0"/>
              <w:left w:val="single" w:color="auto" w:sz="4" w:space="0"/>
              <w:bottom w:val="single" w:color="auto" w:sz="4" w:space="0"/>
              <w:right w:val="single" w:color="auto" w:sz="4" w:space="0"/>
            </w:tcBorders>
            <w:vAlign w:val="center"/>
          </w:tcPr>
          <w:p w14:paraId="7A13100E">
            <w:pPr>
              <w:spacing w:before="120" w:after="60"/>
              <w:jc w:val="center"/>
              <w:rPr>
                <w:rFonts w:hint="eastAsia" w:ascii="宋体" w:hAnsi="宋体" w:eastAsia="宋体" w:cs="宋体"/>
                <w:color w:val="auto"/>
                <w:szCs w:val="21"/>
                <w:highlight w:val="none"/>
              </w:rPr>
            </w:pPr>
          </w:p>
        </w:tc>
      </w:tr>
      <w:tr w14:paraId="2435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01AE01CC">
            <w:pPr>
              <w:spacing w:before="120" w:after="6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3884" w:type="dxa"/>
            <w:tcBorders>
              <w:top w:val="single" w:color="auto" w:sz="4" w:space="0"/>
              <w:left w:val="single" w:color="auto" w:sz="4" w:space="0"/>
              <w:bottom w:val="single" w:color="auto" w:sz="4" w:space="0"/>
              <w:right w:val="single" w:color="auto" w:sz="4" w:space="0"/>
            </w:tcBorders>
            <w:vAlign w:val="center"/>
          </w:tcPr>
          <w:p w14:paraId="0167814B">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投标人拟担任本工程技术负责人符合公告要求</w:t>
            </w:r>
          </w:p>
        </w:tc>
        <w:tc>
          <w:tcPr>
            <w:tcW w:w="3294" w:type="dxa"/>
            <w:tcBorders>
              <w:top w:val="single" w:color="auto" w:sz="4" w:space="0"/>
              <w:left w:val="single" w:color="auto" w:sz="4" w:space="0"/>
              <w:bottom w:val="single" w:color="auto" w:sz="4" w:space="0"/>
              <w:right w:val="single" w:color="auto" w:sz="4" w:space="0"/>
            </w:tcBorders>
            <w:vAlign w:val="center"/>
          </w:tcPr>
          <w:p w14:paraId="5E0CCF56">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拟委托技术负责人的相关证书、资料（具体要求</w:t>
            </w:r>
            <w:r>
              <w:rPr>
                <w:rFonts w:hint="eastAsia" w:ascii="宋体" w:hAnsi="宋体" w:eastAsia="宋体" w:cs="宋体"/>
                <w:color w:val="auto"/>
                <w:szCs w:val="21"/>
                <w:highlight w:val="none"/>
                <w:u w:val="single"/>
              </w:rPr>
              <w:t>详见招标公告</w:t>
            </w:r>
            <w:r>
              <w:rPr>
                <w:rFonts w:hint="eastAsia" w:ascii="宋体" w:hAnsi="宋体" w:eastAsia="宋体" w:cs="宋体"/>
                <w:color w:val="auto"/>
                <w:szCs w:val="21"/>
                <w:highlight w:val="none"/>
              </w:rPr>
              <w:t>）</w:t>
            </w:r>
          </w:p>
        </w:tc>
        <w:tc>
          <w:tcPr>
            <w:tcW w:w="1287" w:type="dxa"/>
            <w:tcBorders>
              <w:top w:val="single" w:color="auto" w:sz="4" w:space="0"/>
              <w:left w:val="single" w:color="auto" w:sz="4" w:space="0"/>
              <w:bottom w:val="single" w:color="auto" w:sz="4" w:space="0"/>
              <w:right w:val="single" w:color="auto" w:sz="4" w:space="0"/>
            </w:tcBorders>
            <w:vAlign w:val="center"/>
          </w:tcPr>
          <w:p w14:paraId="1946207F">
            <w:pPr>
              <w:spacing w:before="120" w:after="60"/>
              <w:jc w:val="center"/>
              <w:rPr>
                <w:rFonts w:hint="eastAsia" w:ascii="宋体" w:hAnsi="宋体" w:eastAsia="宋体" w:cs="宋体"/>
                <w:color w:val="auto"/>
                <w:szCs w:val="21"/>
                <w:highlight w:val="none"/>
              </w:rPr>
            </w:pPr>
          </w:p>
        </w:tc>
      </w:tr>
      <w:tr w14:paraId="79CB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3DA61AE3">
            <w:pPr>
              <w:spacing w:before="120" w:after="6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3884" w:type="dxa"/>
            <w:tcBorders>
              <w:top w:val="single" w:color="auto" w:sz="4" w:space="0"/>
              <w:left w:val="single" w:color="auto" w:sz="4" w:space="0"/>
              <w:bottom w:val="single" w:color="auto" w:sz="4" w:space="0"/>
              <w:right w:val="single" w:color="auto" w:sz="4" w:space="0"/>
            </w:tcBorders>
            <w:vAlign w:val="center"/>
          </w:tcPr>
          <w:p w14:paraId="501C450A">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拟配备的专职安全员不少于</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人，专职安全员须具有安全生产考核合格证（C类）或建筑施工企业专职安全生产管理人员安全生产考核合格证书（C3）</w:t>
            </w:r>
          </w:p>
        </w:tc>
        <w:tc>
          <w:tcPr>
            <w:tcW w:w="3294" w:type="dxa"/>
            <w:tcBorders>
              <w:top w:val="single" w:color="auto" w:sz="4" w:space="0"/>
              <w:left w:val="single" w:color="auto" w:sz="4" w:space="0"/>
              <w:bottom w:val="single" w:color="auto" w:sz="4" w:space="0"/>
              <w:right w:val="single" w:color="auto" w:sz="4" w:space="0"/>
            </w:tcBorders>
            <w:vAlign w:val="center"/>
          </w:tcPr>
          <w:p w14:paraId="7122D1B9">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专职安全员的安全生产考核合格证（C类）或建筑施工企业专职安全生产管理人员安全生产考核合格证（C3）证书扫描件或电子证书</w:t>
            </w:r>
          </w:p>
        </w:tc>
        <w:tc>
          <w:tcPr>
            <w:tcW w:w="1287" w:type="dxa"/>
            <w:tcBorders>
              <w:top w:val="single" w:color="auto" w:sz="4" w:space="0"/>
              <w:left w:val="single" w:color="auto" w:sz="4" w:space="0"/>
              <w:bottom w:val="single" w:color="auto" w:sz="4" w:space="0"/>
              <w:right w:val="single" w:color="auto" w:sz="4" w:space="0"/>
            </w:tcBorders>
            <w:vAlign w:val="center"/>
          </w:tcPr>
          <w:p w14:paraId="6B7DE2B6">
            <w:pPr>
              <w:spacing w:before="120" w:after="60"/>
              <w:jc w:val="center"/>
              <w:rPr>
                <w:rFonts w:hint="eastAsia" w:ascii="宋体" w:hAnsi="宋体" w:eastAsia="宋体" w:cs="宋体"/>
                <w:color w:val="auto"/>
                <w:szCs w:val="21"/>
                <w:highlight w:val="none"/>
              </w:rPr>
            </w:pPr>
          </w:p>
        </w:tc>
      </w:tr>
      <w:tr w14:paraId="4997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092DC298">
            <w:pPr>
              <w:spacing w:before="120" w:after="6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3884" w:type="dxa"/>
            <w:tcBorders>
              <w:top w:val="single" w:color="auto" w:sz="4" w:space="0"/>
              <w:left w:val="single" w:color="auto" w:sz="4" w:space="0"/>
              <w:bottom w:val="single" w:color="auto" w:sz="4" w:space="0"/>
              <w:right w:val="single" w:color="auto" w:sz="4" w:space="0"/>
            </w:tcBorders>
            <w:vAlign w:val="center"/>
          </w:tcPr>
          <w:p w14:paraId="5F8BEEDC">
            <w:pPr>
              <w:spacing w:before="120" w:after="60"/>
              <w:jc w:val="center"/>
              <w:rPr>
                <w:rFonts w:hint="eastAsia" w:ascii="宋体" w:hAnsi="宋体" w:eastAsia="宋体" w:cs="宋体"/>
                <w:color w:val="auto"/>
                <w:szCs w:val="21"/>
                <w:highlight w:val="none"/>
              </w:rPr>
            </w:pPr>
            <w:r>
              <w:rPr>
                <w:rFonts w:hint="eastAsia" w:ascii="宋体" w:hAnsi="宋体"/>
                <w:color w:val="auto"/>
                <w:szCs w:val="21"/>
                <w:highlight w:val="none"/>
              </w:rPr>
              <w:t>投标人完成过的类似工程业绩符合公告要求</w:t>
            </w:r>
          </w:p>
        </w:tc>
        <w:tc>
          <w:tcPr>
            <w:tcW w:w="3294" w:type="dxa"/>
            <w:tcBorders>
              <w:top w:val="single" w:color="auto" w:sz="4" w:space="0"/>
              <w:left w:val="single" w:color="auto" w:sz="4" w:space="0"/>
              <w:bottom w:val="single" w:color="auto" w:sz="4" w:space="0"/>
              <w:right w:val="single" w:color="auto" w:sz="4" w:space="0"/>
            </w:tcBorders>
            <w:vAlign w:val="center"/>
          </w:tcPr>
          <w:p w14:paraId="093E947E">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按招标公告要求提供</w:t>
            </w:r>
            <w:r>
              <w:rPr>
                <w:rFonts w:hint="eastAsia" w:ascii="宋体" w:hAnsi="宋体" w:cs="Times New Roman"/>
                <w:color w:val="auto"/>
                <w:szCs w:val="21"/>
                <w:highlight w:val="none"/>
                <w:lang w:val="en-US" w:eastAsia="zh-CN"/>
              </w:rPr>
              <w:t>的</w:t>
            </w:r>
          </w:p>
          <w:p w14:paraId="229F4323">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Times New Roman"/>
                <w:color w:val="auto"/>
                <w:szCs w:val="21"/>
                <w:highlight w:val="none"/>
              </w:rPr>
              <w:t>业绩</w:t>
            </w:r>
            <w:r>
              <w:rPr>
                <w:rFonts w:hint="eastAsia" w:ascii="宋体" w:hAnsi="宋体" w:eastAsia="宋体" w:cs="Times New Roman"/>
                <w:color w:val="auto"/>
                <w:szCs w:val="21"/>
                <w:highlight w:val="none"/>
                <w:lang w:val="en-US" w:eastAsia="zh-CN"/>
              </w:rPr>
              <w:t>证明材料</w:t>
            </w:r>
          </w:p>
        </w:tc>
        <w:tc>
          <w:tcPr>
            <w:tcW w:w="1287" w:type="dxa"/>
            <w:tcBorders>
              <w:top w:val="single" w:color="auto" w:sz="4" w:space="0"/>
              <w:left w:val="single" w:color="auto" w:sz="4" w:space="0"/>
              <w:bottom w:val="single" w:color="auto" w:sz="4" w:space="0"/>
              <w:right w:val="single" w:color="auto" w:sz="4" w:space="0"/>
            </w:tcBorders>
            <w:vAlign w:val="center"/>
          </w:tcPr>
          <w:p w14:paraId="3D17DDEA">
            <w:pPr>
              <w:spacing w:before="120" w:after="60"/>
              <w:jc w:val="center"/>
              <w:rPr>
                <w:rFonts w:hint="eastAsia" w:ascii="宋体" w:hAnsi="宋体" w:eastAsia="宋体" w:cs="宋体"/>
                <w:color w:val="auto"/>
                <w:szCs w:val="21"/>
                <w:highlight w:val="none"/>
              </w:rPr>
            </w:pPr>
          </w:p>
        </w:tc>
      </w:tr>
      <w:tr w14:paraId="6B8F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0603ED24">
            <w:pPr>
              <w:spacing w:before="120" w:after="6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3884" w:type="dxa"/>
            <w:tcBorders>
              <w:top w:val="single" w:color="auto" w:sz="4" w:space="0"/>
              <w:left w:val="single" w:color="auto" w:sz="4" w:space="0"/>
              <w:bottom w:val="single" w:color="auto" w:sz="4" w:space="0"/>
              <w:right w:val="single" w:color="auto" w:sz="4" w:space="0"/>
            </w:tcBorders>
            <w:vAlign w:val="center"/>
          </w:tcPr>
          <w:p w14:paraId="2535C2D0">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投标人提供的投标人声明符合公告要求</w:t>
            </w:r>
          </w:p>
        </w:tc>
        <w:tc>
          <w:tcPr>
            <w:tcW w:w="3294" w:type="dxa"/>
            <w:tcBorders>
              <w:top w:val="single" w:color="auto" w:sz="4" w:space="0"/>
              <w:left w:val="single" w:color="auto" w:sz="4" w:space="0"/>
              <w:bottom w:val="single" w:color="auto" w:sz="4" w:space="0"/>
              <w:right w:val="single" w:color="auto" w:sz="4" w:space="0"/>
            </w:tcBorders>
            <w:vAlign w:val="center"/>
          </w:tcPr>
          <w:p w14:paraId="7D28460C">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投标人声明</w:t>
            </w:r>
          </w:p>
        </w:tc>
        <w:tc>
          <w:tcPr>
            <w:tcW w:w="1287" w:type="dxa"/>
            <w:tcBorders>
              <w:top w:val="single" w:color="auto" w:sz="4" w:space="0"/>
              <w:left w:val="single" w:color="auto" w:sz="4" w:space="0"/>
              <w:bottom w:val="single" w:color="auto" w:sz="4" w:space="0"/>
              <w:right w:val="single" w:color="auto" w:sz="4" w:space="0"/>
            </w:tcBorders>
            <w:vAlign w:val="center"/>
          </w:tcPr>
          <w:p w14:paraId="5D045CA4">
            <w:pPr>
              <w:spacing w:before="120" w:after="60"/>
              <w:jc w:val="center"/>
              <w:rPr>
                <w:rFonts w:hint="eastAsia" w:ascii="宋体" w:hAnsi="宋体" w:eastAsia="宋体" w:cs="宋体"/>
                <w:color w:val="auto"/>
                <w:szCs w:val="21"/>
                <w:highlight w:val="none"/>
              </w:rPr>
            </w:pPr>
          </w:p>
        </w:tc>
      </w:tr>
      <w:tr w14:paraId="05BE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47073275">
            <w:pPr>
              <w:spacing w:before="120" w:after="6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3884" w:type="dxa"/>
            <w:tcBorders>
              <w:top w:val="single" w:color="auto" w:sz="4" w:space="0"/>
              <w:left w:val="single" w:color="auto" w:sz="4" w:space="0"/>
              <w:bottom w:val="single" w:color="auto" w:sz="4" w:space="0"/>
              <w:right w:val="single" w:color="auto" w:sz="4" w:space="0"/>
            </w:tcBorders>
            <w:vAlign w:val="center"/>
          </w:tcPr>
          <w:p w14:paraId="0995C9B6">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投标人声明中签字的项目负责人和技术负责人与本项目拟派的项目负责人和技术负责人一致</w:t>
            </w:r>
          </w:p>
        </w:tc>
        <w:tc>
          <w:tcPr>
            <w:tcW w:w="3294" w:type="dxa"/>
            <w:tcBorders>
              <w:top w:val="single" w:color="auto" w:sz="4" w:space="0"/>
              <w:left w:val="single" w:color="auto" w:sz="4" w:space="0"/>
              <w:bottom w:val="single" w:color="auto" w:sz="4" w:space="0"/>
              <w:right w:val="single" w:color="auto" w:sz="4" w:space="0"/>
            </w:tcBorders>
            <w:vAlign w:val="center"/>
          </w:tcPr>
          <w:p w14:paraId="7FD83F40">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网上投标时选择拟投标的项目负责人、资格审查文件中拟委派的技术负责人及投标人声明</w:t>
            </w:r>
          </w:p>
        </w:tc>
        <w:tc>
          <w:tcPr>
            <w:tcW w:w="1287" w:type="dxa"/>
            <w:tcBorders>
              <w:top w:val="single" w:color="auto" w:sz="4" w:space="0"/>
              <w:left w:val="single" w:color="auto" w:sz="4" w:space="0"/>
              <w:bottom w:val="single" w:color="auto" w:sz="4" w:space="0"/>
              <w:right w:val="single" w:color="auto" w:sz="4" w:space="0"/>
            </w:tcBorders>
            <w:vAlign w:val="center"/>
          </w:tcPr>
          <w:p w14:paraId="42C167A2">
            <w:pPr>
              <w:spacing w:before="120" w:after="60"/>
              <w:jc w:val="center"/>
              <w:rPr>
                <w:rFonts w:hint="eastAsia" w:ascii="宋体" w:hAnsi="宋体" w:eastAsia="宋体" w:cs="宋体"/>
                <w:color w:val="auto"/>
                <w:szCs w:val="21"/>
                <w:highlight w:val="none"/>
              </w:rPr>
            </w:pPr>
          </w:p>
        </w:tc>
      </w:tr>
      <w:tr w14:paraId="78DE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1907F70F">
            <w:pPr>
              <w:spacing w:before="120" w:after="6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1</w:t>
            </w:r>
          </w:p>
        </w:tc>
        <w:tc>
          <w:tcPr>
            <w:tcW w:w="3884" w:type="dxa"/>
            <w:tcBorders>
              <w:top w:val="single" w:color="auto" w:sz="4" w:space="0"/>
              <w:left w:val="single" w:color="auto" w:sz="4" w:space="0"/>
              <w:bottom w:val="single" w:color="auto" w:sz="4" w:space="0"/>
              <w:right w:val="single" w:color="auto" w:sz="4" w:space="0"/>
            </w:tcBorders>
            <w:vAlign w:val="center"/>
          </w:tcPr>
          <w:p w14:paraId="1B000E99">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政府投资项目，</w:t>
            </w:r>
            <w:r>
              <w:rPr>
                <w:rFonts w:hint="eastAsia" w:ascii="宋体" w:hAnsi="宋体" w:eastAsia="宋体" w:cs="宋体"/>
                <w:color w:val="auto"/>
                <w:szCs w:val="21"/>
                <w:highlight w:val="none"/>
              </w:rPr>
              <w:t>在投标截止时间前，</w:t>
            </w:r>
            <w:r>
              <w:rPr>
                <w:rFonts w:hint="eastAsia" w:ascii="宋体" w:hAnsi="宋体" w:eastAsia="宋体" w:cs="宋体"/>
                <w:color w:val="auto"/>
                <w:szCs w:val="21"/>
                <w:highlight w:val="none"/>
                <w:lang w:val="en-US" w:eastAsia="zh-CN"/>
              </w:rPr>
              <w:t>投标人（如为联合体，则联合体各方）未被列入“失信被执行人”名单</w:t>
            </w:r>
          </w:p>
        </w:tc>
        <w:tc>
          <w:tcPr>
            <w:tcW w:w="3294" w:type="dxa"/>
            <w:tcBorders>
              <w:top w:val="single" w:color="auto" w:sz="4" w:space="0"/>
              <w:left w:val="single" w:color="auto" w:sz="4" w:space="0"/>
              <w:bottom w:val="single" w:color="auto" w:sz="4" w:space="0"/>
              <w:right w:val="single" w:color="auto" w:sz="4" w:space="0"/>
            </w:tcBorders>
            <w:vAlign w:val="center"/>
          </w:tcPr>
          <w:p w14:paraId="0D49BC4B">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投标人无需提供资料，按交易系统比对的结果进行评审</w:t>
            </w:r>
          </w:p>
        </w:tc>
        <w:tc>
          <w:tcPr>
            <w:tcW w:w="1287" w:type="dxa"/>
            <w:tcBorders>
              <w:top w:val="single" w:color="auto" w:sz="4" w:space="0"/>
              <w:left w:val="single" w:color="auto" w:sz="4" w:space="0"/>
              <w:bottom w:val="single" w:color="auto" w:sz="4" w:space="0"/>
              <w:right w:val="single" w:color="auto" w:sz="4" w:space="0"/>
            </w:tcBorders>
            <w:vAlign w:val="center"/>
          </w:tcPr>
          <w:p w14:paraId="339E272C">
            <w:pPr>
              <w:spacing w:before="120" w:after="60"/>
              <w:jc w:val="center"/>
              <w:rPr>
                <w:rFonts w:hint="eastAsia" w:ascii="宋体" w:hAnsi="宋体" w:eastAsia="宋体" w:cs="宋体"/>
                <w:color w:val="auto"/>
                <w:szCs w:val="21"/>
                <w:highlight w:val="none"/>
              </w:rPr>
            </w:pPr>
          </w:p>
        </w:tc>
      </w:tr>
      <w:tr w14:paraId="59AA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4BD89626">
            <w:pPr>
              <w:spacing w:before="120" w:after="6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2</w:t>
            </w:r>
          </w:p>
        </w:tc>
        <w:tc>
          <w:tcPr>
            <w:tcW w:w="3884" w:type="dxa"/>
            <w:tcBorders>
              <w:top w:val="single" w:color="auto" w:sz="4" w:space="0"/>
              <w:left w:val="single" w:color="auto" w:sz="4" w:space="0"/>
              <w:bottom w:val="single" w:color="auto" w:sz="4" w:space="0"/>
              <w:right w:val="single" w:color="auto" w:sz="4" w:space="0"/>
            </w:tcBorders>
            <w:vAlign w:val="center"/>
          </w:tcPr>
          <w:p w14:paraId="55CF9296">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投标人未出现以下情形：与其它投标人的单位负责人为同一人或者存在控股、管理关系的（按投标人提供的《投标人声明》第八条内容进行评审）</w:t>
            </w:r>
          </w:p>
        </w:tc>
        <w:tc>
          <w:tcPr>
            <w:tcW w:w="3294" w:type="dxa"/>
            <w:tcBorders>
              <w:top w:val="single" w:color="auto" w:sz="4" w:space="0"/>
              <w:left w:val="single" w:color="auto" w:sz="4" w:space="0"/>
              <w:bottom w:val="single" w:color="auto" w:sz="4" w:space="0"/>
              <w:right w:val="single" w:color="auto" w:sz="4" w:space="0"/>
            </w:tcBorders>
            <w:vAlign w:val="center"/>
          </w:tcPr>
          <w:p w14:paraId="1C5984E7">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投标人声明</w:t>
            </w:r>
          </w:p>
        </w:tc>
        <w:tc>
          <w:tcPr>
            <w:tcW w:w="1287" w:type="dxa"/>
            <w:tcBorders>
              <w:top w:val="single" w:color="auto" w:sz="4" w:space="0"/>
              <w:left w:val="single" w:color="auto" w:sz="4" w:space="0"/>
              <w:bottom w:val="single" w:color="auto" w:sz="4" w:space="0"/>
              <w:right w:val="single" w:color="auto" w:sz="4" w:space="0"/>
            </w:tcBorders>
            <w:vAlign w:val="center"/>
          </w:tcPr>
          <w:p w14:paraId="73A2557F">
            <w:pPr>
              <w:spacing w:before="120" w:after="60"/>
              <w:jc w:val="center"/>
              <w:rPr>
                <w:rFonts w:hint="eastAsia" w:ascii="宋体" w:hAnsi="宋体" w:eastAsia="宋体" w:cs="宋体"/>
                <w:color w:val="auto"/>
                <w:szCs w:val="21"/>
                <w:highlight w:val="none"/>
              </w:rPr>
            </w:pPr>
          </w:p>
        </w:tc>
      </w:tr>
      <w:tr w14:paraId="41AD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11A67589">
            <w:pPr>
              <w:spacing w:before="120" w:after="6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3</w:t>
            </w:r>
          </w:p>
        </w:tc>
        <w:tc>
          <w:tcPr>
            <w:tcW w:w="3884" w:type="dxa"/>
            <w:tcBorders>
              <w:top w:val="single" w:color="auto" w:sz="4" w:space="0"/>
              <w:left w:val="single" w:color="auto" w:sz="4" w:space="0"/>
              <w:bottom w:val="single" w:color="auto" w:sz="4" w:space="0"/>
              <w:right w:val="single" w:color="auto" w:sz="4" w:space="0"/>
            </w:tcBorders>
            <w:vAlign w:val="center"/>
          </w:tcPr>
          <w:p w14:paraId="1A3420EF">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未被列入拖欠农民工工资失信联合惩戒对象名单</w:t>
            </w:r>
          </w:p>
        </w:tc>
        <w:tc>
          <w:tcPr>
            <w:tcW w:w="3294" w:type="dxa"/>
            <w:tcBorders>
              <w:top w:val="single" w:color="auto" w:sz="4" w:space="0"/>
              <w:left w:val="single" w:color="auto" w:sz="4" w:space="0"/>
              <w:bottom w:val="single" w:color="auto" w:sz="4" w:space="0"/>
              <w:right w:val="single" w:color="auto" w:sz="4" w:space="0"/>
            </w:tcBorders>
            <w:vAlign w:val="center"/>
          </w:tcPr>
          <w:p w14:paraId="346C674E">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投标人无需提供资料，按交易系统比对的结果进行评审</w:t>
            </w:r>
          </w:p>
        </w:tc>
        <w:tc>
          <w:tcPr>
            <w:tcW w:w="1287" w:type="dxa"/>
            <w:tcBorders>
              <w:top w:val="single" w:color="auto" w:sz="4" w:space="0"/>
              <w:left w:val="single" w:color="auto" w:sz="4" w:space="0"/>
              <w:bottom w:val="single" w:color="auto" w:sz="4" w:space="0"/>
              <w:right w:val="single" w:color="auto" w:sz="4" w:space="0"/>
            </w:tcBorders>
            <w:vAlign w:val="center"/>
          </w:tcPr>
          <w:p w14:paraId="281CC17D">
            <w:pPr>
              <w:spacing w:before="120" w:after="60"/>
              <w:jc w:val="center"/>
              <w:rPr>
                <w:rFonts w:hint="eastAsia" w:ascii="宋体" w:hAnsi="宋体" w:eastAsia="宋体" w:cs="宋体"/>
                <w:color w:val="auto"/>
                <w:szCs w:val="21"/>
                <w:highlight w:val="none"/>
              </w:rPr>
            </w:pPr>
          </w:p>
        </w:tc>
      </w:tr>
      <w:tr w14:paraId="3842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47316C52">
            <w:pPr>
              <w:spacing w:before="120" w:after="6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p>
        </w:tc>
        <w:tc>
          <w:tcPr>
            <w:tcW w:w="3884" w:type="dxa"/>
            <w:tcBorders>
              <w:top w:val="single" w:color="auto" w:sz="4" w:space="0"/>
              <w:left w:val="single" w:color="auto" w:sz="4" w:space="0"/>
              <w:bottom w:val="single" w:color="auto" w:sz="4" w:space="0"/>
              <w:right w:val="single" w:color="auto" w:sz="4" w:space="0"/>
            </w:tcBorders>
            <w:vAlign w:val="center"/>
          </w:tcPr>
          <w:p w14:paraId="4A0DD88B">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资格审查前，投标人须在</w:t>
            </w:r>
            <w:r>
              <w:rPr>
                <w:rFonts w:hint="eastAsia" w:ascii="宋体" w:hAnsi="宋体" w:eastAsia="宋体" w:cs="宋体"/>
                <w:color w:val="auto"/>
                <w:szCs w:val="21"/>
                <w:highlight w:val="none"/>
                <w:u w:val="single"/>
              </w:rPr>
              <w:t>广州公共资源交易中心企业信息库办理企业信息登记</w:t>
            </w:r>
            <w:r>
              <w:rPr>
                <w:rFonts w:hint="eastAsia" w:ascii="宋体" w:hAnsi="宋体" w:eastAsia="宋体" w:cs="宋体"/>
                <w:color w:val="auto"/>
                <w:szCs w:val="21"/>
                <w:highlight w:val="none"/>
              </w:rPr>
              <w:t>及拟担任本工程项目负责人、专职安全员须是本企业中的在册人员</w:t>
            </w:r>
          </w:p>
        </w:tc>
        <w:tc>
          <w:tcPr>
            <w:tcW w:w="3294" w:type="dxa"/>
            <w:tcBorders>
              <w:top w:val="single" w:color="auto" w:sz="4" w:space="0"/>
              <w:left w:val="single" w:color="auto" w:sz="4" w:space="0"/>
              <w:bottom w:val="single" w:color="auto" w:sz="4" w:space="0"/>
              <w:right w:val="single" w:color="auto" w:sz="4" w:space="0"/>
            </w:tcBorders>
            <w:vAlign w:val="center"/>
          </w:tcPr>
          <w:p w14:paraId="5BE028BE">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投标人在广州公共资源交易中心办理信息登记等相关投标登记手续和人员信息</w:t>
            </w:r>
          </w:p>
        </w:tc>
        <w:tc>
          <w:tcPr>
            <w:tcW w:w="1287" w:type="dxa"/>
            <w:tcBorders>
              <w:top w:val="single" w:color="auto" w:sz="4" w:space="0"/>
              <w:left w:val="single" w:color="auto" w:sz="4" w:space="0"/>
              <w:bottom w:val="single" w:color="auto" w:sz="4" w:space="0"/>
              <w:right w:val="single" w:color="auto" w:sz="4" w:space="0"/>
            </w:tcBorders>
            <w:vAlign w:val="center"/>
          </w:tcPr>
          <w:p w14:paraId="26249A03">
            <w:pPr>
              <w:spacing w:before="120" w:after="60"/>
              <w:jc w:val="center"/>
              <w:rPr>
                <w:rFonts w:hint="eastAsia" w:ascii="宋体" w:hAnsi="宋体" w:eastAsia="宋体" w:cs="宋体"/>
                <w:color w:val="auto"/>
                <w:szCs w:val="21"/>
                <w:highlight w:val="none"/>
              </w:rPr>
            </w:pPr>
          </w:p>
        </w:tc>
      </w:tr>
      <w:tr w14:paraId="3F92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2A2D544F">
            <w:pPr>
              <w:spacing w:before="120" w:after="6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5</w:t>
            </w:r>
          </w:p>
        </w:tc>
        <w:tc>
          <w:tcPr>
            <w:tcW w:w="3884" w:type="dxa"/>
            <w:tcBorders>
              <w:top w:val="single" w:color="auto" w:sz="4" w:space="0"/>
              <w:left w:val="single" w:color="auto" w:sz="4" w:space="0"/>
              <w:bottom w:val="single" w:color="auto" w:sz="4" w:space="0"/>
              <w:right w:val="single" w:color="auto" w:sz="4" w:space="0"/>
            </w:tcBorders>
            <w:vAlign w:val="center"/>
          </w:tcPr>
          <w:p w14:paraId="3A9CB5C0">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联合体投标的，提供联合体工作协议。投标人拟任本工程项目负责人、专职安全员应为</w:t>
            </w:r>
            <w:r>
              <w:rPr>
                <w:rFonts w:hint="eastAsia" w:ascii="宋体" w:hAnsi="宋体" w:eastAsia="宋体" w:cs="宋体"/>
                <w:color w:val="auto"/>
                <w:szCs w:val="21"/>
                <w:highlight w:val="none"/>
                <w:lang w:eastAsia="zh-CN"/>
              </w:rPr>
              <w:t>牵头方</w:t>
            </w:r>
            <w:r>
              <w:rPr>
                <w:rFonts w:hint="eastAsia" w:ascii="宋体" w:hAnsi="宋体" w:eastAsia="宋体" w:cs="宋体"/>
                <w:color w:val="auto"/>
                <w:szCs w:val="21"/>
                <w:highlight w:val="none"/>
              </w:rPr>
              <w:t>正式员工。联合体工作协议应明确约定各方拟承担的工作和责任（如有）</w:t>
            </w:r>
          </w:p>
        </w:tc>
        <w:tc>
          <w:tcPr>
            <w:tcW w:w="3294" w:type="dxa"/>
            <w:tcBorders>
              <w:top w:val="single" w:color="auto" w:sz="4" w:space="0"/>
              <w:left w:val="single" w:color="auto" w:sz="4" w:space="0"/>
              <w:bottom w:val="single" w:color="auto" w:sz="4" w:space="0"/>
              <w:right w:val="single" w:color="auto" w:sz="4" w:space="0"/>
            </w:tcBorders>
            <w:vAlign w:val="center"/>
          </w:tcPr>
          <w:p w14:paraId="31D73CA8">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联合体工作协议</w:t>
            </w:r>
            <w:r>
              <w:rPr>
                <w:rFonts w:hint="eastAsia" w:ascii="宋体" w:hAnsi="宋体" w:eastAsia="宋体" w:cs="宋体"/>
                <w:color w:val="auto"/>
                <w:szCs w:val="21"/>
                <w:highlight w:val="none"/>
                <w:u w:val="single"/>
                <w:lang w:eastAsia="zh-CN"/>
              </w:rPr>
              <w:t>，项目负责人</w:t>
            </w:r>
            <w:r>
              <w:rPr>
                <w:rFonts w:hint="eastAsia" w:ascii="宋体" w:hAnsi="宋体" w:eastAsia="宋体" w:cs="宋体"/>
                <w:color w:val="auto"/>
                <w:szCs w:val="21"/>
                <w:highlight w:val="none"/>
              </w:rPr>
              <w:t>、专职安全员</w:t>
            </w:r>
            <w:r>
              <w:rPr>
                <w:rFonts w:hint="eastAsia" w:ascii="宋体" w:hAnsi="宋体" w:eastAsia="宋体" w:cs="宋体"/>
                <w:color w:val="auto"/>
                <w:szCs w:val="21"/>
                <w:highlight w:val="none"/>
                <w:u w:val="single"/>
                <w:lang w:eastAsia="zh-CN"/>
              </w:rPr>
              <w:t>为牵头方正式员工在信用管理平台内</w:t>
            </w:r>
            <w:r>
              <w:rPr>
                <w:rFonts w:hint="eastAsia" w:ascii="宋体" w:hAnsi="宋体" w:eastAsia="宋体" w:cs="宋体"/>
                <w:color w:val="auto"/>
                <w:szCs w:val="21"/>
                <w:highlight w:val="none"/>
                <w:u w:val="single"/>
                <w:lang w:val="en-US" w:eastAsia="zh-CN"/>
              </w:rPr>
              <w:t>信息。</w:t>
            </w:r>
          </w:p>
        </w:tc>
        <w:tc>
          <w:tcPr>
            <w:tcW w:w="1287" w:type="dxa"/>
            <w:tcBorders>
              <w:top w:val="single" w:color="auto" w:sz="4" w:space="0"/>
              <w:left w:val="single" w:color="auto" w:sz="4" w:space="0"/>
              <w:bottom w:val="single" w:color="auto" w:sz="4" w:space="0"/>
              <w:right w:val="single" w:color="auto" w:sz="4" w:space="0"/>
            </w:tcBorders>
            <w:vAlign w:val="center"/>
          </w:tcPr>
          <w:p w14:paraId="31343EF0">
            <w:pPr>
              <w:spacing w:before="120" w:after="60"/>
              <w:jc w:val="center"/>
              <w:rPr>
                <w:rFonts w:hint="eastAsia" w:ascii="宋体" w:hAnsi="宋体" w:eastAsia="宋体" w:cs="宋体"/>
                <w:color w:val="auto"/>
                <w:szCs w:val="21"/>
                <w:highlight w:val="none"/>
              </w:rPr>
            </w:pPr>
          </w:p>
        </w:tc>
      </w:tr>
    </w:tbl>
    <w:p w14:paraId="65B68DCF">
      <w:pPr>
        <w:spacing w:line="480" w:lineRule="auto"/>
        <w:ind w:firstLine="470"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0C6ED10E">
      <w:pPr>
        <w:spacing w:line="480" w:lineRule="auto"/>
        <w:ind w:firstLine="470"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1、每一项目符合的打“○”，不符合的打“×”； </w:t>
      </w:r>
    </w:p>
    <w:p w14:paraId="1E276447">
      <w:pPr>
        <w:spacing w:line="480" w:lineRule="auto"/>
        <w:ind w:firstLine="470"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2、若评委意见不一致时，则按少数服从多数的原则，作出评审结论。汇总后，出现一个“×”的结论为“不通过”。</w:t>
      </w:r>
    </w:p>
    <w:p w14:paraId="3E324B18">
      <w:pPr>
        <w:spacing w:line="480" w:lineRule="auto"/>
        <w:ind w:firstLine="470"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3.不得将文件顺序、明显的</w:t>
      </w:r>
      <w:r>
        <w:rPr>
          <w:rFonts w:hint="eastAsia" w:ascii="宋体" w:hAnsi="宋体" w:eastAsia="宋体" w:cs="宋体"/>
          <w:color w:val="auto"/>
          <w:szCs w:val="21"/>
          <w:highlight w:val="none"/>
          <w:lang w:val="en-US" w:eastAsia="zh-CN"/>
        </w:rPr>
        <w:t>格式或</w:t>
      </w:r>
      <w:r>
        <w:rPr>
          <w:rFonts w:hint="eastAsia" w:ascii="宋体" w:hAnsi="宋体" w:eastAsia="宋体" w:cs="宋体"/>
          <w:color w:val="auto"/>
          <w:szCs w:val="21"/>
          <w:highlight w:val="none"/>
        </w:rPr>
        <w:t>文字错误等列为否决投标的情形。评委发现资格审查文件中含义不明确、对同类问题表述不一致、有明显</w:t>
      </w:r>
      <w:r>
        <w:rPr>
          <w:rFonts w:hint="eastAsia" w:ascii="宋体" w:hAnsi="宋体" w:eastAsia="宋体" w:cs="宋体"/>
          <w:color w:val="auto"/>
          <w:szCs w:val="21"/>
          <w:highlight w:val="none"/>
          <w:lang w:val="en-US" w:eastAsia="zh-CN"/>
        </w:rPr>
        <w:t>格式或</w:t>
      </w:r>
      <w:r>
        <w:rPr>
          <w:rFonts w:hint="eastAsia" w:ascii="宋体" w:hAnsi="宋体" w:eastAsia="宋体" w:cs="宋体"/>
          <w:color w:val="auto"/>
          <w:szCs w:val="21"/>
          <w:highlight w:val="none"/>
        </w:rPr>
        <w:t>文字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计算错误的，应当要求投标人作必要的澄清、说明后再判定投标人是否通过资格审查，不得直接认定其不通过资格审查。</w:t>
      </w:r>
    </w:p>
    <w:p w14:paraId="26C5341D">
      <w:pPr>
        <w:rPr>
          <w:rFonts w:hint="eastAsia" w:ascii="宋体" w:hAnsi="宋体" w:eastAsia="宋体" w:cs="宋体"/>
          <w:color w:val="auto"/>
          <w:highlight w:val="none"/>
        </w:rPr>
        <w:sectPr>
          <w:footerReference r:id="rId10" w:type="first"/>
          <w:footerReference r:id="rId9" w:type="default"/>
          <w:endnotePr>
            <w:numFmt w:val="decimal"/>
          </w:endnotePr>
          <w:pgSz w:w="11906" w:h="16838"/>
          <w:pgMar w:top="1134" w:right="1418" w:bottom="1247" w:left="1418" w:header="851" w:footer="907" w:gutter="0"/>
          <w:pgBorders>
            <w:top w:val="none" w:sz="0" w:space="0"/>
            <w:left w:val="none" w:sz="0" w:space="0"/>
            <w:bottom w:val="none" w:sz="0" w:space="0"/>
            <w:right w:val="none" w:sz="0" w:space="0"/>
          </w:pgBorders>
          <w:pgNumType w:fmt="decimal" w:start="1"/>
          <w:cols w:space="425" w:num="1"/>
          <w:titlePg/>
          <w:docGrid w:type="lines" w:linePitch="312" w:charSpace="0"/>
        </w:sectPr>
      </w:pPr>
    </w:p>
    <w:p w14:paraId="24EFF51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附表二</w:t>
      </w:r>
    </w:p>
    <w:p w14:paraId="6390C640">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技术标有效性审查表</w:t>
      </w:r>
    </w:p>
    <w:p w14:paraId="37BF3D0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w:t>
      </w:r>
    </w:p>
    <w:tbl>
      <w:tblPr>
        <w:tblStyle w:val="36"/>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4299"/>
        <w:gridCol w:w="1602"/>
        <w:gridCol w:w="1603"/>
        <w:gridCol w:w="1603"/>
        <w:gridCol w:w="1603"/>
        <w:gridCol w:w="1603"/>
        <w:gridCol w:w="1603"/>
      </w:tblGrid>
      <w:tr w14:paraId="5999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531" w:type="dxa"/>
            <w:tcBorders>
              <w:top w:val="single" w:color="auto" w:sz="4" w:space="0"/>
              <w:left w:val="single" w:color="auto" w:sz="4" w:space="0"/>
              <w:bottom w:val="single" w:color="auto" w:sz="4" w:space="0"/>
              <w:right w:val="single" w:color="auto" w:sz="4" w:space="0"/>
            </w:tcBorders>
            <w:vAlign w:val="center"/>
          </w:tcPr>
          <w:p w14:paraId="7482FE02">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4299" w:type="dxa"/>
            <w:tcBorders>
              <w:top w:val="single" w:color="auto" w:sz="4" w:space="0"/>
              <w:left w:val="single" w:color="auto" w:sz="4" w:space="0"/>
              <w:bottom w:val="single" w:color="auto" w:sz="4" w:space="0"/>
              <w:right w:val="single" w:color="auto" w:sz="4" w:space="0"/>
              <w:tl2br w:val="single" w:color="auto" w:sz="4" w:space="0"/>
            </w:tcBorders>
          </w:tcPr>
          <w:p w14:paraId="3A1B4F81">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投标人</w:t>
            </w:r>
          </w:p>
          <w:p w14:paraId="4756D586">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评审内容</w:t>
            </w:r>
          </w:p>
        </w:tc>
        <w:tc>
          <w:tcPr>
            <w:tcW w:w="1602" w:type="dxa"/>
            <w:tcBorders>
              <w:top w:val="single" w:color="auto" w:sz="4" w:space="0"/>
              <w:left w:val="single" w:color="auto" w:sz="4" w:space="0"/>
              <w:bottom w:val="single" w:color="auto" w:sz="4" w:space="0"/>
              <w:right w:val="single" w:color="auto" w:sz="4" w:space="0"/>
            </w:tcBorders>
          </w:tcPr>
          <w:p w14:paraId="276FA644">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F66B4DB">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70DCD6D">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B54EB6E">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53703B8">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E8B5188">
            <w:pPr>
              <w:adjustRightInd w:val="0"/>
              <w:rPr>
                <w:rFonts w:hint="eastAsia" w:ascii="宋体" w:hAnsi="宋体" w:eastAsia="宋体" w:cs="宋体"/>
                <w:color w:val="auto"/>
                <w:szCs w:val="21"/>
                <w:highlight w:val="none"/>
              </w:rPr>
            </w:pPr>
          </w:p>
        </w:tc>
      </w:tr>
      <w:tr w14:paraId="597E1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756D0B15">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99" w:type="dxa"/>
            <w:tcBorders>
              <w:top w:val="single" w:color="auto" w:sz="4" w:space="0"/>
              <w:left w:val="single" w:color="auto" w:sz="4" w:space="0"/>
              <w:bottom w:val="single" w:color="auto" w:sz="4" w:space="0"/>
              <w:right w:val="single" w:color="auto" w:sz="4" w:space="0"/>
            </w:tcBorders>
            <w:vAlign w:val="center"/>
          </w:tcPr>
          <w:p w14:paraId="73431C63">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不能满足完成投标项目工期的；</w:t>
            </w:r>
          </w:p>
        </w:tc>
        <w:tc>
          <w:tcPr>
            <w:tcW w:w="1602" w:type="dxa"/>
            <w:tcBorders>
              <w:top w:val="single" w:color="auto" w:sz="4" w:space="0"/>
              <w:left w:val="single" w:color="auto" w:sz="4" w:space="0"/>
              <w:bottom w:val="single" w:color="auto" w:sz="4" w:space="0"/>
              <w:right w:val="single" w:color="auto" w:sz="4" w:space="0"/>
            </w:tcBorders>
          </w:tcPr>
          <w:p w14:paraId="009EDAE1">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F7FB3EA">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ACAC406">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EF1DCC7">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0D60014">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F32C8AC">
            <w:pPr>
              <w:adjustRightInd w:val="0"/>
              <w:rPr>
                <w:rFonts w:hint="eastAsia" w:ascii="宋体" w:hAnsi="宋体" w:eastAsia="宋体" w:cs="宋体"/>
                <w:color w:val="auto"/>
                <w:szCs w:val="21"/>
                <w:highlight w:val="none"/>
              </w:rPr>
            </w:pPr>
          </w:p>
        </w:tc>
      </w:tr>
      <w:tr w14:paraId="05FF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209A7DD3">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99" w:type="dxa"/>
            <w:tcBorders>
              <w:top w:val="single" w:color="auto" w:sz="4" w:space="0"/>
              <w:left w:val="single" w:color="auto" w:sz="4" w:space="0"/>
              <w:bottom w:val="single" w:color="auto" w:sz="4" w:space="0"/>
              <w:right w:val="single" w:color="auto" w:sz="4" w:space="0"/>
            </w:tcBorders>
            <w:vAlign w:val="center"/>
          </w:tcPr>
          <w:p w14:paraId="1AB10679">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不符合招标文件及有关技术规格、质量要求、检验标准和方法的；</w:t>
            </w:r>
          </w:p>
        </w:tc>
        <w:tc>
          <w:tcPr>
            <w:tcW w:w="1602" w:type="dxa"/>
            <w:tcBorders>
              <w:top w:val="single" w:color="auto" w:sz="4" w:space="0"/>
              <w:left w:val="single" w:color="auto" w:sz="4" w:space="0"/>
              <w:bottom w:val="single" w:color="auto" w:sz="4" w:space="0"/>
              <w:right w:val="single" w:color="auto" w:sz="4" w:space="0"/>
            </w:tcBorders>
          </w:tcPr>
          <w:p w14:paraId="6C6C8216">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D6F9E9E">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4994447">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2A69536">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30ED2B9">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C2FFE69">
            <w:pPr>
              <w:adjustRightInd w:val="0"/>
              <w:rPr>
                <w:rFonts w:hint="eastAsia" w:ascii="宋体" w:hAnsi="宋体" w:eastAsia="宋体" w:cs="宋体"/>
                <w:color w:val="auto"/>
                <w:szCs w:val="21"/>
                <w:highlight w:val="none"/>
              </w:rPr>
            </w:pPr>
          </w:p>
        </w:tc>
      </w:tr>
      <w:tr w14:paraId="50CF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1D57902F">
            <w:pPr>
              <w:adjustRightInd w:val="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4299" w:type="dxa"/>
            <w:tcBorders>
              <w:top w:val="single" w:color="auto" w:sz="4" w:space="0"/>
              <w:left w:val="single" w:color="auto" w:sz="4" w:space="0"/>
              <w:bottom w:val="single" w:color="auto" w:sz="4" w:space="0"/>
              <w:right w:val="single" w:color="auto" w:sz="4" w:space="0"/>
            </w:tcBorders>
            <w:vAlign w:val="center"/>
          </w:tcPr>
          <w:p w14:paraId="22A82793">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投标文件中没有有效的法定代表人证明书，或由委托代理人签署的投标文件中没有法定代表人授权书；</w:t>
            </w:r>
          </w:p>
        </w:tc>
        <w:tc>
          <w:tcPr>
            <w:tcW w:w="1602" w:type="dxa"/>
            <w:tcBorders>
              <w:top w:val="single" w:color="auto" w:sz="4" w:space="0"/>
              <w:left w:val="single" w:color="auto" w:sz="4" w:space="0"/>
              <w:bottom w:val="single" w:color="auto" w:sz="4" w:space="0"/>
              <w:right w:val="single" w:color="auto" w:sz="4" w:space="0"/>
            </w:tcBorders>
          </w:tcPr>
          <w:p w14:paraId="752C4577">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CB7B3F1">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E06DDC6">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A3B431C">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72CC668">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7F0EB39">
            <w:pPr>
              <w:adjustRightInd w:val="0"/>
              <w:rPr>
                <w:rFonts w:hint="eastAsia" w:ascii="宋体" w:hAnsi="宋体" w:eastAsia="宋体" w:cs="宋体"/>
                <w:color w:val="auto"/>
                <w:szCs w:val="21"/>
                <w:highlight w:val="none"/>
              </w:rPr>
            </w:pPr>
          </w:p>
        </w:tc>
      </w:tr>
      <w:tr w14:paraId="2481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68399A16">
            <w:pPr>
              <w:adjustRightInd w:val="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4299" w:type="dxa"/>
            <w:tcBorders>
              <w:top w:val="single" w:color="auto" w:sz="4" w:space="0"/>
              <w:left w:val="single" w:color="auto" w:sz="4" w:space="0"/>
              <w:bottom w:val="single" w:color="auto" w:sz="4" w:space="0"/>
              <w:right w:val="single" w:color="auto" w:sz="4" w:space="0"/>
            </w:tcBorders>
            <w:vAlign w:val="center"/>
          </w:tcPr>
          <w:p w14:paraId="625B9C56">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投标文件未按规定的格式填写，或主要内容不全，或关键字迹模糊、无法辨认的；</w:t>
            </w:r>
          </w:p>
        </w:tc>
        <w:tc>
          <w:tcPr>
            <w:tcW w:w="1602" w:type="dxa"/>
            <w:tcBorders>
              <w:top w:val="single" w:color="auto" w:sz="4" w:space="0"/>
              <w:left w:val="single" w:color="auto" w:sz="4" w:space="0"/>
              <w:bottom w:val="single" w:color="auto" w:sz="4" w:space="0"/>
              <w:right w:val="single" w:color="auto" w:sz="4" w:space="0"/>
            </w:tcBorders>
          </w:tcPr>
          <w:p w14:paraId="40787898">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EA9636C">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C9AB1D7">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6697DC6">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D86AA48">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0F89F32">
            <w:pPr>
              <w:adjustRightInd w:val="0"/>
              <w:rPr>
                <w:rFonts w:hint="eastAsia" w:ascii="宋体" w:hAnsi="宋体" w:eastAsia="宋体" w:cs="宋体"/>
                <w:color w:val="auto"/>
                <w:szCs w:val="21"/>
                <w:highlight w:val="none"/>
              </w:rPr>
            </w:pPr>
          </w:p>
        </w:tc>
      </w:tr>
      <w:tr w14:paraId="39355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2A7E16DA">
            <w:pPr>
              <w:adjustRightInd w:val="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4299" w:type="dxa"/>
            <w:tcBorders>
              <w:top w:val="single" w:color="auto" w:sz="4" w:space="0"/>
              <w:left w:val="single" w:color="auto" w:sz="4" w:space="0"/>
              <w:bottom w:val="single" w:color="auto" w:sz="4" w:space="0"/>
              <w:right w:val="single" w:color="auto" w:sz="4" w:space="0"/>
            </w:tcBorders>
            <w:vAlign w:val="center"/>
          </w:tcPr>
          <w:p w14:paraId="14B52F03">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投标人之间存在《广东省实施&lt;中华人民共和国招标投标法&gt;》第十六条所禁止的情形的；</w:t>
            </w:r>
          </w:p>
        </w:tc>
        <w:tc>
          <w:tcPr>
            <w:tcW w:w="1602" w:type="dxa"/>
            <w:tcBorders>
              <w:top w:val="single" w:color="auto" w:sz="4" w:space="0"/>
              <w:left w:val="single" w:color="auto" w:sz="4" w:space="0"/>
              <w:bottom w:val="single" w:color="auto" w:sz="4" w:space="0"/>
              <w:right w:val="single" w:color="auto" w:sz="4" w:space="0"/>
            </w:tcBorders>
          </w:tcPr>
          <w:p w14:paraId="35F94EDF">
            <w:pPr>
              <w:adjustRightInd w:val="0"/>
              <w:rPr>
                <w:rFonts w:hint="eastAsia" w:ascii="宋体" w:hAnsi="宋体" w:eastAsia="宋体" w:cs="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7AD4D2B9">
            <w:pPr>
              <w:adjustRightInd w:val="0"/>
              <w:rPr>
                <w:rFonts w:hint="eastAsia" w:ascii="宋体" w:hAnsi="宋体" w:eastAsia="宋体" w:cs="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131E07CF">
            <w:pPr>
              <w:adjustRightInd w:val="0"/>
              <w:rPr>
                <w:rFonts w:hint="eastAsia" w:ascii="宋体" w:hAnsi="宋体" w:eastAsia="宋体" w:cs="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1CED9037">
            <w:pPr>
              <w:adjustRightInd w:val="0"/>
              <w:rPr>
                <w:rFonts w:hint="eastAsia" w:ascii="宋体" w:hAnsi="宋体" w:eastAsia="宋体" w:cs="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1A1E470B">
            <w:pPr>
              <w:adjustRightInd w:val="0"/>
              <w:rPr>
                <w:rFonts w:hint="eastAsia" w:ascii="宋体" w:hAnsi="宋体" w:eastAsia="宋体" w:cs="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6BCD4783">
            <w:pPr>
              <w:adjustRightInd w:val="0"/>
              <w:rPr>
                <w:rFonts w:hint="eastAsia" w:ascii="宋体" w:hAnsi="宋体" w:eastAsia="宋体" w:cs="宋体"/>
                <w:color w:val="auto"/>
                <w:szCs w:val="21"/>
                <w:highlight w:val="none"/>
                <w:shd w:val="pct10" w:color="auto" w:fill="FFFFFF"/>
              </w:rPr>
            </w:pPr>
          </w:p>
        </w:tc>
      </w:tr>
      <w:tr w14:paraId="2C50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64A3F608">
            <w:pPr>
              <w:adjustRightInd w:val="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4299" w:type="dxa"/>
            <w:tcBorders>
              <w:top w:val="single" w:color="auto" w:sz="4" w:space="0"/>
              <w:left w:val="single" w:color="auto" w:sz="4" w:space="0"/>
              <w:bottom w:val="single" w:color="auto" w:sz="4" w:space="0"/>
              <w:right w:val="single" w:color="auto" w:sz="4" w:space="0"/>
            </w:tcBorders>
            <w:vAlign w:val="center"/>
          </w:tcPr>
          <w:p w14:paraId="6211F376">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无《参与编制技术标投标文件人员名单》的</w:t>
            </w:r>
          </w:p>
        </w:tc>
        <w:tc>
          <w:tcPr>
            <w:tcW w:w="1602" w:type="dxa"/>
            <w:tcBorders>
              <w:top w:val="single" w:color="auto" w:sz="4" w:space="0"/>
              <w:left w:val="single" w:color="auto" w:sz="4" w:space="0"/>
              <w:bottom w:val="single" w:color="auto" w:sz="4" w:space="0"/>
              <w:right w:val="single" w:color="auto" w:sz="4" w:space="0"/>
            </w:tcBorders>
          </w:tcPr>
          <w:p w14:paraId="5662FF78">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EB21A1D">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2AA1706">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5392A09">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2418EAE">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9FE15FC">
            <w:pPr>
              <w:adjustRightInd w:val="0"/>
              <w:rPr>
                <w:rFonts w:hint="eastAsia" w:ascii="宋体" w:hAnsi="宋体" w:eastAsia="宋体" w:cs="宋体"/>
                <w:color w:val="auto"/>
                <w:szCs w:val="21"/>
                <w:highlight w:val="none"/>
              </w:rPr>
            </w:pPr>
          </w:p>
        </w:tc>
      </w:tr>
      <w:tr w14:paraId="5F28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7F5B290E">
            <w:pPr>
              <w:adjustRightInd w:val="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4299" w:type="dxa"/>
            <w:tcBorders>
              <w:top w:val="single" w:color="auto" w:sz="4" w:space="0"/>
              <w:left w:val="single" w:color="auto" w:sz="4" w:space="0"/>
              <w:bottom w:val="single" w:color="auto" w:sz="4" w:space="0"/>
              <w:right w:val="single" w:color="auto" w:sz="4" w:space="0"/>
            </w:tcBorders>
            <w:vAlign w:val="center"/>
          </w:tcPr>
          <w:p w14:paraId="2250C6C6">
            <w:pPr>
              <w:adjustRightInd w:val="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rPr>
              <w:t>投标人与</w:t>
            </w:r>
            <w:r>
              <w:rPr>
                <w:rFonts w:hint="eastAsia" w:ascii="宋体" w:hAnsi="宋体" w:eastAsia="宋体" w:cs="宋体"/>
                <w:b w:val="0"/>
                <w:bCs w:val="0"/>
                <w:color w:val="auto"/>
                <w:kern w:val="2"/>
                <w:sz w:val="21"/>
                <w:szCs w:val="21"/>
                <w:highlight w:val="none"/>
              </w:rPr>
              <w:t>本项目</w:t>
            </w:r>
            <w:r>
              <w:rPr>
                <w:rFonts w:hint="eastAsia" w:ascii="宋体" w:hAnsi="宋体" w:eastAsia="宋体" w:cs="宋体"/>
                <w:color w:val="auto"/>
                <w:kern w:val="2"/>
                <w:sz w:val="21"/>
                <w:szCs w:val="21"/>
                <w:highlight w:val="none"/>
              </w:rPr>
              <w:t>其他投标人加密打包投标文件</w:t>
            </w:r>
            <w:r>
              <w:rPr>
                <w:rFonts w:hint="eastAsia" w:ascii="宋体" w:hAnsi="宋体" w:eastAsia="宋体" w:cs="宋体"/>
                <w:color w:val="auto"/>
                <w:kern w:val="2"/>
                <w:sz w:val="21"/>
                <w:szCs w:val="21"/>
                <w:highlight w:val="none"/>
                <w:lang w:eastAsia="zh-CN"/>
              </w:rPr>
              <w:t>硬件机</w:t>
            </w:r>
            <w:r>
              <w:rPr>
                <w:rFonts w:hint="eastAsia" w:ascii="宋体" w:hAnsi="宋体" w:eastAsia="宋体" w:cs="宋体"/>
                <w:color w:val="auto"/>
                <w:kern w:val="2"/>
                <w:sz w:val="21"/>
                <w:szCs w:val="21"/>
                <w:highlight w:val="none"/>
              </w:rPr>
              <w:t>器特征码一致的(以交易平台评标系统的检索信息为准)</w:t>
            </w:r>
          </w:p>
        </w:tc>
        <w:tc>
          <w:tcPr>
            <w:tcW w:w="1602" w:type="dxa"/>
            <w:tcBorders>
              <w:top w:val="single" w:color="auto" w:sz="4" w:space="0"/>
              <w:left w:val="single" w:color="auto" w:sz="4" w:space="0"/>
              <w:bottom w:val="single" w:color="auto" w:sz="4" w:space="0"/>
              <w:right w:val="single" w:color="auto" w:sz="4" w:space="0"/>
            </w:tcBorders>
          </w:tcPr>
          <w:p w14:paraId="212B634C">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56C7F12">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F49B5D4">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49C4B09">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4AE9A05">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8B85917">
            <w:pPr>
              <w:adjustRightInd w:val="0"/>
              <w:rPr>
                <w:rFonts w:hint="eastAsia" w:ascii="宋体" w:hAnsi="宋体" w:eastAsia="宋体" w:cs="宋体"/>
                <w:color w:val="auto"/>
                <w:szCs w:val="21"/>
                <w:highlight w:val="none"/>
              </w:rPr>
            </w:pPr>
          </w:p>
        </w:tc>
      </w:tr>
    </w:tbl>
    <w:p w14:paraId="167A81C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注：1.本表使用招标文件范本，与范本内容不同之处均以下划线标明。技术标评审中，响应性、承诺性内容不应作为评分因素，可在该表中对上述内容进行符合性审查。审查标准须具备可操作性。</w:t>
      </w:r>
    </w:p>
    <w:p w14:paraId="1D4AFFE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2.不得将文件顺序、明显的文字错误等列为否决投标的情形。评委发现投标文件中含义不明确、对同类问题表述不一致、有明显</w:t>
      </w:r>
      <w:r>
        <w:rPr>
          <w:rFonts w:hint="eastAsia" w:ascii="宋体" w:hAnsi="宋体" w:eastAsia="宋体" w:cs="宋体"/>
          <w:color w:val="auto"/>
          <w:szCs w:val="21"/>
          <w:highlight w:val="none"/>
          <w:lang w:val="en-US" w:eastAsia="zh-CN"/>
        </w:rPr>
        <w:t>格式或</w:t>
      </w:r>
      <w:r>
        <w:rPr>
          <w:rFonts w:hint="eastAsia" w:ascii="宋体" w:hAnsi="宋体" w:eastAsia="宋体" w:cs="宋体"/>
          <w:color w:val="auto"/>
          <w:szCs w:val="21"/>
          <w:highlight w:val="none"/>
        </w:rPr>
        <w:t>文字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计算错误的，应当要求投标人作必要的澄清、说明后再判定投标人是否通过有效性审查，不得直接否决投标，若出现评标委员会否决投标的，应在评标报告中载明否决投标的具体情形、原因；</w:t>
      </w:r>
    </w:p>
    <w:p w14:paraId="7FEA9D9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3.凡出现以上任何一项情形，结论均为无效，否则就为有效。</w:t>
      </w:r>
    </w:p>
    <w:p w14:paraId="7779ECA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4.如对本表中某种情形的评审意见不一致时，以评标委员会过半数成员的意见作为评标委员会对该情形的认定结论。</w:t>
      </w:r>
      <w:r>
        <w:rPr>
          <w:rFonts w:hint="eastAsia" w:ascii="宋体" w:hAnsi="宋体" w:eastAsia="宋体" w:cs="宋体"/>
          <w:color w:val="auto"/>
          <w:highlight w:val="none"/>
        </w:rPr>
        <w:br w:type="page"/>
      </w:r>
      <w:r>
        <w:rPr>
          <w:rFonts w:hint="eastAsia" w:ascii="宋体" w:hAnsi="宋体" w:eastAsia="宋体" w:cs="宋体"/>
          <w:color w:val="auto"/>
          <w:sz w:val="28"/>
          <w:szCs w:val="28"/>
          <w:highlight w:val="none"/>
        </w:rPr>
        <w:t>附表三</w:t>
      </w:r>
    </w:p>
    <w:p w14:paraId="063EB726">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经济标有效性审查表</w:t>
      </w:r>
    </w:p>
    <w:p w14:paraId="13CDD78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w:t>
      </w:r>
    </w:p>
    <w:tbl>
      <w:tblPr>
        <w:tblStyle w:val="36"/>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14:paraId="7E22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27DDDF6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14:paraId="6358411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投标人</w:t>
            </w:r>
          </w:p>
          <w:p w14:paraId="139F5F53">
            <w:pPr>
              <w:rPr>
                <w:rFonts w:hint="eastAsia" w:ascii="宋体" w:hAnsi="宋体" w:eastAsia="宋体" w:cs="宋体"/>
                <w:color w:val="auto"/>
                <w:szCs w:val="21"/>
                <w:highlight w:val="none"/>
              </w:rPr>
            </w:pPr>
          </w:p>
          <w:p w14:paraId="03C65BA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评审内容</w:t>
            </w:r>
          </w:p>
        </w:tc>
        <w:tc>
          <w:tcPr>
            <w:tcW w:w="1397" w:type="dxa"/>
            <w:tcBorders>
              <w:top w:val="single" w:color="auto" w:sz="4" w:space="0"/>
              <w:left w:val="single" w:color="auto" w:sz="4" w:space="0"/>
              <w:bottom w:val="single" w:color="auto" w:sz="4" w:space="0"/>
              <w:right w:val="single" w:color="auto" w:sz="4" w:space="0"/>
            </w:tcBorders>
          </w:tcPr>
          <w:p w14:paraId="7B1620B6">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19E8E55">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B956C90">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49E79DEC">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B443F9A">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9724BB3">
            <w:pPr>
              <w:rPr>
                <w:rFonts w:hint="eastAsia" w:ascii="宋体" w:hAnsi="宋体" w:eastAsia="宋体" w:cs="宋体"/>
                <w:color w:val="auto"/>
                <w:szCs w:val="21"/>
                <w:highlight w:val="none"/>
              </w:rPr>
            </w:pPr>
          </w:p>
        </w:tc>
      </w:tr>
      <w:tr w14:paraId="27F71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9AA23E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102" w:type="dxa"/>
            <w:tcBorders>
              <w:top w:val="single" w:color="auto" w:sz="4" w:space="0"/>
              <w:left w:val="single" w:color="auto" w:sz="4" w:space="0"/>
              <w:bottom w:val="single" w:color="auto" w:sz="4" w:space="0"/>
              <w:right w:val="single" w:color="auto" w:sz="4" w:space="0"/>
            </w:tcBorders>
            <w:vAlign w:val="center"/>
          </w:tcPr>
          <w:p w14:paraId="2A68EEF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14:paraId="19DA7D79">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F6545E3">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E75002C">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18C5E8BA">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7CC0A39">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002AACF">
            <w:pPr>
              <w:rPr>
                <w:rFonts w:hint="eastAsia" w:ascii="宋体" w:hAnsi="宋体" w:eastAsia="宋体" w:cs="宋体"/>
                <w:color w:val="auto"/>
                <w:szCs w:val="21"/>
                <w:highlight w:val="none"/>
              </w:rPr>
            </w:pPr>
          </w:p>
        </w:tc>
      </w:tr>
      <w:tr w14:paraId="7D45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E05957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102" w:type="dxa"/>
            <w:tcBorders>
              <w:top w:val="single" w:color="auto" w:sz="4" w:space="0"/>
              <w:left w:val="single" w:color="auto" w:sz="4" w:space="0"/>
              <w:bottom w:val="single" w:color="auto" w:sz="4" w:space="0"/>
              <w:right w:val="single" w:color="auto" w:sz="4" w:space="0"/>
            </w:tcBorders>
            <w:vAlign w:val="center"/>
          </w:tcPr>
          <w:p w14:paraId="4A6CC7D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投标报价高于最高投标限价的；</w:t>
            </w:r>
          </w:p>
        </w:tc>
        <w:tc>
          <w:tcPr>
            <w:tcW w:w="1397" w:type="dxa"/>
            <w:tcBorders>
              <w:top w:val="single" w:color="auto" w:sz="4" w:space="0"/>
              <w:left w:val="single" w:color="auto" w:sz="4" w:space="0"/>
              <w:bottom w:val="single" w:color="auto" w:sz="4" w:space="0"/>
              <w:right w:val="single" w:color="auto" w:sz="4" w:space="0"/>
            </w:tcBorders>
          </w:tcPr>
          <w:p w14:paraId="55FC8FB5">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BC34772">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EA9C60A">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47CA1A36">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B71B6E3">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6EC2D8D">
            <w:pPr>
              <w:rPr>
                <w:rFonts w:hint="eastAsia" w:ascii="宋体" w:hAnsi="宋体" w:eastAsia="宋体" w:cs="宋体"/>
                <w:color w:val="auto"/>
                <w:szCs w:val="21"/>
                <w:highlight w:val="none"/>
              </w:rPr>
            </w:pPr>
          </w:p>
        </w:tc>
      </w:tr>
      <w:tr w14:paraId="14797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344052A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6102" w:type="dxa"/>
            <w:tcBorders>
              <w:top w:val="single" w:color="auto" w:sz="4" w:space="0"/>
              <w:left w:val="single" w:color="auto" w:sz="4" w:space="0"/>
              <w:bottom w:val="single" w:color="auto" w:sz="4" w:space="0"/>
              <w:right w:val="single" w:color="auto" w:sz="4" w:space="0"/>
            </w:tcBorders>
            <w:vAlign w:val="center"/>
          </w:tcPr>
          <w:p w14:paraId="175F45E4">
            <w:pPr>
              <w:autoSpaceDE w:val="0"/>
              <w:autoSpaceDN w:val="0"/>
              <w:adjustRightInd w:val="0"/>
              <w:ind w:left="-2" w:leftChars="-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投标报价低于成本的；</w:t>
            </w:r>
          </w:p>
        </w:tc>
        <w:tc>
          <w:tcPr>
            <w:tcW w:w="1397" w:type="dxa"/>
            <w:tcBorders>
              <w:top w:val="single" w:color="auto" w:sz="4" w:space="0"/>
              <w:left w:val="single" w:color="auto" w:sz="4" w:space="0"/>
              <w:bottom w:val="single" w:color="auto" w:sz="4" w:space="0"/>
              <w:right w:val="single" w:color="auto" w:sz="4" w:space="0"/>
            </w:tcBorders>
          </w:tcPr>
          <w:p w14:paraId="6E734882">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002D245">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1308D23">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30F973FA">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8732B23">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C66C4CC">
            <w:pPr>
              <w:rPr>
                <w:rFonts w:hint="eastAsia" w:ascii="宋体" w:hAnsi="宋体" w:eastAsia="宋体" w:cs="宋体"/>
                <w:color w:val="auto"/>
                <w:szCs w:val="21"/>
                <w:highlight w:val="none"/>
              </w:rPr>
            </w:pPr>
          </w:p>
        </w:tc>
      </w:tr>
      <w:tr w14:paraId="2B60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5DAC065">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6102" w:type="dxa"/>
            <w:tcBorders>
              <w:top w:val="single" w:color="auto" w:sz="4" w:space="0"/>
              <w:left w:val="single" w:color="auto" w:sz="4" w:space="0"/>
              <w:bottom w:val="single" w:color="auto" w:sz="4" w:space="0"/>
              <w:right w:val="single" w:color="auto" w:sz="4" w:space="0"/>
            </w:tcBorders>
            <w:vAlign w:val="center"/>
          </w:tcPr>
          <w:p w14:paraId="24A8B10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投标文件未按规定的格式填写，或主要内容不全，或关键字迹模糊、无法辨认的；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14:paraId="21B11518">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065BFE9">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3EF01AC">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5C25A0D7">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BCE6D05">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D24E7DF">
            <w:pPr>
              <w:rPr>
                <w:rFonts w:hint="eastAsia" w:ascii="宋体" w:hAnsi="宋体" w:eastAsia="宋体" w:cs="宋体"/>
                <w:color w:val="auto"/>
                <w:szCs w:val="21"/>
                <w:highlight w:val="none"/>
              </w:rPr>
            </w:pPr>
          </w:p>
        </w:tc>
      </w:tr>
      <w:tr w14:paraId="7FFC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7852E0E">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6102" w:type="dxa"/>
            <w:tcBorders>
              <w:top w:val="single" w:color="auto" w:sz="4" w:space="0"/>
              <w:left w:val="single" w:color="auto" w:sz="4" w:space="0"/>
              <w:bottom w:val="single" w:color="auto" w:sz="4" w:space="0"/>
              <w:right w:val="single" w:color="auto" w:sz="4" w:space="0"/>
            </w:tcBorders>
            <w:vAlign w:val="center"/>
          </w:tcPr>
          <w:p w14:paraId="6597C73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14:paraId="377BF860">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957B939">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4188AED">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43A28963">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F11AAA1">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98EF64B">
            <w:pPr>
              <w:rPr>
                <w:rFonts w:hint="eastAsia" w:ascii="宋体" w:hAnsi="宋体" w:eastAsia="宋体" w:cs="宋体"/>
                <w:color w:val="auto"/>
                <w:szCs w:val="21"/>
                <w:highlight w:val="none"/>
              </w:rPr>
            </w:pPr>
          </w:p>
        </w:tc>
      </w:tr>
      <w:tr w14:paraId="44DB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2" w:type="dxa"/>
            <w:tcBorders>
              <w:top w:val="single" w:color="auto" w:sz="4" w:space="0"/>
              <w:left w:val="single" w:color="auto" w:sz="4" w:space="0"/>
              <w:bottom w:val="single" w:color="auto" w:sz="4" w:space="0"/>
              <w:right w:val="single" w:color="auto" w:sz="4" w:space="0"/>
            </w:tcBorders>
            <w:vAlign w:val="center"/>
          </w:tcPr>
          <w:p w14:paraId="2359B6E7">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6102" w:type="dxa"/>
            <w:tcBorders>
              <w:top w:val="single" w:color="auto" w:sz="4" w:space="0"/>
              <w:left w:val="single" w:color="auto" w:sz="4" w:space="0"/>
              <w:bottom w:val="single" w:color="auto" w:sz="4" w:space="0"/>
              <w:right w:val="single" w:color="auto" w:sz="4" w:space="0"/>
            </w:tcBorders>
            <w:vAlign w:val="center"/>
          </w:tcPr>
          <w:p w14:paraId="44B65D1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14:paraId="7B348206">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530C80F">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DE482F1">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43FBFA00">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4A1DA53">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8EDB193">
            <w:pPr>
              <w:rPr>
                <w:rFonts w:hint="eastAsia" w:ascii="宋体" w:hAnsi="宋体" w:eastAsia="宋体" w:cs="宋体"/>
                <w:color w:val="auto"/>
                <w:szCs w:val="21"/>
                <w:highlight w:val="none"/>
              </w:rPr>
            </w:pPr>
          </w:p>
        </w:tc>
      </w:tr>
      <w:tr w14:paraId="196D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BF8D078">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6102" w:type="dxa"/>
            <w:tcBorders>
              <w:top w:val="single" w:color="auto" w:sz="4" w:space="0"/>
              <w:left w:val="single" w:color="auto" w:sz="4" w:space="0"/>
              <w:bottom w:val="single" w:color="auto" w:sz="4" w:space="0"/>
              <w:right w:val="single" w:color="auto" w:sz="4" w:space="0"/>
            </w:tcBorders>
            <w:vAlign w:val="center"/>
          </w:tcPr>
          <w:p w14:paraId="5C7757D7">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无《对投标文件编制的承诺》</w:t>
            </w:r>
            <w:r>
              <w:rPr>
                <w:rFonts w:hint="eastAsia" w:ascii="宋体" w:hAnsi="宋体" w:eastAsia="宋体" w:cs="宋体"/>
                <w:color w:val="auto"/>
                <w:szCs w:val="21"/>
                <w:highlight w:val="none"/>
                <w:lang w:val="en-US" w:eastAsia="zh-CN"/>
              </w:rPr>
              <w:t>及《投标文件编制情况》的；</w:t>
            </w:r>
          </w:p>
        </w:tc>
        <w:tc>
          <w:tcPr>
            <w:tcW w:w="1397" w:type="dxa"/>
            <w:tcBorders>
              <w:top w:val="single" w:color="auto" w:sz="4" w:space="0"/>
              <w:left w:val="single" w:color="auto" w:sz="4" w:space="0"/>
              <w:bottom w:val="single" w:color="auto" w:sz="4" w:space="0"/>
              <w:right w:val="single" w:color="auto" w:sz="4" w:space="0"/>
            </w:tcBorders>
          </w:tcPr>
          <w:p w14:paraId="27C3CF3F">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6633E1E">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CEE4C70">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228BF8A1">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A813A42">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7AC4BDF">
            <w:pPr>
              <w:rPr>
                <w:rFonts w:hint="eastAsia" w:ascii="宋体" w:hAnsi="宋体" w:eastAsia="宋体" w:cs="宋体"/>
                <w:color w:val="auto"/>
                <w:szCs w:val="21"/>
                <w:highlight w:val="none"/>
              </w:rPr>
            </w:pPr>
          </w:p>
        </w:tc>
      </w:tr>
      <w:tr w14:paraId="670E8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C390BA9">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6102" w:type="dxa"/>
            <w:tcBorders>
              <w:top w:val="single" w:color="auto" w:sz="4" w:space="0"/>
              <w:left w:val="single" w:color="auto" w:sz="4" w:space="0"/>
              <w:bottom w:val="single" w:color="auto" w:sz="4" w:space="0"/>
              <w:right w:val="single" w:color="auto" w:sz="4" w:space="0"/>
            </w:tcBorders>
            <w:vAlign w:val="center"/>
          </w:tcPr>
          <w:p w14:paraId="55983F4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投标人与本项目其他投标人的投标文件工程量清单编制机器硬件信息一致的（以交易平台评标系统的检索信息为准）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14:paraId="5E451C92">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35C1489">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46B67BF">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0DF144C6">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D8DFA9E">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7D193A5">
            <w:pPr>
              <w:rPr>
                <w:rFonts w:hint="eastAsia" w:ascii="宋体" w:hAnsi="宋体" w:eastAsia="宋体" w:cs="宋体"/>
                <w:color w:val="auto"/>
                <w:szCs w:val="21"/>
                <w:highlight w:val="none"/>
              </w:rPr>
            </w:pPr>
          </w:p>
        </w:tc>
      </w:tr>
    </w:tbl>
    <w:p w14:paraId="1A505EBB">
      <w:pPr>
        <w:ind w:firstLine="458"/>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注：1.本表使用招标文件范本，与范本内容不同之处均以下划线标明。</w:t>
      </w:r>
    </w:p>
    <w:p w14:paraId="3D4460BF">
      <w:pPr>
        <w:ind w:firstLine="458"/>
        <w:rPr>
          <w:rFonts w:hint="eastAsia" w:ascii="宋体" w:hAnsi="宋体" w:eastAsia="宋体" w:cs="宋体"/>
          <w:color w:val="auto"/>
          <w:szCs w:val="21"/>
          <w:highlight w:val="none"/>
        </w:rPr>
      </w:pPr>
      <w:r>
        <w:rPr>
          <w:rFonts w:hint="eastAsia" w:ascii="宋体" w:hAnsi="宋体" w:eastAsia="宋体" w:cs="宋体"/>
          <w:color w:val="auto"/>
          <w:szCs w:val="21"/>
          <w:highlight w:val="none"/>
        </w:rPr>
        <w:t>2.凡出现以上任何一项情形，结论均为无效，否则就为有效。</w:t>
      </w:r>
    </w:p>
    <w:p w14:paraId="0DB84E86">
      <w:pPr>
        <w:ind w:firstLine="458"/>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3.如对本表中某种情形的评审意见不一致时，以评标委员会过半数成员的意见作为评标委员会对该情形的认定结论。</w:t>
      </w:r>
    </w:p>
    <w:p w14:paraId="54E240D8">
      <w:pPr>
        <w:ind w:firstLine="458"/>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4.不得将文件顺序、明显的文字错误等列为否决投标的情形。评委发现投标文件中含义不明确、对同类问题表述不一致、有明显</w:t>
      </w:r>
      <w:r>
        <w:rPr>
          <w:rFonts w:hint="eastAsia" w:ascii="宋体" w:hAnsi="宋体" w:eastAsia="宋体" w:cs="宋体"/>
          <w:color w:val="auto"/>
          <w:szCs w:val="21"/>
          <w:highlight w:val="none"/>
          <w:lang w:val="en-US" w:eastAsia="zh-CN"/>
        </w:rPr>
        <w:t>格式或</w:t>
      </w:r>
      <w:r>
        <w:rPr>
          <w:rFonts w:hint="eastAsia" w:ascii="宋体" w:hAnsi="宋体" w:eastAsia="宋体" w:cs="宋体"/>
          <w:color w:val="auto"/>
          <w:szCs w:val="21"/>
          <w:highlight w:val="none"/>
        </w:rPr>
        <w:t>文字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计算错误、投标报价可能低于成本影响履约的，应当要求投标人作必要的澄清、说明后再判定投标人是否通过有效性审查，不得直接否决投标。</w:t>
      </w:r>
    </w:p>
    <w:p w14:paraId="15681591">
      <w:pPr>
        <w:pStyle w:val="35"/>
        <w:ind w:firstLine="458"/>
        <w:rPr>
          <w:rFonts w:hint="eastAsia" w:ascii="宋体" w:hAnsi="宋体" w:eastAsia="宋体" w:cs="宋体"/>
          <w:color w:val="auto"/>
          <w:szCs w:val="21"/>
          <w:highlight w:val="none"/>
        </w:rPr>
      </w:pPr>
    </w:p>
    <w:p w14:paraId="32D3AC29">
      <w:pPr>
        <w:pStyle w:val="35"/>
        <w:ind w:firstLine="458"/>
        <w:rPr>
          <w:rFonts w:hint="eastAsia" w:ascii="宋体" w:hAnsi="宋体" w:eastAsia="宋体" w:cs="宋体"/>
          <w:color w:val="auto"/>
          <w:szCs w:val="21"/>
          <w:highlight w:val="none"/>
        </w:rPr>
        <w:sectPr>
          <w:endnotePr>
            <w:numFmt w:val="decimal"/>
          </w:endnotePr>
          <w:pgSz w:w="16838" w:h="11906" w:orient="landscape"/>
          <w:pgMar w:top="1418" w:right="1247" w:bottom="1418" w:left="1134" w:header="851" w:footer="907"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宋体" w:hAnsi="宋体" w:eastAsia="宋体" w:cs="宋体"/>
          <w:color w:val="auto"/>
          <w:szCs w:val="21"/>
          <w:highlight w:val="none"/>
        </w:rPr>
        <w:t>评委签名：</w:t>
      </w:r>
    </w:p>
    <w:p w14:paraId="13FFC6F0">
      <w:pPr>
        <w:rPr>
          <w:rFonts w:hint="eastAsia" w:ascii="宋体" w:hAnsi="宋体" w:eastAsia="宋体" w:cs="宋体"/>
          <w:color w:val="auto"/>
          <w:sz w:val="32"/>
          <w:szCs w:val="32"/>
          <w:highlight w:val="none"/>
        </w:rPr>
      </w:pPr>
      <w:r>
        <w:rPr>
          <w:rFonts w:hint="eastAsia" w:ascii="宋体" w:hAnsi="宋体" w:eastAsia="宋体" w:cs="宋体"/>
          <w:color w:val="auto"/>
          <w:sz w:val="28"/>
          <w:szCs w:val="28"/>
          <w:highlight w:val="none"/>
        </w:rPr>
        <w:t>附表四</w:t>
      </w:r>
    </w:p>
    <w:p w14:paraId="29068D07">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技术标详细审查评分表</w:t>
      </w:r>
    </w:p>
    <w:tbl>
      <w:tblPr>
        <w:tblStyle w:val="36"/>
        <w:tblW w:w="15777" w:type="dxa"/>
        <w:jc w:val="center"/>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929"/>
        <w:gridCol w:w="1569"/>
        <w:gridCol w:w="654"/>
        <w:gridCol w:w="12625"/>
      </w:tblGrid>
      <w:tr w14:paraId="069CEE75">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715" w:hRule="atLeast"/>
          <w:jc w:val="center"/>
        </w:trPr>
        <w:tc>
          <w:tcPr>
            <w:tcW w:w="929" w:type="dxa"/>
            <w:tcBorders>
              <w:tl2br w:val="nil"/>
              <w:tr2bl w:val="nil"/>
            </w:tcBorders>
            <w:noWrap w:val="0"/>
            <w:vAlign w:val="center"/>
          </w:tcPr>
          <w:p w14:paraId="42104486">
            <w:pPr>
              <w:widowControl/>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highlight w:val="none"/>
              </w:rPr>
              <w:t>评分</w:t>
            </w:r>
          </w:p>
          <w:p w14:paraId="627B15F0">
            <w:pPr>
              <w:widowControl/>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highlight w:val="none"/>
              </w:rPr>
              <w:t>项目</w:t>
            </w:r>
          </w:p>
        </w:tc>
        <w:tc>
          <w:tcPr>
            <w:tcW w:w="1569" w:type="dxa"/>
            <w:tcBorders>
              <w:tl2br w:val="nil"/>
              <w:tr2bl w:val="nil"/>
            </w:tcBorders>
            <w:noWrap w:val="0"/>
            <w:vAlign w:val="center"/>
          </w:tcPr>
          <w:p w14:paraId="44C8FA74">
            <w:pPr>
              <w:widowControl/>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highlight w:val="none"/>
              </w:rPr>
              <w:t>评分内容</w:t>
            </w:r>
          </w:p>
        </w:tc>
        <w:tc>
          <w:tcPr>
            <w:tcW w:w="654" w:type="dxa"/>
            <w:tcBorders>
              <w:tl2br w:val="nil"/>
              <w:tr2bl w:val="nil"/>
            </w:tcBorders>
            <w:noWrap w:val="0"/>
            <w:vAlign w:val="center"/>
          </w:tcPr>
          <w:p w14:paraId="42E30B83">
            <w:pPr>
              <w:widowControl/>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highlight w:val="none"/>
              </w:rPr>
              <w:t>分值</w:t>
            </w:r>
          </w:p>
        </w:tc>
        <w:tc>
          <w:tcPr>
            <w:tcW w:w="12625" w:type="dxa"/>
            <w:tcBorders>
              <w:tl2br w:val="nil"/>
              <w:tr2bl w:val="nil"/>
            </w:tcBorders>
            <w:noWrap w:val="0"/>
            <w:vAlign w:val="center"/>
          </w:tcPr>
          <w:p w14:paraId="5F2527F3">
            <w:pPr>
              <w:widowControl/>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highlight w:val="none"/>
              </w:rPr>
              <w:t>评审标准</w:t>
            </w:r>
          </w:p>
        </w:tc>
      </w:tr>
      <w:tr w14:paraId="165421DD">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715" w:hRule="atLeast"/>
          <w:jc w:val="center"/>
        </w:trPr>
        <w:tc>
          <w:tcPr>
            <w:tcW w:w="929" w:type="dxa"/>
            <w:vMerge w:val="restart"/>
            <w:tcBorders>
              <w:tl2br w:val="nil"/>
              <w:tr2bl w:val="nil"/>
            </w:tcBorders>
            <w:noWrap w:val="0"/>
            <w:vAlign w:val="center"/>
          </w:tcPr>
          <w:p w14:paraId="003A9532">
            <w:pPr>
              <w:widowControl/>
              <w:adjustRightInd w:val="0"/>
              <w:snapToGrid w:val="0"/>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一、施工组织设计（</w:t>
            </w:r>
            <w:r>
              <w:rPr>
                <w:rFonts w:hint="eastAsia" w:ascii="宋体" w:hAnsi="宋体" w:cs="宋体"/>
                <w:bCs/>
                <w:color w:val="auto"/>
                <w:highlight w:val="none"/>
                <w:lang w:val="en-US" w:eastAsia="zh-CN"/>
              </w:rPr>
              <w:t>40</w:t>
            </w:r>
            <w:r>
              <w:rPr>
                <w:rFonts w:hint="eastAsia" w:ascii="宋体" w:hAnsi="宋体" w:eastAsia="宋体" w:cs="宋体"/>
                <w:bCs/>
                <w:color w:val="auto"/>
                <w:highlight w:val="none"/>
                <w:lang w:val="en-US" w:eastAsia="zh-CN"/>
              </w:rPr>
              <w:t>分）</w:t>
            </w:r>
          </w:p>
        </w:tc>
        <w:tc>
          <w:tcPr>
            <w:tcW w:w="1569" w:type="dxa"/>
            <w:tcBorders>
              <w:tl2br w:val="nil"/>
              <w:tr2bl w:val="nil"/>
            </w:tcBorders>
            <w:noWrap w:val="0"/>
            <w:vAlign w:val="center"/>
          </w:tcPr>
          <w:p w14:paraId="2B1E7384">
            <w:pPr>
              <w:widowControl/>
              <w:adjustRightInd w:val="0"/>
              <w:snapToGrid w:val="0"/>
              <w:jc w:val="center"/>
              <w:rPr>
                <w:rFonts w:hint="eastAsia" w:ascii="宋体" w:hAnsi="宋体" w:eastAsia="宋体" w:cs="宋体"/>
                <w:bCs/>
                <w:color w:val="auto"/>
                <w:highlight w:val="none"/>
              </w:rPr>
            </w:pPr>
            <w:r>
              <w:rPr>
                <w:rFonts w:hint="eastAsia" w:ascii="宋体" w:hAnsi="宋体" w:eastAsia="宋体" w:cs="宋体"/>
                <w:bCs/>
                <w:color w:val="auto"/>
                <w:highlight w:val="none"/>
              </w:rPr>
              <w:t>施工工期进度</w:t>
            </w:r>
          </w:p>
          <w:p w14:paraId="73C26F85">
            <w:pPr>
              <w:widowControl/>
              <w:adjustRightInd w:val="0"/>
              <w:snapToGrid w:val="0"/>
              <w:jc w:val="center"/>
              <w:rPr>
                <w:rFonts w:hint="eastAsia" w:ascii="宋体" w:hAnsi="宋体" w:eastAsia="宋体" w:cs="宋体"/>
                <w:bCs/>
                <w:color w:val="auto"/>
                <w:highlight w:val="none"/>
              </w:rPr>
            </w:pPr>
            <w:r>
              <w:rPr>
                <w:rFonts w:hint="eastAsia" w:ascii="宋体" w:hAnsi="宋体" w:eastAsia="宋体" w:cs="宋体"/>
                <w:bCs/>
                <w:color w:val="auto"/>
                <w:highlight w:val="none"/>
              </w:rPr>
              <w:t>计划</w:t>
            </w:r>
          </w:p>
        </w:tc>
        <w:tc>
          <w:tcPr>
            <w:tcW w:w="654" w:type="dxa"/>
            <w:tcBorders>
              <w:tl2br w:val="nil"/>
              <w:tr2bl w:val="nil"/>
            </w:tcBorders>
            <w:noWrap w:val="0"/>
            <w:vAlign w:val="center"/>
          </w:tcPr>
          <w:p w14:paraId="25051958">
            <w:pPr>
              <w:widowControl/>
              <w:adjustRightInd w:val="0"/>
              <w:snapToGrid w:val="0"/>
              <w:jc w:val="center"/>
              <w:rPr>
                <w:rFonts w:hint="eastAsia" w:ascii="宋体" w:hAnsi="宋体" w:eastAsia="宋体" w:cs="宋体"/>
                <w:bCs/>
                <w:color w:val="auto"/>
                <w:highlight w:val="none"/>
                <w:lang w:val="en-US" w:eastAsia="zh-CN"/>
              </w:rPr>
            </w:pPr>
            <w:r>
              <w:rPr>
                <w:rFonts w:hint="eastAsia" w:ascii="宋体" w:hAnsi="宋体" w:cs="宋体"/>
                <w:bCs/>
                <w:color w:val="auto"/>
                <w:highlight w:val="none"/>
                <w:lang w:val="en-US" w:eastAsia="zh-CN"/>
              </w:rPr>
              <w:t>8</w:t>
            </w:r>
          </w:p>
        </w:tc>
        <w:tc>
          <w:tcPr>
            <w:tcW w:w="12625" w:type="dxa"/>
            <w:tcBorders>
              <w:tl2br w:val="nil"/>
              <w:tr2bl w:val="nil"/>
            </w:tcBorders>
            <w:noWrap w:val="0"/>
            <w:vAlign w:val="center"/>
          </w:tcPr>
          <w:p w14:paraId="3E9CB49A">
            <w:pPr>
              <w:widowControl/>
              <w:adjustRightInd w:val="0"/>
              <w:snapToGrid w:val="0"/>
              <w:jc w:val="both"/>
              <w:rPr>
                <w:rFonts w:hint="eastAsia" w:ascii="宋体" w:hAnsi="宋体" w:eastAsia="宋体" w:cs="宋体"/>
                <w:bCs/>
                <w:color w:val="auto"/>
                <w:highlight w:val="none"/>
              </w:rPr>
            </w:pPr>
            <w:r>
              <w:rPr>
                <w:rFonts w:hint="eastAsia" w:ascii="宋体" w:hAnsi="宋体" w:eastAsia="宋体" w:cs="宋体"/>
                <w:bCs/>
                <w:color w:val="auto"/>
                <w:highlight w:val="none"/>
              </w:rPr>
              <w:t>施工工期计划目标对比招标文件要求提前20（含）天或以上，工期进度计划逻辑性强、可行、合理，保证措施明确具体，【优】(6，8]分。</w:t>
            </w:r>
          </w:p>
          <w:p w14:paraId="06BC4916">
            <w:pPr>
              <w:widowControl/>
              <w:adjustRightInd w:val="0"/>
              <w:snapToGrid w:val="0"/>
              <w:jc w:val="both"/>
              <w:rPr>
                <w:rFonts w:hint="eastAsia" w:ascii="宋体" w:hAnsi="宋体" w:eastAsia="宋体" w:cs="宋体"/>
                <w:bCs/>
                <w:color w:val="auto"/>
                <w:highlight w:val="none"/>
              </w:rPr>
            </w:pPr>
            <w:r>
              <w:rPr>
                <w:rFonts w:hint="eastAsia" w:ascii="宋体" w:hAnsi="宋体" w:eastAsia="宋体" w:cs="宋体"/>
                <w:bCs/>
                <w:color w:val="auto"/>
                <w:highlight w:val="none"/>
              </w:rPr>
              <w:t>施工工期计划目标对比招标文件要求提前10（含）至20天，工期进度计划逻辑性较强、可行、较合理，有保证措施，【良】(4，6]分。</w:t>
            </w:r>
          </w:p>
          <w:p w14:paraId="145658C5">
            <w:pPr>
              <w:widowControl/>
              <w:adjustRightInd w:val="0"/>
              <w:snapToGrid w:val="0"/>
              <w:jc w:val="both"/>
              <w:rPr>
                <w:rFonts w:hint="eastAsia" w:ascii="宋体" w:hAnsi="宋体" w:eastAsia="宋体" w:cs="宋体"/>
                <w:bCs/>
                <w:color w:val="auto"/>
                <w:highlight w:val="none"/>
              </w:rPr>
            </w:pPr>
            <w:r>
              <w:rPr>
                <w:rFonts w:hint="eastAsia" w:ascii="宋体" w:hAnsi="宋体" w:eastAsia="宋体" w:cs="宋体"/>
                <w:bCs/>
                <w:color w:val="auto"/>
                <w:highlight w:val="none"/>
              </w:rPr>
              <w:t>施工工期计划目标对比招标文件要求提前5（含）至10天，工期进度计划逻辑性一般，【中】(2，4]分。</w:t>
            </w:r>
          </w:p>
          <w:p w14:paraId="64219B6C">
            <w:pPr>
              <w:widowControl/>
              <w:adjustRightInd w:val="0"/>
              <w:snapToGrid w:val="0"/>
              <w:jc w:val="both"/>
              <w:rPr>
                <w:rFonts w:hint="eastAsia" w:ascii="宋体" w:hAnsi="宋体" w:eastAsia="宋体" w:cs="宋体"/>
                <w:bCs/>
                <w:color w:val="auto"/>
                <w:highlight w:val="none"/>
              </w:rPr>
            </w:pPr>
            <w:r>
              <w:rPr>
                <w:rFonts w:hint="eastAsia" w:ascii="宋体" w:hAnsi="宋体" w:eastAsia="宋体" w:cs="宋体"/>
                <w:bCs/>
                <w:color w:val="auto"/>
                <w:highlight w:val="none"/>
              </w:rPr>
              <w:t>施工工期计划目标按招标文件要求，工期进度计划未明确，【差】[1，2]分。</w:t>
            </w:r>
          </w:p>
        </w:tc>
      </w:tr>
      <w:tr w14:paraId="75D22BF3">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715" w:hRule="atLeast"/>
          <w:jc w:val="center"/>
        </w:trPr>
        <w:tc>
          <w:tcPr>
            <w:tcW w:w="929" w:type="dxa"/>
            <w:vMerge w:val="continue"/>
            <w:tcBorders>
              <w:tl2br w:val="nil"/>
              <w:tr2bl w:val="nil"/>
            </w:tcBorders>
            <w:noWrap w:val="0"/>
            <w:vAlign w:val="center"/>
          </w:tcPr>
          <w:p w14:paraId="0BD03A1C">
            <w:pPr>
              <w:widowControl/>
              <w:adjustRightInd w:val="0"/>
              <w:snapToGrid w:val="0"/>
              <w:jc w:val="center"/>
              <w:rPr>
                <w:rFonts w:hint="eastAsia" w:ascii="宋体" w:hAnsi="宋体" w:eastAsia="宋体" w:cs="宋体"/>
                <w:bCs/>
                <w:color w:val="auto"/>
                <w:highlight w:val="none"/>
              </w:rPr>
            </w:pPr>
          </w:p>
        </w:tc>
        <w:tc>
          <w:tcPr>
            <w:tcW w:w="1569" w:type="dxa"/>
            <w:tcBorders>
              <w:tl2br w:val="nil"/>
              <w:tr2bl w:val="nil"/>
            </w:tcBorders>
            <w:noWrap w:val="0"/>
            <w:vAlign w:val="center"/>
          </w:tcPr>
          <w:p w14:paraId="0188B9D7">
            <w:pPr>
              <w:widowControl/>
              <w:adjustRightInd w:val="0"/>
              <w:snapToGrid w:val="0"/>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质量保证措施</w:t>
            </w:r>
          </w:p>
        </w:tc>
        <w:tc>
          <w:tcPr>
            <w:tcW w:w="654" w:type="dxa"/>
            <w:tcBorders>
              <w:tl2br w:val="nil"/>
              <w:tr2bl w:val="nil"/>
            </w:tcBorders>
            <w:noWrap w:val="0"/>
            <w:vAlign w:val="center"/>
          </w:tcPr>
          <w:p w14:paraId="6ABABE07">
            <w:pPr>
              <w:widowControl/>
              <w:adjustRightInd w:val="0"/>
              <w:snapToGrid w:val="0"/>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8</w:t>
            </w:r>
          </w:p>
        </w:tc>
        <w:tc>
          <w:tcPr>
            <w:tcW w:w="12625" w:type="dxa"/>
            <w:tcBorders>
              <w:tl2br w:val="nil"/>
              <w:tr2bl w:val="nil"/>
            </w:tcBorders>
            <w:noWrap w:val="0"/>
            <w:vAlign w:val="center"/>
          </w:tcPr>
          <w:p w14:paraId="4627CA0F">
            <w:pPr>
              <w:widowControl/>
              <w:adjustRightInd w:val="0"/>
              <w:snapToGrid w:val="0"/>
              <w:jc w:val="both"/>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质量目标符合招标文件要求，质量保证措施完整、具体、可行、合理，【优】</w:t>
            </w:r>
            <w:r>
              <w:rPr>
                <w:rFonts w:hint="eastAsia" w:ascii="宋体" w:hAnsi="宋体" w:eastAsia="宋体" w:cs="宋体"/>
                <w:bCs/>
                <w:color w:val="auto"/>
                <w:highlight w:val="none"/>
              </w:rPr>
              <w:t>(</w:t>
            </w:r>
            <w:r>
              <w:rPr>
                <w:rFonts w:hint="eastAsia" w:ascii="宋体" w:hAnsi="宋体" w:cs="宋体"/>
                <w:bCs/>
                <w:color w:val="auto"/>
                <w:highlight w:val="none"/>
                <w:lang w:val="en-US" w:eastAsia="zh-CN"/>
              </w:rPr>
              <w:t>6</w:t>
            </w:r>
            <w:r>
              <w:rPr>
                <w:rFonts w:hint="eastAsia" w:ascii="宋体" w:hAnsi="宋体" w:eastAsia="宋体" w:cs="宋体"/>
                <w:bCs/>
                <w:color w:val="auto"/>
                <w:highlight w:val="none"/>
              </w:rPr>
              <w:t>，</w:t>
            </w:r>
            <w:r>
              <w:rPr>
                <w:rFonts w:hint="eastAsia" w:ascii="宋体" w:hAnsi="宋体" w:cs="宋体"/>
                <w:bCs/>
                <w:color w:val="auto"/>
                <w:highlight w:val="none"/>
                <w:lang w:val="en-US" w:eastAsia="zh-CN"/>
              </w:rPr>
              <w:t>8</w:t>
            </w: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分。</w:t>
            </w:r>
          </w:p>
          <w:p w14:paraId="59D57C9E">
            <w:pPr>
              <w:widowControl/>
              <w:adjustRightInd w:val="0"/>
              <w:snapToGrid w:val="0"/>
              <w:jc w:val="both"/>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质量目标符合招标文件要求，质量保证措施较完整、可行、较合理，【良】</w:t>
            </w:r>
            <w:r>
              <w:rPr>
                <w:rFonts w:hint="eastAsia" w:ascii="宋体" w:hAnsi="宋体" w:eastAsia="宋体" w:cs="宋体"/>
                <w:bCs/>
                <w:color w:val="auto"/>
                <w:highlight w:val="none"/>
              </w:rPr>
              <w:t>(</w:t>
            </w:r>
            <w:r>
              <w:rPr>
                <w:rFonts w:hint="eastAsia" w:ascii="宋体" w:hAnsi="宋体" w:cs="宋体"/>
                <w:bCs/>
                <w:color w:val="auto"/>
                <w:highlight w:val="none"/>
                <w:lang w:val="en-US" w:eastAsia="zh-CN"/>
              </w:rPr>
              <w:t>4</w:t>
            </w:r>
            <w:r>
              <w:rPr>
                <w:rFonts w:hint="eastAsia" w:ascii="宋体" w:hAnsi="宋体" w:eastAsia="宋体" w:cs="宋体"/>
                <w:bCs/>
                <w:color w:val="auto"/>
                <w:highlight w:val="none"/>
              </w:rPr>
              <w:t>，</w:t>
            </w:r>
            <w:r>
              <w:rPr>
                <w:rFonts w:hint="eastAsia" w:ascii="宋体" w:hAnsi="宋体" w:cs="宋体"/>
                <w:bCs/>
                <w:color w:val="auto"/>
                <w:highlight w:val="none"/>
                <w:lang w:val="en-US" w:eastAsia="zh-CN"/>
              </w:rPr>
              <w:t>6</w:t>
            </w: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分。</w:t>
            </w:r>
          </w:p>
          <w:p w14:paraId="70747FF4">
            <w:pPr>
              <w:widowControl/>
              <w:adjustRightInd w:val="0"/>
              <w:snapToGrid w:val="0"/>
              <w:jc w:val="both"/>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质量目标符合招标文件要求，质量保证措施一般，【中】(2，4]分。</w:t>
            </w:r>
          </w:p>
          <w:p w14:paraId="636704F0">
            <w:pPr>
              <w:widowControl/>
              <w:adjustRightInd w:val="0"/>
              <w:snapToGrid w:val="0"/>
              <w:jc w:val="both"/>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质量目标符合招标文件要求，质量保证措施不及上述要求的，【差】</w:t>
            </w:r>
            <w:r>
              <w:rPr>
                <w:rFonts w:hint="eastAsia" w:ascii="宋体" w:hAnsi="宋体" w:eastAsia="宋体" w:cs="宋体"/>
                <w:bCs/>
                <w:color w:val="auto"/>
                <w:highlight w:val="none"/>
              </w:rPr>
              <w:t>[1，</w:t>
            </w:r>
            <w:r>
              <w:rPr>
                <w:rFonts w:hint="eastAsia" w:ascii="宋体" w:hAnsi="宋体" w:cs="宋体"/>
                <w:bCs/>
                <w:color w:val="auto"/>
                <w:highlight w:val="none"/>
                <w:lang w:val="en-US" w:eastAsia="zh-CN"/>
              </w:rPr>
              <w:t>2</w:t>
            </w: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分。</w:t>
            </w:r>
          </w:p>
        </w:tc>
      </w:tr>
      <w:tr w14:paraId="6A260C62">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715" w:hRule="atLeast"/>
          <w:jc w:val="center"/>
        </w:trPr>
        <w:tc>
          <w:tcPr>
            <w:tcW w:w="929" w:type="dxa"/>
            <w:vMerge w:val="continue"/>
            <w:tcBorders>
              <w:tl2br w:val="nil"/>
              <w:tr2bl w:val="nil"/>
            </w:tcBorders>
            <w:noWrap w:val="0"/>
            <w:vAlign w:val="center"/>
          </w:tcPr>
          <w:p w14:paraId="7931081E">
            <w:pPr>
              <w:widowControl/>
              <w:adjustRightInd w:val="0"/>
              <w:snapToGrid w:val="0"/>
              <w:jc w:val="center"/>
              <w:rPr>
                <w:rFonts w:hint="eastAsia" w:ascii="宋体" w:hAnsi="宋体" w:eastAsia="宋体" w:cs="宋体"/>
                <w:bCs/>
                <w:color w:val="auto"/>
                <w:highlight w:val="none"/>
              </w:rPr>
            </w:pPr>
          </w:p>
        </w:tc>
        <w:tc>
          <w:tcPr>
            <w:tcW w:w="1569" w:type="dxa"/>
            <w:tcBorders>
              <w:tl2br w:val="nil"/>
              <w:tr2bl w:val="nil"/>
            </w:tcBorders>
            <w:noWrap w:val="0"/>
            <w:vAlign w:val="center"/>
          </w:tcPr>
          <w:p w14:paraId="5D5E6A2F">
            <w:pPr>
              <w:widowControl/>
              <w:adjustRightInd w:val="0"/>
              <w:snapToGrid w:val="0"/>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安全文明施工措施</w:t>
            </w:r>
          </w:p>
        </w:tc>
        <w:tc>
          <w:tcPr>
            <w:tcW w:w="654" w:type="dxa"/>
            <w:tcBorders>
              <w:tl2br w:val="nil"/>
              <w:tr2bl w:val="nil"/>
            </w:tcBorders>
            <w:noWrap w:val="0"/>
            <w:vAlign w:val="center"/>
          </w:tcPr>
          <w:p w14:paraId="6F30D1D4">
            <w:pPr>
              <w:widowControl/>
              <w:adjustRightInd w:val="0"/>
              <w:snapToGrid w:val="0"/>
              <w:jc w:val="center"/>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8</w:t>
            </w:r>
          </w:p>
        </w:tc>
        <w:tc>
          <w:tcPr>
            <w:tcW w:w="12625" w:type="dxa"/>
            <w:tcBorders>
              <w:tl2br w:val="nil"/>
              <w:tr2bl w:val="nil"/>
            </w:tcBorders>
            <w:noWrap w:val="0"/>
            <w:vAlign w:val="center"/>
          </w:tcPr>
          <w:p w14:paraId="379981AE">
            <w:pPr>
              <w:pStyle w:val="19"/>
              <w:rPr>
                <w:rFonts w:hint="eastAsia" w:ascii="宋体" w:hAnsi="宋体" w:eastAsia="宋体" w:cs="宋体"/>
                <w:bCs/>
                <w:color w:val="auto"/>
                <w:kern w:val="2"/>
                <w:sz w:val="21"/>
                <w:szCs w:val="22"/>
                <w:highlight w:val="none"/>
                <w:lang w:val="en-US" w:eastAsia="zh-CN" w:bidi="ar-SA"/>
              </w:rPr>
            </w:pPr>
            <w:r>
              <w:rPr>
                <w:rFonts w:hint="eastAsia" w:ascii="宋体" w:hAnsi="宋体" w:eastAsia="宋体" w:cs="宋体"/>
                <w:bCs/>
                <w:color w:val="auto"/>
                <w:kern w:val="2"/>
                <w:sz w:val="21"/>
                <w:szCs w:val="22"/>
                <w:highlight w:val="none"/>
                <w:lang w:val="en-US" w:eastAsia="zh-CN" w:bidi="ar-SA"/>
              </w:rPr>
              <w:t>确保不发生等级安全事故，安全文明施工措施完整、具体、可行、合理，在典型位置的安全措施先进可靠，【优】</w:t>
            </w:r>
            <w:r>
              <w:rPr>
                <w:rFonts w:hint="eastAsia" w:ascii="宋体" w:hAnsi="宋体" w:eastAsia="宋体" w:cs="宋体"/>
                <w:bCs/>
                <w:color w:val="auto"/>
                <w:highlight w:val="none"/>
              </w:rPr>
              <w:t>(</w:t>
            </w:r>
            <w:r>
              <w:rPr>
                <w:rFonts w:hint="eastAsia" w:ascii="宋体" w:hAnsi="宋体" w:cs="宋体"/>
                <w:bCs/>
                <w:color w:val="auto"/>
                <w:highlight w:val="none"/>
                <w:lang w:val="en-US" w:eastAsia="zh-CN"/>
              </w:rPr>
              <w:t>6</w:t>
            </w:r>
            <w:r>
              <w:rPr>
                <w:rFonts w:hint="eastAsia" w:ascii="宋体" w:hAnsi="宋体" w:eastAsia="宋体" w:cs="宋体"/>
                <w:bCs/>
                <w:color w:val="auto"/>
                <w:highlight w:val="none"/>
              </w:rPr>
              <w:t>，</w:t>
            </w:r>
            <w:r>
              <w:rPr>
                <w:rFonts w:hint="eastAsia" w:ascii="宋体" w:hAnsi="宋体" w:cs="宋体"/>
                <w:bCs/>
                <w:color w:val="auto"/>
                <w:highlight w:val="none"/>
                <w:lang w:val="en-US" w:eastAsia="zh-CN"/>
              </w:rPr>
              <w:t>8</w:t>
            </w: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分</w:t>
            </w:r>
            <w:r>
              <w:rPr>
                <w:rFonts w:hint="eastAsia" w:ascii="宋体" w:hAnsi="宋体" w:eastAsia="宋体" w:cs="宋体"/>
                <w:bCs/>
                <w:color w:val="auto"/>
                <w:kern w:val="2"/>
                <w:sz w:val="21"/>
                <w:szCs w:val="22"/>
                <w:highlight w:val="none"/>
                <w:lang w:val="en-US" w:eastAsia="zh-CN" w:bidi="ar-SA"/>
              </w:rPr>
              <w:t>。</w:t>
            </w:r>
          </w:p>
          <w:p w14:paraId="718DA326">
            <w:pPr>
              <w:pStyle w:val="19"/>
              <w:rPr>
                <w:rFonts w:hint="eastAsia" w:ascii="宋体" w:hAnsi="宋体" w:eastAsia="宋体" w:cs="宋体"/>
                <w:bCs/>
                <w:color w:val="auto"/>
                <w:kern w:val="2"/>
                <w:sz w:val="21"/>
                <w:szCs w:val="22"/>
                <w:highlight w:val="none"/>
                <w:lang w:val="en-US" w:eastAsia="zh-CN" w:bidi="ar-SA"/>
              </w:rPr>
            </w:pPr>
            <w:r>
              <w:rPr>
                <w:rFonts w:hint="eastAsia" w:ascii="宋体" w:hAnsi="宋体" w:eastAsia="宋体" w:cs="宋体"/>
                <w:bCs/>
                <w:color w:val="auto"/>
                <w:kern w:val="2"/>
                <w:sz w:val="21"/>
                <w:szCs w:val="22"/>
                <w:highlight w:val="none"/>
                <w:lang w:val="en-US" w:eastAsia="zh-CN" w:bidi="ar-SA"/>
              </w:rPr>
              <w:t>确保不发生等级安全事故，安全文明施工措施较完整、可行、较合理，在典型位置的安全措施较先进可靠，【良】</w:t>
            </w:r>
            <w:r>
              <w:rPr>
                <w:rFonts w:hint="eastAsia" w:ascii="宋体" w:hAnsi="宋体" w:eastAsia="宋体" w:cs="宋体"/>
                <w:bCs/>
                <w:color w:val="auto"/>
                <w:highlight w:val="none"/>
              </w:rPr>
              <w:t>(</w:t>
            </w:r>
            <w:r>
              <w:rPr>
                <w:rFonts w:hint="eastAsia" w:ascii="宋体" w:hAnsi="宋体" w:cs="宋体"/>
                <w:bCs/>
                <w:color w:val="auto"/>
                <w:highlight w:val="none"/>
                <w:lang w:val="en-US" w:eastAsia="zh-CN"/>
              </w:rPr>
              <w:t>4</w:t>
            </w:r>
            <w:r>
              <w:rPr>
                <w:rFonts w:hint="eastAsia" w:ascii="宋体" w:hAnsi="宋体" w:eastAsia="宋体" w:cs="宋体"/>
                <w:bCs/>
                <w:color w:val="auto"/>
                <w:highlight w:val="none"/>
              </w:rPr>
              <w:t>，</w:t>
            </w:r>
            <w:r>
              <w:rPr>
                <w:rFonts w:hint="eastAsia" w:ascii="宋体" w:hAnsi="宋体" w:cs="宋体"/>
                <w:bCs/>
                <w:color w:val="auto"/>
                <w:highlight w:val="none"/>
                <w:lang w:val="en-US" w:eastAsia="zh-CN"/>
              </w:rPr>
              <w:t>6</w:t>
            </w:r>
            <w:r>
              <w:rPr>
                <w:rFonts w:hint="eastAsia" w:ascii="宋体" w:hAnsi="宋体" w:eastAsia="宋体" w:cs="宋体"/>
                <w:bCs/>
                <w:color w:val="auto"/>
                <w:highlight w:val="none"/>
              </w:rPr>
              <w:t>]</w:t>
            </w:r>
            <w:r>
              <w:rPr>
                <w:rFonts w:hint="eastAsia" w:ascii="宋体" w:hAnsi="宋体" w:eastAsia="宋体" w:cs="宋体"/>
                <w:bCs/>
                <w:color w:val="auto"/>
                <w:kern w:val="2"/>
                <w:sz w:val="21"/>
                <w:szCs w:val="22"/>
                <w:highlight w:val="none"/>
                <w:lang w:val="en-US" w:eastAsia="zh-CN" w:bidi="ar-SA"/>
              </w:rPr>
              <w:t>分。</w:t>
            </w:r>
          </w:p>
          <w:p w14:paraId="7A63B4A6">
            <w:pPr>
              <w:pStyle w:val="19"/>
              <w:rPr>
                <w:rFonts w:hint="eastAsia" w:ascii="宋体" w:hAnsi="宋体" w:eastAsia="宋体" w:cs="宋体"/>
                <w:bCs/>
                <w:color w:val="auto"/>
                <w:kern w:val="2"/>
                <w:sz w:val="21"/>
                <w:szCs w:val="22"/>
                <w:highlight w:val="none"/>
                <w:lang w:val="en-US" w:eastAsia="zh-CN" w:bidi="ar-SA"/>
              </w:rPr>
            </w:pPr>
            <w:r>
              <w:rPr>
                <w:rFonts w:hint="eastAsia" w:ascii="宋体" w:hAnsi="宋体" w:eastAsia="宋体" w:cs="宋体"/>
                <w:bCs/>
                <w:color w:val="auto"/>
                <w:kern w:val="2"/>
                <w:sz w:val="21"/>
                <w:szCs w:val="22"/>
                <w:highlight w:val="none"/>
                <w:lang w:val="en-US" w:eastAsia="zh-CN" w:bidi="ar-SA"/>
              </w:rPr>
              <w:t>确保不发生等级安全事故，安全文明施工措施一般，无典型位置的安全措施，【中】(2，4]分。</w:t>
            </w:r>
          </w:p>
          <w:p w14:paraId="47CFAA65">
            <w:pPr>
              <w:pStyle w:val="19"/>
              <w:rPr>
                <w:rFonts w:hint="eastAsia" w:ascii="宋体" w:hAnsi="宋体" w:eastAsia="宋体" w:cs="宋体"/>
                <w:bCs/>
                <w:color w:val="auto"/>
                <w:kern w:val="2"/>
                <w:sz w:val="21"/>
                <w:szCs w:val="22"/>
                <w:highlight w:val="none"/>
                <w:lang w:val="en-US" w:eastAsia="zh-CN" w:bidi="ar-SA"/>
              </w:rPr>
            </w:pPr>
            <w:r>
              <w:rPr>
                <w:rFonts w:hint="eastAsia" w:ascii="宋体" w:hAnsi="宋体" w:eastAsia="宋体" w:cs="宋体"/>
                <w:bCs/>
                <w:color w:val="auto"/>
                <w:kern w:val="2"/>
                <w:sz w:val="21"/>
                <w:szCs w:val="22"/>
                <w:highlight w:val="none"/>
                <w:lang w:val="en-US" w:eastAsia="zh-CN" w:bidi="ar-SA"/>
              </w:rPr>
              <w:t>确保不发生等级安全事故，安全文明施工措施不及上述要求的，【差】[1，2]分。</w:t>
            </w:r>
          </w:p>
        </w:tc>
      </w:tr>
      <w:tr w14:paraId="236DB216">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14" w:hRule="atLeast"/>
          <w:jc w:val="center"/>
        </w:trPr>
        <w:tc>
          <w:tcPr>
            <w:tcW w:w="929" w:type="dxa"/>
            <w:vMerge w:val="continue"/>
            <w:tcBorders>
              <w:tl2br w:val="nil"/>
              <w:tr2bl w:val="nil"/>
            </w:tcBorders>
            <w:noWrap w:val="0"/>
            <w:vAlign w:val="center"/>
          </w:tcPr>
          <w:p w14:paraId="63DF64F1">
            <w:pPr>
              <w:widowControl/>
              <w:adjustRightInd w:val="0"/>
              <w:snapToGrid w:val="0"/>
              <w:jc w:val="center"/>
              <w:rPr>
                <w:rFonts w:hint="eastAsia" w:ascii="宋体" w:hAnsi="宋体" w:eastAsia="宋体" w:cs="宋体"/>
                <w:bCs/>
                <w:color w:val="auto"/>
                <w:highlight w:val="none"/>
              </w:rPr>
            </w:pPr>
          </w:p>
        </w:tc>
        <w:tc>
          <w:tcPr>
            <w:tcW w:w="1569" w:type="dxa"/>
            <w:tcBorders>
              <w:tl2br w:val="nil"/>
              <w:tr2bl w:val="nil"/>
            </w:tcBorders>
            <w:noWrap w:val="0"/>
            <w:vAlign w:val="center"/>
          </w:tcPr>
          <w:p w14:paraId="63B05C2C">
            <w:pPr>
              <w:widowControl/>
              <w:adjustRightInd w:val="0"/>
              <w:snapToGrid w:val="0"/>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rPr>
              <w:t>绿色节能控制措施</w:t>
            </w:r>
          </w:p>
        </w:tc>
        <w:tc>
          <w:tcPr>
            <w:tcW w:w="654" w:type="dxa"/>
            <w:tcBorders>
              <w:tl2br w:val="nil"/>
              <w:tr2bl w:val="nil"/>
            </w:tcBorders>
            <w:noWrap w:val="0"/>
            <w:vAlign w:val="center"/>
          </w:tcPr>
          <w:p w14:paraId="305303FA">
            <w:pPr>
              <w:widowControl/>
              <w:adjustRightInd w:val="0"/>
              <w:snapToGrid w:val="0"/>
              <w:jc w:val="center"/>
              <w:rPr>
                <w:rFonts w:hint="eastAsia" w:ascii="宋体" w:hAnsi="宋体" w:eastAsia="宋体" w:cs="宋体"/>
                <w:bCs/>
                <w:color w:val="auto"/>
                <w:highlight w:val="none"/>
                <w:lang w:val="en-US" w:eastAsia="zh-CN"/>
              </w:rPr>
            </w:pPr>
            <w:r>
              <w:rPr>
                <w:rFonts w:hint="eastAsia" w:ascii="宋体" w:hAnsi="宋体" w:cs="宋体"/>
                <w:bCs/>
                <w:color w:val="auto"/>
                <w:highlight w:val="none"/>
                <w:lang w:val="en-US" w:eastAsia="zh-CN"/>
              </w:rPr>
              <w:t>8</w:t>
            </w:r>
          </w:p>
        </w:tc>
        <w:tc>
          <w:tcPr>
            <w:tcW w:w="12625" w:type="dxa"/>
            <w:tcBorders>
              <w:tl2br w:val="nil"/>
              <w:tr2bl w:val="nil"/>
            </w:tcBorders>
            <w:noWrap w:val="0"/>
            <w:vAlign w:val="center"/>
          </w:tcPr>
          <w:p w14:paraId="74DC1593">
            <w:pPr>
              <w:widowControl/>
              <w:adjustRightInd w:val="0"/>
              <w:snapToGrid w:val="0"/>
              <w:jc w:val="both"/>
              <w:rPr>
                <w:rFonts w:hint="eastAsia" w:ascii="宋体" w:hAnsi="宋体" w:eastAsia="宋体" w:cs="宋体"/>
                <w:bCs/>
                <w:color w:val="auto"/>
                <w:highlight w:val="none"/>
              </w:rPr>
            </w:pPr>
            <w:r>
              <w:rPr>
                <w:rFonts w:hint="eastAsia" w:ascii="宋体" w:hAnsi="宋体" w:eastAsia="宋体" w:cs="宋体"/>
                <w:bCs/>
                <w:color w:val="auto"/>
                <w:highlight w:val="none"/>
              </w:rPr>
              <w:t>有很详细的绿色节能控制措施、有在材料消耗、环境保护及建筑废弃物的循序使用等方面的控制措施，且承诺使用绿色生产达标企业生产的混凝土的，且承诺氢燃料电池汽车作为混凝土搅拌车和建筑废弃物运输车在本项目的投入使用，投入比例需≥30%(即</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投入的氢燃料电池汽车/投入的总车辆数≥30%)，</w:t>
            </w:r>
            <w:r>
              <w:rPr>
                <w:rFonts w:hint="eastAsia" w:ascii="宋体" w:hAnsi="宋体" w:eastAsia="宋体" w:cs="宋体"/>
                <w:bCs/>
                <w:color w:val="auto"/>
                <w:highlight w:val="none"/>
                <w:lang w:val="en-US" w:eastAsia="zh-CN"/>
              </w:rPr>
              <w:t>【优】</w:t>
            </w:r>
            <w:r>
              <w:rPr>
                <w:rFonts w:hint="eastAsia" w:ascii="宋体" w:hAnsi="宋体" w:eastAsia="宋体" w:cs="宋体"/>
                <w:bCs/>
                <w:color w:val="auto"/>
                <w:highlight w:val="none"/>
              </w:rPr>
              <w:t>(</w:t>
            </w:r>
            <w:r>
              <w:rPr>
                <w:rFonts w:hint="eastAsia" w:ascii="宋体" w:hAnsi="宋体" w:cs="宋体"/>
                <w:bCs/>
                <w:color w:val="auto"/>
                <w:highlight w:val="none"/>
                <w:lang w:val="en-US" w:eastAsia="zh-CN"/>
              </w:rPr>
              <w:t>6</w:t>
            </w:r>
            <w:r>
              <w:rPr>
                <w:rFonts w:hint="eastAsia" w:ascii="宋体" w:hAnsi="宋体" w:eastAsia="宋体" w:cs="宋体"/>
                <w:bCs/>
                <w:color w:val="auto"/>
                <w:highlight w:val="none"/>
              </w:rPr>
              <w:t>，</w:t>
            </w:r>
            <w:r>
              <w:rPr>
                <w:rFonts w:hint="eastAsia" w:ascii="宋体" w:hAnsi="宋体" w:cs="宋体"/>
                <w:bCs/>
                <w:color w:val="auto"/>
                <w:highlight w:val="none"/>
                <w:lang w:val="en-US" w:eastAsia="zh-CN"/>
              </w:rPr>
              <w:t>8</w:t>
            </w: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分</w:t>
            </w:r>
            <w:r>
              <w:rPr>
                <w:rFonts w:hint="eastAsia" w:ascii="宋体" w:hAnsi="宋体" w:eastAsia="宋体" w:cs="宋体"/>
                <w:bCs/>
                <w:color w:val="auto"/>
                <w:kern w:val="2"/>
                <w:sz w:val="21"/>
                <w:szCs w:val="22"/>
                <w:highlight w:val="none"/>
                <w:lang w:val="en-US" w:eastAsia="zh-CN" w:bidi="ar-SA"/>
              </w:rPr>
              <w:t>。</w:t>
            </w:r>
          </w:p>
          <w:p w14:paraId="6E1BD7DB">
            <w:pPr>
              <w:widowControl/>
              <w:adjustRightInd w:val="0"/>
              <w:snapToGrid w:val="0"/>
              <w:jc w:val="both"/>
              <w:rPr>
                <w:rFonts w:hint="eastAsia" w:ascii="宋体" w:hAnsi="宋体" w:eastAsia="宋体" w:cs="宋体"/>
                <w:bCs/>
                <w:color w:val="auto"/>
                <w:highlight w:val="none"/>
              </w:rPr>
            </w:pPr>
            <w:r>
              <w:rPr>
                <w:rFonts w:hint="eastAsia" w:ascii="宋体" w:hAnsi="宋体" w:eastAsia="宋体" w:cs="宋体"/>
                <w:bCs/>
                <w:color w:val="auto"/>
                <w:highlight w:val="none"/>
              </w:rPr>
              <w:t>有详细的绿色节能控制措施，且承诺使用绿色生产达标企业生产的混凝土的，且承诺氢燃料电池汽车作为混凝土搅拌车和建筑废弃物运输车在本项目的投入使用，投入比例需≥30%(即</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投入的氢燃料电池汽车/投入的总车辆数≥30%)，</w:t>
            </w:r>
            <w:r>
              <w:rPr>
                <w:rFonts w:hint="eastAsia" w:ascii="宋体" w:hAnsi="宋体" w:eastAsia="宋体" w:cs="宋体"/>
                <w:bCs/>
                <w:color w:val="auto"/>
                <w:highlight w:val="none"/>
                <w:lang w:val="en-US" w:eastAsia="zh-CN"/>
              </w:rPr>
              <w:t>【良】</w:t>
            </w:r>
            <w:r>
              <w:rPr>
                <w:rFonts w:hint="eastAsia" w:ascii="宋体" w:hAnsi="宋体" w:eastAsia="宋体" w:cs="宋体"/>
                <w:bCs/>
                <w:color w:val="auto"/>
                <w:highlight w:val="none"/>
              </w:rPr>
              <w:t>(</w:t>
            </w:r>
            <w:r>
              <w:rPr>
                <w:rFonts w:hint="eastAsia" w:ascii="宋体" w:hAnsi="宋体" w:cs="宋体"/>
                <w:bCs/>
                <w:color w:val="auto"/>
                <w:highlight w:val="none"/>
                <w:lang w:val="en-US" w:eastAsia="zh-CN"/>
              </w:rPr>
              <w:t>4</w:t>
            </w:r>
            <w:r>
              <w:rPr>
                <w:rFonts w:hint="eastAsia" w:ascii="宋体" w:hAnsi="宋体" w:eastAsia="宋体" w:cs="宋体"/>
                <w:bCs/>
                <w:color w:val="auto"/>
                <w:highlight w:val="none"/>
              </w:rPr>
              <w:t>，</w:t>
            </w:r>
            <w:r>
              <w:rPr>
                <w:rFonts w:hint="eastAsia" w:ascii="宋体" w:hAnsi="宋体" w:cs="宋体"/>
                <w:bCs/>
                <w:color w:val="auto"/>
                <w:highlight w:val="none"/>
                <w:lang w:val="en-US" w:eastAsia="zh-CN"/>
              </w:rPr>
              <w:t>6</w:t>
            </w:r>
            <w:r>
              <w:rPr>
                <w:rFonts w:hint="eastAsia" w:ascii="宋体" w:hAnsi="宋体" w:eastAsia="宋体" w:cs="宋体"/>
                <w:bCs/>
                <w:color w:val="auto"/>
                <w:highlight w:val="none"/>
              </w:rPr>
              <w:t>]</w:t>
            </w:r>
            <w:r>
              <w:rPr>
                <w:rFonts w:hint="eastAsia" w:ascii="宋体" w:hAnsi="宋体" w:eastAsia="宋体" w:cs="宋体"/>
                <w:bCs/>
                <w:color w:val="auto"/>
                <w:kern w:val="2"/>
                <w:sz w:val="21"/>
                <w:szCs w:val="22"/>
                <w:highlight w:val="none"/>
                <w:lang w:val="en-US" w:eastAsia="zh-CN" w:bidi="ar-SA"/>
              </w:rPr>
              <w:t>分。</w:t>
            </w:r>
          </w:p>
          <w:p w14:paraId="10A6619C">
            <w:pPr>
              <w:widowControl/>
              <w:adjustRightInd w:val="0"/>
              <w:snapToGrid w:val="0"/>
              <w:jc w:val="both"/>
              <w:rPr>
                <w:rFonts w:hint="eastAsia" w:ascii="宋体" w:hAnsi="宋体" w:eastAsia="宋体" w:cs="宋体"/>
                <w:bCs/>
                <w:color w:val="auto"/>
                <w:highlight w:val="none"/>
              </w:rPr>
            </w:pPr>
            <w:r>
              <w:rPr>
                <w:rFonts w:hint="eastAsia" w:ascii="宋体" w:hAnsi="宋体" w:eastAsia="宋体" w:cs="宋体"/>
                <w:bCs/>
                <w:color w:val="auto"/>
                <w:highlight w:val="none"/>
              </w:rPr>
              <w:t>有绿色节能控制措施的，且承诺氢燃料电池汽车作为混凝土搅拌车和建筑废弃物运输车在本项目的投入使用，投入比例需≥30%(即</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投入的氢燃料电池汽车/投入的总车辆数≥30%)，</w:t>
            </w:r>
            <w:r>
              <w:rPr>
                <w:rFonts w:hint="eastAsia" w:ascii="宋体" w:hAnsi="宋体" w:eastAsia="宋体" w:cs="宋体"/>
                <w:bCs/>
                <w:color w:val="auto"/>
                <w:kern w:val="2"/>
                <w:sz w:val="21"/>
                <w:szCs w:val="22"/>
                <w:highlight w:val="none"/>
                <w:lang w:val="en-US" w:eastAsia="zh-CN" w:bidi="ar-SA"/>
              </w:rPr>
              <w:t>【中】(2，4]分</w:t>
            </w:r>
            <w:r>
              <w:rPr>
                <w:rFonts w:hint="eastAsia" w:ascii="宋体" w:hAnsi="宋体" w:eastAsia="宋体" w:cs="宋体"/>
                <w:bCs/>
                <w:color w:val="auto"/>
                <w:highlight w:val="none"/>
              </w:rPr>
              <w:t>。</w:t>
            </w:r>
          </w:p>
          <w:p w14:paraId="5D5EBC15">
            <w:pPr>
              <w:widowControl/>
              <w:adjustRightInd w:val="0"/>
              <w:snapToGrid w:val="0"/>
              <w:jc w:val="both"/>
              <w:rPr>
                <w:rFonts w:hint="eastAsia" w:ascii="宋体" w:hAnsi="宋体" w:eastAsia="宋体" w:cs="宋体"/>
                <w:bCs/>
                <w:color w:val="auto"/>
                <w:highlight w:val="none"/>
              </w:rPr>
            </w:pPr>
            <w:r>
              <w:rPr>
                <w:rFonts w:hint="eastAsia" w:ascii="宋体" w:hAnsi="宋体" w:cs="宋体"/>
                <w:bCs/>
                <w:color w:val="auto"/>
                <w:highlight w:val="none"/>
                <w:lang w:val="en-US" w:eastAsia="zh-CN"/>
              </w:rPr>
              <w:t>未</w:t>
            </w:r>
            <w:r>
              <w:rPr>
                <w:rFonts w:hint="eastAsia" w:ascii="宋体" w:hAnsi="宋体" w:eastAsia="宋体" w:cs="宋体"/>
                <w:bCs/>
                <w:color w:val="auto"/>
                <w:highlight w:val="none"/>
              </w:rPr>
              <w:t>提供绿色节能控制措施的</w:t>
            </w:r>
            <w:r>
              <w:rPr>
                <w:rFonts w:hint="eastAsia" w:ascii="宋体" w:hAnsi="宋体" w:eastAsia="宋体" w:cs="宋体"/>
                <w:bCs/>
                <w:color w:val="auto"/>
                <w:highlight w:val="none"/>
                <w:lang w:eastAsia="zh-CN"/>
              </w:rPr>
              <w:t>，</w:t>
            </w:r>
            <w:r>
              <w:rPr>
                <w:rFonts w:hint="eastAsia" w:ascii="宋体" w:hAnsi="宋体" w:eastAsia="宋体" w:cs="宋体"/>
                <w:bCs/>
                <w:color w:val="auto"/>
                <w:kern w:val="2"/>
                <w:sz w:val="21"/>
                <w:szCs w:val="22"/>
                <w:highlight w:val="none"/>
                <w:lang w:val="en-US" w:eastAsia="zh-CN" w:bidi="ar-SA"/>
              </w:rPr>
              <w:t>【差】0分</w:t>
            </w:r>
            <w:r>
              <w:rPr>
                <w:rFonts w:hint="eastAsia" w:ascii="宋体" w:hAnsi="宋体" w:eastAsia="宋体" w:cs="宋体"/>
                <w:bCs/>
                <w:color w:val="auto"/>
                <w:highlight w:val="none"/>
              </w:rPr>
              <w:t>。</w:t>
            </w:r>
          </w:p>
          <w:p w14:paraId="1DD55111">
            <w:pPr>
              <w:pStyle w:val="19"/>
              <w:rPr>
                <w:rFonts w:hint="eastAsia" w:ascii="宋体" w:hAnsi="宋体" w:eastAsia="宋体" w:cs="宋体"/>
                <w:bCs/>
                <w:color w:val="auto"/>
                <w:kern w:val="2"/>
                <w:sz w:val="21"/>
                <w:szCs w:val="22"/>
                <w:highlight w:val="none"/>
                <w:lang w:val="en-US" w:eastAsia="zh-CN" w:bidi="ar-SA"/>
              </w:rPr>
            </w:pPr>
            <w:r>
              <w:rPr>
                <w:rFonts w:hint="eastAsia" w:ascii="宋体" w:hAnsi="宋体" w:eastAsia="宋体" w:cs="宋体"/>
                <w:bCs/>
                <w:color w:val="auto"/>
                <w:kern w:val="2"/>
                <w:sz w:val="21"/>
                <w:szCs w:val="22"/>
                <w:highlight w:val="none"/>
                <w:lang w:val="en-US" w:eastAsia="zh-CN" w:bidi="ar-SA"/>
              </w:rPr>
              <w:t>注：承诺函格式自拟。</w:t>
            </w:r>
          </w:p>
        </w:tc>
      </w:tr>
      <w:tr w14:paraId="24C76168">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715" w:hRule="atLeast"/>
          <w:jc w:val="center"/>
        </w:trPr>
        <w:tc>
          <w:tcPr>
            <w:tcW w:w="929" w:type="dxa"/>
            <w:vMerge w:val="continue"/>
            <w:tcBorders>
              <w:tl2br w:val="nil"/>
              <w:tr2bl w:val="nil"/>
            </w:tcBorders>
            <w:noWrap w:val="0"/>
            <w:vAlign w:val="center"/>
          </w:tcPr>
          <w:p w14:paraId="64DD0E0D">
            <w:pPr>
              <w:widowControl/>
              <w:adjustRightInd w:val="0"/>
              <w:snapToGrid w:val="0"/>
              <w:jc w:val="center"/>
              <w:rPr>
                <w:rFonts w:hint="eastAsia" w:ascii="宋体" w:hAnsi="宋体" w:eastAsia="宋体" w:cs="宋体"/>
                <w:bCs/>
                <w:color w:val="auto"/>
                <w:highlight w:val="none"/>
              </w:rPr>
            </w:pPr>
          </w:p>
        </w:tc>
        <w:tc>
          <w:tcPr>
            <w:tcW w:w="1569" w:type="dxa"/>
            <w:tcBorders>
              <w:tl2br w:val="nil"/>
              <w:tr2bl w:val="nil"/>
            </w:tcBorders>
            <w:noWrap w:val="0"/>
            <w:vAlign w:val="center"/>
          </w:tcPr>
          <w:p w14:paraId="1C12EBCF">
            <w:pPr>
              <w:widowControl/>
              <w:adjustRightInd w:val="0"/>
              <w:snapToGrid w:val="0"/>
              <w:jc w:val="center"/>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资源供应计划</w:t>
            </w:r>
          </w:p>
        </w:tc>
        <w:tc>
          <w:tcPr>
            <w:tcW w:w="654" w:type="dxa"/>
            <w:tcBorders>
              <w:tl2br w:val="nil"/>
              <w:tr2bl w:val="nil"/>
            </w:tcBorders>
            <w:noWrap w:val="0"/>
            <w:vAlign w:val="center"/>
          </w:tcPr>
          <w:p w14:paraId="290FCE2D">
            <w:pPr>
              <w:widowControl/>
              <w:adjustRightInd w:val="0"/>
              <w:snapToGrid w:val="0"/>
              <w:jc w:val="center"/>
              <w:rPr>
                <w:rFonts w:hint="eastAsia" w:ascii="宋体" w:hAnsi="宋体" w:eastAsia="宋体" w:cs="宋体"/>
                <w:bCs/>
                <w:color w:val="auto"/>
                <w:highlight w:val="none"/>
                <w:lang w:val="en-US" w:eastAsia="zh-CN"/>
              </w:rPr>
            </w:pPr>
            <w:r>
              <w:rPr>
                <w:rFonts w:hint="eastAsia" w:ascii="宋体" w:hAnsi="宋体" w:cs="宋体"/>
                <w:bCs/>
                <w:color w:val="auto"/>
                <w:highlight w:val="none"/>
                <w:lang w:val="en-US" w:eastAsia="zh-CN"/>
              </w:rPr>
              <w:t>8</w:t>
            </w:r>
          </w:p>
        </w:tc>
        <w:tc>
          <w:tcPr>
            <w:tcW w:w="12625" w:type="dxa"/>
            <w:tcBorders>
              <w:tl2br w:val="nil"/>
              <w:tr2bl w:val="nil"/>
            </w:tcBorders>
            <w:noWrap w:val="0"/>
            <w:vAlign w:val="center"/>
          </w:tcPr>
          <w:p w14:paraId="2C9CA69F">
            <w:pPr>
              <w:widowControl/>
              <w:adjustRightInd w:val="0"/>
              <w:snapToGrid w:val="0"/>
              <w:jc w:val="both"/>
              <w:rPr>
                <w:rFonts w:hint="eastAsia" w:ascii="宋体" w:hAnsi="宋体" w:eastAsia="宋体" w:cs="宋体"/>
                <w:bCs/>
                <w:color w:val="auto"/>
                <w:highlight w:val="none"/>
                <w:lang w:eastAsia="zh-CN"/>
              </w:rPr>
            </w:pPr>
            <w:r>
              <w:rPr>
                <w:rFonts w:hint="eastAsia" w:ascii="宋体" w:hAnsi="宋体" w:eastAsia="宋体" w:cs="宋体"/>
                <w:bCs/>
                <w:color w:val="auto"/>
                <w:highlight w:val="none"/>
              </w:rPr>
              <w:t>针对项目特点编制资源供应</w:t>
            </w:r>
            <w:r>
              <w:rPr>
                <w:rFonts w:hint="eastAsia" w:ascii="宋体" w:hAnsi="宋体" w:cs="宋体"/>
                <w:bCs/>
                <w:color w:val="auto"/>
                <w:highlight w:val="none"/>
                <w:lang w:eastAsia="zh-CN"/>
              </w:rPr>
              <w:t>：</w:t>
            </w:r>
          </w:p>
          <w:p w14:paraId="4827925B">
            <w:pPr>
              <w:widowControl/>
              <w:adjustRightInd w:val="0"/>
              <w:snapToGrid w:val="0"/>
              <w:jc w:val="both"/>
              <w:rPr>
                <w:rFonts w:hint="eastAsia" w:ascii="宋体" w:hAnsi="宋体" w:eastAsia="宋体" w:cs="宋体"/>
                <w:bCs/>
                <w:color w:val="auto"/>
                <w:highlight w:val="none"/>
              </w:rPr>
            </w:pPr>
            <w:r>
              <w:rPr>
                <w:rFonts w:hint="eastAsia" w:ascii="宋体" w:hAnsi="宋体" w:eastAsia="宋体" w:cs="宋体"/>
                <w:bCs/>
                <w:color w:val="auto"/>
                <w:highlight w:val="none"/>
              </w:rPr>
              <w:t>劳动力需求计划及保障措施、机械设备需求计划及保障措施、材料需求计划及保障措施完整、具体、可行、合理，</w:t>
            </w:r>
            <w:r>
              <w:rPr>
                <w:rFonts w:hint="eastAsia" w:ascii="宋体" w:hAnsi="宋体" w:eastAsia="宋体" w:cs="宋体"/>
                <w:bCs/>
                <w:color w:val="auto"/>
                <w:highlight w:val="none"/>
                <w:lang w:val="en-US" w:eastAsia="zh-CN"/>
              </w:rPr>
              <w:t>【优】</w:t>
            </w:r>
            <w:r>
              <w:rPr>
                <w:rFonts w:hint="eastAsia" w:ascii="宋体" w:hAnsi="宋体" w:eastAsia="宋体" w:cs="宋体"/>
                <w:bCs/>
                <w:color w:val="auto"/>
                <w:highlight w:val="none"/>
              </w:rPr>
              <w:t>得(</w:t>
            </w:r>
            <w:r>
              <w:rPr>
                <w:rFonts w:hint="eastAsia" w:ascii="宋体" w:hAnsi="宋体" w:cs="宋体"/>
                <w:bCs/>
                <w:color w:val="auto"/>
                <w:highlight w:val="none"/>
                <w:lang w:val="en-US" w:eastAsia="zh-CN"/>
              </w:rPr>
              <w:t>6</w:t>
            </w:r>
            <w:r>
              <w:rPr>
                <w:rFonts w:hint="eastAsia" w:ascii="宋体" w:hAnsi="宋体" w:eastAsia="宋体" w:cs="宋体"/>
                <w:bCs/>
                <w:color w:val="auto"/>
                <w:highlight w:val="none"/>
              </w:rPr>
              <w:t>，</w:t>
            </w:r>
            <w:r>
              <w:rPr>
                <w:rFonts w:hint="eastAsia" w:ascii="宋体" w:hAnsi="宋体" w:cs="宋体"/>
                <w:bCs/>
                <w:color w:val="auto"/>
                <w:highlight w:val="none"/>
                <w:lang w:val="en-US" w:eastAsia="zh-CN"/>
              </w:rPr>
              <w:t>8</w:t>
            </w:r>
            <w:r>
              <w:rPr>
                <w:rFonts w:hint="eastAsia" w:ascii="宋体" w:hAnsi="宋体" w:eastAsia="宋体" w:cs="宋体"/>
                <w:bCs/>
                <w:color w:val="auto"/>
                <w:highlight w:val="none"/>
              </w:rPr>
              <w:t>]分。</w:t>
            </w:r>
          </w:p>
          <w:p w14:paraId="5546E070">
            <w:pPr>
              <w:widowControl/>
              <w:adjustRightInd w:val="0"/>
              <w:snapToGrid w:val="0"/>
              <w:jc w:val="both"/>
              <w:rPr>
                <w:rFonts w:hint="eastAsia" w:ascii="宋体" w:hAnsi="宋体" w:eastAsia="宋体" w:cs="宋体"/>
                <w:bCs/>
                <w:color w:val="auto"/>
                <w:highlight w:val="none"/>
              </w:rPr>
            </w:pPr>
            <w:r>
              <w:rPr>
                <w:rFonts w:hint="eastAsia" w:ascii="宋体" w:hAnsi="宋体" w:eastAsia="宋体" w:cs="宋体"/>
                <w:bCs/>
                <w:color w:val="auto"/>
                <w:highlight w:val="none"/>
              </w:rPr>
              <w:t>劳动力需求计划及保障措施、机械设备需求计划及保障措施、材料需求计划及保障措施较完整、基本可行，</w:t>
            </w:r>
            <w:r>
              <w:rPr>
                <w:rFonts w:hint="eastAsia" w:ascii="宋体" w:hAnsi="宋体" w:eastAsia="宋体" w:cs="宋体"/>
                <w:bCs/>
                <w:color w:val="auto"/>
                <w:highlight w:val="none"/>
                <w:lang w:val="en-US" w:eastAsia="zh-CN"/>
              </w:rPr>
              <w:t>【良】</w:t>
            </w:r>
            <w:r>
              <w:rPr>
                <w:rFonts w:hint="eastAsia" w:ascii="宋体" w:hAnsi="宋体" w:eastAsia="宋体" w:cs="宋体"/>
                <w:bCs/>
                <w:color w:val="auto"/>
                <w:highlight w:val="none"/>
              </w:rPr>
              <w:t>得(</w:t>
            </w:r>
            <w:r>
              <w:rPr>
                <w:rFonts w:hint="eastAsia" w:ascii="宋体" w:hAnsi="宋体" w:cs="宋体"/>
                <w:bCs/>
                <w:color w:val="auto"/>
                <w:highlight w:val="none"/>
                <w:lang w:val="en-US" w:eastAsia="zh-CN"/>
              </w:rPr>
              <w:t>4</w:t>
            </w:r>
            <w:r>
              <w:rPr>
                <w:rFonts w:hint="eastAsia" w:ascii="宋体" w:hAnsi="宋体" w:eastAsia="宋体" w:cs="宋体"/>
                <w:bCs/>
                <w:color w:val="auto"/>
                <w:highlight w:val="none"/>
              </w:rPr>
              <w:t>，</w:t>
            </w:r>
            <w:r>
              <w:rPr>
                <w:rFonts w:hint="eastAsia" w:ascii="宋体" w:hAnsi="宋体" w:cs="宋体"/>
                <w:bCs/>
                <w:color w:val="auto"/>
                <w:highlight w:val="none"/>
                <w:lang w:val="en-US" w:eastAsia="zh-CN"/>
              </w:rPr>
              <w:t>6</w:t>
            </w:r>
            <w:r>
              <w:rPr>
                <w:rFonts w:hint="eastAsia" w:ascii="宋体" w:hAnsi="宋体" w:eastAsia="宋体" w:cs="宋体"/>
                <w:bCs/>
                <w:color w:val="auto"/>
                <w:highlight w:val="none"/>
              </w:rPr>
              <w:t>]分。</w:t>
            </w:r>
          </w:p>
          <w:p w14:paraId="76F7B278">
            <w:pPr>
              <w:widowControl/>
              <w:adjustRightInd w:val="0"/>
              <w:snapToGrid w:val="0"/>
              <w:jc w:val="both"/>
              <w:rPr>
                <w:rFonts w:hint="eastAsia" w:ascii="宋体" w:hAnsi="宋体" w:eastAsia="宋体" w:cs="宋体"/>
                <w:bCs/>
                <w:color w:val="auto"/>
                <w:highlight w:val="none"/>
              </w:rPr>
            </w:pPr>
            <w:r>
              <w:rPr>
                <w:rFonts w:hint="eastAsia" w:ascii="宋体" w:hAnsi="宋体" w:eastAsia="宋体" w:cs="宋体"/>
                <w:bCs/>
                <w:color w:val="auto"/>
                <w:highlight w:val="none"/>
              </w:rPr>
              <w:t>劳动力需求计划及保障措施、机械设备需求计划及保障措施、材料需求计划及保障措施一般、基本可行，</w:t>
            </w:r>
            <w:r>
              <w:rPr>
                <w:rFonts w:hint="eastAsia" w:ascii="宋体" w:hAnsi="宋体" w:eastAsia="宋体" w:cs="宋体"/>
                <w:bCs/>
                <w:color w:val="auto"/>
                <w:kern w:val="2"/>
                <w:sz w:val="21"/>
                <w:szCs w:val="22"/>
                <w:highlight w:val="none"/>
                <w:lang w:val="en-US" w:eastAsia="zh-CN" w:bidi="ar-SA"/>
              </w:rPr>
              <w:t>【中】</w:t>
            </w:r>
            <w:r>
              <w:rPr>
                <w:rFonts w:hint="eastAsia" w:ascii="宋体" w:hAnsi="宋体" w:eastAsia="宋体" w:cs="宋体"/>
                <w:bCs/>
                <w:color w:val="auto"/>
                <w:highlight w:val="none"/>
              </w:rPr>
              <w:t>得</w:t>
            </w:r>
            <w:r>
              <w:rPr>
                <w:rFonts w:hint="eastAsia" w:ascii="宋体" w:hAnsi="宋体" w:eastAsia="宋体" w:cs="宋体"/>
                <w:bCs/>
                <w:color w:val="auto"/>
                <w:kern w:val="2"/>
                <w:sz w:val="21"/>
                <w:szCs w:val="22"/>
                <w:highlight w:val="none"/>
                <w:lang w:val="en-US" w:eastAsia="zh-CN" w:bidi="ar-SA"/>
              </w:rPr>
              <w:t>(2，4]</w:t>
            </w:r>
            <w:r>
              <w:rPr>
                <w:rFonts w:hint="eastAsia" w:ascii="宋体" w:hAnsi="宋体" w:eastAsia="宋体" w:cs="宋体"/>
                <w:bCs/>
                <w:color w:val="auto"/>
                <w:highlight w:val="none"/>
              </w:rPr>
              <w:t>分。</w:t>
            </w:r>
          </w:p>
          <w:p w14:paraId="4B1F2035">
            <w:pPr>
              <w:pStyle w:val="19"/>
              <w:rPr>
                <w:rFonts w:hint="eastAsia" w:ascii="宋体" w:hAnsi="宋体" w:eastAsia="宋体" w:cs="宋体"/>
                <w:color w:val="auto"/>
                <w:highlight w:val="none"/>
                <w:lang w:val="en-US" w:eastAsia="zh-CN"/>
              </w:rPr>
            </w:pPr>
            <w:r>
              <w:rPr>
                <w:rFonts w:hint="eastAsia" w:hAnsi="宋体" w:cs="宋体"/>
                <w:bCs/>
                <w:color w:val="auto"/>
                <w:highlight w:val="none"/>
                <w:lang w:val="en-US" w:eastAsia="zh-CN"/>
              </w:rPr>
              <w:t>未提供资源供应计划的，</w:t>
            </w:r>
            <w:r>
              <w:rPr>
                <w:rFonts w:hint="eastAsia" w:ascii="宋体" w:hAnsi="宋体" w:eastAsia="宋体" w:cs="宋体"/>
                <w:bCs/>
                <w:color w:val="auto"/>
                <w:kern w:val="2"/>
                <w:sz w:val="21"/>
                <w:szCs w:val="22"/>
                <w:highlight w:val="none"/>
                <w:lang w:val="en-US" w:eastAsia="zh-CN" w:bidi="ar-SA"/>
              </w:rPr>
              <w:t>【差】</w:t>
            </w:r>
            <w:r>
              <w:rPr>
                <w:rFonts w:hint="eastAsia" w:ascii="宋体" w:hAnsi="宋体" w:eastAsia="宋体" w:cs="宋体"/>
                <w:bCs/>
                <w:color w:val="auto"/>
                <w:highlight w:val="none"/>
              </w:rPr>
              <w:t>得0分。</w:t>
            </w:r>
          </w:p>
        </w:tc>
      </w:tr>
      <w:tr w14:paraId="13403B86">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956" w:hRule="atLeast"/>
          <w:jc w:val="center"/>
        </w:trPr>
        <w:tc>
          <w:tcPr>
            <w:tcW w:w="929" w:type="dxa"/>
            <w:vMerge w:val="restart"/>
            <w:tcBorders>
              <w:tl2br w:val="nil"/>
              <w:tr2bl w:val="nil"/>
            </w:tcBorders>
            <w:noWrap w:val="0"/>
            <w:vAlign w:val="center"/>
          </w:tcPr>
          <w:p w14:paraId="43DC1366">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rPr>
              <w:t>、项目管理机构能力（</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分）</w:t>
            </w:r>
          </w:p>
        </w:tc>
        <w:tc>
          <w:tcPr>
            <w:tcW w:w="1569" w:type="dxa"/>
            <w:tcBorders>
              <w:tl2br w:val="nil"/>
              <w:tr2bl w:val="nil"/>
            </w:tcBorders>
            <w:noWrap w:val="0"/>
            <w:vAlign w:val="center"/>
          </w:tcPr>
          <w:p w14:paraId="4C48CFD3">
            <w:pPr>
              <w:snapToGrid w:val="0"/>
              <w:spacing w:line="280" w:lineRule="exact"/>
              <w:jc w:val="center"/>
              <w:rPr>
                <w:rFonts w:hint="eastAsia" w:ascii="宋体" w:hAnsi="宋体" w:eastAsia="宋体" w:cs="宋体"/>
                <w:strike/>
                <w:dstrike w:val="0"/>
                <w:color w:val="auto"/>
                <w:szCs w:val="21"/>
                <w:highlight w:val="none"/>
              </w:rPr>
            </w:pPr>
            <w:r>
              <w:rPr>
                <w:rFonts w:hint="eastAsia" w:ascii="宋体" w:hAnsi="宋体" w:eastAsia="宋体" w:cs="宋体"/>
                <w:color w:val="auto"/>
                <w:szCs w:val="21"/>
                <w:highlight w:val="none"/>
              </w:rPr>
              <w:t>技术负责人</w:t>
            </w:r>
          </w:p>
        </w:tc>
        <w:tc>
          <w:tcPr>
            <w:tcW w:w="654" w:type="dxa"/>
            <w:tcBorders>
              <w:tl2br w:val="nil"/>
              <w:tr2bl w:val="nil"/>
            </w:tcBorders>
            <w:noWrap w:val="0"/>
            <w:vAlign w:val="center"/>
          </w:tcPr>
          <w:p w14:paraId="75BAC959">
            <w:pPr>
              <w:snapToGrid w:val="0"/>
              <w:jc w:val="center"/>
              <w:rPr>
                <w:rFonts w:hint="eastAsia" w:ascii="宋体" w:hAnsi="宋体" w:eastAsia="宋体" w:cs="宋体"/>
                <w:strike/>
                <w:dstrike w:val="0"/>
                <w:color w:val="auto"/>
                <w:szCs w:val="21"/>
                <w:highlight w:val="none"/>
                <w:lang w:eastAsia="zh-CN"/>
              </w:rPr>
            </w:pPr>
            <w:r>
              <w:rPr>
                <w:rFonts w:hint="eastAsia" w:ascii="宋体" w:hAnsi="宋体" w:cs="宋体"/>
                <w:color w:val="auto"/>
                <w:szCs w:val="21"/>
                <w:highlight w:val="none"/>
                <w:lang w:val="en-US" w:eastAsia="zh-CN"/>
              </w:rPr>
              <w:t>4</w:t>
            </w:r>
          </w:p>
        </w:tc>
        <w:tc>
          <w:tcPr>
            <w:tcW w:w="12625" w:type="dxa"/>
            <w:tcBorders>
              <w:tl2br w:val="nil"/>
              <w:tr2bl w:val="nil"/>
            </w:tcBorders>
            <w:noWrap w:val="0"/>
            <w:vAlign w:val="center"/>
          </w:tcPr>
          <w:p w14:paraId="747F06C4">
            <w:pPr>
              <w:spacing w:line="240" w:lineRule="atLeast"/>
              <w:jc w:val="both"/>
              <w:rPr>
                <w:rFonts w:hint="eastAsia" w:ascii="宋体" w:hAnsi="宋体" w:eastAsia="宋体" w:cs="宋体"/>
                <w:strike w:val="0"/>
                <w:dstrike w:val="0"/>
                <w:color w:val="auto"/>
                <w:highlight w:val="none"/>
                <w:lang w:val="en-US" w:eastAsia="zh-CN"/>
              </w:rPr>
            </w:pPr>
            <w:r>
              <w:rPr>
                <w:rFonts w:hint="eastAsia" w:ascii="宋体" w:hAnsi="宋体" w:eastAsia="宋体" w:cs="宋体"/>
                <w:strike w:val="0"/>
                <w:dstrike w:val="0"/>
                <w:color w:val="auto"/>
                <w:highlight w:val="none"/>
                <w:lang w:val="en-US" w:eastAsia="zh-CN"/>
              </w:rPr>
              <w:t>技术负责人具有机电工程或市政公用工程相关专业高级技术职称10年</w:t>
            </w:r>
            <w:r>
              <w:rPr>
                <w:rFonts w:hint="eastAsia" w:ascii="宋体" w:hAnsi="宋体" w:cs="宋体"/>
                <w:strike w:val="0"/>
                <w:dstrike w:val="0"/>
                <w:color w:val="auto"/>
                <w:highlight w:val="none"/>
                <w:lang w:val="en-US" w:eastAsia="zh-CN"/>
              </w:rPr>
              <w:t>（含本数）</w:t>
            </w:r>
            <w:r>
              <w:rPr>
                <w:rFonts w:hint="eastAsia" w:ascii="宋体" w:hAnsi="宋体" w:eastAsia="宋体" w:cs="宋体"/>
                <w:strike w:val="0"/>
                <w:dstrike w:val="0"/>
                <w:color w:val="auto"/>
                <w:highlight w:val="none"/>
                <w:lang w:val="en-US" w:eastAsia="zh-CN"/>
              </w:rPr>
              <w:t>或以上的，得</w:t>
            </w:r>
            <w:r>
              <w:rPr>
                <w:rFonts w:hint="eastAsia" w:ascii="宋体" w:hAnsi="宋体" w:cs="宋体"/>
                <w:strike w:val="0"/>
                <w:dstrike w:val="0"/>
                <w:color w:val="auto"/>
                <w:highlight w:val="none"/>
                <w:lang w:val="en-US" w:eastAsia="zh-CN"/>
              </w:rPr>
              <w:t>4</w:t>
            </w:r>
            <w:r>
              <w:rPr>
                <w:rFonts w:hint="eastAsia" w:ascii="宋体" w:hAnsi="宋体" w:eastAsia="宋体" w:cs="宋体"/>
                <w:strike w:val="0"/>
                <w:dstrike w:val="0"/>
                <w:color w:val="auto"/>
                <w:highlight w:val="none"/>
                <w:lang w:val="en-US" w:eastAsia="zh-CN"/>
              </w:rPr>
              <w:t>分；</w:t>
            </w:r>
          </w:p>
          <w:p w14:paraId="2278B4E9">
            <w:pPr>
              <w:spacing w:line="240" w:lineRule="atLeast"/>
              <w:jc w:val="both"/>
              <w:rPr>
                <w:rFonts w:hint="eastAsia" w:ascii="宋体" w:hAnsi="宋体" w:eastAsia="宋体" w:cs="宋体"/>
                <w:strike w:val="0"/>
                <w:dstrike w:val="0"/>
                <w:color w:val="auto"/>
                <w:highlight w:val="none"/>
                <w:lang w:val="en-US" w:eastAsia="zh-CN"/>
              </w:rPr>
            </w:pPr>
            <w:r>
              <w:rPr>
                <w:rFonts w:hint="eastAsia" w:ascii="宋体" w:hAnsi="宋体" w:eastAsia="宋体" w:cs="宋体"/>
                <w:strike w:val="0"/>
                <w:dstrike w:val="0"/>
                <w:color w:val="auto"/>
                <w:highlight w:val="none"/>
                <w:lang w:val="en-US" w:eastAsia="zh-CN"/>
              </w:rPr>
              <w:t>具有机电工程或市政公用工程相关专业高级技术职称</w:t>
            </w:r>
            <w:r>
              <w:rPr>
                <w:rFonts w:hint="eastAsia" w:ascii="宋体" w:hAnsi="宋体" w:cs="宋体"/>
                <w:strike w:val="0"/>
                <w:dstrike w:val="0"/>
                <w:color w:val="auto"/>
                <w:highlight w:val="none"/>
                <w:lang w:val="en-US" w:eastAsia="zh-CN"/>
              </w:rPr>
              <w:t>[</w:t>
            </w:r>
            <w:r>
              <w:rPr>
                <w:rFonts w:hint="eastAsia" w:ascii="宋体" w:hAnsi="宋体" w:eastAsia="宋体" w:cs="宋体"/>
                <w:strike w:val="0"/>
                <w:dstrike w:val="0"/>
                <w:color w:val="auto"/>
                <w:highlight w:val="none"/>
                <w:lang w:val="en-US" w:eastAsia="zh-CN"/>
              </w:rPr>
              <w:t>5-</w:t>
            </w:r>
            <w:r>
              <w:rPr>
                <w:rFonts w:hint="eastAsia" w:ascii="宋体" w:hAnsi="宋体" w:cs="宋体"/>
                <w:strike w:val="0"/>
                <w:dstrike w:val="0"/>
                <w:color w:val="auto"/>
                <w:highlight w:val="none"/>
                <w:lang w:val="en-US" w:eastAsia="zh-CN"/>
              </w:rPr>
              <w:t>10）</w:t>
            </w:r>
            <w:r>
              <w:rPr>
                <w:rFonts w:hint="eastAsia" w:ascii="宋体" w:hAnsi="宋体" w:eastAsia="宋体" w:cs="宋体"/>
                <w:strike w:val="0"/>
                <w:dstrike w:val="0"/>
                <w:color w:val="auto"/>
                <w:highlight w:val="none"/>
                <w:lang w:val="en-US" w:eastAsia="zh-CN"/>
              </w:rPr>
              <w:t>年的，得</w:t>
            </w:r>
            <w:r>
              <w:rPr>
                <w:rFonts w:hint="eastAsia" w:ascii="宋体" w:hAnsi="宋体" w:cs="宋体"/>
                <w:strike w:val="0"/>
                <w:dstrike w:val="0"/>
                <w:color w:val="auto"/>
                <w:highlight w:val="none"/>
                <w:lang w:val="en-US" w:eastAsia="zh-CN"/>
              </w:rPr>
              <w:t>2</w:t>
            </w:r>
            <w:r>
              <w:rPr>
                <w:rFonts w:hint="eastAsia" w:ascii="宋体" w:hAnsi="宋体" w:eastAsia="宋体" w:cs="宋体"/>
                <w:strike w:val="0"/>
                <w:dstrike w:val="0"/>
                <w:color w:val="auto"/>
                <w:highlight w:val="none"/>
                <w:lang w:val="en-US" w:eastAsia="zh-CN"/>
              </w:rPr>
              <w:t>分；</w:t>
            </w:r>
          </w:p>
          <w:p w14:paraId="29631698">
            <w:pPr>
              <w:spacing w:line="240" w:lineRule="atLeast"/>
              <w:jc w:val="both"/>
              <w:rPr>
                <w:rFonts w:hint="eastAsia" w:ascii="宋体" w:hAnsi="宋体" w:eastAsia="宋体" w:cs="宋体"/>
                <w:strike w:val="0"/>
                <w:dstrike w:val="0"/>
                <w:color w:val="auto"/>
                <w:highlight w:val="none"/>
                <w:lang w:val="en-US" w:eastAsia="zh-CN"/>
              </w:rPr>
            </w:pPr>
            <w:r>
              <w:rPr>
                <w:rFonts w:hint="eastAsia" w:ascii="宋体" w:hAnsi="宋体" w:eastAsia="宋体" w:cs="宋体"/>
                <w:strike w:val="0"/>
                <w:dstrike w:val="0"/>
                <w:color w:val="auto"/>
                <w:highlight w:val="none"/>
                <w:lang w:val="en-US" w:eastAsia="zh-CN"/>
              </w:rPr>
              <w:t>具有机电工程或市政公用工程相关专业高级技术职称</w:t>
            </w:r>
            <w:r>
              <w:rPr>
                <w:rFonts w:hint="eastAsia" w:ascii="宋体" w:hAnsi="宋体" w:cs="宋体"/>
                <w:strike w:val="0"/>
                <w:dstrike w:val="0"/>
                <w:color w:val="auto"/>
                <w:highlight w:val="none"/>
                <w:lang w:val="en-US" w:eastAsia="zh-CN"/>
              </w:rPr>
              <w:t>[</w:t>
            </w:r>
            <w:r>
              <w:rPr>
                <w:rFonts w:hint="eastAsia" w:ascii="宋体" w:hAnsi="宋体" w:eastAsia="宋体" w:cs="宋体"/>
                <w:strike w:val="0"/>
                <w:dstrike w:val="0"/>
                <w:color w:val="auto"/>
                <w:highlight w:val="none"/>
                <w:lang w:val="en-US" w:eastAsia="zh-CN"/>
              </w:rPr>
              <w:t>1-</w:t>
            </w:r>
            <w:r>
              <w:rPr>
                <w:rFonts w:hint="eastAsia" w:ascii="宋体" w:hAnsi="宋体" w:cs="宋体"/>
                <w:strike w:val="0"/>
                <w:dstrike w:val="0"/>
                <w:color w:val="auto"/>
                <w:highlight w:val="none"/>
                <w:lang w:val="en-US" w:eastAsia="zh-CN"/>
              </w:rPr>
              <w:t>5)</w:t>
            </w:r>
            <w:r>
              <w:rPr>
                <w:rFonts w:hint="eastAsia" w:ascii="宋体" w:hAnsi="宋体" w:eastAsia="宋体" w:cs="宋体"/>
                <w:strike w:val="0"/>
                <w:dstrike w:val="0"/>
                <w:color w:val="auto"/>
                <w:highlight w:val="none"/>
                <w:lang w:val="en-US" w:eastAsia="zh-CN"/>
              </w:rPr>
              <w:t>年的，得1分；</w:t>
            </w:r>
          </w:p>
          <w:p w14:paraId="1B40599A">
            <w:pPr>
              <w:spacing w:line="240" w:lineRule="atLeast"/>
              <w:jc w:val="both"/>
              <w:rPr>
                <w:rFonts w:hint="eastAsia" w:ascii="宋体" w:hAnsi="宋体" w:eastAsia="宋体" w:cs="宋体"/>
                <w:strike/>
                <w:dstrike w:val="0"/>
                <w:color w:val="auto"/>
                <w:highlight w:val="none"/>
                <w:lang w:val="en-US" w:eastAsia="zh-CN"/>
              </w:rPr>
            </w:pPr>
            <w:r>
              <w:rPr>
                <w:rFonts w:hint="eastAsia" w:ascii="宋体" w:hAnsi="宋体" w:eastAsia="宋体" w:cs="宋体"/>
                <w:strike w:val="0"/>
                <w:dstrike w:val="0"/>
                <w:color w:val="auto"/>
                <w:highlight w:val="none"/>
                <w:lang w:val="en-US" w:eastAsia="zh-CN"/>
              </w:rPr>
              <w:t>注：本项最高得</w:t>
            </w:r>
            <w:r>
              <w:rPr>
                <w:rFonts w:hint="eastAsia" w:ascii="宋体" w:hAnsi="宋体" w:cs="宋体"/>
                <w:strike w:val="0"/>
                <w:dstrike w:val="0"/>
                <w:color w:val="auto"/>
                <w:highlight w:val="none"/>
                <w:lang w:val="en-US" w:eastAsia="zh-CN"/>
              </w:rPr>
              <w:t>4</w:t>
            </w:r>
            <w:r>
              <w:rPr>
                <w:rFonts w:hint="eastAsia" w:ascii="宋体" w:hAnsi="宋体" w:eastAsia="宋体" w:cs="宋体"/>
                <w:strike w:val="0"/>
                <w:dstrike w:val="0"/>
                <w:color w:val="auto"/>
                <w:highlight w:val="none"/>
                <w:lang w:val="en-US" w:eastAsia="zh-CN"/>
              </w:rPr>
              <w:t>分。年限以获取高级工程师职称证书发证时间起算。</w:t>
            </w:r>
          </w:p>
        </w:tc>
      </w:tr>
      <w:tr w14:paraId="2BEA5C8A">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929" w:type="dxa"/>
            <w:vMerge w:val="continue"/>
            <w:tcBorders>
              <w:tl2br w:val="nil"/>
              <w:tr2bl w:val="nil"/>
            </w:tcBorders>
            <w:noWrap w:val="0"/>
            <w:vAlign w:val="center"/>
          </w:tcPr>
          <w:p w14:paraId="222B87F6">
            <w:pPr>
              <w:adjustRightInd w:val="0"/>
              <w:snapToGrid w:val="0"/>
              <w:spacing w:line="360" w:lineRule="exact"/>
              <w:jc w:val="center"/>
              <w:rPr>
                <w:rFonts w:hint="eastAsia" w:ascii="宋体" w:hAnsi="宋体" w:eastAsia="宋体" w:cs="宋体"/>
                <w:color w:val="auto"/>
                <w:szCs w:val="21"/>
                <w:highlight w:val="none"/>
              </w:rPr>
            </w:pPr>
            <w:bookmarkStart w:id="61" w:name="OLE_LINK131" w:colFirst="1" w:colLast="1"/>
            <w:bookmarkStart w:id="62" w:name="_Hlk71479569"/>
            <w:bookmarkStart w:id="63" w:name="OLE_LINK130" w:colFirst="1" w:colLast="1"/>
          </w:p>
        </w:tc>
        <w:tc>
          <w:tcPr>
            <w:tcW w:w="1569" w:type="dxa"/>
            <w:tcBorders>
              <w:tl2br w:val="nil"/>
              <w:tr2bl w:val="nil"/>
            </w:tcBorders>
            <w:noWrap w:val="0"/>
            <w:vAlign w:val="center"/>
          </w:tcPr>
          <w:p w14:paraId="7F038533">
            <w:pPr>
              <w:snapToGrid w:val="0"/>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安全负责人</w:t>
            </w:r>
          </w:p>
        </w:tc>
        <w:tc>
          <w:tcPr>
            <w:tcW w:w="654" w:type="dxa"/>
            <w:tcBorders>
              <w:tl2br w:val="nil"/>
              <w:tr2bl w:val="nil"/>
            </w:tcBorders>
            <w:noWrap w:val="0"/>
            <w:vAlign w:val="center"/>
          </w:tcPr>
          <w:p w14:paraId="510AD09E">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12625" w:type="dxa"/>
            <w:tcBorders>
              <w:tl2br w:val="nil"/>
              <w:tr2bl w:val="nil"/>
            </w:tcBorders>
            <w:noWrap w:val="0"/>
            <w:vAlign w:val="center"/>
          </w:tcPr>
          <w:p w14:paraId="6ACF386F">
            <w:pPr>
              <w:spacing w:line="240" w:lineRule="atLeast"/>
              <w:jc w:val="both"/>
              <w:rPr>
                <w:rFonts w:hint="eastAsia" w:ascii="宋体" w:hAnsi="宋体" w:eastAsia="宋体" w:cs="宋体"/>
                <w:strike w:val="0"/>
                <w:dstrike w:val="0"/>
                <w:color w:val="auto"/>
                <w:highlight w:val="none"/>
                <w:lang w:val="en-US" w:eastAsia="zh-CN"/>
              </w:rPr>
            </w:pPr>
            <w:r>
              <w:rPr>
                <w:rFonts w:hint="eastAsia" w:ascii="宋体" w:hAnsi="宋体" w:eastAsia="宋体" w:cs="宋体"/>
                <w:strike w:val="0"/>
                <w:dstrike w:val="0"/>
                <w:color w:val="auto"/>
                <w:highlight w:val="none"/>
                <w:lang w:val="en-US" w:eastAsia="zh-CN"/>
              </w:rPr>
              <w:t>注册安全工程师执业资格年限在10</w:t>
            </w:r>
            <w:r>
              <w:rPr>
                <w:rFonts w:hint="eastAsia" w:ascii="宋体" w:hAnsi="宋体" w:eastAsia="宋体" w:cs="宋体"/>
                <w:strike w:val="0"/>
                <w:dstrike w:val="0"/>
                <w:color w:val="auto"/>
                <w:highlight w:val="none"/>
                <w:lang w:val="en-US" w:eastAsia="zh-TW"/>
              </w:rPr>
              <w:t>年</w:t>
            </w:r>
            <w:r>
              <w:rPr>
                <w:rFonts w:hint="eastAsia" w:ascii="宋体" w:hAnsi="宋体" w:cs="宋体"/>
                <w:strike w:val="0"/>
                <w:dstrike w:val="0"/>
                <w:color w:val="auto"/>
                <w:highlight w:val="none"/>
                <w:lang w:val="en-US" w:eastAsia="zh-CN"/>
              </w:rPr>
              <w:t>（不含本数）</w:t>
            </w:r>
            <w:r>
              <w:rPr>
                <w:rFonts w:hint="eastAsia" w:ascii="宋体" w:hAnsi="宋体" w:eastAsia="宋体" w:cs="宋体"/>
                <w:strike w:val="0"/>
                <w:dstrike w:val="0"/>
                <w:color w:val="auto"/>
                <w:highlight w:val="none"/>
                <w:lang w:val="en-US" w:eastAsia="zh-CN"/>
              </w:rPr>
              <w:t>以下的，得</w:t>
            </w:r>
            <w:r>
              <w:rPr>
                <w:rFonts w:hint="eastAsia" w:ascii="宋体" w:hAnsi="宋体" w:cs="宋体"/>
                <w:strike w:val="0"/>
                <w:dstrike w:val="0"/>
                <w:color w:val="auto"/>
                <w:highlight w:val="none"/>
                <w:lang w:val="en-US" w:eastAsia="zh-CN"/>
              </w:rPr>
              <w:t>1</w:t>
            </w:r>
            <w:r>
              <w:rPr>
                <w:rFonts w:hint="eastAsia" w:ascii="宋体" w:hAnsi="宋体" w:eastAsia="宋体" w:cs="宋体"/>
                <w:strike w:val="0"/>
                <w:dstrike w:val="0"/>
                <w:color w:val="auto"/>
                <w:highlight w:val="none"/>
                <w:lang w:val="en-US" w:eastAsia="zh-CN"/>
              </w:rPr>
              <w:t>分</w:t>
            </w:r>
            <w:r>
              <w:rPr>
                <w:rFonts w:hint="eastAsia" w:ascii="宋体" w:hAnsi="宋体" w:cs="宋体"/>
                <w:strike w:val="0"/>
                <w:dstrike w:val="0"/>
                <w:color w:val="auto"/>
                <w:highlight w:val="none"/>
                <w:lang w:val="en-US" w:eastAsia="zh-CN"/>
              </w:rPr>
              <w:t>；具有</w:t>
            </w:r>
            <w:r>
              <w:rPr>
                <w:rFonts w:hint="eastAsia" w:ascii="宋体" w:hAnsi="宋体" w:eastAsia="宋体" w:cs="宋体"/>
                <w:strike w:val="0"/>
                <w:dstrike w:val="0"/>
                <w:color w:val="auto"/>
                <w:highlight w:val="none"/>
                <w:lang w:val="en-US" w:eastAsia="zh-CN"/>
              </w:rPr>
              <w:t>注册安全工程师执业资格年限在10年</w:t>
            </w:r>
            <w:r>
              <w:rPr>
                <w:rFonts w:hint="eastAsia" w:ascii="宋体" w:hAnsi="宋体" w:cs="宋体"/>
                <w:strike w:val="0"/>
                <w:dstrike w:val="0"/>
                <w:color w:val="auto"/>
                <w:highlight w:val="none"/>
                <w:lang w:val="en-US" w:eastAsia="zh-CN"/>
              </w:rPr>
              <w:t>（含本数）</w:t>
            </w:r>
            <w:r>
              <w:rPr>
                <w:rFonts w:hint="eastAsia" w:ascii="宋体" w:hAnsi="宋体" w:eastAsia="宋体" w:cs="宋体"/>
                <w:strike w:val="0"/>
                <w:dstrike w:val="0"/>
                <w:color w:val="auto"/>
                <w:highlight w:val="none"/>
                <w:lang w:val="en-US" w:eastAsia="zh-CN"/>
              </w:rPr>
              <w:t>或以上的，得</w:t>
            </w:r>
            <w:r>
              <w:rPr>
                <w:rFonts w:hint="eastAsia" w:ascii="宋体" w:hAnsi="宋体" w:cs="宋体"/>
                <w:strike w:val="0"/>
                <w:dstrike w:val="0"/>
                <w:color w:val="auto"/>
                <w:highlight w:val="none"/>
                <w:lang w:val="en-US" w:eastAsia="zh-CN"/>
              </w:rPr>
              <w:t>2</w:t>
            </w:r>
            <w:r>
              <w:rPr>
                <w:rFonts w:hint="eastAsia" w:ascii="宋体" w:hAnsi="宋体" w:eastAsia="宋体" w:cs="宋体"/>
                <w:strike w:val="0"/>
                <w:dstrike w:val="0"/>
                <w:color w:val="auto"/>
                <w:highlight w:val="none"/>
                <w:lang w:val="en-US" w:eastAsia="zh-CN"/>
              </w:rPr>
              <w:t>分。</w:t>
            </w:r>
          </w:p>
          <w:p w14:paraId="12807F28">
            <w:pPr>
              <w:spacing w:line="240" w:lineRule="atLeast"/>
              <w:jc w:val="both"/>
              <w:rPr>
                <w:rFonts w:hint="default" w:ascii="宋体" w:hAnsi="宋体" w:eastAsia="宋体" w:cs="宋体"/>
                <w:color w:val="auto"/>
                <w:highlight w:val="none"/>
                <w:lang w:val="en-US"/>
              </w:rPr>
            </w:pPr>
            <w:r>
              <w:rPr>
                <w:rFonts w:hint="eastAsia" w:ascii="宋体" w:hAnsi="宋体" w:eastAsia="宋体" w:cs="宋体"/>
                <w:strike w:val="0"/>
                <w:dstrike w:val="0"/>
                <w:color w:val="auto"/>
                <w:highlight w:val="none"/>
                <w:lang w:val="en-US" w:eastAsia="zh-CN"/>
              </w:rPr>
              <w:t>具有</w:t>
            </w:r>
            <w:r>
              <w:rPr>
                <w:rFonts w:hint="eastAsia" w:ascii="宋体" w:hAnsi="宋体" w:cs="宋体"/>
                <w:strike w:val="0"/>
                <w:dstrike w:val="0"/>
                <w:color w:val="auto"/>
                <w:highlight w:val="none"/>
                <w:lang w:val="en-US" w:eastAsia="zh-CN"/>
              </w:rPr>
              <w:t>机电工程或市政公用工程相关专业</w:t>
            </w:r>
            <w:r>
              <w:rPr>
                <w:rFonts w:hint="eastAsia" w:ascii="宋体" w:hAnsi="宋体" w:eastAsia="宋体" w:cs="宋体"/>
                <w:strike w:val="0"/>
                <w:dstrike w:val="0"/>
                <w:color w:val="auto"/>
                <w:highlight w:val="none"/>
                <w:lang w:val="en-US" w:eastAsia="zh-CN"/>
              </w:rPr>
              <w:t>工程师技术职称，得</w:t>
            </w:r>
            <w:r>
              <w:rPr>
                <w:rFonts w:hint="eastAsia" w:ascii="宋体" w:hAnsi="宋体" w:cs="宋体"/>
                <w:strike w:val="0"/>
                <w:dstrike w:val="0"/>
                <w:color w:val="auto"/>
                <w:highlight w:val="none"/>
                <w:lang w:val="en-US" w:eastAsia="zh-CN"/>
              </w:rPr>
              <w:t>1</w:t>
            </w:r>
            <w:r>
              <w:rPr>
                <w:rFonts w:hint="eastAsia" w:ascii="宋体" w:hAnsi="宋体" w:eastAsia="宋体" w:cs="宋体"/>
                <w:strike w:val="0"/>
                <w:dstrike w:val="0"/>
                <w:color w:val="auto"/>
                <w:highlight w:val="none"/>
                <w:lang w:val="en-US" w:eastAsia="zh-CN"/>
              </w:rPr>
              <w:t>分</w:t>
            </w:r>
            <w:r>
              <w:rPr>
                <w:rFonts w:hint="eastAsia" w:ascii="宋体" w:hAnsi="宋体" w:cs="宋体"/>
                <w:strike w:val="0"/>
                <w:dstrike w:val="0"/>
                <w:color w:val="auto"/>
                <w:highlight w:val="none"/>
                <w:lang w:val="en-US" w:eastAsia="zh-CN"/>
              </w:rPr>
              <w:t>；</w:t>
            </w:r>
            <w:r>
              <w:rPr>
                <w:rFonts w:hint="eastAsia" w:ascii="宋体" w:hAnsi="宋体" w:eastAsia="宋体" w:cs="宋体"/>
                <w:strike w:val="0"/>
                <w:dstrike w:val="0"/>
                <w:color w:val="auto"/>
                <w:highlight w:val="none"/>
                <w:lang w:val="en-US" w:eastAsia="zh-CN"/>
              </w:rPr>
              <w:t>具有</w:t>
            </w:r>
            <w:r>
              <w:rPr>
                <w:rFonts w:hint="eastAsia" w:ascii="宋体" w:hAnsi="宋体" w:cs="宋体"/>
                <w:strike w:val="0"/>
                <w:dstrike w:val="0"/>
                <w:color w:val="auto"/>
                <w:highlight w:val="none"/>
                <w:lang w:val="en-US" w:eastAsia="zh-CN"/>
              </w:rPr>
              <w:t>机电工程或市政公用工程相关专业</w:t>
            </w:r>
            <w:r>
              <w:rPr>
                <w:rFonts w:hint="eastAsia" w:ascii="宋体" w:hAnsi="宋体" w:eastAsia="宋体" w:cs="宋体"/>
                <w:strike w:val="0"/>
                <w:dstrike w:val="0"/>
                <w:color w:val="auto"/>
                <w:highlight w:val="none"/>
                <w:lang w:val="en-US" w:eastAsia="zh-CN"/>
              </w:rPr>
              <w:t>高级工程师或以上技术职称，得</w:t>
            </w:r>
            <w:r>
              <w:rPr>
                <w:rFonts w:hint="eastAsia" w:ascii="宋体" w:hAnsi="宋体" w:cs="宋体"/>
                <w:strike w:val="0"/>
                <w:dstrike w:val="0"/>
                <w:color w:val="auto"/>
                <w:highlight w:val="none"/>
                <w:lang w:val="en-US" w:eastAsia="zh-CN"/>
              </w:rPr>
              <w:t>2</w:t>
            </w:r>
            <w:r>
              <w:rPr>
                <w:rFonts w:hint="eastAsia" w:ascii="宋体" w:hAnsi="宋体" w:eastAsia="宋体" w:cs="宋体"/>
                <w:strike w:val="0"/>
                <w:dstrike w:val="0"/>
                <w:color w:val="auto"/>
                <w:highlight w:val="none"/>
                <w:lang w:val="en-US" w:eastAsia="zh-CN"/>
              </w:rPr>
              <w:t>分。</w:t>
            </w:r>
            <w:r>
              <w:rPr>
                <w:rFonts w:hint="eastAsia" w:ascii="宋体" w:hAnsi="宋体" w:eastAsia="宋体" w:cs="宋体"/>
                <w:strike w:val="0"/>
                <w:dstrike w:val="0"/>
                <w:color w:val="auto"/>
                <w:highlight w:val="none"/>
                <w:lang w:val="en-US" w:eastAsia="zh-CN"/>
              </w:rPr>
              <w:br w:type="textWrapping"/>
            </w:r>
            <w:r>
              <w:rPr>
                <w:rFonts w:hint="eastAsia" w:ascii="宋体" w:hAnsi="宋体" w:eastAsia="宋体" w:cs="宋体"/>
                <w:strike w:val="0"/>
                <w:dstrike w:val="0"/>
                <w:color w:val="auto"/>
                <w:highlight w:val="none"/>
                <w:lang w:val="en-US" w:eastAsia="zh-CN"/>
              </w:rPr>
              <w:t>注：本项最高累计得</w:t>
            </w:r>
            <w:r>
              <w:rPr>
                <w:rFonts w:hint="eastAsia" w:ascii="宋体" w:hAnsi="宋体" w:cs="宋体"/>
                <w:strike w:val="0"/>
                <w:dstrike w:val="0"/>
                <w:color w:val="auto"/>
                <w:highlight w:val="none"/>
                <w:lang w:val="en-US" w:eastAsia="zh-CN"/>
              </w:rPr>
              <w:t>4</w:t>
            </w:r>
            <w:r>
              <w:rPr>
                <w:rFonts w:hint="eastAsia" w:ascii="宋体" w:hAnsi="宋体" w:eastAsia="宋体" w:cs="宋体"/>
                <w:strike w:val="0"/>
                <w:dstrike w:val="0"/>
                <w:color w:val="auto"/>
                <w:highlight w:val="none"/>
                <w:lang w:val="en-US" w:eastAsia="zh-CN"/>
              </w:rPr>
              <w:t>分。执业资格年限以执业资格证书签发时间起算</w:t>
            </w:r>
            <w:r>
              <w:rPr>
                <w:rFonts w:hint="eastAsia" w:ascii="宋体" w:hAnsi="宋体" w:cs="宋体"/>
                <w:strike w:val="0"/>
                <w:dstrike w:val="0"/>
                <w:color w:val="auto"/>
                <w:highlight w:val="none"/>
                <w:lang w:val="en-US" w:eastAsia="zh-CN"/>
              </w:rPr>
              <w:t>，职称按最高等级计一次分。</w:t>
            </w:r>
          </w:p>
        </w:tc>
      </w:tr>
      <w:tr w14:paraId="4FDDF278">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10" w:hRule="atLeast"/>
          <w:jc w:val="center"/>
        </w:trPr>
        <w:tc>
          <w:tcPr>
            <w:tcW w:w="929" w:type="dxa"/>
            <w:vMerge w:val="continue"/>
            <w:tcBorders>
              <w:tl2br w:val="nil"/>
              <w:tr2bl w:val="nil"/>
            </w:tcBorders>
            <w:noWrap w:val="0"/>
            <w:vAlign w:val="center"/>
          </w:tcPr>
          <w:p w14:paraId="1EA019D8">
            <w:pPr>
              <w:widowControl/>
              <w:jc w:val="left"/>
              <w:rPr>
                <w:rFonts w:hint="eastAsia" w:ascii="宋体" w:hAnsi="宋体" w:eastAsia="宋体" w:cs="宋体"/>
                <w:color w:val="auto"/>
                <w:szCs w:val="21"/>
                <w:highlight w:val="none"/>
              </w:rPr>
            </w:pPr>
          </w:p>
        </w:tc>
        <w:tc>
          <w:tcPr>
            <w:tcW w:w="1569" w:type="dxa"/>
            <w:tcBorders>
              <w:tl2br w:val="nil"/>
              <w:tr2bl w:val="nil"/>
            </w:tcBorders>
            <w:noWrap w:val="0"/>
            <w:vAlign w:val="center"/>
          </w:tcPr>
          <w:p w14:paraId="62A84902">
            <w:pPr>
              <w:snapToGrid w:val="0"/>
              <w:spacing w:line="28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质量负责人</w:t>
            </w:r>
          </w:p>
        </w:tc>
        <w:tc>
          <w:tcPr>
            <w:tcW w:w="654" w:type="dxa"/>
            <w:tcBorders>
              <w:tl2br w:val="nil"/>
              <w:tr2bl w:val="nil"/>
            </w:tcBorders>
            <w:noWrap w:val="0"/>
            <w:vAlign w:val="center"/>
          </w:tcPr>
          <w:p w14:paraId="4BF790CD">
            <w:pPr>
              <w:snapToGrid w:val="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2625" w:type="dxa"/>
            <w:tcBorders>
              <w:tl2br w:val="nil"/>
              <w:tr2bl w:val="nil"/>
            </w:tcBorders>
            <w:noWrap w:val="0"/>
            <w:vAlign w:val="center"/>
          </w:tcPr>
          <w:p w14:paraId="2A23798E">
            <w:pPr>
              <w:spacing w:line="240" w:lineRule="atLeast"/>
              <w:jc w:val="both"/>
              <w:rPr>
                <w:rFonts w:hint="default" w:ascii="宋体" w:hAnsi="宋体" w:eastAsia="宋体" w:cs="宋体"/>
                <w:bCs/>
                <w:color w:val="auto"/>
                <w:szCs w:val="21"/>
                <w:highlight w:val="none"/>
                <w:lang w:val="en-US" w:eastAsia="zh-TW"/>
              </w:rPr>
            </w:pPr>
            <w:r>
              <w:rPr>
                <w:rFonts w:hint="eastAsia" w:ascii="宋体" w:hAnsi="宋体" w:cs="宋体"/>
                <w:strike w:val="0"/>
                <w:dstrike w:val="0"/>
                <w:color w:val="auto"/>
                <w:highlight w:val="none"/>
                <w:lang w:val="en-US" w:eastAsia="zh-CN"/>
              </w:rPr>
              <w:t>具有机电工程或市政公用工程相关专业中</w:t>
            </w:r>
            <w:r>
              <w:rPr>
                <w:rFonts w:hint="eastAsia" w:ascii="宋体" w:hAnsi="宋体" w:eastAsia="宋体" w:cs="宋体"/>
                <w:strike w:val="0"/>
                <w:dstrike w:val="0"/>
                <w:color w:val="auto"/>
                <w:highlight w:val="none"/>
                <w:lang w:val="en-US" w:eastAsia="zh-CN"/>
              </w:rPr>
              <w:t>级工程师职称</w:t>
            </w:r>
            <w:r>
              <w:rPr>
                <w:rFonts w:hint="eastAsia" w:ascii="宋体" w:hAnsi="宋体" w:cs="宋体"/>
                <w:strike w:val="0"/>
                <w:dstrike w:val="0"/>
                <w:color w:val="auto"/>
                <w:highlight w:val="none"/>
                <w:lang w:val="en-US" w:eastAsia="zh-CN"/>
              </w:rPr>
              <w:t>，得2分；</w:t>
            </w:r>
            <w:r>
              <w:rPr>
                <w:rFonts w:hint="eastAsia" w:ascii="宋体" w:hAnsi="宋体" w:eastAsia="宋体" w:cs="宋体"/>
                <w:strike w:val="0"/>
                <w:dstrike w:val="0"/>
                <w:color w:val="auto"/>
                <w:highlight w:val="none"/>
                <w:lang w:val="en-US" w:eastAsia="zh-CN"/>
              </w:rPr>
              <w:t>具有</w:t>
            </w:r>
            <w:r>
              <w:rPr>
                <w:rFonts w:hint="eastAsia" w:ascii="宋体" w:hAnsi="宋体" w:cs="宋体"/>
                <w:strike w:val="0"/>
                <w:dstrike w:val="0"/>
                <w:color w:val="auto"/>
                <w:highlight w:val="none"/>
                <w:lang w:val="en-US" w:eastAsia="zh-CN"/>
              </w:rPr>
              <w:t>机电工程或市政公用工程相关专业</w:t>
            </w:r>
            <w:r>
              <w:rPr>
                <w:rFonts w:hint="eastAsia" w:ascii="宋体" w:hAnsi="宋体" w:eastAsia="宋体" w:cs="宋体"/>
                <w:strike w:val="0"/>
                <w:dstrike w:val="0"/>
                <w:color w:val="auto"/>
                <w:highlight w:val="none"/>
                <w:lang w:val="en-US" w:eastAsia="zh-CN"/>
              </w:rPr>
              <w:t>高级工程师或以上技术职称</w:t>
            </w:r>
            <w:r>
              <w:rPr>
                <w:rFonts w:hint="eastAsia" w:ascii="宋体" w:hAnsi="宋体" w:cs="宋体"/>
                <w:strike w:val="0"/>
                <w:dstrike w:val="0"/>
                <w:color w:val="auto"/>
                <w:highlight w:val="none"/>
                <w:lang w:val="en-US" w:eastAsia="zh-CN"/>
              </w:rPr>
              <w:t>，得4分。</w:t>
            </w:r>
          </w:p>
        </w:tc>
      </w:tr>
      <w:bookmarkEnd w:id="61"/>
      <w:bookmarkEnd w:id="62"/>
      <w:bookmarkEnd w:id="63"/>
      <w:tr w14:paraId="5D7A3BFE">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10" w:hRule="atLeast"/>
          <w:jc w:val="center"/>
        </w:trPr>
        <w:tc>
          <w:tcPr>
            <w:tcW w:w="929" w:type="dxa"/>
            <w:vMerge w:val="continue"/>
            <w:tcBorders>
              <w:tl2br w:val="nil"/>
              <w:tr2bl w:val="nil"/>
            </w:tcBorders>
            <w:noWrap w:val="0"/>
            <w:vAlign w:val="center"/>
          </w:tcPr>
          <w:p w14:paraId="1DD08BC4">
            <w:pPr>
              <w:widowControl/>
              <w:jc w:val="left"/>
              <w:rPr>
                <w:rFonts w:hint="eastAsia" w:ascii="宋体" w:hAnsi="宋体" w:eastAsia="宋体" w:cs="宋体"/>
                <w:color w:val="auto"/>
                <w:szCs w:val="21"/>
                <w:highlight w:val="none"/>
              </w:rPr>
            </w:pPr>
          </w:p>
        </w:tc>
        <w:tc>
          <w:tcPr>
            <w:tcW w:w="1569" w:type="dxa"/>
            <w:tcBorders>
              <w:tl2br w:val="nil"/>
              <w:tr2bl w:val="nil"/>
            </w:tcBorders>
            <w:noWrap w:val="0"/>
            <w:vAlign w:val="center"/>
          </w:tcPr>
          <w:p w14:paraId="1D1A3CE4">
            <w:pPr>
              <w:snapToGrid w:val="0"/>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造价负责人</w:t>
            </w:r>
          </w:p>
        </w:tc>
        <w:tc>
          <w:tcPr>
            <w:tcW w:w="654" w:type="dxa"/>
            <w:tcBorders>
              <w:tl2br w:val="nil"/>
              <w:tr2bl w:val="nil"/>
            </w:tcBorders>
            <w:noWrap w:val="0"/>
            <w:vAlign w:val="center"/>
          </w:tcPr>
          <w:p w14:paraId="5D6E2D19">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12625" w:type="dxa"/>
            <w:tcBorders>
              <w:tl2br w:val="nil"/>
              <w:tr2bl w:val="nil"/>
            </w:tcBorders>
            <w:noWrap w:val="0"/>
            <w:vAlign w:val="center"/>
          </w:tcPr>
          <w:p w14:paraId="28697A60">
            <w:pPr>
              <w:spacing w:line="240" w:lineRule="atLeast"/>
              <w:jc w:val="both"/>
              <w:rPr>
                <w:rFonts w:hint="eastAsia" w:ascii="宋体" w:hAnsi="宋体" w:eastAsia="宋体" w:cs="宋体"/>
                <w:bCs/>
                <w:color w:val="auto"/>
                <w:szCs w:val="21"/>
                <w:highlight w:val="none"/>
                <w:lang w:val="zh-TW" w:eastAsia="zh-CN"/>
              </w:rPr>
            </w:pPr>
            <w:r>
              <w:rPr>
                <w:rFonts w:hint="eastAsia" w:ascii="宋体" w:hAnsi="宋体" w:cs="宋体"/>
                <w:bCs/>
                <w:color w:val="auto"/>
                <w:szCs w:val="21"/>
                <w:highlight w:val="none"/>
                <w:lang w:val="en-US" w:eastAsia="zh-CN"/>
              </w:rPr>
              <w:t>具有</w:t>
            </w:r>
            <w:r>
              <w:rPr>
                <w:rFonts w:hint="eastAsia" w:ascii="宋体" w:hAnsi="宋体" w:eastAsia="宋体" w:cs="宋体"/>
                <w:bCs/>
                <w:color w:val="auto"/>
                <w:szCs w:val="21"/>
                <w:highlight w:val="none"/>
                <w:lang w:val="zh-TW" w:eastAsia="zh-TW"/>
              </w:rPr>
              <w:t>一级注册造价工程师执业资格年限在10年</w:t>
            </w:r>
            <w:r>
              <w:rPr>
                <w:rFonts w:hint="eastAsia" w:ascii="宋体" w:hAnsi="宋体" w:cs="宋体"/>
                <w:strike w:val="0"/>
                <w:dstrike w:val="0"/>
                <w:color w:val="auto"/>
                <w:highlight w:val="none"/>
                <w:lang w:val="en-US" w:eastAsia="zh-CN"/>
              </w:rPr>
              <w:t>（不含本数）</w:t>
            </w:r>
            <w:r>
              <w:rPr>
                <w:rFonts w:hint="eastAsia" w:ascii="宋体" w:hAnsi="宋体" w:eastAsia="宋体" w:cs="宋体"/>
                <w:bCs/>
                <w:color w:val="auto"/>
                <w:szCs w:val="21"/>
                <w:highlight w:val="none"/>
                <w:lang w:val="zh-TW" w:eastAsia="zh-TW"/>
              </w:rPr>
              <w:t>以下的，得1分</w:t>
            </w:r>
            <w:r>
              <w:rPr>
                <w:rFonts w:hint="eastAsia" w:ascii="宋体" w:hAnsi="宋体" w:cs="宋体"/>
                <w:bCs/>
                <w:color w:val="auto"/>
                <w:szCs w:val="21"/>
                <w:highlight w:val="none"/>
                <w:lang w:val="zh-TW" w:eastAsia="zh-CN"/>
              </w:rPr>
              <w:t>；</w:t>
            </w:r>
            <w:r>
              <w:rPr>
                <w:rFonts w:hint="eastAsia" w:ascii="宋体" w:hAnsi="宋体" w:cs="宋体"/>
                <w:bCs/>
                <w:color w:val="auto"/>
                <w:szCs w:val="21"/>
                <w:highlight w:val="none"/>
                <w:lang w:val="en-US" w:eastAsia="zh-CN"/>
              </w:rPr>
              <w:t>具有</w:t>
            </w:r>
            <w:r>
              <w:rPr>
                <w:rFonts w:hint="eastAsia" w:ascii="宋体" w:hAnsi="宋体" w:eastAsia="宋体" w:cs="宋体"/>
                <w:bCs/>
                <w:color w:val="auto"/>
                <w:szCs w:val="21"/>
                <w:highlight w:val="none"/>
                <w:lang w:val="zh-TW" w:eastAsia="zh-TW"/>
              </w:rPr>
              <w:t>一级注册造价工程师执业资格年限在10年</w:t>
            </w:r>
            <w:r>
              <w:rPr>
                <w:rFonts w:hint="eastAsia" w:ascii="宋体" w:hAnsi="宋体" w:cs="宋体"/>
                <w:strike w:val="0"/>
                <w:dstrike w:val="0"/>
                <w:color w:val="auto"/>
                <w:highlight w:val="none"/>
                <w:lang w:val="en-US" w:eastAsia="zh-CN"/>
              </w:rPr>
              <w:t>（含本数）</w:t>
            </w:r>
            <w:r>
              <w:rPr>
                <w:rFonts w:hint="eastAsia" w:ascii="宋体" w:hAnsi="宋体" w:eastAsia="宋体" w:cs="宋体"/>
                <w:bCs/>
                <w:color w:val="auto"/>
                <w:szCs w:val="21"/>
                <w:highlight w:val="none"/>
                <w:lang w:val="zh-TW" w:eastAsia="zh-TW"/>
              </w:rPr>
              <w:t>或以上的，得</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zh-TW" w:eastAsia="zh-TW"/>
              </w:rPr>
              <w:t>分</w:t>
            </w:r>
            <w:r>
              <w:rPr>
                <w:rFonts w:hint="eastAsia" w:ascii="宋体" w:hAnsi="宋体" w:cs="宋体"/>
                <w:bCs/>
                <w:color w:val="auto"/>
                <w:szCs w:val="21"/>
                <w:highlight w:val="none"/>
                <w:lang w:val="zh-TW" w:eastAsia="zh-CN"/>
              </w:rPr>
              <w:t>。</w:t>
            </w:r>
          </w:p>
          <w:p w14:paraId="26000902">
            <w:pPr>
              <w:spacing w:line="240" w:lineRule="atLeast"/>
              <w:jc w:val="both"/>
              <w:rPr>
                <w:rFonts w:hint="eastAsia" w:ascii="宋体" w:hAnsi="宋体" w:eastAsia="宋体" w:cs="宋体"/>
                <w:bCs/>
                <w:color w:val="auto"/>
                <w:szCs w:val="21"/>
                <w:highlight w:val="none"/>
                <w:lang w:val="zh-TW" w:eastAsia="zh-CN"/>
              </w:rPr>
            </w:pPr>
            <w:r>
              <w:rPr>
                <w:rFonts w:hint="eastAsia" w:ascii="宋体" w:hAnsi="宋体" w:eastAsia="宋体" w:cs="宋体"/>
                <w:bCs/>
                <w:color w:val="auto"/>
                <w:szCs w:val="21"/>
                <w:highlight w:val="none"/>
                <w:lang w:val="zh-TW" w:eastAsia="zh-TW"/>
              </w:rPr>
              <w:t>具有工程造价相关专业高级工程师或以上技术职称，得</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zh-TW" w:eastAsia="zh-TW"/>
              </w:rPr>
              <w:t>分；具有工程</w:t>
            </w:r>
            <w:r>
              <w:rPr>
                <w:rFonts w:hint="eastAsia" w:ascii="宋体" w:hAnsi="宋体" w:cs="宋体"/>
                <w:bCs/>
                <w:color w:val="auto"/>
                <w:szCs w:val="21"/>
                <w:highlight w:val="none"/>
                <w:lang w:val="zh-TW" w:eastAsia="zh-CN"/>
              </w:rPr>
              <w:t>，</w:t>
            </w:r>
            <w:r>
              <w:rPr>
                <w:rFonts w:hint="eastAsia" w:ascii="宋体" w:hAnsi="宋体" w:cs="宋体"/>
                <w:strike w:val="0"/>
                <w:dstrike w:val="0"/>
                <w:color w:val="auto"/>
                <w:highlight w:val="none"/>
                <w:lang w:val="en-US" w:eastAsia="zh-CN"/>
              </w:rPr>
              <w:t>职称按最高等级计一次分。</w:t>
            </w:r>
          </w:p>
        </w:tc>
      </w:tr>
      <w:tr w14:paraId="286A2860">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945" w:hRule="atLeast"/>
          <w:jc w:val="center"/>
        </w:trPr>
        <w:tc>
          <w:tcPr>
            <w:tcW w:w="929" w:type="dxa"/>
            <w:vMerge w:val="continue"/>
            <w:tcBorders>
              <w:tl2br w:val="nil"/>
              <w:tr2bl w:val="nil"/>
            </w:tcBorders>
            <w:noWrap w:val="0"/>
            <w:vAlign w:val="center"/>
          </w:tcPr>
          <w:p w14:paraId="069DA833">
            <w:pPr>
              <w:widowControl/>
              <w:jc w:val="left"/>
              <w:rPr>
                <w:rFonts w:hint="eastAsia" w:ascii="宋体" w:hAnsi="宋体" w:eastAsia="宋体" w:cs="宋体"/>
                <w:color w:val="auto"/>
                <w:szCs w:val="21"/>
                <w:highlight w:val="none"/>
              </w:rPr>
            </w:pPr>
          </w:p>
        </w:tc>
        <w:tc>
          <w:tcPr>
            <w:tcW w:w="1569" w:type="dxa"/>
            <w:tcBorders>
              <w:tl2br w:val="nil"/>
              <w:tr2bl w:val="nil"/>
            </w:tcBorders>
            <w:noWrap w:val="0"/>
            <w:vAlign w:val="center"/>
          </w:tcPr>
          <w:p w14:paraId="4C3EFFC2">
            <w:pPr>
              <w:snapToGrid w:val="0"/>
              <w:spacing w:line="28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项目管理机构人员</w:t>
            </w:r>
          </w:p>
        </w:tc>
        <w:tc>
          <w:tcPr>
            <w:tcW w:w="654" w:type="dxa"/>
            <w:tcBorders>
              <w:tl2br w:val="nil"/>
              <w:tr2bl w:val="nil"/>
            </w:tcBorders>
            <w:noWrap w:val="0"/>
            <w:vAlign w:val="center"/>
          </w:tcPr>
          <w:p w14:paraId="5D9146FC">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2625" w:type="dxa"/>
            <w:tcBorders>
              <w:tl2br w:val="nil"/>
              <w:tr2bl w:val="nil"/>
            </w:tcBorders>
            <w:noWrap w:val="0"/>
            <w:vAlign w:val="center"/>
          </w:tcPr>
          <w:p w14:paraId="57848BAA">
            <w:pPr>
              <w:spacing w:line="240" w:lineRule="atLeast"/>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除项目负责人、技术负责人、安全负责人、质量负责人、专职安全员外</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拟投入的其他专业人员，每增加一名具有中级工程师职称的电气</w:t>
            </w:r>
            <w:r>
              <w:rPr>
                <w:rFonts w:hint="eastAsia" w:ascii="宋体" w:hAnsi="宋体" w:cs="宋体"/>
                <w:color w:val="auto"/>
                <w:highlight w:val="none"/>
                <w:lang w:val="en-US" w:eastAsia="zh-CN"/>
              </w:rPr>
              <w:t>工</w:t>
            </w:r>
            <w:r>
              <w:rPr>
                <w:rFonts w:hint="eastAsia" w:ascii="宋体" w:hAnsi="宋体" w:eastAsia="宋体" w:cs="宋体"/>
                <w:color w:val="auto"/>
                <w:highlight w:val="none"/>
                <w:lang w:val="en-US" w:eastAsia="zh-CN"/>
              </w:rPr>
              <w:t>程师、测量工程师，</w:t>
            </w:r>
            <w:r>
              <w:rPr>
                <w:rFonts w:hint="eastAsia" w:ascii="宋体" w:hAnsi="宋体" w:cs="宋体"/>
                <w:color w:val="auto"/>
                <w:highlight w:val="none"/>
                <w:lang w:val="en-US" w:eastAsia="zh-CN"/>
              </w:rPr>
              <w:t>每个</w:t>
            </w:r>
            <w:r>
              <w:rPr>
                <w:rFonts w:hint="eastAsia" w:ascii="宋体" w:hAnsi="宋体" w:eastAsia="宋体" w:cs="宋体"/>
                <w:color w:val="auto"/>
                <w:highlight w:val="none"/>
                <w:lang w:val="en-US" w:eastAsia="zh-CN"/>
              </w:rPr>
              <w:t>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每增加一名高级工程师或以上职称的电气工程师、测量工程师，</w:t>
            </w:r>
            <w:r>
              <w:rPr>
                <w:rFonts w:hint="eastAsia" w:ascii="宋体" w:hAnsi="宋体" w:cs="宋体"/>
                <w:color w:val="auto"/>
                <w:highlight w:val="none"/>
                <w:lang w:val="en-US" w:eastAsia="zh-CN"/>
              </w:rPr>
              <w:t>每个</w:t>
            </w:r>
            <w:r>
              <w:rPr>
                <w:rFonts w:hint="eastAsia" w:ascii="宋体" w:hAnsi="宋体" w:eastAsia="宋体" w:cs="宋体"/>
                <w:color w:val="auto"/>
                <w:highlight w:val="none"/>
                <w:lang w:val="en-US" w:eastAsia="zh-CN"/>
              </w:rPr>
              <w:t>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分。其余不得分，本项最</w:t>
            </w:r>
            <w:r>
              <w:rPr>
                <w:rFonts w:hint="eastAsia" w:ascii="宋体" w:hAnsi="宋体" w:cs="宋体"/>
                <w:color w:val="auto"/>
                <w:highlight w:val="none"/>
                <w:lang w:val="en-US" w:eastAsia="zh-CN"/>
              </w:rPr>
              <w:t>高</w:t>
            </w:r>
            <w:r>
              <w:rPr>
                <w:rFonts w:hint="eastAsia" w:ascii="宋体" w:hAnsi="宋体" w:eastAsia="宋体" w:cs="宋体"/>
                <w:color w:val="auto"/>
                <w:highlight w:val="none"/>
                <w:lang w:val="en-US" w:eastAsia="zh-CN"/>
              </w:rPr>
              <w:t>得</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分</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注：同一人员具有多个证书的，按最高等级计一次分。</w:t>
            </w:r>
          </w:p>
        </w:tc>
      </w:tr>
      <w:tr w14:paraId="18F24F06">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13" w:hRule="atLeast"/>
          <w:jc w:val="center"/>
        </w:trPr>
        <w:tc>
          <w:tcPr>
            <w:tcW w:w="929" w:type="dxa"/>
            <w:vMerge w:val="restart"/>
            <w:tcBorders>
              <w:tl2br w:val="nil"/>
              <w:tr2bl w:val="nil"/>
            </w:tcBorders>
            <w:noWrap w:val="0"/>
            <w:vAlign w:val="center"/>
          </w:tcPr>
          <w:p w14:paraId="078E46E2">
            <w:pPr>
              <w:widowControl/>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三、资信业绩评分（</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0分）</w:t>
            </w:r>
          </w:p>
        </w:tc>
        <w:tc>
          <w:tcPr>
            <w:tcW w:w="1569" w:type="dxa"/>
            <w:tcBorders>
              <w:tl2br w:val="nil"/>
              <w:tr2bl w:val="nil"/>
            </w:tcBorders>
            <w:noWrap w:val="0"/>
            <w:vAlign w:val="center"/>
          </w:tcPr>
          <w:p w14:paraId="32120249">
            <w:pPr>
              <w:snapToGrid w:val="0"/>
              <w:spacing w:line="28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完成业绩</w:t>
            </w:r>
          </w:p>
        </w:tc>
        <w:tc>
          <w:tcPr>
            <w:tcW w:w="654" w:type="dxa"/>
            <w:tcBorders>
              <w:tl2br w:val="nil"/>
              <w:tr2bl w:val="nil"/>
            </w:tcBorders>
            <w:noWrap w:val="0"/>
            <w:vAlign w:val="center"/>
          </w:tcPr>
          <w:p w14:paraId="2B289392">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12625" w:type="dxa"/>
            <w:tcBorders>
              <w:tl2br w:val="nil"/>
              <w:tr2bl w:val="nil"/>
            </w:tcBorders>
            <w:noWrap w:val="0"/>
            <w:vAlign w:val="center"/>
          </w:tcPr>
          <w:p w14:paraId="3C3224DE">
            <w:pPr>
              <w:spacing w:line="240" w:lineRule="auto"/>
              <w:ind w:right="134" w:rightChars="64"/>
              <w:rPr>
                <w:rFonts w:hint="eastAsia" w:ascii="宋体" w:hAnsi="宋体" w:eastAsia="宋体" w:cs="宋体"/>
                <w:bCs/>
                <w:color w:val="auto"/>
                <w:szCs w:val="21"/>
                <w:highlight w:val="none"/>
                <w:lang w:val="en-US" w:eastAsia="zh-CN"/>
              </w:rPr>
            </w:pPr>
            <w:r>
              <w:rPr>
                <w:rFonts w:hint="eastAsia" w:ascii="宋体" w:hAnsi="宋体" w:eastAsia="宋体" w:cs="宋体"/>
                <w:color w:val="auto"/>
                <w:szCs w:val="21"/>
                <w:highlight w:val="none"/>
                <w:lang w:val="en-US" w:eastAsia="zh-CN"/>
              </w:rPr>
              <w:t>投标人（若为联合体，指联合体牵头方）自2020年1月1日至投标截止时间止，在满足招标公告资格条件的基础上，投标人承接过质量合格的类似项目业绩</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每有1项得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分，本项最高得10分。</w:t>
            </w:r>
          </w:p>
        </w:tc>
      </w:tr>
      <w:tr w14:paraId="7DC78638">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13" w:hRule="atLeast"/>
          <w:jc w:val="center"/>
        </w:trPr>
        <w:tc>
          <w:tcPr>
            <w:tcW w:w="929" w:type="dxa"/>
            <w:vMerge w:val="continue"/>
            <w:tcBorders>
              <w:tl2br w:val="nil"/>
              <w:tr2bl w:val="nil"/>
            </w:tcBorders>
            <w:noWrap w:val="0"/>
            <w:vAlign w:val="center"/>
          </w:tcPr>
          <w:p w14:paraId="4B422F4C">
            <w:pPr>
              <w:spacing w:line="240" w:lineRule="auto"/>
              <w:ind w:right="134" w:rightChars="64"/>
              <w:rPr>
                <w:color w:val="auto"/>
                <w:highlight w:val="none"/>
              </w:rPr>
            </w:pPr>
          </w:p>
        </w:tc>
        <w:tc>
          <w:tcPr>
            <w:tcW w:w="1569" w:type="dxa"/>
            <w:tcBorders>
              <w:tl2br w:val="nil"/>
              <w:tr2bl w:val="nil"/>
            </w:tcBorders>
            <w:noWrap w:val="0"/>
            <w:vAlign w:val="center"/>
          </w:tcPr>
          <w:p w14:paraId="5501FA4D">
            <w:pPr>
              <w:snapToGrid w:val="0"/>
              <w:spacing w:line="28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业绩获奖</w:t>
            </w:r>
          </w:p>
        </w:tc>
        <w:tc>
          <w:tcPr>
            <w:tcW w:w="654" w:type="dxa"/>
            <w:tcBorders>
              <w:tl2br w:val="nil"/>
              <w:tr2bl w:val="nil"/>
            </w:tcBorders>
            <w:noWrap w:val="0"/>
            <w:vAlign w:val="center"/>
          </w:tcPr>
          <w:p w14:paraId="6B8DDF69">
            <w:pPr>
              <w:snapToGrid w:val="0"/>
              <w:spacing w:line="28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12625" w:type="dxa"/>
            <w:tcBorders>
              <w:tl2br w:val="nil"/>
              <w:tr2bl w:val="nil"/>
            </w:tcBorders>
            <w:noWrap w:val="0"/>
            <w:vAlign w:val="center"/>
          </w:tcPr>
          <w:p w14:paraId="0FB32A1D">
            <w:pPr>
              <w:spacing w:line="240" w:lineRule="auto"/>
              <w:ind w:right="134" w:rightChars="64"/>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投标人</w:t>
            </w:r>
            <w:r>
              <w:rPr>
                <w:rFonts w:hint="eastAsia" w:ascii="宋体" w:hAnsi="宋体" w:eastAsia="宋体" w:cs="宋体"/>
                <w:color w:val="auto"/>
                <w:szCs w:val="21"/>
                <w:highlight w:val="none"/>
                <w:lang w:val="en-US" w:eastAsia="zh-CN"/>
              </w:rPr>
              <w:t>（若为联合体，指联合体牵头方）</w:t>
            </w:r>
            <w:r>
              <w:rPr>
                <w:rFonts w:hint="eastAsia" w:ascii="宋体" w:hAnsi="宋体" w:cs="宋体"/>
                <w:color w:val="auto"/>
                <w:szCs w:val="21"/>
                <w:highlight w:val="none"/>
                <w:lang w:val="en-US" w:eastAsia="zh-CN"/>
              </w:rPr>
              <w:t>自2020年1月1日至今(以获奖证书发证日期为准)承建的类似项目获奖情况:</w:t>
            </w:r>
          </w:p>
          <w:p w14:paraId="429A1CD8">
            <w:pPr>
              <w:spacing w:line="240" w:lineRule="auto"/>
              <w:ind w:right="134" w:rightChars="64"/>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(1)获得过省(部)级或以上奖项的，每项得2分；</w:t>
            </w:r>
          </w:p>
          <w:p w14:paraId="480DB510">
            <w:pPr>
              <w:spacing w:line="240" w:lineRule="auto"/>
              <w:ind w:right="134" w:rightChars="64"/>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(2)获得过市(副省)级奖项每项得1分。</w:t>
            </w:r>
          </w:p>
          <w:p w14:paraId="0E29B6A1">
            <w:pPr>
              <w:spacing w:line="240" w:lineRule="auto"/>
              <w:ind w:right="134" w:rightChars="64"/>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注:本项最高累计得6分，不符合上述条件或未提供相关证明材料的不得分。</w:t>
            </w:r>
          </w:p>
        </w:tc>
      </w:tr>
      <w:tr w14:paraId="1EC87F21">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13" w:hRule="atLeast"/>
          <w:jc w:val="center"/>
        </w:trPr>
        <w:tc>
          <w:tcPr>
            <w:tcW w:w="929" w:type="dxa"/>
            <w:vMerge w:val="continue"/>
            <w:tcBorders>
              <w:tl2br w:val="nil"/>
              <w:tr2bl w:val="nil"/>
            </w:tcBorders>
            <w:noWrap w:val="0"/>
            <w:vAlign w:val="center"/>
          </w:tcPr>
          <w:p w14:paraId="66C054D0">
            <w:pPr>
              <w:spacing w:line="240" w:lineRule="auto"/>
              <w:ind w:right="134" w:rightChars="64"/>
              <w:rPr>
                <w:rFonts w:hint="eastAsia" w:ascii="宋体" w:hAnsi="宋体" w:eastAsia="宋体" w:cs="宋体"/>
                <w:color w:val="auto"/>
                <w:szCs w:val="21"/>
                <w:highlight w:val="none"/>
                <w:lang w:val="en-US" w:eastAsia="zh-CN"/>
              </w:rPr>
            </w:pPr>
          </w:p>
        </w:tc>
        <w:tc>
          <w:tcPr>
            <w:tcW w:w="1569" w:type="dxa"/>
            <w:tcBorders>
              <w:tl2br w:val="nil"/>
              <w:tr2bl w:val="nil"/>
            </w:tcBorders>
            <w:noWrap w:val="0"/>
            <w:vAlign w:val="center"/>
          </w:tcPr>
          <w:p w14:paraId="1CAAEBFC">
            <w:pPr>
              <w:snapToGrid w:val="0"/>
              <w:spacing w:line="28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研发能力</w:t>
            </w:r>
          </w:p>
        </w:tc>
        <w:tc>
          <w:tcPr>
            <w:tcW w:w="654" w:type="dxa"/>
            <w:tcBorders>
              <w:tl2br w:val="nil"/>
              <w:tr2bl w:val="nil"/>
            </w:tcBorders>
            <w:noWrap w:val="0"/>
            <w:vAlign w:val="center"/>
          </w:tcPr>
          <w:p w14:paraId="3EBA6673">
            <w:pPr>
              <w:snapToGrid w:val="0"/>
              <w:spacing w:line="28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12625" w:type="dxa"/>
            <w:tcBorders>
              <w:tl2br w:val="nil"/>
              <w:tr2bl w:val="nil"/>
            </w:tcBorders>
            <w:noWrap w:val="0"/>
            <w:vAlign w:val="center"/>
          </w:tcPr>
          <w:p w14:paraId="01D27117">
            <w:pPr>
              <w:spacing w:line="240" w:lineRule="auto"/>
              <w:ind w:right="134" w:rightChars="6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投标人（若为联合体，指联合体牵头方）自2020年1月1日至今，获得过应用于与城市与道路照明工程相关的省级(或以上)科学技术奖或科学技术进步奖或科技进步奖的，得4分。</w:t>
            </w:r>
          </w:p>
          <w:p w14:paraId="698D25F6">
            <w:pPr>
              <w:spacing w:line="240" w:lineRule="auto"/>
              <w:ind w:right="134" w:rightChars="6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注:本项最高得4分，不符合上述条件或未提供相关证明材料的不得分。</w:t>
            </w:r>
          </w:p>
        </w:tc>
      </w:tr>
      <w:tr w14:paraId="4617FA62">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70" w:hRule="atLeast"/>
          <w:jc w:val="center"/>
        </w:trPr>
        <w:tc>
          <w:tcPr>
            <w:tcW w:w="929" w:type="dxa"/>
            <w:tcBorders>
              <w:tl2br w:val="nil"/>
              <w:tr2bl w:val="nil"/>
            </w:tcBorders>
            <w:noWrap w:val="0"/>
            <w:vAlign w:val="center"/>
          </w:tcPr>
          <w:p w14:paraId="4ED27757">
            <w:pPr>
              <w:widowControl/>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四、现场答辩（20分）</w:t>
            </w:r>
          </w:p>
        </w:tc>
        <w:tc>
          <w:tcPr>
            <w:tcW w:w="1569" w:type="dxa"/>
            <w:tcBorders>
              <w:tl2br w:val="nil"/>
              <w:tr2bl w:val="nil"/>
            </w:tcBorders>
            <w:noWrap w:val="0"/>
            <w:vAlign w:val="center"/>
          </w:tcPr>
          <w:p w14:paraId="1C3A3BBB">
            <w:pPr>
              <w:widowControl/>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现场答辩</w:t>
            </w:r>
          </w:p>
        </w:tc>
        <w:tc>
          <w:tcPr>
            <w:tcW w:w="654" w:type="dxa"/>
            <w:tcBorders>
              <w:tl2br w:val="nil"/>
              <w:tr2bl w:val="nil"/>
            </w:tcBorders>
            <w:noWrap w:val="0"/>
            <w:vAlign w:val="center"/>
          </w:tcPr>
          <w:p w14:paraId="59C0018C">
            <w:pPr>
              <w:widowControl/>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12625" w:type="dxa"/>
            <w:tcBorders>
              <w:tl2br w:val="nil"/>
              <w:tr2bl w:val="nil"/>
            </w:tcBorders>
            <w:noWrap w:val="0"/>
            <w:vAlign w:val="center"/>
          </w:tcPr>
          <w:p w14:paraId="594D85CA">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lang w:val="en-US" w:eastAsia="zh-CN"/>
              </w:rPr>
              <w:t>委</w:t>
            </w:r>
            <w:r>
              <w:rPr>
                <w:rFonts w:hint="eastAsia" w:ascii="宋体" w:hAnsi="宋体" w:eastAsia="宋体" w:cs="宋体"/>
                <w:color w:val="auto"/>
                <w:highlight w:val="none"/>
              </w:rPr>
              <w:t>派本项目拟投入项目负责人和拟投入技术负责人组成答辩小组进行现场答辩：</w:t>
            </w:r>
          </w:p>
          <w:p w14:paraId="3FC697A2">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答辩小组对本项目履约能力与履约水平的介绍，介绍时间不超过10分钟；介绍内容包括但不限于：项目管理人员配备，施工安全、工期及质量管理，对本项目施工重点和难点的分析和应对措施。</w:t>
            </w:r>
          </w:p>
          <w:p w14:paraId="2424C5DF">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表现优秀得</w:t>
            </w:r>
            <w:r>
              <w:rPr>
                <w:rFonts w:hint="eastAsia" w:ascii="宋体" w:hAnsi="宋体" w:eastAsia="宋体" w:cs="宋体"/>
                <w:color w:val="auto"/>
                <w:sz w:val="21"/>
                <w:szCs w:val="21"/>
                <w:highlight w:val="none"/>
              </w:rPr>
              <w:t>[</w:t>
            </w:r>
            <w:r>
              <w:rPr>
                <w:rFonts w:hint="eastAsia" w:ascii="宋体" w:hAnsi="宋体" w:eastAsia="宋体" w:cs="宋体"/>
                <w:color w:val="auto"/>
                <w:spacing w:val="2"/>
                <w:sz w:val="21"/>
                <w:szCs w:val="21"/>
                <w:highlight w:val="none"/>
                <w:lang w:val="en-US" w:eastAsia="zh-CN"/>
              </w:rPr>
              <w:t>8</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lang w:val="en-US" w:eastAsia="zh-CN"/>
              </w:rPr>
              <w:t>10</w:t>
            </w:r>
            <w:r>
              <w:rPr>
                <w:rFonts w:hint="eastAsia" w:ascii="宋体" w:hAnsi="宋体" w:eastAsia="宋体" w:cs="宋体"/>
                <w:color w:val="auto"/>
                <w:spacing w:val="2"/>
                <w:sz w:val="21"/>
                <w:szCs w:val="21"/>
                <w:highlight w:val="none"/>
              </w:rPr>
              <w:t>]</w:t>
            </w:r>
            <w:r>
              <w:rPr>
                <w:rFonts w:hint="eastAsia" w:ascii="宋体" w:hAnsi="宋体" w:eastAsia="宋体" w:cs="宋体"/>
                <w:color w:val="auto"/>
                <w:highlight w:val="none"/>
              </w:rPr>
              <w:t>分，良好得</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lang w:val="en-US" w:eastAsia="zh-CN"/>
              </w:rPr>
              <w:t>6</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lang w:val="en-US" w:eastAsia="zh-CN"/>
              </w:rPr>
              <w:t>8</w:t>
            </w:r>
            <w:r>
              <w:rPr>
                <w:rFonts w:hint="eastAsia" w:ascii="宋体" w:hAnsi="宋体" w:eastAsia="宋体" w:cs="宋体"/>
                <w:color w:val="auto"/>
                <w:spacing w:val="2"/>
                <w:sz w:val="21"/>
                <w:szCs w:val="21"/>
                <w:highlight w:val="none"/>
              </w:rPr>
              <w:t>)</w:t>
            </w:r>
            <w:r>
              <w:rPr>
                <w:rFonts w:hint="eastAsia" w:ascii="宋体" w:hAnsi="宋体" w:eastAsia="宋体" w:cs="宋体"/>
                <w:color w:val="auto"/>
                <w:highlight w:val="none"/>
              </w:rPr>
              <w:t>分，一般得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pacing w:val="2"/>
                <w:sz w:val="21"/>
                <w:szCs w:val="21"/>
                <w:highlight w:val="none"/>
                <w:lang w:val="en-US" w:eastAsia="zh-CN"/>
              </w:rPr>
              <w:t>6</w:t>
            </w:r>
            <w:r>
              <w:rPr>
                <w:rFonts w:hint="eastAsia" w:ascii="宋体" w:hAnsi="宋体" w:eastAsia="宋体" w:cs="宋体"/>
                <w:color w:val="auto"/>
                <w:spacing w:val="2"/>
                <w:sz w:val="21"/>
                <w:szCs w:val="21"/>
                <w:highlight w:val="none"/>
              </w:rPr>
              <w:t>]</w:t>
            </w:r>
            <w:r>
              <w:rPr>
                <w:rFonts w:hint="eastAsia" w:ascii="宋体" w:hAnsi="宋体" w:eastAsia="宋体" w:cs="宋体"/>
                <w:color w:val="auto"/>
                <w:highlight w:val="none"/>
              </w:rPr>
              <w:t>分。本小项最高得</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w:t>
            </w:r>
          </w:p>
          <w:p w14:paraId="0AC3DE6A">
            <w:pPr>
              <w:numPr>
                <w:ilvl w:val="0"/>
                <w:numId w:val="0"/>
              </w:num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答辩小组就本项目接受评标委员会提问并进行回答：表现优秀得</w:t>
            </w:r>
            <w:r>
              <w:rPr>
                <w:rFonts w:hint="eastAsia" w:ascii="宋体" w:hAnsi="宋体" w:eastAsia="宋体" w:cs="宋体"/>
                <w:color w:val="auto"/>
                <w:sz w:val="21"/>
                <w:szCs w:val="21"/>
                <w:highlight w:val="none"/>
              </w:rPr>
              <w:t>[</w:t>
            </w:r>
            <w:r>
              <w:rPr>
                <w:rFonts w:hint="eastAsia" w:ascii="宋体" w:hAnsi="宋体" w:eastAsia="宋体" w:cs="宋体"/>
                <w:color w:val="auto"/>
                <w:spacing w:val="2"/>
                <w:sz w:val="21"/>
                <w:szCs w:val="21"/>
                <w:highlight w:val="none"/>
                <w:lang w:val="en-US" w:eastAsia="zh-CN"/>
              </w:rPr>
              <w:t>8</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lang w:val="en-US" w:eastAsia="zh-CN"/>
              </w:rPr>
              <w:t>10</w:t>
            </w:r>
            <w:r>
              <w:rPr>
                <w:rFonts w:hint="eastAsia" w:ascii="宋体" w:hAnsi="宋体" w:eastAsia="宋体" w:cs="宋体"/>
                <w:color w:val="auto"/>
                <w:spacing w:val="2"/>
                <w:sz w:val="21"/>
                <w:szCs w:val="21"/>
                <w:highlight w:val="none"/>
              </w:rPr>
              <w:t>]</w:t>
            </w:r>
            <w:r>
              <w:rPr>
                <w:rFonts w:hint="eastAsia" w:ascii="宋体" w:hAnsi="宋体" w:eastAsia="宋体" w:cs="宋体"/>
                <w:color w:val="auto"/>
                <w:highlight w:val="none"/>
              </w:rPr>
              <w:t>分，良好得</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lang w:val="en-US" w:eastAsia="zh-CN"/>
              </w:rPr>
              <w:t>6</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lang w:val="en-US" w:eastAsia="zh-CN"/>
              </w:rPr>
              <w:t>8</w:t>
            </w:r>
            <w:r>
              <w:rPr>
                <w:rFonts w:hint="eastAsia" w:ascii="宋体" w:hAnsi="宋体" w:eastAsia="宋体" w:cs="宋体"/>
                <w:color w:val="auto"/>
                <w:spacing w:val="2"/>
                <w:sz w:val="21"/>
                <w:szCs w:val="21"/>
                <w:highlight w:val="none"/>
              </w:rPr>
              <w:t>)</w:t>
            </w:r>
            <w:r>
              <w:rPr>
                <w:rFonts w:hint="eastAsia" w:ascii="宋体" w:hAnsi="宋体" w:eastAsia="宋体" w:cs="宋体"/>
                <w:color w:val="auto"/>
                <w:highlight w:val="none"/>
              </w:rPr>
              <w:t>分，一般得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pacing w:val="2"/>
                <w:sz w:val="21"/>
                <w:szCs w:val="21"/>
                <w:highlight w:val="none"/>
                <w:lang w:val="en-US" w:eastAsia="zh-CN"/>
              </w:rPr>
              <w:t>6</w:t>
            </w:r>
            <w:r>
              <w:rPr>
                <w:rFonts w:hint="eastAsia" w:ascii="宋体" w:hAnsi="宋体" w:eastAsia="宋体" w:cs="宋体"/>
                <w:color w:val="auto"/>
                <w:spacing w:val="2"/>
                <w:sz w:val="21"/>
                <w:szCs w:val="21"/>
                <w:highlight w:val="none"/>
              </w:rPr>
              <w:t>]</w:t>
            </w:r>
            <w:r>
              <w:rPr>
                <w:rFonts w:hint="eastAsia" w:ascii="宋体" w:hAnsi="宋体" w:eastAsia="宋体" w:cs="宋体"/>
                <w:color w:val="auto"/>
                <w:highlight w:val="none"/>
              </w:rPr>
              <w:t>分。本小项最高得</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w:t>
            </w:r>
          </w:p>
          <w:p w14:paraId="7216DDE8">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投标人答辩小组</w:t>
            </w:r>
            <w:r>
              <w:rPr>
                <w:rFonts w:hint="eastAsia" w:ascii="宋体" w:hAnsi="宋体" w:eastAsia="宋体" w:cs="宋体"/>
                <w:color w:val="auto"/>
                <w:highlight w:val="none"/>
                <w:lang w:val="en-US" w:eastAsia="zh-CN"/>
              </w:rPr>
              <w:t>中任一人</w:t>
            </w:r>
            <w:r>
              <w:rPr>
                <w:rFonts w:hint="eastAsia" w:ascii="宋体" w:hAnsi="宋体" w:eastAsia="宋体" w:cs="宋体"/>
                <w:color w:val="auto"/>
                <w:highlight w:val="none"/>
              </w:rPr>
              <w:t>未参加现场答辩，以上两项均为0分。</w:t>
            </w:r>
          </w:p>
        </w:tc>
      </w:tr>
      <w:tr w14:paraId="1307244A">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70" w:hRule="atLeast"/>
          <w:jc w:val="center"/>
        </w:trPr>
        <w:tc>
          <w:tcPr>
            <w:tcW w:w="2498" w:type="dxa"/>
            <w:gridSpan w:val="2"/>
            <w:tcBorders>
              <w:tl2br w:val="nil"/>
              <w:tr2bl w:val="nil"/>
            </w:tcBorders>
            <w:noWrap w:val="0"/>
            <w:vAlign w:val="center"/>
          </w:tcPr>
          <w:p w14:paraId="7CABC09D">
            <w:pPr>
              <w:widowControl/>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合计（一+二</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w:t>
            </w:r>
          </w:p>
        </w:tc>
        <w:tc>
          <w:tcPr>
            <w:tcW w:w="654" w:type="dxa"/>
            <w:tcBorders>
              <w:tl2br w:val="nil"/>
              <w:tr2bl w:val="nil"/>
            </w:tcBorders>
            <w:noWrap w:val="0"/>
            <w:vAlign w:val="center"/>
          </w:tcPr>
          <w:p w14:paraId="080A7DC9">
            <w:pPr>
              <w:widowControl/>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100</w:t>
            </w:r>
          </w:p>
        </w:tc>
        <w:tc>
          <w:tcPr>
            <w:tcW w:w="12625" w:type="dxa"/>
            <w:tcBorders>
              <w:tl2br w:val="nil"/>
              <w:tr2bl w:val="nil"/>
            </w:tcBorders>
            <w:noWrap w:val="0"/>
            <w:vAlign w:val="center"/>
          </w:tcPr>
          <w:p w14:paraId="013763EA">
            <w:pPr>
              <w:adjustRightInd w:val="0"/>
              <w:snapToGrid w:val="0"/>
              <w:rPr>
                <w:rFonts w:hint="eastAsia" w:ascii="宋体" w:hAnsi="宋体" w:eastAsia="宋体" w:cs="宋体"/>
                <w:color w:val="auto"/>
                <w:szCs w:val="21"/>
                <w:highlight w:val="none"/>
              </w:rPr>
            </w:pPr>
          </w:p>
        </w:tc>
      </w:tr>
    </w:tbl>
    <w:p w14:paraId="62F9FB61">
      <w:pPr>
        <w:pStyle w:val="1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00" w:firstLineChars="200"/>
        <w:jc w:val="both"/>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备注</w:t>
      </w:r>
      <w:r>
        <w:rPr>
          <w:rFonts w:hint="eastAsia" w:ascii="宋体" w:hAnsi="宋体" w:eastAsia="宋体" w:cs="宋体"/>
          <w:color w:val="auto"/>
          <w:sz w:val="20"/>
          <w:szCs w:val="20"/>
          <w:highlight w:val="none"/>
          <w:lang w:eastAsia="zh-CN"/>
        </w:rPr>
        <w:t>：</w:t>
      </w:r>
    </w:p>
    <w:p w14:paraId="59AB88B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02" w:firstLineChars="200"/>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1.</w:t>
      </w:r>
      <w:r>
        <w:rPr>
          <w:rFonts w:hint="eastAsia" w:ascii="宋体" w:hAnsi="宋体" w:eastAsia="宋体" w:cs="宋体"/>
          <w:color w:val="auto"/>
          <w:sz w:val="20"/>
          <w:szCs w:val="20"/>
          <w:highlight w:val="none"/>
        </w:rPr>
        <w:t>评委对业绩认定意见不一致时，则由招标人或招标代理解释招标文件后，评委讨论业绩认定标准；经讨论后标准仍不时，则按少数服从多数处理。按少数服从多数仍不能形成一致意见时，对评标结果有不同意见的评标委员会成员应当以书面形式说明其不同意见和理由，评标报告应当注明该不同意见。评标委员会成员拒绝在评标报告上签字又不书面说明其不同意见和理由的，视为同意评标结果。</w:t>
      </w:r>
    </w:p>
    <w:p w14:paraId="2C1267E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02" w:firstLineChars="200"/>
        <w:textAlignment w:val="auto"/>
        <w:rPr>
          <w:rFonts w:hint="eastAsia" w:ascii="宋体" w:hAnsi="宋体" w:eastAsia="宋体" w:cs="宋体"/>
          <w:b/>
          <w:color w:val="auto"/>
          <w:sz w:val="20"/>
          <w:szCs w:val="20"/>
          <w:highlight w:val="none"/>
        </w:rPr>
      </w:pPr>
      <w:r>
        <w:rPr>
          <w:rFonts w:hint="eastAsia" w:ascii="宋体" w:hAnsi="宋体" w:eastAsia="宋体" w:cs="宋体"/>
          <w:b/>
          <w:bCs/>
          <w:color w:val="auto"/>
          <w:sz w:val="20"/>
          <w:szCs w:val="20"/>
          <w:highlight w:val="none"/>
        </w:rPr>
        <w:t>2.</w:t>
      </w:r>
      <w:r>
        <w:rPr>
          <w:rFonts w:hint="eastAsia" w:ascii="宋体" w:hAnsi="宋体" w:eastAsia="宋体" w:cs="宋体"/>
          <w:b/>
          <w:color w:val="auto"/>
          <w:sz w:val="20"/>
          <w:szCs w:val="20"/>
          <w:highlight w:val="none"/>
        </w:rPr>
        <w:t>项目管理机构能力：</w:t>
      </w:r>
    </w:p>
    <w:p w14:paraId="62899DF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00" w:firstLineChars="200"/>
        <w:textAlignment w:val="auto"/>
        <w:rPr>
          <w:rFonts w:hint="default" w:ascii="宋体" w:hAnsi="宋体" w:eastAsia="宋体" w:cs="宋体"/>
          <w:color w:val="auto"/>
          <w:kern w:val="0"/>
          <w:sz w:val="20"/>
          <w:szCs w:val="20"/>
          <w:highlight w:val="none"/>
          <w:lang w:val="en-US" w:eastAsia="zh-CN"/>
        </w:rPr>
      </w:pPr>
      <w:r>
        <w:rPr>
          <w:rFonts w:hint="eastAsia" w:ascii="宋体" w:hAnsi="宋体" w:eastAsia="宋体" w:cs="宋体"/>
          <w:bCs/>
          <w:color w:val="auto"/>
          <w:sz w:val="20"/>
          <w:szCs w:val="20"/>
          <w:highlight w:val="none"/>
        </w:rPr>
        <w:t>①项目管理机构人员的岗位不能相互兼任，项目管理机构人员仅指投标人自身人员（不含分支机构、分公司、子公司）</w:t>
      </w:r>
      <w:r>
        <w:rPr>
          <w:rFonts w:hint="eastAsia" w:ascii="宋体" w:hAnsi="宋体" w:cs="宋体"/>
          <w:bCs/>
          <w:color w:val="auto"/>
          <w:sz w:val="20"/>
          <w:szCs w:val="20"/>
          <w:highlight w:val="none"/>
          <w:lang w:eastAsia="zh-CN"/>
        </w:rPr>
        <w:t>。</w:t>
      </w:r>
      <w:r>
        <w:rPr>
          <w:rFonts w:hint="eastAsia" w:ascii="宋体" w:hAnsi="宋体" w:eastAsia="宋体" w:cs="宋体"/>
          <w:bCs/>
          <w:color w:val="auto"/>
          <w:sz w:val="20"/>
          <w:szCs w:val="20"/>
          <w:highlight w:val="none"/>
        </w:rPr>
        <w:t>若投标人为联合体，除项目负责人、技术负责人、专职安全员</w:t>
      </w:r>
      <w:r>
        <w:rPr>
          <w:rFonts w:hint="eastAsia" w:ascii="宋体" w:hAnsi="宋体" w:cs="宋体"/>
          <w:bCs/>
          <w:color w:val="auto"/>
          <w:sz w:val="20"/>
          <w:szCs w:val="20"/>
          <w:highlight w:val="none"/>
          <w:lang w:eastAsia="zh-CN"/>
        </w:rPr>
        <w:t>、</w:t>
      </w:r>
      <w:r>
        <w:rPr>
          <w:rFonts w:hint="eastAsia" w:ascii="宋体" w:hAnsi="宋体" w:eastAsia="宋体" w:cs="宋体"/>
          <w:color w:val="auto"/>
          <w:szCs w:val="21"/>
          <w:highlight w:val="none"/>
        </w:rPr>
        <w:t>安全负责人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质量负责人、</w:t>
      </w:r>
      <w:r>
        <w:rPr>
          <w:rFonts w:hint="eastAsia" w:ascii="宋体" w:hAnsi="宋体" w:eastAsia="宋体" w:cs="宋体"/>
          <w:color w:val="auto"/>
          <w:szCs w:val="21"/>
          <w:highlight w:val="none"/>
        </w:rPr>
        <w:t>造价负责人</w:t>
      </w:r>
      <w:r>
        <w:rPr>
          <w:rFonts w:hint="eastAsia" w:ascii="宋体" w:hAnsi="宋体" w:eastAsia="宋体" w:cs="宋体"/>
          <w:bCs/>
          <w:color w:val="auto"/>
          <w:sz w:val="20"/>
          <w:szCs w:val="20"/>
          <w:highlight w:val="none"/>
        </w:rPr>
        <w:t>必须由联合体牵头方提供外，其余人员可由联合体各方共同提供。</w:t>
      </w:r>
    </w:p>
    <w:p w14:paraId="50EBDD9F">
      <w:pPr>
        <w:keepNext w:val="0"/>
        <w:keepLines w:val="0"/>
        <w:pageBreakBefore w:val="0"/>
        <w:widowControl w:val="0"/>
        <w:tabs>
          <w:tab w:val="left" w:pos="360"/>
        </w:tabs>
        <w:kinsoku/>
        <w:wordWrap/>
        <w:overflowPunct/>
        <w:topLinePunct w:val="0"/>
        <w:autoSpaceDE/>
        <w:autoSpaceDN/>
        <w:bidi w:val="0"/>
        <w:adjustRightInd/>
        <w:snapToGrid/>
        <w:spacing w:line="240" w:lineRule="auto"/>
        <w:ind w:left="0" w:leftChars="0" w:right="0" w:rightChars="0" w:firstLine="400" w:firstLineChars="200"/>
        <w:textAlignment w:val="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②一级注册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土建或安装专业），并经注册且在有效期内的，等同于一级注册造价工程师。</w:t>
      </w:r>
    </w:p>
    <w:p w14:paraId="74B373AD">
      <w:pPr>
        <w:keepNext w:val="0"/>
        <w:keepLines w:val="0"/>
        <w:pageBreakBefore w:val="0"/>
        <w:widowControl w:val="0"/>
        <w:tabs>
          <w:tab w:val="left" w:pos="360"/>
        </w:tabs>
        <w:kinsoku/>
        <w:wordWrap/>
        <w:overflowPunct/>
        <w:topLinePunct w:val="0"/>
        <w:autoSpaceDE/>
        <w:autoSpaceDN/>
        <w:bidi w:val="0"/>
        <w:adjustRightInd/>
        <w:snapToGrid/>
        <w:spacing w:line="240" w:lineRule="auto"/>
        <w:ind w:left="0" w:leftChars="0" w:right="0" w:rightChars="0" w:firstLine="400" w:firstLineChars="200"/>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bCs/>
          <w:color w:val="auto"/>
          <w:sz w:val="20"/>
          <w:szCs w:val="20"/>
          <w:highlight w:val="none"/>
        </w:rPr>
        <w:t>③项目管理机构人员须提供</w:t>
      </w:r>
      <w:r>
        <w:rPr>
          <w:rFonts w:hint="eastAsia" w:ascii="宋体" w:hAnsi="宋体" w:eastAsia="宋体" w:cs="宋体"/>
          <w:bCs/>
          <w:color w:val="auto"/>
          <w:sz w:val="20"/>
          <w:szCs w:val="20"/>
          <w:highlight w:val="none"/>
          <w:lang w:val="en-US" w:eastAsia="zh-CN"/>
        </w:rPr>
        <w:t>身份证、</w:t>
      </w:r>
      <w:r>
        <w:rPr>
          <w:rFonts w:hint="eastAsia" w:ascii="宋体" w:hAnsi="宋体" w:eastAsia="宋体" w:cs="宋体"/>
          <w:bCs/>
          <w:color w:val="auto"/>
          <w:sz w:val="20"/>
          <w:szCs w:val="20"/>
          <w:highlight w:val="none"/>
        </w:rPr>
        <w:t>相</w:t>
      </w:r>
      <w:r>
        <w:rPr>
          <w:rFonts w:hint="eastAsia" w:ascii="宋体" w:hAnsi="宋体" w:eastAsia="宋体" w:cs="宋体"/>
          <w:color w:val="auto"/>
          <w:sz w:val="20"/>
          <w:szCs w:val="20"/>
          <w:highlight w:val="none"/>
        </w:rPr>
        <w:t>一致</w:t>
      </w:r>
      <w:r>
        <w:rPr>
          <w:rFonts w:hint="eastAsia" w:ascii="宋体" w:hAnsi="宋体" w:eastAsia="宋体" w:cs="宋体"/>
          <w:bCs/>
          <w:color w:val="auto"/>
          <w:sz w:val="20"/>
          <w:szCs w:val="20"/>
          <w:highlight w:val="none"/>
        </w:rPr>
        <w:t>应职称证书（如有）、岗位证书（如有）、注册证书（如有）和开标前在本单位任职近一个月</w:t>
      </w:r>
      <w:r>
        <w:rPr>
          <w:rFonts w:hint="eastAsia" w:ascii="宋体" w:hAnsi="宋体" w:eastAsia="宋体" w:cs="宋体"/>
          <w:bCs/>
          <w:color w:val="auto"/>
          <w:sz w:val="20"/>
          <w:szCs w:val="20"/>
          <w:highlight w:val="none"/>
          <w:lang w:eastAsia="zh-CN"/>
        </w:rPr>
        <w:t>（</w:t>
      </w:r>
      <w:r>
        <w:rPr>
          <w:rFonts w:hint="eastAsia" w:ascii="宋体" w:hAnsi="宋体" w:eastAsia="宋体" w:cs="宋体"/>
          <w:bCs/>
          <w:color w:val="auto"/>
          <w:sz w:val="20"/>
          <w:szCs w:val="20"/>
          <w:highlight w:val="none"/>
          <w:lang w:val="en-US" w:eastAsia="zh-CN"/>
        </w:rPr>
        <w:t>2025年</w:t>
      </w:r>
      <w:r>
        <w:rPr>
          <w:rFonts w:hint="eastAsia" w:ascii="宋体" w:hAnsi="宋体" w:cs="宋体"/>
          <w:bCs/>
          <w:color w:val="auto"/>
          <w:sz w:val="20"/>
          <w:szCs w:val="20"/>
          <w:highlight w:val="none"/>
          <w:lang w:val="en-US" w:eastAsia="zh-CN"/>
        </w:rPr>
        <w:t>5</w:t>
      </w:r>
      <w:r>
        <w:rPr>
          <w:rFonts w:hint="eastAsia" w:ascii="宋体" w:hAnsi="宋体" w:eastAsia="宋体" w:cs="宋体"/>
          <w:bCs/>
          <w:color w:val="auto"/>
          <w:sz w:val="20"/>
          <w:szCs w:val="20"/>
          <w:highlight w:val="none"/>
          <w:lang w:val="en-US" w:eastAsia="zh-CN"/>
        </w:rPr>
        <w:t>月</w:t>
      </w:r>
      <w:r>
        <w:rPr>
          <w:rFonts w:hint="eastAsia" w:ascii="宋体" w:hAnsi="宋体" w:eastAsia="宋体" w:cs="宋体"/>
          <w:bCs/>
          <w:color w:val="auto"/>
          <w:sz w:val="20"/>
          <w:szCs w:val="20"/>
          <w:highlight w:val="none"/>
          <w:lang w:eastAsia="zh-CN"/>
        </w:rPr>
        <w:t>）</w:t>
      </w:r>
      <w:r>
        <w:rPr>
          <w:rFonts w:hint="eastAsia" w:ascii="宋体" w:hAnsi="宋体" w:eastAsia="宋体" w:cs="宋体"/>
          <w:bCs/>
          <w:color w:val="auto"/>
          <w:sz w:val="20"/>
          <w:szCs w:val="20"/>
          <w:highlight w:val="none"/>
        </w:rPr>
        <w:t>由社保管理机构出具的社保缴纳证明材料扫描件。未提供或所提供的证明资料不符合要求的，则该评分节点不予评审。</w:t>
      </w:r>
    </w:p>
    <w:p w14:paraId="112E56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02" w:firstLineChars="200"/>
        <w:textAlignment w:val="auto"/>
        <w:rPr>
          <w:rFonts w:hint="eastAsia" w:ascii="宋体" w:hAnsi="宋体" w:eastAsia="宋体" w:cs="宋体"/>
          <w:bCs/>
          <w:color w:val="auto"/>
          <w:sz w:val="20"/>
          <w:szCs w:val="20"/>
          <w:highlight w:val="none"/>
        </w:rPr>
      </w:pPr>
      <w:r>
        <w:rPr>
          <w:rFonts w:hint="eastAsia" w:ascii="宋体" w:hAnsi="宋体" w:eastAsia="宋体" w:cs="宋体"/>
          <w:b/>
          <w:bCs/>
          <w:color w:val="auto"/>
          <w:sz w:val="20"/>
          <w:szCs w:val="20"/>
          <w:highlight w:val="none"/>
        </w:rPr>
        <w:t>3.类似工程</w:t>
      </w:r>
      <w:r>
        <w:rPr>
          <w:rFonts w:hint="eastAsia" w:ascii="宋体" w:hAnsi="宋体" w:eastAsia="宋体" w:cs="宋体"/>
          <w:b/>
          <w:bCs/>
          <w:color w:val="auto"/>
          <w:sz w:val="20"/>
          <w:szCs w:val="20"/>
          <w:highlight w:val="none"/>
          <w:lang w:val="en-US" w:eastAsia="zh-CN"/>
        </w:rPr>
        <w:t>业绩：</w:t>
      </w:r>
      <w:r>
        <w:rPr>
          <w:rFonts w:hint="eastAsia" w:ascii="宋体" w:hAnsi="宋体" w:eastAsia="宋体" w:cs="宋体"/>
          <w:bCs/>
          <w:color w:val="auto"/>
          <w:sz w:val="20"/>
          <w:szCs w:val="20"/>
          <w:highlight w:val="none"/>
        </w:rPr>
        <w:t>类似工程是指</w:t>
      </w:r>
      <w:r>
        <w:rPr>
          <w:rFonts w:hint="eastAsia" w:ascii="宋体" w:hAnsi="宋体" w:eastAsia="宋体" w:cs="宋体"/>
          <w:bCs/>
          <w:color w:val="auto"/>
          <w:sz w:val="20"/>
          <w:szCs w:val="20"/>
          <w:highlight w:val="none"/>
          <w:lang w:val="en-US" w:eastAsia="zh-CN"/>
        </w:rPr>
        <w:t>金额大于等于1700万元的城市及道路照明工程施工专业承包（包括但不限于路灯、灯光、泛光照明、亮化、光环境等相关室外空间照明施工工程，室内空间照明工程及照明维修养护类不予认定）</w:t>
      </w:r>
      <w:r>
        <w:rPr>
          <w:rFonts w:hint="eastAsia" w:ascii="宋体" w:hAnsi="宋体" w:eastAsia="宋体" w:cs="宋体"/>
          <w:bCs/>
          <w:color w:val="auto"/>
          <w:sz w:val="20"/>
          <w:szCs w:val="20"/>
          <w:highlight w:val="none"/>
        </w:rPr>
        <w:t>）。</w:t>
      </w:r>
    </w:p>
    <w:p w14:paraId="4DE74E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00" w:firstLineChars="200"/>
        <w:textAlignment w:val="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①</w:t>
      </w:r>
      <w:r>
        <w:rPr>
          <w:rFonts w:hint="eastAsia" w:ascii="宋体" w:hAnsi="宋体" w:eastAsia="宋体" w:cs="宋体"/>
          <w:bCs/>
          <w:color w:val="auto"/>
          <w:sz w:val="20"/>
          <w:szCs w:val="20"/>
          <w:highlight w:val="none"/>
          <w:lang w:eastAsia="zh-CN"/>
        </w:rPr>
        <w:t>类似工程</w:t>
      </w:r>
      <w:r>
        <w:rPr>
          <w:rFonts w:hint="eastAsia" w:ascii="宋体" w:hAnsi="宋体" w:eastAsia="宋体" w:cs="宋体"/>
          <w:bCs/>
          <w:color w:val="auto"/>
          <w:sz w:val="20"/>
          <w:szCs w:val="20"/>
          <w:highlight w:val="none"/>
        </w:rPr>
        <w:t>业绩金额：单独发包的专业工程的业绩金额以中标通知书为准，中标通知书上没有金额或免招标的，以施工合同（不含补充合同）为准。如中标通知书未能体现对应的专业工程金额，则以施工合同载明的对应的专业工程金额为准，如中标通知书与施工合同均不能单独体现对应的专业工程金额，则以建设单位提供的证明资料中载明的对应专业金额为准。由总承包单位依法分包的专业工程业绩其金额以分包合同中约定的合同金额为准。</w:t>
      </w:r>
    </w:p>
    <w:p w14:paraId="1910FB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00" w:firstLineChars="200"/>
        <w:textAlignment w:val="auto"/>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rPr>
        <w:t>②业绩完成时间：施工专业承包项目</w:t>
      </w:r>
      <w:r>
        <w:rPr>
          <w:rFonts w:hint="eastAsia" w:ascii="宋体" w:hAnsi="宋体" w:eastAsia="宋体" w:cs="宋体"/>
          <w:bCs/>
          <w:color w:val="auto"/>
          <w:sz w:val="20"/>
          <w:szCs w:val="20"/>
          <w:highlight w:val="none"/>
          <w:lang w:val="en-US" w:eastAsia="zh-CN"/>
        </w:rPr>
        <w:t>以验收记录时间为准，</w:t>
      </w:r>
      <w:r>
        <w:rPr>
          <w:rFonts w:hint="eastAsia" w:ascii="宋体" w:hAnsi="宋体" w:eastAsia="宋体" w:cs="宋体"/>
          <w:bCs/>
          <w:color w:val="auto"/>
          <w:sz w:val="20"/>
          <w:szCs w:val="20"/>
          <w:highlight w:val="none"/>
        </w:rPr>
        <w:t>由总承包单位依法分包的专业工程完成时间以子分部工程质量验收记录时间为准。验收记录至少具有建设单位、设计、施工和监理单位盖章</w:t>
      </w:r>
      <w:r>
        <w:rPr>
          <w:rFonts w:hint="eastAsia" w:ascii="宋体" w:hAnsi="宋体" w:eastAsia="宋体" w:cs="宋体"/>
          <w:bCs/>
          <w:color w:val="auto"/>
          <w:sz w:val="20"/>
          <w:szCs w:val="20"/>
          <w:highlight w:val="none"/>
          <w:lang w:eastAsia="zh-CN"/>
        </w:rPr>
        <w:t>。</w:t>
      </w:r>
    </w:p>
    <w:p w14:paraId="4A4592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00" w:firstLineChars="200"/>
        <w:textAlignment w:val="auto"/>
        <w:rPr>
          <w:rFonts w:hint="eastAsia" w:ascii="宋体" w:hAnsi="宋体" w:eastAsia="宋体" w:cs="宋体"/>
          <w:bCs/>
          <w:color w:val="auto"/>
          <w:sz w:val="20"/>
          <w:szCs w:val="20"/>
          <w:highlight w:val="none"/>
          <w:lang w:val="en-US" w:eastAsia="zh-CN"/>
        </w:rPr>
      </w:pPr>
      <w:r>
        <w:rPr>
          <w:rFonts w:hint="eastAsia" w:ascii="宋体" w:hAnsi="宋体" w:eastAsia="宋体" w:cs="宋体"/>
          <w:bCs/>
          <w:color w:val="auto"/>
          <w:sz w:val="20"/>
          <w:szCs w:val="20"/>
          <w:highlight w:val="none"/>
          <w:lang w:eastAsia="zh-CN"/>
        </w:rPr>
        <w:t>③</w:t>
      </w:r>
      <w:r>
        <w:rPr>
          <w:rFonts w:hint="eastAsia" w:ascii="宋体" w:hAnsi="宋体" w:eastAsia="宋体" w:cs="宋体"/>
          <w:bCs/>
          <w:color w:val="auto"/>
          <w:sz w:val="20"/>
          <w:szCs w:val="20"/>
          <w:highlight w:val="none"/>
        </w:rPr>
        <w:t>业绩不符合上述要求的或工程资质内容与施工合同等业绩证明资料不相符的，该项业绩不予认定。</w:t>
      </w:r>
    </w:p>
    <w:p w14:paraId="2255B3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02" w:firstLineChars="200"/>
        <w:textAlignment w:val="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4.</w:t>
      </w:r>
      <w:r>
        <w:rPr>
          <w:rFonts w:hint="eastAsia" w:ascii="宋体" w:hAnsi="宋体" w:eastAsia="宋体" w:cs="宋体"/>
          <w:b/>
          <w:bCs/>
          <w:color w:val="auto"/>
          <w:sz w:val="20"/>
          <w:szCs w:val="20"/>
          <w:highlight w:val="none"/>
          <w:lang w:val="en-US" w:eastAsia="zh-CN"/>
        </w:rPr>
        <w:t>类似工程</w:t>
      </w:r>
      <w:r>
        <w:rPr>
          <w:rFonts w:hint="eastAsia" w:ascii="宋体" w:hAnsi="宋体" w:eastAsia="宋体" w:cs="宋体"/>
          <w:b/>
          <w:bCs/>
          <w:color w:val="auto"/>
          <w:sz w:val="20"/>
          <w:szCs w:val="20"/>
          <w:highlight w:val="none"/>
        </w:rPr>
        <w:t>获奖：</w:t>
      </w:r>
    </w:p>
    <w:p w14:paraId="2365D3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00" w:firstLineChars="200"/>
        <w:textAlignment w:val="auto"/>
        <w:rPr>
          <w:rFonts w:hint="eastAsia" w:ascii="宋体" w:hAnsi="宋体" w:eastAsia="宋体" w:cs="宋体"/>
          <w:color w:val="auto"/>
          <w:kern w:val="0"/>
          <w:sz w:val="20"/>
          <w:szCs w:val="20"/>
          <w:highlight w:val="none"/>
        </w:rPr>
      </w:pPr>
      <w:r>
        <w:rPr>
          <w:rStyle w:val="132"/>
          <w:rFonts w:hint="eastAsia" w:ascii="宋体" w:hAnsi="宋体" w:eastAsia="宋体" w:cs="宋体"/>
          <w:color w:val="auto"/>
          <w:sz w:val="20"/>
          <w:szCs w:val="20"/>
          <w:highlight w:val="none"/>
        </w:rPr>
        <w:t>是指</w:t>
      </w:r>
      <w:r>
        <w:rPr>
          <w:rFonts w:hint="eastAsia" w:ascii="宋体" w:hAnsi="宋体" w:eastAsia="宋体" w:cs="宋体"/>
          <w:color w:val="auto"/>
          <w:sz w:val="20"/>
          <w:szCs w:val="20"/>
          <w:highlight w:val="none"/>
        </w:rPr>
        <w:t>类似工程</w:t>
      </w:r>
      <w:r>
        <w:rPr>
          <w:rFonts w:hint="eastAsia" w:ascii="宋体" w:hAnsi="宋体" w:eastAsia="宋体" w:cs="宋体"/>
          <w:color w:val="auto"/>
          <w:sz w:val="20"/>
          <w:szCs w:val="20"/>
          <w:highlight w:val="none"/>
          <w:lang w:val="en-US" w:eastAsia="zh-CN"/>
        </w:rPr>
        <w:t>业绩获得的工程实体</w:t>
      </w:r>
      <w:r>
        <w:rPr>
          <w:rFonts w:hint="eastAsia" w:ascii="宋体" w:hAnsi="宋体" w:eastAsia="宋体" w:cs="宋体"/>
          <w:color w:val="auto"/>
          <w:sz w:val="20"/>
          <w:szCs w:val="20"/>
          <w:highlight w:val="none"/>
        </w:rPr>
        <w:t>奖项，</w:t>
      </w:r>
      <w:r>
        <w:rPr>
          <w:rStyle w:val="132"/>
          <w:rFonts w:hint="eastAsia" w:ascii="宋体" w:hAnsi="宋体" w:eastAsia="宋体" w:cs="宋体"/>
          <w:color w:val="auto"/>
          <w:sz w:val="20"/>
          <w:szCs w:val="20"/>
          <w:highlight w:val="none"/>
        </w:rPr>
        <w:t>需提供类似工程</w:t>
      </w:r>
      <w:r>
        <w:rPr>
          <w:rFonts w:hint="eastAsia" w:ascii="宋体" w:hAnsi="宋体" w:eastAsia="宋体" w:cs="宋体"/>
          <w:color w:val="auto"/>
          <w:sz w:val="20"/>
          <w:szCs w:val="20"/>
          <w:highlight w:val="none"/>
        </w:rPr>
        <w:t>业绩相关证明材料及</w:t>
      </w:r>
      <w:r>
        <w:rPr>
          <w:rStyle w:val="132"/>
          <w:rFonts w:hint="eastAsia" w:ascii="宋体" w:hAnsi="宋体" w:eastAsia="宋体" w:cs="宋体"/>
          <w:color w:val="auto"/>
          <w:sz w:val="20"/>
          <w:szCs w:val="20"/>
          <w:highlight w:val="none"/>
        </w:rPr>
        <w:t>政府部门或者相关行业协会颁发的奖项证书原件清晰扫描件，时间以获奖证书发证时间为准，同一项目按最高级别奖项只计一次得分，只计算承建奖项，参建奖项不予计算。如颁奖单位为协会的，还须提供该协会在“中国社会组织政务服务平台”有登记的网页查询截图（网址：https://chinanpo.mca.gov.cn/），证明其有登记备案。不符合条件的奖项不计分。其中国家级奖项包括</w:t>
      </w:r>
      <w:r>
        <w:rPr>
          <w:rStyle w:val="132"/>
          <w:rFonts w:hint="eastAsia" w:ascii="宋体" w:hAnsi="宋体" w:eastAsia="宋体" w:cs="宋体"/>
          <w:color w:val="auto"/>
          <w:sz w:val="20"/>
          <w:szCs w:val="20"/>
          <w:highlight w:val="none"/>
          <w:lang w:val="en-US" w:eastAsia="zh-CN"/>
        </w:rPr>
        <w:t>但不限于</w:t>
      </w:r>
      <w:r>
        <w:rPr>
          <w:rStyle w:val="132"/>
          <w:rFonts w:hint="eastAsia" w:ascii="宋体" w:hAnsi="宋体" w:eastAsia="宋体" w:cs="宋体"/>
          <w:color w:val="auto"/>
          <w:sz w:val="20"/>
          <w:szCs w:val="20"/>
          <w:highlight w:val="none"/>
        </w:rPr>
        <w:t>中国建设工程鲁班奖、国家优质工程（金质奖）、国家优质工程（银质奖）、国家优质工程奖、中国土木工程詹天佑奖等各类工程奖项，省级及市级</w:t>
      </w:r>
      <w:r>
        <w:rPr>
          <w:rStyle w:val="132"/>
          <w:rFonts w:hint="eastAsia" w:ascii="宋体" w:hAnsi="宋体" w:eastAsia="宋体" w:cs="宋体"/>
          <w:color w:val="auto"/>
          <w:sz w:val="20"/>
          <w:szCs w:val="20"/>
          <w:highlight w:val="none"/>
          <w:lang w:val="en-US" w:eastAsia="zh-CN"/>
        </w:rPr>
        <w:t>工程</w:t>
      </w:r>
      <w:r>
        <w:rPr>
          <w:rStyle w:val="132"/>
          <w:rFonts w:hint="eastAsia" w:ascii="宋体" w:hAnsi="宋体" w:eastAsia="宋体" w:cs="宋体"/>
          <w:color w:val="auto"/>
          <w:sz w:val="20"/>
          <w:szCs w:val="20"/>
          <w:highlight w:val="none"/>
        </w:rPr>
        <w:t>奖项指</w:t>
      </w:r>
      <w:r>
        <w:rPr>
          <w:rStyle w:val="132"/>
          <w:rFonts w:hint="eastAsia" w:ascii="宋体" w:hAnsi="宋体" w:eastAsia="宋体" w:cs="宋体"/>
          <w:color w:val="auto"/>
          <w:sz w:val="20"/>
          <w:szCs w:val="20"/>
          <w:highlight w:val="none"/>
          <w:lang w:val="en-US" w:eastAsia="zh-CN"/>
        </w:rPr>
        <w:t>包括但不限于</w:t>
      </w:r>
      <w:r>
        <w:rPr>
          <w:rStyle w:val="132"/>
          <w:rFonts w:hint="eastAsia" w:ascii="宋体" w:hAnsi="宋体" w:eastAsia="宋体" w:cs="宋体"/>
          <w:color w:val="auto"/>
          <w:sz w:val="20"/>
          <w:szCs w:val="20"/>
          <w:highlight w:val="none"/>
        </w:rPr>
        <w:t>由行政主管部门或行业协会颁发的质量类或安全文明类工程奖项，不含绿色施工、QC成果及技术应用</w:t>
      </w:r>
      <w:r>
        <w:rPr>
          <w:rStyle w:val="132"/>
          <w:rFonts w:hint="eastAsia" w:ascii="宋体" w:hAnsi="宋体" w:eastAsia="宋体" w:cs="宋体"/>
          <w:color w:val="auto"/>
          <w:sz w:val="20"/>
          <w:szCs w:val="20"/>
          <w:highlight w:val="none"/>
          <w:lang w:val="en-US" w:eastAsia="zh-CN"/>
        </w:rPr>
        <w:t>类等</w:t>
      </w:r>
      <w:r>
        <w:rPr>
          <w:rStyle w:val="132"/>
          <w:rFonts w:hint="eastAsia" w:ascii="宋体" w:hAnsi="宋体" w:eastAsia="宋体" w:cs="宋体"/>
          <w:color w:val="auto"/>
          <w:sz w:val="20"/>
          <w:szCs w:val="20"/>
          <w:highlight w:val="none"/>
        </w:rPr>
        <w:t>奖项。</w:t>
      </w:r>
    </w:p>
    <w:p w14:paraId="31A9B2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02" w:firstLineChars="200"/>
        <w:textAlignment w:val="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5.工程研发能力：</w:t>
      </w:r>
    </w:p>
    <w:p w14:paraId="6A008A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00" w:firstLineChars="200"/>
        <w:textAlignment w:val="auto"/>
        <w:rPr>
          <w:rFonts w:hint="eastAsia" w:ascii="宋体" w:hAnsi="宋体" w:eastAsia="宋体" w:cs="宋体"/>
          <w:bCs/>
          <w:color w:val="auto"/>
          <w:sz w:val="20"/>
          <w:szCs w:val="20"/>
          <w:highlight w:val="none"/>
        </w:rPr>
      </w:pPr>
      <w:r>
        <w:rPr>
          <w:rStyle w:val="132"/>
          <w:rFonts w:hint="eastAsia" w:ascii="宋体" w:hAnsi="宋体" w:eastAsia="宋体" w:cs="宋体"/>
          <w:color w:val="auto"/>
          <w:sz w:val="20"/>
          <w:szCs w:val="20"/>
          <w:highlight w:val="none"/>
        </w:rPr>
        <w:t>须提交由</w:t>
      </w:r>
      <w:r>
        <w:rPr>
          <w:rStyle w:val="132"/>
          <w:rFonts w:hint="eastAsia" w:ascii="宋体" w:hAnsi="宋体" w:eastAsia="宋体" w:cs="宋体"/>
          <w:color w:val="auto"/>
          <w:sz w:val="20"/>
          <w:szCs w:val="20"/>
          <w:highlight w:val="none"/>
          <w:lang w:val="en-US" w:eastAsia="zh-CN"/>
        </w:rPr>
        <w:t>行业</w:t>
      </w:r>
      <w:r>
        <w:rPr>
          <w:rStyle w:val="132"/>
          <w:rFonts w:hint="eastAsia" w:ascii="宋体" w:hAnsi="宋体" w:eastAsia="宋体" w:cs="宋体"/>
          <w:color w:val="auto"/>
          <w:sz w:val="20"/>
          <w:szCs w:val="20"/>
          <w:highlight w:val="none"/>
        </w:rPr>
        <w:t>主管部门或行业协会颁发的应用于照明工程相关的科学技术成果鉴定证书、与科学技术成果相对应的科学技术奖项</w:t>
      </w:r>
      <w:r>
        <w:rPr>
          <w:rStyle w:val="132"/>
          <w:rFonts w:hint="eastAsia" w:ascii="宋体" w:hAnsi="宋体" w:eastAsia="宋体" w:cs="宋体"/>
          <w:color w:val="auto"/>
          <w:sz w:val="20"/>
          <w:szCs w:val="20"/>
          <w:highlight w:val="none"/>
          <w:lang w:val="en-US" w:eastAsia="zh-CN"/>
        </w:rPr>
        <w:t>证书</w:t>
      </w:r>
      <w:r>
        <w:rPr>
          <w:rStyle w:val="132"/>
          <w:rFonts w:hint="eastAsia" w:ascii="宋体" w:hAnsi="宋体" w:eastAsia="宋体" w:cs="宋体"/>
          <w:color w:val="auto"/>
          <w:sz w:val="20"/>
          <w:szCs w:val="20"/>
          <w:highlight w:val="none"/>
        </w:rPr>
        <w:t>，时</w:t>
      </w:r>
      <w:r>
        <w:rPr>
          <w:rFonts w:hint="eastAsia" w:ascii="宋体" w:hAnsi="宋体" w:eastAsia="宋体" w:cs="宋体"/>
          <w:bCs/>
          <w:color w:val="auto"/>
          <w:sz w:val="20"/>
          <w:szCs w:val="20"/>
          <w:highlight w:val="none"/>
        </w:rPr>
        <w:t>间以获奖证书发证时间为准（不符合上述条件不计分）。</w:t>
      </w:r>
      <w:r>
        <w:rPr>
          <w:rStyle w:val="132"/>
          <w:rFonts w:hint="eastAsia" w:ascii="宋体" w:hAnsi="宋体" w:eastAsia="宋体" w:cs="宋体"/>
          <w:color w:val="auto"/>
          <w:sz w:val="20"/>
          <w:szCs w:val="20"/>
          <w:highlight w:val="none"/>
        </w:rPr>
        <w:t>如颁</w:t>
      </w:r>
      <w:r>
        <w:rPr>
          <w:rStyle w:val="132"/>
          <w:rFonts w:hint="eastAsia" w:ascii="宋体" w:hAnsi="宋体" w:eastAsia="宋体" w:cs="宋体"/>
          <w:color w:val="auto"/>
          <w:sz w:val="20"/>
          <w:szCs w:val="20"/>
          <w:highlight w:val="none"/>
          <w:lang w:val="en-US" w:eastAsia="zh-CN"/>
        </w:rPr>
        <w:t>发</w:t>
      </w:r>
      <w:r>
        <w:rPr>
          <w:rStyle w:val="132"/>
          <w:rFonts w:hint="eastAsia" w:ascii="宋体" w:hAnsi="宋体" w:eastAsia="宋体" w:cs="宋体"/>
          <w:color w:val="auto"/>
          <w:sz w:val="20"/>
          <w:szCs w:val="20"/>
          <w:highlight w:val="none"/>
        </w:rPr>
        <w:t>单位为协会的，还须提供该协会在“中国社会组织政务服务平台”有登记的网页查询截图（网址：https://chinanpo.mca.gov.cn/），证明其有登记备案。</w:t>
      </w:r>
    </w:p>
    <w:p w14:paraId="0F8074B1">
      <w:pPr>
        <w:keepNext w:val="0"/>
        <w:keepLines w:val="0"/>
        <w:pageBreakBefore w:val="0"/>
        <w:widowControl w:val="0"/>
        <w:tabs>
          <w:tab w:val="left" w:pos="360"/>
        </w:tabs>
        <w:kinsoku/>
        <w:wordWrap/>
        <w:overflowPunct/>
        <w:topLinePunct w:val="0"/>
        <w:autoSpaceDE/>
        <w:autoSpaceDN/>
        <w:bidi w:val="0"/>
        <w:adjustRightInd/>
        <w:snapToGrid/>
        <w:spacing w:line="240" w:lineRule="auto"/>
        <w:ind w:left="0" w:leftChars="0" w:right="0" w:rightChars="0" w:firstLine="402" w:firstLineChars="200"/>
        <w:textAlignment w:val="auto"/>
        <w:rPr>
          <w:rFonts w:hint="eastAsia" w:ascii="宋体" w:hAnsi="宋体" w:eastAsia="宋体" w:cs="宋体"/>
          <w:b/>
          <w:color w:val="auto"/>
          <w:sz w:val="20"/>
          <w:szCs w:val="20"/>
          <w:highlight w:val="none"/>
        </w:rPr>
      </w:pPr>
      <w:r>
        <w:rPr>
          <w:rFonts w:hint="eastAsia" w:ascii="宋体" w:hAnsi="宋体" w:eastAsia="宋体" w:cs="宋体"/>
          <w:b/>
          <w:bCs/>
          <w:color w:val="auto"/>
          <w:sz w:val="20"/>
          <w:szCs w:val="20"/>
          <w:highlight w:val="none"/>
        </w:rPr>
        <w:t>6.</w:t>
      </w:r>
      <w:r>
        <w:rPr>
          <w:rFonts w:hint="eastAsia" w:ascii="宋体" w:hAnsi="宋体" w:eastAsia="宋体" w:cs="宋体"/>
          <w:b/>
          <w:color w:val="auto"/>
          <w:sz w:val="20"/>
          <w:szCs w:val="20"/>
          <w:highlight w:val="none"/>
        </w:rPr>
        <w:t>本表按百分制评分，所有评委每个分项的分数汇总后的算术平均值为投标人的最终得分。分数出现小数点，保留小数点后二位小数，第三位小数四舍五入,若投标人满足多个档次的，按最高档计分。</w:t>
      </w:r>
    </w:p>
    <w:p w14:paraId="754CC678">
      <w:pPr>
        <w:spacing w:line="400" w:lineRule="exact"/>
        <w:rPr>
          <w:rFonts w:hint="eastAsia" w:ascii="宋体" w:hAnsi="宋体" w:eastAsia="宋体" w:cs="宋体"/>
          <w:b/>
          <w:color w:val="auto"/>
          <w:szCs w:val="21"/>
          <w:highlight w:val="none"/>
        </w:rPr>
      </w:pPr>
    </w:p>
    <w:p w14:paraId="5B663FA0">
      <w:pPr>
        <w:snapToGrid w:val="0"/>
        <w:spacing w:line="26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评委签名：                                                            日期：       年    月   日</w:t>
      </w:r>
    </w:p>
    <w:p w14:paraId="7325943F">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4F49F86">
      <w:pPr>
        <w:rPr>
          <w:rFonts w:hint="eastAsia" w:ascii="宋体" w:hAnsi="宋体" w:eastAsia="宋体" w:cs="宋体"/>
          <w:b/>
          <w:color w:val="auto"/>
          <w:sz w:val="28"/>
          <w:szCs w:val="28"/>
          <w:highlight w:val="none"/>
          <w:lang w:eastAsia="zh-CN"/>
        </w:rPr>
      </w:pPr>
      <w:r>
        <w:rPr>
          <w:rFonts w:hint="eastAsia" w:ascii="宋体" w:hAnsi="宋体" w:eastAsia="宋体" w:cs="宋体"/>
          <w:color w:val="auto"/>
          <w:sz w:val="28"/>
          <w:szCs w:val="28"/>
          <w:highlight w:val="none"/>
        </w:rPr>
        <w:t>附表</w:t>
      </w:r>
      <w:r>
        <w:rPr>
          <w:rFonts w:hint="eastAsia" w:ascii="宋体" w:hAnsi="宋体" w:cs="宋体"/>
          <w:color w:val="auto"/>
          <w:sz w:val="28"/>
          <w:szCs w:val="28"/>
          <w:highlight w:val="none"/>
          <w:lang w:val="en-US" w:eastAsia="zh-CN"/>
        </w:rPr>
        <w:t>五</w:t>
      </w:r>
    </w:p>
    <w:p w14:paraId="39EDC296">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算术复核表</w:t>
      </w:r>
    </w:p>
    <w:p w14:paraId="7DCBBE48">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工程名称：                                           投标人:                                                  单位：元</w:t>
      </w:r>
    </w:p>
    <w:tbl>
      <w:tblPr>
        <w:tblStyle w:val="36"/>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3BA26256">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73C9C0E8">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14:paraId="33E6D38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14:paraId="3A859D3A">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修正前投标</w:t>
            </w:r>
          </w:p>
          <w:p w14:paraId="39B553B0">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报价A</w:t>
            </w:r>
          </w:p>
        </w:tc>
        <w:tc>
          <w:tcPr>
            <w:tcW w:w="1575" w:type="dxa"/>
            <w:tcBorders>
              <w:top w:val="single" w:color="auto" w:sz="4" w:space="0"/>
              <w:left w:val="nil"/>
              <w:bottom w:val="single" w:color="auto" w:sz="4" w:space="0"/>
              <w:right w:val="single" w:color="auto" w:sz="4" w:space="0"/>
            </w:tcBorders>
            <w:vAlign w:val="center"/>
          </w:tcPr>
          <w:p w14:paraId="3F138B5B">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修正后投标</w:t>
            </w:r>
          </w:p>
          <w:p w14:paraId="032E13C9">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报价B</w:t>
            </w:r>
          </w:p>
        </w:tc>
        <w:tc>
          <w:tcPr>
            <w:tcW w:w="1575" w:type="dxa"/>
            <w:tcBorders>
              <w:top w:val="single" w:color="auto" w:sz="4" w:space="0"/>
              <w:left w:val="nil"/>
              <w:bottom w:val="single" w:color="auto" w:sz="4" w:space="0"/>
              <w:right w:val="single" w:color="auto" w:sz="4" w:space="0"/>
            </w:tcBorders>
            <w:vAlign w:val="center"/>
          </w:tcPr>
          <w:p w14:paraId="5C518783">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修正率</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14:paraId="20BBB223">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3B49FE43">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当B&gt;A时，修正后报价与原报价的差额；当B≤A时,R=0</w:t>
            </w:r>
          </w:p>
        </w:tc>
      </w:tr>
      <w:tr w14:paraId="7FF3AB4D">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9C261D9">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14:paraId="1E0E8098">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[单位工程1]</w:t>
            </w:r>
          </w:p>
        </w:tc>
        <w:tc>
          <w:tcPr>
            <w:tcW w:w="1602" w:type="dxa"/>
            <w:tcBorders>
              <w:top w:val="nil"/>
              <w:left w:val="nil"/>
              <w:bottom w:val="single" w:color="auto" w:sz="4" w:space="0"/>
              <w:right w:val="single" w:color="auto" w:sz="4" w:space="0"/>
            </w:tcBorders>
            <w:vAlign w:val="center"/>
          </w:tcPr>
          <w:p w14:paraId="6326463B">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8BC2DA9">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B829BFA">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2509AE87">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48D72628">
            <w:pPr>
              <w:rPr>
                <w:rFonts w:hint="eastAsia" w:ascii="宋体" w:hAnsi="宋体" w:eastAsia="宋体" w:cs="宋体"/>
                <w:color w:val="auto"/>
                <w:kern w:val="0"/>
                <w:szCs w:val="21"/>
                <w:highlight w:val="none"/>
              </w:rPr>
            </w:pPr>
          </w:p>
        </w:tc>
      </w:tr>
      <w:tr w14:paraId="487384C7">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FD32BCC">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14:paraId="533FCD8D">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[单位工程2]</w:t>
            </w:r>
          </w:p>
        </w:tc>
        <w:tc>
          <w:tcPr>
            <w:tcW w:w="1602" w:type="dxa"/>
            <w:tcBorders>
              <w:top w:val="nil"/>
              <w:left w:val="nil"/>
              <w:bottom w:val="single" w:color="auto" w:sz="4" w:space="0"/>
              <w:right w:val="single" w:color="auto" w:sz="4" w:space="0"/>
            </w:tcBorders>
            <w:vAlign w:val="center"/>
          </w:tcPr>
          <w:p w14:paraId="1EF3FED9">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767EA2A">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CB1A1D3">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40C5CD6C">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26F45438">
            <w:pPr>
              <w:rPr>
                <w:rFonts w:hint="eastAsia" w:ascii="宋体" w:hAnsi="宋体" w:eastAsia="宋体" w:cs="宋体"/>
                <w:color w:val="auto"/>
                <w:kern w:val="0"/>
                <w:szCs w:val="21"/>
                <w:highlight w:val="none"/>
              </w:rPr>
            </w:pPr>
          </w:p>
        </w:tc>
      </w:tr>
      <w:tr w14:paraId="48FA31E5">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BB093EE">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2836BF35">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51353BD9">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5F6A88F">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7B22C8A">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66436790">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44E3566D">
            <w:pPr>
              <w:rPr>
                <w:rFonts w:hint="eastAsia" w:ascii="宋体" w:hAnsi="宋体" w:eastAsia="宋体" w:cs="宋体"/>
                <w:color w:val="auto"/>
                <w:kern w:val="0"/>
                <w:szCs w:val="21"/>
                <w:highlight w:val="none"/>
              </w:rPr>
            </w:pPr>
          </w:p>
        </w:tc>
      </w:tr>
      <w:tr w14:paraId="348C14E7">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0F7CBAE">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5ABABC3D">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7C5FB92D">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44C6709">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1709AA7">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4FDA7197">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5A61F64A">
            <w:pPr>
              <w:rPr>
                <w:rFonts w:hint="eastAsia" w:ascii="宋体" w:hAnsi="宋体" w:eastAsia="宋体" w:cs="宋体"/>
                <w:color w:val="auto"/>
                <w:kern w:val="0"/>
                <w:szCs w:val="21"/>
                <w:highlight w:val="none"/>
              </w:rPr>
            </w:pPr>
          </w:p>
        </w:tc>
      </w:tr>
      <w:tr w14:paraId="181B662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384ABCD">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5F00C5B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3C9E64FB">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DDC44E0">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CE94299">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39205140">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3BAE2E3F">
            <w:pPr>
              <w:rPr>
                <w:rFonts w:hint="eastAsia" w:ascii="宋体" w:hAnsi="宋体" w:eastAsia="宋体" w:cs="宋体"/>
                <w:color w:val="auto"/>
                <w:kern w:val="0"/>
                <w:szCs w:val="21"/>
                <w:highlight w:val="none"/>
              </w:rPr>
            </w:pPr>
          </w:p>
        </w:tc>
      </w:tr>
      <w:tr w14:paraId="52A053A9">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EAFC82B">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14:paraId="50266355">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[单位工程n]</w:t>
            </w:r>
          </w:p>
        </w:tc>
        <w:tc>
          <w:tcPr>
            <w:tcW w:w="1602" w:type="dxa"/>
            <w:tcBorders>
              <w:top w:val="nil"/>
              <w:left w:val="nil"/>
              <w:bottom w:val="single" w:color="auto" w:sz="4" w:space="0"/>
              <w:right w:val="single" w:color="auto" w:sz="4" w:space="0"/>
            </w:tcBorders>
            <w:vAlign w:val="center"/>
          </w:tcPr>
          <w:p w14:paraId="7DEABDF5">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53403A1">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C207D68">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7EC94051">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785177E1">
            <w:pPr>
              <w:rPr>
                <w:rFonts w:hint="eastAsia" w:ascii="宋体" w:hAnsi="宋体" w:eastAsia="宋体" w:cs="宋体"/>
                <w:color w:val="auto"/>
                <w:kern w:val="0"/>
                <w:szCs w:val="21"/>
                <w:highlight w:val="none"/>
              </w:rPr>
            </w:pPr>
          </w:p>
        </w:tc>
      </w:tr>
      <w:tr w14:paraId="14A197B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3AE5B47">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669A5EE5">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14:paraId="50A20178">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4B15EA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14:paraId="5B721E53">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377186F3">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6511367B">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∑A=A</w:t>
            </w:r>
            <w:r>
              <w:rPr>
                <w:rFonts w:hint="eastAsia" w:ascii="宋体" w:hAnsi="宋体" w:eastAsia="宋体" w:cs="宋体"/>
                <w:color w:val="auto"/>
                <w:kern w:val="0"/>
                <w:szCs w:val="21"/>
                <w:highlight w:val="none"/>
                <w:vertAlign w:val="subscript"/>
              </w:rPr>
              <w:t>1</w:t>
            </w:r>
            <w:r>
              <w:rPr>
                <w:rFonts w:hint="eastAsia" w:ascii="宋体" w:hAnsi="宋体" w:eastAsia="宋体" w:cs="宋体"/>
                <w:color w:val="auto"/>
                <w:kern w:val="0"/>
                <w:szCs w:val="21"/>
                <w:highlight w:val="none"/>
              </w:rPr>
              <w:t>+A</w:t>
            </w:r>
            <w:r>
              <w:rPr>
                <w:rFonts w:hint="eastAsia" w:ascii="宋体" w:hAnsi="宋体" w:eastAsia="宋体" w:cs="宋体"/>
                <w:color w:val="auto"/>
                <w:kern w:val="0"/>
                <w:szCs w:val="21"/>
                <w:highlight w:val="none"/>
                <w:vertAlign w:val="subscript"/>
              </w:rPr>
              <w:t>2</w:t>
            </w:r>
            <w:r>
              <w:rPr>
                <w:rFonts w:hint="eastAsia" w:ascii="宋体" w:hAnsi="宋体" w:eastAsia="宋体" w:cs="宋体"/>
                <w:color w:val="auto"/>
                <w:kern w:val="0"/>
                <w:szCs w:val="21"/>
                <w:highlight w:val="none"/>
              </w:rPr>
              <w:t>+…An；∑B=B</w:t>
            </w:r>
            <w:r>
              <w:rPr>
                <w:rFonts w:hint="eastAsia" w:ascii="宋体" w:hAnsi="宋体" w:eastAsia="宋体" w:cs="宋体"/>
                <w:color w:val="auto"/>
                <w:kern w:val="0"/>
                <w:szCs w:val="21"/>
                <w:highlight w:val="none"/>
                <w:vertAlign w:val="subscript"/>
              </w:rPr>
              <w:t>1</w:t>
            </w:r>
            <w:r>
              <w:rPr>
                <w:rFonts w:hint="eastAsia" w:ascii="宋体" w:hAnsi="宋体" w:eastAsia="宋体" w:cs="宋体"/>
                <w:color w:val="auto"/>
                <w:kern w:val="0"/>
                <w:szCs w:val="21"/>
                <w:highlight w:val="none"/>
              </w:rPr>
              <w:t>+B</w:t>
            </w:r>
            <w:r>
              <w:rPr>
                <w:rFonts w:hint="eastAsia" w:ascii="宋体" w:hAnsi="宋体" w:eastAsia="宋体" w:cs="宋体"/>
                <w:color w:val="auto"/>
                <w:kern w:val="0"/>
                <w:szCs w:val="21"/>
                <w:highlight w:val="none"/>
                <w:vertAlign w:val="subscript"/>
              </w:rPr>
              <w:t>2</w:t>
            </w:r>
            <w:r>
              <w:rPr>
                <w:rFonts w:hint="eastAsia" w:ascii="宋体" w:hAnsi="宋体" w:eastAsia="宋体" w:cs="宋体"/>
                <w:color w:val="auto"/>
                <w:kern w:val="0"/>
                <w:szCs w:val="21"/>
                <w:highlight w:val="none"/>
              </w:rPr>
              <w:t>+…Bn</w:t>
            </w:r>
          </w:p>
        </w:tc>
      </w:tr>
    </w:tbl>
    <w:p w14:paraId="3B2D4A4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修正原则：</w:t>
      </w:r>
      <w:r>
        <w:rPr>
          <w:rFonts w:hint="eastAsia" w:ascii="宋体" w:hAnsi="宋体" w:eastAsia="宋体" w:cs="宋体"/>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eastAsia="宋体" w:cs="宋体"/>
          <w:color w:val="auto"/>
          <w:kern w:val="0"/>
          <w:szCs w:val="21"/>
          <w:highlight w:val="none"/>
        </w:rPr>
        <w:tab/>
      </w:r>
    </w:p>
    <w:p w14:paraId="02BA23C5">
      <w:pPr>
        <w:rPr>
          <w:rFonts w:hint="eastAsia" w:ascii="宋体" w:hAnsi="宋体" w:eastAsia="宋体" w:cs="宋体"/>
          <w:color w:val="auto"/>
          <w:kern w:val="0"/>
          <w:szCs w:val="21"/>
          <w:highlight w:val="none"/>
        </w:rPr>
      </w:pPr>
    </w:p>
    <w:p w14:paraId="51713F6F">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评委签名：</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日期：</w:t>
      </w:r>
    </w:p>
    <w:p w14:paraId="28475258">
      <w:pPr>
        <w:rPr>
          <w:rFonts w:hint="eastAsia" w:ascii="宋体" w:hAnsi="宋体" w:eastAsia="宋体" w:cs="宋体"/>
          <w:color w:val="auto"/>
          <w:highlight w:val="none"/>
        </w:rPr>
      </w:pPr>
    </w:p>
    <w:p w14:paraId="729DFA7A">
      <w:pPr>
        <w:rPr>
          <w:rFonts w:hint="eastAsia" w:ascii="宋体" w:hAnsi="宋体" w:eastAsia="宋体" w:cs="宋体"/>
          <w:color w:val="auto"/>
          <w:highlight w:val="none"/>
        </w:rPr>
        <w:sectPr>
          <w:headerReference r:id="rId13" w:type="first"/>
          <w:footerReference r:id="rId16" w:type="first"/>
          <w:headerReference r:id="rId11" w:type="default"/>
          <w:footerReference r:id="rId14" w:type="default"/>
          <w:headerReference r:id="rId12" w:type="even"/>
          <w:footerReference r:id="rId15" w:type="even"/>
          <w:endnotePr>
            <w:numFmt w:val="decimal"/>
          </w:endnotePr>
          <w:pgSz w:w="16838" w:h="11906" w:orient="landscape"/>
          <w:pgMar w:top="1418" w:right="1247" w:bottom="1418" w:left="1134" w:header="851" w:footer="907"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宋体" w:hAnsi="宋体" w:eastAsia="宋体" w:cs="宋体"/>
          <w:color w:val="auto"/>
          <w:highlight w:val="none"/>
        </w:rPr>
        <w:br w:type="page"/>
      </w:r>
    </w:p>
    <w:p w14:paraId="66B44C59">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附表</w:t>
      </w:r>
      <w:r>
        <w:rPr>
          <w:rFonts w:hint="eastAsia" w:ascii="宋体" w:hAnsi="宋体" w:eastAsia="宋体" w:cs="宋体"/>
          <w:bCs/>
          <w:color w:val="auto"/>
          <w:sz w:val="24"/>
          <w:szCs w:val="24"/>
          <w:highlight w:val="none"/>
          <w:lang w:val="en-US" w:eastAsia="zh-CN"/>
        </w:rPr>
        <w:t>六</w:t>
      </w:r>
    </w:p>
    <w:p w14:paraId="01A42C22">
      <w:pPr>
        <w:widowControl/>
        <w:shd w:val="clear" w:color="auto" w:fill="FFFFFF"/>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8"/>
          <w:szCs w:val="28"/>
          <w:highlight w:val="none"/>
        </w:rPr>
        <w:t>定标因素表</w:t>
      </w:r>
    </w:p>
    <w:p w14:paraId="07D767D9">
      <w:pPr>
        <w:widowControl/>
        <w:shd w:val="clear" w:color="auto" w:fill="FFFFFF"/>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工程名称：</w:t>
      </w:r>
    </w:p>
    <w:tbl>
      <w:tblPr>
        <w:tblStyle w:val="36"/>
        <w:tblW w:w="4999" w:type="pct"/>
        <w:tblInd w:w="0" w:type="dxa"/>
        <w:tblLayout w:type="autofit"/>
        <w:tblCellMar>
          <w:top w:w="15" w:type="dxa"/>
          <w:left w:w="15" w:type="dxa"/>
          <w:bottom w:w="15" w:type="dxa"/>
          <w:right w:w="15" w:type="dxa"/>
        </w:tblCellMar>
      </w:tblPr>
      <w:tblGrid>
        <w:gridCol w:w="508"/>
        <w:gridCol w:w="904"/>
        <w:gridCol w:w="7109"/>
      </w:tblGrid>
      <w:tr w14:paraId="0FCD4C44">
        <w:tblPrEx>
          <w:tblCellMar>
            <w:top w:w="15" w:type="dxa"/>
            <w:left w:w="15" w:type="dxa"/>
            <w:bottom w:w="15" w:type="dxa"/>
            <w:right w:w="15" w:type="dxa"/>
          </w:tblCellMar>
        </w:tblPrEx>
        <w:trPr>
          <w:trHeight w:val="873" w:hRule="atLeast"/>
        </w:trPr>
        <w:tc>
          <w:tcPr>
            <w:tcW w:w="298" w:type="pct"/>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E170FB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530" w:type="pct"/>
            <w:tcBorders>
              <w:top w:val="single" w:color="000000" w:sz="8" w:space="0"/>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0DACB3D">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评价</w:t>
            </w:r>
          </w:p>
          <w:p w14:paraId="5323E69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项目</w:t>
            </w:r>
          </w:p>
        </w:tc>
        <w:tc>
          <w:tcPr>
            <w:tcW w:w="4170" w:type="pct"/>
            <w:tcBorders>
              <w:top w:val="single" w:color="000000" w:sz="8" w:space="0"/>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82C14D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定标评价的内容</w:t>
            </w:r>
          </w:p>
        </w:tc>
      </w:tr>
      <w:tr w14:paraId="0A4DAD3F">
        <w:tblPrEx>
          <w:tblCellMar>
            <w:top w:w="15" w:type="dxa"/>
            <w:left w:w="15" w:type="dxa"/>
            <w:bottom w:w="15" w:type="dxa"/>
            <w:right w:w="15" w:type="dxa"/>
          </w:tblCellMar>
        </w:tblPrEx>
        <w:trPr>
          <w:trHeight w:val="349" w:hRule="atLeast"/>
        </w:trPr>
        <w:tc>
          <w:tcPr>
            <w:tcW w:w="298" w:type="pct"/>
            <w:vMerge w:val="restart"/>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A605E61">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w:t>
            </w:r>
          </w:p>
        </w:tc>
        <w:tc>
          <w:tcPr>
            <w:tcW w:w="530" w:type="pct"/>
            <w:vMerge w:val="restar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688BBA7">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履约能力因素（</w:t>
            </w:r>
            <w:r>
              <w:rPr>
                <w:rFonts w:hint="eastAsia" w:ascii="宋体" w:hAnsi="宋体" w:eastAsia="宋体" w:cs="宋体"/>
                <w:b/>
                <w:bCs/>
                <w:color w:val="auto"/>
                <w:kern w:val="0"/>
                <w:sz w:val="21"/>
                <w:szCs w:val="21"/>
                <w:highlight w:val="none"/>
                <w:lang w:val="en-US" w:eastAsia="zh-CN"/>
              </w:rPr>
              <w:t>80</w:t>
            </w:r>
            <w:r>
              <w:rPr>
                <w:rFonts w:hint="eastAsia" w:ascii="宋体" w:hAnsi="宋体" w:eastAsia="宋体" w:cs="宋体"/>
                <w:b/>
                <w:bCs/>
                <w:color w:val="auto"/>
                <w:kern w:val="0"/>
                <w:sz w:val="21"/>
                <w:szCs w:val="21"/>
                <w:highlight w:val="none"/>
              </w:rPr>
              <w:t>分）</w:t>
            </w:r>
          </w:p>
        </w:tc>
        <w:tc>
          <w:tcPr>
            <w:tcW w:w="4170"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8B3664A">
            <w:pPr>
              <w:widowControl/>
              <w:spacing w:line="315"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定标委员会根据定标文件对</w:t>
            </w:r>
            <w:r>
              <w:rPr>
                <w:rFonts w:hint="eastAsia" w:ascii="宋体" w:hAnsi="宋体" w:eastAsia="宋体" w:cs="宋体"/>
                <w:color w:val="auto"/>
                <w:kern w:val="0"/>
                <w:sz w:val="21"/>
                <w:szCs w:val="21"/>
                <w:highlight w:val="none"/>
                <w:lang w:eastAsia="zh-CN"/>
              </w:rPr>
              <w:t>合格中标候选人</w:t>
            </w:r>
            <w:r>
              <w:rPr>
                <w:rFonts w:hint="eastAsia" w:ascii="宋体" w:hAnsi="宋体" w:eastAsia="宋体" w:cs="宋体"/>
                <w:color w:val="auto"/>
                <w:kern w:val="0"/>
                <w:sz w:val="21"/>
                <w:szCs w:val="21"/>
                <w:highlight w:val="none"/>
              </w:rPr>
              <w:t>的项目理解程度进行评审：</w:t>
            </w:r>
          </w:p>
          <w:p w14:paraId="4FC2B3D8">
            <w:pPr>
              <w:widowControl/>
              <w:spacing w:line="315"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（1）对项目周边环境，技术情况熟悉，有充分保障能力。对项目实施难度认识深入透彻，项目重点难点分析准确详尽，应对措施针对性强，能有效保障项目顺利实施的，得[</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）分；</w:t>
            </w:r>
          </w:p>
          <w:p w14:paraId="794FE8ED">
            <w:pPr>
              <w:widowControl/>
              <w:spacing w:line="315"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（2）对项目周边环境，技术情况较熟悉，有较充分保障能力。对项目实施难度认识较深入，项目重点难点分析较准确详尽，应对措施针对性较强，能保障项目顺利实施的，得[</w:t>
            </w: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）分；</w:t>
            </w:r>
          </w:p>
          <w:p w14:paraId="6D510B26">
            <w:pPr>
              <w:widowControl/>
              <w:spacing w:line="315"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（3）对项目周边环境，技术情况一般熟悉，保障能力一般。对项目实施难度认识较一般，项目重点难点分析水平一般，应对措施针对性一般，基本能保障项目实施的，得[</w:t>
            </w: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）分；</w:t>
            </w:r>
          </w:p>
          <w:p w14:paraId="41BD0191">
            <w:pPr>
              <w:widowControl/>
              <w:spacing w:line="315"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（4）不满足前述要求者或不提供内容的，得[</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-0]分。</w:t>
            </w:r>
          </w:p>
        </w:tc>
      </w:tr>
      <w:tr w14:paraId="0B1A1679">
        <w:tblPrEx>
          <w:tblCellMar>
            <w:top w:w="15" w:type="dxa"/>
            <w:left w:w="15" w:type="dxa"/>
            <w:bottom w:w="15" w:type="dxa"/>
            <w:right w:w="15" w:type="dxa"/>
          </w:tblCellMar>
        </w:tblPrEx>
        <w:trPr>
          <w:trHeight w:val="349" w:hRule="atLeast"/>
        </w:trPr>
        <w:tc>
          <w:tcPr>
            <w:tcW w:w="298" w:type="pct"/>
            <w:vMerge w:val="continue"/>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37BF4EB">
            <w:pPr>
              <w:widowControl/>
              <w:jc w:val="center"/>
              <w:rPr>
                <w:rFonts w:hint="eastAsia" w:ascii="宋体" w:hAnsi="宋体" w:eastAsia="宋体" w:cs="宋体"/>
                <w:b/>
                <w:bCs/>
                <w:color w:val="auto"/>
                <w:kern w:val="0"/>
                <w:sz w:val="21"/>
                <w:szCs w:val="21"/>
                <w:highlight w:val="none"/>
              </w:rPr>
            </w:pPr>
          </w:p>
        </w:tc>
        <w:tc>
          <w:tcPr>
            <w:tcW w:w="530" w:type="pct"/>
            <w:vMerge w:val="continue"/>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1976D07">
            <w:pPr>
              <w:widowControl/>
              <w:jc w:val="center"/>
              <w:rPr>
                <w:rFonts w:hint="eastAsia" w:ascii="宋体" w:hAnsi="宋体" w:eastAsia="宋体" w:cs="宋体"/>
                <w:b/>
                <w:bCs/>
                <w:color w:val="auto"/>
                <w:kern w:val="0"/>
                <w:sz w:val="21"/>
                <w:szCs w:val="21"/>
                <w:highlight w:val="none"/>
              </w:rPr>
            </w:pPr>
          </w:p>
        </w:tc>
        <w:tc>
          <w:tcPr>
            <w:tcW w:w="4170"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DDCB6A9">
            <w:pPr>
              <w:widowControl/>
              <w:spacing w:line="315"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定标委员会根据定标文件对</w:t>
            </w:r>
            <w:r>
              <w:rPr>
                <w:rFonts w:hint="eastAsia" w:ascii="宋体" w:hAnsi="宋体" w:eastAsia="宋体" w:cs="宋体"/>
                <w:color w:val="auto"/>
                <w:kern w:val="0"/>
                <w:sz w:val="21"/>
                <w:szCs w:val="21"/>
                <w:highlight w:val="none"/>
                <w:lang w:eastAsia="zh-CN"/>
              </w:rPr>
              <w:t>合格中标候选人</w:t>
            </w:r>
            <w:r>
              <w:rPr>
                <w:rFonts w:hint="eastAsia" w:ascii="宋体" w:hAnsi="宋体" w:eastAsia="宋体" w:cs="宋体"/>
                <w:color w:val="auto"/>
                <w:kern w:val="0"/>
                <w:sz w:val="21"/>
                <w:szCs w:val="21"/>
                <w:highlight w:val="none"/>
              </w:rPr>
              <w:t>对项目的重视程度进行评审：</w:t>
            </w:r>
          </w:p>
          <w:p w14:paraId="54BA0A2A">
            <w:pPr>
              <w:widowControl/>
              <w:spacing w:line="315"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（1）根据项目特点，结合</w:t>
            </w:r>
            <w:r>
              <w:rPr>
                <w:rFonts w:hint="eastAsia" w:ascii="宋体" w:hAnsi="宋体" w:eastAsia="宋体" w:cs="宋体"/>
                <w:color w:val="auto"/>
                <w:kern w:val="0"/>
                <w:sz w:val="21"/>
                <w:szCs w:val="21"/>
                <w:highlight w:val="none"/>
                <w:lang w:eastAsia="zh-CN"/>
              </w:rPr>
              <w:t>合格中标候选人</w:t>
            </w:r>
            <w:r>
              <w:rPr>
                <w:rFonts w:hint="eastAsia" w:ascii="宋体" w:hAnsi="宋体" w:eastAsia="宋体" w:cs="宋体"/>
                <w:color w:val="auto"/>
                <w:kern w:val="0"/>
                <w:sz w:val="21"/>
                <w:szCs w:val="21"/>
                <w:highlight w:val="none"/>
              </w:rPr>
              <w:t>自身优势，投入充分满足项目需求的管理力量和技术力量，结合项目的资源配备计划（</w:t>
            </w:r>
            <w:r>
              <w:rPr>
                <w:rFonts w:hint="eastAsia" w:ascii="宋体" w:hAnsi="宋体" w:eastAsia="宋体" w:cs="宋体"/>
                <w:color w:val="auto"/>
                <w:sz w:val="21"/>
                <w:szCs w:val="21"/>
                <w:highlight w:val="none"/>
              </w:rPr>
              <w:t>人、机、材等</w:t>
            </w:r>
            <w:r>
              <w:rPr>
                <w:rFonts w:hint="eastAsia" w:ascii="宋体" w:hAnsi="宋体" w:eastAsia="宋体" w:cs="宋体"/>
                <w:color w:val="auto"/>
                <w:kern w:val="0"/>
                <w:sz w:val="21"/>
                <w:szCs w:val="21"/>
                <w:highlight w:val="none"/>
              </w:rPr>
              <w:t>），能有效保障项目顺利实施，得[</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）分；</w:t>
            </w:r>
          </w:p>
          <w:p w14:paraId="5AB84B82">
            <w:pPr>
              <w:widowControl/>
              <w:spacing w:line="315"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（2）根据项目特点，结合</w:t>
            </w:r>
            <w:r>
              <w:rPr>
                <w:rFonts w:hint="eastAsia" w:ascii="宋体" w:hAnsi="宋体" w:eastAsia="宋体" w:cs="宋体"/>
                <w:color w:val="auto"/>
                <w:kern w:val="0"/>
                <w:sz w:val="21"/>
                <w:szCs w:val="21"/>
                <w:highlight w:val="none"/>
                <w:lang w:eastAsia="zh-CN"/>
              </w:rPr>
              <w:t>合格中标候选人</w:t>
            </w:r>
            <w:r>
              <w:rPr>
                <w:rFonts w:hint="eastAsia" w:ascii="宋体" w:hAnsi="宋体" w:eastAsia="宋体" w:cs="宋体"/>
                <w:color w:val="auto"/>
                <w:kern w:val="0"/>
                <w:sz w:val="21"/>
                <w:szCs w:val="21"/>
                <w:highlight w:val="none"/>
              </w:rPr>
              <w:t>自身优势，投入满足项目需求的管理力量和技术力量，结合项目的资源配备计划（</w:t>
            </w:r>
            <w:r>
              <w:rPr>
                <w:rFonts w:hint="eastAsia" w:ascii="宋体" w:hAnsi="宋体" w:eastAsia="宋体" w:cs="宋体"/>
                <w:color w:val="auto"/>
                <w:sz w:val="21"/>
                <w:szCs w:val="21"/>
                <w:highlight w:val="none"/>
              </w:rPr>
              <w:t>人、机、材等</w:t>
            </w:r>
            <w:r>
              <w:rPr>
                <w:rFonts w:hint="eastAsia" w:ascii="宋体" w:hAnsi="宋体" w:eastAsia="宋体" w:cs="宋体"/>
                <w:color w:val="auto"/>
                <w:kern w:val="0"/>
                <w:sz w:val="21"/>
                <w:szCs w:val="21"/>
                <w:highlight w:val="none"/>
              </w:rPr>
              <w:t>），能保障项目顺利实施得[</w:t>
            </w: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）分；</w:t>
            </w:r>
          </w:p>
          <w:p w14:paraId="1E21AF17">
            <w:pPr>
              <w:widowControl/>
              <w:spacing w:line="315"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（3）投入项目的管理力量和技术力量一般，基本能保障项目实施的，得[</w:t>
            </w: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）分；</w:t>
            </w:r>
          </w:p>
          <w:p w14:paraId="686BBAFD">
            <w:pPr>
              <w:widowControl/>
              <w:spacing w:line="315"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（4）不满足前述要求者或不提供内容的，得[</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-0]分。</w:t>
            </w:r>
          </w:p>
        </w:tc>
      </w:tr>
      <w:tr w14:paraId="25D4FAFC">
        <w:tblPrEx>
          <w:tblCellMar>
            <w:top w:w="15" w:type="dxa"/>
            <w:left w:w="15" w:type="dxa"/>
            <w:bottom w:w="15" w:type="dxa"/>
            <w:right w:w="15" w:type="dxa"/>
          </w:tblCellMar>
        </w:tblPrEx>
        <w:trPr>
          <w:trHeight w:val="349" w:hRule="atLeast"/>
        </w:trPr>
        <w:tc>
          <w:tcPr>
            <w:tcW w:w="298"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2CE4A7D8">
            <w:pPr>
              <w:widowControl/>
              <w:jc w:val="left"/>
              <w:rPr>
                <w:rFonts w:hint="eastAsia" w:ascii="宋体" w:hAnsi="宋体" w:eastAsia="宋体" w:cs="宋体"/>
                <w:b/>
                <w:bCs/>
                <w:color w:val="auto"/>
                <w:kern w:val="0"/>
                <w:sz w:val="21"/>
                <w:szCs w:val="21"/>
                <w:highlight w:val="none"/>
              </w:rPr>
            </w:pPr>
          </w:p>
        </w:tc>
        <w:tc>
          <w:tcPr>
            <w:tcW w:w="530" w:type="pct"/>
            <w:vMerge w:val="continue"/>
            <w:tcBorders>
              <w:top w:val="nil"/>
              <w:left w:val="nil"/>
              <w:bottom w:val="single" w:color="000000" w:sz="8" w:space="0"/>
              <w:right w:val="single" w:color="000000" w:sz="8" w:space="0"/>
            </w:tcBorders>
            <w:shd w:val="clear" w:color="auto" w:fill="auto"/>
            <w:noWrap w:val="0"/>
            <w:vAlign w:val="center"/>
          </w:tcPr>
          <w:p w14:paraId="027E2E38">
            <w:pPr>
              <w:widowControl/>
              <w:jc w:val="left"/>
              <w:rPr>
                <w:rFonts w:hint="eastAsia" w:ascii="宋体" w:hAnsi="宋体" w:eastAsia="宋体" w:cs="宋体"/>
                <w:b/>
                <w:bCs/>
                <w:color w:val="auto"/>
                <w:kern w:val="0"/>
                <w:sz w:val="21"/>
                <w:szCs w:val="21"/>
                <w:highlight w:val="none"/>
              </w:rPr>
            </w:pPr>
          </w:p>
        </w:tc>
        <w:tc>
          <w:tcPr>
            <w:tcW w:w="4170"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E0F3B2D">
            <w:pPr>
              <w:widowControl/>
              <w:spacing w:line="315"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定标委员会根据定标文件对</w:t>
            </w:r>
            <w:r>
              <w:rPr>
                <w:rFonts w:hint="eastAsia" w:ascii="宋体" w:hAnsi="宋体" w:eastAsia="宋体" w:cs="宋体"/>
                <w:color w:val="auto"/>
                <w:kern w:val="0"/>
                <w:sz w:val="21"/>
                <w:szCs w:val="21"/>
                <w:highlight w:val="none"/>
                <w:lang w:eastAsia="zh-CN"/>
              </w:rPr>
              <w:t>合格中标候选人</w:t>
            </w:r>
            <w:r>
              <w:rPr>
                <w:rFonts w:hint="eastAsia" w:ascii="宋体" w:hAnsi="宋体" w:eastAsia="宋体" w:cs="宋体"/>
                <w:color w:val="auto"/>
                <w:kern w:val="0"/>
                <w:sz w:val="21"/>
                <w:szCs w:val="21"/>
                <w:highlight w:val="none"/>
              </w:rPr>
              <w:t>的履约服务评价进行评审：</w:t>
            </w:r>
          </w:p>
          <w:p w14:paraId="0F4933E7">
            <w:pPr>
              <w:widowControl/>
              <w:spacing w:line="315"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（1）农民工工资保障好，对本工程服务保障能力强，服务保障措施切实到位，得[</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）分；</w:t>
            </w:r>
          </w:p>
          <w:p w14:paraId="7EB627C4">
            <w:pPr>
              <w:widowControl/>
              <w:spacing w:line="315"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（2）农民工工资保障较好，对本工程服务保障能力较强，服务保障措施确定性较强，得[</w:t>
            </w: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w:t>
            </w:r>
          </w:p>
          <w:p w14:paraId="175CB3CC">
            <w:pPr>
              <w:widowControl/>
              <w:spacing w:line="315"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（3）农民工工资保障一般，</w:t>
            </w:r>
            <w:r>
              <w:rPr>
                <w:rFonts w:hint="eastAsia" w:ascii="宋体" w:hAnsi="宋体" w:eastAsia="宋体" w:cs="宋体"/>
                <w:color w:val="auto"/>
                <w:sz w:val="21"/>
                <w:szCs w:val="21"/>
                <w:highlight w:val="none"/>
              </w:rPr>
              <w:t>对本工程服务保障能力一般，服务保障措施确定性一般</w:t>
            </w:r>
            <w:r>
              <w:rPr>
                <w:rFonts w:hint="eastAsia" w:ascii="宋体" w:hAnsi="宋体" w:eastAsia="宋体" w:cs="宋体"/>
                <w:color w:val="auto"/>
                <w:kern w:val="0"/>
                <w:sz w:val="21"/>
                <w:szCs w:val="21"/>
                <w:highlight w:val="none"/>
              </w:rPr>
              <w:t>，得[</w:t>
            </w: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）分；</w:t>
            </w:r>
          </w:p>
          <w:p w14:paraId="555348B0">
            <w:pPr>
              <w:widowControl/>
              <w:spacing w:line="315"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（4）不满足前述要求者或不提供内容的，得[</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-0]分。</w:t>
            </w:r>
          </w:p>
        </w:tc>
      </w:tr>
      <w:tr w14:paraId="122483E9">
        <w:tblPrEx>
          <w:tblCellMar>
            <w:top w:w="15" w:type="dxa"/>
            <w:left w:w="15" w:type="dxa"/>
            <w:bottom w:w="15" w:type="dxa"/>
            <w:right w:w="15" w:type="dxa"/>
          </w:tblCellMar>
        </w:tblPrEx>
        <w:trPr>
          <w:trHeight w:val="349" w:hRule="atLeast"/>
        </w:trPr>
        <w:tc>
          <w:tcPr>
            <w:tcW w:w="298" w:type="pct"/>
            <w:vMerge w:val="continue"/>
            <w:tcBorders>
              <w:top w:val="nil"/>
              <w:left w:val="single" w:color="000000" w:sz="8" w:space="0"/>
              <w:bottom w:val="single" w:color="000000" w:sz="8" w:space="0"/>
              <w:right w:val="single" w:color="000000" w:sz="8" w:space="0"/>
            </w:tcBorders>
            <w:shd w:val="clear" w:color="auto" w:fill="auto"/>
            <w:noWrap w:val="0"/>
            <w:vAlign w:val="center"/>
          </w:tcPr>
          <w:p w14:paraId="30C91016">
            <w:pPr>
              <w:widowControl/>
              <w:jc w:val="left"/>
              <w:rPr>
                <w:rFonts w:hint="eastAsia" w:ascii="宋体" w:hAnsi="宋体" w:eastAsia="宋体" w:cs="宋体"/>
                <w:b/>
                <w:bCs/>
                <w:color w:val="auto"/>
                <w:kern w:val="0"/>
                <w:sz w:val="21"/>
                <w:szCs w:val="21"/>
                <w:highlight w:val="none"/>
              </w:rPr>
            </w:pPr>
          </w:p>
        </w:tc>
        <w:tc>
          <w:tcPr>
            <w:tcW w:w="530" w:type="pct"/>
            <w:vMerge w:val="continue"/>
            <w:tcBorders>
              <w:top w:val="nil"/>
              <w:left w:val="nil"/>
              <w:bottom w:val="single" w:color="000000" w:sz="8" w:space="0"/>
              <w:right w:val="single" w:color="000000" w:sz="8" w:space="0"/>
            </w:tcBorders>
            <w:shd w:val="clear" w:color="auto" w:fill="auto"/>
            <w:noWrap w:val="0"/>
            <w:vAlign w:val="center"/>
          </w:tcPr>
          <w:p w14:paraId="4F2BBB9D">
            <w:pPr>
              <w:widowControl/>
              <w:jc w:val="left"/>
              <w:rPr>
                <w:rFonts w:hint="eastAsia" w:ascii="宋体" w:hAnsi="宋体" w:eastAsia="宋体" w:cs="宋体"/>
                <w:b/>
                <w:bCs/>
                <w:color w:val="auto"/>
                <w:kern w:val="0"/>
                <w:sz w:val="21"/>
                <w:szCs w:val="21"/>
                <w:highlight w:val="none"/>
              </w:rPr>
            </w:pPr>
          </w:p>
        </w:tc>
        <w:tc>
          <w:tcPr>
            <w:tcW w:w="4170"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38DBBAA">
            <w:pPr>
              <w:widowControl/>
              <w:spacing w:line="315"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定标委员会根据定标文件对</w:t>
            </w:r>
            <w:r>
              <w:rPr>
                <w:rFonts w:hint="eastAsia" w:ascii="宋体" w:hAnsi="宋体" w:eastAsia="宋体" w:cs="宋体"/>
                <w:color w:val="auto"/>
                <w:kern w:val="0"/>
                <w:sz w:val="21"/>
                <w:szCs w:val="21"/>
                <w:highlight w:val="none"/>
                <w:lang w:eastAsia="zh-CN"/>
              </w:rPr>
              <w:t>合格中标候选人</w:t>
            </w:r>
            <w:r>
              <w:rPr>
                <w:rFonts w:hint="eastAsia" w:ascii="宋体" w:hAnsi="宋体" w:eastAsia="宋体" w:cs="宋体"/>
                <w:color w:val="auto"/>
                <w:kern w:val="0"/>
                <w:sz w:val="21"/>
                <w:szCs w:val="21"/>
                <w:highlight w:val="none"/>
              </w:rPr>
              <w:t>的质量、安全保障能力进行评审：</w:t>
            </w:r>
          </w:p>
          <w:p w14:paraId="7D2ADDAC">
            <w:pPr>
              <w:widowControl/>
              <w:spacing w:line="315"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针对本项目建立了完善的安全文明施工保证体系、施工安全管理目标明确、制度健全，施工安全保护措施、交通疏解方案、占道施工相关措施等明确、具体、可行，针对项目的特点，从质量保证体系、材料的检测、质量通病的防治等方面提出详细、完善的质量保证措施，得[</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）分；</w:t>
            </w:r>
          </w:p>
          <w:p w14:paraId="600ABC9A">
            <w:pPr>
              <w:widowControl/>
              <w:spacing w:line="315"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针对本项目建立了较完善的安全文明施工保证体系、施工安全管理目标较明确、制度较健全，施工安全保护措施、交通疏解方案、占道施工相关措施等比较可行，针对项目的特点，从质量保证体系、材料的检测、质量通病的防治等方面提出比较详细、完善的质量保证措施，得[</w:t>
            </w: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）分；</w:t>
            </w:r>
          </w:p>
          <w:p w14:paraId="687CA847">
            <w:pPr>
              <w:widowControl/>
              <w:spacing w:line="315"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（3）安全文明施工保证体系、施工安全管理目标明确、制度一般，施工安全保护措施、交通疏解方案、占道施工相关措施等一般可行或不齐全，质量保证措施一般，得[</w:t>
            </w: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）分；</w:t>
            </w:r>
          </w:p>
          <w:p w14:paraId="2C12BA4F">
            <w:pPr>
              <w:widowControl/>
              <w:spacing w:line="315"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（4）不满足前述要求者或不提供内容的，得[</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-0]分。</w:t>
            </w:r>
          </w:p>
        </w:tc>
      </w:tr>
      <w:tr w14:paraId="71D2B04B">
        <w:tblPrEx>
          <w:tblCellMar>
            <w:top w:w="15" w:type="dxa"/>
            <w:left w:w="15" w:type="dxa"/>
            <w:bottom w:w="15" w:type="dxa"/>
            <w:right w:w="15" w:type="dxa"/>
          </w:tblCellMar>
        </w:tblPrEx>
        <w:trPr>
          <w:trHeight w:val="1123" w:hRule="atLeast"/>
        </w:trPr>
        <w:tc>
          <w:tcPr>
            <w:tcW w:w="298" w:type="pct"/>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B22425C">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w:t>
            </w:r>
          </w:p>
        </w:tc>
        <w:tc>
          <w:tcPr>
            <w:tcW w:w="530"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20622F6">
            <w:pPr>
              <w:widowControl/>
              <w:spacing w:line="460" w:lineRule="atLeas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价格因素（</w:t>
            </w:r>
            <w:r>
              <w:rPr>
                <w:rFonts w:hint="eastAsia" w:ascii="宋体" w:hAnsi="宋体" w:eastAsia="宋体" w:cs="宋体"/>
                <w:b/>
                <w:bCs/>
                <w:color w:val="auto"/>
                <w:kern w:val="0"/>
                <w:sz w:val="21"/>
                <w:szCs w:val="21"/>
                <w:highlight w:val="none"/>
                <w:lang w:val="en-US" w:eastAsia="zh-CN"/>
              </w:rPr>
              <w:t>20</w:t>
            </w:r>
            <w:r>
              <w:rPr>
                <w:rFonts w:hint="eastAsia" w:ascii="宋体" w:hAnsi="宋体" w:eastAsia="宋体" w:cs="宋体"/>
                <w:b/>
                <w:bCs/>
                <w:color w:val="auto"/>
                <w:kern w:val="0"/>
                <w:sz w:val="21"/>
                <w:szCs w:val="21"/>
                <w:highlight w:val="none"/>
              </w:rPr>
              <w:t>分）</w:t>
            </w:r>
          </w:p>
        </w:tc>
        <w:tc>
          <w:tcPr>
            <w:tcW w:w="4170"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6BC4763">
            <w:pPr>
              <w:widowControl/>
              <w:spacing w:line="315" w:lineRule="atLeas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定标委员会对</w:t>
            </w:r>
            <w:r>
              <w:rPr>
                <w:rFonts w:hint="eastAsia" w:ascii="宋体" w:hAnsi="宋体" w:eastAsia="宋体" w:cs="宋体"/>
                <w:color w:val="auto"/>
                <w:kern w:val="0"/>
                <w:sz w:val="21"/>
                <w:szCs w:val="21"/>
                <w:highlight w:val="none"/>
                <w:lang w:eastAsia="zh-CN"/>
              </w:rPr>
              <w:t>合格中标候选人</w:t>
            </w:r>
            <w:r>
              <w:rPr>
                <w:rFonts w:hint="eastAsia" w:ascii="宋体" w:hAnsi="宋体" w:eastAsia="宋体" w:cs="宋体"/>
                <w:color w:val="auto"/>
                <w:kern w:val="0"/>
                <w:sz w:val="21"/>
                <w:szCs w:val="21"/>
                <w:highlight w:val="none"/>
              </w:rPr>
              <w:t>投标报价进行评审：</w:t>
            </w:r>
          </w:p>
          <w:p w14:paraId="0F44631F">
            <w:pPr>
              <w:widowControl/>
              <w:spacing w:line="315" w:lineRule="atLeas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投标报价得分＝（评标基准价/投标报价）×</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w:t>
            </w:r>
          </w:p>
          <w:p w14:paraId="235B8FDE">
            <w:pPr>
              <w:widowControl/>
              <w:spacing w:line="315" w:lineRule="atLeast"/>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注：</w:t>
            </w:r>
            <w:r>
              <w:rPr>
                <w:rFonts w:hint="eastAsia" w:ascii="宋体" w:hAnsi="宋体" w:eastAsia="宋体" w:cs="宋体"/>
                <w:color w:val="auto"/>
                <w:kern w:val="0"/>
                <w:sz w:val="21"/>
                <w:szCs w:val="21"/>
                <w:highlight w:val="none"/>
                <w:lang w:eastAsia="zh-CN"/>
              </w:rPr>
              <w:t>合格中标候选人</w:t>
            </w:r>
            <w:r>
              <w:rPr>
                <w:rFonts w:hint="eastAsia" w:ascii="宋体" w:hAnsi="宋体" w:eastAsia="宋体" w:cs="宋体"/>
                <w:color w:val="auto"/>
                <w:kern w:val="0"/>
                <w:sz w:val="21"/>
                <w:szCs w:val="21"/>
                <w:highlight w:val="none"/>
              </w:rPr>
              <w:t>的最低投标报价与工程成本警戒价两者中的较高值为评标基准价。</w:t>
            </w:r>
            <w:r>
              <w:rPr>
                <w:rFonts w:hint="eastAsia" w:ascii="宋体" w:hAnsi="宋体" w:eastAsia="宋体" w:cs="宋体"/>
                <w:color w:val="auto"/>
                <w:kern w:val="0"/>
                <w:sz w:val="21"/>
                <w:szCs w:val="21"/>
                <w:highlight w:val="none"/>
                <w:lang w:val="en-US" w:eastAsia="zh-CN"/>
              </w:rPr>
              <w:t>本项最高得分为20分。</w:t>
            </w:r>
          </w:p>
        </w:tc>
      </w:tr>
    </w:tbl>
    <w:p w14:paraId="5CF7145A">
      <w:pPr>
        <w:rPr>
          <w:rFonts w:hint="eastAsia" w:ascii="宋体" w:hAnsi="宋体" w:eastAsia="宋体" w:cs="宋体"/>
          <w:color w:val="auto"/>
          <w:highlight w:val="none"/>
          <w:lang w:eastAsia="zh-CN"/>
        </w:rPr>
      </w:pPr>
      <w:r>
        <w:rPr>
          <w:rFonts w:hint="eastAsia" w:ascii="宋体" w:hAnsi="宋体" w:eastAsia="宋体" w:cs="宋体"/>
          <w:b/>
          <w:bCs/>
          <w:color w:val="auto"/>
          <w:kern w:val="36"/>
          <w:szCs w:val="21"/>
          <w:highlight w:val="none"/>
        </w:rPr>
        <w:t>注：各</w:t>
      </w:r>
      <w:r>
        <w:rPr>
          <w:rFonts w:hint="eastAsia" w:ascii="宋体" w:hAnsi="宋体" w:eastAsia="宋体" w:cs="宋体"/>
          <w:b/>
          <w:bCs/>
          <w:color w:val="auto"/>
          <w:kern w:val="36"/>
          <w:szCs w:val="21"/>
          <w:highlight w:val="none"/>
          <w:lang w:eastAsia="zh-CN"/>
        </w:rPr>
        <w:t>合格中标候选人</w:t>
      </w:r>
      <w:r>
        <w:rPr>
          <w:rFonts w:hint="eastAsia" w:ascii="宋体" w:hAnsi="宋体" w:eastAsia="宋体" w:cs="宋体"/>
          <w:b/>
          <w:bCs/>
          <w:color w:val="auto"/>
          <w:kern w:val="36"/>
          <w:szCs w:val="21"/>
          <w:highlight w:val="none"/>
          <w:lang w:val="en-US" w:eastAsia="zh-CN"/>
        </w:rPr>
        <w:t>总</w:t>
      </w:r>
      <w:r>
        <w:rPr>
          <w:rFonts w:hint="eastAsia" w:ascii="宋体" w:hAnsi="宋体" w:eastAsia="宋体" w:cs="宋体"/>
          <w:b/>
          <w:bCs/>
          <w:color w:val="auto"/>
          <w:kern w:val="36"/>
          <w:szCs w:val="21"/>
          <w:highlight w:val="none"/>
        </w:rPr>
        <w:t>得分为各评委评分的算术平均值，得分四舍五入保留两位小数</w:t>
      </w:r>
      <w:r>
        <w:rPr>
          <w:rFonts w:hint="eastAsia" w:ascii="宋体" w:hAnsi="宋体" w:cs="宋体"/>
          <w:b/>
          <w:bCs/>
          <w:color w:val="auto"/>
          <w:kern w:val="36"/>
          <w:szCs w:val="21"/>
          <w:highlight w:val="none"/>
          <w:lang w:eastAsia="zh-CN"/>
        </w:rPr>
        <w:t>。</w:t>
      </w:r>
    </w:p>
    <w:p w14:paraId="6EDCD0A9">
      <w:pPr>
        <w:pStyle w:val="2"/>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bookmarkStart w:id="64" w:name="_Toc2272566"/>
      <w:bookmarkStart w:id="65" w:name="_Toc21525511"/>
      <w:bookmarkStart w:id="66" w:name="_Toc25611"/>
      <w:bookmarkStart w:id="67" w:name="_Toc15112"/>
    </w:p>
    <w:p w14:paraId="3D2A2701">
      <w:pPr>
        <w:pStyle w:val="2"/>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p>
    <w:p w14:paraId="449115CC">
      <w:pPr>
        <w:pStyle w:val="2"/>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p>
    <w:p w14:paraId="085EBA21">
      <w:pPr>
        <w:pStyle w:val="2"/>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p>
    <w:p w14:paraId="0CBBCDE6">
      <w:pPr>
        <w:pStyle w:val="2"/>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p>
    <w:p w14:paraId="11F7B28D">
      <w:pPr>
        <w:pStyle w:val="2"/>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p>
    <w:p w14:paraId="22A41358">
      <w:pPr>
        <w:pStyle w:val="2"/>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p>
    <w:p w14:paraId="1DDCDAC5">
      <w:pPr>
        <w:pStyle w:val="2"/>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p>
    <w:p w14:paraId="33712524">
      <w:pPr>
        <w:pStyle w:val="2"/>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p>
    <w:p w14:paraId="5B6AC603">
      <w:pPr>
        <w:pStyle w:val="2"/>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p>
    <w:p w14:paraId="7580D0DB">
      <w:pPr>
        <w:pStyle w:val="2"/>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p>
    <w:p w14:paraId="27374719">
      <w:pPr>
        <w:pStyle w:val="2"/>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p>
    <w:p w14:paraId="695DED27">
      <w:pPr>
        <w:pStyle w:val="2"/>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p>
    <w:p w14:paraId="35788903">
      <w:pPr>
        <w:pStyle w:val="2"/>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第三章  合同条款</w:t>
      </w:r>
      <w:bookmarkEnd w:id="64"/>
      <w:bookmarkEnd w:id="65"/>
      <w:r>
        <w:rPr>
          <w:rFonts w:hint="eastAsia" w:ascii="宋体" w:hAnsi="宋体" w:eastAsia="宋体" w:cs="宋体"/>
          <w:color w:val="auto"/>
          <w:highlight w:val="none"/>
          <w:lang w:eastAsia="zh-CN"/>
        </w:rPr>
        <w:t>及格式</w:t>
      </w:r>
      <w:bookmarkEnd w:id="66"/>
      <w:bookmarkEnd w:id="67"/>
    </w:p>
    <w:p w14:paraId="3FFBE229">
      <w:pPr>
        <w:keepNext w:val="0"/>
        <w:keepLines w:val="0"/>
        <w:pageBreakBefore w:val="0"/>
        <w:widowControl w:val="0"/>
        <w:kinsoku/>
        <w:wordWrap/>
        <w:overflowPunct/>
        <w:topLinePunct w:val="0"/>
        <w:autoSpaceDE/>
        <w:autoSpaceDN/>
        <w:bidi w:val="0"/>
        <w:adjustRightInd/>
        <w:snapToGrid/>
        <w:spacing w:before="0" w:line="300" w:lineRule="auto"/>
        <w:ind w:left="0" w:leftChars="0"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t>注：</w:t>
      </w:r>
      <w:r>
        <w:rPr>
          <w:rFonts w:hint="eastAsia" w:ascii="宋体" w:hAnsi="宋体" w:eastAsia="宋体" w:cs="宋体"/>
          <w:color w:val="auto"/>
          <w:sz w:val="28"/>
          <w:szCs w:val="28"/>
          <w:highlight w:val="none"/>
          <w:lang w:val="en-US" w:eastAsia="zh-CN"/>
        </w:rPr>
        <w:t>另册。</w:t>
      </w:r>
    </w:p>
    <w:p w14:paraId="423ACC8D">
      <w:pPr>
        <w:pStyle w:val="35"/>
        <w:spacing w:line="360" w:lineRule="auto"/>
        <w:rPr>
          <w:rFonts w:hint="eastAsia" w:ascii="宋体" w:hAnsi="宋体" w:eastAsia="宋体" w:cs="宋体"/>
          <w:color w:val="auto"/>
          <w:sz w:val="24"/>
          <w:szCs w:val="24"/>
          <w:highlight w:val="none"/>
        </w:rPr>
      </w:pPr>
    </w:p>
    <w:p w14:paraId="15C78A9C">
      <w:pPr>
        <w:pStyle w:val="35"/>
        <w:spacing w:line="360" w:lineRule="auto"/>
        <w:rPr>
          <w:rFonts w:hint="eastAsia" w:ascii="宋体" w:hAnsi="宋体" w:eastAsia="宋体" w:cs="宋体"/>
          <w:color w:val="auto"/>
          <w:sz w:val="24"/>
          <w:szCs w:val="24"/>
          <w:highlight w:val="none"/>
        </w:rPr>
      </w:pPr>
    </w:p>
    <w:p w14:paraId="38A7783D">
      <w:pPr>
        <w:pStyle w:val="35"/>
        <w:spacing w:line="360" w:lineRule="auto"/>
        <w:rPr>
          <w:rFonts w:hint="eastAsia" w:ascii="宋体" w:hAnsi="宋体" w:eastAsia="宋体" w:cs="宋体"/>
          <w:color w:val="auto"/>
          <w:sz w:val="24"/>
          <w:szCs w:val="24"/>
          <w:highlight w:val="none"/>
        </w:rPr>
      </w:pPr>
    </w:p>
    <w:p w14:paraId="2AA507D2">
      <w:pPr>
        <w:pStyle w:val="35"/>
        <w:spacing w:line="360" w:lineRule="auto"/>
        <w:rPr>
          <w:rFonts w:hint="eastAsia" w:ascii="宋体" w:hAnsi="宋体" w:eastAsia="宋体" w:cs="宋体"/>
          <w:color w:val="auto"/>
          <w:sz w:val="24"/>
          <w:szCs w:val="24"/>
          <w:highlight w:val="none"/>
        </w:rPr>
      </w:pPr>
    </w:p>
    <w:p w14:paraId="13110066">
      <w:pPr>
        <w:pStyle w:val="35"/>
        <w:spacing w:line="360" w:lineRule="auto"/>
        <w:rPr>
          <w:rFonts w:hint="eastAsia" w:ascii="宋体" w:hAnsi="宋体" w:eastAsia="宋体" w:cs="宋体"/>
          <w:color w:val="auto"/>
          <w:sz w:val="24"/>
          <w:szCs w:val="24"/>
          <w:highlight w:val="none"/>
        </w:rPr>
      </w:pPr>
    </w:p>
    <w:p w14:paraId="6FB8D550">
      <w:pPr>
        <w:pStyle w:val="35"/>
        <w:spacing w:line="360" w:lineRule="auto"/>
        <w:rPr>
          <w:rFonts w:hint="eastAsia" w:ascii="宋体" w:hAnsi="宋体" w:eastAsia="宋体" w:cs="宋体"/>
          <w:color w:val="auto"/>
          <w:sz w:val="24"/>
          <w:szCs w:val="24"/>
          <w:highlight w:val="none"/>
        </w:rPr>
      </w:pPr>
    </w:p>
    <w:p w14:paraId="211592AA">
      <w:pPr>
        <w:pStyle w:val="35"/>
        <w:spacing w:line="360" w:lineRule="auto"/>
        <w:rPr>
          <w:rFonts w:hint="eastAsia" w:ascii="宋体" w:hAnsi="宋体" w:eastAsia="宋体" w:cs="宋体"/>
          <w:color w:val="auto"/>
          <w:sz w:val="24"/>
          <w:szCs w:val="24"/>
          <w:highlight w:val="none"/>
        </w:rPr>
      </w:pPr>
    </w:p>
    <w:p w14:paraId="4D345322">
      <w:pPr>
        <w:pStyle w:val="35"/>
        <w:spacing w:line="360" w:lineRule="auto"/>
        <w:rPr>
          <w:rFonts w:hint="eastAsia" w:ascii="宋体" w:hAnsi="宋体" w:eastAsia="宋体" w:cs="宋体"/>
          <w:color w:val="auto"/>
          <w:sz w:val="24"/>
          <w:szCs w:val="24"/>
          <w:highlight w:val="none"/>
        </w:rPr>
      </w:pPr>
    </w:p>
    <w:p w14:paraId="11642C9C">
      <w:pPr>
        <w:pStyle w:val="35"/>
        <w:spacing w:line="360" w:lineRule="auto"/>
        <w:rPr>
          <w:rFonts w:hint="eastAsia" w:ascii="宋体" w:hAnsi="宋体" w:eastAsia="宋体" w:cs="宋体"/>
          <w:color w:val="auto"/>
          <w:sz w:val="24"/>
          <w:szCs w:val="24"/>
          <w:highlight w:val="none"/>
        </w:rPr>
      </w:pPr>
    </w:p>
    <w:p w14:paraId="4C834595">
      <w:pPr>
        <w:pStyle w:val="35"/>
        <w:spacing w:line="360" w:lineRule="auto"/>
        <w:rPr>
          <w:rFonts w:hint="eastAsia" w:ascii="宋体" w:hAnsi="宋体" w:eastAsia="宋体" w:cs="宋体"/>
          <w:color w:val="auto"/>
          <w:sz w:val="24"/>
          <w:szCs w:val="24"/>
          <w:highlight w:val="none"/>
        </w:rPr>
      </w:pPr>
    </w:p>
    <w:p w14:paraId="6136DFC5">
      <w:pPr>
        <w:pStyle w:val="35"/>
        <w:spacing w:line="360" w:lineRule="auto"/>
        <w:rPr>
          <w:rFonts w:hint="eastAsia" w:ascii="宋体" w:hAnsi="宋体" w:eastAsia="宋体" w:cs="宋体"/>
          <w:color w:val="auto"/>
          <w:sz w:val="24"/>
          <w:szCs w:val="24"/>
          <w:highlight w:val="none"/>
        </w:rPr>
      </w:pPr>
    </w:p>
    <w:p w14:paraId="0F107050">
      <w:pPr>
        <w:pStyle w:val="35"/>
        <w:spacing w:line="360" w:lineRule="auto"/>
        <w:rPr>
          <w:rFonts w:hint="eastAsia" w:ascii="宋体" w:hAnsi="宋体" w:eastAsia="宋体" w:cs="宋体"/>
          <w:color w:val="auto"/>
          <w:sz w:val="24"/>
          <w:szCs w:val="24"/>
          <w:highlight w:val="none"/>
        </w:rPr>
      </w:pPr>
    </w:p>
    <w:p w14:paraId="5CF731D8">
      <w:pPr>
        <w:pStyle w:val="35"/>
        <w:spacing w:line="360" w:lineRule="auto"/>
        <w:rPr>
          <w:rFonts w:hint="eastAsia" w:ascii="宋体" w:hAnsi="宋体" w:eastAsia="宋体" w:cs="宋体"/>
          <w:color w:val="auto"/>
          <w:sz w:val="24"/>
          <w:szCs w:val="24"/>
          <w:highlight w:val="none"/>
        </w:rPr>
      </w:pPr>
    </w:p>
    <w:p w14:paraId="3740C0D3">
      <w:pPr>
        <w:pStyle w:val="35"/>
        <w:spacing w:line="360" w:lineRule="auto"/>
        <w:ind w:left="0" w:leftChars="0" w:firstLine="0" w:firstLineChars="0"/>
        <w:rPr>
          <w:rFonts w:hint="eastAsia" w:ascii="宋体" w:hAnsi="宋体" w:eastAsia="宋体" w:cs="宋体"/>
          <w:color w:val="auto"/>
          <w:sz w:val="24"/>
          <w:szCs w:val="24"/>
          <w:highlight w:val="none"/>
        </w:rPr>
      </w:pPr>
    </w:p>
    <w:p w14:paraId="49F7A3FF">
      <w:pPr>
        <w:pStyle w:val="19"/>
        <w:spacing w:line="360" w:lineRule="auto"/>
        <w:rPr>
          <w:rFonts w:hint="eastAsia" w:ascii="宋体" w:hAnsi="宋体" w:eastAsia="宋体" w:cs="宋体"/>
          <w:color w:val="auto"/>
          <w:sz w:val="24"/>
          <w:szCs w:val="24"/>
          <w:highlight w:val="none"/>
        </w:rPr>
      </w:pPr>
    </w:p>
    <w:p w14:paraId="7D39DACE">
      <w:pPr>
        <w:pStyle w:val="19"/>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3122BD3">
      <w:pPr>
        <w:pStyle w:val="2"/>
        <w:rPr>
          <w:rFonts w:hint="eastAsia" w:ascii="宋体" w:hAnsi="宋体" w:eastAsia="宋体" w:cs="宋体"/>
          <w:color w:val="auto"/>
          <w:highlight w:val="none"/>
        </w:rPr>
      </w:pPr>
      <w:bookmarkStart w:id="68" w:name="_Toc29898"/>
      <w:bookmarkStart w:id="69" w:name="_Toc32300"/>
      <w:bookmarkStart w:id="70" w:name="_Toc2272567"/>
      <w:bookmarkStart w:id="71" w:name="_Toc21525512"/>
      <w:r>
        <w:rPr>
          <w:rFonts w:hint="eastAsia" w:ascii="宋体" w:hAnsi="宋体" w:eastAsia="宋体" w:cs="宋体"/>
          <w:color w:val="auto"/>
          <w:highlight w:val="none"/>
        </w:rPr>
        <w:t>第四章  投标文件格式</w:t>
      </w:r>
      <w:bookmarkEnd w:id="68"/>
      <w:bookmarkEnd w:id="69"/>
      <w:bookmarkEnd w:id="70"/>
      <w:bookmarkEnd w:id="71"/>
    </w:p>
    <w:p w14:paraId="3FFF6F8A">
      <w:pPr>
        <w:spacing w:line="360" w:lineRule="auto"/>
        <w:jc w:val="center"/>
        <w:rPr>
          <w:rFonts w:hint="eastAsia" w:ascii="宋体" w:hAnsi="宋体" w:eastAsia="宋体" w:cs="宋体"/>
          <w:b/>
          <w:color w:val="auto"/>
          <w:sz w:val="32"/>
          <w:szCs w:val="32"/>
          <w:highlight w:val="none"/>
        </w:rPr>
      </w:pPr>
    </w:p>
    <w:p w14:paraId="05EA218F">
      <w:pPr>
        <w:spacing w:line="360" w:lineRule="auto"/>
        <w:jc w:val="center"/>
        <w:rPr>
          <w:rFonts w:hint="eastAsia" w:ascii="宋体" w:hAnsi="宋体" w:eastAsia="宋体" w:cs="宋体"/>
          <w:b/>
          <w:color w:val="auto"/>
          <w:sz w:val="32"/>
          <w:szCs w:val="32"/>
          <w:highlight w:val="none"/>
        </w:rPr>
      </w:pPr>
    </w:p>
    <w:p w14:paraId="3A4B37EC">
      <w:pPr>
        <w:spacing w:line="360" w:lineRule="auto"/>
        <w:jc w:val="center"/>
        <w:rPr>
          <w:rFonts w:hint="eastAsia" w:ascii="宋体" w:hAnsi="宋体" w:eastAsia="宋体" w:cs="宋体"/>
          <w:b/>
          <w:color w:val="auto"/>
          <w:sz w:val="32"/>
          <w:szCs w:val="32"/>
          <w:highlight w:val="none"/>
        </w:rPr>
      </w:pPr>
    </w:p>
    <w:p w14:paraId="1CF341F9">
      <w:pPr>
        <w:spacing w:line="360" w:lineRule="auto"/>
        <w:jc w:val="center"/>
        <w:rPr>
          <w:rFonts w:hint="eastAsia" w:ascii="宋体" w:hAnsi="宋体" w:eastAsia="宋体" w:cs="宋体"/>
          <w:b/>
          <w:color w:val="auto"/>
          <w:sz w:val="32"/>
          <w:szCs w:val="32"/>
          <w:highlight w:val="none"/>
        </w:rPr>
      </w:pPr>
    </w:p>
    <w:p w14:paraId="438B9508">
      <w:pPr>
        <w:spacing w:line="360" w:lineRule="auto"/>
        <w:jc w:val="center"/>
        <w:rPr>
          <w:rFonts w:hint="eastAsia" w:ascii="宋体" w:hAnsi="宋体" w:eastAsia="宋体" w:cs="宋体"/>
          <w:b/>
          <w:color w:val="auto"/>
          <w:sz w:val="32"/>
          <w:szCs w:val="32"/>
          <w:highlight w:val="none"/>
        </w:rPr>
      </w:pPr>
    </w:p>
    <w:p w14:paraId="4AAA9F3B">
      <w:pPr>
        <w:spacing w:line="360" w:lineRule="auto"/>
        <w:jc w:val="center"/>
        <w:rPr>
          <w:rFonts w:hint="eastAsia" w:ascii="宋体" w:hAnsi="宋体" w:eastAsia="宋体" w:cs="宋体"/>
          <w:b/>
          <w:color w:val="auto"/>
          <w:sz w:val="32"/>
          <w:szCs w:val="32"/>
          <w:highlight w:val="none"/>
        </w:rPr>
      </w:pPr>
    </w:p>
    <w:p w14:paraId="327A778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第一部分 技术标投标文件（含资格审查文件）</w:t>
      </w:r>
    </w:p>
    <w:p w14:paraId="12273523">
      <w:pPr>
        <w:pStyle w:val="1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95A71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技术标投标文件格式一：技术标投标文件封面</w:t>
      </w:r>
    </w:p>
    <w:p w14:paraId="28029316">
      <w:pPr>
        <w:pStyle w:val="119"/>
        <w:ind w:firstLine="496"/>
        <w:rPr>
          <w:rFonts w:hint="eastAsia" w:ascii="宋体" w:hAnsi="宋体" w:eastAsia="宋体" w:cs="宋体"/>
          <w:color w:val="auto"/>
          <w:highlight w:val="none"/>
        </w:rPr>
      </w:pPr>
    </w:p>
    <w:p w14:paraId="266C6414">
      <w:pPr>
        <w:pStyle w:val="119"/>
        <w:ind w:firstLine="496"/>
        <w:rPr>
          <w:rFonts w:hint="eastAsia" w:ascii="宋体" w:hAnsi="宋体" w:eastAsia="宋体" w:cs="宋体"/>
          <w:color w:val="auto"/>
          <w:highlight w:val="none"/>
        </w:rPr>
      </w:pPr>
    </w:p>
    <w:p w14:paraId="211A9F99">
      <w:pPr>
        <w:pStyle w:val="119"/>
        <w:ind w:firstLine="496"/>
        <w:rPr>
          <w:rFonts w:hint="eastAsia" w:ascii="宋体" w:hAnsi="宋体" w:eastAsia="宋体" w:cs="宋体"/>
          <w:color w:val="auto"/>
          <w:highlight w:val="none"/>
        </w:rPr>
      </w:pPr>
    </w:p>
    <w:p w14:paraId="7AACB78F">
      <w:pPr>
        <w:pStyle w:val="119"/>
        <w:ind w:firstLine="496"/>
        <w:rPr>
          <w:rFonts w:hint="eastAsia" w:ascii="宋体" w:hAnsi="宋体" w:eastAsia="宋体" w:cs="宋体"/>
          <w:color w:val="auto"/>
          <w:highlight w:val="none"/>
        </w:rPr>
      </w:pPr>
    </w:p>
    <w:p w14:paraId="609A83D7">
      <w:pPr>
        <w:pStyle w:val="12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[工程名称] </w:t>
      </w:r>
    </w:p>
    <w:p w14:paraId="3D1073F0">
      <w:pPr>
        <w:pStyle w:val="119"/>
        <w:ind w:firstLine="496"/>
        <w:rPr>
          <w:rFonts w:hint="eastAsia" w:ascii="宋体" w:hAnsi="宋体" w:eastAsia="宋体" w:cs="宋体"/>
          <w:color w:val="auto"/>
          <w:highlight w:val="none"/>
        </w:rPr>
      </w:pPr>
    </w:p>
    <w:p w14:paraId="2D992A8C">
      <w:pPr>
        <w:pStyle w:val="119"/>
        <w:ind w:firstLine="496"/>
        <w:rPr>
          <w:rFonts w:hint="eastAsia" w:ascii="宋体" w:hAnsi="宋体" w:eastAsia="宋体" w:cs="宋体"/>
          <w:color w:val="auto"/>
          <w:highlight w:val="none"/>
        </w:rPr>
      </w:pPr>
    </w:p>
    <w:p w14:paraId="57585267">
      <w:pPr>
        <w:pStyle w:val="119"/>
        <w:ind w:firstLine="496"/>
        <w:rPr>
          <w:rFonts w:hint="eastAsia" w:ascii="宋体" w:hAnsi="宋体" w:eastAsia="宋体" w:cs="宋体"/>
          <w:color w:val="auto"/>
          <w:highlight w:val="none"/>
        </w:rPr>
      </w:pPr>
    </w:p>
    <w:p w14:paraId="4EE152B3">
      <w:pPr>
        <w:pStyle w:val="119"/>
        <w:ind w:firstLine="496"/>
        <w:rPr>
          <w:rFonts w:hint="eastAsia" w:ascii="宋体" w:hAnsi="宋体" w:eastAsia="宋体" w:cs="宋体"/>
          <w:color w:val="auto"/>
          <w:highlight w:val="none"/>
        </w:rPr>
      </w:pPr>
    </w:p>
    <w:p w14:paraId="4A571747">
      <w:pPr>
        <w:pStyle w:val="121"/>
        <w:rPr>
          <w:rFonts w:hint="eastAsia" w:ascii="宋体" w:hAnsi="宋体" w:eastAsia="宋体" w:cs="宋体"/>
          <w:color w:val="auto"/>
          <w:highlight w:val="none"/>
        </w:rPr>
      </w:pPr>
      <w:r>
        <w:rPr>
          <w:rFonts w:hint="eastAsia" w:ascii="宋体" w:hAnsi="宋体" w:eastAsia="宋体" w:cs="宋体"/>
          <w:color w:val="auto"/>
          <w:highlight w:val="none"/>
        </w:rPr>
        <w:t>投标文件</w:t>
      </w:r>
    </w:p>
    <w:p w14:paraId="6AFC01C1">
      <w:pPr>
        <w:pStyle w:val="120"/>
        <w:rPr>
          <w:rFonts w:hint="eastAsia" w:ascii="宋体" w:hAnsi="宋体" w:eastAsia="宋体" w:cs="宋体"/>
          <w:color w:val="auto"/>
          <w:highlight w:val="none"/>
        </w:rPr>
      </w:pPr>
      <w:r>
        <w:rPr>
          <w:rFonts w:hint="eastAsia" w:ascii="宋体" w:hAnsi="宋体" w:eastAsia="宋体" w:cs="宋体"/>
          <w:color w:val="auto"/>
          <w:highlight w:val="none"/>
        </w:rPr>
        <w:t>第一部分（技术标）</w:t>
      </w:r>
    </w:p>
    <w:p w14:paraId="0F3102D6">
      <w:pPr>
        <w:pStyle w:val="119"/>
        <w:ind w:firstLine="496"/>
        <w:rPr>
          <w:rFonts w:hint="eastAsia" w:ascii="宋体" w:hAnsi="宋体" w:eastAsia="宋体" w:cs="宋体"/>
          <w:color w:val="auto"/>
          <w:highlight w:val="none"/>
        </w:rPr>
      </w:pPr>
    </w:p>
    <w:p w14:paraId="5E15668C">
      <w:pPr>
        <w:pStyle w:val="119"/>
        <w:ind w:firstLine="496"/>
        <w:rPr>
          <w:rFonts w:hint="eastAsia" w:ascii="宋体" w:hAnsi="宋体" w:eastAsia="宋体" w:cs="宋体"/>
          <w:color w:val="auto"/>
          <w:highlight w:val="none"/>
        </w:rPr>
      </w:pPr>
    </w:p>
    <w:p w14:paraId="66D278F7">
      <w:pPr>
        <w:pStyle w:val="119"/>
        <w:ind w:firstLine="496"/>
        <w:rPr>
          <w:rFonts w:hint="eastAsia" w:ascii="宋体" w:hAnsi="宋体" w:eastAsia="宋体" w:cs="宋体"/>
          <w:color w:val="auto"/>
          <w:highlight w:val="none"/>
        </w:rPr>
      </w:pPr>
    </w:p>
    <w:p w14:paraId="6150DEE3">
      <w:pPr>
        <w:pStyle w:val="119"/>
        <w:ind w:firstLine="496"/>
        <w:rPr>
          <w:rFonts w:hint="eastAsia" w:ascii="宋体" w:hAnsi="宋体" w:eastAsia="宋体" w:cs="宋体"/>
          <w:color w:val="auto"/>
          <w:highlight w:val="none"/>
        </w:rPr>
      </w:pPr>
    </w:p>
    <w:p w14:paraId="5C162652">
      <w:pPr>
        <w:pStyle w:val="119"/>
        <w:ind w:firstLine="496"/>
        <w:rPr>
          <w:rFonts w:hint="eastAsia" w:ascii="宋体" w:hAnsi="宋体" w:eastAsia="宋体" w:cs="宋体"/>
          <w:color w:val="auto"/>
          <w:highlight w:val="none"/>
        </w:rPr>
      </w:pPr>
    </w:p>
    <w:p w14:paraId="29FFEFEB">
      <w:pPr>
        <w:pStyle w:val="119"/>
        <w:ind w:firstLine="496"/>
        <w:rPr>
          <w:rFonts w:hint="eastAsia" w:ascii="宋体" w:hAnsi="宋体" w:eastAsia="宋体" w:cs="宋体"/>
          <w:color w:val="auto"/>
          <w:highlight w:val="none"/>
        </w:rPr>
      </w:pPr>
    </w:p>
    <w:p w14:paraId="3D7E56E2">
      <w:pPr>
        <w:pStyle w:val="119"/>
        <w:ind w:firstLine="496"/>
        <w:rPr>
          <w:rFonts w:hint="eastAsia" w:ascii="宋体" w:hAnsi="宋体" w:eastAsia="宋体" w:cs="宋体"/>
          <w:color w:val="auto"/>
          <w:highlight w:val="none"/>
        </w:rPr>
      </w:pPr>
    </w:p>
    <w:p w14:paraId="70158BE4">
      <w:pPr>
        <w:pStyle w:val="122"/>
        <w:ind w:firstLine="2038" w:firstLineChars="662"/>
        <w:rPr>
          <w:rFonts w:hint="eastAsia" w:ascii="宋体" w:hAnsi="宋体" w:eastAsia="宋体" w:cs="宋体"/>
          <w:color w:val="auto"/>
          <w:highlight w:val="none"/>
          <w:u w:val="singl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 xml:space="preserve">                 </w:t>
      </w:r>
    </w:p>
    <w:p w14:paraId="014CAA22">
      <w:pPr>
        <w:pStyle w:val="122"/>
        <w:ind w:firstLine="2038" w:firstLineChars="662"/>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45A91B2F">
      <w:pPr>
        <w:pStyle w:val="122"/>
        <w:ind w:firstLine="496"/>
        <w:rPr>
          <w:rFonts w:hint="eastAsia" w:ascii="宋体" w:hAnsi="宋体" w:eastAsia="宋体" w:cs="宋体"/>
          <w:color w:val="auto"/>
          <w:sz w:val="24"/>
          <w:szCs w:val="24"/>
          <w:highlight w:val="none"/>
        </w:rPr>
      </w:pPr>
    </w:p>
    <w:p w14:paraId="1E7146BA">
      <w:pPr>
        <w:autoSpaceDE w:val="0"/>
        <w:autoSpaceDN w:val="0"/>
        <w:adjustRightInd w:val="0"/>
        <w:rPr>
          <w:rFonts w:hint="eastAsia" w:ascii="宋体" w:hAnsi="宋体" w:eastAsia="宋体" w:cs="宋体"/>
          <w:bCs/>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bCs/>
          <w:color w:val="auto"/>
          <w:sz w:val="24"/>
          <w:szCs w:val="24"/>
          <w:highlight w:val="none"/>
        </w:rPr>
        <w:t>技术标</w:t>
      </w:r>
      <w:r>
        <w:rPr>
          <w:rFonts w:hint="eastAsia" w:ascii="宋体" w:hAnsi="宋体" w:eastAsia="宋体" w:cs="宋体"/>
          <w:color w:val="auto"/>
          <w:sz w:val="24"/>
          <w:highlight w:val="none"/>
        </w:rPr>
        <w:t>投标文件</w:t>
      </w:r>
      <w:r>
        <w:rPr>
          <w:rFonts w:hint="eastAsia" w:ascii="宋体" w:hAnsi="宋体" w:eastAsia="宋体" w:cs="宋体"/>
          <w:bCs/>
          <w:color w:val="auto"/>
          <w:sz w:val="24"/>
          <w:szCs w:val="24"/>
          <w:highlight w:val="none"/>
        </w:rPr>
        <w:t>格式二：</w:t>
      </w:r>
    </w:p>
    <w:p w14:paraId="650150EE">
      <w:pPr>
        <w:autoSpaceDE w:val="0"/>
        <w:autoSpaceDN w:val="0"/>
        <w:adjustRightInd w:val="0"/>
        <w:rPr>
          <w:rFonts w:hint="eastAsia" w:ascii="宋体" w:hAnsi="宋体" w:eastAsia="宋体" w:cs="宋体"/>
          <w:b/>
          <w:bCs/>
          <w:color w:val="auto"/>
          <w:sz w:val="24"/>
          <w:szCs w:val="24"/>
          <w:highlight w:val="none"/>
          <w:lang w:val="zh-CN"/>
        </w:rPr>
      </w:pPr>
      <w:r>
        <w:rPr>
          <w:rFonts w:hint="eastAsia" w:ascii="宋体" w:hAnsi="宋体" w:eastAsia="宋体" w:cs="宋体"/>
          <w:bCs/>
          <w:color w:val="auto"/>
          <w:sz w:val="24"/>
          <w:szCs w:val="24"/>
          <w:highlight w:val="none"/>
        </w:rPr>
        <w:t>（适用于技术标与经济标同时开启）</w:t>
      </w:r>
    </w:p>
    <w:p w14:paraId="24D20EAC">
      <w:pPr>
        <w:autoSpaceDE w:val="0"/>
        <w:autoSpaceDN w:val="0"/>
        <w:adjustRightInd w:val="0"/>
        <w:ind w:left="-540" w:leftChars="-257" w:firstLine="1135" w:firstLineChars="257"/>
        <w:jc w:val="center"/>
        <w:rPr>
          <w:rFonts w:hint="eastAsia" w:ascii="宋体" w:hAnsi="宋体" w:eastAsia="宋体" w:cs="宋体"/>
          <w:b/>
          <w:bCs/>
          <w:color w:val="auto"/>
          <w:sz w:val="44"/>
          <w:szCs w:val="44"/>
          <w:highlight w:val="none"/>
          <w:lang w:val="zh-CN"/>
        </w:rPr>
      </w:pPr>
    </w:p>
    <w:p w14:paraId="315C002B">
      <w:pPr>
        <w:autoSpaceDE w:val="0"/>
        <w:autoSpaceDN w:val="0"/>
        <w:adjustRightInd w:val="0"/>
        <w:ind w:left="-540" w:leftChars="-257" w:firstLine="1135" w:firstLineChars="257"/>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44"/>
          <w:szCs w:val="44"/>
          <w:highlight w:val="none"/>
          <w:lang w:val="zh-CN"/>
        </w:rPr>
        <w:t>广州建设工程施工招标投标书</w:t>
      </w:r>
    </w:p>
    <w:tbl>
      <w:tblPr>
        <w:tblStyle w:val="36"/>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5093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5B1DEE4B">
            <w:pPr>
              <w:bidi w:val="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工 程 名 称</w:t>
            </w:r>
          </w:p>
        </w:tc>
        <w:tc>
          <w:tcPr>
            <w:tcW w:w="3574" w:type="dxa"/>
            <w:tcBorders>
              <w:top w:val="single" w:color="auto" w:sz="4" w:space="0"/>
              <w:left w:val="single" w:color="auto" w:sz="4" w:space="0"/>
              <w:bottom w:val="single" w:color="auto" w:sz="4" w:space="0"/>
              <w:right w:val="single" w:color="auto" w:sz="4" w:space="0"/>
            </w:tcBorders>
          </w:tcPr>
          <w:p w14:paraId="13C9D03F">
            <w:pPr>
              <w:bidi w:val="0"/>
              <w:rPr>
                <w:rFonts w:hint="eastAsia" w:ascii="宋体" w:hAnsi="宋体" w:eastAsia="宋体" w:cs="宋体"/>
                <w:color w:val="auto"/>
                <w:sz w:val="28"/>
                <w:szCs w:val="28"/>
                <w:highlight w:val="none"/>
                <w:lang w:val="zh-CN"/>
              </w:rPr>
            </w:pPr>
          </w:p>
        </w:tc>
      </w:tr>
      <w:tr w14:paraId="3E20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64311641">
            <w:pPr>
              <w:bidi w:val="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14:paraId="5A945152">
            <w:pPr>
              <w:bidi w:val="0"/>
              <w:rPr>
                <w:rFonts w:hint="eastAsia" w:ascii="宋体" w:hAnsi="宋体" w:eastAsia="宋体" w:cs="宋体"/>
                <w:color w:val="auto"/>
                <w:sz w:val="28"/>
                <w:szCs w:val="28"/>
                <w:highlight w:val="none"/>
                <w:lang w:val="zh-CN"/>
              </w:rPr>
            </w:pPr>
          </w:p>
        </w:tc>
      </w:tr>
      <w:tr w14:paraId="6CA0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7920FD16">
            <w:pPr>
              <w:bidi w:val="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其中：人工费（元）</w:t>
            </w:r>
          </w:p>
        </w:tc>
        <w:tc>
          <w:tcPr>
            <w:tcW w:w="3574" w:type="dxa"/>
            <w:tcBorders>
              <w:top w:val="single" w:color="auto" w:sz="4" w:space="0"/>
              <w:left w:val="single" w:color="auto" w:sz="4" w:space="0"/>
              <w:bottom w:val="single" w:color="auto" w:sz="4" w:space="0"/>
              <w:right w:val="single" w:color="auto" w:sz="4" w:space="0"/>
            </w:tcBorders>
            <w:vAlign w:val="center"/>
          </w:tcPr>
          <w:p w14:paraId="7B3D8A8B">
            <w:pPr>
              <w:bidi w:val="0"/>
              <w:rPr>
                <w:rFonts w:hint="eastAsia" w:ascii="宋体" w:hAnsi="宋体" w:eastAsia="宋体" w:cs="宋体"/>
                <w:color w:val="auto"/>
                <w:sz w:val="28"/>
                <w:szCs w:val="28"/>
                <w:highlight w:val="none"/>
                <w:lang w:val="zh-CN"/>
              </w:rPr>
            </w:pPr>
          </w:p>
        </w:tc>
      </w:tr>
      <w:tr w14:paraId="60835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67E80178">
            <w:pPr>
              <w:bidi w:val="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其中：绿色施工安全防护措施费（元）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14:paraId="0FF120B3">
            <w:pPr>
              <w:bidi w:val="0"/>
              <w:rPr>
                <w:rFonts w:hint="eastAsia" w:ascii="宋体" w:hAnsi="宋体" w:eastAsia="宋体" w:cs="宋体"/>
                <w:color w:val="auto"/>
                <w:sz w:val="28"/>
                <w:szCs w:val="28"/>
                <w:highlight w:val="none"/>
                <w:lang w:val="zh-CN"/>
              </w:rPr>
            </w:pPr>
          </w:p>
        </w:tc>
      </w:tr>
      <w:tr w14:paraId="5E98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9D7635C">
            <w:pPr>
              <w:bidi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其中：暂列金额</w:t>
            </w:r>
            <w:r>
              <w:rPr>
                <w:rFonts w:hint="eastAsia" w:ascii="宋体" w:hAnsi="宋体" w:eastAsia="宋体" w:cs="宋体"/>
                <w:color w:val="auto"/>
                <w:sz w:val="28"/>
                <w:szCs w:val="28"/>
                <w:highlight w:val="none"/>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14:paraId="4C95FA55">
            <w:pPr>
              <w:bidi w:val="0"/>
              <w:rPr>
                <w:rFonts w:hint="eastAsia" w:ascii="宋体" w:hAnsi="宋体" w:eastAsia="宋体" w:cs="宋体"/>
                <w:color w:val="auto"/>
                <w:sz w:val="28"/>
                <w:szCs w:val="28"/>
                <w:highlight w:val="none"/>
                <w:lang w:val="zh-CN"/>
              </w:rPr>
            </w:pPr>
          </w:p>
        </w:tc>
      </w:tr>
      <w:tr w14:paraId="5739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3CA4247D">
            <w:pPr>
              <w:bidi w:val="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投 标 总工 期</w:t>
            </w:r>
          </w:p>
        </w:tc>
        <w:tc>
          <w:tcPr>
            <w:tcW w:w="3574" w:type="dxa"/>
            <w:tcBorders>
              <w:top w:val="single" w:color="auto" w:sz="4" w:space="0"/>
              <w:left w:val="single" w:color="auto" w:sz="4" w:space="0"/>
              <w:bottom w:val="single" w:color="auto" w:sz="4" w:space="0"/>
              <w:right w:val="single" w:color="auto" w:sz="4" w:space="0"/>
            </w:tcBorders>
          </w:tcPr>
          <w:p w14:paraId="7D9F40B1">
            <w:pPr>
              <w:bidi w:val="0"/>
              <w:rPr>
                <w:rFonts w:hint="eastAsia" w:ascii="宋体" w:hAnsi="宋体" w:eastAsia="宋体" w:cs="宋体"/>
                <w:color w:val="auto"/>
                <w:sz w:val="28"/>
                <w:szCs w:val="28"/>
                <w:highlight w:val="none"/>
                <w:lang w:val="zh-CN"/>
              </w:rPr>
            </w:pPr>
          </w:p>
        </w:tc>
      </w:tr>
      <w:tr w14:paraId="6B786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2AD9FF4E">
            <w:pPr>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14:paraId="779D541D">
            <w:pPr>
              <w:bidi w:val="0"/>
              <w:rPr>
                <w:rFonts w:hint="eastAsia" w:ascii="宋体" w:hAnsi="宋体" w:eastAsia="宋体" w:cs="宋体"/>
                <w:color w:val="auto"/>
                <w:sz w:val="28"/>
                <w:szCs w:val="28"/>
                <w:highlight w:val="none"/>
                <w:lang w:val="zh-CN"/>
              </w:rPr>
            </w:pPr>
          </w:p>
        </w:tc>
      </w:tr>
      <w:tr w14:paraId="1CDD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25D7862E">
            <w:pPr>
              <w:bidi w:val="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保 修 期 限</w:t>
            </w:r>
          </w:p>
        </w:tc>
        <w:tc>
          <w:tcPr>
            <w:tcW w:w="3574" w:type="dxa"/>
            <w:tcBorders>
              <w:top w:val="single" w:color="auto" w:sz="4" w:space="0"/>
              <w:left w:val="single" w:color="auto" w:sz="4" w:space="0"/>
              <w:bottom w:val="single" w:color="auto" w:sz="4" w:space="0"/>
              <w:right w:val="single" w:color="auto" w:sz="4" w:space="0"/>
            </w:tcBorders>
          </w:tcPr>
          <w:p w14:paraId="368FA618">
            <w:pPr>
              <w:bidi w:val="0"/>
              <w:rPr>
                <w:rFonts w:hint="eastAsia" w:ascii="宋体" w:hAnsi="宋体" w:eastAsia="宋体" w:cs="宋体"/>
                <w:color w:val="auto"/>
                <w:sz w:val="28"/>
                <w:szCs w:val="28"/>
                <w:highlight w:val="none"/>
                <w:lang w:val="zh-CN"/>
              </w:rPr>
            </w:pPr>
          </w:p>
        </w:tc>
      </w:tr>
    </w:tbl>
    <w:p w14:paraId="2743CB59">
      <w:pPr>
        <w:tabs>
          <w:tab w:val="left" w:pos="720"/>
        </w:tabs>
        <w:snapToGrid w:val="0"/>
        <w:spacing w:line="360" w:lineRule="auto"/>
        <w:rPr>
          <w:rFonts w:hint="eastAsia" w:ascii="宋体" w:hAnsi="宋体" w:eastAsia="宋体" w:cs="宋体"/>
          <w:color w:val="auto"/>
          <w:sz w:val="24"/>
          <w:szCs w:val="24"/>
          <w:highlight w:val="none"/>
        </w:rPr>
      </w:pPr>
    </w:p>
    <w:p w14:paraId="7FB49F26">
      <w:pPr>
        <w:autoSpaceDE w:val="0"/>
        <w:autoSpaceDN w:val="0"/>
        <w:adjustRightInd w:val="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br w:type="page"/>
      </w:r>
    </w:p>
    <w:p w14:paraId="49053B36">
      <w:pPr>
        <w:autoSpaceDE w:val="0"/>
        <w:autoSpaceDN w:val="0"/>
        <w:adjustRightInd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技术标</w:t>
      </w:r>
      <w:r>
        <w:rPr>
          <w:rFonts w:hint="eastAsia" w:ascii="宋体" w:hAnsi="宋体" w:eastAsia="宋体" w:cs="宋体"/>
          <w:color w:val="auto"/>
          <w:sz w:val="24"/>
          <w:highlight w:val="none"/>
        </w:rPr>
        <w:t>投标文件</w:t>
      </w:r>
      <w:r>
        <w:rPr>
          <w:rFonts w:hint="eastAsia" w:ascii="宋体" w:hAnsi="宋体" w:eastAsia="宋体" w:cs="宋体"/>
          <w:color w:val="auto"/>
          <w:sz w:val="24"/>
          <w:szCs w:val="24"/>
          <w:highlight w:val="none"/>
        </w:rPr>
        <w:t>格式三：</w:t>
      </w:r>
    </w:p>
    <w:p w14:paraId="015249A4">
      <w:pPr>
        <w:autoSpaceDE w:val="0"/>
        <w:autoSpaceDN w:val="0"/>
        <w:adjustRightInd w:val="0"/>
        <w:rPr>
          <w:rFonts w:hint="eastAsia" w:ascii="宋体" w:hAnsi="宋体" w:eastAsia="宋体" w:cs="宋体"/>
          <w:color w:val="auto"/>
          <w:sz w:val="24"/>
          <w:szCs w:val="24"/>
          <w:highlight w:val="none"/>
        </w:rPr>
      </w:pPr>
    </w:p>
    <w:p w14:paraId="16AC8B43">
      <w:pPr>
        <w:autoSpaceDE w:val="0"/>
        <w:autoSpaceDN w:val="0"/>
        <w:adjustRightInd w:val="0"/>
        <w:rPr>
          <w:rFonts w:hint="eastAsia" w:ascii="宋体" w:hAnsi="宋体" w:eastAsia="宋体" w:cs="宋体"/>
          <w:color w:val="auto"/>
          <w:sz w:val="24"/>
          <w:szCs w:val="24"/>
          <w:highlight w:val="none"/>
        </w:rPr>
      </w:pPr>
    </w:p>
    <w:p w14:paraId="022EDC0F">
      <w:pPr>
        <w:autoSpaceDE w:val="0"/>
        <w:autoSpaceDN w:val="0"/>
        <w:adjustRightInd w:val="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资格审查文件</w:t>
      </w:r>
    </w:p>
    <w:p w14:paraId="07EDACB8">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spacing w:val="4"/>
          <w:kern w:val="0"/>
          <w:sz w:val="24"/>
          <w:szCs w:val="20"/>
          <w:highlight w:val="none"/>
        </w:rPr>
        <w:t>注：按投标须知修改表11.2</w:t>
      </w:r>
      <w:r>
        <w:rPr>
          <w:rFonts w:hint="eastAsia" w:ascii="宋体" w:hAnsi="宋体" w:eastAsia="宋体" w:cs="宋体"/>
          <w:snapToGrid w:val="0"/>
          <w:color w:val="auto"/>
          <w:spacing w:val="4"/>
          <w:kern w:val="0"/>
          <w:sz w:val="24"/>
          <w:szCs w:val="20"/>
          <w:highlight w:val="none"/>
          <w:lang w:val="en-US" w:eastAsia="zh-CN"/>
        </w:rPr>
        <w:t>.1</w:t>
      </w:r>
      <w:r>
        <w:rPr>
          <w:rFonts w:hint="eastAsia" w:ascii="宋体" w:hAnsi="宋体" w:eastAsia="宋体" w:cs="宋体"/>
          <w:snapToGrid w:val="0"/>
          <w:color w:val="auto"/>
          <w:spacing w:val="4"/>
          <w:kern w:val="0"/>
          <w:sz w:val="24"/>
          <w:szCs w:val="20"/>
          <w:highlight w:val="none"/>
        </w:rPr>
        <w:t>条款及《资格审查表》要求提交</w:t>
      </w:r>
      <w:r>
        <w:rPr>
          <w:rFonts w:hint="eastAsia" w:ascii="宋体" w:hAnsi="宋体" w:eastAsia="宋体" w:cs="宋体"/>
          <w:snapToGrid w:val="0"/>
          <w:color w:val="auto"/>
          <w:spacing w:val="4"/>
          <w:sz w:val="24"/>
          <w:highlight w:val="none"/>
        </w:rPr>
        <w:t>，格式自拟。</w:t>
      </w:r>
    </w:p>
    <w:p w14:paraId="1FED5FD3">
      <w:pPr>
        <w:autoSpaceDE w:val="0"/>
        <w:autoSpaceDN w:val="0"/>
        <w:adjustRightInd w:val="0"/>
        <w:rPr>
          <w:rFonts w:hint="eastAsia" w:ascii="宋体" w:hAnsi="宋体" w:eastAsia="宋体" w:cs="宋体"/>
          <w:bCs/>
          <w:color w:val="auto"/>
          <w:sz w:val="24"/>
          <w:szCs w:val="24"/>
          <w:highlight w:val="none"/>
        </w:rPr>
      </w:pPr>
    </w:p>
    <w:p w14:paraId="7F0C1B8B">
      <w:pPr>
        <w:widowControl/>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p w14:paraId="3E727E9A">
      <w:pPr>
        <w:autoSpaceDE w:val="0"/>
        <w:autoSpaceDN w:val="0"/>
        <w:adjustRightInd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技术标</w:t>
      </w:r>
      <w:r>
        <w:rPr>
          <w:rFonts w:hint="eastAsia" w:ascii="宋体" w:hAnsi="宋体" w:eastAsia="宋体" w:cs="宋体"/>
          <w:color w:val="auto"/>
          <w:sz w:val="24"/>
          <w:highlight w:val="none"/>
        </w:rPr>
        <w:t>投标文件</w:t>
      </w:r>
      <w:r>
        <w:rPr>
          <w:rFonts w:hint="eastAsia" w:ascii="宋体" w:hAnsi="宋体" w:eastAsia="宋体" w:cs="宋体"/>
          <w:color w:val="auto"/>
          <w:sz w:val="24"/>
          <w:szCs w:val="24"/>
          <w:highlight w:val="none"/>
        </w:rPr>
        <w:t>格式四：</w:t>
      </w:r>
    </w:p>
    <w:p w14:paraId="0094B13B">
      <w:pPr>
        <w:autoSpaceDE w:val="0"/>
        <w:autoSpaceDN w:val="0"/>
        <w:adjustRightInd w:val="0"/>
        <w:rPr>
          <w:rFonts w:hint="eastAsia" w:ascii="宋体" w:hAnsi="宋体" w:eastAsia="宋体" w:cs="宋体"/>
          <w:color w:val="auto"/>
          <w:sz w:val="24"/>
          <w:szCs w:val="24"/>
          <w:highlight w:val="none"/>
        </w:rPr>
      </w:pPr>
    </w:p>
    <w:p w14:paraId="650A6222">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b/>
          <w:snapToGrid w:val="0"/>
          <w:color w:val="auto"/>
          <w:spacing w:val="4"/>
          <w:kern w:val="0"/>
          <w:sz w:val="32"/>
          <w:szCs w:val="32"/>
          <w:highlight w:val="none"/>
        </w:rPr>
        <w:t>技术评审资料</w:t>
      </w:r>
    </w:p>
    <w:p w14:paraId="6BBCF37E">
      <w:pPr>
        <w:autoSpaceDE w:val="0"/>
        <w:autoSpaceDN w:val="0"/>
        <w:adjustRightInd w:val="0"/>
        <w:rPr>
          <w:rFonts w:hint="eastAsia" w:ascii="宋体" w:hAnsi="宋体" w:eastAsia="宋体" w:cs="宋体"/>
          <w:color w:val="auto"/>
          <w:sz w:val="24"/>
          <w:szCs w:val="24"/>
          <w:highlight w:val="none"/>
        </w:rPr>
      </w:pPr>
      <w:r>
        <w:rPr>
          <w:rFonts w:hint="eastAsia" w:ascii="宋体" w:hAnsi="宋体" w:eastAsia="宋体" w:cs="宋体"/>
          <w:snapToGrid w:val="0"/>
          <w:color w:val="auto"/>
          <w:spacing w:val="4"/>
          <w:kern w:val="0"/>
          <w:sz w:val="24"/>
          <w:szCs w:val="20"/>
          <w:highlight w:val="none"/>
        </w:rPr>
        <w:t>注：按《技术标有效性审查表》及《技术标详细审查评分表》要求提交</w:t>
      </w:r>
      <w:r>
        <w:rPr>
          <w:rFonts w:hint="eastAsia" w:ascii="宋体" w:hAnsi="宋体" w:eastAsia="宋体" w:cs="宋体"/>
          <w:snapToGrid w:val="0"/>
          <w:color w:val="auto"/>
          <w:spacing w:val="4"/>
          <w:sz w:val="24"/>
          <w:highlight w:val="none"/>
        </w:rPr>
        <w:t>，格式自拟。</w:t>
      </w:r>
    </w:p>
    <w:p w14:paraId="437A054B">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3A3154D">
      <w:pPr>
        <w:autoSpaceDE w:val="0"/>
        <w:autoSpaceDN w:val="0"/>
        <w:adjustRightInd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技术标</w:t>
      </w:r>
      <w:r>
        <w:rPr>
          <w:rFonts w:hint="eastAsia" w:ascii="宋体" w:hAnsi="宋体" w:eastAsia="宋体" w:cs="宋体"/>
          <w:color w:val="auto"/>
          <w:sz w:val="24"/>
          <w:highlight w:val="none"/>
        </w:rPr>
        <w:t>投标文件</w:t>
      </w:r>
      <w:r>
        <w:rPr>
          <w:rFonts w:hint="eastAsia" w:ascii="宋体" w:hAnsi="宋体" w:eastAsia="宋体" w:cs="宋体"/>
          <w:color w:val="auto"/>
          <w:sz w:val="24"/>
          <w:szCs w:val="24"/>
          <w:highlight w:val="none"/>
        </w:rPr>
        <w:t>格式五：</w:t>
      </w:r>
    </w:p>
    <w:p w14:paraId="12E19642">
      <w:pPr>
        <w:tabs>
          <w:tab w:val="left" w:pos="720"/>
        </w:tabs>
        <w:snapToGrid w:val="0"/>
        <w:spacing w:line="360" w:lineRule="auto"/>
        <w:rPr>
          <w:rFonts w:hint="eastAsia" w:ascii="宋体" w:hAnsi="宋体" w:eastAsia="宋体" w:cs="宋体"/>
          <w:color w:val="auto"/>
          <w:sz w:val="24"/>
          <w:szCs w:val="24"/>
          <w:highlight w:val="none"/>
        </w:rPr>
      </w:pPr>
    </w:p>
    <w:p w14:paraId="07022ED1">
      <w:pPr>
        <w:spacing w:line="4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人员投入承诺书</w:t>
      </w:r>
    </w:p>
    <w:p w14:paraId="2FE34E24">
      <w:pPr>
        <w:topLinePunct/>
        <w:adjustRightInd w:val="0"/>
        <w:snapToGrid w:val="0"/>
        <w:spacing w:line="360" w:lineRule="auto"/>
        <w:rPr>
          <w:rFonts w:hint="eastAsia" w:ascii="宋体" w:hAnsi="宋体" w:eastAsia="宋体" w:cs="宋体"/>
          <w:snapToGrid w:val="0"/>
          <w:color w:val="auto"/>
          <w:spacing w:val="4"/>
          <w:kern w:val="0"/>
          <w:sz w:val="24"/>
          <w:szCs w:val="24"/>
          <w:highlight w:val="none"/>
        </w:rPr>
      </w:pPr>
    </w:p>
    <w:p w14:paraId="35586600">
      <w:pPr>
        <w:topLinePunct/>
        <w:adjustRightInd w:val="0"/>
        <w:snapToGrid w:val="0"/>
        <w:spacing w:line="400" w:lineRule="exact"/>
        <w:rPr>
          <w:rFonts w:hint="eastAsia" w:ascii="宋体" w:hAnsi="宋体" w:eastAsia="宋体" w:cs="宋体"/>
          <w:snapToGrid w:val="0"/>
          <w:color w:val="auto"/>
          <w:spacing w:val="4"/>
          <w:kern w:val="0"/>
          <w:sz w:val="24"/>
          <w:szCs w:val="24"/>
          <w:highlight w:val="none"/>
          <w:lang w:eastAsia="zh-CN"/>
        </w:rPr>
      </w:pPr>
      <w:r>
        <w:rPr>
          <w:rFonts w:hint="eastAsia" w:ascii="宋体" w:hAnsi="宋体" w:eastAsia="宋体" w:cs="宋体"/>
          <w:snapToGrid w:val="0"/>
          <w:color w:val="auto"/>
          <w:spacing w:val="4"/>
          <w:kern w:val="0"/>
          <w:sz w:val="24"/>
          <w:szCs w:val="24"/>
          <w:highlight w:val="none"/>
        </w:rPr>
        <w:t>致：</w:t>
      </w:r>
      <w:r>
        <w:rPr>
          <w:rFonts w:hint="eastAsia" w:ascii="宋体" w:hAnsi="宋体" w:eastAsia="宋体" w:cs="宋体"/>
          <w:bCs/>
          <w:color w:val="auto"/>
          <w:sz w:val="24"/>
          <w:highlight w:val="none"/>
          <w:u w:val="single"/>
          <w:lang w:eastAsia="zh-CN"/>
        </w:rPr>
        <w:t>广州市白云区道路设施养护管理中心</w:t>
      </w:r>
    </w:p>
    <w:p w14:paraId="0696D274">
      <w:pPr>
        <w:topLinePunct/>
        <w:adjustRightInd w:val="0"/>
        <w:snapToGrid w:val="0"/>
        <w:spacing w:line="400" w:lineRule="exact"/>
        <w:ind w:firstLine="496" w:firstLineChars="200"/>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一旦我方中标，我方愿意做出如下承诺：</w:t>
      </w:r>
    </w:p>
    <w:p w14:paraId="7A0030FF">
      <w:pPr>
        <w:topLinePunct/>
        <w:adjustRightInd w:val="0"/>
        <w:snapToGrid w:val="0"/>
        <w:spacing w:line="400" w:lineRule="exact"/>
        <w:ind w:firstLine="496" w:firstLineChars="200"/>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一、我方承诺按本项目投标时拟投入人员在合同签订前提供原件核对，作为合同签订条件之一。中标后，我方将在中标通知书发出7个工作日内提供投标文件拟投入的全部人员的相关资料原件（包括但不限于社保证明、执业证、职称证等）供贵单位审核。</w:t>
      </w:r>
    </w:p>
    <w:p w14:paraId="639D3C58">
      <w:pPr>
        <w:topLinePunct/>
        <w:adjustRightInd w:val="0"/>
        <w:snapToGrid w:val="0"/>
        <w:spacing w:line="400" w:lineRule="exact"/>
        <w:ind w:firstLine="496" w:firstLineChars="200"/>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如因我方逾期提供原件核对导致未按期签订合同的，贵单位有权取消我方中标资格。</w:t>
      </w:r>
    </w:p>
    <w:p w14:paraId="403AC882">
      <w:pPr>
        <w:topLinePunct/>
        <w:adjustRightInd w:val="0"/>
        <w:snapToGrid w:val="0"/>
        <w:spacing w:line="400" w:lineRule="exact"/>
        <w:ind w:firstLine="496" w:firstLineChars="200"/>
        <w:rPr>
          <w:rFonts w:hint="eastAsia" w:ascii="宋体" w:hAnsi="宋体" w:eastAsia="宋体" w:cs="宋体"/>
          <w:bCs/>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二、如果我司中标，我司保证实际投入本项目的人员与我司投标时一致，且不低于本项目招标文件的要求。否则，我司承诺无条件按招标人的要求进行更换，直至招标人满意为止。</w:t>
      </w:r>
      <w:r>
        <w:rPr>
          <w:rFonts w:hint="eastAsia" w:ascii="宋体" w:hAnsi="宋体" w:eastAsia="宋体" w:cs="宋体"/>
          <w:bCs/>
          <w:snapToGrid w:val="0"/>
          <w:color w:val="auto"/>
          <w:spacing w:val="4"/>
          <w:kern w:val="0"/>
          <w:sz w:val="24"/>
          <w:szCs w:val="24"/>
          <w:highlight w:val="none"/>
        </w:rPr>
        <w:t>经总监理工程师考核，我司未按投标文件投入主要人员或经过更换后的人员不能满足本项目要求的，</w:t>
      </w:r>
      <w:r>
        <w:rPr>
          <w:rFonts w:hint="eastAsia" w:ascii="宋体" w:hAnsi="宋体" w:eastAsia="宋体" w:cs="宋体"/>
          <w:snapToGrid w:val="0"/>
          <w:color w:val="auto"/>
          <w:spacing w:val="4"/>
          <w:kern w:val="0"/>
          <w:sz w:val="24"/>
          <w:szCs w:val="24"/>
          <w:highlight w:val="none"/>
        </w:rPr>
        <w:t>我司承诺</w:t>
      </w:r>
      <w:r>
        <w:rPr>
          <w:rFonts w:hint="eastAsia" w:ascii="宋体" w:hAnsi="宋体" w:eastAsia="宋体" w:cs="宋体"/>
          <w:bCs/>
          <w:snapToGrid w:val="0"/>
          <w:color w:val="auto"/>
          <w:spacing w:val="4"/>
          <w:kern w:val="0"/>
          <w:sz w:val="24"/>
          <w:szCs w:val="24"/>
          <w:highlight w:val="none"/>
        </w:rPr>
        <w:t>除无条件按招标人的要求更换外，还应按合同约定的金额向招标人支付违约金。</w:t>
      </w:r>
    </w:p>
    <w:p w14:paraId="4D04D12F">
      <w:pPr>
        <w:topLinePunct/>
        <w:adjustRightInd w:val="0"/>
        <w:snapToGrid w:val="0"/>
        <w:spacing w:line="400" w:lineRule="exact"/>
        <w:ind w:firstLine="496" w:firstLineChars="200"/>
        <w:rPr>
          <w:rFonts w:hint="eastAsia" w:ascii="宋体" w:hAnsi="宋体" w:eastAsia="宋体" w:cs="宋体"/>
          <w:snapToGrid w:val="0"/>
          <w:color w:val="auto"/>
          <w:spacing w:val="4"/>
          <w:kern w:val="0"/>
          <w:sz w:val="24"/>
          <w:szCs w:val="24"/>
          <w:highlight w:val="none"/>
        </w:rPr>
      </w:pPr>
      <w:r>
        <w:rPr>
          <w:rFonts w:hint="eastAsia" w:ascii="宋体" w:hAnsi="宋体" w:eastAsia="宋体" w:cs="宋体"/>
          <w:bCs/>
          <w:snapToGrid w:val="0"/>
          <w:color w:val="auto"/>
          <w:spacing w:val="4"/>
          <w:kern w:val="0"/>
          <w:sz w:val="24"/>
          <w:szCs w:val="24"/>
          <w:highlight w:val="none"/>
        </w:rPr>
        <w:t>三、</w:t>
      </w:r>
      <w:r>
        <w:rPr>
          <w:rFonts w:hint="eastAsia" w:ascii="宋体" w:hAnsi="宋体" w:eastAsia="宋体" w:cs="宋体"/>
          <w:snapToGrid w:val="0"/>
          <w:color w:val="auto"/>
          <w:spacing w:val="4"/>
          <w:kern w:val="0"/>
          <w:sz w:val="24"/>
          <w:szCs w:val="24"/>
          <w:highlight w:val="none"/>
        </w:rPr>
        <w:t>如果我司中标，我司保证投标时拟派的人员均能在本项目中任职。</w:t>
      </w:r>
    </w:p>
    <w:p w14:paraId="2CD37A33">
      <w:pPr>
        <w:topLinePunct/>
        <w:adjustRightInd w:val="0"/>
        <w:snapToGrid w:val="0"/>
        <w:spacing w:line="400" w:lineRule="exact"/>
        <w:ind w:firstLine="496" w:firstLineChars="200"/>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若项目负责人、技术负责人及专职安全员中有两人或以上未在本项目中任职或其他人员（不含项目负责人、技术负责人及专职安全员）中有三人或以上未在本项目中任职，我方自愿放弃中标资格，予以赔偿给建设单位造成的损失，我方将不提出任何异议。</w:t>
      </w:r>
    </w:p>
    <w:p w14:paraId="76FDB176">
      <w:pPr>
        <w:topLinePunct/>
        <w:adjustRightInd w:val="0"/>
        <w:snapToGrid w:val="0"/>
        <w:spacing w:line="400" w:lineRule="exact"/>
        <w:ind w:firstLine="3472" w:firstLineChars="1400"/>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投标人：　　（盖章）</w:t>
      </w:r>
    </w:p>
    <w:p w14:paraId="58AD7F9C">
      <w:pPr>
        <w:topLinePunct/>
        <w:adjustRightInd w:val="0"/>
        <w:snapToGrid w:val="0"/>
        <w:spacing w:line="400" w:lineRule="exact"/>
        <w:ind w:firstLine="3472" w:firstLineChars="1400"/>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法定代表人或授权代理人(签字或盖章)：</w:t>
      </w:r>
    </w:p>
    <w:p w14:paraId="416350E1">
      <w:pPr>
        <w:topLinePunct/>
        <w:adjustRightInd w:val="0"/>
        <w:snapToGrid w:val="0"/>
        <w:spacing w:line="400" w:lineRule="exact"/>
        <w:ind w:firstLine="3472" w:firstLineChars="1400"/>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技术负责人(签字或盖章)：</w:t>
      </w:r>
    </w:p>
    <w:p w14:paraId="68910BD9">
      <w:pPr>
        <w:topLinePunct/>
        <w:adjustRightInd w:val="0"/>
        <w:snapToGrid w:val="0"/>
        <w:spacing w:line="400" w:lineRule="exact"/>
        <w:ind w:firstLine="3472" w:firstLineChars="1400"/>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项目负责人(签字或盖章)：</w:t>
      </w:r>
    </w:p>
    <w:p w14:paraId="3B81AA1F">
      <w:pPr>
        <w:topLinePunct/>
        <w:adjustRightInd w:val="0"/>
        <w:snapToGrid w:val="0"/>
        <w:spacing w:line="400" w:lineRule="exact"/>
        <w:ind w:firstLine="3472" w:firstLineChars="1400"/>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日期：   年   月    日</w:t>
      </w:r>
    </w:p>
    <w:p w14:paraId="7FB5E69C">
      <w:pPr>
        <w:widowControl/>
        <w:jc w:val="left"/>
        <w:rPr>
          <w:rFonts w:hint="eastAsia" w:ascii="宋体" w:hAnsi="宋体" w:eastAsia="宋体" w:cs="宋体"/>
          <w:snapToGrid w:val="0"/>
          <w:color w:val="auto"/>
          <w:spacing w:val="4"/>
          <w:kern w:val="0"/>
          <w:sz w:val="24"/>
          <w:szCs w:val="24"/>
          <w:highlight w:val="none"/>
        </w:rPr>
      </w:pPr>
    </w:p>
    <w:p w14:paraId="70F682DB">
      <w:pPr>
        <w:widowControl/>
        <w:jc w:val="left"/>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br w:type="page"/>
      </w:r>
    </w:p>
    <w:p w14:paraId="156432F3">
      <w:pPr>
        <w:pStyle w:val="15"/>
        <w:rPr>
          <w:rFonts w:hint="eastAsia" w:ascii="宋体" w:hAnsi="宋体" w:eastAsia="宋体" w:cs="宋体"/>
          <w:color w:val="auto"/>
          <w:highlight w:val="none"/>
        </w:rPr>
      </w:pPr>
      <w:r>
        <w:rPr>
          <w:rFonts w:hint="eastAsia" w:ascii="宋体" w:hAnsi="宋体" w:eastAsia="宋体" w:cs="宋体"/>
          <w:color w:val="auto"/>
          <w:sz w:val="24"/>
          <w:highlight w:val="none"/>
        </w:rPr>
        <w:t>技术标投标文件格式六：</w:t>
      </w:r>
    </w:p>
    <w:p w14:paraId="21EE28DB">
      <w:pPr>
        <w:pStyle w:val="15"/>
        <w:jc w:val="center"/>
        <w:rPr>
          <w:rFonts w:hint="eastAsia" w:ascii="宋体" w:hAnsi="宋体" w:eastAsia="宋体" w:cs="宋体"/>
          <w:b/>
          <w:bCs/>
          <w:color w:val="auto"/>
          <w:sz w:val="30"/>
          <w:szCs w:val="30"/>
          <w:highlight w:val="none"/>
        </w:rPr>
      </w:pPr>
    </w:p>
    <w:p w14:paraId="53895DE8">
      <w:pPr>
        <w:pStyle w:val="15"/>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投标人廉洁承诺书</w:t>
      </w:r>
    </w:p>
    <w:p w14:paraId="5F07CB4F">
      <w:pPr>
        <w:pStyle w:val="19"/>
        <w:spacing w:line="360" w:lineRule="auto"/>
        <w:ind w:right="4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本招标项目招标人及招标监管机构：</w:t>
      </w:r>
    </w:p>
    <w:p w14:paraId="33FF2B09">
      <w:pPr>
        <w:pStyle w:val="19"/>
        <w:spacing w:line="360" w:lineRule="auto"/>
        <w:ind w:right="42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本公司参加了</w:t>
      </w:r>
      <w:r>
        <w:rPr>
          <w:rFonts w:hint="eastAsia" w:ascii="宋体" w:hAnsi="宋体" w:eastAsia="宋体" w:cs="宋体"/>
          <w:color w:val="auto"/>
          <w:sz w:val="21"/>
          <w:szCs w:val="21"/>
          <w:highlight w:val="none"/>
          <w:u w:val="single"/>
        </w:rPr>
        <w:t xml:space="preserve">   （项目名称/标段名称）    </w:t>
      </w:r>
      <w:r>
        <w:rPr>
          <w:rFonts w:hint="eastAsia" w:ascii="宋体" w:hAnsi="宋体" w:eastAsia="宋体" w:cs="宋体"/>
          <w:color w:val="auto"/>
          <w:sz w:val="21"/>
          <w:szCs w:val="21"/>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4E2C465D">
      <w:pPr>
        <w:pStyle w:val="19"/>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一、自觉遵守国家有关法律法规及廉洁规定。</w:t>
      </w:r>
    </w:p>
    <w:p w14:paraId="24E431FB">
      <w:pPr>
        <w:pStyle w:val="19"/>
        <w:spacing w:line="360" w:lineRule="auto"/>
        <w:ind w:right="42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二、不与招标单位工作人员串通投标，损害国家利益、企业利益以及他人的合法利益；</w:t>
      </w:r>
    </w:p>
    <w:p w14:paraId="007D87EF">
      <w:pPr>
        <w:pStyle w:val="19"/>
        <w:spacing w:line="360" w:lineRule="auto"/>
        <w:ind w:right="42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三、不与其他单位围标、串标，不出让投标资格，不向招标人或评标委员会成员行贿。</w:t>
      </w:r>
    </w:p>
    <w:p w14:paraId="0A479388">
      <w:pPr>
        <w:pStyle w:val="19"/>
        <w:spacing w:line="360" w:lineRule="auto"/>
        <w:ind w:right="42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四、不以任何名义向参与招标、评标工作的有关人员提供高消费宴请及娱乐活动和赠送回扣、红包、礼金、购物卡、有价证券、贵重物品和好处费、感谢费等； </w:t>
      </w:r>
    </w:p>
    <w:p w14:paraId="24512DFB">
      <w:pPr>
        <w:pStyle w:val="19"/>
        <w:spacing w:line="360" w:lineRule="auto"/>
        <w:ind w:right="42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五、不以任何名义为参与招标、评标工作的有关人员装修住房、婚丧嫁</w:t>
      </w:r>
      <w:r>
        <w:rPr>
          <w:rFonts w:hint="eastAsia" w:ascii="宋体" w:hAnsi="宋体" w:eastAsia="宋体" w:cs="宋体"/>
          <w:color w:val="auto"/>
          <w:sz w:val="21"/>
          <w:szCs w:val="21"/>
          <w:highlight w:val="none"/>
          <w:lang w:eastAsia="zh-CN"/>
        </w:rPr>
        <w:t>娶</w:t>
      </w:r>
      <w:r>
        <w:rPr>
          <w:rFonts w:hint="eastAsia" w:ascii="宋体" w:hAnsi="宋体" w:eastAsia="宋体" w:cs="宋体"/>
          <w:color w:val="auto"/>
          <w:sz w:val="21"/>
          <w:szCs w:val="21"/>
          <w:highlight w:val="none"/>
        </w:rPr>
        <w:t>、配偶子女的工作安排以及境内外旅游等提供方便；</w:t>
      </w:r>
    </w:p>
    <w:p w14:paraId="4C4F02B8">
      <w:pPr>
        <w:pStyle w:val="19"/>
        <w:spacing w:line="360" w:lineRule="auto"/>
        <w:ind w:right="42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六、不以谋取非正当利益为目的，擅自与参与招标、评标工作的有关人员就业务问题进行私下商谈或者达成利益默契</w:t>
      </w:r>
      <w:r>
        <w:rPr>
          <w:rFonts w:hint="eastAsia" w:ascii="宋体" w:hAnsi="宋体" w:eastAsia="宋体" w:cs="宋体"/>
          <w:color w:val="auto"/>
          <w:sz w:val="21"/>
          <w:szCs w:val="21"/>
          <w:highlight w:val="none"/>
          <w:lang w:eastAsia="zh-CN"/>
        </w:rPr>
        <w:t>。</w:t>
      </w:r>
    </w:p>
    <w:p w14:paraId="18615A15">
      <w:pPr>
        <w:pStyle w:val="19"/>
        <w:spacing w:line="360" w:lineRule="auto"/>
        <w:ind w:right="42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本公司违反上述承诺，或本承诺陈述与事实不符，经查实，本公司愿意接受公开通报，被招标监管部门信用评价记录不良行为并扣分，并承担由此带来的法律后果。</w:t>
      </w:r>
    </w:p>
    <w:p w14:paraId="6B00E7DA">
      <w:pPr>
        <w:rPr>
          <w:rFonts w:hint="eastAsia" w:ascii="宋体" w:hAnsi="宋体" w:eastAsia="宋体" w:cs="宋体"/>
          <w:color w:val="auto"/>
          <w:sz w:val="21"/>
          <w:szCs w:val="21"/>
          <w:highlight w:val="none"/>
          <w:lang w:eastAsia="zh-CN"/>
        </w:rPr>
      </w:pPr>
    </w:p>
    <w:p w14:paraId="3D419287">
      <w:pPr>
        <w:pStyle w:val="7"/>
        <w:rPr>
          <w:rFonts w:hint="eastAsia" w:ascii="宋体" w:hAnsi="宋体" w:eastAsia="宋体" w:cs="宋体"/>
          <w:color w:val="auto"/>
          <w:sz w:val="21"/>
          <w:szCs w:val="21"/>
          <w:highlight w:val="none"/>
          <w:lang w:eastAsia="zh-CN"/>
        </w:rPr>
      </w:pPr>
    </w:p>
    <w:p w14:paraId="1061BD0B">
      <w:pPr>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承诺企业：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（盖单位章）</w:t>
      </w:r>
    </w:p>
    <w:p w14:paraId="4FD9C0AF">
      <w:pPr>
        <w:pStyle w:val="7"/>
        <w:rPr>
          <w:rFonts w:hint="eastAsia" w:ascii="宋体" w:hAnsi="宋体" w:eastAsia="宋体" w:cs="宋体"/>
          <w:color w:val="auto"/>
          <w:highlight w:val="none"/>
          <w:lang w:eastAsia="zh-CN"/>
        </w:rPr>
      </w:pPr>
    </w:p>
    <w:p w14:paraId="00CF57C7">
      <w:pPr>
        <w:pStyle w:val="7"/>
        <w:wordWrap w:val="0"/>
        <w:jc w:val="right"/>
        <w:rPr>
          <w:rFonts w:hint="eastAsia" w:ascii="宋体" w:hAnsi="宋体" w:eastAsia="宋体" w:cs="宋体"/>
          <w:color w:val="auto"/>
          <w:highlight w:val="none"/>
          <w:u w:val="single"/>
          <w:lang w:val="en-US" w:eastAsia="zh-CN"/>
        </w:rPr>
      </w:pP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（签字或盖章）</w:t>
      </w:r>
    </w:p>
    <w:p w14:paraId="6B099A62">
      <w:pPr>
        <w:widowControl/>
        <w:tabs>
          <w:tab w:val="center" w:pos="4153"/>
        </w:tabs>
        <w:jc w:val="center"/>
        <w:rPr>
          <w:rFonts w:hint="eastAsia" w:ascii="宋体" w:hAnsi="宋体" w:eastAsia="宋体" w:cs="宋体"/>
          <w:color w:val="auto"/>
          <w:sz w:val="24"/>
          <w:szCs w:val="24"/>
          <w:highlight w:val="none"/>
        </w:rPr>
      </w:pPr>
    </w:p>
    <w:p w14:paraId="50C4297A">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CDFAEB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技术标投标文件格式七：</w:t>
      </w:r>
    </w:p>
    <w:p w14:paraId="264211B7">
      <w:pPr>
        <w:pStyle w:val="15"/>
        <w:rPr>
          <w:rFonts w:hint="eastAsia" w:ascii="宋体" w:hAnsi="宋体" w:eastAsia="宋体" w:cs="宋体"/>
          <w:color w:val="auto"/>
          <w:highlight w:val="none"/>
        </w:rPr>
      </w:pPr>
    </w:p>
    <w:p w14:paraId="3814D7C7">
      <w:pPr>
        <w:pStyle w:val="123"/>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承  诺  书</w:t>
      </w:r>
    </w:p>
    <w:p w14:paraId="1A8E4C76">
      <w:pPr>
        <w:pStyle w:val="119"/>
        <w:spacing w:line="400" w:lineRule="exact"/>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致：</w:t>
      </w:r>
      <w:r>
        <w:rPr>
          <w:rFonts w:hint="eastAsia" w:ascii="宋体" w:hAnsi="宋体" w:eastAsia="宋体" w:cs="宋体"/>
          <w:bCs/>
          <w:color w:val="auto"/>
          <w:highlight w:val="none"/>
          <w:u w:val="single"/>
          <w:lang w:eastAsia="zh-CN"/>
        </w:rPr>
        <w:t>广州市白云区道路设施养护管理中心</w:t>
      </w:r>
    </w:p>
    <w:p w14:paraId="721CE2F6">
      <w:pPr>
        <w:pStyle w:val="119"/>
        <w:spacing w:line="400" w:lineRule="exact"/>
        <w:ind w:firstLine="496"/>
        <w:rPr>
          <w:rFonts w:hint="eastAsia" w:ascii="宋体" w:hAnsi="宋体" w:eastAsia="宋体" w:cs="宋体"/>
          <w:color w:val="auto"/>
          <w:highlight w:val="none"/>
        </w:rPr>
      </w:pPr>
      <w:r>
        <w:rPr>
          <w:rFonts w:hint="eastAsia" w:ascii="宋体" w:hAnsi="宋体" w:eastAsia="宋体" w:cs="宋体"/>
          <w:color w:val="auto"/>
          <w:highlight w:val="none"/>
        </w:rPr>
        <w:t>经详细阅读本工程招标文件、招标答疑纪要和踏勘现场，我司已理解招标人对本招标项目工程管理的高标准及严格要求，在此，我司郑重作出以下承诺：</w:t>
      </w:r>
    </w:p>
    <w:p w14:paraId="14823EB0">
      <w:pPr>
        <w:pStyle w:val="119"/>
        <w:spacing w:line="400" w:lineRule="exact"/>
        <w:ind w:firstLine="496"/>
        <w:rPr>
          <w:rFonts w:hint="eastAsia" w:ascii="宋体" w:hAnsi="宋体" w:eastAsia="宋体" w:cs="宋体"/>
          <w:color w:val="auto"/>
          <w:highlight w:val="none"/>
        </w:rPr>
      </w:pPr>
      <w:r>
        <w:rPr>
          <w:rFonts w:hint="eastAsia" w:ascii="宋体" w:hAnsi="宋体" w:eastAsia="宋体" w:cs="宋体"/>
          <w:color w:val="auto"/>
          <w:highlight w:val="none"/>
        </w:rPr>
        <w:t>一、我司已按投标须知第5条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施工期间现场条件发生的任何阻碍而影响投标承诺的竣工日期。</w:t>
      </w:r>
    </w:p>
    <w:p w14:paraId="01B77963">
      <w:pPr>
        <w:pStyle w:val="119"/>
        <w:spacing w:line="400" w:lineRule="exact"/>
        <w:ind w:firstLine="496"/>
        <w:rPr>
          <w:rFonts w:hint="eastAsia" w:ascii="宋体" w:hAnsi="宋体" w:eastAsia="宋体" w:cs="宋体"/>
          <w:color w:val="auto"/>
          <w:highlight w:val="none"/>
        </w:rPr>
      </w:pPr>
      <w:r>
        <w:rPr>
          <w:rFonts w:hint="eastAsia" w:ascii="宋体" w:hAnsi="宋体" w:eastAsia="宋体" w:cs="宋体"/>
          <w:color w:val="auto"/>
          <w:highlight w:val="none"/>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14:paraId="0389926E">
      <w:pPr>
        <w:pStyle w:val="119"/>
        <w:spacing w:line="400" w:lineRule="exact"/>
        <w:ind w:firstLine="496"/>
        <w:rPr>
          <w:rFonts w:hint="eastAsia" w:ascii="宋体" w:hAnsi="宋体" w:eastAsia="宋体" w:cs="宋体"/>
          <w:color w:val="auto"/>
          <w:highlight w:val="none"/>
        </w:rPr>
      </w:pPr>
      <w:r>
        <w:rPr>
          <w:rFonts w:hint="eastAsia" w:ascii="宋体" w:hAnsi="宋体" w:eastAsia="宋体" w:cs="宋体"/>
          <w:color w:val="auto"/>
          <w:highlight w:val="none"/>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w:t>
      </w:r>
    </w:p>
    <w:p w14:paraId="2061BA24">
      <w:pPr>
        <w:pStyle w:val="119"/>
        <w:spacing w:line="400" w:lineRule="exact"/>
        <w:ind w:firstLine="496"/>
        <w:rPr>
          <w:rFonts w:hint="eastAsia" w:ascii="宋体" w:hAnsi="宋体" w:eastAsia="宋体" w:cs="宋体"/>
          <w:color w:val="auto"/>
          <w:highlight w:val="none"/>
        </w:rPr>
      </w:pPr>
      <w:r>
        <w:rPr>
          <w:rFonts w:hint="eastAsia" w:ascii="宋体" w:hAnsi="宋体" w:eastAsia="宋体" w:cs="宋体"/>
          <w:color w:val="auto"/>
          <w:highlight w:val="none"/>
        </w:rPr>
        <w:t>四、经认真进行市场调查，我司承诺本招标项目材料、设备来源有保证，可按投标承诺及时组织到货，无需代换，图纸、资料和设计文件中所要求的条件我司全部能够满足。</w:t>
      </w:r>
    </w:p>
    <w:p w14:paraId="55DF3295">
      <w:pPr>
        <w:pStyle w:val="119"/>
        <w:spacing w:line="400" w:lineRule="exact"/>
        <w:ind w:firstLine="496"/>
        <w:rPr>
          <w:rFonts w:hint="eastAsia" w:ascii="宋体" w:hAnsi="宋体" w:eastAsia="宋体" w:cs="宋体"/>
          <w:color w:val="auto"/>
          <w:spacing w:val="2"/>
          <w:position w:val="2"/>
          <w:highlight w:val="none"/>
        </w:rPr>
      </w:pPr>
      <w:r>
        <w:rPr>
          <w:rFonts w:hint="eastAsia" w:ascii="宋体" w:hAnsi="宋体" w:eastAsia="宋体" w:cs="宋体"/>
          <w:color w:val="auto"/>
          <w:highlight w:val="none"/>
        </w:rPr>
        <w:t>五、</w:t>
      </w:r>
      <w:r>
        <w:rPr>
          <w:rFonts w:hint="eastAsia" w:ascii="宋体" w:hAnsi="宋体" w:eastAsia="宋体" w:cs="宋体"/>
          <w:color w:val="auto"/>
          <w:spacing w:val="2"/>
          <w:position w:val="2"/>
          <w:highlight w:val="none"/>
        </w:rPr>
        <w:t>鉴于本工程的重要性、复杂性和工期的紧迫性，为确保按时、按质完成本工程的施工任务，我司经慎重考虑，承诺按招标文件的要求投入人员。否则，按合同规定处理，并承担违约责任。</w:t>
      </w:r>
    </w:p>
    <w:p w14:paraId="5AFCD50A">
      <w:pPr>
        <w:pStyle w:val="119"/>
        <w:spacing w:line="400" w:lineRule="exact"/>
        <w:ind w:firstLine="488"/>
        <w:rPr>
          <w:rFonts w:hint="eastAsia" w:ascii="宋体" w:hAnsi="宋体" w:eastAsia="宋体" w:cs="宋体"/>
          <w:color w:val="auto"/>
          <w:highlight w:val="none"/>
        </w:rPr>
      </w:pPr>
      <w:r>
        <w:rPr>
          <w:rFonts w:hint="eastAsia" w:ascii="宋体" w:hAnsi="宋体" w:eastAsia="宋体" w:cs="宋体"/>
          <w:color w:val="auto"/>
          <w:spacing w:val="2"/>
          <w:position w:val="2"/>
          <w:highlight w:val="none"/>
        </w:rPr>
        <w:t>六、我方同意所递交的投标文件在投标须知规定的投标有效期内有效，在此期间内我方的投标有可能中标，我方将受此约束。如果在投标有效期内撤回投标或放弃中标资格，给贵方造成的损失，贵方有权要求我方进行赔偿。</w:t>
      </w:r>
    </w:p>
    <w:p w14:paraId="0394CDC0">
      <w:pPr>
        <w:pStyle w:val="119"/>
        <w:spacing w:line="400" w:lineRule="exact"/>
        <w:ind w:firstLine="488"/>
        <w:rPr>
          <w:rFonts w:hint="eastAsia" w:ascii="宋体" w:hAnsi="宋体" w:eastAsia="宋体" w:cs="宋体"/>
          <w:color w:val="auto"/>
          <w:highlight w:val="none"/>
        </w:rPr>
      </w:pPr>
      <w:r>
        <w:rPr>
          <w:rFonts w:hint="eastAsia" w:ascii="宋体" w:hAnsi="宋体" w:eastAsia="宋体" w:cs="宋体"/>
          <w:color w:val="auto"/>
          <w:spacing w:val="2"/>
          <w:position w:val="2"/>
          <w:highlight w:val="none"/>
        </w:rPr>
        <w:t>七、</w:t>
      </w:r>
      <w:r>
        <w:rPr>
          <w:rFonts w:hint="eastAsia" w:ascii="宋体" w:hAnsi="宋体" w:eastAsia="宋体" w:cs="宋体"/>
          <w:color w:val="auto"/>
          <w:highlight w:val="none"/>
        </w:rPr>
        <w:t>如果我司中标，我司承诺自中标通知书发出之日起至本项目工程结算经有权审核部门审定之日止确保建设管理相关单位驻现场办公的交通和办公设备设施等满足招标人的要求，服从招标人统一调配，相关费用已包含在我司中标总价中。</w:t>
      </w:r>
    </w:p>
    <w:p w14:paraId="5E98D906">
      <w:pPr>
        <w:pStyle w:val="119"/>
        <w:spacing w:line="400" w:lineRule="exact"/>
        <w:ind w:firstLine="496"/>
        <w:rPr>
          <w:rFonts w:hint="eastAsia" w:ascii="宋体" w:hAnsi="宋体" w:eastAsia="宋体" w:cs="宋体"/>
          <w:color w:val="auto"/>
          <w:highlight w:val="none"/>
        </w:rPr>
      </w:pPr>
      <w:r>
        <w:rPr>
          <w:rFonts w:hint="eastAsia" w:ascii="宋体" w:hAnsi="宋体" w:eastAsia="宋体" w:cs="宋体"/>
          <w:color w:val="auto"/>
          <w:highlight w:val="none"/>
        </w:rPr>
        <w:t>八、我司已充分阅读并结合我司实际全面理解招标文件第三章合同格式的所有内容，经慎重考虑，我司承诺全面响应招标人提出合同条款的全部内容，并已在投标报价中充分考虑招标人合同管理各项要求可能带来的我司成本增加和我司现场施工与相关管理要求的困难。如果我司的投标被接受，将保证按招标文件规定的时间及合同条款与贵司签订合同，且在办理合同签订手续时积极主动配合招标人，不提出任何违反招标文件合同条款精神的任何书面要求和疑问，否则，同意被视为自动放弃中标，对由此造成的后果由我司承担相应的法律责任。</w:t>
      </w:r>
    </w:p>
    <w:p w14:paraId="7148C111">
      <w:pPr>
        <w:pStyle w:val="119"/>
        <w:spacing w:line="400" w:lineRule="exact"/>
        <w:ind w:firstLine="496"/>
        <w:rPr>
          <w:rFonts w:hint="eastAsia" w:ascii="宋体" w:hAnsi="宋体" w:eastAsia="宋体" w:cs="宋体"/>
          <w:bCs/>
          <w:color w:val="auto"/>
          <w:highlight w:val="none"/>
        </w:rPr>
      </w:pPr>
      <w:r>
        <w:rPr>
          <w:rFonts w:hint="eastAsia" w:ascii="宋体" w:hAnsi="宋体" w:eastAsia="宋体" w:cs="宋体"/>
          <w:color w:val="auto"/>
          <w:highlight w:val="none"/>
        </w:rPr>
        <w:t>九、我司保证本工程文明施工和职业健康安全管理方案完全满足国家、省、市政府、主管部门颁布的安全生产规程与规定，完全满足《建筑施工安全检查标准》（JGJ59-2011）、《广州市建设工程现场文明施工管理办法》（穗建质[2008]937号）、《关于进一步规范建设工程施工现场围蔽的通知》（穗建质[2008]1008号）、《广州市城乡建设委员会关于印发广州市加强建筑工地环保管理工作方案的通知(穗建质〔2014〕754号)》、《广州市住房和城乡建设局等9部门关于印发广州市建设工程绿色施工围蔽指导图集（V2.0版）的通知》（穗建质〔2020〕1号）和《广州市建筑工程安全生产措施费管理办法》（穗建筑[2003]106号）各项规定和招标文件要求。否则，愿意无条件接受招标人的任何处罚，直至被清退出场，并为此承担相应的法律责任。</w:t>
      </w:r>
    </w:p>
    <w:p w14:paraId="7F5AF5FB">
      <w:pPr>
        <w:pStyle w:val="119"/>
        <w:spacing w:line="400" w:lineRule="exact"/>
        <w:ind w:firstLine="472"/>
        <w:rPr>
          <w:rFonts w:hint="eastAsia" w:ascii="宋体" w:hAnsi="宋体" w:eastAsia="宋体" w:cs="宋体"/>
          <w:color w:val="auto"/>
          <w:spacing w:val="-2"/>
          <w:highlight w:val="none"/>
          <w:lang w:val="en-US" w:eastAsia="zh-CN"/>
        </w:rPr>
      </w:pPr>
      <w:r>
        <w:rPr>
          <w:rFonts w:hint="eastAsia" w:ascii="宋体" w:hAnsi="宋体" w:eastAsia="宋体" w:cs="宋体"/>
          <w:bCs/>
          <w:color w:val="auto"/>
          <w:spacing w:val="-2"/>
          <w:highlight w:val="none"/>
        </w:rPr>
        <w:t>十、</w:t>
      </w:r>
      <w:r>
        <w:rPr>
          <w:rFonts w:hint="eastAsia" w:ascii="宋体" w:hAnsi="宋体" w:eastAsia="宋体" w:cs="宋体"/>
          <w:color w:val="auto"/>
          <w:spacing w:val="-2"/>
          <w:highlight w:val="none"/>
        </w:rPr>
        <w:t>我司保证本工程竣工验收、竣工资料和竣工备案管理完全符合国家、省、市政府、主管部门颁布的竣工验收和档案管理各项规定及招标文件中提出的各项管理要求。</w:t>
      </w:r>
    </w:p>
    <w:p w14:paraId="53A3D786">
      <w:pPr>
        <w:pStyle w:val="119"/>
        <w:numPr>
          <w:ilvl w:val="0"/>
          <w:numId w:val="0"/>
        </w:numPr>
        <w:spacing w:line="400" w:lineRule="exact"/>
        <w:ind w:firstLine="496"/>
        <w:rPr>
          <w:rFonts w:hint="eastAsia" w:ascii="宋体" w:hAnsi="宋体" w:eastAsia="宋体" w:cs="宋体"/>
          <w:color w:val="auto"/>
          <w:highlight w:val="none"/>
        </w:rPr>
      </w:pPr>
      <w:r>
        <w:rPr>
          <w:rFonts w:hint="eastAsia" w:ascii="宋体" w:hAnsi="宋体" w:eastAsia="宋体" w:cs="宋体"/>
          <w:color w:val="auto"/>
          <w:spacing w:val="4"/>
          <w:kern w:val="2"/>
          <w:sz w:val="24"/>
          <w:szCs w:val="24"/>
          <w:highlight w:val="none"/>
          <w:lang w:val="en-US" w:eastAsia="zh-CN" w:bidi="ar-SA"/>
        </w:rPr>
        <w:t>十一、</w:t>
      </w:r>
      <w:r>
        <w:rPr>
          <w:rFonts w:hint="eastAsia" w:ascii="宋体" w:hAnsi="宋体" w:eastAsia="宋体" w:cs="宋体"/>
          <w:color w:val="auto"/>
          <w:highlight w:val="none"/>
        </w:rPr>
        <w:t>我司保证在本项目投标中不存在围标、串标等违法、违规行为，如经招标监管部门查实存在上述行为，我司同意对由此造成的后果承担相应的法律责任。</w:t>
      </w:r>
    </w:p>
    <w:p w14:paraId="0749B395">
      <w:pPr>
        <w:pStyle w:val="119"/>
        <w:spacing w:line="400" w:lineRule="exact"/>
        <w:ind w:firstLine="496"/>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en-US"/>
        </w:rPr>
        <w:t>二</w:t>
      </w:r>
      <w:r>
        <w:rPr>
          <w:rFonts w:hint="eastAsia" w:ascii="宋体" w:hAnsi="宋体" w:eastAsia="宋体" w:cs="宋体"/>
          <w:color w:val="auto"/>
          <w:highlight w:val="none"/>
        </w:rPr>
        <w:t>、如果我司中标，我司保证实际投入本项目的人员、材料、机械、设备与我司递交的投标文件一致，且不低于本项目招标文件的要求。若不满足招标文件要求，我司承诺无条件按招标人的要求进行更换，直至招标人满意为止。</w:t>
      </w:r>
    </w:p>
    <w:p w14:paraId="416B53A1">
      <w:pPr>
        <w:pStyle w:val="119"/>
        <w:spacing w:line="400" w:lineRule="exact"/>
        <w:ind w:firstLine="496"/>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en-US"/>
        </w:rPr>
        <w:t>三</w:t>
      </w:r>
      <w:r>
        <w:rPr>
          <w:rFonts w:hint="eastAsia" w:ascii="宋体" w:hAnsi="宋体" w:eastAsia="宋体" w:cs="宋体"/>
          <w:color w:val="auto"/>
          <w:highlight w:val="none"/>
        </w:rPr>
        <w:t>、如果我司中标，我司委派的项目负责人将尽职尽责，按合同约定履行项目负责人的各项职责。如项目负责人出现违约行为，招标人对其出具书面《处罚通知书》的，招标人有权拒绝该项目负责人二年内以项目负责人身份参与招标人其他项目的投标。</w:t>
      </w:r>
    </w:p>
    <w:p w14:paraId="3EA71F5C">
      <w:pPr>
        <w:pStyle w:val="119"/>
        <w:spacing w:line="400" w:lineRule="exact"/>
        <w:ind w:firstLine="496"/>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en-US"/>
        </w:rPr>
        <w:t>四</w:t>
      </w:r>
      <w:r>
        <w:rPr>
          <w:rFonts w:hint="eastAsia" w:ascii="宋体" w:hAnsi="宋体" w:eastAsia="宋体" w:cs="宋体"/>
          <w:color w:val="auto"/>
          <w:highlight w:val="none"/>
        </w:rPr>
        <w:t>、如果我司中标，我司按招标文件要求及投标文件依法实施工程分包。如我司投标阶段选择的分包工程或分包单位不满足招标文件要求的，签订合同前将按招标文件要求重新提交分包工程或分包单位报招标人、监理人审核，审批合格方可分包。如出现以下任一情形，我司承诺可分包工程也自行施工，不再分包：</w:t>
      </w:r>
    </w:p>
    <w:p w14:paraId="523E768B">
      <w:pPr>
        <w:pStyle w:val="119"/>
        <w:spacing w:line="400" w:lineRule="exact"/>
        <w:ind w:firstLine="496"/>
        <w:rPr>
          <w:rFonts w:hint="eastAsia" w:ascii="宋体" w:hAnsi="宋体" w:eastAsia="宋体" w:cs="宋体"/>
          <w:color w:val="auto"/>
          <w:highlight w:val="none"/>
        </w:rPr>
      </w:pPr>
      <w:r>
        <w:rPr>
          <w:rFonts w:hint="eastAsia" w:ascii="宋体" w:hAnsi="宋体" w:eastAsia="宋体" w:cs="宋体"/>
          <w:color w:val="auto"/>
          <w:highlight w:val="none"/>
        </w:rPr>
        <w:t>1、投标阶段已明确所有工程均自行施工，不再分包的；</w:t>
      </w:r>
    </w:p>
    <w:p w14:paraId="41EBF069">
      <w:pPr>
        <w:pStyle w:val="119"/>
        <w:spacing w:line="400" w:lineRule="exact"/>
        <w:ind w:firstLine="496"/>
        <w:rPr>
          <w:rFonts w:hint="eastAsia" w:ascii="宋体" w:hAnsi="宋体" w:eastAsia="宋体" w:cs="宋体"/>
          <w:color w:val="auto"/>
          <w:highlight w:val="none"/>
        </w:rPr>
      </w:pPr>
      <w:r>
        <w:rPr>
          <w:rFonts w:hint="eastAsia" w:ascii="宋体" w:hAnsi="宋体" w:eastAsia="宋体" w:cs="宋体"/>
          <w:color w:val="auto"/>
          <w:highlight w:val="none"/>
        </w:rPr>
        <w:t>2、合同签订前未按招标文件选择资质合格的分包单位的；</w:t>
      </w:r>
    </w:p>
    <w:p w14:paraId="5487B4AE">
      <w:pPr>
        <w:pStyle w:val="119"/>
        <w:spacing w:line="400" w:lineRule="exact"/>
        <w:ind w:firstLine="496"/>
        <w:rPr>
          <w:rFonts w:hint="eastAsia" w:ascii="宋体" w:hAnsi="宋体" w:eastAsia="宋体" w:cs="宋体"/>
          <w:color w:val="auto"/>
          <w:highlight w:val="none"/>
        </w:rPr>
      </w:pPr>
      <w:r>
        <w:rPr>
          <w:rFonts w:hint="eastAsia" w:ascii="宋体" w:hAnsi="宋体" w:eastAsia="宋体" w:cs="宋体"/>
          <w:color w:val="auto"/>
          <w:highlight w:val="none"/>
        </w:rPr>
        <w:t>3、投标阶段或合同签订时有选择工程分包及分包单位，但分包工程实施之前，我单位放弃工程分包的；</w:t>
      </w:r>
    </w:p>
    <w:p w14:paraId="685C0162">
      <w:pPr>
        <w:pStyle w:val="119"/>
        <w:spacing w:line="400" w:lineRule="exact"/>
        <w:ind w:firstLine="496"/>
        <w:rPr>
          <w:rFonts w:hint="eastAsia" w:ascii="宋体" w:hAnsi="宋体" w:eastAsia="宋体" w:cs="宋体"/>
          <w:color w:val="auto"/>
          <w:highlight w:val="none"/>
        </w:rPr>
      </w:pPr>
      <w:r>
        <w:rPr>
          <w:rFonts w:hint="eastAsia" w:ascii="宋体" w:hAnsi="宋体" w:eastAsia="宋体" w:cs="宋体"/>
          <w:color w:val="auto"/>
          <w:highlight w:val="none"/>
        </w:rPr>
        <w:t>4、我司与分包单位解除合同的。</w:t>
      </w:r>
    </w:p>
    <w:p w14:paraId="317E36B8">
      <w:pPr>
        <w:pStyle w:val="119"/>
        <w:spacing w:line="400" w:lineRule="exact"/>
        <w:ind w:firstLine="496"/>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en-US"/>
        </w:rPr>
        <w:t>五</w:t>
      </w:r>
      <w:r>
        <w:rPr>
          <w:rFonts w:hint="eastAsia" w:ascii="宋体" w:hAnsi="宋体" w:eastAsia="宋体" w:cs="宋体"/>
          <w:color w:val="auto"/>
          <w:highlight w:val="none"/>
        </w:rPr>
        <w:t>、如果我司中标，对招标人、监理人为确保工程质量管理和工程进度而下达的调整项目经理部组成人员的指令、通知，我司承诺无条件地在限期内执行并调整到位。</w:t>
      </w:r>
    </w:p>
    <w:p w14:paraId="0ECE60FA">
      <w:pPr>
        <w:autoSpaceDE w:val="0"/>
        <w:autoSpaceDN w:val="0"/>
        <w:adjustRightIn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rPr>
        <w:t>六</w:t>
      </w:r>
      <w:r>
        <w:rPr>
          <w:rFonts w:hint="eastAsia" w:ascii="宋体" w:hAnsi="宋体" w:eastAsia="宋体" w:cs="宋体"/>
          <w:color w:val="auto"/>
          <w:sz w:val="24"/>
          <w:highlight w:val="none"/>
        </w:rPr>
        <w:t>、如果我司的投标被接受，我司保证将按国家的有关规定制订保证民工工资支付的方案及保证措施，并在资金使用计划表中按月单列需支付的民工工资计划，并保证发包人不因任何由于我司在发放民工工资事宜上而受到任何处罚、诉讼和罚款。</w:t>
      </w:r>
    </w:p>
    <w:p w14:paraId="52F6C0D2">
      <w:pPr>
        <w:pStyle w:val="119"/>
        <w:spacing w:line="400" w:lineRule="exact"/>
        <w:ind w:firstLine="3472" w:firstLineChars="1400"/>
        <w:rPr>
          <w:rFonts w:hint="eastAsia" w:ascii="宋体" w:hAnsi="宋体" w:eastAsia="宋体" w:cs="宋体"/>
          <w:color w:val="auto"/>
          <w:highlight w:val="none"/>
        </w:rPr>
      </w:pPr>
    </w:p>
    <w:p w14:paraId="6FDB882B">
      <w:pPr>
        <w:pStyle w:val="119"/>
        <w:spacing w:line="400" w:lineRule="exact"/>
        <w:ind w:firstLine="3472" w:firstLineChars="1400"/>
        <w:rPr>
          <w:rFonts w:hint="eastAsia" w:ascii="宋体" w:hAnsi="宋体" w:eastAsia="宋体" w:cs="宋体"/>
          <w:color w:val="auto"/>
          <w:highlight w:val="none"/>
        </w:rPr>
      </w:pPr>
    </w:p>
    <w:p w14:paraId="296FC8D4">
      <w:pPr>
        <w:pStyle w:val="119"/>
        <w:spacing w:line="400" w:lineRule="exact"/>
        <w:ind w:firstLine="3472" w:firstLineChars="1400"/>
        <w:rPr>
          <w:rFonts w:hint="eastAsia" w:ascii="宋体" w:hAnsi="宋体" w:eastAsia="宋体" w:cs="宋体"/>
          <w:color w:val="auto"/>
          <w:highlight w:val="none"/>
        </w:rPr>
      </w:pPr>
      <w:r>
        <w:rPr>
          <w:rFonts w:hint="eastAsia" w:ascii="宋体" w:hAnsi="宋体" w:eastAsia="宋体" w:cs="宋体"/>
          <w:color w:val="auto"/>
          <w:highlight w:val="none"/>
        </w:rPr>
        <w:t>投标人：　　（盖章）</w:t>
      </w:r>
    </w:p>
    <w:p w14:paraId="4B58792B">
      <w:pPr>
        <w:pStyle w:val="119"/>
        <w:spacing w:line="400" w:lineRule="exact"/>
        <w:ind w:firstLine="3472" w:firstLineChars="1400"/>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p>
    <w:p w14:paraId="579DF5DF">
      <w:pPr>
        <w:topLinePunct/>
        <w:adjustRightInd w:val="0"/>
        <w:snapToGrid w:val="0"/>
        <w:spacing w:line="400" w:lineRule="exact"/>
        <w:ind w:firstLine="3472" w:firstLineChars="1400"/>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技术负责人(签字或盖章)：</w:t>
      </w:r>
    </w:p>
    <w:p w14:paraId="67CEF1FA">
      <w:pPr>
        <w:topLinePunct/>
        <w:adjustRightInd w:val="0"/>
        <w:snapToGrid w:val="0"/>
        <w:spacing w:line="400" w:lineRule="exact"/>
        <w:ind w:firstLine="3472" w:firstLineChars="1400"/>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项目负责人(签字或盖章)：</w:t>
      </w:r>
    </w:p>
    <w:p w14:paraId="2D665E89">
      <w:pPr>
        <w:pStyle w:val="119"/>
        <w:spacing w:line="400" w:lineRule="exact"/>
        <w:ind w:firstLine="3472" w:firstLineChars="1400"/>
        <w:rPr>
          <w:rFonts w:hint="eastAsia" w:ascii="宋体" w:hAnsi="宋体" w:eastAsia="宋体" w:cs="宋体"/>
          <w:color w:val="auto"/>
          <w:kern w:val="0"/>
          <w:highlight w:val="none"/>
        </w:rPr>
      </w:pPr>
    </w:p>
    <w:p w14:paraId="0A802497">
      <w:pPr>
        <w:widowControl/>
        <w:tabs>
          <w:tab w:val="center" w:pos="4153"/>
        </w:tabs>
        <w:ind w:firstLine="3570" w:firstLineChars="1700"/>
        <w:rPr>
          <w:rFonts w:hint="eastAsia" w:ascii="宋体" w:hAnsi="宋体" w:eastAsia="宋体" w:cs="宋体"/>
          <w:color w:val="auto"/>
          <w:sz w:val="24"/>
          <w:szCs w:val="24"/>
          <w:highlight w:val="none"/>
        </w:rPr>
      </w:pPr>
      <w:r>
        <w:rPr>
          <w:rFonts w:hint="eastAsia" w:ascii="宋体" w:hAnsi="宋体" w:eastAsia="宋体" w:cs="宋体"/>
          <w:color w:val="auto"/>
          <w:highlight w:val="none"/>
        </w:rPr>
        <w:t>日期：     年   月   日</w:t>
      </w:r>
    </w:p>
    <w:p w14:paraId="32CA88F8">
      <w:pPr>
        <w:widowControl/>
        <w:tabs>
          <w:tab w:val="center" w:pos="4153"/>
        </w:tabs>
        <w:jc w:val="left"/>
        <w:rPr>
          <w:rFonts w:hint="eastAsia" w:ascii="宋体" w:hAnsi="宋体" w:eastAsia="宋体" w:cs="宋体"/>
          <w:snapToGrid w:val="0"/>
          <w:color w:val="auto"/>
          <w:spacing w:val="4"/>
          <w:kern w:val="0"/>
          <w:sz w:val="24"/>
          <w:szCs w:val="24"/>
          <w:highlight w:val="none"/>
        </w:rPr>
      </w:pPr>
      <w:r>
        <w:rPr>
          <w:rFonts w:hint="eastAsia" w:ascii="宋体" w:hAnsi="宋体" w:eastAsia="宋体" w:cs="宋体"/>
          <w:color w:val="auto"/>
          <w:sz w:val="24"/>
          <w:szCs w:val="24"/>
          <w:highlight w:val="none"/>
        </w:rPr>
        <w:br w:type="page"/>
      </w:r>
    </w:p>
    <w:p w14:paraId="7E9C2EF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技术标投标文件格式八：</w:t>
      </w:r>
    </w:p>
    <w:p w14:paraId="1692ED93">
      <w:pPr>
        <w:spacing w:line="360" w:lineRule="auto"/>
        <w:ind w:firstLine="3235" w:firstLineChars="895"/>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  标  函</w:t>
      </w:r>
    </w:p>
    <w:p w14:paraId="4B3F8235">
      <w:pPr>
        <w:spacing w:line="40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u w:val="single"/>
          <w:lang w:eastAsia="zh-CN"/>
        </w:rPr>
        <w:t>广州市白云区道路设施养护管理中心</w:t>
      </w:r>
    </w:p>
    <w:p w14:paraId="5384132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1.根据已收到贵方的项目编号为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工程的招标文件，并已详细审核了全部招标文件及有关附件。</w:t>
      </w:r>
    </w:p>
    <w:p w14:paraId="435361AE">
      <w:pPr>
        <w:snapToGrid w:val="0"/>
        <w:spacing w:line="400" w:lineRule="exact"/>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14:paraId="3D16042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愿以经济标中的投标报价并按上述合同条款、标准和技术规范、图纸、工程量清单等的要求承包上述工程的施工、竣工并修补其任何缺陷。</w:t>
      </w:r>
    </w:p>
    <w:p w14:paraId="44B41416">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我方同意所递交的投标文件在投标须知规定的投标有效期内有效，在此期间内我方的投标有可能中标，我方将受此约束。如果在投标有效期内撤销投标文件或放弃中标资格，给贵方造成的损失，贵方有权要求我方进行赔偿。</w:t>
      </w:r>
    </w:p>
    <w:p w14:paraId="53ACE7BC">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4.我方理解贵方将不受必须接受你们所收到的最低标价或其它任何投标文件的约束。</w:t>
      </w:r>
    </w:p>
    <w:p w14:paraId="3023129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5.如果我方中标，我方保证按招标文件中规定的工期，在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日历天内完成并移交本工程，质量标准达到招标文件中的要求。</w:t>
      </w:r>
    </w:p>
    <w:p w14:paraId="4D4BF8B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6.如果我方中标，我方将按照规定递交由招标人认可，并在招标文件中规定金额的履约保函。</w:t>
      </w:r>
    </w:p>
    <w:p w14:paraId="0673420A">
      <w:pPr>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7.除非另外达成协议并生效，贵方的中标通知书和本投标文件将成为约束双方的合同文件的组成部分。</w:t>
      </w:r>
    </w:p>
    <w:p w14:paraId="25C53AAD">
      <w:pPr>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14:paraId="66A067EC">
      <w:pPr>
        <w:spacing w:line="400" w:lineRule="exact"/>
        <w:ind w:firstLine="480"/>
        <w:rPr>
          <w:rFonts w:hint="eastAsia" w:ascii="宋体" w:hAnsi="宋体" w:eastAsia="宋体" w:cs="宋体"/>
          <w:color w:val="auto"/>
          <w:sz w:val="24"/>
          <w:szCs w:val="24"/>
          <w:highlight w:val="none"/>
        </w:rPr>
      </w:pPr>
    </w:p>
    <w:p w14:paraId="638CC1D3">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             签名或盖章</w:t>
      </w:r>
    </w:p>
    <w:p w14:paraId="7520BD7A">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投标人企业公章：                         </w:t>
      </w:r>
    </w:p>
    <w:p w14:paraId="0F0980E3">
      <w:pPr>
        <w:spacing w:line="4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日期：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日</w:t>
      </w:r>
    </w:p>
    <w:p w14:paraId="61DFD10B">
      <w:pPr>
        <w:pStyle w:val="119"/>
        <w:spacing w:line="400" w:lineRule="exact"/>
        <w:ind w:firstLine="496"/>
        <w:rPr>
          <w:rFonts w:hint="eastAsia" w:ascii="宋体" w:hAnsi="宋体" w:eastAsia="宋体" w:cs="宋体"/>
          <w:color w:val="auto"/>
          <w:highlight w:val="none"/>
        </w:rPr>
      </w:pPr>
    </w:p>
    <w:p w14:paraId="19A0717E">
      <w:pPr>
        <w:pStyle w:val="119"/>
        <w:ind w:firstLine="496"/>
        <w:rPr>
          <w:rFonts w:hint="eastAsia" w:ascii="宋体" w:hAnsi="宋体" w:eastAsia="宋体" w:cs="宋体"/>
          <w:color w:val="auto"/>
          <w:highlight w:val="none"/>
        </w:rPr>
      </w:pPr>
    </w:p>
    <w:p w14:paraId="0ACE3EF7">
      <w:pPr>
        <w:pStyle w:val="119"/>
        <w:ind w:firstLine="496"/>
        <w:rPr>
          <w:rFonts w:hint="eastAsia" w:ascii="宋体" w:hAnsi="宋体" w:eastAsia="宋体" w:cs="宋体"/>
          <w:color w:val="auto"/>
          <w:highlight w:val="none"/>
        </w:rPr>
      </w:pPr>
    </w:p>
    <w:p w14:paraId="27BDD50B">
      <w:pPr>
        <w:pStyle w:val="15"/>
        <w:rPr>
          <w:rFonts w:hint="eastAsia" w:ascii="宋体" w:hAnsi="宋体" w:eastAsia="宋体" w:cs="宋体"/>
          <w:color w:val="auto"/>
          <w:sz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highlight w:val="none"/>
        </w:rPr>
        <w:t>技术标投标文件格式九：</w:t>
      </w:r>
    </w:p>
    <w:tbl>
      <w:tblPr>
        <w:tblStyle w:val="36"/>
        <w:tblW w:w="8523" w:type="dxa"/>
        <w:tblInd w:w="0" w:type="dxa"/>
        <w:tblLayout w:type="fixed"/>
        <w:tblCellMar>
          <w:top w:w="0" w:type="dxa"/>
          <w:left w:w="108" w:type="dxa"/>
          <w:bottom w:w="0" w:type="dxa"/>
          <w:right w:w="108" w:type="dxa"/>
        </w:tblCellMar>
      </w:tblPr>
      <w:tblGrid>
        <w:gridCol w:w="798"/>
        <w:gridCol w:w="1454"/>
        <w:gridCol w:w="1795"/>
        <w:gridCol w:w="1795"/>
        <w:gridCol w:w="2681"/>
      </w:tblGrid>
      <w:tr w14:paraId="0DD318ED">
        <w:tblPrEx>
          <w:tblCellMar>
            <w:top w:w="0" w:type="dxa"/>
            <w:left w:w="108" w:type="dxa"/>
            <w:bottom w:w="0" w:type="dxa"/>
            <w:right w:w="108" w:type="dxa"/>
          </w:tblCellMar>
        </w:tblPrEx>
        <w:trPr>
          <w:trHeight w:val="1159" w:hRule="atLeast"/>
        </w:trPr>
        <w:tc>
          <w:tcPr>
            <w:tcW w:w="8523" w:type="dxa"/>
            <w:gridSpan w:val="5"/>
            <w:tcBorders>
              <w:top w:val="nil"/>
              <w:left w:val="nil"/>
              <w:bottom w:val="single" w:color="auto" w:sz="4" w:space="0"/>
              <w:right w:val="nil"/>
            </w:tcBorders>
            <w:vAlign w:val="center"/>
          </w:tcPr>
          <w:p w14:paraId="32284AB7">
            <w:pPr>
              <w:widowControl/>
              <w:jc w:val="center"/>
              <w:rPr>
                <w:rFonts w:hint="eastAsia" w:ascii="宋体" w:hAnsi="宋体" w:eastAsia="宋体" w:cs="宋体"/>
                <w:b/>
                <w:bCs/>
                <w:color w:val="auto"/>
                <w:kern w:val="0"/>
                <w:sz w:val="32"/>
                <w:szCs w:val="32"/>
                <w:highlight w:val="none"/>
              </w:rPr>
            </w:pPr>
            <w:bookmarkStart w:id="72" w:name="_Hlk61439518"/>
            <w:r>
              <w:rPr>
                <w:rFonts w:hint="eastAsia" w:ascii="宋体" w:hAnsi="宋体" w:eastAsia="宋体" w:cs="宋体"/>
                <w:b/>
                <w:bCs/>
                <w:color w:val="auto"/>
                <w:kern w:val="0"/>
                <w:sz w:val="32"/>
                <w:szCs w:val="32"/>
                <w:highlight w:val="none"/>
              </w:rPr>
              <w:t>施工项目管理团队人员信息表</w:t>
            </w:r>
            <w:bookmarkEnd w:id="72"/>
          </w:p>
        </w:tc>
      </w:tr>
      <w:tr w14:paraId="431F9772">
        <w:tblPrEx>
          <w:tblCellMar>
            <w:top w:w="0" w:type="dxa"/>
            <w:left w:w="108" w:type="dxa"/>
            <w:bottom w:w="0" w:type="dxa"/>
            <w:right w:w="108" w:type="dxa"/>
          </w:tblCellMar>
        </w:tblPrEx>
        <w:trPr>
          <w:trHeight w:val="975" w:hRule="atLeast"/>
        </w:trPr>
        <w:tc>
          <w:tcPr>
            <w:tcW w:w="798" w:type="dxa"/>
            <w:tcBorders>
              <w:top w:val="nil"/>
              <w:left w:val="single" w:color="auto" w:sz="4" w:space="0"/>
              <w:bottom w:val="single" w:color="auto" w:sz="4" w:space="0"/>
              <w:right w:val="single" w:color="auto" w:sz="4" w:space="0"/>
            </w:tcBorders>
            <w:vAlign w:val="center"/>
          </w:tcPr>
          <w:p w14:paraId="15B9A8E5">
            <w:pPr>
              <w:widowControl/>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序号</w:t>
            </w:r>
          </w:p>
        </w:tc>
        <w:tc>
          <w:tcPr>
            <w:tcW w:w="1454" w:type="dxa"/>
            <w:tcBorders>
              <w:top w:val="nil"/>
              <w:left w:val="nil"/>
              <w:bottom w:val="single" w:color="auto" w:sz="4" w:space="0"/>
              <w:right w:val="single" w:color="auto" w:sz="4" w:space="0"/>
            </w:tcBorders>
            <w:vAlign w:val="center"/>
          </w:tcPr>
          <w:p w14:paraId="540C36F0">
            <w:pPr>
              <w:widowControl/>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姓名</w:t>
            </w:r>
          </w:p>
        </w:tc>
        <w:tc>
          <w:tcPr>
            <w:tcW w:w="1795" w:type="dxa"/>
            <w:tcBorders>
              <w:top w:val="nil"/>
              <w:left w:val="nil"/>
              <w:bottom w:val="single" w:color="auto" w:sz="4" w:space="0"/>
              <w:right w:val="single" w:color="auto" w:sz="4" w:space="0"/>
            </w:tcBorders>
            <w:vAlign w:val="center"/>
          </w:tcPr>
          <w:p w14:paraId="3CCFF993">
            <w:pPr>
              <w:widowControl/>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岗位</w:t>
            </w:r>
          </w:p>
        </w:tc>
        <w:tc>
          <w:tcPr>
            <w:tcW w:w="1795" w:type="dxa"/>
            <w:tcBorders>
              <w:top w:val="nil"/>
              <w:left w:val="nil"/>
              <w:bottom w:val="single" w:color="auto" w:sz="4" w:space="0"/>
              <w:right w:val="single" w:color="auto" w:sz="4" w:space="0"/>
            </w:tcBorders>
            <w:vAlign w:val="center"/>
          </w:tcPr>
          <w:p w14:paraId="69E72CA8">
            <w:pPr>
              <w:widowControl/>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职称</w:t>
            </w:r>
          </w:p>
        </w:tc>
        <w:tc>
          <w:tcPr>
            <w:tcW w:w="2681" w:type="dxa"/>
            <w:tcBorders>
              <w:top w:val="nil"/>
              <w:left w:val="nil"/>
              <w:bottom w:val="single" w:color="auto" w:sz="4" w:space="0"/>
              <w:right w:val="single" w:color="auto" w:sz="4" w:space="0"/>
            </w:tcBorders>
            <w:vAlign w:val="center"/>
          </w:tcPr>
          <w:p w14:paraId="333E1CC9">
            <w:pPr>
              <w:widowControl/>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职称证书或资格证书编号</w:t>
            </w:r>
          </w:p>
        </w:tc>
      </w:tr>
      <w:tr w14:paraId="329E9D6D">
        <w:tblPrEx>
          <w:tblCellMar>
            <w:top w:w="0" w:type="dxa"/>
            <w:left w:w="108" w:type="dxa"/>
            <w:bottom w:w="0" w:type="dxa"/>
            <w:right w:w="108" w:type="dxa"/>
          </w:tblCellMar>
        </w:tblPrEx>
        <w:trPr>
          <w:trHeight w:val="399" w:hRule="atLeast"/>
        </w:trPr>
        <w:tc>
          <w:tcPr>
            <w:tcW w:w="798" w:type="dxa"/>
            <w:tcBorders>
              <w:top w:val="nil"/>
              <w:left w:val="single" w:color="auto" w:sz="4" w:space="0"/>
              <w:bottom w:val="single" w:color="auto" w:sz="4" w:space="0"/>
              <w:right w:val="single" w:color="auto" w:sz="4" w:space="0"/>
            </w:tcBorders>
            <w:vAlign w:val="center"/>
          </w:tcPr>
          <w:p w14:paraId="02AE6CAB">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w:t>
            </w:r>
          </w:p>
        </w:tc>
        <w:tc>
          <w:tcPr>
            <w:tcW w:w="1454" w:type="dxa"/>
            <w:tcBorders>
              <w:top w:val="nil"/>
              <w:left w:val="nil"/>
              <w:bottom w:val="single" w:color="auto" w:sz="4" w:space="0"/>
              <w:right w:val="single" w:color="auto" w:sz="4" w:space="0"/>
            </w:tcBorders>
            <w:vAlign w:val="center"/>
          </w:tcPr>
          <w:p w14:paraId="28904B57">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144B3063">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技术负责人</w:t>
            </w:r>
          </w:p>
        </w:tc>
        <w:tc>
          <w:tcPr>
            <w:tcW w:w="1795" w:type="dxa"/>
            <w:tcBorders>
              <w:top w:val="nil"/>
              <w:left w:val="nil"/>
              <w:bottom w:val="single" w:color="auto" w:sz="4" w:space="0"/>
              <w:right w:val="single" w:color="auto" w:sz="4" w:space="0"/>
            </w:tcBorders>
            <w:vAlign w:val="center"/>
          </w:tcPr>
          <w:p w14:paraId="6D10B9EF">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2E69653B">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r>
      <w:tr w14:paraId="6AAD0B6A">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1447866B">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p>
        </w:tc>
        <w:tc>
          <w:tcPr>
            <w:tcW w:w="1454" w:type="dxa"/>
            <w:tcBorders>
              <w:top w:val="nil"/>
              <w:left w:val="nil"/>
              <w:bottom w:val="single" w:color="auto" w:sz="4" w:space="0"/>
              <w:right w:val="single" w:color="auto" w:sz="4" w:space="0"/>
            </w:tcBorders>
            <w:vAlign w:val="center"/>
          </w:tcPr>
          <w:p w14:paraId="33A00E13">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68E77A97">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质量负责人</w:t>
            </w:r>
          </w:p>
        </w:tc>
        <w:tc>
          <w:tcPr>
            <w:tcW w:w="1795" w:type="dxa"/>
            <w:tcBorders>
              <w:top w:val="nil"/>
              <w:left w:val="nil"/>
              <w:bottom w:val="single" w:color="auto" w:sz="4" w:space="0"/>
              <w:right w:val="single" w:color="auto" w:sz="4" w:space="0"/>
            </w:tcBorders>
            <w:vAlign w:val="center"/>
          </w:tcPr>
          <w:p w14:paraId="43339932">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16E904E1">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r>
      <w:tr w14:paraId="1AED52BF">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14A29A41">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w:t>
            </w:r>
          </w:p>
        </w:tc>
        <w:tc>
          <w:tcPr>
            <w:tcW w:w="1454" w:type="dxa"/>
            <w:tcBorders>
              <w:top w:val="nil"/>
              <w:left w:val="nil"/>
              <w:bottom w:val="single" w:color="auto" w:sz="4" w:space="0"/>
              <w:right w:val="single" w:color="auto" w:sz="4" w:space="0"/>
            </w:tcBorders>
            <w:vAlign w:val="center"/>
          </w:tcPr>
          <w:p w14:paraId="36907231">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616FAF7A">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安全负责人</w:t>
            </w:r>
          </w:p>
        </w:tc>
        <w:tc>
          <w:tcPr>
            <w:tcW w:w="1795" w:type="dxa"/>
            <w:tcBorders>
              <w:top w:val="nil"/>
              <w:left w:val="nil"/>
              <w:bottom w:val="single" w:color="auto" w:sz="4" w:space="0"/>
              <w:right w:val="single" w:color="auto" w:sz="4" w:space="0"/>
            </w:tcBorders>
            <w:vAlign w:val="center"/>
          </w:tcPr>
          <w:p w14:paraId="0B1E3211">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255FA404">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r>
      <w:tr w14:paraId="4A787E14">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51D25D4E">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w:t>
            </w:r>
          </w:p>
        </w:tc>
        <w:tc>
          <w:tcPr>
            <w:tcW w:w="1454" w:type="dxa"/>
            <w:tcBorders>
              <w:top w:val="nil"/>
              <w:left w:val="nil"/>
              <w:bottom w:val="single" w:color="auto" w:sz="4" w:space="0"/>
              <w:right w:val="single" w:color="auto" w:sz="4" w:space="0"/>
            </w:tcBorders>
            <w:vAlign w:val="center"/>
          </w:tcPr>
          <w:p w14:paraId="296852EE">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3C8746EC">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造价负责人</w:t>
            </w:r>
          </w:p>
        </w:tc>
        <w:tc>
          <w:tcPr>
            <w:tcW w:w="1795" w:type="dxa"/>
            <w:tcBorders>
              <w:top w:val="nil"/>
              <w:left w:val="nil"/>
              <w:bottom w:val="single" w:color="auto" w:sz="4" w:space="0"/>
              <w:right w:val="single" w:color="auto" w:sz="4" w:space="0"/>
            </w:tcBorders>
            <w:vAlign w:val="center"/>
          </w:tcPr>
          <w:p w14:paraId="1BDB291F">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4A9BCACB">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r>
      <w:tr w14:paraId="4BCE5F6A">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7366CFDE">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w:t>
            </w:r>
          </w:p>
        </w:tc>
        <w:tc>
          <w:tcPr>
            <w:tcW w:w="1454" w:type="dxa"/>
            <w:tcBorders>
              <w:top w:val="nil"/>
              <w:left w:val="nil"/>
              <w:bottom w:val="single" w:color="auto" w:sz="4" w:space="0"/>
              <w:right w:val="single" w:color="auto" w:sz="4" w:space="0"/>
            </w:tcBorders>
            <w:vAlign w:val="center"/>
          </w:tcPr>
          <w:p w14:paraId="268D48F6">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5219106E">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施工员</w:t>
            </w:r>
          </w:p>
        </w:tc>
        <w:tc>
          <w:tcPr>
            <w:tcW w:w="1795" w:type="dxa"/>
            <w:tcBorders>
              <w:top w:val="nil"/>
              <w:left w:val="nil"/>
              <w:bottom w:val="single" w:color="auto" w:sz="4" w:space="0"/>
              <w:right w:val="single" w:color="auto" w:sz="4" w:space="0"/>
            </w:tcBorders>
            <w:vAlign w:val="center"/>
          </w:tcPr>
          <w:p w14:paraId="51EDE57C">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4BB7D955">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r>
      <w:tr w14:paraId="49138277">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5BC945AC">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w:t>
            </w:r>
          </w:p>
        </w:tc>
        <w:tc>
          <w:tcPr>
            <w:tcW w:w="1454" w:type="dxa"/>
            <w:tcBorders>
              <w:top w:val="nil"/>
              <w:left w:val="nil"/>
              <w:bottom w:val="single" w:color="auto" w:sz="4" w:space="0"/>
              <w:right w:val="single" w:color="auto" w:sz="4" w:space="0"/>
            </w:tcBorders>
            <w:vAlign w:val="center"/>
          </w:tcPr>
          <w:p w14:paraId="39D4930E">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5184E40A">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质量员</w:t>
            </w:r>
          </w:p>
        </w:tc>
        <w:tc>
          <w:tcPr>
            <w:tcW w:w="1795" w:type="dxa"/>
            <w:tcBorders>
              <w:top w:val="nil"/>
              <w:left w:val="nil"/>
              <w:bottom w:val="single" w:color="auto" w:sz="4" w:space="0"/>
              <w:right w:val="single" w:color="auto" w:sz="4" w:space="0"/>
            </w:tcBorders>
            <w:vAlign w:val="center"/>
          </w:tcPr>
          <w:p w14:paraId="5CE50768">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3E65668C">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r>
      <w:tr w14:paraId="5423D86B">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62D65EED">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w:t>
            </w:r>
          </w:p>
        </w:tc>
        <w:tc>
          <w:tcPr>
            <w:tcW w:w="1454" w:type="dxa"/>
            <w:tcBorders>
              <w:top w:val="nil"/>
              <w:left w:val="nil"/>
              <w:bottom w:val="single" w:color="auto" w:sz="4" w:space="0"/>
              <w:right w:val="single" w:color="auto" w:sz="4" w:space="0"/>
            </w:tcBorders>
            <w:vAlign w:val="center"/>
          </w:tcPr>
          <w:p w14:paraId="3AFE72A0">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6ACF68BB">
            <w:pPr>
              <w:widowControl/>
              <w:jc w:val="center"/>
              <w:rPr>
                <w:rFonts w:hint="eastAsia" w:ascii="宋体" w:hAnsi="宋体" w:eastAsia="宋体" w:cs="宋体"/>
                <w:color w:val="auto"/>
                <w:kern w:val="0"/>
                <w:sz w:val="28"/>
                <w:szCs w:val="28"/>
                <w:highlight w:val="none"/>
              </w:rPr>
            </w:pPr>
            <w:r>
              <w:rPr>
                <w:rFonts w:hint="eastAsia" w:ascii="宋体" w:hAnsi="宋体" w:cs="宋体"/>
                <w:color w:val="auto"/>
                <w:kern w:val="0"/>
                <w:sz w:val="28"/>
                <w:szCs w:val="28"/>
                <w:highlight w:val="none"/>
                <w:lang w:val="en-US" w:eastAsia="zh-CN"/>
              </w:rPr>
              <w:t>资料</w:t>
            </w:r>
            <w:r>
              <w:rPr>
                <w:rFonts w:hint="eastAsia" w:ascii="宋体" w:hAnsi="宋体" w:eastAsia="宋体" w:cs="宋体"/>
                <w:color w:val="auto"/>
                <w:kern w:val="0"/>
                <w:sz w:val="28"/>
                <w:szCs w:val="28"/>
                <w:highlight w:val="none"/>
              </w:rPr>
              <w:t>员</w:t>
            </w:r>
          </w:p>
        </w:tc>
        <w:tc>
          <w:tcPr>
            <w:tcW w:w="1795" w:type="dxa"/>
            <w:tcBorders>
              <w:top w:val="nil"/>
              <w:left w:val="nil"/>
              <w:bottom w:val="single" w:color="auto" w:sz="4" w:space="0"/>
              <w:right w:val="single" w:color="auto" w:sz="4" w:space="0"/>
            </w:tcBorders>
            <w:vAlign w:val="center"/>
          </w:tcPr>
          <w:p w14:paraId="09B1D5D6">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0FE2F493">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r>
      <w:tr w14:paraId="5BDC3136">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61E2F25D">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1454" w:type="dxa"/>
            <w:tcBorders>
              <w:top w:val="nil"/>
              <w:left w:val="nil"/>
              <w:bottom w:val="single" w:color="auto" w:sz="4" w:space="0"/>
              <w:right w:val="single" w:color="auto" w:sz="4" w:space="0"/>
            </w:tcBorders>
            <w:vAlign w:val="center"/>
          </w:tcPr>
          <w:p w14:paraId="18B00B09">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3A9641F3">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2F6C23E7">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19837FEF">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r>
      <w:tr w14:paraId="56D930B5">
        <w:tblPrEx>
          <w:tblCellMar>
            <w:top w:w="0" w:type="dxa"/>
            <w:left w:w="108" w:type="dxa"/>
            <w:bottom w:w="0" w:type="dxa"/>
            <w:right w:w="108" w:type="dxa"/>
          </w:tblCellMar>
        </w:tblPrEx>
        <w:trPr>
          <w:trHeight w:val="3424" w:hRule="atLeast"/>
        </w:trPr>
        <w:tc>
          <w:tcPr>
            <w:tcW w:w="8523" w:type="dxa"/>
            <w:gridSpan w:val="5"/>
            <w:tcBorders>
              <w:top w:val="single" w:color="auto" w:sz="4" w:space="0"/>
              <w:left w:val="single" w:color="auto" w:sz="4" w:space="0"/>
              <w:bottom w:val="single" w:color="auto" w:sz="4" w:space="0"/>
              <w:right w:val="single" w:color="auto" w:sz="4" w:space="0"/>
            </w:tcBorders>
            <w:vAlign w:val="center"/>
          </w:tcPr>
          <w:p w14:paraId="0B7757CA">
            <w:pPr>
              <w:widowControl/>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备注：</w:t>
            </w:r>
          </w:p>
          <w:p w14:paraId="0D4AA465">
            <w:pPr>
              <w:widowControl/>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1、“岗位”要求</w:t>
            </w:r>
            <w:r>
              <w:rPr>
                <w:rFonts w:hint="eastAsia" w:ascii="宋体" w:hAnsi="宋体" w:eastAsia="宋体" w:cs="宋体"/>
                <w:b/>
                <w:bCs/>
                <w:color w:val="auto"/>
                <w:kern w:val="0"/>
                <w:sz w:val="28"/>
                <w:szCs w:val="28"/>
                <w:highlight w:val="none"/>
              </w:rPr>
              <w:t>（除项目负责人和专职安全员外）：</w:t>
            </w:r>
            <w:r>
              <w:rPr>
                <w:rFonts w:hint="eastAsia" w:ascii="宋体" w:hAnsi="宋体" w:eastAsia="宋体" w:cs="宋体"/>
                <w:color w:val="auto"/>
                <w:kern w:val="0"/>
                <w:sz w:val="28"/>
                <w:szCs w:val="28"/>
                <w:highlight w:val="none"/>
              </w:rPr>
              <w:t>拟派技术负责人、质量负责人、安全负责人、造价负责人、施工员、质量员、资料员等。以上项目管理团队人员信息将供各相关单位在履约时比对、查核。</w:t>
            </w:r>
          </w:p>
          <w:p w14:paraId="51654FF5">
            <w:pPr>
              <w:widowControl/>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w:t>
            </w:r>
          </w:p>
          <w:p w14:paraId="31ED1B1C">
            <w:pPr>
              <w:widowControl/>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3、如评标办法对投标人拟投入的项目管理团队进行评审的，</w:t>
            </w:r>
            <w:bookmarkStart w:id="73" w:name="_Hlk61439507"/>
            <w:r>
              <w:rPr>
                <w:rFonts w:hint="eastAsia" w:ascii="宋体" w:hAnsi="宋体" w:eastAsia="宋体" w:cs="宋体"/>
                <w:color w:val="auto"/>
                <w:kern w:val="0"/>
                <w:sz w:val="28"/>
                <w:szCs w:val="28"/>
                <w:highlight w:val="none"/>
              </w:rPr>
              <w:t>如相同岗位投入人员姓名与本表不一致的，以本表中姓名为准；投标人提供的团队人员职称或资格（含证书编号）情况与本表不一致的，以投标人提供的相关证明材料为准。</w:t>
            </w:r>
            <w:bookmarkEnd w:id="73"/>
          </w:p>
        </w:tc>
      </w:tr>
    </w:tbl>
    <w:p w14:paraId="48ACF434">
      <w:pPr>
        <w:widowControl/>
        <w:tabs>
          <w:tab w:val="center" w:pos="4153"/>
        </w:tabs>
        <w:jc w:val="left"/>
        <w:rPr>
          <w:rFonts w:hint="eastAsia" w:ascii="宋体" w:hAnsi="宋体" w:eastAsia="宋体" w:cs="宋体"/>
          <w:snapToGrid w:val="0"/>
          <w:color w:val="auto"/>
          <w:spacing w:val="4"/>
          <w:kern w:val="0"/>
          <w:sz w:val="24"/>
          <w:szCs w:val="24"/>
          <w:highlight w:val="none"/>
        </w:rPr>
        <w:sectPr>
          <w:pgSz w:w="11907" w:h="16839"/>
          <w:pgMar w:top="1440" w:right="1800" w:bottom="1440" w:left="1800" w:header="851" w:footer="595" w:gutter="0"/>
          <w:pgBorders>
            <w:top w:val="none" w:sz="0" w:space="0"/>
            <w:left w:val="none" w:sz="0" w:space="0"/>
            <w:bottom w:val="none" w:sz="0" w:space="0"/>
            <w:right w:val="none" w:sz="0" w:space="0"/>
          </w:pgBorders>
          <w:cols w:space="720" w:num="1"/>
          <w:docGrid w:type="lines" w:linePitch="312" w:charSpace="0"/>
        </w:sectPr>
      </w:pPr>
    </w:p>
    <w:p w14:paraId="6FD1E1EC">
      <w:pPr>
        <w:tabs>
          <w:tab w:val="left" w:pos="720"/>
        </w:tabs>
        <w:snapToGrid w:val="0"/>
        <w:spacing w:line="360" w:lineRule="auto"/>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技术标投标文件格式十：</w:t>
      </w:r>
    </w:p>
    <w:p w14:paraId="25E639B3">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 w:val="32"/>
          <w:szCs w:val="32"/>
          <w:highlight w:val="none"/>
        </w:rPr>
        <w:t>参与编制技术标投标文件人员名单</w:t>
      </w:r>
    </w:p>
    <w:tbl>
      <w:tblPr>
        <w:tblStyle w:val="36"/>
        <w:tblW w:w="82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53AD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6F453D5F">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r>
      <w:tr w14:paraId="3680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57F1B935">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56DDDD4B">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487743A9">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42888D06">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3806A6A0">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本人签名栏</w:t>
            </w:r>
          </w:p>
        </w:tc>
      </w:tr>
      <w:tr w14:paraId="5991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1966F85F">
            <w:pPr>
              <w:tabs>
                <w:tab w:val="left" w:pos="720"/>
              </w:tabs>
              <w:snapToGrid w:val="0"/>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34D5CA0E">
            <w:pPr>
              <w:tabs>
                <w:tab w:val="left" w:pos="720"/>
              </w:tabs>
              <w:snapToGrid w:val="0"/>
              <w:spacing w:line="360" w:lineRule="auto"/>
              <w:jc w:val="center"/>
              <w:rPr>
                <w:rFonts w:hint="eastAsia" w:ascii="宋体" w:hAnsi="宋体" w:eastAsia="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5E2DD5E1">
            <w:pPr>
              <w:tabs>
                <w:tab w:val="left" w:pos="720"/>
              </w:tabs>
              <w:snapToGrid w:val="0"/>
              <w:spacing w:line="360" w:lineRule="auto"/>
              <w:jc w:val="center"/>
              <w:rPr>
                <w:rFonts w:hint="eastAsia" w:ascii="宋体" w:hAnsi="宋体" w:eastAsia="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1DEC1517">
            <w:pPr>
              <w:tabs>
                <w:tab w:val="left" w:pos="720"/>
              </w:tabs>
              <w:snapToGrid w:val="0"/>
              <w:spacing w:line="360" w:lineRule="auto"/>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96E0684">
            <w:pPr>
              <w:tabs>
                <w:tab w:val="left" w:pos="720"/>
              </w:tabs>
              <w:snapToGrid w:val="0"/>
              <w:spacing w:line="360" w:lineRule="auto"/>
              <w:jc w:val="center"/>
              <w:rPr>
                <w:rFonts w:hint="eastAsia" w:ascii="宋体" w:hAnsi="宋体" w:eastAsia="宋体" w:cs="宋体"/>
                <w:color w:val="auto"/>
                <w:szCs w:val="21"/>
                <w:highlight w:val="none"/>
              </w:rPr>
            </w:pPr>
          </w:p>
        </w:tc>
      </w:tr>
      <w:tr w14:paraId="1D25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043A7695">
            <w:pPr>
              <w:tabs>
                <w:tab w:val="left" w:pos="720"/>
              </w:tabs>
              <w:snapToGrid w:val="0"/>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0572BE23">
            <w:pPr>
              <w:tabs>
                <w:tab w:val="left" w:pos="720"/>
              </w:tabs>
              <w:snapToGrid w:val="0"/>
              <w:spacing w:line="360" w:lineRule="auto"/>
              <w:jc w:val="center"/>
              <w:rPr>
                <w:rFonts w:hint="eastAsia" w:ascii="宋体" w:hAnsi="宋体" w:eastAsia="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2794D38F">
            <w:pPr>
              <w:tabs>
                <w:tab w:val="left" w:pos="720"/>
              </w:tabs>
              <w:snapToGrid w:val="0"/>
              <w:spacing w:line="360" w:lineRule="auto"/>
              <w:jc w:val="center"/>
              <w:rPr>
                <w:rFonts w:hint="eastAsia" w:ascii="宋体" w:hAnsi="宋体" w:eastAsia="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7902D37F">
            <w:pPr>
              <w:tabs>
                <w:tab w:val="left" w:pos="720"/>
              </w:tabs>
              <w:snapToGrid w:val="0"/>
              <w:spacing w:line="360" w:lineRule="auto"/>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FC7CFB3">
            <w:pPr>
              <w:tabs>
                <w:tab w:val="left" w:pos="720"/>
              </w:tabs>
              <w:snapToGrid w:val="0"/>
              <w:spacing w:line="360" w:lineRule="auto"/>
              <w:jc w:val="center"/>
              <w:rPr>
                <w:rFonts w:hint="eastAsia" w:ascii="宋体" w:hAnsi="宋体" w:eastAsia="宋体" w:cs="宋体"/>
                <w:color w:val="auto"/>
                <w:szCs w:val="21"/>
                <w:highlight w:val="none"/>
              </w:rPr>
            </w:pPr>
          </w:p>
        </w:tc>
      </w:tr>
      <w:tr w14:paraId="62CC9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48508877">
            <w:pPr>
              <w:tabs>
                <w:tab w:val="left" w:pos="720"/>
              </w:tabs>
              <w:snapToGrid w:val="0"/>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CAFC847">
            <w:pPr>
              <w:tabs>
                <w:tab w:val="left" w:pos="720"/>
              </w:tabs>
              <w:snapToGrid w:val="0"/>
              <w:spacing w:line="360" w:lineRule="auto"/>
              <w:jc w:val="center"/>
              <w:rPr>
                <w:rFonts w:hint="eastAsia" w:ascii="宋体" w:hAnsi="宋体" w:eastAsia="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6BC7C792">
            <w:pPr>
              <w:tabs>
                <w:tab w:val="left" w:pos="720"/>
              </w:tabs>
              <w:snapToGrid w:val="0"/>
              <w:spacing w:line="360" w:lineRule="auto"/>
              <w:jc w:val="center"/>
              <w:rPr>
                <w:rFonts w:hint="eastAsia" w:ascii="宋体" w:hAnsi="宋体" w:eastAsia="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1662F2C9">
            <w:pPr>
              <w:tabs>
                <w:tab w:val="left" w:pos="720"/>
              </w:tabs>
              <w:snapToGrid w:val="0"/>
              <w:spacing w:line="360" w:lineRule="auto"/>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69DCABB">
            <w:pPr>
              <w:tabs>
                <w:tab w:val="left" w:pos="720"/>
              </w:tabs>
              <w:snapToGrid w:val="0"/>
              <w:spacing w:line="360" w:lineRule="auto"/>
              <w:jc w:val="center"/>
              <w:rPr>
                <w:rFonts w:hint="eastAsia" w:ascii="宋体" w:hAnsi="宋体" w:eastAsia="宋体" w:cs="宋体"/>
                <w:color w:val="auto"/>
                <w:szCs w:val="21"/>
                <w:highlight w:val="none"/>
              </w:rPr>
            </w:pPr>
          </w:p>
        </w:tc>
      </w:tr>
      <w:tr w14:paraId="3EF4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00636A99">
            <w:pPr>
              <w:tabs>
                <w:tab w:val="left" w:pos="720"/>
              </w:tabs>
              <w:snapToGrid w:val="0"/>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0B18CD17">
            <w:pPr>
              <w:tabs>
                <w:tab w:val="left" w:pos="720"/>
              </w:tabs>
              <w:snapToGrid w:val="0"/>
              <w:spacing w:line="360" w:lineRule="auto"/>
              <w:jc w:val="center"/>
              <w:rPr>
                <w:rFonts w:hint="eastAsia" w:ascii="宋体" w:hAnsi="宋体" w:eastAsia="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A7226BD">
            <w:pPr>
              <w:tabs>
                <w:tab w:val="left" w:pos="720"/>
              </w:tabs>
              <w:snapToGrid w:val="0"/>
              <w:spacing w:line="360" w:lineRule="auto"/>
              <w:jc w:val="center"/>
              <w:rPr>
                <w:rFonts w:hint="eastAsia" w:ascii="宋体" w:hAnsi="宋体" w:eastAsia="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C15FD62">
            <w:pPr>
              <w:tabs>
                <w:tab w:val="left" w:pos="720"/>
              </w:tabs>
              <w:snapToGrid w:val="0"/>
              <w:spacing w:line="360" w:lineRule="auto"/>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EF0FA28">
            <w:pPr>
              <w:tabs>
                <w:tab w:val="left" w:pos="720"/>
              </w:tabs>
              <w:snapToGrid w:val="0"/>
              <w:spacing w:line="360" w:lineRule="auto"/>
              <w:jc w:val="center"/>
              <w:rPr>
                <w:rFonts w:hint="eastAsia" w:ascii="宋体" w:hAnsi="宋体" w:eastAsia="宋体" w:cs="宋体"/>
                <w:color w:val="auto"/>
                <w:szCs w:val="21"/>
                <w:highlight w:val="none"/>
              </w:rPr>
            </w:pPr>
          </w:p>
        </w:tc>
      </w:tr>
      <w:tr w14:paraId="302F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A314E74">
            <w:pPr>
              <w:tabs>
                <w:tab w:val="left" w:pos="720"/>
              </w:tabs>
              <w:snapToGrid w:val="0"/>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35D14A96">
            <w:pPr>
              <w:tabs>
                <w:tab w:val="left" w:pos="720"/>
              </w:tabs>
              <w:snapToGrid w:val="0"/>
              <w:spacing w:line="360" w:lineRule="auto"/>
              <w:jc w:val="center"/>
              <w:rPr>
                <w:rFonts w:hint="eastAsia" w:ascii="宋体" w:hAnsi="宋体" w:eastAsia="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5DF15E84">
            <w:pPr>
              <w:tabs>
                <w:tab w:val="left" w:pos="720"/>
              </w:tabs>
              <w:snapToGrid w:val="0"/>
              <w:spacing w:line="360" w:lineRule="auto"/>
              <w:jc w:val="center"/>
              <w:rPr>
                <w:rFonts w:hint="eastAsia" w:ascii="宋体" w:hAnsi="宋体" w:eastAsia="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18D99726">
            <w:pPr>
              <w:tabs>
                <w:tab w:val="left" w:pos="720"/>
              </w:tabs>
              <w:snapToGrid w:val="0"/>
              <w:spacing w:line="360" w:lineRule="auto"/>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7F3C2C0">
            <w:pPr>
              <w:tabs>
                <w:tab w:val="left" w:pos="720"/>
              </w:tabs>
              <w:snapToGrid w:val="0"/>
              <w:spacing w:line="360" w:lineRule="auto"/>
              <w:jc w:val="center"/>
              <w:rPr>
                <w:rFonts w:hint="eastAsia" w:ascii="宋体" w:hAnsi="宋体" w:eastAsia="宋体" w:cs="宋体"/>
                <w:color w:val="auto"/>
                <w:szCs w:val="21"/>
                <w:highlight w:val="none"/>
              </w:rPr>
            </w:pPr>
          </w:p>
        </w:tc>
      </w:tr>
      <w:tr w14:paraId="07C3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53EFE4E">
            <w:pPr>
              <w:tabs>
                <w:tab w:val="left" w:pos="720"/>
              </w:tabs>
              <w:snapToGrid w:val="0"/>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2806117F">
            <w:pPr>
              <w:tabs>
                <w:tab w:val="left" w:pos="720"/>
              </w:tabs>
              <w:snapToGrid w:val="0"/>
              <w:spacing w:line="360" w:lineRule="auto"/>
              <w:jc w:val="center"/>
              <w:rPr>
                <w:rFonts w:hint="eastAsia" w:ascii="宋体" w:hAnsi="宋体" w:eastAsia="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7A94C089">
            <w:pPr>
              <w:tabs>
                <w:tab w:val="left" w:pos="720"/>
              </w:tabs>
              <w:snapToGrid w:val="0"/>
              <w:spacing w:line="360" w:lineRule="auto"/>
              <w:jc w:val="center"/>
              <w:rPr>
                <w:rFonts w:hint="eastAsia" w:ascii="宋体" w:hAnsi="宋体" w:eastAsia="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7F6EB202">
            <w:pPr>
              <w:tabs>
                <w:tab w:val="left" w:pos="720"/>
              </w:tabs>
              <w:snapToGrid w:val="0"/>
              <w:spacing w:line="360" w:lineRule="auto"/>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211ECF13">
            <w:pPr>
              <w:tabs>
                <w:tab w:val="left" w:pos="720"/>
              </w:tabs>
              <w:snapToGrid w:val="0"/>
              <w:spacing w:line="360" w:lineRule="auto"/>
              <w:jc w:val="center"/>
              <w:rPr>
                <w:rFonts w:hint="eastAsia" w:ascii="宋体" w:hAnsi="宋体" w:eastAsia="宋体" w:cs="宋体"/>
                <w:color w:val="auto"/>
                <w:szCs w:val="21"/>
                <w:highlight w:val="none"/>
              </w:rPr>
            </w:pPr>
          </w:p>
        </w:tc>
      </w:tr>
      <w:tr w14:paraId="5429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71D1EE48">
            <w:pPr>
              <w:tabs>
                <w:tab w:val="left" w:pos="720"/>
              </w:tabs>
              <w:snapToGrid w:val="0"/>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0AA2D721">
            <w:pPr>
              <w:tabs>
                <w:tab w:val="left" w:pos="720"/>
              </w:tabs>
              <w:snapToGrid w:val="0"/>
              <w:spacing w:line="360" w:lineRule="auto"/>
              <w:jc w:val="center"/>
              <w:rPr>
                <w:rFonts w:hint="eastAsia" w:ascii="宋体" w:hAnsi="宋体" w:eastAsia="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7E247017">
            <w:pPr>
              <w:tabs>
                <w:tab w:val="left" w:pos="720"/>
              </w:tabs>
              <w:snapToGrid w:val="0"/>
              <w:spacing w:line="360" w:lineRule="auto"/>
              <w:jc w:val="center"/>
              <w:rPr>
                <w:rFonts w:hint="eastAsia" w:ascii="宋体" w:hAnsi="宋体" w:eastAsia="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21DCCED1">
            <w:pPr>
              <w:tabs>
                <w:tab w:val="left" w:pos="720"/>
              </w:tabs>
              <w:snapToGrid w:val="0"/>
              <w:spacing w:line="360" w:lineRule="auto"/>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F758188">
            <w:pPr>
              <w:tabs>
                <w:tab w:val="left" w:pos="720"/>
              </w:tabs>
              <w:snapToGrid w:val="0"/>
              <w:spacing w:line="360" w:lineRule="auto"/>
              <w:jc w:val="center"/>
              <w:rPr>
                <w:rFonts w:hint="eastAsia" w:ascii="宋体" w:hAnsi="宋体" w:eastAsia="宋体" w:cs="宋体"/>
                <w:color w:val="auto"/>
                <w:szCs w:val="21"/>
                <w:highlight w:val="none"/>
              </w:rPr>
            </w:pPr>
          </w:p>
        </w:tc>
      </w:tr>
      <w:tr w14:paraId="0645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4A9DA7EB">
            <w:pPr>
              <w:tabs>
                <w:tab w:val="left" w:pos="720"/>
              </w:tabs>
              <w:snapToGrid w:val="0"/>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5528664C">
            <w:pPr>
              <w:tabs>
                <w:tab w:val="left" w:pos="720"/>
              </w:tabs>
              <w:snapToGrid w:val="0"/>
              <w:spacing w:line="360" w:lineRule="auto"/>
              <w:jc w:val="center"/>
              <w:rPr>
                <w:rFonts w:hint="eastAsia" w:ascii="宋体" w:hAnsi="宋体" w:eastAsia="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75F8A5D4">
            <w:pPr>
              <w:tabs>
                <w:tab w:val="left" w:pos="720"/>
              </w:tabs>
              <w:snapToGrid w:val="0"/>
              <w:spacing w:line="360" w:lineRule="auto"/>
              <w:jc w:val="center"/>
              <w:rPr>
                <w:rFonts w:hint="eastAsia" w:ascii="宋体" w:hAnsi="宋体" w:eastAsia="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7AB00316">
            <w:pPr>
              <w:tabs>
                <w:tab w:val="left" w:pos="720"/>
              </w:tabs>
              <w:snapToGrid w:val="0"/>
              <w:spacing w:line="360" w:lineRule="auto"/>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65827A3">
            <w:pPr>
              <w:tabs>
                <w:tab w:val="left" w:pos="720"/>
              </w:tabs>
              <w:snapToGrid w:val="0"/>
              <w:spacing w:line="360" w:lineRule="auto"/>
              <w:jc w:val="center"/>
              <w:rPr>
                <w:rFonts w:hint="eastAsia" w:ascii="宋体" w:hAnsi="宋体" w:eastAsia="宋体" w:cs="宋体"/>
                <w:color w:val="auto"/>
                <w:szCs w:val="21"/>
                <w:highlight w:val="none"/>
              </w:rPr>
            </w:pPr>
          </w:p>
        </w:tc>
      </w:tr>
    </w:tbl>
    <w:p w14:paraId="4D54ECA8">
      <w:pPr>
        <w:tabs>
          <w:tab w:val="left" w:pos="720"/>
        </w:tabs>
        <w:snapToGrid w:val="0"/>
        <w:spacing w:line="360" w:lineRule="auto"/>
        <w:rPr>
          <w:rFonts w:hint="eastAsia" w:ascii="宋体" w:hAnsi="宋体" w:eastAsia="宋体" w:cs="宋体"/>
          <w:color w:val="auto"/>
          <w:sz w:val="24"/>
          <w:szCs w:val="24"/>
          <w:highlight w:val="none"/>
        </w:rPr>
      </w:pPr>
    </w:p>
    <w:p w14:paraId="2A53C9AC">
      <w:pPr>
        <w:pStyle w:val="35"/>
        <w:spacing w:after="0" w:line="360" w:lineRule="auto"/>
        <w:ind w:left="-2" w:leftChars="-1" w:firstLine="367" w:firstLineChars="17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注：参与编制投标文件所有人员名单应包括如编制技术投标方案、负责清样校对、负责打印及复印等所有人员在内的人员名单。</w:t>
      </w:r>
    </w:p>
    <w:p w14:paraId="60F6347F">
      <w:pPr>
        <w:pStyle w:val="35"/>
        <w:spacing w:after="0" w:line="360" w:lineRule="auto"/>
        <w:ind w:left="-2" w:leftChars="-1" w:firstLineChars="175"/>
        <w:jc w:val="center"/>
        <w:rPr>
          <w:rFonts w:hint="eastAsia" w:ascii="宋体" w:hAnsi="宋体" w:eastAsia="宋体" w:cs="宋体"/>
          <w:color w:val="auto"/>
          <w:sz w:val="24"/>
          <w:szCs w:val="24"/>
          <w:highlight w:val="none"/>
        </w:rPr>
      </w:pPr>
    </w:p>
    <w:p w14:paraId="446ECF60">
      <w:pPr>
        <w:autoSpaceDE w:val="0"/>
        <w:autoSpaceDN w:val="0"/>
        <w:adjustRightInd w:val="0"/>
        <w:rPr>
          <w:rFonts w:hint="eastAsia" w:ascii="宋体" w:hAnsi="宋体" w:eastAsia="宋体" w:cs="宋体"/>
          <w:color w:val="auto"/>
          <w:sz w:val="24"/>
          <w:szCs w:val="24"/>
          <w:highlight w:val="none"/>
        </w:rPr>
      </w:pPr>
    </w:p>
    <w:p w14:paraId="57D90964">
      <w:pPr>
        <w:spacing w:line="320" w:lineRule="exact"/>
        <w:rPr>
          <w:rFonts w:hint="eastAsia" w:ascii="宋体" w:hAnsi="宋体" w:eastAsia="宋体" w:cs="宋体"/>
          <w:color w:val="auto"/>
          <w:szCs w:val="21"/>
          <w:highlight w:val="none"/>
        </w:rPr>
      </w:pPr>
    </w:p>
    <w:p w14:paraId="1AB58BA3">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E28D1D5">
      <w:pPr>
        <w:tabs>
          <w:tab w:val="left" w:pos="720"/>
        </w:tabs>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技术标投标文件格式十</w:t>
      </w:r>
      <w:r>
        <w:rPr>
          <w:rFonts w:hint="eastAsia" w:ascii="宋体" w:hAnsi="宋体" w:eastAsia="宋体" w:cs="宋体"/>
          <w:color w:val="auto"/>
          <w:sz w:val="24"/>
          <w:highlight w:val="none"/>
          <w:lang w:val="en-US" w:eastAsia="zh-CN"/>
        </w:rPr>
        <w:t>一：</w:t>
      </w:r>
    </w:p>
    <w:p w14:paraId="1591D49E">
      <w:pPr>
        <w:pStyle w:val="123"/>
        <w:spacing w:before="156" w:beforeLines="50" w:after="156" w:line="240" w:lineRule="auto"/>
        <w:rPr>
          <w:rStyle w:val="124"/>
          <w:rFonts w:hint="eastAsia" w:ascii="宋体" w:hAnsi="宋体" w:eastAsia="宋体" w:cs="宋体"/>
          <w:bCs/>
          <w:color w:val="auto"/>
          <w:sz w:val="30"/>
          <w:szCs w:val="30"/>
          <w:highlight w:val="none"/>
        </w:rPr>
      </w:pPr>
      <w:r>
        <w:rPr>
          <w:rStyle w:val="124"/>
          <w:rFonts w:hint="eastAsia" w:ascii="宋体" w:hAnsi="宋体" w:eastAsia="宋体" w:cs="宋体"/>
          <w:bCs/>
          <w:color w:val="auto"/>
          <w:sz w:val="30"/>
          <w:szCs w:val="30"/>
          <w:highlight w:val="none"/>
        </w:rPr>
        <w:t>危险性较大的分部分项工程清单及</w:t>
      </w:r>
    </w:p>
    <w:p w14:paraId="17DCDDC4">
      <w:pPr>
        <w:pStyle w:val="123"/>
        <w:spacing w:before="156" w:beforeLines="50" w:after="156" w:line="240" w:lineRule="auto"/>
        <w:rPr>
          <w:rStyle w:val="124"/>
          <w:rFonts w:hint="eastAsia" w:ascii="宋体" w:hAnsi="宋体" w:eastAsia="宋体" w:cs="宋体"/>
          <w:bCs/>
          <w:color w:val="auto"/>
          <w:sz w:val="30"/>
          <w:szCs w:val="30"/>
          <w:highlight w:val="none"/>
        </w:rPr>
      </w:pPr>
      <w:r>
        <w:rPr>
          <w:rStyle w:val="124"/>
          <w:rFonts w:hint="eastAsia" w:ascii="宋体" w:hAnsi="宋体" w:eastAsia="宋体" w:cs="宋体"/>
          <w:bCs/>
          <w:color w:val="auto"/>
          <w:sz w:val="30"/>
          <w:szCs w:val="30"/>
          <w:highlight w:val="none"/>
        </w:rPr>
        <w:t>超过一定规模的危险性较大的分部分项工程清单</w:t>
      </w:r>
    </w:p>
    <w:p w14:paraId="5ECA08A0">
      <w:pPr>
        <w:widowControl w:val="0"/>
        <w:autoSpaceDE w:val="0"/>
        <w:autoSpaceDN w:val="0"/>
        <w:adjustRightInd w:val="0"/>
        <w:spacing w:line="276"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1.根据中华人民共和国住房和城乡建设部令第37号《危险性较大的分部分项工程安全管理规定》（以下简称“37号文”），投标人在投标时须补充完善危大工程清单并明确相应的安全管理措施。</w:t>
      </w:r>
    </w:p>
    <w:p w14:paraId="29E6E557">
      <w:pPr>
        <w:widowControl w:val="0"/>
        <w:autoSpaceDE w:val="0"/>
        <w:autoSpaceDN w:val="0"/>
        <w:adjustRightInd w:val="0"/>
        <w:spacing w:line="276"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2.招标人根据设计文件的要求及37号文的规定列出“危险性较大的分部分项工程清单及超过一定规模的危险性较大的分部分项工程清单”中与本招标项目相关的清单项，具体详见第5点“打√”标识。</w:t>
      </w:r>
    </w:p>
    <w:p w14:paraId="10DF23C6">
      <w:pPr>
        <w:widowControl w:val="0"/>
        <w:autoSpaceDE w:val="0"/>
        <w:autoSpaceDN w:val="0"/>
        <w:adjustRightInd w:val="0"/>
        <w:spacing w:line="276"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（1）投标单位同意建设单位在清单中标识的该项请在对应项打“√”标识，并与投标文件中提供相应的安全管理措施。</w:t>
      </w:r>
    </w:p>
    <w:p w14:paraId="3C482D46">
      <w:pPr>
        <w:widowControl w:val="0"/>
        <w:autoSpaceDE w:val="0"/>
        <w:autoSpaceDN w:val="0"/>
        <w:adjustRightInd w:val="0"/>
        <w:spacing w:line="276"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（2）投标单位对清单中认为需要补充的该项请在对应项打“√”标识，并与投标文件中提供相应的安全管理措施。</w:t>
      </w:r>
    </w:p>
    <w:p w14:paraId="48D7A784">
      <w:pPr>
        <w:widowControl w:val="0"/>
        <w:autoSpaceDE w:val="0"/>
        <w:autoSpaceDN w:val="0"/>
        <w:adjustRightInd w:val="0"/>
        <w:spacing w:line="276"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（3）投标单位不同意建设单位在清单中标识的该项请在对应项打“×”标识，并在备注栏填上相关说明。</w:t>
      </w:r>
    </w:p>
    <w:p w14:paraId="220FCF6B">
      <w:pPr>
        <w:widowControl w:val="0"/>
        <w:autoSpaceDE w:val="0"/>
        <w:autoSpaceDN w:val="0"/>
        <w:adjustRightInd w:val="0"/>
        <w:spacing w:line="276"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3.投标单位中标后应当根据招标人提供的下述第5点清单，在</w:t>
      </w:r>
      <w:r>
        <w:rPr>
          <w:rStyle w:val="44"/>
          <w:rFonts w:hint="eastAsia" w:ascii="宋体" w:hAnsi="宋体" w:eastAsia="宋体" w:cs="宋体"/>
          <w:color w:val="auto"/>
          <w:highlight w:val="none"/>
        </w:rPr>
        <w:t>施工前</w:t>
      </w:r>
      <w:r>
        <w:rPr>
          <w:rFonts w:hint="eastAsia" w:ascii="宋体" w:hAnsi="宋体" w:eastAsia="宋体" w:cs="宋体"/>
          <w:color w:val="auto"/>
          <w:szCs w:val="21"/>
          <w:highlight w:val="none"/>
        </w:rPr>
        <w:t>编制专项施工方案。</w:t>
      </w:r>
    </w:p>
    <w:p w14:paraId="180CDCAC">
      <w:pPr>
        <w:widowControl w:val="0"/>
        <w:autoSpaceDE w:val="0"/>
        <w:autoSpaceDN w:val="0"/>
        <w:adjustRightInd w:val="0"/>
        <w:spacing w:line="276"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7F1FF6D0">
      <w:pPr>
        <w:widowControl w:val="0"/>
        <w:autoSpaceDE w:val="0"/>
        <w:autoSpaceDN w:val="0"/>
        <w:adjustRightInd w:val="0"/>
        <w:spacing w:line="276"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5.危险性较大的分部分项工程清单及超过一定规模的危险性较大的分部分项工程清单：</w:t>
      </w:r>
    </w:p>
    <w:tbl>
      <w:tblPr>
        <w:tblStyle w:val="36"/>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1361"/>
        <w:gridCol w:w="1361"/>
        <w:gridCol w:w="1063"/>
      </w:tblGrid>
      <w:tr w14:paraId="016F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14:paraId="61FBBB8F">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一、危险性较大的分部分项工程清单</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78AE61A">
            <w:pPr>
              <w:jc w:val="center"/>
              <w:rPr>
                <w:rFonts w:hint="eastAsia" w:ascii="宋体" w:hAnsi="宋体" w:eastAsia="宋体" w:cs="宋体"/>
                <w:color w:val="auto"/>
                <w:sz w:val="24"/>
                <w:szCs w:val="36"/>
                <w:highlight w:val="none"/>
              </w:rPr>
            </w:pPr>
            <w:r>
              <w:rPr>
                <w:rFonts w:hint="eastAsia" w:ascii="宋体" w:hAnsi="宋体" w:eastAsia="宋体" w:cs="宋体"/>
                <w:color w:val="auto"/>
                <w:sz w:val="24"/>
                <w:szCs w:val="36"/>
                <w:highlight w:val="none"/>
              </w:rPr>
              <w:t>建设单位</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6D19AEE">
            <w:pPr>
              <w:jc w:val="center"/>
              <w:rPr>
                <w:rFonts w:hint="eastAsia" w:ascii="宋体" w:hAnsi="宋体" w:eastAsia="宋体" w:cs="宋体"/>
                <w:color w:val="auto"/>
                <w:sz w:val="24"/>
                <w:szCs w:val="36"/>
                <w:highlight w:val="none"/>
              </w:rPr>
            </w:pPr>
            <w:r>
              <w:rPr>
                <w:rFonts w:hint="eastAsia" w:ascii="宋体" w:hAnsi="宋体" w:eastAsia="宋体" w:cs="宋体"/>
                <w:color w:val="auto"/>
                <w:sz w:val="24"/>
                <w:szCs w:val="36"/>
                <w:highlight w:val="none"/>
              </w:rPr>
              <w:t>投标单位</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3D4AC6D">
            <w:pPr>
              <w:jc w:val="center"/>
              <w:rPr>
                <w:rFonts w:hint="eastAsia" w:ascii="宋体" w:hAnsi="宋体" w:eastAsia="宋体" w:cs="宋体"/>
                <w:color w:val="auto"/>
                <w:sz w:val="24"/>
                <w:szCs w:val="36"/>
                <w:highlight w:val="none"/>
              </w:rPr>
            </w:pPr>
            <w:r>
              <w:rPr>
                <w:rFonts w:hint="eastAsia" w:ascii="宋体" w:hAnsi="宋体" w:eastAsia="宋体" w:cs="宋体"/>
                <w:color w:val="auto"/>
                <w:sz w:val="24"/>
                <w:szCs w:val="36"/>
                <w:highlight w:val="none"/>
              </w:rPr>
              <w:t>备注</w:t>
            </w:r>
          </w:p>
        </w:tc>
      </w:tr>
      <w:tr w14:paraId="597D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0EFE4860">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一、基坑支护</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E84993A">
            <w:pPr>
              <w:jc w:val="center"/>
              <w:rPr>
                <w:rFonts w:hint="eastAsia" w:ascii="宋体" w:hAnsi="宋体" w:eastAsia="宋体" w:cs="宋体"/>
                <w:color w:val="auto"/>
                <w:sz w:val="24"/>
                <w:szCs w:val="36"/>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83B9C11">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BF1B3FD">
            <w:pPr>
              <w:jc w:val="center"/>
              <w:rPr>
                <w:rFonts w:hint="eastAsia" w:ascii="宋体" w:hAnsi="宋体" w:eastAsia="宋体" w:cs="宋体"/>
                <w:color w:val="auto"/>
                <w:sz w:val="24"/>
                <w:szCs w:val="36"/>
                <w:highlight w:val="none"/>
              </w:rPr>
            </w:pPr>
          </w:p>
        </w:tc>
      </w:tr>
      <w:tr w14:paraId="41F4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13CF305C">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（一）开挖深度超过3m（含3m）的基坑（槽）的土方开挖、支护、降水工程。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611F4F4">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w:t>
            </w:r>
            <w:r>
              <w:rPr>
                <w:rFonts w:hint="eastAsia" w:ascii="宋体" w:hAnsi="宋体" w:eastAsia="宋体" w:cs="宋体"/>
                <w:color w:val="auto"/>
                <w:sz w:val="24"/>
                <w:szCs w:val="36"/>
                <w:highlight w:val="none"/>
                <w:lang w:val="en-US" w:eastAsia="zh-CN"/>
              </w:rPr>
              <w:t xml:space="preserve">  </w:t>
            </w:r>
            <w:r>
              <w:rPr>
                <w:rFonts w:hint="eastAsia" w:ascii="宋体" w:hAnsi="宋体" w:eastAsia="宋体" w:cs="宋体"/>
                <w:color w:val="auto"/>
                <w:sz w:val="24"/>
                <w:szCs w:val="36"/>
                <w:highlight w:val="none"/>
              </w:rPr>
              <w:t>)</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FCBF176">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706EA4B">
            <w:pPr>
              <w:jc w:val="center"/>
              <w:rPr>
                <w:rFonts w:hint="eastAsia" w:ascii="宋体" w:hAnsi="宋体" w:eastAsia="宋体" w:cs="宋体"/>
                <w:color w:val="auto"/>
                <w:sz w:val="24"/>
                <w:szCs w:val="36"/>
                <w:highlight w:val="none"/>
              </w:rPr>
            </w:pPr>
          </w:p>
        </w:tc>
      </w:tr>
      <w:tr w14:paraId="7CFC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20772898">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（二）开挖深度虽未超过3m，但地质条件、周围环境和地下管线复杂，或影响毗邻建、构筑物安全的基坑（槽）的土方开挖、支护、降水工程。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8FFD10E">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w:t>
            </w:r>
            <w:r>
              <w:rPr>
                <w:rFonts w:hint="eastAsia" w:ascii="宋体" w:hAnsi="宋体" w:eastAsia="宋体" w:cs="宋体"/>
                <w:color w:val="auto"/>
                <w:sz w:val="24"/>
                <w:szCs w:val="36"/>
                <w:highlight w:val="none"/>
                <w:lang w:val="en-US" w:eastAsia="zh-CN"/>
              </w:rPr>
              <w:t xml:space="preserve">  </w:t>
            </w:r>
            <w:r>
              <w:rPr>
                <w:rFonts w:hint="eastAsia" w:ascii="宋体" w:hAnsi="宋体" w:eastAsia="宋体" w:cs="宋体"/>
                <w:color w:val="auto"/>
                <w:sz w:val="24"/>
                <w:szCs w:val="36"/>
                <w:highlight w:val="none"/>
              </w:rPr>
              <w:t>)</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FC29DB0">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CAA470C">
            <w:pPr>
              <w:jc w:val="center"/>
              <w:rPr>
                <w:rFonts w:hint="eastAsia" w:ascii="宋体" w:hAnsi="宋体" w:eastAsia="宋体" w:cs="宋体"/>
                <w:color w:val="auto"/>
                <w:sz w:val="24"/>
                <w:szCs w:val="36"/>
                <w:highlight w:val="none"/>
              </w:rPr>
            </w:pPr>
          </w:p>
        </w:tc>
      </w:tr>
      <w:tr w14:paraId="5924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626D02C2">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二、模板工程及支撑体系</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0DEE113">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D26127F">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CB0F014">
            <w:pPr>
              <w:jc w:val="center"/>
              <w:rPr>
                <w:rFonts w:hint="eastAsia" w:ascii="宋体" w:hAnsi="宋体" w:eastAsia="宋体" w:cs="宋体"/>
                <w:color w:val="auto"/>
                <w:sz w:val="24"/>
                <w:szCs w:val="36"/>
                <w:highlight w:val="none"/>
              </w:rPr>
            </w:pPr>
          </w:p>
        </w:tc>
      </w:tr>
      <w:tr w14:paraId="1095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31C170AD">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（一）各类工具式模板工程：包括滑模、爬模、飞模、隧道模等工程。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EB85C2D">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9F1BF92">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B286F35">
            <w:pPr>
              <w:jc w:val="center"/>
              <w:rPr>
                <w:rFonts w:hint="eastAsia" w:ascii="宋体" w:hAnsi="宋体" w:eastAsia="宋体" w:cs="宋体"/>
                <w:color w:val="auto"/>
                <w:sz w:val="24"/>
                <w:szCs w:val="36"/>
                <w:highlight w:val="none"/>
              </w:rPr>
            </w:pPr>
          </w:p>
        </w:tc>
      </w:tr>
      <w:tr w14:paraId="5A1C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1B45D1D3">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13E0E46">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1111D0D">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C36D6BC">
            <w:pPr>
              <w:jc w:val="center"/>
              <w:rPr>
                <w:rFonts w:hint="eastAsia" w:ascii="宋体" w:hAnsi="宋体" w:eastAsia="宋体" w:cs="宋体"/>
                <w:color w:val="auto"/>
                <w:sz w:val="24"/>
                <w:szCs w:val="36"/>
                <w:highlight w:val="none"/>
              </w:rPr>
            </w:pPr>
          </w:p>
        </w:tc>
      </w:tr>
      <w:tr w14:paraId="27AD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1E3EE7B5">
            <w:pPr>
              <w:widowControl/>
              <w:spacing w:line="360" w:lineRule="atLeas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（三）承重支撑体系：用于钢结构安装等满堂支撑体系。</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691466D">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1264B64">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A1CF3B0">
            <w:pPr>
              <w:jc w:val="center"/>
              <w:rPr>
                <w:rFonts w:hint="eastAsia" w:ascii="宋体" w:hAnsi="宋体" w:eastAsia="宋体" w:cs="宋体"/>
                <w:color w:val="auto"/>
                <w:sz w:val="24"/>
                <w:szCs w:val="36"/>
                <w:highlight w:val="none"/>
              </w:rPr>
            </w:pPr>
          </w:p>
        </w:tc>
      </w:tr>
      <w:tr w14:paraId="7D2A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1BF1F234">
            <w:pPr>
              <w:widowControl/>
              <w:spacing w:line="360" w:lineRule="atLeas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三、起重吊装及起重机械安装拆卸工程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588CC1D">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8AD8577">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7CB55DC">
            <w:pPr>
              <w:jc w:val="center"/>
              <w:rPr>
                <w:rFonts w:hint="eastAsia" w:ascii="宋体" w:hAnsi="宋体" w:eastAsia="宋体" w:cs="宋体"/>
                <w:color w:val="auto"/>
                <w:sz w:val="24"/>
                <w:szCs w:val="36"/>
                <w:highlight w:val="none"/>
              </w:rPr>
            </w:pPr>
          </w:p>
        </w:tc>
      </w:tr>
      <w:tr w14:paraId="7C2A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786" w:type="dxa"/>
            <w:tcBorders>
              <w:top w:val="single" w:color="auto" w:sz="4" w:space="0"/>
              <w:left w:val="single" w:color="auto" w:sz="4" w:space="0"/>
              <w:bottom w:val="single" w:color="auto" w:sz="4" w:space="0"/>
              <w:right w:val="single" w:color="auto" w:sz="4" w:space="0"/>
            </w:tcBorders>
            <w:noWrap w:val="0"/>
            <w:vAlign w:val="top"/>
          </w:tcPr>
          <w:p w14:paraId="2111ABF9">
            <w:pPr>
              <w:widowControl/>
              <w:spacing w:line="360" w:lineRule="atLeas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（一）采用非常规起重设备、方法，且单件起吊重量在10kN及以上的起重吊装工程。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7D06B4B">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6C59432">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455B940">
            <w:pPr>
              <w:jc w:val="center"/>
              <w:rPr>
                <w:rFonts w:hint="eastAsia" w:ascii="宋体" w:hAnsi="宋体" w:eastAsia="宋体" w:cs="宋体"/>
                <w:color w:val="auto"/>
                <w:sz w:val="24"/>
                <w:szCs w:val="36"/>
                <w:highlight w:val="none"/>
              </w:rPr>
            </w:pPr>
          </w:p>
        </w:tc>
      </w:tr>
      <w:tr w14:paraId="6EE16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7E04A454">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（二）采用起重机械进行安装的工程。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4DF261F">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w:t>
            </w:r>
            <w:r>
              <w:rPr>
                <w:rFonts w:hint="eastAsia" w:ascii="宋体" w:hAnsi="宋体" w:eastAsia="宋体" w:cs="宋体"/>
                <w:color w:val="auto"/>
                <w:sz w:val="24"/>
                <w:szCs w:val="36"/>
                <w:highlight w:val="none"/>
                <w:lang w:val="en-US" w:eastAsia="zh-CN"/>
              </w:rPr>
              <w:t xml:space="preserve">  </w:t>
            </w:r>
            <w:r>
              <w:rPr>
                <w:rFonts w:hint="eastAsia" w:ascii="宋体" w:hAnsi="宋体" w:eastAsia="宋体" w:cs="宋体"/>
                <w:color w:val="auto"/>
                <w:sz w:val="24"/>
                <w:szCs w:val="36"/>
                <w:highlight w:val="none"/>
              </w:rPr>
              <w:t>)</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B8B6B18">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ACD4C9C">
            <w:pPr>
              <w:jc w:val="center"/>
              <w:rPr>
                <w:rFonts w:hint="eastAsia" w:ascii="宋体" w:hAnsi="宋体" w:eastAsia="宋体" w:cs="宋体"/>
                <w:color w:val="auto"/>
                <w:sz w:val="24"/>
                <w:szCs w:val="36"/>
                <w:highlight w:val="none"/>
              </w:rPr>
            </w:pPr>
          </w:p>
        </w:tc>
      </w:tr>
      <w:tr w14:paraId="673A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423BAFF6">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（三）起重机械安装和拆卸工程。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46F28B0">
            <w:pPr>
              <w:jc w:val="center"/>
              <w:rPr>
                <w:rFonts w:hint="eastAsia" w:ascii="宋体" w:hAnsi="宋体" w:eastAsia="宋体" w:cs="宋体"/>
                <w:color w:val="auto"/>
                <w:sz w:val="24"/>
                <w:szCs w:val="36"/>
                <w:highlight w:val="none"/>
              </w:rPr>
            </w:pPr>
            <w:r>
              <w:rPr>
                <w:rFonts w:hint="eastAsia" w:ascii="宋体" w:hAnsi="宋体" w:eastAsia="宋体" w:cs="宋体"/>
                <w:color w:val="auto"/>
                <w:sz w:val="24"/>
                <w:szCs w:val="36"/>
                <w:highlight w:val="none"/>
              </w:rPr>
              <w:t>(</w:t>
            </w:r>
            <w:r>
              <w:rPr>
                <w:rFonts w:hint="eastAsia" w:ascii="宋体" w:hAnsi="宋体" w:eastAsia="宋体" w:cs="宋体"/>
                <w:color w:val="auto"/>
                <w:sz w:val="24"/>
                <w:szCs w:val="36"/>
                <w:highlight w:val="none"/>
                <w:lang w:val="en-US" w:eastAsia="zh-CN"/>
              </w:rPr>
              <w:t xml:space="preserve">  </w:t>
            </w:r>
            <w:r>
              <w:rPr>
                <w:rFonts w:hint="eastAsia" w:ascii="宋体" w:hAnsi="宋体" w:eastAsia="宋体" w:cs="宋体"/>
                <w:color w:val="auto"/>
                <w:sz w:val="24"/>
                <w:szCs w:val="36"/>
                <w:highlight w:val="none"/>
              </w:rPr>
              <w:t>)</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C3E657B">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66D046D">
            <w:pPr>
              <w:jc w:val="center"/>
              <w:rPr>
                <w:rFonts w:hint="eastAsia" w:ascii="宋体" w:hAnsi="宋体" w:eastAsia="宋体" w:cs="宋体"/>
                <w:color w:val="auto"/>
                <w:sz w:val="24"/>
                <w:szCs w:val="36"/>
                <w:highlight w:val="none"/>
              </w:rPr>
            </w:pPr>
          </w:p>
        </w:tc>
      </w:tr>
      <w:tr w14:paraId="3BCA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4B062F2A">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9DCB283">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AFE0BD3">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B0F6062">
            <w:pPr>
              <w:jc w:val="center"/>
              <w:rPr>
                <w:rFonts w:hint="eastAsia" w:ascii="宋体" w:hAnsi="宋体" w:eastAsia="宋体" w:cs="宋体"/>
                <w:color w:val="auto"/>
                <w:sz w:val="24"/>
                <w:szCs w:val="36"/>
                <w:highlight w:val="none"/>
              </w:rPr>
            </w:pPr>
          </w:p>
        </w:tc>
      </w:tr>
      <w:tr w14:paraId="30422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7E8D3DC5">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（一）搭设高度24m及以上的落地式钢管脚手架工程（包括采光井、电梯井脚手架）。</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8C08FE7">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E97BDE5">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3C42526">
            <w:pPr>
              <w:jc w:val="center"/>
              <w:rPr>
                <w:rFonts w:hint="eastAsia" w:ascii="宋体" w:hAnsi="宋体" w:eastAsia="宋体" w:cs="宋体"/>
                <w:color w:val="auto"/>
                <w:sz w:val="24"/>
                <w:szCs w:val="36"/>
                <w:highlight w:val="none"/>
              </w:rPr>
            </w:pPr>
          </w:p>
        </w:tc>
      </w:tr>
      <w:tr w14:paraId="6C696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7B8B3184">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r>
              <w:rPr>
                <w:rFonts w:hint="eastAsia" w:ascii="宋体" w:hAnsi="宋体" w:eastAsia="宋体" w:cs="宋体"/>
                <w:color w:val="auto"/>
                <w:sz w:val="21"/>
                <w:szCs w:val="21"/>
                <w:highlight w:val="none"/>
              </w:rPr>
              <w:t>附着式升降脚手架工程。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F25DF1B">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47F1D60">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C6B33B0">
            <w:pPr>
              <w:jc w:val="center"/>
              <w:rPr>
                <w:rFonts w:hint="eastAsia" w:ascii="宋体" w:hAnsi="宋体" w:eastAsia="宋体" w:cs="宋体"/>
                <w:color w:val="auto"/>
                <w:sz w:val="24"/>
                <w:szCs w:val="36"/>
                <w:highlight w:val="none"/>
              </w:rPr>
            </w:pPr>
          </w:p>
        </w:tc>
      </w:tr>
      <w:tr w14:paraId="53D1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10480C7C">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（三）悬挑式脚手架工程。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5259C0C">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123394D">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EEFC036">
            <w:pPr>
              <w:jc w:val="center"/>
              <w:rPr>
                <w:rFonts w:hint="eastAsia" w:ascii="宋体" w:hAnsi="宋体" w:eastAsia="宋体" w:cs="宋体"/>
                <w:color w:val="auto"/>
                <w:sz w:val="24"/>
                <w:szCs w:val="36"/>
                <w:highlight w:val="none"/>
              </w:rPr>
            </w:pPr>
          </w:p>
        </w:tc>
      </w:tr>
      <w:tr w14:paraId="5E3C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5A48EC3B">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（四）高处作业吊篮。</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B226E56">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2DB8A62">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94F8007">
            <w:pPr>
              <w:jc w:val="center"/>
              <w:rPr>
                <w:rFonts w:hint="eastAsia" w:ascii="宋体" w:hAnsi="宋体" w:eastAsia="宋体" w:cs="宋体"/>
                <w:color w:val="auto"/>
                <w:sz w:val="24"/>
                <w:szCs w:val="36"/>
                <w:highlight w:val="none"/>
              </w:rPr>
            </w:pPr>
          </w:p>
        </w:tc>
      </w:tr>
      <w:tr w14:paraId="0140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4D091408">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（五）卸料平台、操作平台工程。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0AED8BC">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2DB5388">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E1C32DB">
            <w:pPr>
              <w:jc w:val="center"/>
              <w:rPr>
                <w:rFonts w:hint="eastAsia" w:ascii="宋体" w:hAnsi="宋体" w:eastAsia="宋体" w:cs="宋体"/>
                <w:color w:val="auto"/>
                <w:sz w:val="24"/>
                <w:szCs w:val="36"/>
                <w:highlight w:val="none"/>
              </w:rPr>
            </w:pPr>
          </w:p>
        </w:tc>
      </w:tr>
      <w:tr w14:paraId="00C9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322C5A8B">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（六）异型脚手架工程。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B5FA8CC">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E4D7195">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FEBC183">
            <w:pPr>
              <w:jc w:val="center"/>
              <w:rPr>
                <w:rFonts w:hint="eastAsia" w:ascii="宋体" w:hAnsi="宋体" w:eastAsia="宋体" w:cs="宋体"/>
                <w:color w:val="auto"/>
                <w:sz w:val="24"/>
                <w:szCs w:val="36"/>
                <w:highlight w:val="none"/>
              </w:rPr>
            </w:pPr>
          </w:p>
        </w:tc>
      </w:tr>
      <w:tr w14:paraId="25C7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499E0EB2">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五、拆除工程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C79B7F8">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w:t>
            </w:r>
            <w:r>
              <w:rPr>
                <w:rFonts w:hint="eastAsia" w:ascii="宋体" w:hAnsi="宋体" w:eastAsia="宋体" w:cs="宋体"/>
                <w:color w:val="auto"/>
                <w:sz w:val="24"/>
                <w:szCs w:val="36"/>
                <w:highlight w:val="none"/>
                <w:lang w:val="en-US" w:eastAsia="zh-CN"/>
              </w:rPr>
              <w:t xml:space="preserve"> </w:t>
            </w: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017611E">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580DDB1">
            <w:pPr>
              <w:jc w:val="center"/>
              <w:rPr>
                <w:rFonts w:hint="eastAsia" w:ascii="宋体" w:hAnsi="宋体" w:eastAsia="宋体" w:cs="宋体"/>
                <w:color w:val="auto"/>
                <w:sz w:val="24"/>
                <w:szCs w:val="36"/>
                <w:highlight w:val="none"/>
              </w:rPr>
            </w:pPr>
          </w:p>
        </w:tc>
      </w:tr>
      <w:tr w14:paraId="5D7E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07241FB0">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可能影响行人、交通、电力设施、通讯设施或其它建、构筑物安全的拆除工程。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1EAE830">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w:t>
            </w:r>
            <w:r>
              <w:rPr>
                <w:rFonts w:hint="eastAsia" w:ascii="宋体" w:hAnsi="宋体" w:eastAsia="宋体" w:cs="宋体"/>
                <w:color w:val="auto"/>
                <w:sz w:val="24"/>
                <w:szCs w:val="36"/>
                <w:highlight w:val="none"/>
                <w:lang w:val="en-US" w:eastAsia="zh-CN"/>
              </w:rPr>
              <w:t xml:space="preserve"> </w:t>
            </w:r>
            <w:r>
              <w:rPr>
                <w:rFonts w:hint="eastAsia" w:ascii="宋体" w:hAnsi="宋体" w:eastAsia="宋体" w:cs="宋体"/>
                <w:color w:val="auto"/>
                <w:sz w:val="24"/>
                <w:szCs w:val="36"/>
                <w:highlight w:val="none"/>
              </w:rPr>
              <w:t>√</w:t>
            </w:r>
            <w:r>
              <w:rPr>
                <w:rFonts w:hint="eastAsia" w:ascii="宋体" w:hAnsi="宋体" w:eastAsia="宋体" w:cs="宋体"/>
                <w:color w:val="auto"/>
                <w:sz w:val="24"/>
                <w:szCs w:val="36"/>
                <w:highlight w:val="none"/>
                <w:lang w:val="en-US" w:eastAsia="zh-CN"/>
              </w:rPr>
              <w:t xml:space="preserve"> </w:t>
            </w:r>
            <w:r>
              <w:rPr>
                <w:rFonts w:hint="eastAsia" w:ascii="宋体" w:hAnsi="宋体" w:eastAsia="宋体" w:cs="宋体"/>
                <w:color w:val="auto"/>
                <w:sz w:val="24"/>
                <w:szCs w:val="36"/>
                <w:highlight w:val="none"/>
              </w:rPr>
              <w:t>)</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50F7BF6">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C179074">
            <w:pPr>
              <w:jc w:val="center"/>
              <w:rPr>
                <w:rFonts w:hint="eastAsia" w:ascii="宋体" w:hAnsi="宋体" w:eastAsia="宋体" w:cs="宋体"/>
                <w:color w:val="auto"/>
                <w:sz w:val="24"/>
                <w:szCs w:val="36"/>
                <w:highlight w:val="none"/>
              </w:rPr>
            </w:pPr>
          </w:p>
        </w:tc>
      </w:tr>
      <w:tr w14:paraId="2BD7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4DD99766">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六、暗挖工程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42C7EF2">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782E0B2">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1229DE0">
            <w:pPr>
              <w:jc w:val="center"/>
              <w:rPr>
                <w:rFonts w:hint="eastAsia" w:ascii="宋体" w:hAnsi="宋体" w:eastAsia="宋体" w:cs="宋体"/>
                <w:color w:val="auto"/>
                <w:sz w:val="24"/>
                <w:szCs w:val="36"/>
                <w:highlight w:val="none"/>
              </w:rPr>
            </w:pPr>
          </w:p>
        </w:tc>
      </w:tr>
      <w:tr w14:paraId="7D3E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6F067FB7">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采用矿山法、盾构法、顶管法施工的隧道、洞室工程。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1429B2C">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6673930">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79F788C">
            <w:pPr>
              <w:jc w:val="center"/>
              <w:rPr>
                <w:rFonts w:hint="eastAsia" w:ascii="宋体" w:hAnsi="宋体" w:eastAsia="宋体" w:cs="宋体"/>
                <w:color w:val="auto"/>
                <w:sz w:val="24"/>
                <w:szCs w:val="36"/>
                <w:highlight w:val="none"/>
              </w:rPr>
            </w:pPr>
          </w:p>
        </w:tc>
      </w:tr>
      <w:tr w14:paraId="23F7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4286F982">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七、其它</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9A6262B">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89362C6">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9C9025C">
            <w:pPr>
              <w:jc w:val="center"/>
              <w:rPr>
                <w:rFonts w:hint="eastAsia" w:ascii="宋体" w:hAnsi="宋体" w:eastAsia="宋体" w:cs="宋体"/>
                <w:color w:val="auto"/>
                <w:sz w:val="24"/>
                <w:szCs w:val="36"/>
                <w:highlight w:val="none"/>
              </w:rPr>
            </w:pPr>
          </w:p>
        </w:tc>
      </w:tr>
      <w:tr w14:paraId="716A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5D9DE12C">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（一）水下作业工程。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A403EC7">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06E90DE">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9E48AC7">
            <w:pPr>
              <w:jc w:val="center"/>
              <w:rPr>
                <w:rFonts w:hint="eastAsia" w:ascii="宋体" w:hAnsi="宋体" w:eastAsia="宋体" w:cs="宋体"/>
                <w:color w:val="auto"/>
                <w:sz w:val="24"/>
                <w:szCs w:val="36"/>
                <w:highlight w:val="none"/>
              </w:rPr>
            </w:pPr>
          </w:p>
        </w:tc>
      </w:tr>
      <w:tr w14:paraId="659A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516D1656">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（二）装配式建筑混凝土预制构件安装工程。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55F199C">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5DC001E">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75FA390">
            <w:pPr>
              <w:jc w:val="center"/>
              <w:rPr>
                <w:rFonts w:hint="eastAsia" w:ascii="宋体" w:hAnsi="宋体" w:eastAsia="宋体" w:cs="宋体"/>
                <w:color w:val="auto"/>
                <w:sz w:val="24"/>
                <w:szCs w:val="36"/>
                <w:highlight w:val="none"/>
              </w:rPr>
            </w:pPr>
          </w:p>
        </w:tc>
      </w:tr>
      <w:tr w14:paraId="5994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6F8E0C94">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（三）采用新技术、新工艺、新材料、新设备可能影响工程施工安全，尚无国家、行业及地方技术标准的分部分项工程。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B6B6DE9">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3BB5400">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B76E3D6">
            <w:pPr>
              <w:jc w:val="center"/>
              <w:rPr>
                <w:rFonts w:hint="eastAsia" w:ascii="宋体" w:hAnsi="宋体" w:eastAsia="宋体" w:cs="宋体"/>
                <w:color w:val="auto"/>
                <w:sz w:val="24"/>
                <w:szCs w:val="36"/>
                <w:highlight w:val="none"/>
              </w:rPr>
            </w:pPr>
          </w:p>
        </w:tc>
      </w:tr>
      <w:tr w14:paraId="3EFA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14:paraId="02DDA60C">
            <w:pPr>
              <w:widowControl/>
              <w:spacing w:line="360" w:lineRule="atLeast"/>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二、超过一定规模的危险性较大的分部分项工程清单</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C5BEA0B">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3616D99">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E176EE6">
            <w:pPr>
              <w:jc w:val="center"/>
              <w:rPr>
                <w:rFonts w:hint="eastAsia" w:ascii="宋体" w:hAnsi="宋体" w:eastAsia="宋体" w:cs="宋体"/>
                <w:color w:val="auto"/>
                <w:sz w:val="24"/>
                <w:szCs w:val="36"/>
                <w:highlight w:val="none"/>
              </w:rPr>
            </w:pPr>
          </w:p>
        </w:tc>
      </w:tr>
      <w:tr w14:paraId="66D0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0675C0B6">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一、深基坑工程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6B384CF">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DE02B57">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F69B9FE">
            <w:pPr>
              <w:jc w:val="center"/>
              <w:rPr>
                <w:rFonts w:hint="eastAsia" w:ascii="宋体" w:hAnsi="宋体" w:eastAsia="宋体" w:cs="宋体"/>
                <w:color w:val="auto"/>
                <w:sz w:val="24"/>
                <w:szCs w:val="36"/>
                <w:highlight w:val="none"/>
              </w:rPr>
            </w:pPr>
          </w:p>
        </w:tc>
      </w:tr>
      <w:tr w14:paraId="1B09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69B89CE5">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开挖深度超过5m（含5m）的基坑（槽）的土方开挖、支护、降水工程。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27534D5">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56E20E5">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2F1F214">
            <w:pPr>
              <w:jc w:val="center"/>
              <w:rPr>
                <w:rFonts w:hint="eastAsia" w:ascii="宋体" w:hAnsi="宋体" w:eastAsia="宋体" w:cs="宋体"/>
                <w:color w:val="auto"/>
                <w:sz w:val="24"/>
                <w:szCs w:val="36"/>
                <w:highlight w:val="none"/>
              </w:rPr>
            </w:pPr>
          </w:p>
        </w:tc>
      </w:tr>
      <w:tr w14:paraId="16B1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2093D5B9">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二、模板工程及支撑体系</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CEFD9BF">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4BEF004">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BE371E9">
            <w:pPr>
              <w:jc w:val="center"/>
              <w:rPr>
                <w:rFonts w:hint="eastAsia" w:ascii="宋体" w:hAnsi="宋体" w:eastAsia="宋体" w:cs="宋体"/>
                <w:color w:val="auto"/>
                <w:sz w:val="24"/>
                <w:szCs w:val="36"/>
                <w:highlight w:val="none"/>
              </w:rPr>
            </w:pPr>
          </w:p>
        </w:tc>
      </w:tr>
      <w:tr w14:paraId="0C95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2AC3928C">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（一）各类工具式模板工程：包括滑模、爬模、飞模、隧道模等工程。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27DD4FF">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6326C71">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476B950">
            <w:pPr>
              <w:jc w:val="center"/>
              <w:rPr>
                <w:rFonts w:hint="eastAsia" w:ascii="宋体" w:hAnsi="宋体" w:eastAsia="宋体" w:cs="宋体"/>
                <w:color w:val="auto"/>
                <w:sz w:val="24"/>
                <w:szCs w:val="36"/>
                <w:highlight w:val="none"/>
              </w:rPr>
            </w:pPr>
          </w:p>
        </w:tc>
      </w:tr>
      <w:tr w14:paraId="39B6D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58628DF1">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（二）混凝土模板支撑工程：搭设高度8m及以上，或搭设跨度18m及以上，或施工总荷载（设计值）15kN/m2及以上，或集中线荷载（设计值）20kN/m及以上。</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8F9998F">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998B776">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3873DDE">
            <w:pPr>
              <w:jc w:val="center"/>
              <w:rPr>
                <w:rFonts w:hint="eastAsia" w:ascii="宋体" w:hAnsi="宋体" w:eastAsia="宋体" w:cs="宋体"/>
                <w:color w:val="auto"/>
                <w:sz w:val="24"/>
                <w:szCs w:val="36"/>
                <w:highlight w:val="none"/>
              </w:rPr>
            </w:pPr>
          </w:p>
        </w:tc>
      </w:tr>
      <w:tr w14:paraId="2D2C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2BBCFA6F">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（三）承重支撑体系：用于钢结构安装等满堂支撑体系，承受单点集中荷载7kN及以上。</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74C95A4">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57AF61B">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EB45DD9">
            <w:pPr>
              <w:jc w:val="center"/>
              <w:rPr>
                <w:rFonts w:hint="eastAsia" w:ascii="宋体" w:hAnsi="宋体" w:eastAsia="宋体" w:cs="宋体"/>
                <w:color w:val="auto"/>
                <w:sz w:val="24"/>
                <w:szCs w:val="36"/>
                <w:highlight w:val="none"/>
              </w:rPr>
            </w:pPr>
          </w:p>
        </w:tc>
      </w:tr>
      <w:tr w14:paraId="0151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0BA8094F">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三、起重吊装及起重机械安装拆卸工程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C3A5291">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A4B71CC">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4D0C673">
            <w:pPr>
              <w:jc w:val="center"/>
              <w:rPr>
                <w:rFonts w:hint="eastAsia" w:ascii="宋体" w:hAnsi="宋体" w:eastAsia="宋体" w:cs="宋体"/>
                <w:color w:val="auto"/>
                <w:sz w:val="24"/>
                <w:szCs w:val="36"/>
                <w:highlight w:val="none"/>
              </w:rPr>
            </w:pPr>
          </w:p>
        </w:tc>
      </w:tr>
      <w:tr w14:paraId="1BF8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0579BDF3">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（一）采用非常规起重设备、方法，且单件起吊重量在100kN及以上的起重吊装工程。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14CA180">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DFAAD3F">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B2B5DCF">
            <w:pPr>
              <w:jc w:val="center"/>
              <w:rPr>
                <w:rFonts w:hint="eastAsia" w:ascii="宋体" w:hAnsi="宋体" w:eastAsia="宋体" w:cs="宋体"/>
                <w:color w:val="auto"/>
                <w:sz w:val="24"/>
                <w:szCs w:val="36"/>
                <w:highlight w:val="none"/>
              </w:rPr>
            </w:pPr>
          </w:p>
        </w:tc>
      </w:tr>
      <w:tr w14:paraId="56D0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4E46E17E">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（二）起重量300kN及以上，或搭设总高度200m及以上，或搭设基础标高在200m及以上的起重机械安装和拆卸工程。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06540CD">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A2F4607">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4335CF7">
            <w:pPr>
              <w:jc w:val="center"/>
              <w:rPr>
                <w:rFonts w:hint="eastAsia" w:ascii="宋体" w:hAnsi="宋体" w:eastAsia="宋体" w:cs="宋体"/>
                <w:color w:val="auto"/>
                <w:sz w:val="24"/>
                <w:szCs w:val="36"/>
                <w:highlight w:val="none"/>
              </w:rPr>
            </w:pPr>
          </w:p>
        </w:tc>
      </w:tr>
      <w:tr w14:paraId="3A7F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2257BFFE">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D1DD545">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29A8147">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69DAD9E">
            <w:pPr>
              <w:jc w:val="center"/>
              <w:rPr>
                <w:rFonts w:hint="eastAsia" w:ascii="宋体" w:hAnsi="宋体" w:eastAsia="宋体" w:cs="宋体"/>
                <w:color w:val="auto"/>
                <w:sz w:val="24"/>
                <w:szCs w:val="36"/>
                <w:highlight w:val="none"/>
              </w:rPr>
            </w:pPr>
          </w:p>
        </w:tc>
      </w:tr>
      <w:tr w14:paraId="5AEB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65878A84">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（一）搭设高度50m及以上的落地式钢管脚手架工程。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A6826B2">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AE84CCC">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0B3F702">
            <w:pPr>
              <w:jc w:val="center"/>
              <w:rPr>
                <w:rFonts w:hint="eastAsia" w:ascii="宋体" w:hAnsi="宋体" w:eastAsia="宋体" w:cs="宋体"/>
                <w:color w:val="auto"/>
                <w:sz w:val="24"/>
                <w:szCs w:val="36"/>
                <w:highlight w:val="none"/>
              </w:rPr>
            </w:pPr>
          </w:p>
        </w:tc>
      </w:tr>
      <w:tr w14:paraId="4CA5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108713CA">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（二）提升高度在150m及以上的附着式升降脚手架工程或附着式升降操作平台工程。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2F42CB9">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9D170C5">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6B42C07">
            <w:pPr>
              <w:jc w:val="center"/>
              <w:rPr>
                <w:rFonts w:hint="eastAsia" w:ascii="宋体" w:hAnsi="宋体" w:eastAsia="宋体" w:cs="宋体"/>
                <w:color w:val="auto"/>
                <w:sz w:val="24"/>
                <w:szCs w:val="36"/>
                <w:highlight w:val="none"/>
              </w:rPr>
            </w:pPr>
          </w:p>
        </w:tc>
      </w:tr>
      <w:tr w14:paraId="2E2A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03FCFCFD">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（三）分段架体搭设高度20m及以上的悬挑式脚手架工程。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93DFF5F">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FA81CF5">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01451D9">
            <w:pPr>
              <w:jc w:val="center"/>
              <w:rPr>
                <w:rFonts w:hint="eastAsia" w:ascii="宋体" w:hAnsi="宋体" w:eastAsia="宋体" w:cs="宋体"/>
                <w:color w:val="auto"/>
                <w:sz w:val="24"/>
                <w:szCs w:val="36"/>
                <w:highlight w:val="none"/>
              </w:rPr>
            </w:pPr>
          </w:p>
        </w:tc>
      </w:tr>
      <w:tr w14:paraId="4709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6C958BFC">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五、拆除工程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621E87A">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4A46C8A">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3764F6E">
            <w:pPr>
              <w:jc w:val="center"/>
              <w:rPr>
                <w:rFonts w:hint="eastAsia" w:ascii="宋体" w:hAnsi="宋体" w:eastAsia="宋体" w:cs="宋体"/>
                <w:color w:val="auto"/>
                <w:sz w:val="24"/>
                <w:szCs w:val="36"/>
                <w:highlight w:val="none"/>
              </w:rPr>
            </w:pPr>
          </w:p>
        </w:tc>
      </w:tr>
      <w:tr w14:paraId="1B3A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356AD539">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（一）码头、桥梁、高架、烟囱、水塔或拆除中容易引起有毒有害气（液）体或粉尘扩散、易燃易爆事故发生的特殊建、构筑物的拆除工程。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E6A5C0D">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3625136">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C492540">
            <w:pPr>
              <w:jc w:val="center"/>
              <w:rPr>
                <w:rFonts w:hint="eastAsia" w:ascii="宋体" w:hAnsi="宋体" w:eastAsia="宋体" w:cs="宋体"/>
                <w:color w:val="auto"/>
                <w:sz w:val="24"/>
                <w:szCs w:val="36"/>
                <w:highlight w:val="none"/>
              </w:rPr>
            </w:pPr>
          </w:p>
        </w:tc>
      </w:tr>
      <w:tr w14:paraId="0CC2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5FF3CBD3">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（二）文物保护建筑、优秀历史建筑或历史文化风貌区影响范围内的拆除工程。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08D3177">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1CFAEB4">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074C9F9">
            <w:pPr>
              <w:jc w:val="center"/>
              <w:rPr>
                <w:rFonts w:hint="eastAsia" w:ascii="宋体" w:hAnsi="宋体" w:eastAsia="宋体" w:cs="宋体"/>
                <w:color w:val="auto"/>
                <w:sz w:val="24"/>
                <w:szCs w:val="36"/>
                <w:highlight w:val="none"/>
              </w:rPr>
            </w:pPr>
          </w:p>
        </w:tc>
      </w:tr>
      <w:tr w14:paraId="0175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2EE493AE">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六、暗挖工程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C77723B">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623872F">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C216A15">
            <w:pPr>
              <w:jc w:val="center"/>
              <w:rPr>
                <w:rFonts w:hint="eastAsia" w:ascii="宋体" w:hAnsi="宋体" w:eastAsia="宋体" w:cs="宋体"/>
                <w:color w:val="auto"/>
                <w:sz w:val="24"/>
                <w:szCs w:val="36"/>
                <w:highlight w:val="none"/>
              </w:rPr>
            </w:pPr>
          </w:p>
        </w:tc>
      </w:tr>
      <w:tr w14:paraId="6EB0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0CAA0611">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采用矿山法、盾构法、顶管法施工的隧道、洞室工程。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6E575D5">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C53BCB7">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A3ACCC3">
            <w:pPr>
              <w:jc w:val="center"/>
              <w:rPr>
                <w:rFonts w:hint="eastAsia" w:ascii="宋体" w:hAnsi="宋体" w:eastAsia="宋体" w:cs="宋体"/>
                <w:color w:val="auto"/>
                <w:sz w:val="24"/>
                <w:szCs w:val="36"/>
                <w:highlight w:val="none"/>
              </w:rPr>
            </w:pPr>
          </w:p>
        </w:tc>
      </w:tr>
      <w:tr w14:paraId="0513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3837457A">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七、其它</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D4D20FC">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0CD6E24">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B2C6FE0">
            <w:pPr>
              <w:jc w:val="center"/>
              <w:rPr>
                <w:rFonts w:hint="eastAsia" w:ascii="宋体" w:hAnsi="宋体" w:eastAsia="宋体" w:cs="宋体"/>
                <w:color w:val="auto"/>
                <w:sz w:val="24"/>
                <w:szCs w:val="36"/>
                <w:highlight w:val="none"/>
              </w:rPr>
            </w:pPr>
          </w:p>
        </w:tc>
      </w:tr>
      <w:tr w14:paraId="7FC2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6347C187">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（一）施工高度50m及以上的建筑幕墙安装工程。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C77B691">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195B646">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46CCE79">
            <w:pPr>
              <w:jc w:val="center"/>
              <w:rPr>
                <w:rFonts w:hint="eastAsia" w:ascii="宋体" w:hAnsi="宋体" w:eastAsia="宋体" w:cs="宋体"/>
                <w:color w:val="auto"/>
                <w:sz w:val="24"/>
                <w:szCs w:val="36"/>
                <w:highlight w:val="none"/>
              </w:rPr>
            </w:pPr>
          </w:p>
        </w:tc>
      </w:tr>
      <w:tr w14:paraId="261D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552A9BAC">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（二）跨度36m及以上的钢结构安装工程，或跨度60m及以上的网架和索膜结构安装工程。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E393FCA">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3431EBB">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0A756CF">
            <w:pPr>
              <w:jc w:val="center"/>
              <w:rPr>
                <w:rFonts w:hint="eastAsia" w:ascii="宋体" w:hAnsi="宋体" w:eastAsia="宋体" w:cs="宋体"/>
                <w:color w:val="auto"/>
                <w:sz w:val="24"/>
                <w:szCs w:val="36"/>
                <w:highlight w:val="none"/>
              </w:rPr>
            </w:pPr>
          </w:p>
        </w:tc>
      </w:tr>
      <w:tr w14:paraId="6636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095E3EEC">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（三）开挖深度16m及以上的人工挖孔桩工程。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AF80B11">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B8338F9">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4D5B6E7">
            <w:pPr>
              <w:jc w:val="center"/>
              <w:rPr>
                <w:rFonts w:hint="eastAsia" w:ascii="宋体" w:hAnsi="宋体" w:eastAsia="宋体" w:cs="宋体"/>
                <w:color w:val="auto"/>
                <w:sz w:val="24"/>
                <w:szCs w:val="36"/>
                <w:highlight w:val="none"/>
              </w:rPr>
            </w:pPr>
          </w:p>
        </w:tc>
      </w:tr>
      <w:tr w14:paraId="5464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00D3C753">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（四）水下作业工程。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41B59E3">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538D511">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43F90DF">
            <w:pPr>
              <w:jc w:val="center"/>
              <w:rPr>
                <w:rFonts w:hint="eastAsia" w:ascii="宋体" w:hAnsi="宋体" w:eastAsia="宋体" w:cs="宋体"/>
                <w:color w:val="auto"/>
                <w:sz w:val="24"/>
                <w:szCs w:val="36"/>
                <w:highlight w:val="none"/>
              </w:rPr>
            </w:pPr>
          </w:p>
        </w:tc>
      </w:tr>
      <w:tr w14:paraId="0C9B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4F6F4519">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（五）重量1000kN及以上的大型结构整体顶升、平移、转体等施工工艺。</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324192A">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D2B9952">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402A75C">
            <w:pPr>
              <w:jc w:val="center"/>
              <w:rPr>
                <w:rFonts w:hint="eastAsia" w:ascii="宋体" w:hAnsi="宋体" w:eastAsia="宋体" w:cs="宋体"/>
                <w:color w:val="auto"/>
                <w:sz w:val="24"/>
                <w:szCs w:val="36"/>
                <w:highlight w:val="none"/>
              </w:rPr>
            </w:pPr>
          </w:p>
        </w:tc>
      </w:tr>
      <w:tr w14:paraId="6CBE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0BCDB136">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（六）采用新技术、新工艺、新材料、新设备可能影响工程施工安全，尚无国家、行业及地方技术标准的分部分项工程。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23BF418">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9481506">
            <w:pPr>
              <w:jc w:val="center"/>
              <w:rPr>
                <w:rFonts w:hint="eastAsia" w:ascii="宋体" w:hAnsi="宋体" w:eastAsia="宋体" w:cs="宋体"/>
                <w:color w:val="auto"/>
                <w:highlight w:val="none"/>
              </w:rPr>
            </w:pPr>
            <w:r>
              <w:rPr>
                <w:rFonts w:hint="eastAsia" w:ascii="宋体" w:hAnsi="宋体" w:eastAsia="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F74C15D">
            <w:pPr>
              <w:jc w:val="center"/>
              <w:rPr>
                <w:rFonts w:hint="eastAsia" w:ascii="宋体" w:hAnsi="宋体" w:eastAsia="宋体" w:cs="宋体"/>
                <w:color w:val="auto"/>
                <w:sz w:val="24"/>
                <w:szCs w:val="36"/>
                <w:highlight w:val="none"/>
              </w:rPr>
            </w:pPr>
          </w:p>
        </w:tc>
      </w:tr>
    </w:tbl>
    <w:p w14:paraId="714B23F8">
      <w:pPr>
        <w:pStyle w:val="2"/>
        <w:jc w:val="both"/>
        <w:rPr>
          <w:rFonts w:hint="eastAsia" w:ascii="宋体" w:hAnsi="宋体" w:eastAsia="宋体" w:cs="宋体"/>
          <w:color w:val="auto"/>
          <w:highlight w:val="none"/>
        </w:rPr>
      </w:pPr>
    </w:p>
    <w:p w14:paraId="26859BB5">
      <w:pPr>
        <w:spacing w:line="276" w:lineRule="auto"/>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投标人名称（盖法人公章）：             </w:t>
      </w:r>
    </w:p>
    <w:p w14:paraId="1FB043AA">
      <w:pPr>
        <w:pStyle w:val="32"/>
        <w:shd w:val="clear" w:color="auto" w:fill="FFFFFF"/>
        <w:spacing w:line="276" w:lineRule="auto"/>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 xml:space="preserve">                  日期：   年   月   日</w:t>
      </w:r>
    </w:p>
    <w:p w14:paraId="775DA5E8">
      <w:pPr>
        <w:jc w:val="lef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注：投标人应根据本项目危险性较大的分部分项工程清单及超过一定规模的危险性较大的分部分项工程清单内容，编制相应的安全管理措施及专项施工方案，格式自拟。</w:t>
      </w:r>
    </w:p>
    <w:p w14:paraId="608968BF">
      <w:pPr>
        <w:spacing w:line="320" w:lineRule="exact"/>
        <w:rPr>
          <w:rFonts w:hint="eastAsia" w:ascii="宋体" w:hAnsi="宋体" w:eastAsia="宋体" w:cs="宋体"/>
          <w:color w:val="auto"/>
          <w:szCs w:val="21"/>
          <w:highlight w:val="none"/>
        </w:rPr>
      </w:pPr>
    </w:p>
    <w:p w14:paraId="45E65211">
      <w:pPr>
        <w:widowControl/>
        <w:jc w:val="left"/>
        <w:rPr>
          <w:rFonts w:hint="eastAsia" w:ascii="宋体" w:hAnsi="宋体" w:eastAsia="宋体" w:cs="宋体"/>
          <w:color w:val="auto"/>
          <w:szCs w:val="21"/>
          <w:highlight w:val="none"/>
        </w:rPr>
      </w:pPr>
    </w:p>
    <w:p w14:paraId="505C96B2">
      <w:pPr>
        <w:widowControl/>
        <w:jc w:val="left"/>
        <w:rPr>
          <w:rFonts w:hint="eastAsia" w:ascii="宋体" w:hAnsi="宋体" w:eastAsia="宋体" w:cs="宋体"/>
          <w:color w:val="auto"/>
          <w:szCs w:val="21"/>
          <w:highlight w:val="none"/>
        </w:rPr>
      </w:pPr>
    </w:p>
    <w:p w14:paraId="258C5BCD">
      <w:pPr>
        <w:widowControl/>
        <w:jc w:val="left"/>
        <w:rPr>
          <w:rFonts w:hint="eastAsia" w:ascii="宋体" w:hAnsi="宋体" w:eastAsia="宋体" w:cs="宋体"/>
          <w:color w:val="auto"/>
          <w:szCs w:val="21"/>
          <w:highlight w:val="none"/>
        </w:rPr>
      </w:pPr>
    </w:p>
    <w:p w14:paraId="57E46166">
      <w:pPr>
        <w:widowControl/>
        <w:jc w:val="left"/>
        <w:rPr>
          <w:rFonts w:hint="eastAsia" w:ascii="宋体" w:hAnsi="宋体" w:eastAsia="宋体" w:cs="宋体"/>
          <w:color w:val="auto"/>
          <w:szCs w:val="21"/>
          <w:highlight w:val="none"/>
        </w:rPr>
      </w:pPr>
    </w:p>
    <w:p w14:paraId="35A5FCB3">
      <w:pPr>
        <w:widowControl/>
        <w:jc w:val="left"/>
        <w:rPr>
          <w:rFonts w:hint="eastAsia" w:ascii="宋体" w:hAnsi="宋体" w:eastAsia="宋体" w:cs="宋体"/>
          <w:color w:val="auto"/>
          <w:szCs w:val="21"/>
          <w:highlight w:val="none"/>
        </w:rPr>
      </w:pPr>
    </w:p>
    <w:p w14:paraId="3379E834">
      <w:pPr>
        <w:widowControl/>
        <w:jc w:val="left"/>
        <w:rPr>
          <w:rFonts w:hint="eastAsia" w:ascii="宋体" w:hAnsi="宋体" w:eastAsia="宋体" w:cs="宋体"/>
          <w:color w:val="auto"/>
          <w:szCs w:val="21"/>
          <w:highlight w:val="none"/>
        </w:rPr>
      </w:pPr>
    </w:p>
    <w:p w14:paraId="17763F6C">
      <w:pPr>
        <w:widowControl/>
        <w:jc w:val="left"/>
        <w:rPr>
          <w:rFonts w:hint="eastAsia" w:ascii="宋体" w:hAnsi="宋体" w:eastAsia="宋体" w:cs="宋体"/>
          <w:color w:val="auto"/>
          <w:szCs w:val="21"/>
          <w:highlight w:val="none"/>
        </w:rPr>
      </w:pPr>
    </w:p>
    <w:p w14:paraId="4560E162">
      <w:pPr>
        <w:widowControl/>
        <w:jc w:val="left"/>
        <w:rPr>
          <w:rFonts w:hint="eastAsia" w:ascii="宋体" w:hAnsi="宋体" w:eastAsia="宋体" w:cs="宋体"/>
          <w:color w:val="auto"/>
          <w:szCs w:val="21"/>
          <w:highlight w:val="none"/>
        </w:rPr>
      </w:pPr>
    </w:p>
    <w:p w14:paraId="6269DF9F">
      <w:pPr>
        <w:widowControl/>
        <w:jc w:val="left"/>
        <w:rPr>
          <w:rFonts w:hint="eastAsia" w:ascii="宋体" w:hAnsi="宋体" w:eastAsia="宋体" w:cs="宋体"/>
          <w:color w:val="auto"/>
          <w:szCs w:val="21"/>
          <w:highlight w:val="none"/>
        </w:rPr>
      </w:pPr>
    </w:p>
    <w:p w14:paraId="68082682">
      <w:pPr>
        <w:widowControl/>
        <w:jc w:val="left"/>
        <w:rPr>
          <w:rFonts w:hint="eastAsia" w:ascii="宋体" w:hAnsi="宋体" w:eastAsia="宋体" w:cs="宋体"/>
          <w:color w:val="auto"/>
          <w:szCs w:val="21"/>
          <w:highlight w:val="none"/>
        </w:rPr>
      </w:pPr>
    </w:p>
    <w:p w14:paraId="03CB3DEC">
      <w:pPr>
        <w:widowControl/>
        <w:jc w:val="left"/>
        <w:rPr>
          <w:rFonts w:hint="eastAsia" w:ascii="宋体" w:hAnsi="宋体" w:eastAsia="宋体" w:cs="宋体"/>
          <w:color w:val="auto"/>
          <w:szCs w:val="21"/>
          <w:highlight w:val="none"/>
        </w:rPr>
      </w:pPr>
    </w:p>
    <w:p w14:paraId="0D7266AE">
      <w:pPr>
        <w:widowControl/>
        <w:jc w:val="left"/>
        <w:rPr>
          <w:rFonts w:hint="eastAsia" w:ascii="宋体" w:hAnsi="宋体" w:eastAsia="宋体" w:cs="宋体"/>
          <w:color w:val="auto"/>
          <w:szCs w:val="21"/>
          <w:highlight w:val="none"/>
        </w:rPr>
      </w:pPr>
    </w:p>
    <w:p w14:paraId="40EF585B">
      <w:pPr>
        <w:widowControl/>
        <w:jc w:val="left"/>
        <w:rPr>
          <w:rFonts w:hint="eastAsia" w:ascii="宋体" w:hAnsi="宋体" w:eastAsia="宋体" w:cs="宋体"/>
          <w:color w:val="auto"/>
          <w:szCs w:val="21"/>
          <w:highlight w:val="none"/>
        </w:rPr>
      </w:pPr>
    </w:p>
    <w:p w14:paraId="02FCC970">
      <w:pPr>
        <w:widowControl/>
        <w:jc w:val="left"/>
        <w:rPr>
          <w:rFonts w:hint="eastAsia" w:ascii="宋体" w:hAnsi="宋体" w:eastAsia="宋体" w:cs="宋体"/>
          <w:color w:val="auto"/>
          <w:szCs w:val="21"/>
          <w:highlight w:val="none"/>
        </w:rPr>
      </w:pPr>
    </w:p>
    <w:p w14:paraId="2FAD84FA">
      <w:pPr>
        <w:spacing w:line="320" w:lineRule="exact"/>
        <w:rPr>
          <w:rFonts w:hint="eastAsia" w:ascii="宋体" w:hAnsi="宋体" w:eastAsia="宋体" w:cs="宋体"/>
          <w:color w:val="auto"/>
          <w:szCs w:val="21"/>
          <w:highlight w:val="none"/>
        </w:rPr>
      </w:pPr>
    </w:p>
    <w:p w14:paraId="58132A2A">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t>第二部分 经济标投标文件</w:t>
      </w:r>
      <w:r>
        <w:rPr>
          <w:rFonts w:hint="eastAsia" w:ascii="宋体" w:hAnsi="宋体" w:eastAsia="宋体" w:cs="宋体"/>
          <w:color w:val="auto"/>
          <w:sz w:val="24"/>
          <w:szCs w:val="24"/>
          <w:highlight w:val="none"/>
        </w:rPr>
        <w:br w:type="page"/>
      </w:r>
      <w:r>
        <w:rPr>
          <w:rFonts w:hint="eastAsia" w:ascii="宋体" w:hAnsi="宋体" w:eastAsia="宋体" w:cs="宋体"/>
          <w:color w:val="auto"/>
          <w:sz w:val="24"/>
          <w:highlight w:val="none"/>
        </w:rPr>
        <w:t xml:space="preserve"> </w:t>
      </w:r>
    </w:p>
    <w:p w14:paraId="5DEBB299">
      <w:pPr>
        <w:pStyle w:val="119"/>
        <w:ind w:firstLine="496"/>
        <w:rPr>
          <w:rFonts w:hint="eastAsia" w:ascii="宋体" w:hAnsi="宋体" w:eastAsia="宋体" w:cs="宋体"/>
          <w:color w:val="auto"/>
          <w:highlight w:val="none"/>
        </w:rPr>
      </w:pPr>
      <w:r>
        <w:rPr>
          <w:rFonts w:hint="eastAsia" w:ascii="宋体" w:hAnsi="宋体" w:eastAsia="宋体" w:cs="宋体"/>
          <w:color w:val="auto"/>
          <w:highlight w:val="none"/>
        </w:rPr>
        <w:t>经济标投标文件格式一：经济标投标文件封面</w:t>
      </w:r>
    </w:p>
    <w:p w14:paraId="5D3E8046">
      <w:pPr>
        <w:pStyle w:val="119"/>
        <w:ind w:firstLine="496"/>
        <w:rPr>
          <w:rFonts w:hint="eastAsia" w:ascii="宋体" w:hAnsi="宋体" w:eastAsia="宋体" w:cs="宋体"/>
          <w:color w:val="auto"/>
          <w:highlight w:val="none"/>
        </w:rPr>
      </w:pPr>
    </w:p>
    <w:p w14:paraId="51072BDC">
      <w:pPr>
        <w:pStyle w:val="119"/>
        <w:ind w:firstLine="496"/>
        <w:rPr>
          <w:rFonts w:hint="eastAsia" w:ascii="宋体" w:hAnsi="宋体" w:eastAsia="宋体" w:cs="宋体"/>
          <w:color w:val="auto"/>
          <w:highlight w:val="none"/>
        </w:rPr>
      </w:pPr>
    </w:p>
    <w:p w14:paraId="7A8D8BBF">
      <w:pPr>
        <w:pStyle w:val="119"/>
        <w:ind w:firstLine="496"/>
        <w:rPr>
          <w:rFonts w:hint="eastAsia" w:ascii="宋体" w:hAnsi="宋体" w:eastAsia="宋体" w:cs="宋体"/>
          <w:color w:val="auto"/>
          <w:highlight w:val="none"/>
        </w:rPr>
      </w:pPr>
    </w:p>
    <w:p w14:paraId="284932E5">
      <w:pPr>
        <w:pStyle w:val="12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[工程名称] </w:t>
      </w:r>
    </w:p>
    <w:p w14:paraId="6A3C61F4">
      <w:pPr>
        <w:pStyle w:val="119"/>
        <w:ind w:firstLine="496"/>
        <w:rPr>
          <w:rFonts w:hint="eastAsia" w:ascii="宋体" w:hAnsi="宋体" w:eastAsia="宋体" w:cs="宋体"/>
          <w:color w:val="auto"/>
          <w:highlight w:val="none"/>
        </w:rPr>
      </w:pPr>
    </w:p>
    <w:p w14:paraId="55F801E6">
      <w:pPr>
        <w:pStyle w:val="119"/>
        <w:ind w:firstLine="496"/>
        <w:rPr>
          <w:rFonts w:hint="eastAsia" w:ascii="宋体" w:hAnsi="宋体" w:eastAsia="宋体" w:cs="宋体"/>
          <w:color w:val="auto"/>
          <w:highlight w:val="none"/>
        </w:rPr>
      </w:pPr>
    </w:p>
    <w:p w14:paraId="5FD95C64">
      <w:pPr>
        <w:pStyle w:val="119"/>
        <w:ind w:firstLine="496"/>
        <w:rPr>
          <w:rFonts w:hint="eastAsia" w:ascii="宋体" w:hAnsi="宋体" w:eastAsia="宋体" w:cs="宋体"/>
          <w:color w:val="auto"/>
          <w:highlight w:val="none"/>
        </w:rPr>
      </w:pPr>
    </w:p>
    <w:p w14:paraId="538391CC">
      <w:pPr>
        <w:pStyle w:val="119"/>
        <w:ind w:firstLine="496"/>
        <w:rPr>
          <w:rFonts w:hint="eastAsia" w:ascii="宋体" w:hAnsi="宋体" w:eastAsia="宋体" w:cs="宋体"/>
          <w:color w:val="auto"/>
          <w:highlight w:val="none"/>
        </w:rPr>
      </w:pPr>
    </w:p>
    <w:p w14:paraId="379EA279">
      <w:pPr>
        <w:pStyle w:val="121"/>
        <w:rPr>
          <w:rFonts w:hint="eastAsia" w:ascii="宋体" w:hAnsi="宋体" w:eastAsia="宋体" w:cs="宋体"/>
          <w:color w:val="auto"/>
          <w:highlight w:val="none"/>
        </w:rPr>
      </w:pPr>
      <w:r>
        <w:rPr>
          <w:rFonts w:hint="eastAsia" w:ascii="宋体" w:hAnsi="宋体" w:eastAsia="宋体" w:cs="宋体"/>
          <w:color w:val="auto"/>
          <w:highlight w:val="none"/>
        </w:rPr>
        <w:t>投标文件</w:t>
      </w:r>
    </w:p>
    <w:p w14:paraId="7CE99112">
      <w:pPr>
        <w:pStyle w:val="120"/>
        <w:rPr>
          <w:rFonts w:hint="eastAsia" w:ascii="宋体" w:hAnsi="宋体" w:eastAsia="宋体" w:cs="宋体"/>
          <w:color w:val="auto"/>
          <w:highlight w:val="none"/>
        </w:rPr>
      </w:pPr>
      <w:r>
        <w:rPr>
          <w:rFonts w:hint="eastAsia" w:ascii="宋体" w:hAnsi="宋体" w:eastAsia="宋体" w:cs="宋体"/>
          <w:color w:val="auto"/>
          <w:highlight w:val="none"/>
        </w:rPr>
        <w:t>第二部分（经济标）</w:t>
      </w:r>
    </w:p>
    <w:p w14:paraId="451175C9">
      <w:pPr>
        <w:pStyle w:val="119"/>
        <w:ind w:firstLine="496"/>
        <w:rPr>
          <w:rFonts w:hint="eastAsia" w:ascii="宋体" w:hAnsi="宋体" w:eastAsia="宋体" w:cs="宋体"/>
          <w:color w:val="auto"/>
          <w:highlight w:val="none"/>
        </w:rPr>
      </w:pPr>
    </w:p>
    <w:p w14:paraId="3F6FF0A3">
      <w:pPr>
        <w:pStyle w:val="119"/>
        <w:ind w:firstLine="496"/>
        <w:rPr>
          <w:rFonts w:hint="eastAsia" w:ascii="宋体" w:hAnsi="宋体" w:eastAsia="宋体" w:cs="宋体"/>
          <w:color w:val="auto"/>
          <w:highlight w:val="none"/>
        </w:rPr>
      </w:pPr>
    </w:p>
    <w:p w14:paraId="74C2F461">
      <w:pPr>
        <w:pStyle w:val="119"/>
        <w:ind w:firstLine="496"/>
        <w:rPr>
          <w:rFonts w:hint="eastAsia" w:ascii="宋体" w:hAnsi="宋体" w:eastAsia="宋体" w:cs="宋体"/>
          <w:color w:val="auto"/>
          <w:highlight w:val="none"/>
        </w:rPr>
      </w:pPr>
    </w:p>
    <w:p w14:paraId="4040D6F9">
      <w:pPr>
        <w:pStyle w:val="119"/>
        <w:ind w:firstLine="496"/>
        <w:rPr>
          <w:rFonts w:hint="eastAsia" w:ascii="宋体" w:hAnsi="宋体" w:eastAsia="宋体" w:cs="宋体"/>
          <w:color w:val="auto"/>
          <w:highlight w:val="none"/>
        </w:rPr>
      </w:pPr>
    </w:p>
    <w:p w14:paraId="27859889">
      <w:pPr>
        <w:pStyle w:val="119"/>
        <w:ind w:firstLine="496"/>
        <w:rPr>
          <w:rFonts w:hint="eastAsia" w:ascii="宋体" w:hAnsi="宋体" w:eastAsia="宋体" w:cs="宋体"/>
          <w:color w:val="auto"/>
          <w:highlight w:val="none"/>
        </w:rPr>
      </w:pPr>
    </w:p>
    <w:p w14:paraId="3B3A2748">
      <w:pPr>
        <w:pStyle w:val="119"/>
        <w:ind w:firstLine="496"/>
        <w:rPr>
          <w:rFonts w:hint="eastAsia" w:ascii="宋体" w:hAnsi="宋体" w:eastAsia="宋体" w:cs="宋体"/>
          <w:color w:val="auto"/>
          <w:highlight w:val="none"/>
        </w:rPr>
      </w:pPr>
    </w:p>
    <w:p w14:paraId="3E65D214">
      <w:pPr>
        <w:pStyle w:val="119"/>
        <w:ind w:firstLine="496"/>
        <w:rPr>
          <w:rFonts w:hint="eastAsia" w:ascii="宋体" w:hAnsi="宋体" w:eastAsia="宋体" w:cs="宋体"/>
          <w:color w:val="auto"/>
          <w:highlight w:val="none"/>
        </w:rPr>
      </w:pPr>
    </w:p>
    <w:p w14:paraId="6B50C2EA">
      <w:pPr>
        <w:pStyle w:val="122"/>
        <w:ind w:firstLine="2038" w:firstLineChars="662"/>
        <w:rPr>
          <w:rFonts w:hint="eastAsia" w:ascii="宋体" w:hAnsi="宋体" w:eastAsia="宋体" w:cs="宋体"/>
          <w:color w:val="auto"/>
          <w:highlight w:val="none"/>
          <w:u w:val="singl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 xml:space="preserve">                 </w:t>
      </w:r>
    </w:p>
    <w:p w14:paraId="54F1B42A">
      <w:pPr>
        <w:pStyle w:val="122"/>
        <w:ind w:firstLine="2038" w:firstLineChars="662"/>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60790339">
      <w:pPr>
        <w:tabs>
          <w:tab w:val="left" w:pos="720"/>
        </w:tabs>
        <w:snapToGrid w:val="0"/>
        <w:spacing w:line="360" w:lineRule="auto"/>
        <w:rPr>
          <w:rFonts w:hint="eastAsia" w:ascii="宋体" w:hAnsi="宋体" w:eastAsia="宋体" w:cs="宋体"/>
          <w:color w:val="auto"/>
          <w:sz w:val="24"/>
          <w:szCs w:val="24"/>
          <w:highlight w:val="none"/>
        </w:rPr>
      </w:pPr>
    </w:p>
    <w:p w14:paraId="3176E169">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BB94F7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经济标投标文件格式二：</w:t>
      </w:r>
    </w:p>
    <w:p w14:paraId="67BCBC74">
      <w:pPr>
        <w:spacing w:line="360" w:lineRule="auto"/>
        <w:rPr>
          <w:rFonts w:hint="eastAsia" w:ascii="宋体" w:hAnsi="宋体" w:eastAsia="宋体" w:cs="宋体"/>
          <w:color w:val="auto"/>
          <w:sz w:val="24"/>
          <w:highlight w:val="none"/>
        </w:rPr>
      </w:pPr>
    </w:p>
    <w:p w14:paraId="013725F9">
      <w:pPr>
        <w:pStyle w:val="123"/>
        <w:rPr>
          <w:rFonts w:hint="eastAsia" w:ascii="宋体" w:hAnsi="宋体" w:eastAsia="宋体" w:cs="宋体"/>
          <w:color w:val="auto"/>
          <w:highlight w:val="none"/>
        </w:rPr>
      </w:pPr>
      <w:r>
        <w:rPr>
          <w:rFonts w:hint="eastAsia" w:ascii="宋体" w:hAnsi="宋体" w:eastAsia="宋体" w:cs="宋体"/>
          <w:color w:val="auto"/>
          <w:highlight w:val="none"/>
        </w:rPr>
        <w:t>工程量清单计价表</w:t>
      </w:r>
    </w:p>
    <w:p w14:paraId="6D9E24ED">
      <w:pPr>
        <w:pStyle w:val="119"/>
        <w:ind w:firstLine="496"/>
        <w:rPr>
          <w:rFonts w:hint="eastAsia" w:ascii="宋体" w:hAnsi="宋体" w:eastAsia="宋体" w:cs="宋体"/>
          <w:color w:val="auto"/>
          <w:highlight w:val="none"/>
        </w:rPr>
      </w:pPr>
    </w:p>
    <w:p w14:paraId="78CF4840">
      <w:pPr>
        <w:pStyle w:val="119"/>
        <w:ind w:firstLine="496"/>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snapToGrid w:val="0"/>
          <w:color w:val="auto"/>
          <w:szCs w:val="20"/>
          <w:highlight w:val="none"/>
        </w:rPr>
        <w:t>按投标须知修改表11.3.2条款要求，</w:t>
      </w:r>
      <w:r>
        <w:rPr>
          <w:rFonts w:hint="eastAsia" w:ascii="宋体" w:hAnsi="宋体" w:eastAsia="宋体" w:cs="宋体"/>
          <w:color w:val="auto"/>
          <w:highlight w:val="none"/>
        </w:rPr>
        <w:t>详见工程量清单。</w:t>
      </w:r>
    </w:p>
    <w:p w14:paraId="39EB1241">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0B4A20FD">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经济标投标文件格式</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lang w:eastAsia="zh-CN"/>
        </w:rPr>
        <w:t>：</w:t>
      </w:r>
    </w:p>
    <w:p w14:paraId="48034106">
      <w:pPr>
        <w:jc w:val="center"/>
        <w:rPr>
          <w:b/>
          <w:color w:val="auto"/>
          <w:sz w:val="32"/>
          <w:szCs w:val="32"/>
          <w:highlight w:val="none"/>
        </w:rPr>
      </w:pPr>
      <w:r>
        <w:rPr>
          <w:rFonts w:hint="eastAsia"/>
          <w:b/>
          <w:color w:val="auto"/>
          <w:sz w:val="32"/>
          <w:szCs w:val="32"/>
          <w:highlight w:val="none"/>
        </w:rPr>
        <w:t>消纳费明细表</w:t>
      </w:r>
    </w:p>
    <w:p w14:paraId="1F557580">
      <w:pPr>
        <w:rPr>
          <w:rFonts w:ascii="宋体" w:hAnsi="宋体"/>
          <w:color w:val="auto"/>
          <w:sz w:val="15"/>
          <w:szCs w:val="15"/>
          <w:highlight w:val="none"/>
        </w:rPr>
      </w:pPr>
      <w:r>
        <w:rPr>
          <w:rFonts w:hint="eastAsia"/>
          <w:b/>
          <w:color w:val="auto"/>
          <w:szCs w:val="21"/>
          <w:highlight w:val="none"/>
        </w:rPr>
        <w:t>工程名称：</w:t>
      </w:r>
      <w:r>
        <w:rPr>
          <w:rFonts w:hint="eastAsia"/>
          <w:b/>
          <w:color w:val="auto"/>
          <w:szCs w:val="21"/>
          <w:highlight w:val="none"/>
          <w:lang w:val="en-US" w:eastAsia="zh-CN"/>
        </w:rPr>
        <w:t>2023年白云区路灯查漏补缺项目</w:t>
      </w:r>
    </w:p>
    <w:tbl>
      <w:tblPr>
        <w:tblStyle w:val="36"/>
        <w:tblW w:w="9415" w:type="dxa"/>
        <w:jc w:val="center"/>
        <w:tblLayout w:type="fixed"/>
        <w:tblCellMar>
          <w:top w:w="0" w:type="dxa"/>
          <w:left w:w="0" w:type="dxa"/>
          <w:bottom w:w="0" w:type="dxa"/>
          <w:right w:w="0" w:type="dxa"/>
        </w:tblCellMar>
      </w:tblPr>
      <w:tblGrid>
        <w:gridCol w:w="946"/>
        <w:gridCol w:w="3088"/>
        <w:gridCol w:w="756"/>
        <w:gridCol w:w="1012"/>
        <w:gridCol w:w="1646"/>
        <w:gridCol w:w="1171"/>
        <w:gridCol w:w="796"/>
      </w:tblGrid>
      <w:tr w14:paraId="27CE11CB">
        <w:tblPrEx>
          <w:tblCellMar>
            <w:top w:w="0" w:type="dxa"/>
            <w:left w:w="0" w:type="dxa"/>
            <w:bottom w:w="0" w:type="dxa"/>
            <w:right w:w="0" w:type="dxa"/>
          </w:tblCellMar>
        </w:tblPrEx>
        <w:trPr>
          <w:trHeight w:val="560" w:hRule="atLeast"/>
          <w:jc w:val="center"/>
        </w:trPr>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A14EB1">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lang w:bidi="ar"/>
              </w:rPr>
              <w:t>序号</w:t>
            </w:r>
          </w:p>
        </w:tc>
        <w:tc>
          <w:tcPr>
            <w:tcW w:w="3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C9295C">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lang w:bidi="ar"/>
              </w:rPr>
              <w:t>单位工程名称</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9478CD">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lang w:bidi="ar"/>
              </w:rPr>
              <w:t>单位</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17E7C9">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lang w:bidi="ar"/>
              </w:rPr>
              <w:t>消纳方工程量</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09E14A">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lang w:bidi="ar"/>
              </w:rPr>
              <w:t>不含税综合单价（元/m3）</w:t>
            </w: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AD05A0">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lang w:bidi="ar"/>
              </w:rPr>
              <w:t>不含税合价（元）</w:t>
            </w:r>
          </w:p>
        </w:tc>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53C31F">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0"/>
                <w:szCs w:val="20"/>
                <w:highlight w:val="none"/>
                <w:lang w:bidi="ar"/>
              </w:rPr>
              <w:t>备注（清单位置</w:t>
            </w:r>
            <w:r>
              <w:rPr>
                <w:rFonts w:hint="eastAsia" w:ascii="宋体" w:hAnsi="宋体" w:cs="宋体"/>
                <w:b/>
                <w:bCs/>
                <w:color w:val="auto"/>
                <w:kern w:val="0"/>
                <w:sz w:val="22"/>
                <w:highlight w:val="none"/>
                <w:lang w:bidi="ar"/>
              </w:rPr>
              <w:t>）</w:t>
            </w:r>
          </w:p>
        </w:tc>
      </w:tr>
      <w:tr w14:paraId="305A390C">
        <w:tblPrEx>
          <w:tblCellMar>
            <w:top w:w="0" w:type="dxa"/>
            <w:left w:w="0" w:type="dxa"/>
            <w:bottom w:w="0" w:type="dxa"/>
            <w:right w:w="0" w:type="dxa"/>
          </w:tblCellMar>
        </w:tblPrEx>
        <w:trPr>
          <w:trHeight w:val="440" w:hRule="atLeast"/>
          <w:jc w:val="center"/>
        </w:trPr>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2EC2ED">
            <w:pPr>
              <w:rPr>
                <w:rFonts w:ascii="宋体" w:hAnsi="宋体" w:cs="宋体"/>
                <w:color w:val="auto"/>
                <w:sz w:val="22"/>
                <w:highlight w:val="none"/>
              </w:rPr>
            </w:pPr>
          </w:p>
        </w:tc>
        <w:tc>
          <w:tcPr>
            <w:tcW w:w="3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843D5F">
            <w:pPr>
              <w:widowControl/>
              <w:textAlignment w:val="center"/>
              <w:rPr>
                <w:rFonts w:hint="default" w:ascii="宋体" w:hAnsi="宋体" w:eastAsia="宋体" w:cs="宋体"/>
                <w:color w:val="auto"/>
                <w:sz w:val="22"/>
                <w:highlight w:val="none"/>
                <w:lang w:val="en-US" w:eastAsia="zh-CN"/>
              </w:rPr>
            </w:pPr>
            <w:r>
              <w:rPr>
                <w:rFonts w:hint="eastAsia" w:ascii="宋体" w:hAnsi="宋体" w:cs="宋体"/>
                <w:b/>
                <w:color w:val="auto"/>
                <w:kern w:val="0"/>
                <w:sz w:val="18"/>
                <w:szCs w:val="18"/>
                <w:highlight w:val="none"/>
                <w:lang w:val="en-US" w:eastAsia="zh-CN" w:bidi="ar"/>
              </w:rPr>
              <w:t>2023年白云区路灯查漏补缺项目</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74E7AC">
            <w:pPr>
              <w:jc w:val="center"/>
              <w:rPr>
                <w:rFonts w:ascii="宋体" w:hAnsi="宋体" w:cs="宋体"/>
                <w:color w:val="auto"/>
                <w:sz w:val="22"/>
                <w:highlight w:val="none"/>
              </w:rPr>
            </w:pP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43F912">
            <w:pPr>
              <w:widowControl/>
              <w:jc w:val="right"/>
              <w:textAlignment w:val="center"/>
              <w:rPr>
                <w:rFonts w:ascii="宋体" w:hAnsi="宋体" w:cs="宋体"/>
                <w:color w:val="auto"/>
                <w:kern w:val="0"/>
                <w:sz w:val="22"/>
                <w:highlight w:val="none"/>
                <w:lang w:bidi="ar"/>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A0C32D">
            <w:pPr>
              <w:jc w:val="center"/>
              <w:rPr>
                <w:rFonts w:ascii="宋体" w:hAnsi="宋体" w:cs="宋体"/>
                <w:color w:val="auto"/>
                <w:sz w:val="22"/>
                <w:highlight w:val="none"/>
              </w:rPr>
            </w:pP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F5D5CD">
            <w:pPr>
              <w:jc w:val="center"/>
              <w:rPr>
                <w:rFonts w:ascii="宋体" w:hAnsi="宋体" w:cs="宋体"/>
                <w:color w:val="auto"/>
                <w:sz w:val="22"/>
                <w:highlight w:val="none"/>
              </w:rPr>
            </w:pPr>
          </w:p>
        </w:tc>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066033">
            <w:pPr>
              <w:jc w:val="center"/>
              <w:rPr>
                <w:rFonts w:ascii="宋体" w:hAnsi="宋体" w:cs="宋体"/>
                <w:color w:val="auto"/>
                <w:sz w:val="22"/>
                <w:highlight w:val="none"/>
              </w:rPr>
            </w:pPr>
          </w:p>
        </w:tc>
      </w:tr>
      <w:tr w14:paraId="63D557D4">
        <w:tblPrEx>
          <w:tblCellMar>
            <w:top w:w="0" w:type="dxa"/>
            <w:left w:w="0" w:type="dxa"/>
            <w:bottom w:w="0" w:type="dxa"/>
            <w:right w:w="0" w:type="dxa"/>
          </w:tblCellMar>
        </w:tblPrEx>
        <w:trPr>
          <w:trHeight w:val="380" w:hRule="atLeast"/>
          <w:jc w:val="center"/>
        </w:trPr>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3BB06">
            <w:pPr>
              <w:widowControl/>
              <w:jc w:val="center"/>
              <w:textAlignment w:val="center"/>
              <w:rPr>
                <w:rFonts w:ascii="宋体" w:hAnsi="宋体" w:cs="宋体"/>
                <w:color w:val="auto"/>
                <w:sz w:val="22"/>
                <w:highlight w:val="none"/>
              </w:rPr>
            </w:pPr>
            <w:r>
              <w:rPr>
                <w:rFonts w:hint="eastAsia" w:ascii="宋体" w:hAnsi="宋体" w:cs="宋体"/>
                <w:color w:val="auto"/>
                <w:kern w:val="0"/>
                <w:sz w:val="18"/>
                <w:szCs w:val="18"/>
                <w:highlight w:val="none"/>
                <w:lang w:bidi="ar"/>
              </w:rPr>
              <w:t>1</w:t>
            </w:r>
          </w:p>
        </w:tc>
        <w:tc>
          <w:tcPr>
            <w:tcW w:w="3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28795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市政</w:t>
            </w:r>
            <w:r>
              <w:rPr>
                <w:rFonts w:hint="eastAsia" w:ascii="宋体" w:hAnsi="宋体" w:cs="宋体"/>
                <w:color w:val="auto"/>
                <w:kern w:val="0"/>
                <w:sz w:val="18"/>
                <w:szCs w:val="18"/>
                <w:highlight w:val="none"/>
                <w:lang w:bidi="ar"/>
              </w:rPr>
              <w:t>工程</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1784B4">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m3</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7901C0">
            <w:pPr>
              <w:pStyle w:val="32"/>
              <w:keepNext w:val="0"/>
              <w:keepLines w:val="0"/>
              <w:widowControl/>
              <w:suppressLineNumbers w:val="0"/>
              <w:spacing w:before="0" w:beforeAutospacing="0" w:after="0" w:afterAutospacing="0"/>
              <w:ind w:left="0" w:right="0" w:firstLine="0"/>
              <w:jc w:val="center"/>
              <w:rPr>
                <w:rFonts w:cs="宋体"/>
                <w:color w:val="auto"/>
                <w:sz w:val="18"/>
                <w:szCs w:val="18"/>
                <w:highlight w:val="none"/>
                <w:lang w:bidi="ar"/>
              </w:rPr>
            </w:pPr>
            <w:r>
              <w:rPr>
                <w:rFonts w:hint="eastAsia" w:cs="宋体"/>
                <w:color w:val="auto"/>
                <w:sz w:val="18"/>
                <w:szCs w:val="18"/>
                <w:highlight w:val="none"/>
                <w:lang w:bidi="ar"/>
              </w:rPr>
              <w:t>6280.47</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C80D1F">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15</w:t>
            </w: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1747BA">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94207.05</w:t>
            </w:r>
          </w:p>
        </w:tc>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14CE38">
            <w:pPr>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其他项</w:t>
            </w:r>
          </w:p>
        </w:tc>
      </w:tr>
      <w:tr w14:paraId="49285B00">
        <w:tblPrEx>
          <w:tblCellMar>
            <w:top w:w="0" w:type="dxa"/>
            <w:left w:w="0" w:type="dxa"/>
            <w:bottom w:w="0" w:type="dxa"/>
            <w:right w:w="0" w:type="dxa"/>
          </w:tblCellMar>
        </w:tblPrEx>
        <w:trPr>
          <w:trHeight w:val="380" w:hRule="atLeast"/>
          <w:jc w:val="center"/>
        </w:trPr>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8CDEDC">
            <w:pPr>
              <w:widowControl/>
              <w:jc w:val="center"/>
              <w:textAlignment w:val="center"/>
              <w:rPr>
                <w:rFonts w:ascii="宋体" w:hAnsi="宋体" w:cs="宋体"/>
                <w:color w:val="auto"/>
                <w:sz w:val="22"/>
                <w:highlight w:val="none"/>
              </w:rPr>
            </w:pPr>
            <w:r>
              <w:rPr>
                <w:rFonts w:hint="eastAsia" w:ascii="宋体" w:hAnsi="宋体" w:cs="宋体"/>
                <w:color w:val="auto"/>
                <w:kern w:val="0"/>
                <w:sz w:val="18"/>
                <w:szCs w:val="18"/>
                <w:highlight w:val="none"/>
                <w:lang w:bidi="ar"/>
              </w:rPr>
              <w:t>2</w:t>
            </w:r>
          </w:p>
        </w:tc>
        <w:tc>
          <w:tcPr>
            <w:tcW w:w="3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0171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绿化</w:t>
            </w:r>
            <w:r>
              <w:rPr>
                <w:rFonts w:hint="eastAsia" w:ascii="宋体" w:hAnsi="宋体" w:cs="宋体"/>
                <w:color w:val="auto"/>
                <w:kern w:val="0"/>
                <w:sz w:val="18"/>
                <w:szCs w:val="18"/>
                <w:highlight w:val="none"/>
                <w:lang w:bidi="ar"/>
              </w:rPr>
              <w:t>工程</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3C33F3">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m3</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AF69B1">
            <w:pPr>
              <w:pStyle w:val="32"/>
              <w:keepNext w:val="0"/>
              <w:keepLines w:val="0"/>
              <w:widowControl/>
              <w:suppressLineNumbers w:val="0"/>
              <w:spacing w:before="0" w:beforeAutospacing="0" w:after="0" w:afterAutospacing="0"/>
              <w:ind w:left="0" w:right="0" w:firstLine="0"/>
              <w:jc w:val="center"/>
              <w:rPr>
                <w:rFonts w:cs="宋体"/>
                <w:color w:val="auto"/>
                <w:sz w:val="18"/>
                <w:szCs w:val="18"/>
                <w:highlight w:val="none"/>
                <w:lang w:bidi="ar"/>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4C4183">
            <w:pPr>
              <w:widowControl/>
              <w:jc w:val="center"/>
              <w:textAlignment w:val="center"/>
              <w:rPr>
                <w:rFonts w:ascii="宋体" w:hAnsi="宋体" w:cs="宋体"/>
                <w:color w:val="auto"/>
                <w:kern w:val="0"/>
                <w:sz w:val="18"/>
                <w:szCs w:val="18"/>
                <w:highlight w:val="none"/>
                <w:lang w:bidi="ar"/>
              </w:rPr>
            </w:pP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8BD24E">
            <w:pPr>
              <w:widowControl/>
              <w:jc w:val="center"/>
              <w:textAlignment w:val="center"/>
              <w:rPr>
                <w:rFonts w:ascii="宋体" w:hAnsi="宋体" w:cs="宋体"/>
                <w:color w:val="auto"/>
                <w:kern w:val="0"/>
                <w:sz w:val="18"/>
                <w:szCs w:val="18"/>
                <w:highlight w:val="none"/>
                <w:lang w:bidi="ar"/>
              </w:rPr>
            </w:pPr>
          </w:p>
        </w:tc>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D4A4A2">
            <w:pPr>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其他项</w:t>
            </w:r>
          </w:p>
        </w:tc>
      </w:tr>
      <w:tr w14:paraId="29460B8F">
        <w:tblPrEx>
          <w:tblCellMar>
            <w:top w:w="0" w:type="dxa"/>
            <w:left w:w="0" w:type="dxa"/>
            <w:bottom w:w="0" w:type="dxa"/>
            <w:right w:w="0" w:type="dxa"/>
          </w:tblCellMar>
        </w:tblPrEx>
        <w:trPr>
          <w:trHeight w:val="380" w:hRule="atLeast"/>
          <w:jc w:val="center"/>
        </w:trPr>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1CED82">
            <w:pPr>
              <w:widowControl/>
              <w:jc w:val="center"/>
              <w:textAlignment w:val="center"/>
              <w:rPr>
                <w:rFonts w:ascii="宋体" w:hAnsi="宋体" w:cs="宋体"/>
                <w:color w:val="auto"/>
                <w:sz w:val="22"/>
                <w:highlight w:val="none"/>
              </w:rPr>
            </w:pPr>
            <w:r>
              <w:rPr>
                <w:rFonts w:hint="eastAsia" w:ascii="宋体" w:hAnsi="宋体" w:cs="宋体"/>
                <w:color w:val="auto"/>
                <w:kern w:val="0"/>
                <w:sz w:val="18"/>
                <w:szCs w:val="18"/>
                <w:highlight w:val="none"/>
                <w:lang w:bidi="ar"/>
              </w:rPr>
              <w:t>3</w:t>
            </w:r>
          </w:p>
        </w:tc>
        <w:tc>
          <w:tcPr>
            <w:tcW w:w="3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433C6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安装</w:t>
            </w:r>
            <w:r>
              <w:rPr>
                <w:rFonts w:hint="eastAsia" w:ascii="宋体" w:hAnsi="宋体" w:cs="宋体"/>
                <w:color w:val="auto"/>
                <w:kern w:val="0"/>
                <w:sz w:val="18"/>
                <w:szCs w:val="18"/>
                <w:highlight w:val="none"/>
                <w:lang w:bidi="ar"/>
              </w:rPr>
              <w:t>工程</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5F7627">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m3</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017310">
            <w:pPr>
              <w:pStyle w:val="32"/>
              <w:keepNext w:val="0"/>
              <w:keepLines w:val="0"/>
              <w:widowControl/>
              <w:suppressLineNumbers w:val="0"/>
              <w:spacing w:before="0" w:beforeAutospacing="0" w:after="0" w:afterAutospacing="0"/>
              <w:ind w:left="0" w:right="0" w:firstLine="0"/>
              <w:jc w:val="center"/>
              <w:rPr>
                <w:color w:val="auto"/>
                <w:sz w:val="18"/>
                <w:szCs w:val="18"/>
                <w:highlight w:val="none"/>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562073">
            <w:pPr>
              <w:widowControl/>
              <w:jc w:val="center"/>
              <w:textAlignment w:val="center"/>
              <w:rPr>
                <w:rFonts w:ascii="宋体" w:hAnsi="宋体" w:cs="宋体"/>
                <w:color w:val="auto"/>
                <w:kern w:val="0"/>
                <w:sz w:val="18"/>
                <w:szCs w:val="18"/>
                <w:highlight w:val="none"/>
                <w:lang w:bidi="ar"/>
              </w:rPr>
            </w:pPr>
          </w:p>
        </w:tc>
        <w:tc>
          <w:tcPr>
            <w:tcW w:w="1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9D238C">
            <w:pPr>
              <w:widowControl/>
              <w:jc w:val="center"/>
              <w:textAlignment w:val="center"/>
              <w:rPr>
                <w:rFonts w:ascii="宋体" w:hAnsi="宋体" w:cs="宋体"/>
                <w:color w:val="auto"/>
                <w:kern w:val="0"/>
                <w:sz w:val="18"/>
                <w:szCs w:val="18"/>
                <w:highlight w:val="none"/>
                <w:lang w:bidi="ar"/>
              </w:rPr>
            </w:pPr>
          </w:p>
        </w:tc>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7A1472">
            <w:pPr>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其他项</w:t>
            </w:r>
          </w:p>
        </w:tc>
      </w:tr>
      <w:tr w14:paraId="08A5FF3E">
        <w:tblPrEx>
          <w:tblCellMar>
            <w:top w:w="0" w:type="dxa"/>
            <w:left w:w="0" w:type="dxa"/>
            <w:bottom w:w="0" w:type="dxa"/>
            <w:right w:w="0" w:type="dxa"/>
          </w:tblCellMar>
        </w:tblPrEx>
        <w:trPr>
          <w:trHeight w:val="437" w:hRule="atLeast"/>
          <w:jc w:val="center"/>
        </w:trPr>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4A8443">
            <w:pPr>
              <w:widowControl/>
              <w:jc w:val="center"/>
              <w:textAlignment w:val="center"/>
              <w:rPr>
                <w:rFonts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合计</w:t>
            </w:r>
          </w:p>
        </w:tc>
        <w:tc>
          <w:tcPr>
            <w:tcW w:w="3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4CC256">
            <w:pPr>
              <w:jc w:val="center"/>
              <w:rPr>
                <w:rFonts w:ascii="宋体" w:hAnsi="宋体" w:cs="宋体"/>
                <w:color w:val="auto"/>
                <w:kern w:val="0"/>
                <w:sz w:val="18"/>
                <w:szCs w:val="18"/>
                <w:highlight w:val="none"/>
                <w:lang w:bidi="ar"/>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4431ED">
            <w:pPr>
              <w:widowControl/>
              <w:jc w:val="right"/>
              <w:textAlignment w:val="center"/>
              <w:rPr>
                <w:rFonts w:ascii="宋体" w:hAnsi="宋体" w:cs="宋体"/>
                <w:color w:val="auto"/>
                <w:sz w:val="22"/>
                <w:highlight w:val="none"/>
              </w:rPr>
            </w:pP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BD9F42">
            <w:pPr>
              <w:jc w:val="center"/>
              <w:rPr>
                <w:rFonts w:ascii="宋体" w:hAnsi="宋体" w:cs="宋体"/>
                <w:color w:val="auto"/>
                <w:kern w:val="0"/>
                <w:sz w:val="22"/>
                <w:highlight w:val="none"/>
                <w:lang w:bidi="ar"/>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081B1F">
            <w:pPr>
              <w:widowControl/>
              <w:jc w:val="right"/>
              <w:textAlignment w:val="center"/>
              <w:rPr>
                <w:rFonts w:ascii="宋体" w:hAnsi="宋体" w:cs="宋体"/>
                <w:color w:val="auto"/>
                <w:sz w:val="22"/>
                <w:highlight w:val="none"/>
              </w:rPr>
            </w:pP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9830E1">
            <w:pPr>
              <w:widowControl/>
              <w:jc w:val="center"/>
              <w:textAlignment w:val="center"/>
              <w:rPr>
                <w:rFonts w:ascii="宋体" w:hAnsi="宋体" w:cs="宋体"/>
                <w:color w:val="auto"/>
                <w:sz w:val="22"/>
                <w:highlight w:val="none"/>
              </w:rPr>
            </w:pPr>
            <w:r>
              <w:rPr>
                <w:rFonts w:hint="eastAsia" w:ascii="宋体" w:hAnsi="宋体" w:cs="宋体"/>
                <w:color w:val="auto"/>
                <w:kern w:val="0"/>
                <w:sz w:val="18"/>
                <w:szCs w:val="18"/>
                <w:highlight w:val="none"/>
                <w:lang w:bidi="ar"/>
              </w:rPr>
              <w:t>94207.05</w:t>
            </w:r>
          </w:p>
        </w:tc>
        <w:tc>
          <w:tcPr>
            <w:tcW w:w="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779794">
            <w:pPr>
              <w:rPr>
                <w:rFonts w:ascii="宋体" w:hAnsi="宋体" w:cs="宋体"/>
                <w:color w:val="auto"/>
                <w:sz w:val="22"/>
                <w:highlight w:val="none"/>
              </w:rPr>
            </w:pPr>
          </w:p>
        </w:tc>
      </w:tr>
    </w:tbl>
    <w:p w14:paraId="0EB603A9">
      <w:pPr>
        <w:rPr>
          <w:color w:val="auto"/>
          <w:highlight w:val="none"/>
        </w:rPr>
      </w:pPr>
    </w:p>
    <w:p w14:paraId="786986EB">
      <w:pPr>
        <w:rPr>
          <w:b/>
          <w:bCs/>
          <w:color w:val="auto"/>
          <w:highlight w:val="none"/>
        </w:rPr>
      </w:pPr>
      <w:r>
        <w:rPr>
          <w:rFonts w:hint="eastAsia"/>
          <w:b/>
          <w:bCs/>
          <w:color w:val="auto"/>
          <w:highlight w:val="none"/>
        </w:rPr>
        <w:t>注：投标人须按本表填报单价及合价，本表各单位工程的不含税合价须填入工程量清单中相应单位工程的《其他项目清单与计价汇总表》中，不含税合价金额与《其他项目清单与计价汇总表》消纳费的金额不一致时，由招标人在签订合同时按就低不就高的原则进行调整。</w:t>
      </w:r>
    </w:p>
    <w:p w14:paraId="69F77471">
      <w:pPr>
        <w:spacing w:line="360" w:lineRule="auto"/>
        <w:rPr>
          <w:color w:val="auto"/>
          <w:highlight w:val="none"/>
        </w:rPr>
      </w:pPr>
    </w:p>
    <w:p w14:paraId="47EDE1F1">
      <w:pPr>
        <w:spacing w:line="360" w:lineRule="auto"/>
        <w:rPr>
          <w:color w:val="auto"/>
          <w:highlight w:val="none"/>
        </w:rPr>
      </w:pPr>
      <w:r>
        <w:rPr>
          <w:rFonts w:hint="eastAsia"/>
          <w:color w:val="auto"/>
          <w:highlight w:val="none"/>
        </w:rPr>
        <w:t>投标人名称：</w:t>
      </w:r>
      <w:r>
        <w:rPr>
          <w:rFonts w:hint="eastAsia"/>
          <w:color w:val="auto"/>
          <w:sz w:val="24"/>
          <w:szCs w:val="24"/>
          <w:highlight w:val="none"/>
          <w:u w:val="single"/>
        </w:rPr>
        <w:t xml:space="preserve">                 </w:t>
      </w:r>
      <w:r>
        <w:rPr>
          <w:rFonts w:hint="eastAsia"/>
          <w:color w:val="auto"/>
          <w:highlight w:val="none"/>
        </w:rPr>
        <w:t>（盖企业公章）</w:t>
      </w:r>
    </w:p>
    <w:p w14:paraId="7034A13B">
      <w:pPr>
        <w:spacing w:line="360" w:lineRule="auto"/>
        <w:rPr>
          <w:color w:val="auto"/>
          <w:highlight w:val="none"/>
        </w:rPr>
      </w:pPr>
      <w:r>
        <w:rPr>
          <w:rFonts w:hint="eastAsia"/>
          <w:color w:val="auto"/>
          <w:highlight w:val="none"/>
        </w:rPr>
        <w:t>法定代表人或授权代表：</w:t>
      </w:r>
      <w:r>
        <w:rPr>
          <w:rFonts w:hint="eastAsia"/>
          <w:color w:val="auto"/>
          <w:sz w:val="24"/>
          <w:szCs w:val="24"/>
          <w:highlight w:val="none"/>
          <w:u w:val="single"/>
        </w:rPr>
        <w:t xml:space="preserve">          </w:t>
      </w:r>
      <w:r>
        <w:rPr>
          <w:rFonts w:hint="eastAsia"/>
          <w:color w:val="auto"/>
          <w:highlight w:val="none"/>
        </w:rPr>
        <w:t>（签字或盖章）</w:t>
      </w:r>
    </w:p>
    <w:p w14:paraId="23472672">
      <w:pPr>
        <w:rPr>
          <w:color w:val="auto"/>
          <w:highlight w:val="none"/>
        </w:rPr>
      </w:pPr>
      <w:r>
        <w:rPr>
          <w:rFonts w:hint="eastAsia"/>
          <w:color w:val="auto"/>
          <w:highlight w:val="none"/>
        </w:rPr>
        <w:t>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416F61A8">
      <w:pPr>
        <w:rPr>
          <w:rFonts w:hint="eastAsia" w:ascii="宋体" w:hAnsi="宋体" w:eastAsia="宋体" w:cs="宋体"/>
          <w:color w:val="auto"/>
          <w:sz w:val="24"/>
          <w:highlight w:val="none"/>
          <w:lang w:eastAsia="zh-CN"/>
        </w:rPr>
      </w:pPr>
    </w:p>
    <w:p w14:paraId="35CEBEF0">
      <w:pPr>
        <w:rPr>
          <w:rFonts w:hint="eastAsia" w:ascii="宋体" w:hAnsi="宋体" w:eastAsia="宋体" w:cs="宋体"/>
          <w:color w:val="auto"/>
          <w:sz w:val="24"/>
          <w:highlight w:val="none"/>
        </w:rPr>
      </w:pPr>
    </w:p>
    <w:p w14:paraId="1FB43758">
      <w:pPr>
        <w:rPr>
          <w:rFonts w:hint="eastAsia" w:ascii="宋体" w:hAnsi="宋体" w:eastAsia="宋体" w:cs="宋体"/>
          <w:color w:val="auto"/>
          <w:sz w:val="24"/>
          <w:highlight w:val="none"/>
        </w:rPr>
      </w:pPr>
    </w:p>
    <w:p w14:paraId="37C66080">
      <w:pPr>
        <w:rPr>
          <w:rFonts w:hint="eastAsia" w:ascii="宋体" w:hAnsi="宋体" w:eastAsia="宋体" w:cs="宋体"/>
          <w:color w:val="auto"/>
          <w:sz w:val="24"/>
          <w:highlight w:val="none"/>
        </w:rPr>
      </w:pPr>
    </w:p>
    <w:p w14:paraId="19F9D31E">
      <w:pPr>
        <w:rPr>
          <w:rFonts w:hint="eastAsia" w:ascii="宋体" w:hAnsi="宋体" w:eastAsia="宋体" w:cs="宋体"/>
          <w:color w:val="auto"/>
          <w:sz w:val="24"/>
          <w:highlight w:val="none"/>
        </w:rPr>
      </w:pPr>
    </w:p>
    <w:p w14:paraId="0042BEBE">
      <w:pPr>
        <w:rPr>
          <w:rFonts w:hint="eastAsia" w:ascii="宋体" w:hAnsi="宋体" w:eastAsia="宋体" w:cs="宋体"/>
          <w:color w:val="auto"/>
          <w:sz w:val="24"/>
          <w:highlight w:val="none"/>
        </w:rPr>
      </w:pPr>
    </w:p>
    <w:p w14:paraId="3B521E2D">
      <w:pPr>
        <w:rPr>
          <w:rFonts w:hint="eastAsia" w:ascii="宋体" w:hAnsi="宋体" w:eastAsia="宋体" w:cs="宋体"/>
          <w:color w:val="auto"/>
          <w:sz w:val="24"/>
          <w:highlight w:val="none"/>
        </w:rPr>
      </w:pPr>
    </w:p>
    <w:p w14:paraId="0E6DF2BC">
      <w:pPr>
        <w:rPr>
          <w:rFonts w:hint="eastAsia" w:ascii="宋体" w:hAnsi="宋体" w:eastAsia="宋体" w:cs="宋体"/>
          <w:color w:val="auto"/>
          <w:sz w:val="24"/>
          <w:highlight w:val="none"/>
        </w:rPr>
      </w:pPr>
    </w:p>
    <w:p w14:paraId="6591EBEF">
      <w:pPr>
        <w:rPr>
          <w:rFonts w:hint="eastAsia" w:ascii="宋体" w:hAnsi="宋体" w:eastAsia="宋体" w:cs="宋体"/>
          <w:color w:val="auto"/>
          <w:sz w:val="24"/>
          <w:highlight w:val="none"/>
        </w:rPr>
      </w:pPr>
    </w:p>
    <w:p w14:paraId="35DE198B">
      <w:pPr>
        <w:rPr>
          <w:rFonts w:hint="eastAsia" w:ascii="宋体" w:hAnsi="宋体" w:eastAsia="宋体" w:cs="宋体"/>
          <w:color w:val="auto"/>
          <w:sz w:val="24"/>
          <w:highlight w:val="none"/>
        </w:rPr>
      </w:pPr>
    </w:p>
    <w:p w14:paraId="4682D446">
      <w:pPr>
        <w:rPr>
          <w:rFonts w:hint="eastAsia" w:ascii="宋体" w:hAnsi="宋体" w:eastAsia="宋体" w:cs="宋体"/>
          <w:color w:val="auto"/>
          <w:sz w:val="24"/>
          <w:highlight w:val="none"/>
        </w:rPr>
      </w:pPr>
    </w:p>
    <w:p w14:paraId="58955659">
      <w:pPr>
        <w:rPr>
          <w:rFonts w:hint="eastAsia" w:ascii="宋体" w:hAnsi="宋体" w:eastAsia="宋体" w:cs="宋体"/>
          <w:color w:val="auto"/>
          <w:sz w:val="24"/>
          <w:highlight w:val="none"/>
        </w:rPr>
      </w:pPr>
    </w:p>
    <w:p w14:paraId="0F7E51A9">
      <w:pPr>
        <w:rPr>
          <w:rFonts w:hint="eastAsia" w:ascii="宋体" w:hAnsi="宋体" w:eastAsia="宋体" w:cs="宋体"/>
          <w:color w:val="auto"/>
          <w:sz w:val="24"/>
          <w:highlight w:val="none"/>
        </w:rPr>
      </w:pPr>
    </w:p>
    <w:p w14:paraId="18371447">
      <w:pPr>
        <w:rPr>
          <w:rFonts w:hint="eastAsia" w:ascii="宋体" w:hAnsi="宋体" w:eastAsia="宋体" w:cs="宋体"/>
          <w:color w:val="auto"/>
          <w:sz w:val="24"/>
          <w:highlight w:val="none"/>
        </w:rPr>
      </w:pPr>
    </w:p>
    <w:p w14:paraId="49D27277">
      <w:pPr>
        <w:rPr>
          <w:rFonts w:hint="eastAsia" w:ascii="宋体" w:hAnsi="宋体" w:eastAsia="宋体" w:cs="宋体"/>
          <w:color w:val="auto"/>
          <w:sz w:val="24"/>
          <w:highlight w:val="none"/>
        </w:rPr>
      </w:pPr>
    </w:p>
    <w:p w14:paraId="5DAAD47B">
      <w:pPr>
        <w:rPr>
          <w:rFonts w:hint="eastAsia" w:ascii="宋体" w:hAnsi="宋体" w:eastAsia="宋体" w:cs="宋体"/>
          <w:color w:val="auto"/>
          <w:sz w:val="24"/>
          <w:highlight w:val="none"/>
        </w:rPr>
      </w:pPr>
    </w:p>
    <w:p w14:paraId="7367A54D">
      <w:pPr>
        <w:rPr>
          <w:rFonts w:hint="eastAsia" w:ascii="宋体" w:hAnsi="宋体" w:eastAsia="宋体" w:cs="宋体"/>
          <w:color w:val="auto"/>
          <w:sz w:val="24"/>
          <w:highlight w:val="none"/>
        </w:rPr>
      </w:pPr>
    </w:p>
    <w:p w14:paraId="2C9E2571">
      <w:pPr>
        <w:rPr>
          <w:rFonts w:hint="eastAsia" w:ascii="宋体" w:hAnsi="宋体" w:eastAsia="宋体" w:cs="宋体"/>
          <w:color w:val="auto"/>
          <w:sz w:val="24"/>
          <w:highlight w:val="none"/>
        </w:rPr>
      </w:pPr>
    </w:p>
    <w:p w14:paraId="48D8D4F9">
      <w:pPr>
        <w:rPr>
          <w:rFonts w:hint="eastAsia" w:ascii="宋体" w:hAnsi="宋体" w:eastAsia="宋体" w:cs="宋体"/>
          <w:color w:val="auto"/>
          <w:sz w:val="24"/>
          <w:highlight w:val="none"/>
        </w:rPr>
      </w:pPr>
    </w:p>
    <w:p w14:paraId="58F17499">
      <w:pPr>
        <w:rPr>
          <w:rFonts w:hint="eastAsia" w:ascii="宋体" w:hAnsi="宋体" w:eastAsia="宋体" w:cs="宋体"/>
          <w:color w:val="auto"/>
          <w:sz w:val="24"/>
          <w:highlight w:val="none"/>
        </w:rPr>
      </w:pPr>
    </w:p>
    <w:p w14:paraId="1394C9A4">
      <w:pPr>
        <w:rPr>
          <w:rFonts w:hint="eastAsia" w:ascii="宋体" w:hAnsi="宋体" w:eastAsia="宋体" w:cs="宋体"/>
          <w:color w:val="auto"/>
          <w:sz w:val="24"/>
          <w:highlight w:val="none"/>
        </w:rPr>
      </w:pPr>
    </w:p>
    <w:p w14:paraId="6EF2FBB0">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经济标投标文件格式</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lang w:eastAsia="zh-CN"/>
        </w:rPr>
        <w:t>：</w:t>
      </w:r>
    </w:p>
    <w:p w14:paraId="41CE2827">
      <w:pPr>
        <w:rPr>
          <w:rFonts w:hint="eastAsia" w:ascii="宋体" w:hAnsi="宋体" w:eastAsia="宋体" w:cs="宋体"/>
          <w:color w:val="auto"/>
          <w:highlight w:val="none"/>
        </w:rPr>
      </w:pPr>
      <w:r>
        <w:rPr>
          <w:rFonts w:hint="eastAsia" w:ascii="宋体" w:hAnsi="宋体" w:eastAsia="宋体" w:cs="宋体"/>
          <w:color w:val="auto"/>
          <w:highlight w:val="none"/>
        </w:rPr>
        <w:t>（以下格式文件由投标人根据需要选用）</w:t>
      </w:r>
    </w:p>
    <w:p w14:paraId="539BEDA3">
      <w:pPr>
        <w:pStyle w:val="15"/>
        <w:tabs>
          <w:tab w:val="left" w:pos="1282"/>
        </w:tabs>
        <w:kinsoku w:val="0"/>
        <w:overflowPunct w:val="0"/>
        <w:spacing w:before="55"/>
        <w:jc w:val="center"/>
        <w:rPr>
          <w:rFonts w:hint="eastAsia" w:ascii="宋体" w:hAnsi="宋体" w:eastAsia="宋体" w:cs="宋体"/>
          <w:b/>
          <w:color w:val="auto"/>
          <w:spacing w:val="2"/>
          <w:position w:val="-1"/>
          <w:sz w:val="32"/>
          <w:szCs w:val="32"/>
          <w:highlight w:val="none"/>
        </w:rPr>
      </w:pPr>
      <w:r>
        <w:rPr>
          <w:rFonts w:hint="eastAsia" w:ascii="宋体" w:hAnsi="宋体" w:eastAsia="宋体" w:cs="宋体"/>
          <w:b/>
          <w:color w:val="auto"/>
          <w:spacing w:val="2"/>
          <w:position w:val="-1"/>
          <w:sz w:val="32"/>
          <w:szCs w:val="32"/>
          <w:highlight w:val="none"/>
        </w:rPr>
        <w:t>中小企业声明函</w:t>
      </w:r>
    </w:p>
    <w:p w14:paraId="1CB5FC36">
      <w:pPr>
        <w:pStyle w:val="15"/>
        <w:kinsoku w:val="0"/>
        <w:overflowPunct w:val="0"/>
        <w:spacing w:before="12"/>
        <w:rPr>
          <w:rFonts w:hint="eastAsia" w:ascii="宋体" w:hAnsi="宋体" w:eastAsia="宋体" w:cs="宋体"/>
          <w:color w:val="auto"/>
          <w:sz w:val="26"/>
          <w:szCs w:val="26"/>
          <w:highlight w:val="none"/>
        </w:rPr>
      </w:pPr>
    </w:p>
    <w:p w14:paraId="1DFAA9D9">
      <w:pPr>
        <w:pStyle w:val="15"/>
        <w:tabs>
          <w:tab w:val="left" w:pos="1981"/>
          <w:tab w:val="left" w:pos="3555"/>
        </w:tabs>
        <w:kinsoku w:val="0"/>
        <w:overflowPunct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ab/>
      </w:r>
      <w:r>
        <w:rPr>
          <w:rFonts w:hint="eastAsia" w:ascii="宋体" w:hAnsi="宋体" w:eastAsia="宋体" w:cs="宋体"/>
          <w:color w:val="auto"/>
          <w:w w:val="95"/>
          <w:sz w:val="24"/>
          <w:szCs w:val="24"/>
          <w:highlight w:val="none"/>
          <w:u w:val="single"/>
        </w:rPr>
        <w:t>（招标人）</w:t>
      </w:r>
      <w:r>
        <w:rPr>
          <w:rFonts w:hint="eastAsia" w:ascii="宋体" w:hAnsi="宋体" w:eastAsia="宋体" w:cs="宋体"/>
          <w:color w:val="auto"/>
          <w:sz w:val="24"/>
          <w:szCs w:val="24"/>
          <w:highlight w:val="none"/>
          <w:u w:val="single"/>
        </w:rPr>
        <w:tab/>
      </w:r>
    </w:p>
    <w:p w14:paraId="4481ABCB">
      <w:pPr>
        <w:pStyle w:val="15"/>
        <w:kinsoku w:val="0"/>
        <w:overflowPunct w:val="0"/>
        <w:spacing w:after="0" w:line="360" w:lineRule="auto"/>
        <w:ind w:right="216" w:firstLine="46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本公司</w:t>
      </w:r>
      <w:r>
        <w:rPr>
          <w:rFonts w:hint="eastAsia" w:ascii="宋体" w:hAnsi="宋体" w:eastAsia="宋体" w:cs="宋体"/>
          <w:color w:val="auto"/>
          <w:sz w:val="24"/>
          <w:szCs w:val="24"/>
          <w:highlight w:val="none"/>
        </w:rPr>
        <w:t>（联合体</w:t>
      </w: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5"/>
          <w:sz w:val="24"/>
          <w:szCs w:val="24"/>
          <w:highlight w:val="none"/>
        </w:rPr>
        <w:t>郑重声明，根据《政府采购促进中小企业发展管理办法》</w:t>
      </w:r>
      <w:r>
        <w:rPr>
          <w:rFonts w:hint="eastAsia" w:ascii="宋体" w:hAnsi="宋体" w:eastAsia="宋体" w:cs="宋体"/>
          <w:color w:val="auto"/>
          <w:sz w:val="24"/>
          <w:szCs w:val="24"/>
          <w:highlight w:val="none"/>
        </w:rPr>
        <w:t>（财库﹝2020﹞46</w:t>
      </w:r>
      <w:r>
        <w:rPr>
          <w:rFonts w:hint="eastAsia" w:ascii="宋体" w:hAnsi="宋体" w:eastAsia="宋体" w:cs="宋体"/>
          <w:color w:val="auto"/>
          <w:spacing w:val="-35"/>
          <w:sz w:val="24"/>
          <w:szCs w:val="24"/>
          <w:highlight w:val="none"/>
        </w:rPr>
        <w:t>号</w:t>
      </w:r>
      <w:r>
        <w:rPr>
          <w:rFonts w:hint="eastAsia" w:ascii="宋体" w:hAnsi="宋体" w:eastAsia="宋体" w:cs="宋体"/>
          <w:color w:val="auto"/>
          <w:sz w:val="24"/>
          <w:szCs w:val="24"/>
          <w:highlight w:val="none"/>
        </w:rPr>
        <w:t>）的规定，本公司参加</w:t>
      </w:r>
      <w:r>
        <w:rPr>
          <w:rFonts w:hint="eastAsia" w:ascii="宋体" w:hAnsi="宋体" w:eastAsia="宋体" w:cs="宋体"/>
          <w:color w:val="auto"/>
          <w:sz w:val="24"/>
          <w:szCs w:val="24"/>
          <w:highlight w:val="none"/>
          <w:u w:val="single"/>
        </w:rPr>
        <w:t>（招标人）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招标活动，工程的施工单位全部为符合政策要求的中小企业。相关企业（含联合体中的中小企业、签订分包意向协议的中小企业）的具体情况如下：</w:t>
      </w:r>
    </w:p>
    <w:p w14:paraId="167315F1">
      <w:pPr>
        <w:pStyle w:val="15"/>
        <w:tabs>
          <w:tab w:val="left" w:pos="2190"/>
          <w:tab w:val="left" w:pos="7935"/>
        </w:tabs>
        <w:kinsoku w:val="0"/>
        <w:overflowPunct w:val="0"/>
        <w:spacing w:after="0" w:line="360" w:lineRule="auto"/>
        <w:ind w:right="31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w:t>
      </w:r>
      <w:r>
        <w:rPr>
          <w:rFonts w:hint="eastAsia" w:ascii="宋体" w:hAnsi="宋体" w:eastAsia="宋体" w:cs="宋体"/>
          <w:color w:val="auto"/>
          <w:spacing w:val="2"/>
          <w:sz w:val="24"/>
          <w:szCs w:val="24"/>
          <w:highlight w:val="none"/>
          <w:u w:val="single"/>
        </w:rPr>
        <w:t>标</w:t>
      </w:r>
      <w:r>
        <w:rPr>
          <w:rFonts w:hint="eastAsia" w:ascii="宋体" w:hAnsi="宋体" w:eastAsia="宋体" w:cs="宋体"/>
          <w:color w:val="auto"/>
          <w:sz w:val="24"/>
          <w:szCs w:val="24"/>
          <w:highlight w:val="none"/>
          <w:u w:val="single"/>
        </w:rPr>
        <w:t>的名</w:t>
      </w:r>
      <w:r>
        <w:rPr>
          <w:rFonts w:hint="eastAsia" w:ascii="宋体" w:hAnsi="宋体" w:eastAsia="宋体" w:cs="宋体"/>
          <w:color w:val="auto"/>
          <w:spacing w:val="2"/>
          <w:sz w:val="24"/>
          <w:szCs w:val="24"/>
          <w:highlight w:val="none"/>
          <w:u w:val="single"/>
        </w:rPr>
        <w:t>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r>
        <w:rPr>
          <w:rFonts w:hint="eastAsia" w:ascii="宋体" w:hAnsi="宋体" w:eastAsia="宋体" w:cs="宋体"/>
          <w:color w:val="auto"/>
          <w:spacing w:val="2"/>
          <w:sz w:val="24"/>
          <w:szCs w:val="24"/>
          <w:highlight w:val="none"/>
        </w:rPr>
        <w:t>属</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single"/>
        </w:rPr>
        <w:t xml:space="preserve">  业</w:t>
      </w:r>
      <w:r>
        <w:rPr>
          <w:rFonts w:hint="eastAsia" w:ascii="宋体" w:hAnsi="宋体" w:eastAsia="宋体" w:cs="宋体"/>
          <w:color w:val="auto"/>
          <w:sz w:val="24"/>
          <w:szCs w:val="24"/>
          <w:highlight w:val="none"/>
        </w:rPr>
        <w:t>；</w:t>
      </w:r>
      <w:r>
        <w:rPr>
          <w:rFonts w:hint="eastAsia" w:ascii="宋体" w:hAnsi="宋体" w:eastAsia="宋体" w:cs="宋体"/>
          <w:color w:val="auto"/>
          <w:spacing w:val="2"/>
          <w:sz w:val="24"/>
          <w:szCs w:val="24"/>
          <w:highlight w:val="none"/>
        </w:rPr>
        <w:t>承</w:t>
      </w:r>
      <w:r>
        <w:rPr>
          <w:rFonts w:hint="eastAsia" w:ascii="宋体" w:hAnsi="宋体" w:eastAsia="宋体" w:cs="宋体"/>
          <w:color w:val="auto"/>
          <w:sz w:val="24"/>
          <w:szCs w:val="24"/>
          <w:highlight w:val="none"/>
        </w:rPr>
        <w:t>建（承</w:t>
      </w:r>
      <w:r>
        <w:rPr>
          <w:rFonts w:hint="eastAsia" w:ascii="宋体" w:hAnsi="宋体" w:eastAsia="宋体" w:cs="宋体"/>
          <w:color w:val="auto"/>
          <w:spacing w:val="2"/>
          <w:sz w:val="24"/>
          <w:szCs w:val="24"/>
          <w:highlight w:val="none"/>
        </w:rPr>
        <w:t>接</w:t>
      </w:r>
      <w:r>
        <w:rPr>
          <w:rFonts w:hint="eastAsia" w:ascii="宋体" w:hAnsi="宋体" w:eastAsia="宋体" w:cs="宋体"/>
          <w:color w:val="auto"/>
          <w:sz w:val="24"/>
          <w:szCs w:val="24"/>
          <w:highlight w:val="none"/>
        </w:rPr>
        <w:t>）企</w:t>
      </w:r>
      <w:r>
        <w:rPr>
          <w:rFonts w:hint="eastAsia" w:ascii="宋体" w:hAnsi="宋体" w:eastAsia="宋体" w:cs="宋体"/>
          <w:color w:val="auto"/>
          <w:spacing w:val="2"/>
          <w:sz w:val="24"/>
          <w:szCs w:val="24"/>
          <w:highlight w:val="none"/>
        </w:rPr>
        <w:t>业</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w:t>
      </w:r>
      <w:r>
        <w:rPr>
          <w:rFonts w:hint="eastAsia" w:ascii="宋体" w:hAnsi="宋体" w:eastAsia="宋体" w:cs="宋体"/>
          <w:color w:val="auto"/>
          <w:spacing w:val="2"/>
          <w:sz w:val="24"/>
          <w:szCs w:val="24"/>
          <w:highlight w:val="none"/>
          <w:u w:val="single"/>
        </w:rPr>
        <w:t>企</w:t>
      </w:r>
      <w:r>
        <w:rPr>
          <w:rFonts w:hint="eastAsia" w:ascii="宋体" w:hAnsi="宋体" w:eastAsia="宋体" w:cs="宋体"/>
          <w:color w:val="auto"/>
          <w:sz w:val="24"/>
          <w:szCs w:val="24"/>
          <w:highlight w:val="none"/>
          <w:u w:val="single"/>
        </w:rPr>
        <w:t>业名</w:t>
      </w:r>
      <w:r>
        <w:rPr>
          <w:rFonts w:hint="eastAsia" w:ascii="宋体" w:hAnsi="宋体" w:eastAsia="宋体" w:cs="宋体"/>
          <w:color w:val="auto"/>
          <w:spacing w:val="2"/>
          <w:sz w:val="24"/>
          <w:szCs w:val="24"/>
          <w:highlight w:val="none"/>
          <w:u w:val="single"/>
        </w:rPr>
        <w:t>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r>
        <w:rPr>
          <w:rFonts w:hint="eastAsia" w:ascii="宋体" w:hAnsi="宋体" w:eastAsia="宋体" w:cs="宋体"/>
          <w:color w:val="auto"/>
          <w:spacing w:val="2"/>
          <w:sz w:val="24"/>
          <w:szCs w:val="24"/>
          <w:highlight w:val="none"/>
        </w:rPr>
        <w:t>从</w:t>
      </w:r>
      <w:r>
        <w:rPr>
          <w:rFonts w:hint="eastAsia" w:ascii="宋体" w:hAnsi="宋体" w:eastAsia="宋体" w:cs="宋体"/>
          <w:color w:val="auto"/>
          <w:sz w:val="24"/>
          <w:szCs w:val="24"/>
          <w:highlight w:val="none"/>
        </w:rPr>
        <w:t>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pacing w:val="-1"/>
          <w:w w:val="99"/>
          <w:sz w:val="24"/>
          <w:szCs w:val="24"/>
          <w:highlight w:val="none"/>
        </w:rPr>
        <w:t>，</w:t>
      </w:r>
      <w:r>
        <w:rPr>
          <w:rFonts w:hint="eastAsia" w:ascii="宋体" w:hAnsi="宋体" w:eastAsia="宋体" w:cs="宋体"/>
          <w:color w:val="auto"/>
          <w:sz w:val="24"/>
          <w:szCs w:val="24"/>
          <w:highlight w:val="none"/>
        </w:rPr>
        <w:t>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pacing w:val="-1"/>
          <w:w w:val="99"/>
          <w:sz w:val="24"/>
          <w:szCs w:val="24"/>
          <w:highlight w:val="non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（小型企业、微型企业）</w:t>
      </w:r>
      <w:r>
        <w:rPr>
          <w:rFonts w:hint="eastAsia" w:ascii="宋体" w:hAnsi="宋体" w:eastAsia="宋体" w:cs="宋体"/>
          <w:color w:val="auto"/>
          <w:w w:val="99"/>
          <w:sz w:val="24"/>
          <w:szCs w:val="24"/>
          <w:highlight w:val="none"/>
        </w:rPr>
        <w:t>；</w:t>
      </w:r>
      <w:r>
        <w:rPr>
          <w:rFonts w:hint="eastAsia" w:ascii="宋体" w:hAnsi="宋体" w:eastAsia="宋体" w:cs="宋体"/>
          <w:color w:val="auto"/>
          <w:sz w:val="24"/>
          <w:szCs w:val="24"/>
          <w:highlight w:val="none"/>
        </w:rPr>
        <w:t>在本项目中拟承担工作，在本项目的合同份额占合同总金额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4472248">
      <w:pPr>
        <w:pStyle w:val="15"/>
        <w:kinsoku w:val="0"/>
        <w:overflowPunct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w:t>
      </w:r>
      <w:r>
        <w:rPr>
          <w:rFonts w:hint="eastAsia" w:ascii="宋体" w:hAnsi="宋体" w:eastAsia="宋体" w:cs="宋体"/>
          <w:color w:val="auto"/>
          <w:spacing w:val="2"/>
          <w:sz w:val="24"/>
          <w:szCs w:val="24"/>
          <w:highlight w:val="none"/>
          <w:u w:val="single"/>
        </w:rPr>
        <w:t>标</w:t>
      </w:r>
      <w:r>
        <w:rPr>
          <w:rFonts w:hint="eastAsia" w:ascii="宋体" w:hAnsi="宋体" w:eastAsia="宋体" w:cs="宋体"/>
          <w:color w:val="auto"/>
          <w:sz w:val="24"/>
          <w:szCs w:val="24"/>
          <w:highlight w:val="none"/>
          <w:u w:val="single"/>
        </w:rPr>
        <w:t>的名</w:t>
      </w:r>
      <w:r>
        <w:rPr>
          <w:rFonts w:hint="eastAsia" w:ascii="宋体" w:hAnsi="宋体" w:eastAsia="宋体" w:cs="宋体"/>
          <w:color w:val="auto"/>
          <w:spacing w:val="2"/>
          <w:sz w:val="24"/>
          <w:szCs w:val="24"/>
          <w:highlight w:val="none"/>
          <w:u w:val="single"/>
        </w:rPr>
        <w:t>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r>
        <w:rPr>
          <w:rFonts w:hint="eastAsia" w:ascii="宋体" w:hAnsi="宋体" w:eastAsia="宋体" w:cs="宋体"/>
          <w:color w:val="auto"/>
          <w:spacing w:val="2"/>
          <w:sz w:val="24"/>
          <w:szCs w:val="24"/>
          <w:highlight w:val="none"/>
        </w:rPr>
        <w:t>属</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single"/>
        </w:rPr>
        <w:t xml:space="preserve">   业</w:t>
      </w:r>
      <w:r>
        <w:rPr>
          <w:rFonts w:hint="eastAsia" w:ascii="宋体" w:hAnsi="宋体" w:eastAsia="宋体" w:cs="宋体"/>
          <w:color w:val="auto"/>
          <w:sz w:val="24"/>
          <w:szCs w:val="24"/>
          <w:highlight w:val="none"/>
        </w:rPr>
        <w:t>；</w:t>
      </w:r>
      <w:r>
        <w:rPr>
          <w:rFonts w:hint="eastAsia" w:ascii="宋体" w:hAnsi="宋体" w:eastAsia="宋体" w:cs="宋体"/>
          <w:color w:val="auto"/>
          <w:spacing w:val="2"/>
          <w:sz w:val="24"/>
          <w:szCs w:val="24"/>
          <w:highlight w:val="none"/>
        </w:rPr>
        <w:t>承</w:t>
      </w:r>
      <w:r>
        <w:rPr>
          <w:rFonts w:hint="eastAsia" w:ascii="宋体" w:hAnsi="宋体" w:eastAsia="宋体" w:cs="宋体"/>
          <w:color w:val="auto"/>
          <w:sz w:val="24"/>
          <w:szCs w:val="24"/>
          <w:highlight w:val="none"/>
        </w:rPr>
        <w:t>建（承</w:t>
      </w:r>
      <w:r>
        <w:rPr>
          <w:rFonts w:hint="eastAsia" w:ascii="宋体" w:hAnsi="宋体" w:eastAsia="宋体" w:cs="宋体"/>
          <w:color w:val="auto"/>
          <w:spacing w:val="2"/>
          <w:sz w:val="24"/>
          <w:szCs w:val="24"/>
          <w:highlight w:val="none"/>
        </w:rPr>
        <w:t>接</w:t>
      </w:r>
      <w:r>
        <w:rPr>
          <w:rFonts w:hint="eastAsia" w:ascii="宋体" w:hAnsi="宋体" w:eastAsia="宋体" w:cs="宋体"/>
          <w:color w:val="auto"/>
          <w:sz w:val="24"/>
          <w:szCs w:val="24"/>
          <w:highlight w:val="none"/>
        </w:rPr>
        <w:t>）企</w:t>
      </w:r>
      <w:r>
        <w:rPr>
          <w:rFonts w:hint="eastAsia" w:ascii="宋体" w:hAnsi="宋体" w:eastAsia="宋体" w:cs="宋体"/>
          <w:color w:val="auto"/>
          <w:spacing w:val="2"/>
          <w:sz w:val="24"/>
          <w:szCs w:val="24"/>
          <w:highlight w:val="none"/>
        </w:rPr>
        <w:t>业</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w:t>
      </w:r>
      <w:r>
        <w:rPr>
          <w:rFonts w:hint="eastAsia" w:ascii="宋体" w:hAnsi="宋体" w:eastAsia="宋体" w:cs="宋体"/>
          <w:color w:val="auto"/>
          <w:spacing w:val="2"/>
          <w:sz w:val="24"/>
          <w:szCs w:val="24"/>
          <w:highlight w:val="none"/>
          <w:u w:val="single"/>
        </w:rPr>
        <w:t>企</w:t>
      </w:r>
      <w:r>
        <w:rPr>
          <w:rFonts w:hint="eastAsia" w:ascii="宋体" w:hAnsi="宋体" w:eastAsia="宋体" w:cs="宋体"/>
          <w:color w:val="auto"/>
          <w:sz w:val="24"/>
          <w:szCs w:val="24"/>
          <w:highlight w:val="none"/>
          <w:u w:val="single"/>
        </w:rPr>
        <w:t>业名</w:t>
      </w:r>
      <w:r>
        <w:rPr>
          <w:rFonts w:hint="eastAsia" w:ascii="宋体" w:hAnsi="宋体" w:eastAsia="宋体" w:cs="宋体"/>
          <w:color w:val="auto"/>
          <w:spacing w:val="2"/>
          <w:sz w:val="24"/>
          <w:szCs w:val="24"/>
          <w:highlight w:val="none"/>
          <w:u w:val="single"/>
        </w:rPr>
        <w:t>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r>
        <w:rPr>
          <w:rFonts w:hint="eastAsia" w:ascii="宋体" w:hAnsi="宋体" w:eastAsia="宋体" w:cs="宋体"/>
          <w:color w:val="auto"/>
          <w:spacing w:val="2"/>
          <w:sz w:val="24"/>
          <w:szCs w:val="24"/>
          <w:highlight w:val="none"/>
        </w:rPr>
        <w:t>从</w:t>
      </w:r>
      <w:r>
        <w:rPr>
          <w:rFonts w:hint="eastAsia" w:ascii="宋体" w:hAnsi="宋体" w:eastAsia="宋体" w:cs="宋体"/>
          <w:color w:val="auto"/>
          <w:sz w:val="24"/>
          <w:szCs w:val="24"/>
          <w:highlight w:val="none"/>
        </w:rPr>
        <w:t>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pacing w:val="-1"/>
          <w:w w:val="99"/>
          <w:sz w:val="24"/>
          <w:szCs w:val="24"/>
          <w:highlight w:val="none"/>
        </w:rPr>
        <w:t>，</w:t>
      </w:r>
      <w:r>
        <w:rPr>
          <w:rFonts w:hint="eastAsia" w:ascii="宋体" w:hAnsi="宋体" w:eastAsia="宋体" w:cs="宋体"/>
          <w:color w:val="auto"/>
          <w:sz w:val="24"/>
          <w:szCs w:val="24"/>
          <w:highlight w:val="none"/>
        </w:rPr>
        <w:t>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pacing w:val="-1"/>
          <w:w w:val="99"/>
          <w:sz w:val="24"/>
          <w:szCs w:val="24"/>
          <w:highlight w:val="non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（小型企业、微型企业）</w:t>
      </w:r>
      <w:r>
        <w:rPr>
          <w:rFonts w:hint="eastAsia" w:ascii="宋体" w:hAnsi="宋体" w:eastAsia="宋体" w:cs="宋体"/>
          <w:color w:val="auto"/>
          <w:w w:val="99"/>
          <w:sz w:val="24"/>
          <w:szCs w:val="24"/>
          <w:highlight w:val="none"/>
        </w:rPr>
        <w:t>；</w:t>
      </w:r>
      <w:r>
        <w:rPr>
          <w:rFonts w:hint="eastAsia" w:ascii="宋体" w:hAnsi="宋体" w:eastAsia="宋体" w:cs="宋体"/>
          <w:color w:val="auto"/>
          <w:sz w:val="24"/>
          <w:szCs w:val="24"/>
          <w:highlight w:val="none"/>
        </w:rPr>
        <w:t>在本项目中拟承担工作，在本项目的合同份额占合同总金额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6B9104F">
      <w:pPr>
        <w:pStyle w:val="15"/>
        <w:kinsoku w:val="0"/>
        <w:overflowPunct w:val="0"/>
        <w:spacing w:after="0" w:line="360" w:lineRule="auto"/>
        <w:ind w:firstLine="480" w:firstLineChars="200"/>
        <w:rPr>
          <w:rFonts w:hint="eastAsia" w:ascii="宋体" w:hAnsi="宋体" w:eastAsia="宋体" w:cs="宋体"/>
          <w:color w:val="auto"/>
          <w:sz w:val="24"/>
          <w:szCs w:val="24"/>
          <w:highlight w:val="none"/>
        </w:rPr>
      </w:pPr>
    </w:p>
    <w:p w14:paraId="50C2109E">
      <w:pPr>
        <w:pStyle w:val="15"/>
        <w:kinsoku w:val="0"/>
        <w:overflowPunct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E594C7F">
      <w:pPr>
        <w:pStyle w:val="15"/>
        <w:kinsoku w:val="0"/>
        <w:overflowPunct w:val="0"/>
        <w:spacing w:after="0" w:line="360" w:lineRule="auto"/>
        <w:ind w:right="32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5DDBF608">
      <w:pPr>
        <w:pStyle w:val="15"/>
        <w:kinsoku w:val="0"/>
        <w:overflowPunct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18DF1B07">
      <w:pPr>
        <w:pStyle w:val="125"/>
        <w:widowControl/>
        <w:shd w:val="clear" w:color="auto" w:fill="FFFFFF"/>
        <w:spacing w:line="360" w:lineRule="auto"/>
        <w:ind w:firstLine="3780"/>
        <w:rPr>
          <w:rFonts w:hint="eastAsia" w:ascii="宋体" w:hAnsi="宋体" w:eastAsia="宋体" w:cs="宋体"/>
          <w:color w:val="auto"/>
          <w:kern w:val="0"/>
          <w:sz w:val="24"/>
          <w:highlight w:val="none"/>
        </w:rPr>
      </w:pPr>
    </w:p>
    <w:p w14:paraId="006F8B02">
      <w:pPr>
        <w:pStyle w:val="125"/>
        <w:widowControl/>
        <w:shd w:val="clear" w:color="auto" w:fill="FFFFFF"/>
        <w:spacing w:line="360" w:lineRule="auto"/>
        <w:ind w:firstLine="4380" w:firstLineChars="182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（盖章）</w:t>
      </w:r>
    </w:p>
    <w:p w14:paraId="6993A919">
      <w:pPr>
        <w:pStyle w:val="125"/>
        <w:widowControl/>
        <w:shd w:val="clear" w:color="auto" w:fill="FFFFFF"/>
        <w:spacing w:line="360" w:lineRule="auto"/>
        <w:ind w:right="1440"/>
        <w:jc w:val="center"/>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年  月  日</w:t>
      </w:r>
    </w:p>
    <w:p w14:paraId="5E6E0011">
      <w:pPr>
        <w:spacing w:line="360" w:lineRule="auto"/>
        <w:rPr>
          <w:rFonts w:hint="eastAsia" w:ascii="宋体" w:hAnsi="宋体" w:eastAsia="宋体" w:cs="宋体"/>
          <w:color w:val="auto"/>
          <w:sz w:val="24"/>
          <w:szCs w:val="24"/>
          <w:highlight w:val="none"/>
        </w:rPr>
      </w:pPr>
    </w:p>
    <w:p w14:paraId="3B254E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48E0F6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2：投标人应当自行核实是否属于小微企业，并认真填写声明函，若有虚假将追究其责任。</w:t>
      </w:r>
    </w:p>
    <w:p w14:paraId="42929D1A">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经济标投标文件格式</w:t>
      </w:r>
      <w:r>
        <w:rPr>
          <w:rFonts w:hint="eastAsia" w:ascii="宋体" w:hAnsi="宋体" w:cs="宋体"/>
          <w:color w:val="auto"/>
          <w:sz w:val="24"/>
          <w:highlight w:val="none"/>
          <w:lang w:val="en-US" w:eastAsia="zh-CN"/>
        </w:rPr>
        <w:t>五</w:t>
      </w:r>
      <w:r>
        <w:rPr>
          <w:rFonts w:hint="eastAsia" w:ascii="宋体" w:hAnsi="宋体" w:eastAsia="宋体" w:cs="宋体"/>
          <w:color w:val="auto"/>
          <w:sz w:val="24"/>
          <w:highlight w:val="none"/>
          <w:lang w:eastAsia="zh-CN"/>
        </w:rPr>
        <w:t>：</w:t>
      </w:r>
    </w:p>
    <w:p w14:paraId="1FCF2FEF">
      <w:pPr>
        <w:pStyle w:val="126"/>
        <w:jc w:val="center"/>
        <w:outlineLvl w:val="3"/>
        <w:rPr>
          <w:rFonts w:hint="eastAsia" w:ascii="宋体" w:hAnsi="宋体" w:eastAsia="宋体" w:cs="宋体"/>
          <w:color w:val="auto"/>
          <w:highlight w:val="none"/>
          <w:lang w:eastAsia="zh-CN"/>
        </w:rPr>
      </w:pPr>
      <w:r>
        <w:rPr>
          <w:rFonts w:hint="eastAsia" w:ascii="宋体" w:hAnsi="宋体" w:eastAsia="宋体" w:cs="宋体"/>
          <w:b/>
          <w:color w:val="auto"/>
          <w:kern w:val="2"/>
          <w:sz w:val="32"/>
          <w:szCs w:val="32"/>
          <w:highlight w:val="none"/>
          <w:lang w:eastAsia="zh-CN" w:bidi="ar-SA"/>
        </w:rPr>
        <w:t>监狱企业</w:t>
      </w:r>
      <w:r>
        <w:rPr>
          <w:rFonts w:hint="eastAsia" w:ascii="宋体" w:hAnsi="宋体" w:eastAsia="宋体" w:cs="宋体"/>
          <w:b/>
          <w:color w:val="auto"/>
          <w:kern w:val="2"/>
          <w:sz w:val="32"/>
          <w:szCs w:val="32"/>
          <w:highlight w:val="none"/>
          <w:lang w:val="en-US" w:eastAsia="zh-CN" w:bidi="ar-SA"/>
        </w:rPr>
        <w:t>证明文件</w:t>
      </w:r>
      <w:r>
        <w:rPr>
          <w:rFonts w:hint="eastAsia" w:ascii="宋体" w:hAnsi="宋体" w:eastAsia="宋体" w:cs="宋体"/>
          <w:b/>
          <w:color w:val="auto"/>
          <w:kern w:val="2"/>
          <w:sz w:val="32"/>
          <w:szCs w:val="32"/>
          <w:highlight w:val="none"/>
          <w:lang w:eastAsia="zh-CN" w:bidi="ar-SA"/>
        </w:rPr>
        <w:t>（</w:t>
      </w:r>
      <w:r>
        <w:rPr>
          <w:rFonts w:hint="eastAsia" w:ascii="宋体" w:hAnsi="宋体" w:eastAsia="宋体" w:cs="宋体"/>
          <w:b/>
          <w:color w:val="auto"/>
          <w:kern w:val="2"/>
          <w:sz w:val="32"/>
          <w:szCs w:val="32"/>
          <w:highlight w:val="none"/>
          <w:lang w:val="en-US" w:eastAsia="zh-CN" w:bidi="ar-SA"/>
        </w:rPr>
        <w:t>如有</w:t>
      </w:r>
      <w:r>
        <w:rPr>
          <w:rFonts w:hint="eastAsia" w:ascii="宋体" w:hAnsi="宋体" w:eastAsia="宋体" w:cs="宋体"/>
          <w:b/>
          <w:color w:val="auto"/>
          <w:kern w:val="2"/>
          <w:sz w:val="32"/>
          <w:szCs w:val="32"/>
          <w:highlight w:val="none"/>
          <w:lang w:eastAsia="zh-CN" w:bidi="ar-SA"/>
        </w:rPr>
        <w:t>）</w:t>
      </w:r>
    </w:p>
    <w:p w14:paraId="269FC8A4">
      <w:pPr>
        <w:pStyle w:val="126"/>
        <w:ind w:firstLine="480"/>
        <w:rPr>
          <w:rFonts w:hint="eastAsia" w:ascii="宋体" w:hAnsi="宋体" w:eastAsia="宋体" w:cs="宋体"/>
          <w:color w:val="auto"/>
          <w:highlight w:val="none"/>
          <w:lang w:val="en-US" w:eastAsia="zh-CN"/>
        </w:rPr>
      </w:pPr>
    </w:p>
    <w:p w14:paraId="32A3EDD1">
      <w:pPr>
        <w:pStyle w:val="126"/>
        <w:ind w:firstLine="480"/>
        <w:rPr>
          <w:rFonts w:hint="eastAsia" w:ascii="宋体" w:hAnsi="宋体" w:eastAsia="宋体" w:cs="宋体"/>
          <w:color w:val="auto"/>
          <w:highlight w:val="none"/>
          <w:lang w:val="en-US" w:eastAsia="zh-CN"/>
        </w:rPr>
      </w:pPr>
    </w:p>
    <w:p w14:paraId="40FE735E">
      <w:pPr>
        <w:pStyle w:val="126"/>
        <w:ind w:firstLine="480"/>
        <w:rPr>
          <w:rFonts w:hint="eastAsia" w:ascii="宋体" w:hAnsi="宋体" w:eastAsia="宋体" w:cs="宋体"/>
          <w:color w:val="auto"/>
          <w:highlight w:val="none"/>
          <w:lang w:val="en-US" w:eastAsia="zh-CN"/>
        </w:rPr>
      </w:pPr>
    </w:p>
    <w:p w14:paraId="49A20A46">
      <w:pPr>
        <w:pStyle w:val="126"/>
        <w:ind w:firstLine="480"/>
        <w:rPr>
          <w:rFonts w:hint="eastAsia" w:ascii="宋体" w:hAnsi="宋体" w:eastAsia="宋体" w:cs="宋体"/>
          <w:color w:val="auto"/>
          <w:highlight w:val="none"/>
          <w:lang w:val="en-US" w:eastAsia="zh-CN"/>
        </w:rPr>
      </w:pPr>
    </w:p>
    <w:p w14:paraId="316BEF97">
      <w:pPr>
        <w:pStyle w:val="126"/>
        <w:ind w:firstLine="480"/>
        <w:rPr>
          <w:rFonts w:hint="eastAsia" w:ascii="宋体" w:hAnsi="宋体" w:eastAsia="宋体" w:cs="宋体"/>
          <w:color w:val="auto"/>
          <w:highlight w:val="none"/>
          <w:lang w:val="en-US" w:eastAsia="zh-CN"/>
        </w:rPr>
      </w:pPr>
    </w:p>
    <w:p w14:paraId="65A0589C">
      <w:pPr>
        <w:pStyle w:val="126"/>
        <w:ind w:firstLine="480"/>
        <w:rPr>
          <w:rFonts w:hint="eastAsia" w:ascii="宋体" w:hAnsi="宋体" w:eastAsia="宋体" w:cs="宋体"/>
          <w:color w:val="auto"/>
          <w:highlight w:val="none"/>
          <w:lang w:val="en-US" w:eastAsia="zh-CN"/>
        </w:rPr>
      </w:pPr>
    </w:p>
    <w:p w14:paraId="123EE7D4">
      <w:pPr>
        <w:pStyle w:val="126"/>
        <w:ind w:firstLine="480"/>
        <w:rPr>
          <w:rFonts w:hint="eastAsia" w:ascii="宋体" w:hAnsi="宋体" w:eastAsia="宋体" w:cs="宋体"/>
          <w:color w:val="auto"/>
          <w:highlight w:val="none"/>
          <w:lang w:val="en-US" w:eastAsia="zh-CN"/>
        </w:rPr>
      </w:pPr>
    </w:p>
    <w:p w14:paraId="5446B904">
      <w:pPr>
        <w:pStyle w:val="126"/>
        <w:ind w:firstLine="480"/>
        <w:rPr>
          <w:rFonts w:hint="eastAsia" w:ascii="宋体" w:hAnsi="宋体" w:eastAsia="宋体" w:cs="宋体"/>
          <w:color w:val="auto"/>
          <w:highlight w:val="none"/>
          <w:lang w:val="en-US" w:eastAsia="zh-CN"/>
        </w:rPr>
      </w:pPr>
    </w:p>
    <w:p w14:paraId="63EE158C">
      <w:pPr>
        <w:pStyle w:val="126"/>
        <w:ind w:firstLine="480"/>
        <w:rPr>
          <w:rFonts w:hint="eastAsia" w:ascii="宋体" w:hAnsi="宋体" w:eastAsia="宋体" w:cs="宋体"/>
          <w:color w:val="auto"/>
          <w:highlight w:val="none"/>
          <w:lang w:val="en-US" w:eastAsia="zh-CN"/>
        </w:rPr>
      </w:pPr>
    </w:p>
    <w:p w14:paraId="6E1FB779">
      <w:pPr>
        <w:pStyle w:val="126"/>
        <w:ind w:firstLine="480"/>
        <w:rPr>
          <w:rFonts w:hint="eastAsia" w:ascii="宋体" w:hAnsi="宋体" w:eastAsia="宋体" w:cs="宋体"/>
          <w:color w:val="auto"/>
          <w:highlight w:val="none"/>
          <w:lang w:val="en-US" w:eastAsia="zh-CN"/>
        </w:rPr>
      </w:pPr>
    </w:p>
    <w:p w14:paraId="547B49AB">
      <w:pPr>
        <w:pStyle w:val="126"/>
        <w:ind w:firstLine="480"/>
        <w:rPr>
          <w:rFonts w:hint="eastAsia" w:ascii="宋体" w:hAnsi="宋体" w:eastAsia="宋体" w:cs="宋体"/>
          <w:color w:val="auto"/>
          <w:highlight w:val="none"/>
          <w:lang w:val="en-US" w:eastAsia="zh-CN"/>
        </w:rPr>
      </w:pPr>
    </w:p>
    <w:p w14:paraId="5877FD66">
      <w:pPr>
        <w:pStyle w:val="126"/>
        <w:ind w:firstLine="480"/>
        <w:rPr>
          <w:rFonts w:hint="eastAsia" w:ascii="宋体" w:hAnsi="宋体" w:eastAsia="宋体" w:cs="宋体"/>
          <w:color w:val="auto"/>
          <w:highlight w:val="none"/>
          <w:lang w:val="en-US" w:eastAsia="zh-CN"/>
        </w:rPr>
      </w:pPr>
    </w:p>
    <w:p w14:paraId="5077A7D6">
      <w:pPr>
        <w:pStyle w:val="126"/>
        <w:ind w:firstLine="480"/>
        <w:rPr>
          <w:rFonts w:hint="eastAsia" w:ascii="宋体" w:hAnsi="宋体" w:eastAsia="宋体" w:cs="宋体"/>
          <w:color w:val="auto"/>
          <w:highlight w:val="none"/>
          <w:lang w:val="en-US" w:eastAsia="zh-CN"/>
        </w:rPr>
      </w:pPr>
    </w:p>
    <w:p w14:paraId="555DF2F2">
      <w:pPr>
        <w:pStyle w:val="126"/>
        <w:ind w:firstLine="480"/>
        <w:rPr>
          <w:rFonts w:hint="eastAsia" w:ascii="宋体" w:hAnsi="宋体" w:eastAsia="宋体" w:cs="宋体"/>
          <w:color w:val="auto"/>
          <w:highlight w:val="none"/>
          <w:lang w:val="en-US" w:eastAsia="zh-CN"/>
        </w:rPr>
      </w:pPr>
    </w:p>
    <w:p w14:paraId="2B4573AB">
      <w:pPr>
        <w:pStyle w:val="126"/>
        <w:ind w:firstLine="480"/>
        <w:rPr>
          <w:rFonts w:hint="eastAsia" w:ascii="宋体" w:hAnsi="宋体" w:eastAsia="宋体" w:cs="宋体"/>
          <w:color w:val="auto"/>
          <w:highlight w:val="none"/>
          <w:lang w:val="en-US" w:eastAsia="zh-CN"/>
        </w:rPr>
      </w:pPr>
    </w:p>
    <w:p w14:paraId="6088D949">
      <w:pPr>
        <w:pStyle w:val="126"/>
        <w:ind w:firstLine="480"/>
        <w:rPr>
          <w:rFonts w:hint="eastAsia" w:ascii="宋体" w:hAnsi="宋体" w:eastAsia="宋体" w:cs="宋体"/>
          <w:color w:val="auto"/>
          <w:highlight w:val="none"/>
          <w:lang w:val="en-US" w:eastAsia="zh-CN"/>
        </w:rPr>
      </w:pPr>
    </w:p>
    <w:p w14:paraId="640B5F44">
      <w:pPr>
        <w:pStyle w:val="126"/>
        <w:ind w:firstLine="480"/>
        <w:rPr>
          <w:rFonts w:hint="eastAsia" w:ascii="宋体" w:hAnsi="宋体" w:eastAsia="宋体" w:cs="宋体"/>
          <w:color w:val="auto"/>
          <w:highlight w:val="none"/>
          <w:lang w:val="en-US" w:eastAsia="zh-CN"/>
        </w:rPr>
      </w:pPr>
    </w:p>
    <w:p w14:paraId="34EA36E3">
      <w:pPr>
        <w:pStyle w:val="126"/>
        <w:ind w:firstLine="480"/>
        <w:rPr>
          <w:rFonts w:hint="eastAsia" w:ascii="宋体" w:hAnsi="宋体" w:eastAsia="宋体" w:cs="宋体"/>
          <w:color w:val="auto"/>
          <w:highlight w:val="none"/>
          <w:lang w:val="en-US" w:eastAsia="zh-CN"/>
        </w:rPr>
      </w:pPr>
    </w:p>
    <w:p w14:paraId="134894F7">
      <w:pPr>
        <w:pStyle w:val="126"/>
        <w:ind w:firstLine="480"/>
        <w:rPr>
          <w:rFonts w:hint="eastAsia" w:ascii="宋体" w:hAnsi="宋体" w:eastAsia="宋体" w:cs="宋体"/>
          <w:color w:val="auto"/>
          <w:highlight w:val="none"/>
          <w:lang w:val="en-US" w:eastAsia="zh-CN"/>
        </w:rPr>
      </w:pPr>
    </w:p>
    <w:p w14:paraId="167B3A7A">
      <w:pPr>
        <w:pStyle w:val="126"/>
        <w:ind w:firstLine="480"/>
        <w:rPr>
          <w:rFonts w:hint="eastAsia" w:ascii="宋体" w:hAnsi="宋体" w:eastAsia="宋体" w:cs="宋体"/>
          <w:color w:val="auto"/>
          <w:highlight w:val="none"/>
          <w:lang w:val="en-US" w:eastAsia="zh-CN"/>
        </w:rPr>
      </w:pPr>
    </w:p>
    <w:p w14:paraId="6EF794C5">
      <w:pPr>
        <w:pStyle w:val="126"/>
        <w:ind w:firstLine="480"/>
        <w:rPr>
          <w:rFonts w:hint="eastAsia" w:ascii="宋体" w:hAnsi="宋体" w:eastAsia="宋体" w:cs="宋体"/>
          <w:color w:val="auto"/>
          <w:highlight w:val="none"/>
          <w:lang w:val="en-US" w:eastAsia="zh-CN"/>
        </w:rPr>
      </w:pPr>
    </w:p>
    <w:p w14:paraId="49B1E4F2">
      <w:pPr>
        <w:pStyle w:val="126"/>
        <w:ind w:firstLine="480"/>
        <w:rPr>
          <w:rFonts w:hint="eastAsia" w:ascii="宋体" w:hAnsi="宋体" w:eastAsia="宋体" w:cs="宋体"/>
          <w:color w:val="auto"/>
          <w:highlight w:val="none"/>
          <w:lang w:val="en-US" w:eastAsia="zh-CN"/>
        </w:rPr>
      </w:pPr>
    </w:p>
    <w:p w14:paraId="0999C82F">
      <w:pPr>
        <w:pStyle w:val="126"/>
        <w:ind w:firstLine="480"/>
        <w:rPr>
          <w:rFonts w:hint="eastAsia" w:ascii="宋体" w:hAnsi="宋体" w:eastAsia="宋体" w:cs="宋体"/>
          <w:color w:val="auto"/>
          <w:highlight w:val="none"/>
          <w:lang w:val="en-US" w:eastAsia="zh-CN"/>
        </w:rPr>
      </w:pPr>
    </w:p>
    <w:p w14:paraId="690ABF0B">
      <w:pPr>
        <w:pStyle w:val="126"/>
        <w:ind w:firstLine="480"/>
        <w:rPr>
          <w:rFonts w:hint="eastAsia" w:ascii="宋体" w:hAnsi="宋体" w:eastAsia="宋体" w:cs="宋体"/>
          <w:color w:val="auto"/>
          <w:highlight w:val="none"/>
          <w:lang w:val="en-US" w:eastAsia="zh-CN"/>
        </w:rPr>
      </w:pPr>
    </w:p>
    <w:p w14:paraId="7596DE70">
      <w:pPr>
        <w:pStyle w:val="126"/>
        <w:ind w:firstLine="480"/>
        <w:rPr>
          <w:rFonts w:hint="eastAsia" w:ascii="宋体" w:hAnsi="宋体" w:eastAsia="宋体" w:cs="宋体"/>
          <w:color w:val="auto"/>
          <w:highlight w:val="none"/>
          <w:lang w:val="en-US" w:eastAsia="zh-CN"/>
        </w:rPr>
      </w:pPr>
    </w:p>
    <w:p w14:paraId="229ADFED">
      <w:pPr>
        <w:pStyle w:val="126"/>
        <w:ind w:firstLine="480"/>
        <w:rPr>
          <w:rFonts w:hint="eastAsia" w:ascii="宋体" w:hAnsi="宋体" w:eastAsia="宋体" w:cs="宋体"/>
          <w:color w:val="auto"/>
          <w:highlight w:val="none"/>
          <w:lang w:val="en-US" w:eastAsia="zh-CN"/>
        </w:rPr>
      </w:pPr>
    </w:p>
    <w:p w14:paraId="5AD3AE6B">
      <w:pPr>
        <w:pStyle w:val="126"/>
        <w:ind w:firstLine="480"/>
        <w:rPr>
          <w:rFonts w:hint="eastAsia" w:ascii="宋体" w:hAnsi="宋体" w:eastAsia="宋体" w:cs="宋体"/>
          <w:color w:val="auto"/>
          <w:highlight w:val="none"/>
          <w:lang w:val="en-US" w:eastAsia="zh-CN"/>
        </w:rPr>
      </w:pPr>
    </w:p>
    <w:p w14:paraId="55EB7D18">
      <w:pPr>
        <w:pStyle w:val="126"/>
        <w:ind w:firstLine="480"/>
        <w:rPr>
          <w:rFonts w:hint="eastAsia" w:ascii="宋体" w:hAnsi="宋体" w:eastAsia="宋体" w:cs="宋体"/>
          <w:color w:val="auto"/>
          <w:highlight w:val="none"/>
          <w:lang w:val="en-US" w:eastAsia="zh-CN"/>
        </w:rPr>
      </w:pPr>
    </w:p>
    <w:p w14:paraId="6AFB9F78">
      <w:pPr>
        <w:pStyle w:val="126"/>
        <w:ind w:firstLine="480"/>
        <w:rPr>
          <w:rFonts w:hint="eastAsia" w:ascii="宋体" w:hAnsi="宋体" w:eastAsia="宋体" w:cs="宋体"/>
          <w:color w:val="auto"/>
          <w:highlight w:val="none"/>
          <w:lang w:val="en-US" w:eastAsia="zh-CN"/>
        </w:rPr>
      </w:pPr>
    </w:p>
    <w:p w14:paraId="54CDB6AE">
      <w:pPr>
        <w:pStyle w:val="126"/>
        <w:ind w:firstLine="480"/>
        <w:rPr>
          <w:rFonts w:hint="eastAsia" w:ascii="宋体" w:hAnsi="宋体" w:eastAsia="宋体" w:cs="宋体"/>
          <w:color w:val="auto"/>
          <w:highlight w:val="none"/>
          <w:lang w:val="en-US" w:eastAsia="zh-CN"/>
        </w:rPr>
      </w:pPr>
    </w:p>
    <w:p w14:paraId="54DD503D">
      <w:pPr>
        <w:spacing w:line="240" w:lineRule="auto"/>
        <w:ind w:firstLine="422" w:firstLineChars="200"/>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858657E">
      <w:pPr>
        <w:spacing w:line="240" w:lineRule="auto"/>
        <w:ind w:firstLine="843" w:firstLineChars="400"/>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2、监狱企业参与投标的，需提供由省级以上监狱管理局、戒毒管理局（含新疆生产建设兵团）出具的属于监狱企业的证明文件。监狱企业视同小微企业，无需再提供《中小企业声明函》。</w:t>
      </w:r>
    </w:p>
    <w:p w14:paraId="59C31F4B">
      <w:pPr>
        <w:rPr>
          <w:rFonts w:hint="eastAsia" w:ascii="宋体" w:hAnsi="宋体" w:eastAsia="宋体" w:cs="宋体"/>
          <w:color w:val="auto"/>
          <w:sz w:val="24"/>
          <w:highlight w:val="none"/>
          <w:lang w:eastAsia="zh-CN"/>
        </w:rPr>
      </w:pPr>
      <w:r>
        <w:rPr>
          <w:rFonts w:hint="eastAsia" w:ascii="宋体" w:hAnsi="宋体" w:eastAsia="宋体" w:cs="宋体"/>
          <w:color w:val="auto"/>
          <w:highlight w:val="none"/>
        </w:rPr>
        <w:br w:type="page"/>
      </w:r>
      <w:r>
        <w:rPr>
          <w:rFonts w:hint="eastAsia" w:ascii="宋体" w:hAnsi="宋体" w:eastAsia="宋体" w:cs="宋体"/>
          <w:color w:val="auto"/>
          <w:sz w:val="24"/>
          <w:highlight w:val="none"/>
        </w:rPr>
        <w:t>经济标投标文件格式</w:t>
      </w:r>
      <w:r>
        <w:rPr>
          <w:rFonts w:hint="eastAsia" w:ascii="宋体" w:hAnsi="宋体" w:cs="宋体"/>
          <w:color w:val="auto"/>
          <w:sz w:val="24"/>
          <w:highlight w:val="none"/>
          <w:lang w:val="en-US" w:eastAsia="zh-CN"/>
        </w:rPr>
        <w:t>六</w:t>
      </w:r>
      <w:r>
        <w:rPr>
          <w:rFonts w:hint="eastAsia" w:ascii="宋体" w:hAnsi="宋体" w:eastAsia="宋体" w:cs="宋体"/>
          <w:color w:val="auto"/>
          <w:sz w:val="24"/>
          <w:highlight w:val="none"/>
          <w:lang w:eastAsia="zh-CN"/>
        </w:rPr>
        <w:t>：</w:t>
      </w:r>
    </w:p>
    <w:p w14:paraId="58B6C6AF">
      <w:pPr>
        <w:pStyle w:val="126"/>
        <w:ind w:firstLine="0"/>
        <w:outlineLvl w:val="9"/>
        <w:rPr>
          <w:rFonts w:hint="eastAsia" w:ascii="宋体" w:hAnsi="宋体" w:eastAsia="宋体" w:cs="宋体"/>
          <w:color w:val="auto"/>
          <w:highlight w:val="none"/>
        </w:rPr>
      </w:pPr>
    </w:p>
    <w:p w14:paraId="7C019CBB">
      <w:pPr>
        <w:pStyle w:val="126"/>
        <w:jc w:val="center"/>
        <w:outlineLvl w:val="3"/>
        <w:rPr>
          <w:rFonts w:hint="eastAsia" w:ascii="宋体" w:hAnsi="宋体" w:eastAsia="宋体" w:cs="宋体"/>
          <w:b/>
          <w:color w:val="auto"/>
          <w:kern w:val="2"/>
          <w:sz w:val="32"/>
          <w:szCs w:val="32"/>
          <w:highlight w:val="none"/>
          <w:lang w:eastAsia="zh-CN" w:bidi="ar-SA"/>
        </w:rPr>
      </w:pPr>
      <w:r>
        <w:rPr>
          <w:rFonts w:hint="eastAsia" w:ascii="宋体" w:hAnsi="宋体" w:eastAsia="宋体" w:cs="宋体"/>
          <w:b/>
          <w:color w:val="auto"/>
          <w:kern w:val="2"/>
          <w:sz w:val="32"/>
          <w:szCs w:val="32"/>
          <w:highlight w:val="none"/>
          <w:lang w:eastAsia="zh-CN" w:bidi="ar-SA"/>
        </w:rPr>
        <w:t>残疾人福利性单位声明函（</w:t>
      </w:r>
      <w:r>
        <w:rPr>
          <w:rFonts w:hint="eastAsia" w:ascii="宋体" w:hAnsi="宋体" w:eastAsia="宋体" w:cs="宋体"/>
          <w:b/>
          <w:color w:val="auto"/>
          <w:kern w:val="2"/>
          <w:sz w:val="32"/>
          <w:szCs w:val="32"/>
          <w:highlight w:val="none"/>
          <w:lang w:val="en-US" w:eastAsia="zh-CN" w:bidi="ar-SA"/>
        </w:rPr>
        <w:t>如有</w:t>
      </w:r>
      <w:r>
        <w:rPr>
          <w:rFonts w:hint="eastAsia" w:ascii="宋体" w:hAnsi="宋体" w:eastAsia="宋体" w:cs="宋体"/>
          <w:b/>
          <w:color w:val="auto"/>
          <w:kern w:val="2"/>
          <w:sz w:val="32"/>
          <w:szCs w:val="32"/>
          <w:highlight w:val="none"/>
          <w:lang w:eastAsia="zh-CN" w:bidi="ar-SA"/>
        </w:rPr>
        <w:t>）</w:t>
      </w:r>
    </w:p>
    <w:p w14:paraId="0537510D">
      <w:pPr>
        <w:pStyle w:val="126"/>
        <w:spacing w:line="360" w:lineRule="auto"/>
        <w:ind w:firstLine="480" w:firstLineChars="200"/>
        <w:rPr>
          <w:rFonts w:hint="eastAsia" w:ascii="宋体" w:hAnsi="宋体" w:eastAsia="宋体" w:cs="宋体"/>
          <w:color w:val="auto"/>
          <w:sz w:val="24"/>
          <w:szCs w:val="20"/>
          <w:highlight w:val="none"/>
        </w:rPr>
      </w:pPr>
    </w:p>
    <w:p w14:paraId="0587D520">
      <w:pPr>
        <w:pStyle w:val="126"/>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0"/>
          <w:highlight w:val="none"/>
        </w:rPr>
        <w:t>致：</w:t>
      </w:r>
      <w:r>
        <w:rPr>
          <w:rFonts w:hint="eastAsia" w:ascii="宋体" w:hAnsi="宋体" w:eastAsia="宋体" w:cs="宋体"/>
          <w:color w:val="auto"/>
          <w:sz w:val="24"/>
          <w:szCs w:val="20"/>
          <w:highlight w:val="none"/>
          <w:u w:val="single"/>
        </w:rPr>
        <w:t xml:space="preserve">        （招标人）</w:t>
      </w:r>
      <w:r>
        <w:rPr>
          <w:rFonts w:hint="eastAsia" w:ascii="宋体" w:hAnsi="宋体" w:eastAsia="宋体" w:cs="宋体"/>
          <w:color w:val="auto"/>
          <w:sz w:val="24"/>
          <w:szCs w:val="20"/>
          <w:highlight w:val="none"/>
          <w:u w:val="single"/>
          <w:lang w:val="en-US" w:eastAsia="zh-CN"/>
        </w:rPr>
        <w:t xml:space="preserve">         </w:t>
      </w:r>
    </w:p>
    <w:p w14:paraId="2D1EAB49">
      <w:pPr>
        <w:pStyle w:val="12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0"/>
          <w:highlight w:val="none"/>
          <w:u w:val="single"/>
        </w:rPr>
        <w:t xml:space="preserve">        （招标人）</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u w:val="single"/>
          <w:lang w:val="en-US" w:eastAsia="zh-CN"/>
        </w:rPr>
        <w:t>项目名称</w:t>
      </w:r>
      <w:r>
        <w:rPr>
          <w:rFonts w:hint="eastAsia" w:ascii="宋体" w:hAnsi="宋体" w:eastAsia="宋体" w:cs="宋体"/>
          <w:color w:val="auto"/>
          <w:sz w:val="24"/>
          <w:szCs w:val="20"/>
          <w:highlight w:val="none"/>
          <w:u w:val="single"/>
        </w:rPr>
        <w:t>）</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u w:val="none"/>
          <w:lang w:val="en-US" w:eastAsia="zh-CN"/>
        </w:rPr>
        <w:t>项目</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活动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由本单位承担工程。</w:t>
      </w:r>
    </w:p>
    <w:p w14:paraId="43EC3FC2">
      <w:pPr>
        <w:pStyle w:val="126"/>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6D81900C">
      <w:pPr>
        <w:snapToGrid/>
        <w:spacing w:line="360" w:lineRule="auto"/>
        <w:ind w:firstLine="5040" w:firstLineChars="2100"/>
        <w:jc w:val="both"/>
        <w:rPr>
          <w:rFonts w:hint="eastAsia" w:ascii="宋体" w:hAnsi="宋体" w:eastAsia="宋体" w:cs="宋体"/>
          <w:color w:val="auto"/>
          <w:sz w:val="24"/>
          <w:szCs w:val="20"/>
          <w:highlight w:val="none"/>
          <w:lang w:val="en-US" w:eastAsia="zh-CN"/>
        </w:rPr>
      </w:pPr>
    </w:p>
    <w:p w14:paraId="5523CFB9">
      <w:pPr>
        <w:snapToGrid/>
        <w:spacing w:line="360" w:lineRule="auto"/>
        <w:ind w:firstLine="5040" w:firstLineChars="2100"/>
        <w:jc w:val="both"/>
        <w:rPr>
          <w:rFonts w:hint="eastAsia" w:ascii="宋体" w:hAnsi="宋体" w:eastAsia="宋体" w:cs="宋体"/>
          <w:color w:val="auto"/>
          <w:sz w:val="24"/>
          <w:szCs w:val="20"/>
          <w:highlight w:val="none"/>
          <w:lang w:val="en-US" w:eastAsia="zh-CN"/>
        </w:rPr>
      </w:pPr>
    </w:p>
    <w:p w14:paraId="183E1743">
      <w:pPr>
        <w:pStyle w:val="19"/>
        <w:rPr>
          <w:rFonts w:hint="eastAsia" w:ascii="宋体" w:hAnsi="宋体" w:eastAsia="宋体" w:cs="宋体"/>
          <w:color w:val="auto"/>
          <w:sz w:val="24"/>
          <w:szCs w:val="20"/>
          <w:highlight w:val="none"/>
          <w:lang w:val="en-US" w:eastAsia="zh-CN"/>
        </w:rPr>
      </w:pPr>
    </w:p>
    <w:p w14:paraId="348B2C09">
      <w:pPr>
        <w:pStyle w:val="19"/>
        <w:rPr>
          <w:rFonts w:hint="eastAsia" w:ascii="宋体" w:hAnsi="宋体" w:eastAsia="宋体" w:cs="宋体"/>
          <w:color w:val="auto"/>
          <w:sz w:val="24"/>
          <w:szCs w:val="20"/>
          <w:highlight w:val="none"/>
          <w:lang w:val="en-US" w:eastAsia="zh-CN"/>
        </w:rPr>
      </w:pPr>
    </w:p>
    <w:p w14:paraId="1B6899D4">
      <w:pPr>
        <w:spacing w:line="360" w:lineRule="auto"/>
        <w:ind w:firstLine="5040" w:firstLineChars="210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投标人</w:t>
      </w:r>
      <w:r>
        <w:rPr>
          <w:rFonts w:hint="eastAsia" w:ascii="宋体" w:hAnsi="宋体" w:eastAsia="宋体" w:cs="宋体"/>
          <w:color w:val="auto"/>
          <w:sz w:val="24"/>
          <w:szCs w:val="20"/>
          <w:highlight w:val="none"/>
        </w:rPr>
        <w:t>名称（盖章</w:t>
      </w:r>
      <w:r>
        <w:rPr>
          <w:rFonts w:hint="eastAsia" w:ascii="宋体" w:hAnsi="宋体" w:eastAsia="宋体" w:cs="宋体"/>
          <w:color w:val="auto"/>
          <w:sz w:val="24"/>
          <w:szCs w:val="20"/>
          <w:highlight w:val="none"/>
          <w:lang w:val="en-US" w:eastAsia="zh-CN"/>
        </w:rPr>
        <w:t>或电子印章</w:t>
      </w:r>
      <w:r>
        <w:rPr>
          <w:rFonts w:hint="eastAsia" w:ascii="宋体" w:hAnsi="宋体" w:eastAsia="宋体" w:cs="宋体"/>
          <w:color w:val="auto"/>
          <w:sz w:val="24"/>
          <w:szCs w:val="20"/>
          <w:highlight w:val="none"/>
        </w:rPr>
        <w:t>）：</w:t>
      </w:r>
    </w:p>
    <w:p w14:paraId="2A44D635">
      <w:pPr>
        <w:spacing w:line="360" w:lineRule="auto"/>
        <w:ind w:firstLine="5040" w:firstLineChars="2100"/>
        <w:jc w:val="both"/>
        <w:rPr>
          <w:rFonts w:hint="eastAsia" w:ascii="宋体" w:hAnsi="宋体" w:eastAsia="宋体" w:cs="宋体"/>
          <w:color w:val="auto"/>
          <w:highlight w:val="none"/>
        </w:rPr>
      </w:pPr>
      <w:r>
        <w:rPr>
          <w:rFonts w:hint="eastAsia" w:ascii="宋体" w:hAnsi="宋体" w:eastAsia="宋体" w:cs="宋体"/>
          <w:color w:val="auto"/>
          <w:sz w:val="24"/>
          <w:szCs w:val="20"/>
          <w:highlight w:val="none"/>
        </w:rPr>
        <w:t xml:space="preserve">日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 xml:space="preserve">期：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 xml:space="preserve">  年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 xml:space="preserve">月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 xml:space="preserve"> 日</w:t>
      </w:r>
    </w:p>
    <w:p w14:paraId="796326F8">
      <w:pPr>
        <w:snapToGrid/>
        <w:spacing w:line="360" w:lineRule="auto"/>
        <w:ind w:firstLine="0" w:firstLineChars="0"/>
        <w:jc w:val="center"/>
        <w:rPr>
          <w:rFonts w:hint="eastAsia" w:ascii="宋体" w:hAnsi="宋体" w:eastAsia="宋体" w:cs="宋体"/>
          <w:b/>
          <w:bCs/>
          <w:i w:val="0"/>
          <w:iCs w:val="0"/>
          <w:color w:val="auto"/>
          <w:highlight w:val="none"/>
        </w:rPr>
      </w:pPr>
    </w:p>
    <w:p w14:paraId="52902822">
      <w:pPr>
        <w:snapToGrid/>
        <w:spacing w:line="360" w:lineRule="auto"/>
        <w:ind w:firstLine="0" w:firstLineChars="0"/>
        <w:jc w:val="center"/>
        <w:rPr>
          <w:rFonts w:hint="eastAsia" w:ascii="宋体" w:hAnsi="宋体" w:eastAsia="宋体" w:cs="宋体"/>
          <w:b/>
          <w:bCs/>
          <w:i w:val="0"/>
          <w:iCs w:val="0"/>
          <w:color w:val="auto"/>
          <w:highlight w:val="none"/>
        </w:rPr>
      </w:pPr>
    </w:p>
    <w:p w14:paraId="5373D832">
      <w:pPr>
        <w:snapToGrid/>
        <w:spacing w:line="360" w:lineRule="auto"/>
        <w:ind w:firstLine="0" w:firstLineChars="0"/>
        <w:jc w:val="center"/>
        <w:rPr>
          <w:rFonts w:hint="eastAsia" w:ascii="宋体" w:hAnsi="宋体" w:eastAsia="宋体" w:cs="宋体"/>
          <w:b/>
          <w:bCs/>
          <w:i w:val="0"/>
          <w:iCs w:val="0"/>
          <w:color w:val="auto"/>
          <w:highlight w:val="none"/>
        </w:rPr>
      </w:pPr>
    </w:p>
    <w:p w14:paraId="501B1FD8">
      <w:pPr>
        <w:snapToGrid/>
        <w:spacing w:line="360" w:lineRule="auto"/>
        <w:ind w:firstLine="0" w:firstLineChars="0"/>
        <w:jc w:val="center"/>
        <w:rPr>
          <w:rFonts w:hint="eastAsia" w:ascii="宋体" w:hAnsi="宋体" w:eastAsia="宋体" w:cs="宋体"/>
          <w:b/>
          <w:bCs/>
          <w:i w:val="0"/>
          <w:iCs w:val="0"/>
          <w:color w:val="auto"/>
          <w:highlight w:val="none"/>
        </w:rPr>
      </w:pPr>
    </w:p>
    <w:p w14:paraId="5E90E39F">
      <w:pPr>
        <w:snapToGrid/>
        <w:spacing w:line="360" w:lineRule="auto"/>
        <w:ind w:firstLine="0" w:firstLineChars="0"/>
        <w:jc w:val="center"/>
        <w:rPr>
          <w:rFonts w:hint="eastAsia" w:ascii="宋体" w:hAnsi="宋体" w:eastAsia="宋体" w:cs="宋体"/>
          <w:b/>
          <w:bCs/>
          <w:i w:val="0"/>
          <w:iCs w:val="0"/>
          <w:color w:val="auto"/>
          <w:highlight w:val="none"/>
        </w:rPr>
      </w:pPr>
    </w:p>
    <w:p w14:paraId="1521C785">
      <w:pPr>
        <w:snapToGrid/>
        <w:spacing w:line="360" w:lineRule="auto"/>
        <w:ind w:firstLine="0" w:firstLineChars="0"/>
        <w:jc w:val="center"/>
        <w:rPr>
          <w:rFonts w:hint="eastAsia" w:ascii="宋体" w:hAnsi="宋体" w:eastAsia="宋体" w:cs="宋体"/>
          <w:b/>
          <w:bCs/>
          <w:i w:val="0"/>
          <w:iCs w:val="0"/>
          <w:color w:val="auto"/>
          <w:highlight w:val="none"/>
        </w:rPr>
      </w:pPr>
    </w:p>
    <w:p w14:paraId="2CEEBA38">
      <w:pPr>
        <w:snapToGrid/>
        <w:spacing w:line="360" w:lineRule="auto"/>
        <w:ind w:firstLine="0" w:firstLineChars="0"/>
        <w:jc w:val="center"/>
        <w:rPr>
          <w:rFonts w:hint="eastAsia" w:ascii="宋体" w:hAnsi="宋体" w:eastAsia="宋体" w:cs="宋体"/>
          <w:b/>
          <w:bCs/>
          <w:i w:val="0"/>
          <w:iCs w:val="0"/>
          <w:color w:val="auto"/>
          <w:highlight w:val="none"/>
        </w:rPr>
      </w:pPr>
    </w:p>
    <w:p w14:paraId="15D92E80">
      <w:pPr>
        <w:snapToGrid/>
        <w:spacing w:line="360" w:lineRule="auto"/>
        <w:ind w:firstLine="0" w:firstLineChars="0"/>
        <w:jc w:val="center"/>
        <w:rPr>
          <w:rFonts w:hint="eastAsia" w:ascii="宋体" w:hAnsi="宋体" w:eastAsia="宋体" w:cs="宋体"/>
          <w:b/>
          <w:bCs/>
          <w:i w:val="0"/>
          <w:iCs w:val="0"/>
          <w:color w:val="auto"/>
          <w:highlight w:val="none"/>
        </w:rPr>
      </w:pPr>
    </w:p>
    <w:p w14:paraId="2426BA3B">
      <w:pPr>
        <w:snapToGrid/>
        <w:spacing w:line="360" w:lineRule="auto"/>
        <w:ind w:firstLine="0" w:firstLineChars="0"/>
        <w:jc w:val="center"/>
        <w:rPr>
          <w:rFonts w:hint="eastAsia" w:ascii="宋体" w:hAnsi="宋体" w:eastAsia="宋体" w:cs="宋体"/>
          <w:b/>
          <w:bCs/>
          <w:i w:val="0"/>
          <w:iCs w:val="0"/>
          <w:color w:val="auto"/>
          <w:highlight w:val="none"/>
        </w:rPr>
      </w:pPr>
    </w:p>
    <w:p w14:paraId="63BDAB27">
      <w:pPr>
        <w:snapToGrid/>
        <w:spacing w:line="360" w:lineRule="auto"/>
        <w:ind w:firstLine="0" w:firstLineChars="0"/>
        <w:jc w:val="center"/>
        <w:rPr>
          <w:rFonts w:hint="eastAsia" w:ascii="宋体" w:hAnsi="宋体" w:eastAsia="宋体" w:cs="宋体"/>
          <w:b/>
          <w:bCs/>
          <w:i w:val="0"/>
          <w:iCs w:val="0"/>
          <w:color w:val="auto"/>
          <w:highlight w:val="none"/>
        </w:rPr>
      </w:pPr>
    </w:p>
    <w:p w14:paraId="77EA8854">
      <w:pPr>
        <w:snapToGrid/>
        <w:spacing w:line="240" w:lineRule="auto"/>
        <w:ind w:firstLine="632" w:firstLineChars="300"/>
        <w:jc w:val="both"/>
        <w:rPr>
          <w:rFonts w:hint="eastAsia" w:ascii="宋体" w:hAnsi="宋体" w:eastAsia="宋体" w:cs="宋体"/>
          <w:b/>
          <w:bCs/>
          <w:i w:val="0"/>
          <w:iCs w:val="0"/>
          <w:color w:val="auto"/>
          <w:szCs w:val="21"/>
          <w:highlight w:val="none"/>
        </w:rPr>
      </w:pPr>
      <w:r>
        <w:rPr>
          <w:rFonts w:hint="eastAsia" w:ascii="宋体" w:hAnsi="宋体" w:eastAsia="宋体" w:cs="宋体"/>
          <w:b/>
          <w:bCs/>
          <w:i w:val="0"/>
          <w:iCs w:val="0"/>
          <w:color w:val="auto"/>
          <w:szCs w:val="21"/>
          <w:highlight w:val="none"/>
        </w:rPr>
        <w:t>注：</w:t>
      </w:r>
      <w:r>
        <w:rPr>
          <w:rFonts w:hint="eastAsia" w:ascii="宋体" w:hAnsi="宋体" w:eastAsia="宋体" w:cs="宋体"/>
          <w:b/>
          <w:bCs/>
          <w:i w:val="0"/>
          <w:iCs w:val="0"/>
          <w:color w:val="auto"/>
          <w:szCs w:val="21"/>
          <w:highlight w:val="none"/>
          <w:lang w:val="en-US" w:eastAsia="zh-CN"/>
        </w:rPr>
        <w:t>1、</w:t>
      </w:r>
      <w:r>
        <w:rPr>
          <w:rFonts w:hint="eastAsia" w:ascii="宋体" w:hAnsi="宋体" w:eastAsia="宋体" w:cs="宋体"/>
          <w:b/>
          <w:bCs/>
          <w:i w:val="0"/>
          <w:iCs w:val="0"/>
          <w:color w:val="auto"/>
          <w:szCs w:val="21"/>
          <w:highlight w:val="none"/>
        </w:rPr>
        <w:t>残疾人福利性单位声明函（如有）适用于残疾人福利性单位参加招投标活动的。本函未填写的视作未做声明。</w:t>
      </w:r>
    </w:p>
    <w:p w14:paraId="65D5CDF4">
      <w:pPr>
        <w:tabs>
          <w:tab w:val="left" w:pos="720"/>
        </w:tabs>
        <w:snapToGrid w:val="0"/>
        <w:spacing w:line="360" w:lineRule="auto"/>
        <w:jc w:val="center"/>
        <w:outlineLvl w:val="0"/>
        <w:rPr>
          <w:rFonts w:hint="eastAsia" w:ascii="宋体" w:hAnsi="宋体" w:eastAsia="宋体" w:cs="宋体"/>
          <w:b/>
          <w:color w:val="auto"/>
          <w:highlight w:val="none"/>
        </w:rPr>
      </w:pPr>
      <w:r>
        <w:rPr>
          <w:rFonts w:hint="eastAsia" w:ascii="宋体" w:hAnsi="宋体" w:eastAsia="宋体" w:cs="宋体"/>
          <w:b/>
          <w:bCs/>
          <w:i w:val="0"/>
          <w:iCs w:val="0"/>
          <w:color w:val="auto"/>
          <w:szCs w:val="21"/>
          <w:highlight w:val="none"/>
          <w:lang w:val="en-US" w:eastAsia="zh-CN"/>
        </w:rPr>
        <w:t>2、</w:t>
      </w:r>
      <w:r>
        <w:rPr>
          <w:rFonts w:hint="eastAsia" w:ascii="宋体" w:hAnsi="宋体" w:eastAsia="宋体" w:cs="宋体"/>
          <w:b/>
          <w:bCs/>
          <w:i w:val="0"/>
          <w:iCs w:val="0"/>
          <w:color w:val="auto"/>
          <w:szCs w:val="21"/>
          <w:highlight w:val="none"/>
        </w:rPr>
        <w:t>残疾人福利性单位视同小微企业，无需再提供《中小企业声明函》。</w:t>
      </w:r>
    </w:p>
    <w:p w14:paraId="18CD66BA">
      <w:pPr>
        <w:spacing w:line="360" w:lineRule="auto"/>
        <w:rPr>
          <w:rFonts w:hint="eastAsia" w:ascii="宋体" w:hAnsi="宋体" w:eastAsia="宋体" w:cs="宋体"/>
          <w:color w:val="auto"/>
          <w:sz w:val="24"/>
          <w:highlight w:val="none"/>
        </w:rPr>
      </w:pPr>
    </w:p>
    <w:p w14:paraId="335FDC95">
      <w:pPr>
        <w:spacing w:line="360" w:lineRule="auto"/>
        <w:rPr>
          <w:rFonts w:hint="eastAsia" w:ascii="宋体" w:hAnsi="宋体" w:eastAsia="宋体" w:cs="宋体"/>
          <w:color w:val="auto"/>
          <w:sz w:val="24"/>
          <w:highlight w:val="none"/>
        </w:rPr>
      </w:pPr>
    </w:p>
    <w:p w14:paraId="050832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经济标投标文件格式</w:t>
      </w: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rPr>
        <w:t>：</w:t>
      </w:r>
    </w:p>
    <w:p w14:paraId="66F1418C">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参与编制经济标投标文件人员名单</w:t>
      </w:r>
    </w:p>
    <w:tbl>
      <w:tblPr>
        <w:tblStyle w:val="3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57F0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56417E83">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r>
      <w:tr w14:paraId="5DBB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5C45B0BC">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4E96D490">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551569DE">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268E9A85">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773B9DCE">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本人签名栏</w:t>
            </w:r>
          </w:p>
        </w:tc>
      </w:tr>
      <w:tr w14:paraId="590C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54497B39">
            <w:pPr>
              <w:tabs>
                <w:tab w:val="left" w:pos="720"/>
              </w:tabs>
              <w:snapToGrid w:val="0"/>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2F49019D">
            <w:pPr>
              <w:tabs>
                <w:tab w:val="left" w:pos="720"/>
              </w:tabs>
              <w:snapToGrid w:val="0"/>
              <w:spacing w:line="360" w:lineRule="auto"/>
              <w:jc w:val="center"/>
              <w:rPr>
                <w:rFonts w:hint="eastAsia" w:ascii="宋体" w:hAnsi="宋体" w:eastAsia="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5C6E0679">
            <w:pPr>
              <w:tabs>
                <w:tab w:val="left" w:pos="720"/>
              </w:tabs>
              <w:snapToGrid w:val="0"/>
              <w:spacing w:line="360" w:lineRule="auto"/>
              <w:jc w:val="center"/>
              <w:rPr>
                <w:rFonts w:hint="eastAsia" w:ascii="宋体" w:hAnsi="宋体" w:eastAsia="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3BB99D72">
            <w:pPr>
              <w:tabs>
                <w:tab w:val="left" w:pos="720"/>
              </w:tabs>
              <w:snapToGrid w:val="0"/>
              <w:spacing w:line="360" w:lineRule="auto"/>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D156D4A">
            <w:pPr>
              <w:tabs>
                <w:tab w:val="left" w:pos="720"/>
              </w:tabs>
              <w:snapToGrid w:val="0"/>
              <w:spacing w:line="360" w:lineRule="auto"/>
              <w:jc w:val="center"/>
              <w:rPr>
                <w:rFonts w:hint="eastAsia" w:ascii="宋体" w:hAnsi="宋体" w:eastAsia="宋体" w:cs="宋体"/>
                <w:color w:val="auto"/>
                <w:szCs w:val="21"/>
                <w:highlight w:val="none"/>
              </w:rPr>
            </w:pPr>
          </w:p>
        </w:tc>
      </w:tr>
      <w:tr w14:paraId="0F83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07DA7C5D">
            <w:pPr>
              <w:tabs>
                <w:tab w:val="left" w:pos="720"/>
              </w:tabs>
              <w:snapToGrid w:val="0"/>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D47ACAD">
            <w:pPr>
              <w:tabs>
                <w:tab w:val="left" w:pos="720"/>
              </w:tabs>
              <w:snapToGrid w:val="0"/>
              <w:spacing w:line="360" w:lineRule="auto"/>
              <w:jc w:val="center"/>
              <w:rPr>
                <w:rFonts w:hint="eastAsia" w:ascii="宋体" w:hAnsi="宋体" w:eastAsia="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6B83E2F8">
            <w:pPr>
              <w:tabs>
                <w:tab w:val="left" w:pos="720"/>
              </w:tabs>
              <w:snapToGrid w:val="0"/>
              <w:spacing w:line="360" w:lineRule="auto"/>
              <w:jc w:val="center"/>
              <w:rPr>
                <w:rFonts w:hint="eastAsia" w:ascii="宋体" w:hAnsi="宋体" w:eastAsia="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3E65E24">
            <w:pPr>
              <w:tabs>
                <w:tab w:val="left" w:pos="720"/>
              </w:tabs>
              <w:snapToGrid w:val="0"/>
              <w:spacing w:line="360" w:lineRule="auto"/>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231643E">
            <w:pPr>
              <w:tabs>
                <w:tab w:val="left" w:pos="720"/>
              </w:tabs>
              <w:snapToGrid w:val="0"/>
              <w:spacing w:line="360" w:lineRule="auto"/>
              <w:jc w:val="center"/>
              <w:rPr>
                <w:rFonts w:hint="eastAsia" w:ascii="宋体" w:hAnsi="宋体" w:eastAsia="宋体" w:cs="宋体"/>
                <w:color w:val="auto"/>
                <w:szCs w:val="21"/>
                <w:highlight w:val="none"/>
              </w:rPr>
            </w:pPr>
          </w:p>
        </w:tc>
      </w:tr>
      <w:tr w14:paraId="3992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5244D1A1">
            <w:pPr>
              <w:tabs>
                <w:tab w:val="left" w:pos="720"/>
              </w:tabs>
              <w:snapToGrid w:val="0"/>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0912F0E">
            <w:pPr>
              <w:tabs>
                <w:tab w:val="left" w:pos="720"/>
              </w:tabs>
              <w:snapToGrid w:val="0"/>
              <w:spacing w:line="360" w:lineRule="auto"/>
              <w:jc w:val="center"/>
              <w:rPr>
                <w:rFonts w:hint="eastAsia" w:ascii="宋体" w:hAnsi="宋体" w:eastAsia="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3BAC0C1">
            <w:pPr>
              <w:tabs>
                <w:tab w:val="left" w:pos="720"/>
              </w:tabs>
              <w:snapToGrid w:val="0"/>
              <w:spacing w:line="360" w:lineRule="auto"/>
              <w:jc w:val="center"/>
              <w:rPr>
                <w:rFonts w:hint="eastAsia" w:ascii="宋体" w:hAnsi="宋体" w:eastAsia="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9CEF304">
            <w:pPr>
              <w:tabs>
                <w:tab w:val="left" w:pos="720"/>
              </w:tabs>
              <w:snapToGrid w:val="0"/>
              <w:spacing w:line="360" w:lineRule="auto"/>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1C0E048">
            <w:pPr>
              <w:tabs>
                <w:tab w:val="left" w:pos="720"/>
              </w:tabs>
              <w:snapToGrid w:val="0"/>
              <w:spacing w:line="360" w:lineRule="auto"/>
              <w:jc w:val="center"/>
              <w:rPr>
                <w:rFonts w:hint="eastAsia" w:ascii="宋体" w:hAnsi="宋体" w:eastAsia="宋体" w:cs="宋体"/>
                <w:color w:val="auto"/>
                <w:szCs w:val="21"/>
                <w:highlight w:val="none"/>
              </w:rPr>
            </w:pPr>
          </w:p>
        </w:tc>
      </w:tr>
      <w:tr w14:paraId="3E07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29C5E4E0">
            <w:pPr>
              <w:tabs>
                <w:tab w:val="left" w:pos="720"/>
              </w:tabs>
              <w:snapToGrid w:val="0"/>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0DD4AE19">
            <w:pPr>
              <w:tabs>
                <w:tab w:val="left" w:pos="720"/>
              </w:tabs>
              <w:snapToGrid w:val="0"/>
              <w:spacing w:line="360" w:lineRule="auto"/>
              <w:jc w:val="center"/>
              <w:rPr>
                <w:rFonts w:hint="eastAsia" w:ascii="宋体" w:hAnsi="宋体" w:eastAsia="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3BD21FF">
            <w:pPr>
              <w:tabs>
                <w:tab w:val="left" w:pos="720"/>
              </w:tabs>
              <w:snapToGrid w:val="0"/>
              <w:spacing w:line="360" w:lineRule="auto"/>
              <w:jc w:val="center"/>
              <w:rPr>
                <w:rFonts w:hint="eastAsia" w:ascii="宋体" w:hAnsi="宋体" w:eastAsia="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6B35A015">
            <w:pPr>
              <w:tabs>
                <w:tab w:val="left" w:pos="720"/>
              </w:tabs>
              <w:snapToGrid w:val="0"/>
              <w:spacing w:line="360" w:lineRule="auto"/>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42C3593">
            <w:pPr>
              <w:tabs>
                <w:tab w:val="left" w:pos="720"/>
              </w:tabs>
              <w:snapToGrid w:val="0"/>
              <w:spacing w:line="360" w:lineRule="auto"/>
              <w:jc w:val="center"/>
              <w:rPr>
                <w:rFonts w:hint="eastAsia" w:ascii="宋体" w:hAnsi="宋体" w:eastAsia="宋体" w:cs="宋体"/>
                <w:color w:val="auto"/>
                <w:szCs w:val="21"/>
                <w:highlight w:val="none"/>
              </w:rPr>
            </w:pPr>
          </w:p>
        </w:tc>
      </w:tr>
      <w:tr w14:paraId="7E14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29020AB9">
            <w:pPr>
              <w:tabs>
                <w:tab w:val="left" w:pos="720"/>
              </w:tabs>
              <w:snapToGrid w:val="0"/>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20732FD0">
            <w:pPr>
              <w:tabs>
                <w:tab w:val="left" w:pos="720"/>
              </w:tabs>
              <w:snapToGrid w:val="0"/>
              <w:spacing w:line="360" w:lineRule="auto"/>
              <w:jc w:val="center"/>
              <w:rPr>
                <w:rFonts w:hint="eastAsia" w:ascii="宋体" w:hAnsi="宋体" w:eastAsia="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7BD5ECDF">
            <w:pPr>
              <w:tabs>
                <w:tab w:val="left" w:pos="720"/>
              </w:tabs>
              <w:snapToGrid w:val="0"/>
              <w:spacing w:line="360" w:lineRule="auto"/>
              <w:jc w:val="center"/>
              <w:rPr>
                <w:rFonts w:hint="eastAsia" w:ascii="宋体" w:hAnsi="宋体" w:eastAsia="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2BE67B7">
            <w:pPr>
              <w:tabs>
                <w:tab w:val="left" w:pos="720"/>
              </w:tabs>
              <w:snapToGrid w:val="0"/>
              <w:spacing w:line="360" w:lineRule="auto"/>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4DA3E70">
            <w:pPr>
              <w:tabs>
                <w:tab w:val="left" w:pos="720"/>
              </w:tabs>
              <w:snapToGrid w:val="0"/>
              <w:spacing w:line="360" w:lineRule="auto"/>
              <w:jc w:val="center"/>
              <w:rPr>
                <w:rFonts w:hint="eastAsia" w:ascii="宋体" w:hAnsi="宋体" w:eastAsia="宋体" w:cs="宋体"/>
                <w:color w:val="auto"/>
                <w:szCs w:val="21"/>
                <w:highlight w:val="none"/>
              </w:rPr>
            </w:pPr>
          </w:p>
        </w:tc>
      </w:tr>
      <w:tr w14:paraId="1E75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9E5368E">
            <w:pPr>
              <w:tabs>
                <w:tab w:val="left" w:pos="720"/>
              </w:tabs>
              <w:snapToGrid w:val="0"/>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7C28F868">
            <w:pPr>
              <w:tabs>
                <w:tab w:val="left" w:pos="720"/>
              </w:tabs>
              <w:snapToGrid w:val="0"/>
              <w:spacing w:line="360" w:lineRule="auto"/>
              <w:jc w:val="center"/>
              <w:rPr>
                <w:rFonts w:hint="eastAsia" w:ascii="宋体" w:hAnsi="宋体" w:eastAsia="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14F9934B">
            <w:pPr>
              <w:tabs>
                <w:tab w:val="left" w:pos="720"/>
              </w:tabs>
              <w:snapToGrid w:val="0"/>
              <w:spacing w:line="360" w:lineRule="auto"/>
              <w:jc w:val="center"/>
              <w:rPr>
                <w:rFonts w:hint="eastAsia" w:ascii="宋体" w:hAnsi="宋体" w:eastAsia="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5CCEA7E7">
            <w:pPr>
              <w:tabs>
                <w:tab w:val="left" w:pos="720"/>
              </w:tabs>
              <w:snapToGrid w:val="0"/>
              <w:spacing w:line="360" w:lineRule="auto"/>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E7D3D8A">
            <w:pPr>
              <w:tabs>
                <w:tab w:val="left" w:pos="720"/>
              </w:tabs>
              <w:snapToGrid w:val="0"/>
              <w:spacing w:line="360" w:lineRule="auto"/>
              <w:jc w:val="center"/>
              <w:rPr>
                <w:rFonts w:hint="eastAsia" w:ascii="宋体" w:hAnsi="宋体" w:eastAsia="宋体" w:cs="宋体"/>
                <w:color w:val="auto"/>
                <w:szCs w:val="21"/>
                <w:highlight w:val="none"/>
              </w:rPr>
            </w:pPr>
          </w:p>
        </w:tc>
      </w:tr>
      <w:tr w14:paraId="5427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5D8795B8">
            <w:pPr>
              <w:tabs>
                <w:tab w:val="left" w:pos="720"/>
              </w:tabs>
              <w:snapToGrid w:val="0"/>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5BF59126">
            <w:pPr>
              <w:tabs>
                <w:tab w:val="left" w:pos="720"/>
              </w:tabs>
              <w:snapToGrid w:val="0"/>
              <w:spacing w:line="360" w:lineRule="auto"/>
              <w:jc w:val="center"/>
              <w:rPr>
                <w:rFonts w:hint="eastAsia" w:ascii="宋体" w:hAnsi="宋体" w:eastAsia="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339074AD">
            <w:pPr>
              <w:tabs>
                <w:tab w:val="left" w:pos="720"/>
              </w:tabs>
              <w:snapToGrid w:val="0"/>
              <w:spacing w:line="360" w:lineRule="auto"/>
              <w:jc w:val="center"/>
              <w:rPr>
                <w:rFonts w:hint="eastAsia" w:ascii="宋体" w:hAnsi="宋体" w:eastAsia="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11DB3A35">
            <w:pPr>
              <w:tabs>
                <w:tab w:val="left" w:pos="720"/>
              </w:tabs>
              <w:snapToGrid w:val="0"/>
              <w:spacing w:line="360" w:lineRule="auto"/>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FA94692">
            <w:pPr>
              <w:tabs>
                <w:tab w:val="left" w:pos="720"/>
              </w:tabs>
              <w:snapToGrid w:val="0"/>
              <w:spacing w:line="360" w:lineRule="auto"/>
              <w:jc w:val="center"/>
              <w:rPr>
                <w:rFonts w:hint="eastAsia" w:ascii="宋体" w:hAnsi="宋体" w:eastAsia="宋体" w:cs="宋体"/>
                <w:color w:val="auto"/>
                <w:szCs w:val="21"/>
                <w:highlight w:val="none"/>
              </w:rPr>
            </w:pPr>
          </w:p>
        </w:tc>
      </w:tr>
      <w:tr w14:paraId="65D8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285164DB">
            <w:pPr>
              <w:tabs>
                <w:tab w:val="left" w:pos="720"/>
              </w:tabs>
              <w:snapToGrid w:val="0"/>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2501D9B1">
            <w:pPr>
              <w:tabs>
                <w:tab w:val="left" w:pos="720"/>
              </w:tabs>
              <w:snapToGrid w:val="0"/>
              <w:spacing w:line="360" w:lineRule="auto"/>
              <w:jc w:val="center"/>
              <w:rPr>
                <w:rFonts w:hint="eastAsia" w:ascii="宋体" w:hAnsi="宋体" w:eastAsia="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D9948CD">
            <w:pPr>
              <w:tabs>
                <w:tab w:val="left" w:pos="720"/>
              </w:tabs>
              <w:snapToGrid w:val="0"/>
              <w:spacing w:line="360" w:lineRule="auto"/>
              <w:jc w:val="center"/>
              <w:rPr>
                <w:rFonts w:hint="eastAsia" w:ascii="宋体" w:hAnsi="宋体" w:eastAsia="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EBB608A">
            <w:pPr>
              <w:tabs>
                <w:tab w:val="left" w:pos="720"/>
              </w:tabs>
              <w:snapToGrid w:val="0"/>
              <w:spacing w:line="360" w:lineRule="auto"/>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077A123">
            <w:pPr>
              <w:tabs>
                <w:tab w:val="left" w:pos="720"/>
              </w:tabs>
              <w:snapToGrid w:val="0"/>
              <w:spacing w:line="360" w:lineRule="auto"/>
              <w:jc w:val="center"/>
              <w:rPr>
                <w:rFonts w:hint="eastAsia" w:ascii="宋体" w:hAnsi="宋体" w:eastAsia="宋体" w:cs="宋体"/>
                <w:color w:val="auto"/>
                <w:szCs w:val="21"/>
                <w:highlight w:val="none"/>
              </w:rPr>
            </w:pPr>
          </w:p>
        </w:tc>
      </w:tr>
    </w:tbl>
    <w:p w14:paraId="7405EB0A">
      <w:pPr>
        <w:pStyle w:val="35"/>
        <w:spacing w:after="0" w:line="360" w:lineRule="auto"/>
        <w:ind w:left="-2" w:leftChars="-1" w:firstLine="367" w:firstLineChars="17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注：参与编制投标文件所有人员名单应包括如编制技术投标方案、编制各种专业工程量清单投标报价、负责清样校对、负责打印及复印等所有人员在内的人员名单。</w:t>
      </w:r>
    </w:p>
    <w:p w14:paraId="7A725D2D">
      <w:pPr>
        <w:autoSpaceDE w:val="0"/>
        <w:autoSpaceDN w:val="0"/>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24"/>
          <w:highlight w:val="none"/>
        </w:rPr>
        <w:t>经济标投标文件格式</w:t>
      </w:r>
      <w:r>
        <w:rPr>
          <w:rFonts w:hint="eastAsia" w:ascii="宋体" w:hAnsi="宋体" w:cs="宋体"/>
          <w:color w:val="auto"/>
          <w:sz w:val="24"/>
          <w:highlight w:val="none"/>
          <w:lang w:val="en-US" w:eastAsia="zh-CN"/>
        </w:rPr>
        <w:t>八</w:t>
      </w:r>
      <w:r>
        <w:rPr>
          <w:rFonts w:hint="eastAsia" w:ascii="宋体" w:hAnsi="宋体" w:eastAsia="宋体" w:cs="宋体"/>
          <w:color w:val="auto"/>
          <w:sz w:val="24"/>
          <w:highlight w:val="none"/>
        </w:rPr>
        <w:t>：</w:t>
      </w:r>
    </w:p>
    <w:p w14:paraId="21BCBA1D">
      <w:pPr>
        <w:pStyle w:val="35"/>
        <w:spacing w:after="0" w:line="360" w:lineRule="auto"/>
        <w:ind w:firstLine="0"/>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对投标文件编制的承诺</w:t>
      </w:r>
    </w:p>
    <w:p w14:paraId="00A4D9FD">
      <w:pPr>
        <w:pStyle w:val="35"/>
        <w:spacing w:after="0" w:line="360" w:lineRule="auto"/>
        <w:ind w:left="-2" w:leftChars="-1"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本公司授权</w:t>
      </w:r>
      <w:r>
        <w:rPr>
          <w:rFonts w:hint="eastAsia" w:ascii="宋体" w:hAnsi="宋体" w:eastAsia="宋体" w:cs="宋体"/>
          <w:color w:val="auto"/>
          <w:sz w:val="24"/>
          <w:szCs w:val="24"/>
          <w:highlight w:val="none"/>
          <w:u w:val="single"/>
        </w:rPr>
        <w:t xml:space="preserve">         （身份证号：               ）</w:t>
      </w:r>
      <w:r>
        <w:rPr>
          <w:rFonts w:hint="eastAsia" w:ascii="宋体" w:hAnsi="宋体" w:eastAsia="宋体" w:cs="宋体"/>
          <w:color w:val="auto"/>
          <w:sz w:val="24"/>
          <w:szCs w:val="24"/>
          <w:highlight w:val="none"/>
        </w:rPr>
        <w:t>负责对投标文件的编制及内容进行解释、说明，并承诺以下事项：</w:t>
      </w:r>
    </w:p>
    <w:p w14:paraId="17EA1740">
      <w:pPr>
        <w:pStyle w:val="35"/>
        <w:spacing w:after="0" w:line="360" w:lineRule="auto"/>
        <w:ind w:left="-2" w:leftChars="-1"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1.被授权人清楚投标文件编制的具体情况，包括技术方案文件、工程量清单、以及投标文件的加密打包的理解；</w:t>
      </w:r>
    </w:p>
    <w:p w14:paraId="1484560F">
      <w:pPr>
        <w:pStyle w:val="35"/>
        <w:spacing w:after="0" w:line="360" w:lineRule="auto"/>
        <w:ind w:left="-2" w:leftChars="-1"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2.在本项目开标至评标结束前，努力确保被授权人在项目评标所在地附近；</w:t>
      </w:r>
    </w:p>
    <w:p w14:paraId="2F431BC9">
      <w:pPr>
        <w:pStyle w:val="35"/>
        <w:spacing w:after="0" w:line="360" w:lineRule="auto"/>
        <w:ind w:left="-2" w:leftChars="-1"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3.从评标委员会要求澄清起二小时内，被授权人应如实地书面澄清。</w:t>
      </w:r>
    </w:p>
    <w:p w14:paraId="60BE4DF6">
      <w:pPr>
        <w:pStyle w:val="35"/>
        <w:spacing w:after="0" w:line="360" w:lineRule="auto"/>
        <w:ind w:left="-2" w:leftChars="-1"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如由于未遵守上述承诺内容之一导致无法进行澄清的，我公司认可和接受评标委员会作出的评审结论。                                 </w:t>
      </w:r>
    </w:p>
    <w:p w14:paraId="0FF36715">
      <w:pPr>
        <w:pStyle w:val="35"/>
        <w:spacing w:after="0"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62F7794">
      <w:pPr>
        <w:pStyle w:val="35"/>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附件：《投标文件编制情况》</w:t>
      </w:r>
    </w:p>
    <w:p w14:paraId="746ED074">
      <w:pPr>
        <w:spacing w:line="360" w:lineRule="auto"/>
        <w:ind w:right="90" w:firstLine="3240" w:firstLineChars="13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投标人名称（盖法人公章）：</w:t>
      </w:r>
      <w:r>
        <w:rPr>
          <w:rFonts w:hint="eastAsia" w:ascii="宋体" w:hAnsi="宋体" w:eastAsia="宋体" w:cs="宋体"/>
          <w:color w:val="auto"/>
          <w:sz w:val="24"/>
          <w:szCs w:val="24"/>
          <w:highlight w:val="none"/>
          <w:u w:val="single"/>
        </w:rPr>
        <w:t xml:space="preserve">                  </w:t>
      </w:r>
    </w:p>
    <w:p w14:paraId="7C960E9D">
      <w:pPr>
        <w:spacing w:line="360" w:lineRule="auto"/>
        <w:ind w:firstLine="2160" w:firstLineChars="9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法定代表人或被授权人（签字或盖章）：</w:t>
      </w:r>
      <w:r>
        <w:rPr>
          <w:rFonts w:hint="eastAsia" w:ascii="宋体" w:hAnsi="宋体" w:eastAsia="宋体" w:cs="宋体"/>
          <w:color w:val="auto"/>
          <w:sz w:val="24"/>
          <w:szCs w:val="24"/>
          <w:highlight w:val="none"/>
          <w:u w:val="single"/>
        </w:rPr>
        <w:t xml:space="preserve">                  </w:t>
      </w:r>
    </w:p>
    <w:p w14:paraId="2249B4B8">
      <w:pPr>
        <w:pStyle w:val="35"/>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日期：      年   月   日 </w:t>
      </w:r>
      <w:r>
        <w:rPr>
          <w:rFonts w:hint="eastAsia" w:ascii="宋体" w:hAnsi="宋体" w:eastAsia="宋体" w:cs="宋体"/>
          <w:color w:val="auto"/>
          <w:sz w:val="18"/>
          <w:szCs w:val="18"/>
          <w:highlight w:val="none"/>
        </w:rPr>
        <w:t xml:space="preserve"> </w:t>
      </w:r>
      <w:r>
        <w:rPr>
          <w:rFonts w:hint="eastAsia" w:ascii="宋体" w:hAnsi="宋体" w:eastAsia="宋体" w:cs="宋体"/>
          <w:color w:val="auto"/>
          <w:sz w:val="24"/>
          <w:szCs w:val="24"/>
          <w:highlight w:val="none"/>
        </w:rPr>
        <w:t xml:space="preserve">  </w:t>
      </w:r>
    </w:p>
    <w:p w14:paraId="23E9EDB8">
      <w:pPr>
        <w:pStyle w:val="35"/>
        <w:spacing w:after="0" w:line="360" w:lineRule="auto"/>
        <w:ind w:firstLine="0"/>
        <w:rPr>
          <w:rFonts w:hint="eastAsia" w:ascii="宋体" w:hAnsi="宋体" w:eastAsia="宋体" w:cs="宋体"/>
          <w:color w:val="auto"/>
          <w:sz w:val="24"/>
          <w:szCs w:val="24"/>
          <w:highlight w:val="none"/>
        </w:rPr>
      </w:pPr>
    </w:p>
    <w:p w14:paraId="049AAA23">
      <w:pPr>
        <w:pStyle w:val="35"/>
        <w:spacing w:after="0" w:line="360" w:lineRule="auto"/>
        <w:ind w:firstLine="0"/>
        <w:rPr>
          <w:rFonts w:hint="eastAsia" w:ascii="宋体" w:hAnsi="宋体" w:eastAsia="宋体" w:cs="宋体"/>
          <w:color w:val="auto"/>
          <w:sz w:val="24"/>
          <w:szCs w:val="24"/>
          <w:highlight w:val="none"/>
        </w:rPr>
      </w:pPr>
    </w:p>
    <w:p w14:paraId="312FF81A">
      <w:pPr>
        <w:pStyle w:val="35"/>
        <w:spacing w:after="0" w:line="360" w:lineRule="auto"/>
        <w:ind w:firstLine="643" w:firstLineChars="200"/>
        <w:jc w:val="center"/>
        <w:rPr>
          <w:rFonts w:hint="eastAsia" w:ascii="宋体" w:hAnsi="宋体" w:eastAsia="宋体" w:cs="宋体"/>
          <w:color w:val="auto"/>
          <w:sz w:val="18"/>
          <w:szCs w:val="18"/>
          <w:highlight w:val="none"/>
        </w:rPr>
      </w:pPr>
      <w:r>
        <w:rPr>
          <w:rFonts w:hint="eastAsia" w:ascii="宋体" w:hAnsi="宋体" w:eastAsia="宋体" w:cs="宋体"/>
          <w:b/>
          <w:color w:val="auto"/>
          <w:sz w:val="32"/>
          <w:szCs w:val="32"/>
          <w:highlight w:val="none"/>
        </w:rPr>
        <w:t>投标文件编制情况</w:t>
      </w:r>
    </w:p>
    <w:p w14:paraId="42E7317A">
      <w:pPr>
        <w:pStyle w:val="35"/>
        <w:spacing w:after="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1.投标文件报价编制方式: □自行编制的，编制的负责人：</w:t>
      </w:r>
      <w:r>
        <w:rPr>
          <w:rFonts w:hint="eastAsia" w:ascii="宋体" w:hAnsi="宋体" w:eastAsia="宋体" w:cs="宋体"/>
          <w:color w:val="auto"/>
          <w:sz w:val="24"/>
          <w:szCs w:val="24"/>
          <w:highlight w:val="none"/>
          <w:u w:val="single"/>
        </w:rPr>
        <w:t xml:space="preserve"> （盖造价工程师执业专用章或全国建设工程造价员章，执业单位应与投标人一致） </w:t>
      </w:r>
      <w:r>
        <w:rPr>
          <w:rFonts w:hint="eastAsia" w:ascii="宋体" w:hAnsi="宋体" w:eastAsia="宋体" w:cs="宋体"/>
          <w:color w:val="auto"/>
          <w:sz w:val="24"/>
          <w:szCs w:val="24"/>
          <w:highlight w:val="none"/>
        </w:rPr>
        <w:t>。□委托编制的，受委托单位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，编制的负责人：</w:t>
      </w:r>
      <w:r>
        <w:rPr>
          <w:rFonts w:hint="eastAsia" w:ascii="宋体" w:hAnsi="宋体" w:eastAsia="宋体" w:cs="宋体"/>
          <w:color w:val="auto"/>
          <w:sz w:val="24"/>
          <w:szCs w:val="24"/>
          <w:highlight w:val="none"/>
          <w:u w:val="single"/>
        </w:rPr>
        <w:t xml:space="preserve"> （盖造价工程师执业专用章或全国建设工程造价员章，执业单位应与受委托单位一致） </w:t>
      </w:r>
      <w:r>
        <w:rPr>
          <w:rFonts w:hint="eastAsia" w:ascii="宋体" w:hAnsi="宋体" w:eastAsia="宋体" w:cs="宋体"/>
          <w:color w:val="auto"/>
          <w:sz w:val="24"/>
          <w:szCs w:val="24"/>
          <w:highlight w:val="none"/>
        </w:rPr>
        <w:t>。</w:t>
      </w:r>
    </w:p>
    <w:p w14:paraId="568524AA">
      <w:pPr>
        <w:pStyle w:val="35"/>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2.投标文件加密打包的电脑情况</w:t>
      </w:r>
    </w:p>
    <w:tbl>
      <w:tblPr>
        <w:tblStyle w:val="36"/>
        <w:tblW w:w="8306" w:type="dxa"/>
        <w:tblInd w:w="0" w:type="dxa"/>
        <w:tblLayout w:type="fixed"/>
        <w:tblCellMar>
          <w:top w:w="0" w:type="dxa"/>
          <w:left w:w="108" w:type="dxa"/>
          <w:bottom w:w="0" w:type="dxa"/>
          <w:right w:w="108" w:type="dxa"/>
        </w:tblCellMar>
      </w:tblPr>
      <w:tblGrid>
        <w:gridCol w:w="8306"/>
      </w:tblGrid>
      <w:tr w14:paraId="625F4358">
        <w:tblPrEx>
          <w:tblCellMar>
            <w:top w:w="0" w:type="dxa"/>
            <w:left w:w="108" w:type="dxa"/>
            <w:bottom w:w="0" w:type="dxa"/>
            <w:right w:w="108" w:type="dxa"/>
          </w:tblCellMar>
        </w:tblPrEx>
        <w:trPr>
          <w:trHeight w:val="2819" w:hRule="atLeast"/>
        </w:trPr>
        <w:tc>
          <w:tcPr>
            <w:tcW w:w="8306" w:type="dxa"/>
            <w:shd w:val="clear" w:color="auto" w:fill="auto"/>
          </w:tcPr>
          <w:p w14:paraId="34B7C20C">
            <w:pPr>
              <w:pStyle w:val="35"/>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投标文件加密打包的电脑     自有    □      外包    □     其他    □</w:t>
            </w:r>
          </w:p>
          <w:p w14:paraId="6176D45C">
            <w:pPr>
              <w:pStyle w:val="35"/>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电脑类型</w:t>
            </w:r>
          </w:p>
          <w:p w14:paraId="3636FD03">
            <w:pPr>
              <w:pStyle w:val="35"/>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电脑所属单位</w:t>
            </w:r>
          </w:p>
          <w:p w14:paraId="059E2712">
            <w:pPr>
              <w:pStyle w:val="35"/>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电脑所在地址        （如××市××区(县) ××街（路）××号××大厦××房）</w:t>
            </w:r>
          </w:p>
        </w:tc>
      </w:tr>
    </w:tbl>
    <w:p w14:paraId="32D52775">
      <w:pPr>
        <w:tabs>
          <w:tab w:val="left" w:pos="720"/>
        </w:tabs>
        <w:snapToGrid w:val="0"/>
        <w:spacing w:line="360" w:lineRule="auto"/>
        <w:ind w:firstLine="1890" w:firstLineChars="900"/>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74" w:name="_Toc21525513"/>
      <w:bookmarkStart w:id="75" w:name="_Toc2272568"/>
      <w:bookmarkStart w:id="76" w:name="_Toc26180"/>
      <w:bookmarkStart w:id="77" w:name="_Toc15835"/>
    </w:p>
    <w:p w14:paraId="50DAAC53">
      <w:pPr>
        <w:pStyle w:val="133"/>
        <w:spacing w:beforeLines="0" w:afterLines="0" w:line="360" w:lineRule="auto"/>
        <w:rPr>
          <w:rFonts w:hint="default" w:ascii="宋体" w:eastAsia="宋体" w:cs="宋体"/>
          <w:color w:val="auto"/>
          <w:highlight w:val="none"/>
          <w:lang w:val="en-US" w:eastAsia="zh-CN"/>
        </w:rPr>
      </w:pPr>
      <w:r>
        <w:rPr>
          <w:rFonts w:hint="eastAsia" w:ascii="宋体" w:hAnsi="宋体" w:eastAsia="宋体" w:cs="宋体"/>
          <w:color w:val="auto"/>
          <w:highlight w:val="none"/>
          <w:lang w:val="en-US" w:eastAsia="zh-CN"/>
        </w:rPr>
        <w:t>定标</w:t>
      </w:r>
      <w:r>
        <w:rPr>
          <w:rFonts w:hint="eastAsia" w:ascii="宋体" w:hAnsi="宋体" w:eastAsia="宋体" w:cs="宋体"/>
          <w:color w:val="auto"/>
          <w:highlight w:val="none"/>
        </w:rPr>
        <w:t>文件格式一：</w:t>
      </w:r>
      <w:r>
        <w:rPr>
          <w:rFonts w:hint="eastAsia" w:ascii="宋体" w:hAnsi="宋体" w:eastAsia="宋体" w:cs="宋体"/>
          <w:color w:val="auto"/>
          <w:highlight w:val="none"/>
          <w:lang w:val="en-US" w:eastAsia="zh-CN"/>
        </w:rPr>
        <w:t>定标文件封面</w:t>
      </w:r>
    </w:p>
    <w:p w14:paraId="547EE4E7">
      <w:pPr>
        <w:pStyle w:val="119"/>
        <w:ind w:firstLine="496"/>
        <w:rPr>
          <w:rFonts w:hint="eastAsia" w:ascii="宋体" w:hAnsi="宋体" w:cs="宋体"/>
          <w:color w:val="auto"/>
          <w:highlight w:val="none"/>
        </w:rPr>
      </w:pPr>
    </w:p>
    <w:p w14:paraId="4CAF084F">
      <w:pPr>
        <w:pStyle w:val="119"/>
        <w:ind w:firstLine="496"/>
        <w:rPr>
          <w:rFonts w:hint="eastAsia" w:ascii="宋体" w:hAnsi="宋体" w:cs="宋体"/>
          <w:color w:val="auto"/>
          <w:highlight w:val="none"/>
        </w:rPr>
      </w:pPr>
    </w:p>
    <w:p w14:paraId="43F90AB7">
      <w:pPr>
        <w:pStyle w:val="12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[工程名称] </w:t>
      </w:r>
    </w:p>
    <w:p w14:paraId="23489F33">
      <w:pPr>
        <w:pStyle w:val="119"/>
        <w:ind w:firstLine="496"/>
        <w:rPr>
          <w:rFonts w:hint="eastAsia" w:ascii="宋体" w:hAnsi="宋体" w:eastAsia="宋体" w:cs="宋体"/>
          <w:color w:val="auto"/>
          <w:highlight w:val="none"/>
        </w:rPr>
      </w:pPr>
    </w:p>
    <w:p w14:paraId="758447C9">
      <w:pPr>
        <w:pStyle w:val="119"/>
        <w:ind w:firstLine="496"/>
        <w:rPr>
          <w:rFonts w:hint="eastAsia" w:ascii="宋体" w:hAnsi="宋体" w:eastAsia="宋体" w:cs="宋体"/>
          <w:color w:val="auto"/>
          <w:highlight w:val="none"/>
        </w:rPr>
      </w:pPr>
    </w:p>
    <w:p w14:paraId="7DD265EE">
      <w:pPr>
        <w:pStyle w:val="119"/>
        <w:ind w:firstLine="496"/>
        <w:rPr>
          <w:rFonts w:hint="eastAsia" w:ascii="宋体" w:hAnsi="宋体" w:eastAsia="宋体" w:cs="宋体"/>
          <w:color w:val="auto"/>
          <w:highlight w:val="none"/>
        </w:rPr>
      </w:pPr>
    </w:p>
    <w:p w14:paraId="546BA970">
      <w:pPr>
        <w:pStyle w:val="119"/>
        <w:ind w:firstLine="496"/>
        <w:rPr>
          <w:rFonts w:hint="eastAsia" w:ascii="宋体" w:hAnsi="宋体" w:eastAsia="宋体" w:cs="宋体"/>
          <w:color w:val="auto"/>
          <w:highlight w:val="none"/>
        </w:rPr>
      </w:pPr>
    </w:p>
    <w:p w14:paraId="0CACAD4C">
      <w:pPr>
        <w:pStyle w:val="12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定标</w:t>
      </w:r>
      <w:r>
        <w:rPr>
          <w:rFonts w:hint="eastAsia" w:ascii="宋体" w:hAnsi="宋体" w:eastAsia="宋体" w:cs="宋体"/>
          <w:color w:val="auto"/>
          <w:highlight w:val="none"/>
        </w:rPr>
        <w:t>文件</w:t>
      </w:r>
    </w:p>
    <w:p w14:paraId="318B03CC">
      <w:pPr>
        <w:pStyle w:val="120"/>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部分（</w:t>
      </w:r>
      <w:r>
        <w:rPr>
          <w:rFonts w:hint="eastAsia" w:ascii="宋体" w:hAnsi="宋体" w:eastAsia="宋体" w:cs="宋体"/>
          <w:color w:val="auto"/>
          <w:highlight w:val="none"/>
          <w:lang w:val="en-US" w:eastAsia="zh-CN"/>
        </w:rPr>
        <w:t>定标文件</w:t>
      </w:r>
      <w:r>
        <w:rPr>
          <w:rFonts w:hint="eastAsia" w:ascii="宋体" w:hAnsi="宋体" w:eastAsia="宋体" w:cs="宋体"/>
          <w:color w:val="auto"/>
          <w:highlight w:val="none"/>
        </w:rPr>
        <w:t>）</w:t>
      </w:r>
    </w:p>
    <w:p w14:paraId="11C6BD11">
      <w:pPr>
        <w:pStyle w:val="119"/>
        <w:ind w:firstLine="496"/>
        <w:rPr>
          <w:rFonts w:hint="eastAsia" w:ascii="宋体" w:hAnsi="宋体" w:eastAsia="宋体" w:cs="宋体"/>
          <w:color w:val="auto"/>
          <w:highlight w:val="none"/>
        </w:rPr>
      </w:pPr>
    </w:p>
    <w:p w14:paraId="6279F5FB">
      <w:pPr>
        <w:pStyle w:val="119"/>
        <w:ind w:firstLine="496"/>
        <w:rPr>
          <w:rFonts w:hint="eastAsia" w:ascii="宋体" w:hAnsi="宋体" w:eastAsia="宋体" w:cs="宋体"/>
          <w:color w:val="auto"/>
          <w:highlight w:val="none"/>
        </w:rPr>
      </w:pPr>
    </w:p>
    <w:p w14:paraId="2EA43C78">
      <w:pPr>
        <w:pStyle w:val="119"/>
        <w:ind w:firstLine="496"/>
        <w:rPr>
          <w:rFonts w:hint="eastAsia" w:ascii="宋体" w:hAnsi="宋体" w:eastAsia="宋体" w:cs="宋体"/>
          <w:color w:val="auto"/>
          <w:highlight w:val="none"/>
        </w:rPr>
      </w:pPr>
    </w:p>
    <w:p w14:paraId="5F51D625">
      <w:pPr>
        <w:pStyle w:val="119"/>
        <w:ind w:firstLine="496"/>
        <w:rPr>
          <w:rFonts w:hint="eastAsia" w:ascii="宋体" w:hAnsi="宋体" w:eastAsia="宋体" w:cs="宋体"/>
          <w:color w:val="auto"/>
          <w:highlight w:val="none"/>
        </w:rPr>
      </w:pPr>
    </w:p>
    <w:p w14:paraId="116EA1A7">
      <w:pPr>
        <w:pStyle w:val="119"/>
        <w:ind w:firstLine="496"/>
        <w:rPr>
          <w:rFonts w:hint="eastAsia" w:ascii="宋体" w:hAnsi="宋体" w:eastAsia="宋体" w:cs="宋体"/>
          <w:color w:val="auto"/>
          <w:highlight w:val="none"/>
        </w:rPr>
      </w:pPr>
    </w:p>
    <w:p w14:paraId="021C9E71">
      <w:pPr>
        <w:pStyle w:val="119"/>
        <w:ind w:firstLine="496"/>
        <w:rPr>
          <w:rFonts w:hint="eastAsia" w:ascii="宋体" w:hAnsi="宋体" w:eastAsia="宋体" w:cs="宋体"/>
          <w:color w:val="auto"/>
          <w:highlight w:val="none"/>
        </w:rPr>
      </w:pPr>
    </w:p>
    <w:p w14:paraId="3890511D">
      <w:pPr>
        <w:pStyle w:val="119"/>
        <w:ind w:firstLine="496"/>
        <w:rPr>
          <w:rFonts w:hint="eastAsia" w:ascii="宋体" w:hAnsi="宋体" w:eastAsia="宋体" w:cs="宋体"/>
          <w:color w:val="auto"/>
          <w:highlight w:val="none"/>
        </w:rPr>
      </w:pPr>
    </w:p>
    <w:p w14:paraId="0830987F">
      <w:pPr>
        <w:pStyle w:val="122"/>
        <w:ind w:firstLine="2038" w:firstLineChars="662"/>
        <w:rPr>
          <w:rFonts w:hint="eastAsia" w:ascii="宋体" w:hAnsi="宋体" w:eastAsia="宋体" w:cs="宋体"/>
          <w:color w:val="auto"/>
          <w:highlight w:val="none"/>
          <w:u w:val="singl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 xml:space="preserve">                 </w:t>
      </w:r>
    </w:p>
    <w:p w14:paraId="076D8F6F">
      <w:pPr>
        <w:pStyle w:val="122"/>
        <w:ind w:firstLine="2038" w:firstLineChars="662"/>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76073EE9">
      <w:pPr>
        <w:rPr>
          <w:rFonts w:hint="eastAsia"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br w:type="page"/>
      </w:r>
    </w:p>
    <w:p w14:paraId="21CCF38F">
      <w:pPr>
        <w:rPr>
          <w:rFonts w:hint="eastAsia" w:ascii="宋体" w:hAnsi="宋体" w:cs="宋体"/>
          <w:b/>
          <w:snapToGrid w:val="0"/>
          <w:color w:val="auto"/>
          <w:spacing w:val="4"/>
          <w:kern w:val="0"/>
          <w:sz w:val="24"/>
          <w:szCs w:val="24"/>
          <w:highlight w:val="none"/>
        </w:rPr>
      </w:pPr>
      <w:r>
        <w:rPr>
          <w:rFonts w:hint="eastAsia" w:ascii="宋体" w:hAnsi="宋体" w:cs="宋体"/>
          <w:b/>
          <w:snapToGrid w:val="0"/>
          <w:color w:val="auto"/>
          <w:spacing w:val="4"/>
          <w:kern w:val="0"/>
          <w:sz w:val="24"/>
          <w:szCs w:val="24"/>
          <w:highlight w:val="none"/>
          <w:lang w:val="en-US" w:eastAsia="zh-CN"/>
        </w:rPr>
        <w:t>定标文件</w:t>
      </w:r>
      <w:r>
        <w:rPr>
          <w:rFonts w:hint="eastAsia" w:ascii="宋体" w:hAnsi="宋体" w:cs="宋体"/>
          <w:b/>
          <w:snapToGrid w:val="0"/>
          <w:color w:val="auto"/>
          <w:spacing w:val="4"/>
          <w:kern w:val="0"/>
          <w:sz w:val="24"/>
          <w:szCs w:val="24"/>
          <w:highlight w:val="none"/>
        </w:rPr>
        <w:t>格式</w:t>
      </w:r>
      <w:r>
        <w:rPr>
          <w:rFonts w:hint="eastAsia" w:ascii="宋体" w:hAnsi="宋体" w:cs="宋体"/>
          <w:b/>
          <w:snapToGrid w:val="0"/>
          <w:color w:val="auto"/>
          <w:spacing w:val="4"/>
          <w:kern w:val="0"/>
          <w:sz w:val="24"/>
          <w:szCs w:val="24"/>
          <w:highlight w:val="none"/>
          <w:lang w:val="en-US" w:eastAsia="zh-CN"/>
        </w:rPr>
        <w:t>二</w:t>
      </w:r>
      <w:r>
        <w:rPr>
          <w:rFonts w:hint="eastAsia" w:ascii="宋体" w:hAnsi="宋体" w:cs="宋体"/>
          <w:b/>
          <w:snapToGrid w:val="0"/>
          <w:color w:val="auto"/>
          <w:spacing w:val="4"/>
          <w:kern w:val="0"/>
          <w:sz w:val="24"/>
          <w:szCs w:val="24"/>
          <w:highlight w:val="none"/>
        </w:rPr>
        <w:t>：定标文件内容（格式自拟）</w:t>
      </w:r>
    </w:p>
    <w:p w14:paraId="1DB67BE8">
      <w:pPr>
        <w:tabs>
          <w:tab w:val="left" w:pos="720"/>
        </w:tabs>
        <w:snapToGrid w:val="0"/>
        <w:spacing w:line="360" w:lineRule="auto"/>
        <w:ind w:firstLine="1890" w:firstLineChars="900"/>
        <w:rPr>
          <w:rFonts w:hint="eastAsia" w:ascii="宋体" w:hAnsi="宋体" w:eastAsia="宋体" w:cs="宋体"/>
          <w:color w:val="auto"/>
          <w:highlight w:val="none"/>
        </w:rPr>
      </w:pPr>
    </w:p>
    <w:p w14:paraId="703829CA">
      <w:pPr>
        <w:tabs>
          <w:tab w:val="left" w:pos="720"/>
        </w:tabs>
        <w:snapToGrid w:val="0"/>
        <w:spacing w:line="360" w:lineRule="auto"/>
        <w:ind w:firstLine="1890" w:firstLineChars="900"/>
        <w:rPr>
          <w:rFonts w:hint="eastAsia" w:ascii="宋体" w:hAnsi="宋体" w:eastAsia="宋体" w:cs="宋体"/>
          <w:color w:val="auto"/>
          <w:highlight w:val="none"/>
        </w:rPr>
      </w:pPr>
    </w:p>
    <w:p w14:paraId="259AEF00">
      <w:pPr>
        <w:tabs>
          <w:tab w:val="left" w:pos="720"/>
        </w:tabs>
        <w:snapToGrid w:val="0"/>
        <w:spacing w:line="360" w:lineRule="auto"/>
        <w:ind w:firstLine="1890" w:firstLineChars="900"/>
        <w:rPr>
          <w:rFonts w:hint="eastAsia" w:ascii="宋体" w:hAnsi="宋体" w:eastAsia="宋体" w:cs="宋体"/>
          <w:color w:val="auto"/>
          <w:highlight w:val="none"/>
        </w:rPr>
      </w:pPr>
    </w:p>
    <w:p w14:paraId="309CE538">
      <w:pPr>
        <w:tabs>
          <w:tab w:val="left" w:pos="720"/>
        </w:tabs>
        <w:snapToGrid w:val="0"/>
        <w:spacing w:line="360" w:lineRule="auto"/>
        <w:ind w:firstLine="1890" w:firstLineChars="900"/>
        <w:rPr>
          <w:rFonts w:hint="eastAsia" w:ascii="宋体" w:hAnsi="宋体" w:eastAsia="宋体" w:cs="宋体"/>
          <w:color w:val="auto"/>
          <w:highlight w:val="none"/>
        </w:rPr>
      </w:pPr>
    </w:p>
    <w:p w14:paraId="414BD610">
      <w:pPr>
        <w:tabs>
          <w:tab w:val="left" w:pos="720"/>
        </w:tabs>
        <w:snapToGrid w:val="0"/>
        <w:spacing w:line="360" w:lineRule="auto"/>
        <w:ind w:firstLine="1890" w:firstLineChars="900"/>
        <w:rPr>
          <w:rFonts w:hint="eastAsia" w:ascii="宋体" w:hAnsi="宋体" w:eastAsia="宋体" w:cs="宋体"/>
          <w:color w:val="auto"/>
          <w:highlight w:val="none"/>
        </w:rPr>
      </w:pPr>
    </w:p>
    <w:p w14:paraId="11BD20DE">
      <w:pPr>
        <w:tabs>
          <w:tab w:val="left" w:pos="720"/>
        </w:tabs>
        <w:snapToGrid w:val="0"/>
        <w:spacing w:line="360" w:lineRule="auto"/>
        <w:ind w:firstLine="1890" w:firstLineChars="900"/>
        <w:rPr>
          <w:rFonts w:hint="eastAsia" w:ascii="宋体" w:hAnsi="宋体" w:eastAsia="宋体" w:cs="宋体"/>
          <w:color w:val="auto"/>
          <w:highlight w:val="none"/>
        </w:rPr>
      </w:pPr>
    </w:p>
    <w:p w14:paraId="0CA49D71">
      <w:pPr>
        <w:tabs>
          <w:tab w:val="left" w:pos="720"/>
        </w:tabs>
        <w:snapToGrid w:val="0"/>
        <w:spacing w:line="360" w:lineRule="auto"/>
        <w:ind w:firstLine="1890" w:firstLineChars="900"/>
        <w:rPr>
          <w:rFonts w:hint="eastAsia" w:ascii="宋体" w:hAnsi="宋体" w:eastAsia="宋体" w:cs="宋体"/>
          <w:color w:val="auto"/>
          <w:highlight w:val="none"/>
        </w:rPr>
      </w:pPr>
    </w:p>
    <w:p w14:paraId="10A99DE0">
      <w:pPr>
        <w:tabs>
          <w:tab w:val="left" w:pos="720"/>
        </w:tabs>
        <w:snapToGrid w:val="0"/>
        <w:spacing w:line="360" w:lineRule="auto"/>
        <w:ind w:firstLine="1890" w:firstLineChars="900"/>
        <w:rPr>
          <w:rFonts w:hint="eastAsia" w:ascii="宋体" w:hAnsi="宋体" w:eastAsia="宋体" w:cs="宋体"/>
          <w:color w:val="auto"/>
          <w:highlight w:val="none"/>
        </w:rPr>
      </w:pPr>
    </w:p>
    <w:p w14:paraId="52A9858B">
      <w:pPr>
        <w:tabs>
          <w:tab w:val="left" w:pos="720"/>
        </w:tabs>
        <w:snapToGrid w:val="0"/>
        <w:spacing w:line="360" w:lineRule="auto"/>
        <w:ind w:firstLine="1890" w:firstLineChars="900"/>
        <w:rPr>
          <w:rFonts w:hint="eastAsia" w:ascii="宋体" w:hAnsi="宋体" w:eastAsia="宋体" w:cs="宋体"/>
          <w:color w:val="auto"/>
          <w:highlight w:val="none"/>
        </w:rPr>
      </w:pPr>
    </w:p>
    <w:p w14:paraId="3B3216AC">
      <w:pPr>
        <w:tabs>
          <w:tab w:val="left" w:pos="720"/>
        </w:tabs>
        <w:snapToGrid w:val="0"/>
        <w:spacing w:line="360" w:lineRule="auto"/>
        <w:ind w:firstLine="1890" w:firstLineChars="900"/>
        <w:rPr>
          <w:rFonts w:hint="eastAsia" w:ascii="宋体" w:hAnsi="宋体" w:eastAsia="宋体" w:cs="宋体"/>
          <w:color w:val="auto"/>
          <w:highlight w:val="none"/>
        </w:rPr>
      </w:pPr>
    </w:p>
    <w:p w14:paraId="1126961E">
      <w:pPr>
        <w:tabs>
          <w:tab w:val="left" w:pos="720"/>
        </w:tabs>
        <w:snapToGrid w:val="0"/>
        <w:spacing w:line="360" w:lineRule="auto"/>
        <w:ind w:firstLine="1890" w:firstLineChars="900"/>
        <w:rPr>
          <w:rFonts w:hint="eastAsia" w:ascii="宋体" w:hAnsi="宋体" w:eastAsia="宋体" w:cs="宋体"/>
          <w:color w:val="auto"/>
          <w:highlight w:val="none"/>
        </w:rPr>
      </w:pPr>
    </w:p>
    <w:p w14:paraId="20BEF006">
      <w:pPr>
        <w:tabs>
          <w:tab w:val="left" w:pos="720"/>
        </w:tabs>
        <w:snapToGrid w:val="0"/>
        <w:spacing w:line="360" w:lineRule="auto"/>
        <w:ind w:firstLine="1890" w:firstLineChars="900"/>
        <w:rPr>
          <w:rFonts w:hint="eastAsia" w:ascii="宋体" w:hAnsi="宋体" w:eastAsia="宋体" w:cs="宋体"/>
          <w:color w:val="auto"/>
          <w:highlight w:val="none"/>
        </w:rPr>
      </w:pPr>
    </w:p>
    <w:p w14:paraId="47701CA3">
      <w:pPr>
        <w:tabs>
          <w:tab w:val="left" w:pos="720"/>
        </w:tabs>
        <w:snapToGrid w:val="0"/>
        <w:spacing w:line="360" w:lineRule="auto"/>
        <w:ind w:firstLine="1890" w:firstLineChars="900"/>
        <w:rPr>
          <w:rFonts w:hint="eastAsia" w:ascii="宋体" w:hAnsi="宋体" w:eastAsia="宋体" w:cs="宋体"/>
          <w:color w:val="auto"/>
          <w:highlight w:val="none"/>
        </w:rPr>
      </w:pPr>
    </w:p>
    <w:p w14:paraId="2A26616E">
      <w:pPr>
        <w:tabs>
          <w:tab w:val="left" w:pos="720"/>
        </w:tabs>
        <w:snapToGrid w:val="0"/>
        <w:spacing w:line="360" w:lineRule="auto"/>
        <w:ind w:firstLine="1890" w:firstLineChars="900"/>
        <w:rPr>
          <w:rFonts w:hint="eastAsia" w:ascii="宋体" w:hAnsi="宋体" w:eastAsia="宋体" w:cs="宋体"/>
          <w:color w:val="auto"/>
          <w:highlight w:val="none"/>
        </w:rPr>
      </w:pPr>
    </w:p>
    <w:p w14:paraId="4AD0EBE1">
      <w:pPr>
        <w:tabs>
          <w:tab w:val="left" w:pos="720"/>
        </w:tabs>
        <w:snapToGrid w:val="0"/>
        <w:spacing w:line="360" w:lineRule="auto"/>
        <w:ind w:firstLine="1890" w:firstLineChars="900"/>
        <w:rPr>
          <w:rFonts w:hint="eastAsia" w:ascii="宋体" w:hAnsi="宋体" w:eastAsia="宋体" w:cs="宋体"/>
          <w:color w:val="auto"/>
          <w:highlight w:val="none"/>
        </w:rPr>
      </w:pPr>
    </w:p>
    <w:p w14:paraId="3D073F58">
      <w:pPr>
        <w:tabs>
          <w:tab w:val="left" w:pos="720"/>
        </w:tabs>
        <w:snapToGrid w:val="0"/>
        <w:spacing w:line="360" w:lineRule="auto"/>
        <w:ind w:firstLine="1890" w:firstLineChars="900"/>
        <w:rPr>
          <w:rFonts w:hint="eastAsia" w:ascii="宋体" w:hAnsi="宋体" w:eastAsia="宋体" w:cs="宋体"/>
          <w:color w:val="auto"/>
          <w:highlight w:val="none"/>
        </w:rPr>
      </w:pPr>
    </w:p>
    <w:p w14:paraId="090872BE">
      <w:pPr>
        <w:tabs>
          <w:tab w:val="left" w:pos="720"/>
        </w:tabs>
        <w:snapToGrid w:val="0"/>
        <w:spacing w:line="360" w:lineRule="auto"/>
        <w:ind w:firstLine="1890" w:firstLineChars="900"/>
        <w:rPr>
          <w:rFonts w:hint="eastAsia" w:ascii="宋体" w:hAnsi="宋体" w:eastAsia="宋体" w:cs="宋体"/>
          <w:color w:val="auto"/>
          <w:highlight w:val="none"/>
        </w:rPr>
      </w:pPr>
    </w:p>
    <w:p w14:paraId="5F1BA156">
      <w:pPr>
        <w:tabs>
          <w:tab w:val="left" w:pos="720"/>
        </w:tabs>
        <w:snapToGrid w:val="0"/>
        <w:spacing w:line="360" w:lineRule="auto"/>
        <w:ind w:firstLine="1890" w:firstLineChars="900"/>
        <w:rPr>
          <w:rFonts w:hint="eastAsia" w:ascii="宋体" w:hAnsi="宋体" w:eastAsia="宋体" w:cs="宋体"/>
          <w:color w:val="auto"/>
          <w:highlight w:val="none"/>
        </w:rPr>
      </w:pPr>
    </w:p>
    <w:p w14:paraId="22BB0CD7">
      <w:pPr>
        <w:tabs>
          <w:tab w:val="left" w:pos="720"/>
        </w:tabs>
        <w:snapToGrid w:val="0"/>
        <w:spacing w:line="360" w:lineRule="auto"/>
        <w:ind w:firstLine="1890" w:firstLineChars="900"/>
        <w:rPr>
          <w:rFonts w:hint="eastAsia" w:ascii="宋体" w:hAnsi="宋体" w:eastAsia="宋体" w:cs="宋体"/>
          <w:color w:val="auto"/>
          <w:highlight w:val="none"/>
        </w:rPr>
      </w:pPr>
    </w:p>
    <w:p w14:paraId="514ABD28">
      <w:pPr>
        <w:tabs>
          <w:tab w:val="left" w:pos="720"/>
        </w:tabs>
        <w:snapToGrid w:val="0"/>
        <w:spacing w:line="360" w:lineRule="auto"/>
        <w:ind w:firstLine="1890" w:firstLineChars="900"/>
        <w:rPr>
          <w:rFonts w:hint="eastAsia" w:ascii="宋体" w:hAnsi="宋体" w:eastAsia="宋体" w:cs="宋体"/>
          <w:color w:val="auto"/>
          <w:highlight w:val="none"/>
        </w:rPr>
      </w:pPr>
    </w:p>
    <w:p w14:paraId="1BC2F2B1">
      <w:pPr>
        <w:tabs>
          <w:tab w:val="left" w:pos="720"/>
        </w:tabs>
        <w:snapToGrid w:val="0"/>
        <w:spacing w:line="360" w:lineRule="auto"/>
        <w:ind w:firstLine="1890" w:firstLineChars="900"/>
        <w:rPr>
          <w:rFonts w:hint="eastAsia" w:ascii="宋体" w:hAnsi="宋体" w:eastAsia="宋体" w:cs="宋体"/>
          <w:color w:val="auto"/>
          <w:highlight w:val="none"/>
        </w:rPr>
      </w:pPr>
    </w:p>
    <w:p w14:paraId="4881BAB3">
      <w:pPr>
        <w:tabs>
          <w:tab w:val="left" w:pos="720"/>
        </w:tabs>
        <w:snapToGrid w:val="0"/>
        <w:spacing w:line="360" w:lineRule="auto"/>
        <w:ind w:firstLine="1890" w:firstLineChars="900"/>
        <w:rPr>
          <w:rFonts w:hint="eastAsia" w:ascii="宋体" w:hAnsi="宋体" w:eastAsia="宋体" w:cs="宋体"/>
          <w:color w:val="auto"/>
          <w:highlight w:val="none"/>
        </w:rPr>
      </w:pPr>
    </w:p>
    <w:p w14:paraId="51B19AFD">
      <w:pPr>
        <w:tabs>
          <w:tab w:val="left" w:pos="720"/>
        </w:tabs>
        <w:snapToGrid w:val="0"/>
        <w:spacing w:line="360" w:lineRule="auto"/>
        <w:ind w:firstLine="1890" w:firstLineChars="900"/>
        <w:rPr>
          <w:rFonts w:hint="eastAsia" w:ascii="宋体" w:hAnsi="宋体" w:eastAsia="宋体" w:cs="宋体"/>
          <w:color w:val="auto"/>
          <w:highlight w:val="none"/>
        </w:rPr>
      </w:pPr>
    </w:p>
    <w:p w14:paraId="152C7F32">
      <w:pPr>
        <w:tabs>
          <w:tab w:val="left" w:pos="720"/>
        </w:tabs>
        <w:snapToGrid w:val="0"/>
        <w:spacing w:line="360" w:lineRule="auto"/>
        <w:ind w:firstLine="1890" w:firstLineChars="900"/>
        <w:rPr>
          <w:rFonts w:hint="eastAsia" w:ascii="宋体" w:hAnsi="宋体" w:eastAsia="宋体" w:cs="宋体"/>
          <w:color w:val="auto"/>
          <w:highlight w:val="none"/>
        </w:rPr>
      </w:pPr>
    </w:p>
    <w:p w14:paraId="0819FF94">
      <w:pPr>
        <w:tabs>
          <w:tab w:val="left" w:pos="720"/>
        </w:tabs>
        <w:snapToGrid w:val="0"/>
        <w:spacing w:line="360" w:lineRule="auto"/>
        <w:ind w:firstLine="1890" w:firstLineChars="900"/>
        <w:rPr>
          <w:rFonts w:hint="eastAsia" w:ascii="宋体" w:hAnsi="宋体" w:eastAsia="宋体" w:cs="宋体"/>
          <w:color w:val="auto"/>
          <w:highlight w:val="none"/>
        </w:rPr>
      </w:pPr>
    </w:p>
    <w:p w14:paraId="295F74EF">
      <w:pPr>
        <w:tabs>
          <w:tab w:val="left" w:pos="720"/>
        </w:tabs>
        <w:snapToGrid w:val="0"/>
        <w:spacing w:line="360" w:lineRule="auto"/>
        <w:ind w:firstLine="1890" w:firstLineChars="900"/>
        <w:rPr>
          <w:rFonts w:hint="eastAsia" w:ascii="宋体" w:hAnsi="宋体" w:eastAsia="宋体" w:cs="宋体"/>
          <w:color w:val="auto"/>
          <w:highlight w:val="none"/>
        </w:rPr>
      </w:pPr>
    </w:p>
    <w:p w14:paraId="185F2E0C">
      <w:pPr>
        <w:tabs>
          <w:tab w:val="left" w:pos="720"/>
        </w:tabs>
        <w:snapToGrid w:val="0"/>
        <w:spacing w:line="360" w:lineRule="auto"/>
        <w:ind w:firstLine="1890" w:firstLineChars="900"/>
        <w:rPr>
          <w:rFonts w:hint="eastAsia" w:ascii="宋体" w:hAnsi="宋体" w:eastAsia="宋体" w:cs="宋体"/>
          <w:color w:val="auto"/>
          <w:highlight w:val="none"/>
        </w:rPr>
      </w:pPr>
    </w:p>
    <w:p w14:paraId="7289393A">
      <w:pPr>
        <w:tabs>
          <w:tab w:val="left" w:pos="720"/>
        </w:tabs>
        <w:snapToGrid w:val="0"/>
        <w:spacing w:line="360" w:lineRule="auto"/>
        <w:ind w:firstLine="1890" w:firstLineChars="900"/>
        <w:rPr>
          <w:rFonts w:hint="eastAsia" w:ascii="宋体" w:hAnsi="宋体" w:eastAsia="宋体" w:cs="宋体"/>
          <w:color w:val="auto"/>
          <w:highlight w:val="none"/>
        </w:rPr>
      </w:pPr>
    </w:p>
    <w:p w14:paraId="2C166465">
      <w:pPr>
        <w:tabs>
          <w:tab w:val="left" w:pos="720"/>
        </w:tabs>
        <w:snapToGrid w:val="0"/>
        <w:spacing w:line="360" w:lineRule="auto"/>
        <w:ind w:firstLine="1890" w:firstLineChars="900"/>
        <w:rPr>
          <w:rFonts w:hint="eastAsia" w:ascii="宋体" w:hAnsi="宋体" w:eastAsia="宋体" w:cs="宋体"/>
          <w:color w:val="auto"/>
          <w:highlight w:val="none"/>
        </w:rPr>
      </w:pPr>
    </w:p>
    <w:p w14:paraId="76761C6B">
      <w:pPr>
        <w:tabs>
          <w:tab w:val="left" w:pos="720"/>
        </w:tabs>
        <w:snapToGrid w:val="0"/>
        <w:spacing w:line="360" w:lineRule="auto"/>
        <w:ind w:firstLine="1890" w:firstLineChars="900"/>
        <w:rPr>
          <w:rFonts w:hint="eastAsia" w:ascii="宋体" w:hAnsi="宋体" w:eastAsia="宋体" w:cs="宋体"/>
          <w:color w:val="auto"/>
          <w:highlight w:val="none"/>
        </w:rPr>
      </w:pPr>
    </w:p>
    <w:p w14:paraId="732A5498">
      <w:pPr>
        <w:tabs>
          <w:tab w:val="left" w:pos="720"/>
        </w:tabs>
        <w:snapToGrid w:val="0"/>
        <w:spacing w:line="360" w:lineRule="auto"/>
        <w:ind w:firstLine="1890" w:firstLineChars="900"/>
        <w:rPr>
          <w:rFonts w:hint="eastAsia" w:ascii="宋体" w:hAnsi="宋体" w:eastAsia="宋体" w:cs="宋体"/>
          <w:color w:val="auto"/>
          <w:highlight w:val="none"/>
        </w:rPr>
      </w:pPr>
    </w:p>
    <w:p w14:paraId="124B7DA1">
      <w:pPr>
        <w:tabs>
          <w:tab w:val="left" w:pos="720"/>
        </w:tabs>
        <w:snapToGrid w:val="0"/>
        <w:spacing w:line="360" w:lineRule="auto"/>
        <w:ind w:firstLine="1890" w:firstLineChars="900"/>
        <w:rPr>
          <w:rFonts w:hint="eastAsia" w:ascii="宋体" w:hAnsi="宋体" w:eastAsia="宋体" w:cs="宋体"/>
          <w:color w:val="auto"/>
          <w:highlight w:val="none"/>
        </w:rPr>
      </w:pPr>
    </w:p>
    <w:p w14:paraId="6CECBE2F">
      <w:pPr>
        <w:tabs>
          <w:tab w:val="left" w:pos="720"/>
        </w:tabs>
        <w:snapToGrid w:val="0"/>
        <w:spacing w:line="360" w:lineRule="auto"/>
        <w:ind w:firstLine="1890" w:firstLineChars="900"/>
        <w:rPr>
          <w:rFonts w:hint="eastAsia" w:ascii="宋体" w:hAnsi="宋体" w:eastAsia="宋体" w:cs="宋体"/>
          <w:color w:val="auto"/>
          <w:highlight w:val="none"/>
        </w:rPr>
      </w:pPr>
    </w:p>
    <w:p w14:paraId="31F9138E">
      <w:pPr>
        <w:tabs>
          <w:tab w:val="left" w:pos="720"/>
        </w:tabs>
        <w:snapToGrid w:val="0"/>
        <w:spacing w:line="360" w:lineRule="auto"/>
        <w:ind w:firstLine="2530" w:firstLineChars="900"/>
        <w:rPr>
          <w:rStyle w:val="60"/>
          <w:rFonts w:hint="eastAsia" w:ascii="宋体" w:hAnsi="宋体" w:eastAsia="宋体" w:cs="宋体"/>
          <w:color w:val="auto"/>
          <w:highlight w:val="none"/>
        </w:rPr>
      </w:pPr>
      <w:r>
        <w:rPr>
          <w:rStyle w:val="60"/>
          <w:rFonts w:hint="eastAsia" w:ascii="宋体" w:hAnsi="宋体" w:eastAsia="宋体" w:cs="宋体"/>
          <w:color w:val="auto"/>
          <w:highlight w:val="none"/>
        </w:rPr>
        <w:t>第五章  技术条件（工程建设标准）</w:t>
      </w:r>
      <w:bookmarkEnd w:id="74"/>
      <w:bookmarkEnd w:id="75"/>
    </w:p>
    <w:bookmarkEnd w:id="76"/>
    <w:bookmarkEnd w:id="77"/>
    <w:p w14:paraId="72030D57">
      <w:pPr>
        <w:spacing w:line="360" w:lineRule="auto"/>
        <w:ind w:right="2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一、项目地点</w:t>
      </w:r>
    </w:p>
    <w:p w14:paraId="2B04F75C">
      <w:pPr>
        <w:spacing w:line="360" w:lineRule="auto"/>
        <w:ind w:right="280" w:firstLine="495" w:firstLineChars="236"/>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本项目</w:t>
      </w:r>
      <w:r>
        <w:rPr>
          <w:rFonts w:hint="eastAsia" w:ascii="宋体" w:hAnsi="宋体" w:eastAsia="宋体" w:cs="宋体"/>
          <w:color w:val="auto"/>
          <w:sz w:val="21"/>
          <w:szCs w:val="21"/>
          <w:highlight w:val="none"/>
          <w:u w:val="none"/>
          <w:lang w:val="en-US" w:eastAsia="zh-CN"/>
        </w:rPr>
        <w:t>在</w:t>
      </w:r>
      <w:r>
        <w:rPr>
          <w:rFonts w:hint="eastAsia" w:ascii="宋体" w:hAnsi="宋体" w:eastAsia="宋体" w:cs="宋体"/>
          <w:color w:val="auto"/>
          <w:sz w:val="21"/>
          <w:szCs w:val="21"/>
          <w:highlight w:val="none"/>
          <w:u w:val="none"/>
        </w:rPr>
        <w:t>三元里街道、同德街道、新市街道、同和街道、京溪街道、永平街道、金沙街道、石门街道、龙归街道、人和镇、太和镇、钟落潭镇、江高镇等13个镇街</w:t>
      </w:r>
      <w:r>
        <w:rPr>
          <w:rFonts w:hint="eastAsia" w:ascii="宋体" w:hAnsi="宋体" w:eastAsia="宋体" w:cs="宋体"/>
          <w:color w:val="auto"/>
          <w:sz w:val="21"/>
          <w:szCs w:val="21"/>
          <w:highlight w:val="none"/>
          <w:u w:val="none"/>
          <w:lang w:eastAsia="zh-CN"/>
        </w:rPr>
        <w:t>。</w:t>
      </w:r>
    </w:p>
    <w:p w14:paraId="035B7FBE">
      <w:pPr>
        <w:spacing w:line="360" w:lineRule="auto"/>
        <w:ind w:right="2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、项目概况</w:t>
      </w:r>
    </w:p>
    <w:p w14:paraId="56DDFD9D">
      <w:pPr>
        <w:pStyle w:val="19"/>
        <w:spacing w:line="360" w:lineRule="auto"/>
        <w:ind w:firstLine="493" w:firstLineChars="235"/>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本项目对三元里街道、同德街道、新市街道、同和街道、京溪街道、永平街道、金沙街道、石门街道、龙归街道、人和镇、太和镇、钟落潭镇、江高镇等13个镇街“有路无灯”及照明不足路段照明设施进行完善，涉及主次干道，支路、绿道约52.6千米，共新建路灯控制箱约77台、线路保护箱约9台、立杆路灯约1918盏、短支架路灯约100盏以及护栏灯约700盏，并建设配套电缆电线约97.4千米和保护管约98.1千米。建设内容包括控制箱工程、灯具工程、电缆电线工程、管道工程、土方工程、道路修复工程等。</w:t>
      </w:r>
    </w:p>
    <w:p w14:paraId="2E189AB0">
      <w:pPr>
        <w:numPr>
          <w:ilvl w:val="0"/>
          <w:numId w:val="0"/>
        </w:numPr>
        <w:spacing w:line="360" w:lineRule="auto"/>
        <w:ind w:right="280" w:rightChars="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三、施工部分：</w:t>
      </w:r>
    </w:p>
    <w:p w14:paraId="299B847E">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（一）本项目实施重点、难点分析</w:t>
      </w:r>
    </w:p>
    <w:p w14:paraId="2A74947F">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本项目对三元里街道、同德街道、新市街道、同和街道、京溪街道、永平街道、金沙街道、石门街道、龙归街道、人和镇、太和镇、钟落潭镇、江高镇等13个镇街“有路无灯”及照明不足路段照明设施进行完善，涉及主次干道，支路、绿道约52.6千米，共新建路灯控制箱约77台、线路保护箱约9台、立杆路灯约1918盏、短支架路灯约100盏以及护栏灯约700盏，并建设配套电缆电线约97.4千米和保护管约98.1千米。</w:t>
      </w:r>
    </w:p>
    <w:p w14:paraId="71E39F6B">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本项目现状道路类型主要为城市主干道、城市支路、绿道、高速出入口、人车混行巷道及人行巷道，部分道路照明亮度严重不足，应设有照明设施，以保障交通安全、畅通，提高运输效率，美化各城区环境；在道路交叉口，适当提高照度标准以提高通行能力；倡导绿色照明选择高效光源及灯具，灯具、灯杆造型美观耐用，并合理选择灯具及布置方式力求做到与周围环境相协调。</w:t>
      </w:r>
    </w:p>
    <w:p w14:paraId="5D2A5AEC">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本项目道路管线主要有电力、通信、给水、雨水及污水管线，管线埋设复杂、检查井盖破损老旧、步道上方较多架空线缆，本次改造需迁改部分管线埋设位置、预留充足管道空间、做好井盖提升、规整架空缆线并统一进行落地。</w:t>
      </w:r>
    </w:p>
    <w:p w14:paraId="7E11B590">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本原地保留树木，在施工期间应定期检查树木生长情况，及时采取补救措施；项目竣工验收后应再次评估树木的健康状况（树干、根系、土壤质量），针对长势濒危的树木提出抢救复壮措施，抢救复壮措施包括根系复壮、土壤改良、立地环境改造、树洞修补、病虫害防治等；项目建设期间由施工单位根据现状树木实际情况实施日常养护浇灌、施肥、病虫害防治、枯枝修剪等措施；人行道施工时要求施工单位开挖时注意现状树木的根系分布，做到“一探、二试、三挖”，保证不挖坏现状树木的根系及破坏根茎处标高，同时遇有问题应及时向工程监理单位、设计单位及工程主管单位反映，以使绿化施工符合现场实际。</w:t>
      </w:r>
    </w:p>
    <w:p w14:paraId="3D038036">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5.本项目部分道路狭窄，要求施工方及时办理施工占道许可并提供可行的临时交通疏解方案，尽量避免影响道路通行。</w:t>
      </w:r>
    </w:p>
    <w:p w14:paraId="75F70606">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6.本项目承包人在本项目中的混凝土搅拌车和建筑废弃物运输车中氢燃料电池汽车的投入比例应≥30%（即：投入的氢燃料电池汽车/投入的总车辆数≥30%）。</w:t>
      </w:r>
    </w:p>
    <w:p w14:paraId="6D4326EA">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（二）技术标准</w:t>
      </w:r>
    </w:p>
    <w:p w14:paraId="5400B2D5">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(1)《供配电系统设计规范》GB 50052-2009</w:t>
      </w:r>
    </w:p>
    <w:p w14:paraId="48DB1031">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(2)《低压配电设计规范》GB 50054-2011</w:t>
      </w:r>
    </w:p>
    <w:p w14:paraId="68067ECA">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(3)《电力工程电缆设计规范》GB 50217-2018</w:t>
      </w:r>
    </w:p>
    <w:p w14:paraId="2E45B4CA">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(4)《城市工程管线综合规划规范》CB 50289-2016</w:t>
      </w:r>
    </w:p>
    <w:p w14:paraId="4A3F0099">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(5)《村镇照明规范》GB/T 40995-2021</w:t>
      </w:r>
    </w:p>
    <w:p w14:paraId="74A6778A">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(6)《道路照明工程技术规范(广东省地方标准)》DBJ/T15-242-2022</w:t>
      </w:r>
    </w:p>
    <w:p w14:paraId="7BDC5AEC">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(7)《城市道路照明设计标准》CJJ 45-2015</w:t>
      </w:r>
    </w:p>
    <w:p w14:paraId="327B39DD">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(8)《建筑节能与可再生能源利用通用规范》GB 55015-2021(9)《建筑电气与智能化通用规范》GB 55024-2022</w:t>
      </w:r>
    </w:p>
    <w:p w14:paraId="089DAD4B">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(10)《建筑环境通用规范》GB 55016-2021</w:t>
      </w:r>
    </w:p>
    <w:p w14:paraId="26A3A135">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(11)《建筑与市政工程无障碍通用规范》GB 55019-2021(12)《通用用电设备配电设计规范》GB 50055-2011</w:t>
      </w:r>
    </w:p>
    <w:p w14:paraId="46FAF8F6">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(13)《20kV及以下变电所设计规范》GB 50053-2013</w:t>
      </w:r>
    </w:p>
    <w:p w14:paraId="20426567">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(14)《建筑物防雷设计规范》GB 50057-2010</w:t>
      </w:r>
    </w:p>
    <w:p w14:paraId="16F3BA02">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(15)《道路和隧道照明用LED灯具能效限定值及能效等级》GB 37478-2019(16)《电力变压器能效限定值及能效等级》GB 20052-2020</w:t>
      </w:r>
    </w:p>
    <w:p w14:paraId="552EBFD7">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(17)《LED城市道路照明应用技术要求》GB 31832-2015</w:t>
      </w:r>
    </w:p>
    <w:p w14:paraId="1DFD9E22">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(18)《剩余电流动作保护装置安装和运行》GB/T13955-2017</w:t>
      </w:r>
    </w:p>
    <w:p w14:paraId="3CBECC0B">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(19)《城市照明自动控制系统技术规范》CJJ/T 227-2014</w:t>
      </w:r>
    </w:p>
    <w:p w14:paraId="530640F9">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(20)《建筑电气工程施工质量验收规范》GB 50303-2015</w:t>
      </w:r>
    </w:p>
    <w:p w14:paraId="71817166">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(21)《交流电气装置的接地设计规范》GB/T 50065-2011</w:t>
      </w:r>
    </w:p>
    <w:p w14:paraId="331C5A71">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(22)广州市城市照明专项规划(2021-2035年)</w:t>
      </w:r>
    </w:p>
    <w:p w14:paraId="6FF44BA6">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（三）本工程按照国家有关规定、规范进行施工、验收，具体以施工图纸及相关技术和验收标准、遵照招标人相关规定要求为准。</w:t>
      </w:r>
    </w:p>
    <w:p w14:paraId="36440DEC">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 本工程采用的工程建设标准、规范必须遵守现行中华人民共和国以及广东省、广州市或行业最新的工程建设标准及规范，且必须满足设计文件的相关要求。执行的规范及标准，在本项目实施过程中，如有新的规范及标准颁布，应按新的规范及标准执行。</w:t>
      </w:r>
    </w:p>
    <w:p w14:paraId="544AA6E7">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 本工程实施中采用的材料、设备与工艺，都必须符合上述标准、规范及设计文件的相应要求。</w:t>
      </w:r>
    </w:p>
    <w:p w14:paraId="1D0529D0">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 在招标文件发出之日起至全部合同执行期间，如果所引用的标准和规范有局部的修订或新颁，监理工程师应报发包方批核决定是否采用。如果批准，应由监理工程师发出指令，承包人应执行新的标准或规范，但不得以此为理由要求增加合同费用。</w:t>
      </w:r>
    </w:p>
    <w:p w14:paraId="7D5485AF">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 本招标工程所说明的工程规范是以中华人民共和国公布的所有现行规范及地方政府有关的现行规定，承包人须按此等规范执行。</w:t>
      </w:r>
    </w:p>
    <w:p w14:paraId="43FBCAB5">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5. 本招标工程所说明的工程规范亦包括设计说明、施工说明及做法说明和要求等。承包人亦须按此等说明及要求执行，若此等说明及要求与国家规范及地方政府有关的现行规定之间有差异，承包单位须按较高之标准执行。</w:t>
      </w:r>
    </w:p>
    <w:p w14:paraId="5F222FE9">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（四）施工组织设计要点</w:t>
      </w:r>
    </w:p>
    <w:p w14:paraId="19CF0B1D">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 认真分析研究建设方的招标书及其资料，详细做好各方面的调查研究工作，包括对本工程多方面实际情况的清楚了解，确保获得真实详尽的第一手资料。</w:t>
      </w:r>
    </w:p>
    <w:p w14:paraId="6B620DE4">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xml:space="preserve">2. 重视施工部署和施工方法的选择。 </w:t>
      </w:r>
    </w:p>
    <w:p w14:paraId="050FBD7E">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2.1组织精干的项目管理班子，确定适应工程施工管理需要的现场管理体系。</w:t>
      </w:r>
    </w:p>
    <w:p w14:paraId="243788F0">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2.2科学准确、合理地安排施工顺序，包括施工流水组织，流水段的划分，工程的交叉、同步作业等。</w:t>
      </w:r>
    </w:p>
    <w:p w14:paraId="3B2C9766">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2.3提出主要劳动力分阶段投入计划（有人数、工种、技术等级）、施工机械的进出场计划，材料及设备进场计划。</w:t>
      </w:r>
    </w:p>
    <w:p w14:paraId="06D12BD0">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2.4施工方案要围绕进度计划来制订，对工程量大、占用施工工期长、施工技术复杂、在施工中占有重要地位的施工过程，需要制订具有针对性的施工方案，要充分体现新技术、新工艺、新设备、新材料的应用及优势。编写原则是：重点突出、兼顾全面、结合实际、先进合理、语言简练。</w:t>
      </w:r>
    </w:p>
    <w:p w14:paraId="3FBBFB0F">
      <w:pPr>
        <w:pStyle w:val="19"/>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371" w:firstLineChars="177"/>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xml:space="preserve">编制好进度计划 </w:t>
      </w:r>
    </w:p>
    <w:p w14:paraId="11434D8B">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3.1进度计划是施工组织设计的中心。编制者首先要根据工期定额和本单位自身的人力、物力、机械化程度，计算出在正常情况下能够取得理想效益的最佳工期，和投标书要求的工期进行比较、调整，但进度计划编制时的控制工期要比招标书要求的工期略有提前。必须从实际出发，根据控制工期、建设项目的规模、结构、资金提供情况，制定出一个优化的进度计划，不仅要明确重要节点的完成日期，有时候对复杂的施工过程，还要排出详细的进度计划。同时必须制订好相应的保证工期的措施，使进度计划能够得到确保。</w:t>
      </w:r>
    </w:p>
    <w:p w14:paraId="2A87585A">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3.2施工组织设计的进度计划要求用条形图，其进度表清楚、明了，或者采用网络图，更好地反映工序间的流水、交叉、配合作业，并更适合计算机管理。</w:t>
      </w:r>
    </w:p>
    <w:p w14:paraId="0076F914">
      <w:pPr>
        <w:pStyle w:val="19"/>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371" w:firstLineChars="177"/>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施工现场建筑垃圾源头减量的具体要求和建筑垃圾综合利用产品的使用要求</w:t>
      </w:r>
    </w:p>
    <w:p w14:paraId="5537E1AB">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14:paraId="4CDFEEC0">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4.2建筑垃圾应当按照国家有关规定进行分类，实行分类收集、分类贮存、分类运输、分类处置。</w:t>
      </w:r>
    </w:p>
    <w:p w14:paraId="153CB314">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4.3施工单位应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14:paraId="209A17E3">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14:paraId="6BA3EE98">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4.5工程泥浆应当在施工现场进行脱水固化处理。施工现场不具备条件的，应当采用罐装器具密闭运输至依法设置的建筑垃圾处置场所进行处置。水上工程中依法无需经脱水处理的除外。</w:t>
      </w:r>
    </w:p>
    <w:p w14:paraId="6FA23478">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14:paraId="4AC500F4">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bidi="ar-SA"/>
        </w:rPr>
      </w:pPr>
      <w:r>
        <w:rPr>
          <w:rFonts w:hint="eastAsia" w:ascii="宋体" w:hAnsi="宋体" w:eastAsia="宋体" w:cs="宋体"/>
          <w:color w:val="auto"/>
          <w:sz w:val="21"/>
          <w:szCs w:val="21"/>
          <w:highlight w:val="none"/>
          <w:u w:val="none"/>
          <w:lang w:val="en-US" w:eastAsia="zh-CN"/>
        </w:rPr>
        <w:t>4.7建设单位和施工单位严格遵守并执行《广东省建筑垃圾管理条例》。</w:t>
      </w:r>
    </w:p>
    <w:p w14:paraId="645E0F11">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371" w:firstLineChars="177"/>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xml:space="preserve">制订好保证工程质量的技术措施，质量是工程建设的核心，中标者应根据招标书中要求的质量等级或高一级的质量等级和企业的自身素质，施工验收规范、质量等级评定标准来制订保证质量的技术措施，切不能低于招标书及图纸要求的质量等级。 </w:t>
      </w:r>
    </w:p>
    <w:p w14:paraId="168D25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xml:space="preserve">5.1为了达到既定质量等级，必须建立完善的质量保证体系（注意其与企业质保体系的区别），一是该项目质量管理的组织体系；二是该项目质量管理人员的质量职责和权限以及质量保证体系动作的工作程序等。 </w:t>
      </w:r>
    </w:p>
    <w:p w14:paraId="03E8B4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5.2工程质量保证措施，一是制定各分部、分项工程中重点部分、特殊部位的质量保证措施；二是易发生质量通病的施工部位、施工工序的质量预防措施。</w:t>
      </w:r>
    </w:p>
    <w:p w14:paraId="4274F49D">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371" w:firstLineChars="177"/>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制订好安全技术措施。必须制订相应的切实可行的保护措施，以确保安全。</w:t>
      </w:r>
    </w:p>
    <w:p w14:paraId="3837F6CD">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371" w:firstLineChars="177"/>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规划好施工平面布置图，搞好文明施工。</w:t>
      </w:r>
    </w:p>
    <w:p w14:paraId="62ABBEAA">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371" w:firstLineChars="177"/>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none"/>
          <w:lang w:val="en-US" w:eastAsia="zh-CN"/>
        </w:rPr>
        <w:t>施工组织设计的管理。工程施工过程中，不可避免地会遇到意想不到的各种问题，如设计变更、自然因素等影响，各阶段施工进程的变化造成的现场方案的调整，因此必须根据变化了的现场实际进行动态管理，对施工组织设计中不适宜部分进行必要的修改、补充、优化，以达到既定的建设目标。</w:t>
      </w:r>
    </w:p>
    <w:p w14:paraId="194B00DA">
      <w:pPr>
        <w:pStyle w:val="19"/>
        <w:rPr>
          <w:rFonts w:hint="eastAsia" w:ascii="宋体" w:hAnsi="宋体" w:eastAsia="宋体" w:cs="宋体"/>
          <w:color w:val="auto"/>
          <w:sz w:val="21"/>
          <w:szCs w:val="21"/>
          <w:highlight w:val="none"/>
          <w:u w:val="none"/>
          <w:lang w:val="en-US" w:eastAsia="zh-CN"/>
        </w:rPr>
      </w:pPr>
    </w:p>
    <w:p w14:paraId="59DFF498">
      <w:pPr>
        <w:spacing w:line="360" w:lineRule="auto"/>
        <w:ind w:right="280"/>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lang w:eastAsia="zh-CN"/>
        </w:rPr>
        <w:t>六</w:t>
      </w:r>
      <w:r>
        <w:rPr>
          <w:rFonts w:hint="eastAsia" w:ascii="宋体" w:hAnsi="宋体" w:eastAsia="宋体" w:cs="宋体"/>
          <w:b/>
          <w:color w:val="auto"/>
          <w:sz w:val="21"/>
          <w:szCs w:val="21"/>
          <w:highlight w:val="none"/>
          <w:u w:val="none"/>
        </w:rPr>
        <w:t>、方位图和总图</w:t>
      </w:r>
    </w:p>
    <w:p w14:paraId="6E9151DB">
      <w:pPr>
        <w:spacing w:line="360" w:lineRule="auto"/>
        <w:ind w:right="280" w:firstLine="371" w:firstLineChars="177"/>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根据设计项目范围自行收集。</w:t>
      </w:r>
    </w:p>
    <w:p w14:paraId="54B27AFD">
      <w:pPr>
        <w:spacing w:line="360" w:lineRule="auto"/>
        <w:ind w:right="280"/>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lang w:eastAsia="zh-CN"/>
        </w:rPr>
        <w:t>七</w:t>
      </w:r>
      <w:r>
        <w:rPr>
          <w:rFonts w:hint="eastAsia" w:ascii="宋体" w:hAnsi="宋体" w:eastAsia="宋体" w:cs="宋体"/>
          <w:b/>
          <w:color w:val="auto"/>
          <w:sz w:val="21"/>
          <w:szCs w:val="21"/>
          <w:highlight w:val="none"/>
          <w:u w:val="none"/>
        </w:rPr>
        <w:t>、工程规划和立项文件</w:t>
      </w:r>
    </w:p>
    <w:p w14:paraId="4A8491ED">
      <w:pPr>
        <w:spacing w:line="360" w:lineRule="auto"/>
        <w:ind w:right="-51" w:firstLine="371" w:firstLineChars="177"/>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穗白发改投批〔2024〕33号《广州市白云区发展和改革局关于2023年白云区路灯查漏补缺项目可行性研究报告的复函》</w:t>
      </w:r>
    </w:p>
    <w:p w14:paraId="3B04F9C2">
      <w:pPr>
        <w:spacing w:line="360" w:lineRule="auto"/>
        <w:ind w:right="2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八</w:t>
      </w:r>
      <w:r>
        <w:rPr>
          <w:rFonts w:hint="eastAsia" w:ascii="宋体" w:hAnsi="宋体" w:eastAsia="宋体" w:cs="宋体"/>
          <w:b/>
          <w:color w:val="auto"/>
          <w:sz w:val="21"/>
          <w:szCs w:val="21"/>
          <w:highlight w:val="none"/>
        </w:rPr>
        <w:t>、周边环境现状</w:t>
      </w:r>
    </w:p>
    <w:p w14:paraId="79B1AB08">
      <w:pPr>
        <w:spacing w:line="360" w:lineRule="auto"/>
        <w:ind w:right="28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投标单位现场自行收集。</w:t>
      </w:r>
    </w:p>
    <w:p w14:paraId="000C2C02">
      <w:pPr>
        <w:spacing w:line="360" w:lineRule="auto"/>
        <w:ind w:right="2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九</w:t>
      </w:r>
      <w:r>
        <w:rPr>
          <w:rFonts w:hint="eastAsia" w:ascii="宋体" w:hAnsi="宋体" w:eastAsia="宋体" w:cs="宋体"/>
          <w:b/>
          <w:color w:val="auto"/>
          <w:sz w:val="21"/>
          <w:szCs w:val="21"/>
          <w:highlight w:val="none"/>
        </w:rPr>
        <w:t>、气候与地质条件</w:t>
      </w:r>
    </w:p>
    <w:p w14:paraId="4C72148C">
      <w:pPr>
        <w:spacing w:line="360" w:lineRule="auto"/>
        <w:ind w:right="28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投标单位自行收集。</w:t>
      </w:r>
    </w:p>
    <w:p w14:paraId="3BC6B0F4">
      <w:pPr>
        <w:spacing w:line="360" w:lineRule="auto"/>
        <w:ind w:right="2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十</w:t>
      </w:r>
      <w:r>
        <w:rPr>
          <w:rFonts w:hint="eastAsia" w:ascii="宋体" w:hAnsi="宋体" w:eastAsia="宋体" w:cs="宋体"/>
          <w:b/>
          <w:color w:val="auto"/>
          <w:sz w:val="21"/>
          <w:szCs w:val="21"/>
          <w:highlight w:val="none"/>
        </w:rPr>
        <w:t>、成果要求</w:t>
      </w:r>
    </w:p>
    <w:p w14:paraId="4199497A">
      <w:pPr>
        <w:spacing w:line="360" w:lineRule="auto"/>
        <w:ind w:right="28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工程总投资合理，节约工程总投资的措施及理由合理、可信、可行，投资估算编制依据正确，达到相应的深度要求，编制质量高。</w:t>
      </w:r>
    </w:p>
    <w:p w14:paraId="02FADC62">
      <w:pPr>
        <w:spacing w:line="360" w:lineRule="auto"/>
        <w:ind w:right="28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技术标准：现行市政行业设计规范由投标人自行收集。</w:t>
      </w:r>
    </w:p>
    <w:p w14:paraId="4A9BC9DD">
      <w:pPr>
        <w:pStyle w:val="2"/>
        <w:rPr>
          <w:rFonts w:hint="eastAsia" w:ascii="宋体" w:hAnsi="宋体" w:eastAsia="宋体" w:cs="宋体"/>
          <w:color w:val="auto"/>
          <w:highlight w:val="none"/>
        </w:rPr>
      </w:pPr>
      <w:r>
        <w:rPr>
          <w:rFonts w:hint="eastAsia" w:ascii="宋体" w:hAnsi="宋体" w:eastAsia="宋体" w:cs="宋体"/>
          <w:color w:val="auto"/>
          <w:sz w:val="24"/>
          <w:szCs w:val="24"/>
          <w:highlight w:val="none"/>
        </w:rPr>
        <w:br w:type="page"/>
      </w:r>
      <w:bookmarkStart w:id="78" w:name="_Toc24011"/>
      <w:bookmarkStart w:id="79" w:name="_Toc21525514"/>
      <w:bookmarkStart w:id="80" w:name="_Toc2272569"/>
      <w:bookmarkStart w:id="81" w:name="_Toc17091"/>
      <w:r>
        <w:rPr>
          <w:rFonts w:hint="eastAsia" w:ascii="宋体" w:hAnsi="宋体" w:eastAsia="宋体" w:cs="宋体"/>
          <w:color w:val="auto"/>
          <w:highlight w:val="none"/>
        </w:rPr>
        <w:t>第六章  图纸及勘察资料</w:t>
      </w:r>
      <w:bookmarkEnd w:id="78"/>
      <w:bookmarkEnd w:id="79"/>
      <w:bookmarkEnd w:id="80"/>
      <w:bookmarkEnd w:id="81"/>
    </w:p>
    <w:p w14:paraId="342CE460">
      <w:pP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注：另册。</w:t>
      </w:r>
    </w:p>
    <w:p w14:paraId="77E0DF9E">
      <w:pPr>
        <w:pStyle w:val="2"/>
        <w:rPr>
          <w:rFonts w:hint="eastAsia" w:ascii="宋体" w:hAnsi="宋体" w:eastAsia="宋体" w:cs="宋体"/>
          <w:color w:val="auto"/>
          <w:highlight w:val="none"/>
        </w:rPr>
      </w:pPr>
      <w:r>
        <w:rPr>
          <w:rFonts w:hint="eastAsia" w:ascii="宋体" w:hAnsi="宋体" w:eastAsia="宋体" w:cs="宋体"/>
          <w:color w:val="auto"/>
          <w:sz w:val="24"/>
          <w:szCs w:val="24"/>
          <w:highlight w:val="none"/>
        </w:rPr>
        <w:br w:type="page"/>
      </w:r>
      <w:bookmarkStart w:id="82" w:name="_Toc21525515"/>
      <w:bookmarkStart w:id="83" w:name="_Toc13042"/>
      <w:bookmarkStart w:id="84" w:name="_Toc1393"/>
      <w:bookmarkStart w:id="85" w:name="_Toc2272570"/>
      <w:r>
        <w:rPr>
          <w:rFonts w:hint="eastAsia" w:ascii="宋体" w:hAnsi="宋体" w:eastAsia="宋体" w:cs="宋体"/>
          <w:color w:val="auto"/>
          <w:highlight w:val="none"/>
        </w:rPr>
        <w:t>第七章  工程量清单</w:t>
      </w:r>
      <w:bookmarkEnd w:id="82"/>
      <w:bookmarkEnd w:id="83"/>
      <w:bookmarkEnd w:id="84"/>
      <w:bookmarkEnd w:id="85"/>
    </w:p>
    <w:p w14:paraId="71D236FC">
      <w:pP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另册</w:t>
      </w:r>
      <w:r>
        <w:rPr>
          <w:rFonts w:hint="eastAsia" w:ascii="宋体" w:hAnsi="宋体" w:eastAsia="宋体" w:cs="宋体"/>
          <w:color w:val="auto"/>
          <w:sz w:val="24"/>
          <w:szCs w:val="24"/>
          <w:highlight w:val="none"/>
        </w:rPr>
        <w:t>。</w:t>
      </w:r>
    </w:p>
    <w:p w14:paraId="43E96E1D">
      <w:pPr>
        <w:pStyle w:val="35"/>
        <w:spacing w:after="0" w:line="360" w:lineRule="auto"/>
        <w:ind w:left="-2" w:leftChars="-1" w:firstLine="960" w:firstLineChars="400"/>
        <w:rPr>
          <w:rFonts w:hint="eastAsia" w:ascii="宋体" w:hAnsi="宋体" w:eastAsia="宋体" w:cs="宋体"/>
          <w:color w:val="auto"/>
          <w:sz w:val="24"/>
          <w:highlight w:val="none"/>
        </w:rPr>
      </w:pPr>
    </w:p>
    <w:p w14:paraId="6F6F1FDB">
      <w:pPr>
        <w:pStyle w:val="2"/>
        <w:rPr>
          <w:rFonts w:hint="eastAsia" w:ascii="宋体" w:hAnsi="宋体" w:eastAsia="宋体" w:cs="宋体"/>
          <w:color w:val="auto"/>
          <w:highlight w:val="none"/>
        </w:rPr>
      </w:pPr>
    </w:p>
    <w:p w14:paraId="29F1E321">
      <w:pPr>
        <w:pStyle w:val="2"/>
        <w:numPr>
          <w:ilvl w:val="0"/>
          <w:numId w:val="9"/>
        </w:numPr>
        <w:rPr>
          <w:rFonts w:hint="eastAsia" w:ascii="宋体" w:hAnsi="宋体" w:eastAsia="宋体" w:cs="宋体"/>
          <w:color w:val="auto"/>
          <w:highlight w:val="none"/>
        </w:rPr>
      </w:pPr>
      <w:r>
        <w:rPr>
          <w:rFonts w:hint="eastAsia" w:ascii="宋体" w:hAnsi="宋体" w:eastAsia="宋体" w:cs="宋体"/>
          <w:color w:val="auto"/>
          <w:sz w:val="24"/>
          <w:szCs w:val="24"/>
          <w:highlight w:val="none"/>
        </w:rPr>
        <w:br w:type="page"/>
      </w:r>
      <w:bookmarkStart w:id="86" w:name="_Toc2272571"/>
      <w:bookmarkStart w:id="87" w:name="_Toc21525516"/>
      <w:bookmarkStart w:id="88" w:name="_Toc19152"/>
      <w:bookmarkStart w:id="89" w:name="_Toc18445"/>
      <w:r>
        <w:rPr>
          <w:rFonts w:hint="eastAsia" w:ascii="宋体" w:hAnsi="宋体" w:eastAsia="宋体" w:cs="宋体"/>
          <w:color w:val="auto"/>
          <w:highlight w:val="none"/>
        </w:rPr>
        <w:t xml:space="preserve"> 最高投标限价</w:t>
      </w:r>
      <w:bookmarkEnd w:id="86"/>
      <w:bookmarkEnd w:id="87"/>
      <w:bookmarkEnd w:id="88"/>
      <w:bookmarkEnd w:id="89"/>
    </w:p>
    <w:p w14:paraId="1E220B6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rPr>
        <w:t>（另册）</w:t>
      </w:r>
    </w:p>
    <w:p w14:paraId="19EF4242">
      <w:pPr>
        <w:numPr>
          <w:ilvl w:val="0"/>
          <w:numId w:val="0"/>
        </w:numPr>
        <w:rPr>
          <w:rFonts w:hint="eastAsia" w:ascii="宋体" w:hAnsi="宋体" w:eastAsia="宋体" w:cs="宋体"/>
          <w:color w:val="auto"/>
          <w:highlight w:val="none"/>
          <w:lang w:val="en-US" w:eastAsia="zh-CN"/>
        </w:rPr>
      </w:pPr>
    </w:p>
    <w:p w14:paraId="41E3374C">
      <w:pPr>
        <w:spacing w:line="360" w:lineRule="auto"/>
        <w:ind w:firstLine="480"/>
        <w:rPr>
          <w:rFonts w:hint="eastAsia" w:ascii="宋体" w:hAnsi="宋体" w:eastAsia="宋体" w:cs="宋体"/>
          <w:color w:val="auto"/>
          <w:sz w:val="24"/>
          <w:szCs w:val="24"/>
          <w:highlight w:val="none"/>
          <w:u w:val="single"/>
        </w:rPr>
      </w:pPr>
    </w:p>
    <w:p w14:paraId="249DC326">
      <w:pPr>
        <w:rPr>
          <w:rFonts w:hint="eastAsia" w:ascii="宋体" w:hAnsi="宋体" w:eastAsia="宋体" w:cs="宋体"/>
          <w:color w:val="auto"/>
          <w:highlight w:val="none"/>
        </w:rPr>
      </w:pPr>
    </w:p>
    <w:p w14:paraId="20335DE3">
      <w:pPr>
        <w:pStyle w:val="19"/>
        <w:rPr>
          <w:rFonts w:hint="eastAsia" w:ascii="宋体" w:hAnsi="宋体" w:eastAsia="宋体" w:cs="宋体"/>
          <w:color w:val="auto"/>
          <w:sz w:val="36"/>
          <w:highlight w:val="none"/>
          <w:u w:val="single"/>
        </w:rPr>
      </w:pPr>
    </w:p>
    <w:sectPr>
      <w:headerReference r:id="rId17" w:type="default"/>
      <w:footerReference r:id="rId1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altName w:val="宋体"/>
    <w:panose1 w:val="02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C6865">
    <w:pPr>
      <w:pStyle w:val="24"/>
      <w:ind w:firstLine="392"/>
      <w:jc w:val="center"/>
      <w:rPr>
        <w:rStyle w:val="41"/>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4A76C">
                          <w:pPr>
                            <w:pStyle w:val="24"/>
                            <w:ind w:firstLine="392"/>
                            <w:jc w:val="center"/>
                          </w:pPr>
                        </w:p>
                        <w:p w14:paraId="4575281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9B4A76C">
                    <w:pPr>
                      <w:pStyle w:val="24"/>
                      <w:ind w:firstLine="392"/>
                      <w:jc w:val="center"/>
                    </w:pPr>
                  </w:p>
                  <w:p w14:paraId="45752818"/>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20BB1">
    <w:pPr>
      <w:pStyle w:val="24"/>
      <w:ind w:firstLine="392"/>
      <w:rPr>
        <w:rStyle w:val="41"/>
      </w:rPr>
    </w:pPr>
    <w:r>
      <w:rPr>
        <w:rStyle w:val="41"/>
      </w:rPr>
      <w:fldChar w:fldCharType="begin"/>
    </w:r>
    <w:r>
      <w:rPr>
        <w:rStyle w:val="41"/>
      </w:rPr>
      <w:instrText xml:space="preserve">PAGE  </w:instrText>
    </w:r>
    <w:r>
      <w:rPr>
        <w:rStyle w:val="41"/>
      </w:rPr>
      <w:fldChar w:fldCharType="separate"/>
    </w:r>
    <w:r>
      <w:rPr>
        <w:rStyle w:val="41"/>
        <w:rFonts w:hint="eastAsia"/>
      </w:rPr>
      <w:t>一</w:t>
    </w:r>
    <w:r>
      <w:rPr>
        <w:rStyle w:val="41"/>
      </w:rPr>
      <w:t>–2</w:t>
    </w:r>
    <w:r>
      <w:rPr>
        <w:rStyle w:val="41"/>
      </w:rPr>
      <w:fldChar w:fldCharType="end"/>
    </w:r>
  </w:p>
  <w:p w14:paraId="46DB666E">
    <w:pPr>
      <w:pStyle w:val="24"/>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A3432">
    <w:pPr>
      <w:pStyle w:val="24"/>
      <w:ind w:firstLine="392"/>
      <w:jc w:val="both"/>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F02DD">
                          <w:pPr>
                            <w:pStyle w:val="24"/>
                            <w:ind w:firstLine="392"/>
                            <w:jc w:val="both"/>
                          </w:pPr>
                          <w:r>
                            <w:rPr>
                              <w:rStyle w:val="41"/>
                            </w:rPr>
                            <w:fldChar w:fldCharType="begin"/>
                          </w:r>
                          <w:r>
                            <w:rPr>
                              <w:rStyle w:val="41"/>
                            </w:rPr>
                            <w:instrText xml:space="preserve"> PAGE </w:instrText>
                          </w:r>
                          <w:r>
                            <w:rPr>
                              <w:rStyle w:val="41"/>
                            </w:rPr>
                            <w:fldChar w:fldCharType="separate"/>
                          </w:r>
                          <w:r>
                            <w:rPr>
                              <w:rStyle w:val="41"/>
                            </w:rPr>
                            <w:t>52</w:t>
                          </w:r>
                          <w:r>
                            <w:rPr>
                              <w:rStyle w:val="4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F1F02DD">
                    <w:pPr>
                      <w:pStyle w:val="24"/>
                      <w:ind w:firstLine="392"/>
                      <w:jc w:val="both"/>
                    </w:pPr>
                    <w:r>
                      <w:rPr>
                        <w:rStyle w:val="41"/>
                      </w:rPr>
                      <w:fldChar w:fldCharType="begin"/>
                    </w:r>
                    <w:r>
                      <w:rPr>
                        <w:rStyle w:val="41"/>
                      </w:rPr>
                      <w:instrText xml:space="preserve"> PAGE </w:instrText>
                    </w:r>
                    <w:r>
                      <w:rPr>
                        <w:rStyle w:val="41"/>
                      </w:rPr>
                      <w:fldChar w:fldCharType="separate"/>
                    </w:r>
                    <w:r>
                      <w:rPr>
                        <w:rStyle w:val="41"/>
                      </w:rPr>
                      <w:t>52</w:t>
                    </w:r>
                    <w:r>
                      <w:rPr>
                        <w:rStyle w:val="4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45B8E">
    <w:pPr>
      <w:pStyle w:val="24"/>
      <w:ind w:firstLine="392"/>
      <w:jc w:val="center"/>
      <w:rPr>
        <w:rStyle w:val="41"/>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813AD">
                          <w:pPr>
                            <w:pStyle w:val="2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0F813AD">
                    <w:pPr>
                      <w:pStyle w:val="2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632CA">
    <w:pPr>
      <w:pStyle w:val="24"/>
      <w:ind w:firstLine="39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A57048">
                          <w:pPr>
                            <w:pStyle w:val="24"/>
                            <w:ind w:firstLine="392"/>
                            <w:jc w:val="center"/>
                          </w:pPr>
                          <w:r>
                            <w:rPr>
                              <w:rStyle w:val="41"/>
                            </w:rPr>
                            <w:fldChar w:fldCharType="begin"/>
                          </w:r>
                          <w:r>
                            <w:rPr>
                              <w:rStyle w:val="41"/>
                            </w:rPr>
                            <w:instrText xml:space="preserve"> PAGE </w:instrText>
                          </w:r>
                          <w:r>
                            <w:rPr>
                              <w:rStyle w:val="41"/>
                            </w:rPr>
                            <w:fldChar w:fldCharType="separate"/>
                          </w:r>
                          <w:r>
                            <w:rPr>
                              <w:rStyle w:val="41"/>
                            </w:rPr>
                            <w:t>52</w:t>
                          </w:r>
                          <w:r>
                            <w:rPr>
                              <w:rStyle w:val="4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A57048">
                    <w:pPr>
                      <w:pStyle w:val="24"/>
                      <w:ind w:firstLine="392"/>
                      <w:jc w:val="center"/>
                    </w:pPr>
                    <w:r>
                      <w:rPr>
                        <w:rStyle w:val="41"/>
                      </w:rPr>
                      <w:fldChar w:fldCharType="begin"/>
                    </w:r>
                    <w:r>
                      <w:rPr>
                        <w:rStyle w:val="41"/>
                      </w:rPr>
                      <w:instrText xml:space="preserve"> PAGE </w:instrText>
                    </w:r>
                    <w:r>
                      <w:rPr>
                        <w:rStyle w:val="41"/>
                      </w:rPr>
                      <w:fldChar w:fldCharType="separate"/>
                    </w:r>
                    <w:r>
                      <w:rPr>
                        <w:rStyle w:val="41"/>
                      </w:rPr>
                      <w:t>52</w:t>
                    </w:r>
                    <w:r>
                      <w:rPr>
                        <w:rStyle w:val="4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DC0A8">
    <w:pPr>
      <w:pStyle w:val="24"/>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BED7B">
                          <w:pPr>
                            <w:pStyle w:val="24"/>
                            <w:jc w:val="center"/>
                            <w:rPr>
                              <w:rStyle w:val="41"/>
                            </w:rPr>
                          </w:pPr>
                          <w:r>
                            <w:rPr>
                              <w:rStyle w:val="41"/>
                            </w:rPr>
                            <w:fldChar w:fldCharType="begin"/>
                          </w:r>
                          <w:r>
                            <w:rPr>
                              <w:rStyle w:val="41"/>
                            </w:rPr>
                            <w:instrText xml:space="preserve">PAGE  </w:instrText>
                          </w:r>
                          <w:r>
                            <w:rPr>
                              <w:rStyle w:val="41"/>
                            </w:rPr>
                            <w:fldChar w:fldCharType="separate"/>
                          </w:r>
                          <w:r>
                            <w:rPr>
                              <w:rStyle w:val="41"/>
                            </w:rPr>
                            <w:t>74</w:t>
                          </w:r>
                          <w:r>
                            <w:rPr>
                              <w:rStyle w:val="41"/>
                            </w:rPr>
                            <w:fldChar w:fldCharType="end"/>
                          </w:r>
                        </w:p>
                        <w:p w14:paraId="2AC20167">
                          <w:pPr>
                            <w:pStyle w:val="24"/>
                            <w:ind w:left="-4410" w:leftChars="-2100" w:right="-4439" w:rightChars="-2114"/>
                            <w:rPr>
                              <w:rStyle w:val="41"/>
                            </w:rPr>
                          </w:pPr>
                        </w:p>
                        <w:p w14:paraId="01923535"/>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A0BED7B">
                    <w:pPr>
                      <w:pStyle w:val="24"/>
                      <w:jc w:val="center"/>
                      <w:rPr>
                        <w:rStyle w:val="41"/>
                      </w:rPr>
                    </w:pPr>
                    <w:r>
                      <w:rPr>
                        <w:rStyle w:val="41"/>
                      </w:rPr>
                      <w:fldChar w:fldCharType="begin"/>
                    </w:r>
                    <w:r>
                      <w:rPr>
                        <w:rStyle w:val="41"/>
                      </w:rPr>
                      <w:instrText xml:space="preserve">PAGE  </w:instrText>
                    </w:r>
                    <w:r>
                      <w:rPr>
                        <w:rStyle w:val="41"/>
                      </w:rPr>
                      <w:fldChar w:fldCharType="separate"/>
                    </w:r>
                    <w:r>
                      <w:rPr>
                        <w:rStyle w:val="41"/>
                      </w:rPr>
                      <w:t>74</w:t>
                    </w:r>
                    <w:r>
                      <w:rPr>
                        <w:rStyle w:val="41"/>
                      </w:rPr>
                      <w:fldChar w:fldCharType="end"/>
                    </w:r>
                  </w:p>
                  <w:p w14:paraId="2AC20167">
                    <w:pPr>
                      <w:pStyle w:val="24"/>
                      <w:ind w:left="-4410" w:leftChars="-2100" w:right="-4439" w:rightChars="-2114"/>
                      <w:rPr>
                        <w:rStyle w:val="41"/>
                      </w:rPr>
                    </w:pPr>
                  </w:p>
                  <w:p w14:paraId="01923535"/>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F594B">
    <w:pPr>
      <w:pStyle w:val="24"/>
      <w:framePr w:wrap="around" w:vAnchor="text" w:hAnchor="margin" w:xAlign="outside" w:y="1"/>
      <w:rPr>
        <w:rStyle w:val="41"/>
      </w:rPr>
    </w:pPr>
    <w:r>
      <w:rPr>
        <w:rStyle w:val="41"/>
      </w:rPr>
      <w:fldChar w:fldCharType="begin"/>
    </w:r>
    <w:r>
      <w:rPr>
        <w:rStyle w:val="41"/>
      </w:rPr>
      <w:instrText xml:space="preserve">PAGE  </w:instrText>
    </w:r>
    <w:r>
      <w:rPr>
        <w:rStyle w:val="41"/>
      </w:rPr>
      <w:fldChar w:fldCharType="separate"/>
    </w:r>
    <w:r>
      <w:rPr>
        <w:rStyle w:val="41"/>
        <w:rFonts w:hint="eastAsia"/>
      </w:rPr>
      <w:t>一</w:t>
    </w:r>
    <w:r>
      <w:rPr>
        <w:rStyle w:val="41"/>
      </w:rPr>
      <w:t>–2</w:t>
    </w:r>
    <w:r>
      <w:rPr>
        <w:rStyle w:val="41"/>
      </w:rPr>
      <w:fldChar w:fldCharType="end"/>
    </w:r>
  </w:p>
  <w:p w14:paraId="5EE0C1E0">
    <w:pPr>
      <w:pStyle w:val="24"/>
      <w:ind w:right="360" w:firstLine="360"/>
      <w:jc w:val="center"/>
    </w:pPr>
    <w:r>
      <w:rPr>
        <w:kern w:val="0"/>
        <w:sz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6D391">
    <w:pPr>
      <w:pStyle w:val="2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56E128">
                          <w:pPr>
                            <w:pStyle w:val="24"/>
                            <w:jc w:val="center"/>
                          </w:pPr>
                          <w:r>
                            <w:rPr>
                              <w:rStyle w:val="41"/>
                            </w:rPr>
                            <w:fldChar w:fldCharType="begin"/>
                          </w:r>
                          <w:r>
                            <w:rPr>
                              <w:rStyle w:val="41"/>
                            </w:rPr>
                            <w:instrText xml:space="preserve"> PAGE </w:instrText>
                          </w:r>
                          <w:r>
                            <w:rPr>
                              <w:rStyle w:val="41"/>
                            </w:rPr>
                            <w:fldChar w:fldCharType="separate"/>
                          </w:r>
                          <w:r>
                            <w:rPr>
                              <w:rStyle w:val="41"/>
                            </w:rPr>
                            <w:t>55</w:t>
                          </w:r>
                          <w:r>
                            <w:rPr>
                              <w:rStyle w:val="4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556E128">
                    <w:pPr>
                      <w:pStyle w:val="24"/>
                      <w:jc w:val="center"/>
                    </w:pPr>
                    <w:r>
                      <w:rPr>
                        <w:rStyle w:val="41"/>
                      </w:rPr>
                      <w:fldChar w:fldCharType="begin"/>
                    </w:r>
                    <w:r>
                      <w:rPr>
                        <w:rStyle w:val="41"/>
                      </w:rPr>
                      <w:instrText xml:space="preserve"> PAGE </w:instrText>
                    </w:r>
                    <w:r>
                      <w:rPr>
                        <w:rStyle w:val="41"/>
                      </w:rPr>
                      <w:fldChar w:fldCharType="separate"/>
                    </w:r>
                    <w:r>
                      <w:rPr>
                        <w:rStyle w:val="41"/>
                      </w:rPr>
                      <w:t>55</w:t>
                    </w:r>
                    <w:r>
                      <w:rPr>
                        <w:rStyle w:val="41"/>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B54A9">
    <w:pPr>
      <w:pStyle w:val="24"/>
      <w:ind w:right="360"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CAC13B">
                          <w:pPr>
                            <w:pStyle w:val="24"/>
                            <w:jc w:val="center"/>
                            <w:rPr>
                              <w:rStyle w:val="41"/>
                            </w:rPr>
                          </w:pPr>
                          <w:r>
                            <w:rPr>
                              <w:rStyle w:val="41"/>
                            </w:rPr>
                            <w:fldChar w:fldCharType="begin"/>
                          </w:r>
                          <w:r>
                            <w:rPr>
                              <w:rStyle w:val="41"/>
                            </w:rPr>
                            <w:instrText xml:space="preserve">PAGE  </w:instrText>
                          </w:r>
                          <w:r>
                            <w:rPr>
                              <w:rStyle w:val="41"/>
                            </w:rPr>
                            <w:fldChar w:fldCharType="separate"/>
                          </w:r>
                          <w:r>
                            <w:rPr>
                              <w:rStyle w:val="41"/>
                            </w:rPr>
                            <w:t>74</w:t>
                          </w:r>
                          <w:r>
                            <w:rPr>
                              <w:rStyle w:val="41"/>
                            </w:rPr>
                            <w:fldChar w:fldCharType="end"/>
                          </w:r>
                        </w:p>
                        <w:p w14:paraId="21C72634">
                          <w:pPr>
                            <w:pStyle w:val="24"/>
                            <w:ind w:left="-4410" w:leftChars="-2100" w:right="-4439" w:rightChars="-2114"/>
                            <w:rPr>
                              <w:rStyle w:val="41"/>
                            </w:rPr>
                          </w:pPr>
                        </w:p>
                        <w:p w14:paraId="1BD1AF3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9CAC13B">
                    <w:pPr>
                      <w:pStyle w:val="24"/>
                      <w:jc w:val="center"/>
                      <w:rPr>
                        <w:rStyle w:val="41"/>
                      </w:rPr>
                    </w:pPr>
                    <w:r>
                      <w:rPr>
                        <w:rStyle w:val="41"/>
                      </w:rPr>
                      <w:fldChar w:fldCharType="begin"/>
                    </w:r>
                    <w:r>
                      <w:rPr>
                        <w:rStyle w:val="41"/>
                      </w:rPr>
                      <w:instrText xml:space="preserve">PAGE  </w:instrText>
                    </w:r>
                    <w:r>
                      <w:rPr>
                        <w:rStyle w:val="41"/>
                      </w:rPr>
                      <w:fldChar w:fldCharType="separate"/>
                    </w:r>
                    <w:r>
                      <w:rPr>
                        <w:rStyle w:val="41"/>
                      </w:rPr>
                      <w:t>74</w:t>
                    </w:r>
                    <w:r>
                      <w:rPr>
                        <w:rStyle w:val="41"/>
                      </w:rPr>
                      <w:fldChar w:fldCharType="end"/>
                    </w:r>
                  </w:p>
                  <w:p w14:paraId="21C72634">
                    <w:pPr>
                      <w:pStyle w:val="24"/>
                      <w:ind w:left="-4410" w:leftChars="-2100" w:right="-4439" w:rightChars="-2114"/>
                      <w:rPr>
                        <w:rStyle w:val="41"/>
                      </w:rPr>
                    </w:pPr>
                  </w:p>
                  <w:p w14:paraId="1BD1AF37"/>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3FC67">
    <w:pPr>
      <w:pStyle w:val="25"/>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5BD92">
    <w:pPr>
      <w:pStyle w:val="25"/>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B5243">
    <w:pPr>
      <w:pStyle w:val="25"/>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42401">
    <w:pPr>
      <w:pStyle w:val="25"/>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CCDA6">
    <w:pPr>
      <w:pStyle w:val="25"/>
      <w:jc w:val="right"/>
      <w:rPr>
        <w:i/>
        <w:iCs/>
      </w:rPr>
    </w:pPr>
    <w:r>
      <w:rPr>
        <w:rFonts w:hint="eastAsia"/>
        <w:i/>
        <w:iCs/>
      </w:rPr>
      <w:t>横枝岗路道路排水改造工程招标文件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4E23F">
    <w:pPr>
      <w:pStyle w:val="25"/>
      <w:pBdr>
        <w:bottom w:val="none" w:color="auto" w:sz="0" w:space="0"/>
      </w:pBdr>
      <w:jc w:val="right"/>
      <w:rPr>
        <w:i/>
        <w:iC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88E86">
    <w:pPr>
      <w:pStyle w:val="25"/>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B555AE"/>
    <w:multiLevelType w:val="singleLevel"/>
    <w:tmpl w:val="B1B555AE"/>
    <w:lvl w:ilvl="0" w:tentative="0">
      <w:start w:val="8"/>
      <w:numFmt w:val="chineseCounting"/>
      <w:suff w:val="space"/>
      <w:lvlText w:val="第%1章"/>
      <w:lvlJc w:val="left"/>
      <w:rPr>
        <w:rFonts w:hint="eastAsia"/>
      </w:rPr>
    </w:lvl>
  </w:abstractNum>
  <w:abstractNum w:abstractNumId="1">
    <w:nsid w:val="BC5BD44C"/>
    <w:multiLevelType w:val="singleLevel"/>
    <w:tmpl w:val="BC5BD44C"/>
    <w:lvl w:ilvl="0" w:tentative="0">
      <w:start w:val="2"/>
      <w:numFmt w:val="decimal"/>
      <w:suff w:val="space"/>
      <w:lvlText w:val="%1."/>
      <w:lvlJc w:val="left"/>
    </w:lvl>
  </w:abstractNum>
  <w:abstractNum w:abstractNumId="2">
    <w:nsid w:val="E70D7EBD"/>
    <w:multiLevelType w:val="singleLevel"/>
    <w:tmpl w:val="E70D7EBD"/>
    <w:lvl w:ilvl="0" w:tentative="0">
      <w:start w:val="27"/>
      <w:numFmt w:val="decimal"/>
      <w:suff w:val="nothing"/>
      <w:lvlText w:val="%1．"/>
      <w:lvlJc w:val="left"/>
    </w:lvl>
  </w:abstractNum>
  <w:abstractNum w:abstractNumId="3">
    <w:nsid w:val="E978D6AA"/>
    <w:multiLevelType w:val="singleLevel"/>
    <w:tmpl w:val="E978D6AA"/>
    <w:lvl w:ilvl="0" w:tentative="0">
      <w:start w:val="1"/>
      <w:numFmt w:val="decimal"/>
      <w:suff w:val="nothing"/>
      <w:lvlText w:val="（%1）"/>
      <w:lvlJc w:val="left"/>
    </w:lvl>
  </w:abstractNum>
  <w:abstractNum w:abstractNumId="4">
    <w:nsid w:val="E998A4BE"/>
    <w:multiLevelType w:val="singleLevel"/>
    <w:tmpl w:val="E998A4BE"/>
    <w:lvl w:ilvl="0" w:tentative="0">
      <w:start w:val="32"/>
      <w:numFmt w:val="decimal"/>
      <w:suff w:val="space"/>
      <w:lvlText w:val="%1."/>
      <w:lvlJc w:val="left"/>
    </w:lvl>
  </w:abstractNum>
  <w:abstractNum w:abstractNumId="5">
    <w:nsid w:val="259905B5"/>
    <w:multiLevelType w:val="multilevel"/>
    <w:tmpl w:val="259905B5"/>
    <w:lvl w:ilvl="0" w:tentative="0">
      <w:start w:val="1"/>
      <w:numFmt w:val="chineseCountingThousand"/>
      <w:pStyle w:val="94"/>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6"/>
      <w:suff w:val="space"/>
      <w:lvlText w:val="%2.%3.%4"/>
      <w:lvlJc w:val="left"/>
      <w:pPr>
        <w:ind w:left="284" w:hanging="284"/>
      </w:pPr>
      <w:rPr>
        <w:rFonts w:hint="eastAsia" w:ascii="宋体" w:eastAsia="宋体" w:cs="Times New Roman"/>
        <w:b/>
        <w:i w:val="0"/>
        <w:sz w:val="28"/>
      </w:rPr>
    </w:lvl>
    <w:lvl w:ilvl="4" w:tentative="0">
      <w:start w:val="1"/>
      <w:numFmt w:val="decimal"/>
      <w:pStyle w:val="8"/>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0"/>
      <w:suff w:val="nothing"/>
      <w:lvlText w:val=""/>
      <w:lvlJc w:val="left"/>
      <w:rPr>
        <w:rFonts w:hint="eastAsia" w:cs="Times New Roman"/>
      </w:rPr>
    </w:lvl>
    <w:lvl w:ilvl="7" w:tentative="0">
      <w:start w:val="1"/>
      <w:numFmt w:val="none"/>
      <w:pStyle w:val="11"/>
      <w:suff w:val="nothing"/>
      <w:lvlText w:val=""/>
      <w:lvlJc w:val="left"/>
      <w:rPr>
        <w:rFonts w:hint="eastAsia" w:cs="Times New Roman"/>
      </w:rPr>
    </w:lvl>
    <w:lvl w:ilvl="8" w:tentative="0">
      <w:start w:val="1"/>
      <w:numFmt w:val="none"/>
      <w:pStyle w:val="12"/>
      <w:suff w:val="nothing"/>
      <w:lvlText w:val=""/>
      <w:lvlJc w:val="left"/>
      <w:rPr>
        <w:rFonts w:hint="eastAsia" w:cs="Times New Roman"/>
      </w:rPr>
    </w:lvl>
  </w:abstractNum>
  <w:abstractNum w:abstractNumId="6">
    <w:nsid w:val="4A4A6516"/>
    <w:multiLevelType w:val="singleLevel"/>
    <w:tmpl w:val="4A4A6516"/>
    <w:lvl w:ilvl="0" w:tentative="0">
      <w:start w:val="1"/>
      <w:numFmt w:val="decimal"/>
      <w:suff w:val="nothing"/>
      <w:lvlText w:val="（%1）"/>
      <w:lvlJc w:val="left"/>
    </w:lvl>
  </w:abstractNum>
  <w:abstractNum w:abstractNumId="7">
    <w:nsid w:val="553AFA00"/>
    <w:multiLevelType w:val="singleLevel"/>
    <w:tmpl w:val="553AFA00"/>
    <w:lvl w:ilvl="0" w:tentative="0">
      <w:start w:val="1"/>
      <w:numFmt w:val="decimal"/>
      <w:suff w:val="nothing"/>
      <w:lvlText w:val="（%1）"/>
      <w:lvlJc w:val="left"/>
    </w:lvl>
  </w:abstractNum>
  <w:abstractNum w:abstractNumId="8">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9"/>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5"/>
  </w:num>
  <w:num w:numId="2">
    <w:abstractNumId w:val="8"/>
  </w:num>
  <w:num w:numId="3">
    <w:abstractNumId w:val="6"/>
  </w:num>
  <w:num w:numId="4">
    <w:abstractNumId w:val="3"/>
  </w:num>
  <w:num w:numId="5">
    <w:abstractNumId w:val="7"/>
  </w:num>
  <w:num w:numId="6">
    <w:abstractNumId w:val="2"/>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BE"/>
    <w:rsid w:val="000200EE"/>
    <w:rsid w:val="00055C10"/>
    <w:rsid w:val="000575F8"/>
    <w:rsid w:val="00074FD1"/>
    <w:rsid w:val="0007706A"/>
    <w:rsid w:val="00091BFE"/>
    <w:rsid w:val="000B5826"/>
    <w:rsid w:val="000C1007"/>
    <w:rsid w:val="000C11E0"/>
    <w:rsid w:val="000C2710"/>
    <w:rsid w:val="000D396E"/>
    <w:rsid w:val="001667FD"/>
    <w:rsid w:val="00181CAA"/>
    <w:rsid w:val="00193EB2"/>
    <w:rsid w:val="001C5D94"/>
    <w:rsid w:val="001F3D02"/>
    <w:rsid w:val="002025C6"/>
    <w:rsid w:val="002076A9"/>
    <w:rsid w:val="0022299B"/>
    <w:rsid w:val="00250092"/>
    <w:rsid w:val="00266748"/>
    <w:rsid w:val="00280CC3"/>
    <w:rsid w:val="002C4F11"/>
    <w:rsid w:val="003204F0"/>
    <w:rsid w:val="00336AA3"/>
    <w:rsid w:val="0037590B"/>
    <w:rsid w:val="003A5C56"/>
    <w:rsid w:val="00405D31"/>
    <w:rsid w:val="004370EC"/>
    <w:rsid w:val="004424B8"/>
    <w:rsid w:val="00472A98"/>
    <w:rsid w:val="004B295D"/>
    <w:rsid w:val="004D63FD"/>
    <w:rsid w:val="00510754"/>
    <w:rsid w:val="005118C8"/>
    <w:rsid w:val="00576448"/>
    <w:rsid w:val="005866FB"/>
    <w:rsid w:val="005B5915"/>
    <w:rsid w:val="005C212B"/>
    <w:rsid w:val="006036EF"/>
    <w:rsid w:val="00673B83"/>
    <w:rsid w:val="00680BFD"/>
    <w:rsid w:val="006B5ED1"/>
    <w:rsid w:val="006B6B0D"/>
    <w:rsid w:val="006F3576"/>
    <w:rsid w:val="0073229B"/>
    <w:rsid w:val="00780EC8"/>
    <w:rsid w:val="007A3304"/>
    <w:rsid w:val="007B41BE"/>
    <w:rsid w:val="007B6534"/>
    <w:rsid w:val="007D6D06"/>
    <w:rsid w:val="007E2745"/>
    <w:rsid w:val="00835C9E"/>
    <w:rsid w:val="008C4DAF"/>
    <w:rsid w:val="008D2515"/>
    <w:rsid w:val="008E20BD"/>
    <w:rsid w:val="008E4AD1"/>
    <w:rsid w:val="00920E49"/>
    <w:rsid w:val="00934DF4"/>
    <w:rsid w:val="00991949"/>
    <w:rsid w:val="009A704D"/>
    <w:rsid w:val="009E5A35"/>
    <w:rsid w:val="009F18D3"/>
    <w:rsid w:val="00A0387A"/>
    <w:rsid w:val="00A05F7D"/>
    <w:rsid w:val="00A0619D"/>
    <w:rsid w:val="00A15723"/>
    <w:rsid w:val="00A20AF3"/>
    <w:rsid w:val="00A2579D"/>
    <w:rsid w:val="00A460C3"/>
    <w:rsid w:val="00A50D34"/>
    <w:rsid w:val="00A55F9B"/>
    <w:rsid w:val="00A64E29"/>
    <w:rsid w:val="00AD3DEE"/>
    <w:rsid w:val="00AD6716"/>
    <w:rsid w:val="00AF1BCD"/>
    <w:rsid w:val="00AF2A6F"/>
    <w:rsid w:val="00B53804"/>
    <w:rsid w:val="00B72862"/>
    <w:rsid w:val="00B8559C"/>
    <w:rsid w:val="00BC2597"/>
    <w:rsid w:val="00BC7B91"/>
    <w:rsid w:val="00BE1732"/>
    <w:rsid w:val="00BE216D"/>
    <w:rsid w:val="00BE7667"/>
    <w:rsid w:val="00BF1FEA"/>
    <w:rsid w:val="00C267C0"/>
    <w:rsid w:val="00C322D8"/>
    <w:rsid w:val="00C32C1E"/>
    <w:rsid w:val="00C408D3"/>
    <w:rsid w:val="00C81F53"/>
    <w:rsid w:val="00C82C8A"/>
    <w:rsid w:val="00CB3932"/>
    <w:rsid w:val="00CD156B"/>
    <w:rsid w:val="00CF68BB"/>
    <w:rsid w:val="00D60E1D"/>
    <w:rsid w:val="00D75B45"/>
    <w:rsid w:val="00D84E64"/>
    <w:rsid w:val="00DF1C79"/>
    <w:rsid w:val="00E22EAB"/>
    <w:rsid w:val="00E36378"/>
    <w:rsid w:val="00E457F6"/>
    <w:rsid w:val="00E54A7D"/>
    <w:rsid w:val="00E638F3"/>
    <w:rsid w:val="00EA368C"/>
    <w:rsid w:val="00EB4FAD"/>
    <w:rsid w:val="00EB6530"/>
    <w:rsid w:val="00EC014E"/>
    <w:rsid w:val="00ED6581"/>
    <w:rsid w:val="00F214CA"/>
    <w:rsid w:val="00F26640"/>
    <w:rsid w:val="00F40301"/>
    <w:rsid w:val="00F50A88"/>
    <w:rsid w:val="00FA5926"/>
    <w:rsid w:val="00FB62F5"/>
    <w:rsid w:val="00FC5596"/>
    <w:rsid w:val="012C7D36"/>
    <w:rsid w:val="012F02C3"/>
    <w:rsid w:val="01432F6D"/>
    <w:rsid w:val="01536A4E"/>
    <w:rsid w:val="02690261"/>
    <w:rsid w:val="02C05BB1"/>
    <w:rsid w:val="02CB36DD"/>
    <w:rsid w:val="02E80AFB"/>
    <w:rsid w:val="02FD74EC"/>
    <w:rsid w:val="030977B8"/>
    <w:rsid w:val="03443019"/>
    <w:rsid w:val="03B73450"/>
    <w:rsid w:val="03EE33BF"/>
    <w:rsid w:val="03F53B6F"/>
    <w:rsid w:val="04016C0A"/>
    <w:rsid w:val="042965C4"/>
    <w:rsid w:val="043C5D3C"/>
    <w:rsid w:val="04A75B49"/>
    <w:rsid w:val="05935ABA"/>
    <w:rsid w:val="05AF56C5"/>
    <w:rsid w:val="05EA2C50"/>
    <w:rsid w:val="06130E19"/>
    <w:rsid w:val="06171328"/>
    <w:rsid w:val="061A393B"/>
    <w:rsid w:val="061C7FBD"/>
    <w:rsid w:val="063E2999"/>
    <w:rsid w:val="066C440F"/>
    <w:rsid w:val="06A27692"/>
    <w:rsid w:val="06B13749"/>
    <w:rsid w:val="06CF5060"/>
    <w:rsid w:val="06D038B7"/>
    <w:rsid w:val="06E10A04"/>
    <w:rsid w:val="071250C8"/>
    <w:rsid w:val="072F44E3"/>
    <w:rsid w:val="07312890"/>
    <w:rsid w:val="073C3C45"/>
    <w:rsid w:val="074E4B46"/>
    <w:rsid w:val="077E1111"/>
    <w:rsid w:val="07A13F45"/>
    <w:rsid w:val="07A246F1"/>
    <w:rsid w:val="07A65683"/>
    <w:rsid w:val="07EF4429"/>
    <w:rsid w:val="08061A64"/>
    <w:rsid w:val="08517165"/>
    <w:rsid w:val="08A51580"/>
    <w:rsid w:val="08C11542"/>
    <w:rsid w:val="090C13B6"/>
    <w:rsid w:val="090F4EF1"/>
    <w:rsid w:val="094E1D6F"/>
    <w:rsid w:val="09CD44CE"/>
    <w:rsid w:val="09EB6AE1"/>
    <w:rsid w:val="09F33618"/>
    <w:rsid w:val="0A0F62EE"/>
    <w:rsid w:val="0A3B59B5"/>
    <w:rsid w:val="0AE62A7A"/>
    <w:rsid w:val="0AF62F6A"/>
    <w:rsid w:val="0B0B256E"/>
    <w:rsid w:val="0B4354CB"/>
    <w:rsid w:val="0B664CB3"/>
    <w:rsid w:val="0B6E4437"/>
    <w:rsid w:val="0B8202C4"/>
    <w:rsid w:val="0B9109AA"/>
    <w:rsid w:val="0B9324D6"/>
    <w:rsid w:val="0BC3240C"/>
    <w:rsid w:val="0BC83F60"/>
    <w:rsid w:val="0C18633A"/>
    <w:rsid w:val="0C5114BF"/>
    <w:rsid w:val="0C521233"/>
    <w:rsid w:val="0C564B9B"/>
    <w:rsid w:val="0C730B66"/>
    <w:rsid w:val="0CF60E56"/>
    <w:rsid w:val="0D020937"/>
    <w:rsid w:val="0D4A0241"/>
    <w:rsid w:val="0DA717DD"/>
    <w:rsid w:val="0E1D06E9"/>
    <w:rsid w:val="0E4C4CAD"/>
    <w:rsid w:val="0E6C4374"/>
    <w:rsid w:val="0E7E114A"/>
    <w:rsid w:val="0EE72B69"/>
    <w:rsid w:val="0F6167BF"/>
    <w:rsid w:val="0F6A1B72"/>
    <w:rsid w:val="0F7577AF"/>
    <w:rsid w:val="0F7E4AB5"/>
    <w:rsid w:val="0FDF5C57"/>
    <w:rsid w:val="0FEF45D8"/>
    <w:rsid w:val="104736AC"/>
    <w:rsid w:val="106B07D0"/>
    <w:rsid w:val="10B57C21"/>
    <w:rsid w:val="11052D75"/>
    <w:rsid w:val="11121F8F"/>
    <w:rsid w:val="11384B21"/>
    <w:rsid w:val="114A4FAE"/>
    <w:rsid w:val="11511F61"/>
    <w:rsid w:val="11CA3566"/>
    <w:rsid w:val="11D20C23"/>
    <w:rsid w:val="11E8746F"/>
    <w:rsid w:val="126360EB"/>
    <w:rsid w:val="129B2E90"/>
    <w:rsid w:val="12C51E21"/>
    <w:rsid w:val="13136432"/>
    <w:rsid w:val="137A5404"/>
    <w:rsid w:val="13EF0EA4"/>
    <w:rsid w:val="142D34C8"/>
    <w:rsid w:val="143A72EB"/>
    <w:rsid w:val="14507C35"/>
    <w:rsid w:val="14830B50"/>
    <w:rsid w:val="14D34591"/>
    <w:rsid w:val="14D74F4B"/>
    <w:rsid w:val="14D9719C"/>
    <w:rsid w:val="14F35BB7"/>
    <w:rsid w:val="152933A3"/>
    <w:rsid w:val="15C56166"/>
    <w:rsid w:val="15CC74E3"/>
    <w:rsid w:val="15D45C9E"/>
    <w:rsid w:val="15DD252D"/>
    <w:rsid w:val="162C4539"/>
    <w:rsid w:val="169F744C"/>
    <w:rsid w:val="17077E1E"/>
    <w:rsid w:val="173741A6"/>
    <w:rsid w:val="17497256"/>
    <w:rsid w:val="174B1C4B"/>
    <w:rsid w:val="17684412"/>
    <w:rsid w:val="17822770"/>
    <w:rsid w:val="17AE485B"/>
    <w:rsid w:val="17B0263E"/>
    <w:rsid w:val="17B8199D"/>
    <w:rsid w:val="17BE61DC"/>
    <w:rsid w:val="17C91759"/>
    <w:rsid w:val="17EC2627"/>
    <w:rsid w:val="18133ACD"/>
    <w:rsid w:val="18151F96"/>
    <w:rsid w:val="181C07FE"/>
    <w:rsid w:val="1828788D"/>
    <w:rsid w:val="18474916"/>
    <w:rsid w:val="188624F1"/>
    <w:rsid w:val="18891660"/>
    <w:rsid w:val="18EF51EF"/>
    <w:rsid w:val="19AE6A7C"/>
    <w:rsid w:val="19D2412A"/>
    <w:rsid w:val="1A205D77"/>
    <w:rsid w:val="1A2F4635"/>
    <w:rsid w:val="1A310B82"/>
    <w:rsid w:val="1A613B27"/>
    <w:rsid w:val="1A6500CD"/>
    <w:rsid w:val="1A6E3101"/>
    <w:rsid w:val="1AA40A79"/>
    <w:rsid w:val="1AAA7997"/>
    <w:rsid w:val="1AB67180"/>
    <w:rsid w:val="1AC73A13"/>
    <w:rsid w:val="1AD03189"/>
    <w:rsid w:val="1AD432CC"/>
    <w:rsid w:val="1AD6666E"/>
    <w:rsid w:val="1AEA5623"/>
    <w:rsid w:val="1B0A50FA"/>
    <w:rsid w:val="1B2674C4"/>
    <w:rsid w:val="1B4D444F"/>
    <w:rsid w:val="1B927ADD"/>
    <w:rsid w:val="1B9E2075"/>
    <w:rsid w:val="1BAE4885"/>
    <w:rsid w:val="1BC07661"/>
    <w:rsid w:val="1BDF0B10"/>
    <w:rsid w:val="1BED33B9"/>
    <w:rsid w:val="1C0C71B1"/>
    <w:rsid w:val="1C4560BD"/>
    <w:rsid w:val="1C471BAE"/>
    <w:rsid w:val="1C5C0C26"/>
    <w:rsid w:val="1C990E53"/>
    <w:rsid w:val="1CD4051D"/>
    <w:rsid w:val="1CDD2E94"/>
    <w:rsid w:val="1D027F1C"/>
    <w:rsid w:val="1D0A3E09"/>
    <w:rsid w:val="1D686669"/>
    <w:rsid w:val="1D8B05A9"/>
    <w:rsid w:val="1E1D26F4"/>
    <w:rsid w:val="1E2F362A"/>
    <w:rsid w:val="1E486D96"/>
    <w:rsid w:val="1E513B7B"/>
    <w:rsid w:val="1E65145D"/>
    <w:rsid w:val="1E66059A"/>
    <w:rsid w:val="1EBA5A37"/>
    <w:rsid w:val="1F47327D"/>
    <w:rsid w:val="1F6B2440"/>
    <w:rsid w:val="1F816AF6"/>
    <w:rsid w:val="1F8E47EB"/>
    <w:rsid w:val="1FA014C4"/>
    <w:rsid w:val="1FCD6E14"/>
    <w:rsid w:val="1FD820DF"/>
    <w:rsid w:val="20E36C50"/>
    <w:rsid w:val="21250A1F"/>
    <w:rsid w:val="213F6824"/>
    <w:rsid w:val="214340E4"/>
    <w:rsid w:val="218D24F0"/>
    <w:rsid w:val="219F1FA0"/>
    <w:rsid w:val="21E76FBA"/>
    <w:rsid w:val="22016D7A"/>
    <w:rsid w:val="225A72BA"/>
    <w:rsid w:val="226B42AC"/>
    <w:rsid w:val="226F3203"/>
    <w:rsid w:val="22AD0C76"/>
    <w:rsid w:val="22AD29BB"/>
    <w:rsid w:val="232F5F2B"/>
    <w:rsid w:val="232F6B26"/>
    <w:rsid w:val="23355E47"/>
    <w:rsid w:val="233A2E13"/>
    <w:rsid w:val="23502079"/>
    <w:rsid w:val="23552883"/>
    <w:rsid w:val="23AD17DA"/>
    <w:rsid w:val="23F52C20"/>
    <w:rsid w:val="24116252"/>
    <w:rsid w:val="244D1F35"/>
    <w:rsid w:val="245338FF"/>
    <w:rsid w:val="24615AF1"/>
    <w:rsid w:val="2488473B"/>
    <w:rsid w:val="24A47FAB"/>
    <w:rsid w:val="24A972CC"/>
    <w:rsid w:val="24B2644C"/>
    <w:rsid w:val="24BD7292"/>
    <w:rsid w:val="25154252"/>
    <w:rsid w:val="259D757A"/>
    <w:rsid w:val="25C90160"/>
    <w:rsid w:val="25EB1CBA"/>
    <w:rsid w:val="2694227D"/>
    <w:rsid w:val="26CA70AB"/>
    <w:rsid w:val="27206676"/>
    <w:rsid w:val="27323AFD"/>
    <w:rsid w:val="273625F3"/>
    <w:rsid w:val="274F154F"/>
    <w:rsid w:val="27640D6C"/>
    <w:rsid w:val="27660AB7"/>
    <w:rsid w:val="281929B4"/>
    <w:rsid w:val="28413725"/>
    <w:rsid w:val="284631BC"/>
    <w:rsid w:val="28790229"/>
    <w:rsid w:val="28955221"/>
    <w:rsid w:val="28DA74B8"/>
    <w:rsid w:val="29326C30"/>
    <w:rsid w:val="29463324"/>
    <w:rsid w:val="29474CAF"/>
    <w:rsid w:val="29483044"/>
    <w:rsid w:val="29DB5E89"/>
    <w:rsid w:val="2A880A7B"/>
    <w:rsid w:val="2AE47E9C"/>
    <w:rsid w:val="2AE5327C"/>
    <w:rsid w:val="2AEC5CA9"/>
    <w:rsid w:val="2B044026"/>
    <w:rsid w:val="2B357327"/>
    <w:rsid w:val="2B585185"/>
    <w:rsid w:val="2B987E93"/>
    <w:rsid w:val="2BA900DA"/>
    <w:rsid w:val="2BCE7FDF"/>
    <w:rsid w:val="2BFF6D43"/>
    <w:rsid w:val="2C421682"/>
    <w:rsid w:val="2C5E4903"/>
    <w:rsid w:val="2CB606A2"/>
    <w:rsid w:val="2CDE257A"/>
    <w:rsid w:val="2CEE627B"/>
    <w:rsid w:val="2D1D0F10"/>
    <w:rsid w:val="2D2325AC"/>
    <w:rsid w:val="2D254805"/>
    <w:rsid w:val="2D3E6293"/>
    <w:rsid w:val="2D716FB7"/>
    <w:rsid w:val="2D7D1990"/>
    <w:rsid w:val="2DB66D80"/>
    <w:rsid w:val="2DC144F7"/>
    <w:rsid w:val="2DC4660F"/>
    <w:rsid w:val="2E1A0AFB"/>
    <w:rsid w:val="2E6C218A"/>
    <w:rsid w:val="2EBC098A"/>
    <w:rsid w:val="2ED85E73"/>
    <w:rsid w:val="2EDA6F06"/>
    <w:rsid w:val="2F384988"/>
    <w:rsid w:val="2F3E13BB"/>
    <w:rsid w:val="2F60641D"/>
    <w:rsid w:val="2F6239B5"/>
    <w:rsid w:val="2F7013AD"/>
    <w:rsid w:val="2F7D0FB0"/>
    <w:rsid w:val="2F8B7CAE"/>
    <w:rsid w:val="2FC04BEF"/>
    <w:rsid w:val="2FF76086"/>
    <w:rsid w:val="30057BEC"/>
    <w:rsid w:val="301A4A2F"/>
    <w:rsid w:val="30287B62"/>
    <w:rsid w:val="303F76FD"/>
    <w:rsid w:val="30442541"/>
    <w:rsid w:val="305C69DC"/>
    <w:rsid w:val="30997F39"/>
    <w:rsid w:val="30B03D7B"/>
    <w:rsid w:val="31047F0E"/>
    <w:rsid w:val="31241EB0"/>
    <w:rsid w:val="315C46BD"/>
    <w:rsid w:val="31CF68AA"/>
    <w:rsid w:val="31EB11BF"/>
    <w:rsid w:val="31F67EDC"/>
    <w:rsid w:val="32821B23"/>
    <w:rsid w:val="329135B7"/>
    <w:rsid w:val="329A2400"/>
    <w:rsid w:val="32BF3509"/>
    <w:rsid w:val="32E35695"/>
    <w:rsid w:val="330F7979"/>
    <w:rsid w:val="33110959"/>
    <w:rsid w:val="332205C8"/>
    <w:rsid w:val="33B916E0"/>
    <w:rsid w:val="33D321A9"/>
    <w:rsid w:val="33E31656"/>
    <w:rsid w:val="33FC15EB"/>
    <w:rsid w:val="34442F4F"/>
    <w:rsid w:val="344E1AF3"/>
    <w:rsid w:val="34653511"/>
    <w:rsid w:val="34943EB5"/>
    <w:rsid w:val="349E2586"/>
    <w:rsid w:val="34A00986"/>
    <w:rsid w:val="34AC0990"/>
    <w:rsid w:val="34CF1173"/>
    <w:rsid w:val="35150EE6"/>
    <w:rsid w:val="35B206C2"/>
    <w:rsid w:val="35E543BD"/>
    <w:rsid w:val="36107F4A"/>
    <w:rsid w:val="36174299"/>
    <w:rsid w:val="36504865"/>
    <w:rsid w:val="3660487F"/>
    <w:rsid w:val="366D489F"/>
    <w:rsid w:val="367C1664"/>
    <w:rsid w:val="36807F5F"/>
    <w:rsid w:val="368F09FA"/>
    <w:rsid w:val="36E76FE1"/>
    <w:rsid w:val="375D203C"/>
    <w:rsid w:val="38026A6F"/>
    <w:rsid w:val="38244844"/>
    <w:rsid w:val="3839689E"/>
    <w:rsid w:val="383C5696"/>
    <w:rsid w:val="387B18EF"/>
    <w:rsid w:val="387E303B"/>
    <w:rsid w:val="38AA423A"/>
    <w:rsid w:val="38EE3BF8"/>
    <w:rsid w:val="38FD1C54"/>
    <w:rsid w:val="392D582E"/>
    <w:rsid w:val="39C15447"/>
    <w:rsid w:val="39E40532"/>
    <w:rsid w:val="3A3C34B9"/>
    <w:rsid w:val="3A4D554F"/>
    <w:rsid w:val="3A5C2699"/>
    <w:rsid w:val="3A9827B6"/>
    <w:rsid w:val="3AB578C7"/>
    <w:rsid w:val="3AB729A8"/>
    <w:rsid w:val="3AD14697"/>
    <w:rsid w:val="3B1E5329"/>
    <w:rsid w:val="3B3F570B"/>
    <w:rsid w:val="3B440988"/>
    <w:rsid w:val="3BC63B24"/>
    <w:rsid w:val="3BCD3EBF"/>
    <w:rsid w:val="3C144B91"/>
    <w:rsid w:val="3CAB19CD"/>
    <w:rsid w:val="3CAC7EDE"/>
    <w:rsid w:val="3CDB3BDA"/>
    <w:rsid w:val="3CFB3391"/>
    <w:rsid w:val="3D562934"/>
    <w:rsid w:val="3D60411F"/>
    <w:rsid w:val="3D631C84"/>
    <w:rsid w:val="3D863437"/>
    <w:rsid w:val="3D8A02CD"/>
    <w:rsid w:val="3D8B7DB9"/>
    <w:rsid w:val="3DA93298"/>
    <w:rsid w:val="3DDF4B2C"/>
    <w:rsid w:val="3DF94976"/>
    <w:rsid w:val="3E004CF1"/>
    <w:rsid w:val="3E547E99"/>
    <w:rsid w:val="3EAA48DB"/>
    <w:rsid w:val="3EC244C3"/>
    <w:rsid w:val="3EC82150"/>
    <w:rsid w:val="3EFA5782"/>
    <w:rsid w:val="3F0D44AE"/>
    <w:rsid w:val="3F115584"/>
    <w:rsid w:val="3F1D6618"/>
    <w:rsid w:val="3F36468C"/>
    <w:rsid w:val="3FB75AA7"/>
    <w:rsid w:val="3FBA1F41"/>
    <w:rsid w:val="3FFC782B"/>
    <w:rsid w:val="401B3CF2"/>
    <w:rsid w:val="40327DB0"/>
    <w:rsid w:val="40484F3F"/>
    <w:rsid w:val="40A422EE"/>
    <w:rsid w:val="40AB1D23"/>
    <w:rsid w:val="40F53849"/>
    <w:rsid w:val="41E657FF"/>
    <w:rsid w:val="41E70D48"/>
    <w:rsid w:val="420261D9"/>
    <w:rsid w:val="42917FBA"/>
    <w:rsid w:val="436C0A8D"/>
    <w:rsid w:val="43DC2B82"/>
    <w:rsid w:val="43E22ABA"/>
    <w:rsid w:val="43F80DCD"/>
    <w:rsid w:val="43FB75A4"/>
    <w:rsid w:val="44084556"/>
    <w:rsid w:val="442909C3"/>
    <w:rsid w:val="445D41D8"/>
    <w:rsid w:val="44751F2B"/>
    <w:rsid w:val="44840632"/>
    <w:rsid w:val="44884C83"/>
    <w:rsid w:val="449622B7"/>
    <w:rsid w:val="453074E6"/>
    <w:rsid w:val="45432070"/>
    <w:rsid w:val="46500EC4"/>
    <w:rsid w:val="467E1C70"/>
    <w:rsid w:val="468A4245"/>
    <w:rsid w:val="46AF722A"/>
    <w:rsid w:val="46B646C0"/>
    <w:rsid w:val="473A07C7"/>
    <w:rsid w:val="4748596C"/>
    <w:rsid w:val="47500045"/>
    <w:rsid w:val="476B40D2"/>
    <w:rsid w:val="478B7839"/>
    <w:rsid w:val="47B87D09"/>
    <w:rsid w:val="47E466D6"/>
    <w:rsid w:val="48040645"/>
    <w:rsid w:val="48523C0A"/>
    <w:rsid w:val="48763CF2"/>
    <w:rsid w:val="48785542"/>
    <w:rsid w:val="4879404B"/>
    <w:rsid w:val="487C78C9"/>
    <w:rsid w:val="489E3890"/>
    <w:rsid w:val="48F549A5"/>
    <w:rsid w:val="494975E8"/>
    <w:rsid w:val="497A2C70"/>
    <w:rsid w:val="49E47F6E"/>
    <w:rsid w:val="4A4F766A"/>
    <w:rsid w:val="4A51245D"/>
    <w:rsid w:val="4B3A06D7"/>
    <w:rsid w:val="4B3A2B43"/>
    <w:rsid w:val="4B3F6B82"/>
    <w:rsid w:val="4B447127"/>
    <w:rsid w:val="4B527A52"/>
    <w:rsid w:val="4B6B7860"/>
    <w:rsid w:val="4B822253"/>
    <w:rsid w:val="4BA22522"/>
    <w:rsid w:val="4BC56187"/>
    <w:rsid w:val="4BD34E49"/>
    <w:rsid w:val="4BD87131"/>
    <w:rsid w:val="4C0C01C1"/>
    <w:rsid w:val="4CBC28D9"/>
    <w:rsid w:val="4CDD0BFF"/>
    <w:rsid w:val="4D1B377D"/>
    <w:rsid w:val="4D3021F3"/>
    <w:rsid w:val="4D3F455B"/>
    <w:rsid w:val="4D6C7200"/>
    <w:rsid w:val="4D6E3BBD"/>
    <w:rsid w:val="4DBC088F"/>
    <w:rsid w:val="4DCF2F60"/>
    <w:rsid w:val="4DD214BF"/>
    <w:rsid w:val="4E2174AB"/>
    <w:rsid w:val="4E2C1433"/>
    <w:rsid w:val="4E300D69"/>
    <w:rsid w:val="4E4E5A90"/>
    <w:rsid w:val="4E5B5CFD"/>
    <w:rsid w:val="4E6C325B"/>
    <w:rsid w:val="4EC54C1D"/>
    <w:rsid w:val="4ED35B75"/>
    <w:rsid w:val="4EE00DE1"/>
    <w:rsid w:val="4F264754"/>
    <w:rsid w:val="4F7072B9"/>
    <w:rsid w:val="4F7E2EF6"/>
    <w:rsid w:val="4F8464B4"/>
    <w:rsid w:val="4F9A1B35"/>
    <w:rsid w:val="4FBA1399"/>
    <w:rsid w:val="4FBB7146"/>
    <w:rsid w:val="4FD70343"/>
    <w:rsid w:val="4FF04118"/>
    <w:rsid w:val="50391FDB"/>
    <w:rsid w:val="504E4830"/>
    <w:rsid w:val="50530F7D"/>
    <w:rsid w:val="50806617"/>
    <w:rsid w:val="50D76907"/>
    <w:rsid w:val="50E71153"/>
    <w:rsid w:val="50F43735"/>
    <w:rsid w:val="513F1823"/>
    <w:rsid w:val="516F27CB"/>
    <w:rsid w:val="517D5D2C"/>
    <w:rsid w:val="5196143C"/>
    <w:rsid w:val="5198571D"/>
    <w:rsid w:val="51E63FE0"/>
    <w:rsid w:val="52043826"/>
    <w:rsid w:val="52125025"/>
    <w:rsid w:val="524266BE"/>
    <w:rsid w:val="52716235"/>
    <w:rsid w:val="52BF714B"/>
    <w:rsid w:val="52CB19E0"/>
    <w:rsid w:val="52D95337"/>
    <w:rsid w:val="52F13971"/>
    <w:rsid w:val="531151F6"/>
    <w:rsid w:val="53193AC3"/>
    <w:rsid w:val="53276A0F"/>
    <w:rsid w:val="53332AEA"/>
    <w:rsid w:val="53356AB0"/>
    <w:rsid w:val="53597175"/>
    <w:rsid w:val="53687418"/>
    <w:rsid w:val="53720DE2"/>
    <w:rsid w:val="53BB67EB"/>
    <w:rsid w:val="53CD4272"/>
    <w:rsid w:val="53F92C98"/>
    <w:rsid w:val="54067AFD"/>
    <w:rsid w:val="540F644B"/>
    <w:rsid w:val="54200E93"/>
    <w:rsid w:val="54273E81"/>
    <w:rsid w:val="543956AB"/>
    <w:rsid w:val="544E765F"/>
    <w:rsid w:val="54D91FB7"/>
    <w:rsid w:val="555D67A4"/>
    <w:rsid w:val="55911A9A"/>
    <w:rsid w:val="559612BE"/>
    <w:rsid w:val="55B60238"/>
    <w:rsid w:val="55E63F3A"/>
    <w:rsid w:val="55EA5219"/>
    <w:rsid w:val="55F22A1C"/>
    <w:rsid w:val="56091D72"/>
    <w:rsid w:val="561505D4"/>
    <w:rsid w:val="563102A4"/>
    <w:rsid w:val="564D0FDB"/>
    <w:rsid w:val="5669226E"/>
    <w:rsid w:val="566C3892"/>
    <w:rsid w:val="56973E1F"/>
    <w:rsid w:val="56C63E25"/>
    <w:rsid w:val="575047ED"/>
    <w:rsid w:val="576772B5"/>
    <w:rsid w:val="578C1880"/>
    <w:rsid w:val="57CD71C9"/>
    <w:rsid w:val="57E34306"/>
    <w:rsid w:val="57E57589"/>
    <w:rsid w:val="57ED2754"/>
    <w:rsid w:val="583F3E8F"/>
    <w:rsid w:val="58853F96"/>
    <w:rsid w:val="58AC71CF"/>
    <w:rsid w:val="58C163D9"/>
    <w:rsid w:val="591254B9"/>
    <w:rsid w:val="59172716"/>
    <w:rsid w:val="59A92A61"/>
    <w:rsid w:val="59C9560C"/>
    <w:rsid w:val="5ADE1F73"/>
    <w:rsid w:val="5BF2528B"/>
    <w:rsid w:val="5BF8382F"/>
    <w:rsid w:val="5C22684F"/>
    <w:rsid w:val="5CB52BD2"/>
    <w:rsid w:val="5CDF456F"/>
    <w:rsid w:val="5CE3322E"/>
    <w:rsid w:val="5D136EB7"/>
    <w:rsid w:val="5D572C78"/>
    <w:rsid w:val="5D9A56C3"/>
    <w:rsid w:val="5D9B6C73"/>
    <w:rsid w:val="5DCB33F6"/>
    <w:rsid w:val="5DD153DA"/>
    <w:rsid w:val="5DFF429F"/>
    <w:rsid w:val="5E3556CC"/>
    <w:rsid w:val="5E6A2CC5"/>
    <w:rsid w:val="5E990EF9"/>
    <w:rsid w:val="5E99583F"/>
    <w:rsid w:val="5EBF74D1"/>
    <w:rsid w:val="5F2465E8"/>
    <w:rsid w:val="5F306102"/>
    <w:rsid w:val="5F3A7E14"/>
    <w:rsid w:val="5F4B72E8"/>
    <w:rsid w:val="5F783DAA"/>
    <w:rsid w:val="5FAB43E0"/>
    <w:rsid w:val="5FCE5104"/>
    <w:rsid w:val="601A24B3"/>
    <w:rsid w:val="603B11D0"/>
    <w:rsid w:val="605204D7"/>
    <w:rsid w:val="60E15CF6"/>
    <w:rsid w:val="60FE4D9D"/>
    <w:rsid w:val="61067EA9"/>
    <w:rsid w:val="610F682B"/>
    <w:rsid w:val="612C47B1"/>
    <w:rsid w:val="61AA49D7"/>
    <w:rsid w:val="61BC406F"/>
    <w:rsid w:val="61BD7829"/>
    <w:rsid w:val="61CC3C88"/>
    <w:rsid w:val="61DB480A"/>
    <w:rsid w:val="61E33190"/>
    <w:rsid w:val="62592099"/>
    <w:rsid w:val="626A12F1"/>
    <w:rsid w:val="62F241E8"/>
    <w:rsid w:val="6311614C"/>
    <w:rsid w:val="6320666B"/>
    <w:rsid w:val="632B71C6"/>
    <w:rsid w:val="634C153F"/>
    <w:rsid w:val="636F7002"/>
    <w:rsid w:val="6404516A"/>
    <w:rsid w:val="6438051B"/>
    <w:rsid w:val="645940DA"/>
    <w:rsid w:val="647B44F8"/>
    <w:rsid w:val="64834DD8"/>
    <w:rsid w:val="648C318D"/>
    <w:rsid w:val="64D30970"/>
    <w:rsid w:val="64F864C5"/>
    <w:rsid w:val="653505E7"/>
    <w:rsid w:val="658F218E"/>
    <w:rsid w:val="65DC0F74"/>
    <w:rsid w:val="661B154B"/>
    <w:rsid w:val="662114A5"/>
    <w:rsid w:val="662E766F"/>
    <w:rsid w:val="665F2A22"/>
    <w:rsid w:val="666917DB"/>
    <w:rsid w:val="66AC2722"/>
    <w:rsid w:val="66BD6AE0"/>
    <w:rsid w:val="67305B69"/>
    <w:rsid w:val="676A38DC"/>
    <w:rsid w:val="678F1196"/>
    <w:rsid w:val="67A05B7E"/>
    <w:rsid w:val="67ED5EED"/>
    <w:rsid w:val="68101CC4"/>
    <w:rsid w:val="68231750"/>
    <w:rsid w:val="682F05A5"/>
    <w:rsid w:val="687424E1"/>
    <w:rsid w:val="687A681D"/>
    <w:rsid w:val="68B00491"/>
    <w:rsid w:val="68D433DA"/>
    <w:rsid w:val="68D81006"/>
    <w:rsid w:val="69146FEF"/>
    <w:rsid w:val="69237B6A"/>
    <w:rsid w:val="69D34CDF"/>
    <w:rsid w:val="6A2C2F4C"/>
    <w:rsid w:val="6A5F4FA1"/>
    <w:rsid w:val="6A7A4E34"/>
    <w:rsid w:val="6AD20B92"/>
    <w:rsid w:val="6ADA6866"/>
    <w:rsid w:val="6B1C4DFE"/>
    <w:rsid w:val="6B61332D"/>
    <w:rsid w:val="6C1955AE"/>
    <w:rsid w:val="6C1E52D0"/>
    <w:rsid w:val="6C4516BE"/>
    <w:rsid w:val="6C4F5101"/>
    <w:rsid w:val="6C7621DF"/>
    <w:rsid w:val="6C787452"/>
    <w:rsid w:val="6C853C97"/>
    <w:rsid w:val="6CB87914"/>
    <w:rsid w:val="6CE1254E"/>
    <w:rsid w:val="6CEF4F0F"/>
    <w:rsid w:val="6D397846"/>
    <w:rsid w:val="6DAA12B9"/>
    <w:rsid w:val="6DAB59DE"/>
    <w:rsid w:val="6DAC0CA7"/>
    <w:rsid w:val="6DDE2AF4"/>
    <w:rsid w:val="6E301E58"/>
    <w:rsid w:val="6E434EF0"/>
    <w:rsid w:val="6E6E4E06"/>
    <w:rsid w:val="6E7A016D"/>
    <w:rsid w:val="6E8B52E0"/>
    <w:rsid w:val="6E942F90"/>
    <w:rsid w:val="6EC1476E"/>
    <w:rsid w:val="6EC47A23"/>
    <w:rsid w:val="6ED9364E"/>
    <w:rsid w:val="6EF47564"/>
    <w:rsid w:val="6EFB5B0A"/>
    <w:rsid w:val="6F10293F"/>
    <w:rsid w:val="6F867391"/>
    <w:rsid w:val="6FC96806"/>
    <w:rsid w:val="6FFD220E"/>
    <w:rsid w:val="701B0E3A"/>
    <w:rsid w:val="70235C5C"/>
    <w:rsid w:val="702C1048"/>
    <w:rsid w:val="70455FF7"/>
    <w:rsid w:val="7051307C"/>
    <w:rsid w:val="705B4869"/>
    <w:rsid w:val="707215D5"/>
    <w:rsid w:val="708B7B34"/>
    <w:rsid w:val="709C6D6D"/>
    <w:rsid w:val="7146712D"/>
    <w:rsid w:val="71493855"/>
    <w:rsid w:val="71525973"/>
    <w:rsid w:val="71981EF1"/>
    <w:rsid w:val="71B53A87"/>
    <w:rsid w:val="71C63789"/>
    <w:rsid w:val="71D55BDA"/>
    <w:rsid w:val="71DA2ABA"/>
    <w:rsid w:val="71F402F6"/>
    <w:rsid w:val="71F76241"/>
    <w:rsid w:val="720E63F2"/>
    <w:rsid w:val="726971FF"/>
    <w:rsid w:val="729C351D"/>
    <w:rsid w:val="72BE6BEF"/>
    <w:rsid w:val="72F42593"/>
    <w:rsid w:val="730043D2"/>
    <w:rsid w:val="73171838"/>
    <w:rsid w:val="73724465"/>
    <w:rsid w:val="73CC483B"/>
    <w:rsid w:val="74125A53"/>
    <w:rsid w:val="741D2362"/>
    <w:rsid w:val="74561CD0"/>
    <w:rsid w:val="74933D70"/>
    <w:rsid w:val="749C2B7B"/>
    <w:rsid w:val="749D1342"/>
    <w:rsid w:val="74D43450"/>
    <w:rsid w:val="75566EE4"/>
    <w:rsid w:val="7583200C"/>
    <w:rsid w:val="759F3253"/>
    <w:rsid w:val="75CC03E9"/>
    <w:rsid w:val="75DA60DA"/>
    <w:rsid w:val="76031C08"/>
    <w:rsid w:val="7639471C"/>
    <w:rsid w:val="7660428B"/>
    <w:rsid w:val="76AE4F17"/>
    <w:rsid w:val="76C168E2"/>
    <w:rsid w:val="76C56DC4"/>
    <w:rsid w:val="76F2653C"/>
    <w:rsid w:val="772C33D8"/>
    <w:rsid w:val="777E6082"/>
    <w:rsid w:val="77B4314C"/>
    <w:rsid w:val="77CD13AB"/>
    <w:rsid w:val="77D84AFD"/>
    <w:rsid w:val="789E6215"/>
    <w:rsid w:val="78B23E01"/>
    <w:rsid w:val="78BA32A4"/>
    <w:rsid w:val="78C647AD"/>
    <w:rsid w:val="793A5F27"/>
    <w:rsid w:val="794A4C2F"/>
    <w:rsid w:val="79900684"/>
    <w:rsid w:val="79963F39"/>
    <w:rsid w:val="79A65463"/>
    <w:rsid w:val="79CF1331"/>
    <w:rsid w:val="79E104AA"/>
    <w:rsid w:val="79EE299E"/>
    <w:rsid w:val="79F31D17"/>
    <w:rsid w:val="79F57EBD"/>
    <w:rsid w:val="7A286456"/>
    <w:rsid w:val="7A5C723D"/>
    <w:rsid w:val="7A9E1EBA"/>
    <w:rsid w:val="7ABB1E58"/>
    <w:rsid w:val="7ACF0E2A"/>
    <w:rsid w:val="7ADC31A8"/>
    <w:rsid w:val="7ADF587C"/>
    <w:rsid w:val="7AE11CFE"/>
    <w:rsid w:val="7B205002"/>
    <w:rsid w:val="7B275319"/>
    <w:rsid w:val="7B391AEF"/>
    <w:rsid w:val="7B4324F0"/>
    <w:rsid w:val="7B453B00"/>
    <w:rsid w:val="7B8F0214"/>
    <w:rsid w:val="7BA479E1"/>
    <w:rsid w:val="7BCD518A"/>
    <w:rsid w:val="7BF111A2"/>
    <w:rsid w:val="7C16431B"/>
    <w:rsid w:val="7C280C89"/>
    <w:rsid w:val="7C283298"/>
    <w:rsid w:val="7CAE4569"/>
    <w:rsid w:val="7CB121DB"/>
    <w:rsid w:val="7CBE43EB"/>
    <w:rsid w:val="7CCB6342"/>
    <w:rsid w:val="7D040A54"/>
    <w:rsid w:val="7D2B5029"/>
    <w:rsid w:val="7D3C25A3"/>
    <w:rsid w:val="7D627B54"/>
    <w:rsid w:val="7DBB4185"/>
    <w:rsid w:val="7DC934DB"/>
    <w:rsid w:val="7DFF4DF6"/>
    <w:rsid w:val="7E2C3CBE"/>
    <w:rsid w:val="7E492AC2"/>
    <w:rsid w:val="7E5739DC"/>
    <w:rsid w:val="7E9C3379"/>
    <w:rsid w:val="7E9E3841"/>
    <w:rsid w:val="7EA33096"/>
    <w:rsid w:val="7EA47CF8"/>
    <w:rsid w:val="7EAB1087"/>
    <w:rsid w:val="7ECB1A77"/>
    <w:rsid w:val="7ECC1B65"/>
    <w:rsid w:val="7ED60533"/>
    <w:rsid w:val="7EE23AE4"/>
    <w:rsid w:val="7EE52B34"/>
    <w:rsid w:val="7EEF3F71"/>
    <w:rsid w:val="7F245C4D"/>
    <w:rsid w:val="7FB77874"/>
    <w:rsid w:val="7FE32DAA"/>
    <w:rsid w:val="7FF64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link w:val="60"/>
    <w:qFormat/>
    <w:uiPriority w:val="0"/>
    <w:pPr>
      <w:keepNext/>
      <w:keepLines/>
      <w:spacing w:after="120" w:line="360" w:lineRule="auto"/>
      <w:outlineLvl w:val="0"/>
    </w:pPr>
    <w:rPr>
      <w:kern w:val="44"/>
      <w:sz w:val="28"/>
      <w:szCs w:val="28"/>
    </w:rPr>
  </w:style>
  <w:style w:type="paragraph" w:styleId="4">
    <w:name w:val="heading 2"/>
    <w:basedOn w:val="1"/>
    <w:next w:val="1"/>
    <w:link w:val="61"/>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5">
    <w:name w:val="heading 3"/>
    <w:basedOn w:val="1"/>
    <w:next w:val="1"/>
    <w:link w:val="46"/>
    <w:qFormat/>
    <w:uiPriority w:val="0"/>
    <w:pPr>
      <w:widowControl/>
      <w:spacing w:before="100" w:beforeAutospacing="1" w:after="100" w:afterAutospacing="1"/>
      <w:jc w:val="left"/>
      <w:outlineLvl w:val="2"/>
    </w:pPr>
    <w:rPr>
      <w:rFonts w:ascii="宋体" w:hAnsi="宋体" w:eastAsia="宋体" w:cs="宋体"/>
      <w:kern w:val="0"/>
      <w:sz w:val="24"/>
      <w:szCs w:val="27"/>
    </w:rPr>
  </w:style>
  <w:style w:type="paragraph" w:styleId="6">
    <w:name w:val="heading 4"/>
    <w:basedOn w:val="5"/>
    <w:next w:val="7"/>
    <w:link w:val="62"/>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8">
    <w:name w:val="heading 5"/>
    <w:basedOn w:val="6"/>
    <w:next w:val="7"/>
    <w:link w:val="63"/>
    <w:qFormat/>
    <w:uiPriority w:val="0"/>
    <w:pPr>
      <w:numPr>
        <w:ilvl w:val="4"/>
      </w:numPr>
      <w:spacing w:line="240" w:lineRule="exact"/>
      <w:outlineLvl w:val="4"/>
    </w:pPr>
  </w:style>
  <w:style w:type="paragraph" w:styleId="9">
    <w:name w:val="heading 6"/>
    <w:basedOn w:val="1"/>
    <w:next w:val="1"/>
    <w:link w:val="64"/>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0">
    <w:name w:val="heading 7"/>
    <w:basedOn w:val="1"/>
    <w:next w:val="7"/>
    <w:link w:val="65"/>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1">
    <w:name w:val="heading 8"/>
    <w:basedOn w:val="1"/>
    <w:next w:val="7"/>
    <w:link w:val="66"/>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2">
    <w:name w:val="heading 9"/>
    <w:basedOn w:val="1"/>
    <w:next w:val="7"/>
    <w:link w:val="67"/>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69"/>
    <w:qFormat/>
    <w:uiPriority w:val="0"/>
    <w:pPr>
      <w:spacing w:before="120" w:after="60"/>
      <w:jc w:val="center"/>
    </w:pPr>
    <w:rPr>
      <w:rFonts w:ascii="Arial" w:hAnsi="Arial"/>
      <w:b/>
      <w:sz w:val="44"/>
      <w:szCs w:val="20"/>
    </w:rPr>
  </w:style>
  <w:style w:type="paragraph" w:styleId="7">
    <w:name w:val="Normal Indent"/>
    <w:basedOn w:val="1"/>
    <w:next w:val="1"/>
    <w:qFormat/>
    <w:uiPriority w:val="0"/>
    <w:pPr>
      <w:ind w:firstLine="420"/>
    </w:pPr>
    <w:rPr>
      <w:rFonts w:ascii="Times New Roman" w:hAnsi="Times New Roman"/>
      <w:szCs w:val="20"/>
    </w:rPr>
  </w:style>
  <w:style w:type="paragraph" w:styleId="13">
    <w:name w:val="Document Map"/>
    <w:basedOn w:val="1"/>
    <w:link w:val="79"/>
    <w:qFormat/>
    <w:uiPriority w:val="0"/>
    <w:pPr>
      <w:shd w:val="clear" w:color="auto" w:fill="000080"/>
    </w:pPr>
    <w:rPr>
      <w:rFonts w:ascii="Times New Roman" w:hAnsi="Times New Roman"/>
      <w:szCs w:val="20"/>
    </w:rPr>
  </w:style>
  <w:style w:type="paragraph" w:styleId="14">
    <w:name w:val="annotation text"/>
    <w:basedOn w:val="1"/>
    <w:link w:val="105"/>
    <w:qFormat/>
    <w:uiPriority w:val="0"/>
    <w:pPr>
      <w:spacing w:line="360" w:lineRule="auto"/>
      <w:ind w:firstLine="523" w:firstLineChars="218"/>
      <w:jc w:val="left"/>
    </w:pPr>
    <w:rPr>
      <w:rFonts w:ascii="宋体" w:hAnsi="宋体"/>
      <w:sz w:val="24"/>
      <w:szCs w:val="24"/>
    </w:rPr>
  </w:style>
  <w:style w:type="paragraph" w:styleId="15">
    <w:name w:val="Body Text"/>
    <w:basedOn w:val="1"/>
    <w:next w:val="16"/>
    <w:link w:val="71"/>
    <w:qFormat/>
    <w:uiPriority w:val="0"/>
    <w:pPr>
      <w:spacing w:after="120"/>
    </w:pPr>
    <w:rPr>
      <w:rFonts w:ascii="Times New Roman" w:hAnsi="Times New Roman"/>
      <w:szCs w:val="20"/>
    </w:rPr>
  </w:style>
  <w:style w:type="paragraph" w:styleId="16">
    <w:name w:val="Body Text Indent"/>
    <w:basedOn w:val="1"/>
    <w:link w:val="77"/>
    <w:qFormat/>
    <w:uiPriority w:val="0"/>
    <w:pPr>
      <w:ind w:firstLine="570"/>
    </w:pPr>
    <w:rPr>
      <w:rFonts w:ascii="Times New Roman" w:hAnsi="Times New Roman"/>
      <w:sz w:val="28"/>
      <w:szCs w:val="20"/>
    </w:rPr>
  </w:style>
  <w:style w:type="paragraph" w:styleId="17">
    <w:name w:val="index 4"/>
    <w:basedOn w:val="1"/>
    <w:next w:val="1"/>
    <w:unhideWhenUsed/>
    <w:qFormat/>
    <w:uiPriority w:val="99"/>
    <w:pPr>
      <w:ind w:left="600" w:leftChars="600"/>
    </w:pPr>
  </w:style>
  <w:style w:type="paragraph" w:styleId="18">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19">
    <w:name w:val="Plain Text"/>
    <w:basedOn w:val="1"/>
    <w:next w:val="1"/>
    <w:link w:val="81"/>
    <w:qFormat/>
    <w:uiPriority w:val="0"/>
    <w:rPr>
      <w:rFonts w:ascii="宋体" w:hAnsi="Courier New"/>
      <w:szCs w:val="20"/>
    </w:rPr>
  </w:style>
  <w:style w:type="paragraph" w:styleId="20">
    <w:name w:val="Date"/>
    <w:basedOn w:val="1"/>
    <w:next w:val="1"/>
    <w:link w:val="75"/>
    <w:qFormat/>
    <w:uiPriority w:val="0"/>
    <w:rPr>
      <w:rFonts w:ascii="Times New Roman" w:hAnsi="Times New Roman"/>
      <w:szCs w:val="20"/>
    </w:rPr>
  </w:style>
  <w:style w:type="paragraph" w:styleId="21">
    <w:name w:val="Body Text Indent 2"/>
    <w:basedOn w:val="1"/>
    <w:link w:val="83"/>
    <w:qFormat/>
    <w:uiPriority w:val="0"/>
    <w:pPr>
      <w:spacing w:line="400" w:lineRule="exact"/>
      <w:ind w:left="425"/>
    </w:pPr>
    <w:rPr>
      <w:rFonts w:ascii="Times New Roman" w:hAnsi="Times New Roman"/>
      <w:color w:val="000000"/>
      <w:sz w:val="24"/>
      <w:szCs w:val="20"/>
    </w:rPr>
  </w:style>
  <w:style w:type="paragraph" w:styleId="22">
    <w:name w:val="endnote text"/>
    <w:basedOn w:val="1"/>
    <w:link w:val="92"/>
    <w:qFormat/>
    <w:uiPriority w:val="0"/>
    <w:pPr>
      <w:snapToGrid w:val="0"/>
      <w:jc w:val="left"/>
    </w:pPr>
    <w:rPr>
      <w:rFonts w:ascii="Times New Roman" w:hAnsi="Times New Roman"/>
      <w:szCs w:val="20"/>
    </w:rPr>
  </w:style>
  <w:style w:type="paragraph" w:styleId="23">
    <w:name w:val="Balloon Text"/>
    <w:basedOn w:val="1"/>
    <w:link w:val="102"/>
    <w:qFormat/>
    <w:uiPriority w:val="0"/>
    <w:rPr>
      <w:rFonts w:ascii="Times New Roman" w:hAnsi="Times New Roman"/>
      <w:sz w:val="18"/>
      <w:szCs w:val="18"/>
    </w:rPr>
  </w:style>
  <w:style w:type="paragraph" w:styleId="24">
    <w:name w:val="footer"/>
    <w:basedOn w:val="1"/>
    <w:link w:val="59"/>
    <w:unhideWhenUsed/>
    <w:qFormat/>
    <w:uiPriority w:val="0"/>
    <w:pPr>
      <w:tabs>
        <w:tab w:val="center" w:pos="4153"/>
        <w:tab w:val="right" w:pos="8306"/>
      </w:tabs>
      <w:snapToGrid w:val="0"/>
      <w:jc w:val="left"/>
    </w:pPr>
    <w:rPr>
      <w:sz w:val="18"/>
      <w:szCs w:val="18"/>
    </w:rPr>
  </w:style>
  <w:style w:type="paragraph" w:styleId="25">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7">
    <w:name w:val="footnote text"/>
    <w:basedOn w:val="1"/>
    <w:link w:val="107"/>
    <w:qFormat/>
    <w:uiPriority w:val="0"/>
    <w:pPr>
      <w:snapToGrid w:val="0"/>
      <w:spacing w:line="360" w:lineRule="auto"/>
      <w:ind w:firstLine="523" w:firstLineChars="218"/>
      <w:jc w:val="left"/>
    </w:pPr>
    <w:rPr>
      <w:rFonts w:ascii="宋体" w:hAnsi="宋体"/>
      <w:sz w:val="18"/>
      <w:szCs w:val="18"/>
    </w:rPr>
  </w:style>
  <w:style w:type="paragraph" w:styleId="28">
    <w:name w:val="Body Text Indent 3"/>
    <w:basedOn w:val="1"/>
    <w:link w:val="85"/>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29">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0">
    <w:name w:val="Body Text 2"/>
    <w:basedOn w:val="1"/>
    <w:link w:val="89"/>
    <w:qFormat/>
    <w:uiPriority w:val="0"/>
    <w:rPr>
      <w:rFonts w:ascii="宋体" w:hAnsi="宋体"/>
      <w:szCs w:val="24"/>
      <w:u w:val="single"/>
    </w:rPr>
  </w:style>
  <w:style w:type="paragraph" w:styleId="3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2">
    <w:name w:val="Normal (Web)"/>
    <w:basedOn w:val="1"/>
    <w:qFormat/>
    <w:uiPriority w:val="0"/>
    <w:pPr>
      <w:widowControl/>
      <w:autoSpaceDE/>
      <w:autoSpaceDN/>
      <w:spacing w:before="100" w:beforeAutospacing="1" w:after="100" w:afterAutospacing="1"/>
    </w:pPr>
    <w:rPr>
      <w:rFonts w:ascii="宋体" w:hAnsi="宋体" w:eastAsia="方正楷体_GB2312" w:cs="宋体"/>
      <w:sz w:val="24"/>
      <w:szCs w:val="24"/>
    </w:rPr>
  </w:style>
  <w:style w:type="paragraph" w:styleId="33">
    <w:name w:val="index 1"/>
    <w:basedOn w:val="1"/>
    <w:next w:val="1"/>
    <w:qFormat/>
    <w:uiPriority w:val="0"/>
    <w:rPr>
      <w:rFonts w:ascii="Times New Roman" w:hAnsi="Times New Roman" w:eastAsia="仿宋_GB2312"/>
      <w:sz w:val="28"/>
      <w:szCs w:val="20"/>
    </w:rPr>
  </w:style>
  <w:style w:type="paragraph" w:styleId="34">
    <w:name w:val="annotation subject"/>
    <w:basedOn w:val="14"/>
    <w:next w:val="14"/>
    <w:link w:val="109"/>
    <w:qFormat/>
    <w:uiPriority w:val="0"/>
    <w:rPr>
      <w:b/>
      <w:bCs/>
    </w:rPr>
  </w:style>
  <w:style w:type="paragraph" w:styleId="35">
    <w:name w:val="Body Text First Indent"/>
    <w:basedOn w:val="15"/>
    <w:link w:val="73"/>
    <w:qFormat/>
    <w:uiPriority w:val="0"/>
    <w:pPr>
      <w:ind w:firstLine="420"/>
    </w:pPr>
  </w:style>
  <w:style w:type="table" w:styleId="37">
    <w:name w:val="Table Grid"/>
    <w:basedOn w:val="36"/>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rPr>
  </w:style>
  <w:style w:type="character" w:styleId="40">
    <w:name w:val="endnote reference"/>
    <w:qFormat/>
    <w:uiPriority w:val="0"/>
    <w:rPr>
      <w:vertAlign w:val="superscript"/>
    </w:rPr>
  </w:style>
  <w:style w:type="character" w:styleId="41">
    <w:name w:val="page number"/>
    <w:qFormat/>
    <w:uiPriority w:val="0"/>
    <w:rPr>
      <w:rFonts w:cs="Times New Roman"/>
    </w:rPr>
  </w:style>
  <w:style w:type="character" w:styleId="42">
    <w:name w:val="FollowedHyperlink"/>
    <w:semiHidden/>
    <w:unhideWhenUsed/>
    <w:qFormat/>
    <w:uiPriority w:val="99"/>
    <w:rPr>
      <w:color w:val="954F72"/>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styleId="45">
    <w:name w:val="footnote reference"/>
    <w:qFormat/>
    <w:uiPriority w:val="0"/>
    <w:rPr>
      <w:vertAlign w:val="superscript"/>
    </w:rPr>
  </w:style>
  <w:style w:type="character" w:customStyle="1" w:styleId="46">
    <w:name w:val="标题 3 Char"/>
    <w:link w:val="5"/>
    <w:qFormat/>
    <w:uiPriority w:val="0"/>
    <w:rPr>
      <w:rFonts w:ascii="宋体" w:hAnsi="宋体" w:eastAsia="宋体" w:cs="宋体"/>
      <w:kern w:val="0"/>
      <w:sz w:val="24"/>
      <w:szCs w:val="27"/>
    </w:rPr>
  </w:style>
  <w:style w:type="character" w:customStyle="1" w:styleId="47">
    <w:name w:val="标题 1 字符"/>
    <w:qFormat/>
    <w:uiPriority w:val="9"/>
    <w:rPr>
      <w:rFonts w:ascii="Calibri" w:hAnsi="Calibri" w:eastAsia="宋体" w:cs="Times New Roman"/>
      <w:b/>
      <w:bCs/>
      <w:kern w:val="44"/>
      <w:sz w:val="44"/>
      <w:szCs w:val="44"/>
    </w:rPr>
  </w:style>
  <w:style w:type="character" w:customStyle="1" w:styleId="48">
    <w:name w:val="标题 2 字符"/>
    <w:semiHidden/>
    <w:qFormat/>
    <w:uiPriority w:val="9"/>
    <w:rPr>
      <w:rFonts w:ascii="等线 Light" w:hAnsi="等线 Light" w:eastAsia="等线 Light" w:cs="Times New Roman"/>
      <w:b/>
      <w:bCs/>
      <w:sz w:val="32"/>
      <w:szCs w:val="32"/>
    </w:rPr>
  </w:style>
  <w:style w:type="character" w:customStyle="1" w:styleId="49">
    <w:name w:val="标题 3 字符"/>
    <w:semiHidden/>
    <w:qFormat/>
    <w:uiPriority w:val="9"/>
    <w:rPr>
      <w:rFonts w:ascii="Calibri" w:hAnsi="Calibri" w:eastAsia="宋体" w:cs="Times New Roman"/>
      <w:b/>
      <w:bCs/>
      <w:sz w:val="32"/>
      <w:szCs w:val="32"/>
    </w:rPr>
  </w:style>
  <w:style w:type="character" w:customStyle="1" w:styleId="50">
    <w:name w:val="标题 4 字符"/>
    <w:semiHidden/>
    <w:qFormat/>
    <w:uiPriority w:val="9"/>
    <w:rPr>
      <w:rFonts w:ascii="等线 Light" w:hAnsi="等线 Light" w:eastAsia="等线 Light" w:cs="Times New Roman"/>
      <w:b/>
      <w:bCs/>
      <w:sz w:val="28"/>
      <w:szCs w:val="28"/>
    </w:rPr>
  </w:style>
  <w:style w:type="character" w:customStyle="1" w:styleId="51">
    <w:name w:val="标题 5 字符"/>
    <w:semiHidden/>
    <w:qFormat/>
    <w:uiPriority w:val="9"/>
    <w:rPr>
      <w:rFonts w:ascii="Calibri" w:hAnsi="Calibri" w:eastAsia="宋体" w:cs="Times New Roman"/>
      <w:b/>
      <w:bCs/>
      <w:sz w:val="28"/>
      <w:szCs w:val="28"/>
    </w:rPr>
  </w:style>
  <w:style w:type="character" w:customStyle="1" w:styleId="52">
    <w:name w:val="标题 6 字符"/>
    <w:semiHidden/>
    <w:qFormat/>
    <w:uiPriority w:val="9"/>
    <w:rPr>
      <w:rFonts w:ascii="等线 Light" w:hAnsi="等线 Light" w:eastAsia="等线 Light" w:cs="Times New Roman"/>
      <w:b/>
      <w:bCs/>
      <w:sz w:val="24"/>
      <w:szCs w:val="24"/>
    </w:rPr>
  </w:style>
  <w:style w:type="character" w:customStyle="1" w:styleId="53">
    <w:name w:val="标题 7 字符"/>
    <w:semiHidden/>
    <w:qFormat/>
    <w:uiPriority w:val="9"/>
    <w:rPr>
      <w:rFonts w:ascii="Calibri" w:hAnsi="Calibri" w:eastAsia="宋体" w:cs="Times New Roman"/>
      <w:b/>
      <w:bCs/>
      <w:sz w:val="24"/>
      <w:szCs w:val="24"/>
    </w:rPr>
  </w:style>
  <w:style w:type="character" w:customStyle="1" w:styleId="54">
    <w:name w:val="标题 8 字符"/>
    <w:semiHidden/>
    <w:qFormat/>
    <w:uiPriority w:val="9"/>
    <w:rPr>
      <w:rFonts w:ascii="等线 Light" w:hAnsi="等线 Light" w:eastAsia="等线 Light" w:cs="Times New Roman"/>
      <w:sz w:val="24"/>
      <w:szCs w:val="24"/>
    </w:rPr>
  </w:style>
  <w:style w:type="character" w:customStyle="1" w:styleId="55">
    <w:name w:val="标题 9 字符"/>
    <w:semiHidden/>
    <w:qFormat/>
    <w:uiPriority w:val="9"/>
    <w:rPr>
      <w:rFonts w:ascii="等线 Light" w:hAnsi="等线 Light" w:eastAsia="等线 Light" w:cs="Times New Roman"/>
      <w:szCs w:val="21"/>
    </w:rPr>
  </w:style>
  <w:style w:type="character" w:customStyle="1" w:styleId="56">
    <w:name w:val="页眉 字符"/>
    <w:semiHidden/>
    <w:qFormat/>
    <w:uiPriority w:val="99"/>
    <w:rPr>
      <w:rFonts w:ascii="Calibri" w:hAnsi="Calibri" w:eastAsia="宋体" w:cs="Times New Roman"/>
      <w:sz w:val="18"/>
      <w:szCs w:val="18"/>
    </w:rPr>
  </w:style>
  <w:style w:type="character" w:customStyle="1" w:styleId="57">
    <w:name w:val="页眉 Char3"/>
    <w:link w:val="25"/>
    <w:qFormat/>
    <w:uiPriority w:val="0"/>
    <w:rPr>
      <w:rFonts w:ascii="Calibri" w:hAnsi="Calibri" w:eastAsia="宋体" w:cs="Times New Roman"/>
      <w:sz w:val="18"/>
      <w:szCs w:val="18"/>
    </w:rPr>
  </w:style>
  <w:style w:type="character" w:customStyle="1" w:styleId="58">
    <w:name w:val="页脚 字符"/>
    <w:semiHidden/>
    <w:qFormat/>
    <w:uiPriority w:val="99"/>
    <w:rPr>
      <w:rFonts w:ascii="Calibri" w:hAnsi="Calibri" w:eastAsia="宋体" w:cs="Times New Roman"/>
      <w:sz w:val="18"/>
      <w:szCs w:val="18"/>
    </w:rPr>
  </w:style>
  <w:style w:type="character" w:customStyle="1" w:styleId="59">
    <w:name w:val="页脚 Char"/>
    <w:link w:val="24"/>
    <w:qFormat/>
    <w:uiPriority w:val="0"/>
    <w:rPr>
      <w:rFonts w:ascii="Calibri" w:hAnsi="Calibri" w:eastAsia="宋体" w:cs="Times New Roman"/>
      <w:sz w:val="18"/>
      <w:szCs w:val="18"/>
    </w:rPr>
  </w:style>
  <w:style w:type="character" w:customStyle="1" w:styleId="60">
    <w:name w:val="标题 1 Char"/>
    <w:link w:val="2"/>
    <w:qFormat/>
    <w:uiPriority w:val="0"/>
    <w:rPr>
      <w:rFonts w:ascii="Arial" w:hAnsi="Arial" w:eastAsia="宋体"/>
      <w:b/>
      <w:kern w:val="44"/>
      <w:sz w:val="28"/>
      <w:szCs w:val="28"/>
    </w:rPr>
  </w:style>
  <w:style w:type="character" w:customStyle="1" w:styleId="61">
    <w:name w:val="标题 2 Char"/>
    <w:link w:val="4"/>
    <w:qFormat/>
    <w:uiPriority w:val="0"/>
    <w:rPr>
      <w:rFonts w:ascii="Arial" w:hAnsi="Arial" w:eastAsia="宋体" w:cs="Times New Roman"/>
      <w:b/>
      <w:color w:val="000000"/>
      <w:sz w:val="24"/>
      <w:szCs w:val="24"/>
    </w:rPr>
  </w:style>
  <w:style w:type="character" w:customStyle="1" w:styleId="62">
    <w:name w:val="标题 4 Char"/>
    <w:link w:val="6"/>
    <w:qFormat/>
    <w:uiPriority w:val="0"/>
    <w:rPr>
      <w:rFonts w:ascii="Arial" w:hAnsi="Arial" w:eastAsia="宋体" w:cs="Times New Roman"/>
      <w:color w:val="000000"/>
      <w:szCs w:val="21"/>
    </w:rPr>
  </w:style>
  <w:style w:type="character" w:customStyle="1" w:styleId="63">
    <w:name w:val="标题 5 Char"/>
    <w:link w:val="8"/>
    <w:qFormat/>
    <w:uiPriority w:val="0"/>
    <w:rPr>
      <w:rFonts w:ascii="Arial" w:hAnsi="Arial" w:eastAsia="宋体" w:cs="Times New Roman"/>
      <w:color w:val="000000"/>
      <w:szCs w:val="21"/>
    </w:rPr>
  </w:style>
  <w:style w:type="character" w:customStyle="1" w:styleId="64">
    <w:name w:val="标题 6 Char"/>
    <w:link w:val="9"/>
    <w:qFormat/>
    <w:uiPriority w:val="0"/>
    <w:rPr>
      <w:rFonts w:ascii="Arial" w:hAnsi="Arial" w:eastAsia="黑体" w:cs="Times New Roman"/>
      <w:b/>
      <w:bCs/>
      <w:sz w:val="24"/>
      <w:szCs w:val="24"/>
    </w:rPr>
  </w:style>
  <w:style w:type="character" w:customStyle="1" w:styleId="65">
    <w:name w:val="标题 7 Char"/>
    <w:link w:val="10"/>
    <w:qFormat/>
    <w:uiPriority w:val="0"/>
    <w:rPr>
      <w:rFonts w:ascii="Times New Roman" w:hAnsi="Times New Roman" w:eastAsia="宋体" w:cs="Times New Roman"/>
      <w:b/>
      <w:sz w:val="24"/>
      <w:szCs w:val="20"/>
    </w:rPr>
  </w:style>
  <w:style w:type="character" w:customStyle="1" w:styleId="66">
    <w:name w:val="标题 8 Char"/>
    <w:link w:val="11"/>
    <w:qFormat/>
    <w:uiPriority w:val="0"/>
    <w:rPr>
      <w:rFonts w:ascii="Arial" w:hAnsi="Arial" w:eastAsia="黑体" w:cs="Times New Roman"/>
      <w:sz w:val="24"/>
      <w:szCs w:val="20"/>
    </w:rPr>
  </w:style>
  <w:style w:type="character" w:customStyle="1" w:styleId="67">
    <w:name w:val="标题 9 Char"/>
    <w:link w:val="12"/>
    <w:qFormat/>
    <w:uiPriority w:val="0"/>
    <w:rPr>
      <w:rFonts w:ascii="Arial" w:hAnsi="Arial" w:eastAsia="黑体" w:cs="Times New Roman"/>
      <w:szCs w:val="20"/>
    </w:rPr>
  </w:style>
  <w:style w:type="character" w:customStyle="1" w:styleId="68">
    <w:name w:val="标题 字符"/>
    <w:qFormat/>
    <w:uiPriority w:val="10"/>
    <w:rPr>
      <w:rFonts w:ascii="等线 Light" w:hAnsi="等线 Light" w:eastAsia="等线 Light" w:cs="Times New Roman"/>
      <w:b/>
      <w:bCs/>
      <w:sz w:val="32"/>
      <w:szCs w:val="32"/>
    </w:rPr>
  </w:style>
  <w:style w:type="character" w:customStyle="1" w:styleId="69">
    <w:name w:val="标题 Char"/>
    <w:link w:val="3"/>
    <w:qFormat/>
    <w:uiPriority w:val="0"/>
    <w:rPr>
      <w:rFonts w:ascii="Arial" w:hAnsi="Arial" w:eastAsia="宋体" w:cs="Times New Roman"/>
      <w:b/>
      <w:sz w:val="44"/>
      <w:szCs w:val="20"/>
    </w:rPr>
  </w:style>
  <w:style w:type="character" w:customStyle="1" w:styleId="70">
    <w:name w:val="正文文本 字符"/>
    <w:semiHidden/>
    <w:qFormat/>
    <w:uiPriority w:val="99"/>
    <w:rPr>
      <w:rFonts w:ascii="Calibri" w:hAnsi="Calibri" w:eastAsia="宋体" w:cs="Times New Roman"/>
    </w:rPr>
  </w:style>
  <w:style w:type="character" w:customStyle="1" w:styleId="71">
    <w:name w:val="正文文本 Char"/>
    <w:link w:val="15"/>
    <w:qFormat/>
    <w:uiPriority w:val="0"/>
    <w:rPr>
      <w:rFonts w:ascii="Times New Roman" w:hAnsi="Times New Roman" w:eastAsia="宋体" w:cs="Times New Roman"/>
      <w:szCs w:val="20"/>
    </w:rPr>
  </w:style>
  <w:style w:type="character" w:customStyle="1" w:styleId="72">
    <w:name w:val="正文首行缩进 字符"/>
    <w:basedOn w:val="70"/>
    <w:semiHidden/>
    <w:qFormat/>
    <w:uiPriority w:val="99"/>
    <w:rPr>
      <w:rFonts w:ascii="Calibri" w:hAnsi="Calibri" w:eastAsia="宋体" w:cs="Times New Roman"/>
    </w:rPr>
  </w:style>
  <w:style w:type="character" w:customStyle="1" w:styleId="73">
    <w:name w:val="正文首行缩进 Char"/>
    <w:link w:val="35"/>
    <w:qFormat/>
    <w:uiPriority w:val="0"/>
  </w:style>
  <w:style w:type="character" w:customStyle="1" w:styleId="74">
    <w:name w:val="日期 字符"/>
    <w:semiHidden/>
    <w:qFormat/>
    <w:uiPriority w:val="99"/>
    <w:rPr>
      <w:rFonts w:ascii="Calibri" w:hAnsi="Calibri" w:eastAsia="宋体" w:cs="Times New Roman"/>
    </w:rPr>
  </w:style>
  <w:style w:type="character" w:customStyle="1" w:styleId="75">
    <w:name w:val="日期 Char"/>
    <w:link w:val="20"/>
    <w:qFormat/>
    <w:uiPriority w:val="0"/>
    <w:rPr>
      <w:rFonts w:ascii="Times New Roman" w:hAnsi="Times New Roman" w:eastAsia="宋体" w:cs="Times New Roman"/>
      <w:szCs w:val="20"/>
    </w:rPr>
  </w:style>
  <w:style w:type="character" w:customStyle="1" w:styleId="76">
    <w:name w:val="正文文本缩进 字符"/>
    <w:semiHidden/>
    <w:qFormat/>
    <w:uiPriority w:val="99"/>
    <w:rPr>
      <w:rFonts w:ascii="Calibri" w:hAnsi="Calibri" w:eastAsia="宋体" w:cs="Times New Roman"/>
    </w:rPr>
  </w:style>
  <w:style w:type="character" w:customStyle="1" w:styleId="77">
    <w:name w:val="正文文本缩进 Char"/>
    <w:link w:val="16"/>
    <w:qFormat/>
    <w:uiPriority w:val="0"/>
    <w:rPr>
      <w:rFonts w:ascii="Times New Roman" w:hAnsi="Times New Roman" w:eastAsia="宋体" w:cs="Times New Roman"/>
      <w:sz w:val="28"/>
      <w:szCs w:val="20"/>
    </w:rPr>
  </w:style>
  <w:style w:type="character" w:customStyle="1" w:styleId="78">
    <w:name w:val="文档结构图 字符"/>
    <w:semiHidden/>
    <w:qFormat/>
    <w:uiPriority w:val="99"/>
    <w:rPr>
      <w:rFonts w:ascii="Microsoft YaHei UI" w:hAnsi="Calibri" w:eastAsia="Microsoft YaHei UI" w:cs="Times New Roman"/>
      <w:sz w:val="18"/>
      <w:szCs w:val="18"/>
    </w:rPr>
  </w:style>
  <w:style w:type="character" w:customStyle="1" w:styleId="79">
    <w:name w:val="文档结构图 Char"/>
    <w:link w:val="13"/>
    <w:qFormat/>
    <w:uiPriority w:val="0"/>
    <w:rPr>
      <w:rFonts w:ascii="Times New Roman" w:hAnsi="Times New Roman" w:eastAsia="宋体" w:cs="Times New Roman"/>
      <w:szCs w:val="20"/>
      <w:shd w:val="clear" w:color="auto" w:fill="000080"/>
    </w:rPr>
  </w:style>
  <w:style w:type="character" w:customStyle="1" w:styleId="80">
    <w:name w:val="纯文本 字符"/>
    <w:semiHidden/>
    <w:qFormat/>
    <w:uiPriority w:val="99"/>
    <w:rPr>
      <w:rFonts w:ascii="等线" w:hAnsi="Courier New" w:cs="Courier New"/>
    </w:rPr>
  </w:style>
  <w:style w:type="character" w:customStyle="1" w:styleId="81">
    <w:name w:val="纯文本 Char"/>
    <w:link w:val="19"/>
    <w:qFormat/>
    <w:uiPriority w:val="0"/>
    <w:rPr>
      <w:rFonts w:ascii="宋体" w:hAnsi="Courier New" w:eastAsia="宋体" w:cs="Times New Roman"/>
      <w:szCs w:val="20"/>
    </w:rPr>
  </w:style>
  <w:style w:type="character" w:customStyle="1" w:styleId="82">
    <w:name w:val="正文文本缩进 2 字符"/>
    <w:semiHidden/>
    <w:qFormat/>
    <w:uiPriority w:val="99"/>
    <w:rPr>
      <w:rFonts w:ascii="Calibri" w:hAnsi="Calibri" w:eastAsia="宋体" w:cs="Times New Roman"/>
    </w:rPr>
  </w:style>
  <w:style w:type="character" w:customStyle="1" w:styleId="83">
    <w:name w:val="正文文本缩进 2 Char"/>
    <w:link w:val="21"/>
    <w:qFormat/>
    <w:uiPriority w:val="0"/>
    <w:rPr>
      <w:rFonts w:ascii="Times New Roman" w:hAnsi="Times New Roman" w:eastAsia="宋体" w:cs="Times New Roman"/>
      <w:color w:val="000000"/>
      <w:sz w:val="24"/>
      <w:szCs w:val="20"/>
    </w:rPr>
  </w:style>
  <w:style w:type="character" w:customStyle="1" w:styleId="84">
    <w:name w:val="正文文本缩进 3 字符"/>
    <w:semiHidden/>
    <w:qFormat/>
    <w:uiPriority w:val="99"/>
    <w:rPr>
      <w:rFonts w:ascii="Calibri" w:hAnsi="Calibri" w:eastAsia="宋体" w:cs="Times New Roman"/>
      <w:sz w:val="16"/>
      <w:szCs w:val="16"/>
    </w:rPr>
  </w:style>
  <w:style w:type="character" w:customStyle="1" w:styleId="85">
    <w:name w:val="正文文本缩进 3 Char"/>
    <w:link w:val="28"/>
    <w:qFormat/>
    <w:uiPriority w:val="0"/>
    <w:rPr>
      <w:rFonts w:ascii="Times New Roman" w:hAnsi="Times New Roman" w:eastAsia="宋体" w:cs="Times New Roman"/>
      <w:color w:val="000000"/>
      <w:sz w:val="24"/>
      <w:szCs w:val="20"/>
    </w:rPr>
  </w:style>
  <w:style w:type="paragraph" w:customStyle="1" w:styleId="86">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7">
    <w:name w:val="_Style 69"/>
    <w:qFormat/>
    <w:uiPriority w:val="0"/>
    <w:rPr>
      <w:rFonts w:ascii="等线" w:hAnsi="等线" w:eastAsia="等线" w:cs="Times New Roman"/>
      <w:lang w:val="en-US" w:eastAsia="zh-CN" w:bidi="ar-SA"/>
    </w:rPr>
  </w:style>
  <w:style w:type="character" w:customStyle="1" w:styleId="88">
    <w:name w:val="正文文本 2 字符"/>
    <w:semiHidden/>
    <w:qFormat/>
    <w:uiPriority w:val="99"/>
    <w:rPr>
      <w:rFonts w:ascii="Calibri" w:hAnsi="Calibri" w:eastAsia="宋体" w:cs="Times New Roman"/>
    </w:rPr>
  </w:style>
  <w:style w:type="character" w:customStyle="1" w:styleId="89">
    <w:name w:val="正文文本 2 Char"/>
    <w:link w:val="30"/>
    <w:qFormat/>
    <w:uiPriority w:val="0"/>
    <w:rPr>
      <w:rFonts w:ascii="宋体" w:hAnsi="宋体" w:eastAsia="宋体" w:cs="Times New Roman"/>
      <w:szCs w:val="24"/>
      <w:u w:val="single"/>
    </w:rPr>
  </w:style>
  <w:style w:type="paragraph" w:customStyle="1" w:styleId="90">
    <w:name w:val="表头"/>
    <w:basedOn w:val="1"/>
    <w:qFormat/>
    <w:uiPriority w:val="0"/>
    <w:pPr>
      <w:spacing w:line="360" w:lineRule="auto"/>
      <w:jc w:val="center"/>
    </w:pPr>
    <w:rPr>
      <w:rFonts w:ascii="黑体" w:hAnsi="Times New Roman" w:eastAsia="黑体"/>
      <w:kern w:val="0"/>
      <w:sz w:val="24"/>
      <w:szCs w:val="20"/>
    </w:rPr>
  </w:style>
  <w:style w:type="character" w:customStyle="1" w:styleId="91">
    <w:name w:val="尾注文本 字符"/>
    <w:semiHidden/>
    <w:qFormat/>
    <w:uiPriority w:val="99"/>
    <w:rPr>
      <w:rFonts w:ascii="Calibri" w:hAnsi="Calibri" w:eastAsia="宋体" w:cs="Times New Roman"/>
    </w:rPr>
  </w:style>
  <w:style w:type="character" w:customStyle="1" w:styleId="92">
    <w:name w:val="尾注文本 Char"/>
    <w:link w:val="22"/>
    <w:qFormat/>
    <w:uiPriority w:val="0"/>
    <w:rPr>
      <w:rFonts w:ascii="Times New Roman" w:hAnsi="Times New Roman" w:eastAsia="宋体" w:cs="Times New Roman"/>
      <w:szCs w:val="20"/>
    </w:rPr>
  </w:style>
  <w:style w:type="paragraph" w:customStyle="1" w:styleId="93">
    <w:name w:val="Char"/>
    <w:basedOn w:val="1"/>
    <w:qFormat/>
    <w:uiPriority w:val="0"/>
    <w:rPr>
      <w:rFonts w:ascii="Tahoma" w:hAnsi="Tahoma"/>
      <w:sz w:val="24"/>
      <w:szCs w:val="20"/>
    </w:rPr>
  </w:style>
  <w:style w:type="paragraph" w:customStyle="1" w:styleId="94">
    <w:name w:val="Char1"/>
    <w:basedOn w:val="1"/>
    <w:qFormat/>
    <w:uiPriority w:val="0"/>
    <w:pPr>
      <w:numPr>
        <w:ilvl w:val="0"/>
        <w:numId w:val="1"/>
      </w:numPr>
    </w:pPr>
    <w:rPr>
      <w:rFonts w:ascii="Times New Roman" w:hAnsi="Times New Roman"/>
      <w:sz w:val="24"/>
      <w:szCs w:val="24"/>
    </w:rPr>
  </w:style>
  <w:style w:type="paragraph" w:customStyle="1" w:styleId="95">
    <w:name w:val="公文抬头"/>
    <w:basedOn w:val="7"/>
    <w:qFormat/>
    <w:uiPriority w:val="0"/>
    <w:pPr>
      <w:ind w:firstLine="0"/>
    </w:pPr>
    <w:rPr>
      <w:rFonts w:ascii="仿宋_GB2312" w:eastAsia="仿宋_GB2312"/>
      <w:sz w:val="30"/>
      <w:szCs w:val="24"/>
    </w:rPr>
  </w:style>
  <w:style w:type="paragraph" w:customStyle="1" w:styleId="96">
    <w:name w:val="Char Char Char1 Char"/>
    <w:basedOn w:val="13"/>
    <w:qFormat/>
    <w:uiPriority w:val="0"/>
    <w:rPr>
      <w:rFonts w:ascii="Tahoma" w:hAnsi="Tahoma"/>
      <w:sz w:val="24"/>
      <w:szCs w:val="24"/>
    </w:rPr>
  </w:style>
  <w:style w:type="paragraph" w:customStyle="1" w:styleId="9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8">
    <w:name w:val="公文标题"/>
    <w:basedOn w:val="5"/>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99">
    <w:name w:val="发文落款"/>
    <w:basedOn w:val="97"/>
    <w:qFormat/>
    <w:uiPriority w:val="0"/>
    <w:pPr>
      <w:ind w:left="4094" w:right="607" w:firstLine="0"/>
      <w:jc w:val="center"/>
    </w:pPr>
  </w:style>
  <w:style w:type="paragraph" w:customStyle="1" w:styleId="100">
    <w:name w:val="Char Char Char Char"/>
    <w:basedOn w:val="1"/>
    <w:qFormat/>
    <w:uiPriority w:val="0"/>
    <w:rPr>
      <w:rFonts w:ascii="Times New Roman" w:hAnsi="Times New Roman"/>
      <w:sz w:val="30"/>
      <w:szCs w:val="24"/>
    </w:rPr>
  </w:style>
  <w:style w:type="character" w:customStyle="1" w:styleId="101">
    <w:name w:val="批注框文本 字符"/>
    <w:semiHidden/>
    <w:qFormat/>
    <w:uiPriority w:val="99"/>
    <w:rPr>
      <w:rFonts w:ascii="Calibri" w:hAnsi="Calibri" w:eastAsia="宋体" w:cs="Times New Roman"/>
      <w:sz w:val="18"/>
      <w:szCs w:val="18"/>
    </w:rPr>
  </w:style>
  <w:style w:type="character" w:customStyle="1" w:styleId="102">
    <w:name w:val="批注框文本 Char"/>
    <w:link w:val="23"/>
    <w:qFormat/>
    <w:uiPriority w:val="0"/>
    <w:rPr>
      <w:rFonts w:ascii="Times New Roman" w:hAnsi="Times New Roman" w:eastAsia="宋体" w:cs="Times New Roman"/>
      <w:sz w:val="18"/>
      <w:szCs w:val="18"/>
    </w:rPr>
  </w:style>
  <w:style w:type="paragraph" w:customStyle="1" w:styleId="103">
    <w:name w:val="TOC 标题1"/>
    <w:basedOn w:val="2"/>
    <w:next w:val="1"/>
    <w:semiHidden/>
    <w:unhideWhenUsed/>
    <w:qFormat/>
    <w:uiPriority w:val="39"/>
    <w:pPr>
      <w:widowControl/>
      <w:spacing w:before="480" w:after="0" w:line="276" w:lineRule="auto"/>
      <w:outlineLvl w:val="9"/>
    </w:pPr>
    <w:rPr>
      <w:rFonts w:ascii="Cambria" w:hAnsi="Cambria"/>
      <w:color w:val="365F91"/>
      <w:kern w:val="0"/>
    </w:rPr>
  </w:style>
  <w:style w:type="character" w:customStyle="1" w:styleId="104">
    <w:name w:val="批注文字 字符"/>
    <w:semiHidden/>
    <w:qFormat/>
    <w:uiPriority w:val="99"/>
    <w:rPr>
      <w:rFonts w:ascii="Calibri" w:hAnsi="Calibri" w:eastAsia="宋体" w:cs="Times New Roman"/>
    </w:rPr>
  </w:style>
  <w:style w:type="character" w:customStyle="1" w:styleId="105">
    <w:name w:val="批注文字 Char"/>
    <w:link w:val="14"/>
    <w:qFormat/>
    <w:uiPriority w:val="0"/>
    <w:rPr>
      <w:rFonts w:ascii="宋体" w:hAnsi="宋体" w:eastAsia="宋体" w:cs="Times New Roman"/>
      <w:sz w:val="24"/>
      <w:szCs w:val="24"/>
    </w:rPr>
  </w:style>
  <w:style w:type="character" w:customStyle="1" w:styleId="106">
    <w:name w:val="脚注文本 字符"/>
    <w:semiHidden/>
    <w:qFormat/>
    <w:uiPriority w:val="99"/>
    <w:rPr>
      <w:rFonts w:ascii="Calibri" w:hAnsi="Calibri" w:eastAsia="宋体" w:cs="Times New Roman"/>
      <w:sz w:val="18"/>
      <w:szCs w:val="18"/>
    </w:rPr>
  </w:style>
  <w:style w:type="character" w:customStyle="1" w:styleId="107">
    <w:name w:val="脚注文本 Char"/>
    <w:link w:val="27"/>
    <w:qFormat/>
    <w:uiPriority w:val="0"/>
    <w:rPr>
      <w:rFonts w:ascii="宋体" w:hAnsi="宋体" w:eastAsia="宋体" w:cs="Times New Roman"/>
      <w:sz w:val="18"/>
      <w:szCs w:val="18"/>
    </w:rPr>
  </w:style>
  <w:style w:type="character" w:customStyle="1" w:styleId="108">
    <w:name w:val="批注主题 字符"/>
    <w:semiHidden/>
    <w:qFormat/>
    <w:uiPriority w:val="99"/>
    <w:rPr>
      <w:rFonts w:ascii="Calibri" w:hAnsi="Calibri" w:eastAsia="宋体" w:cs="Times New Roman"/>
      <w:b/>
      <w:bCs/>
    </w:rPr>
  </w:style>
  <w:style w:type="character" w:customStyle="1" w:styleId="109">
    <w:name w:val="批注主题 Char"/>
    <w:link w:val="34"/>
    <w:qFormat/>
    <w:uiPriority w:val="0"/>
    <w:rPr>
      <w:rFonts w:ascii="宋体" w:hAnsi="宋体" w:eastAsia="宋体" w:cs="Times New Roman"/>
      <w:b/>
      <w:bCs/>
      <w:sz w:val="24"/>
      <w:szCs w:val="24"/>
    </w:rPr>
  </w:style>
  <w:style w:type="paragraph" w:styleId="110">
    <w:name w:val="List Paragraph"/>
    <w:basedOn w:val="1"/>
    <w:qFormat/>
    <w:uiPriority w:val="34"/>
    <w:pPr>
      <w:ind w:firstLine="420" w:firstLineChars="200"/>
    </w:pPr>
    <w:rPr>
      <w:rFonts w:ascii="Times New Roman" w:hAnsi="Times New Roman"/>
      <w:szCs w:val="20"/>
    </w:rPr>
  </w:style>
  <w:style w:type="paragraph" w:customStyle="1" w:styleId="111">
    <w:name w:val="修订1"/>
    <w:hidden/>
    <w:semiHidden/>
    <w:qFormat/>
    <w:uiPriority w:val="99"/>
    <w:rPr>
      <w:rFonts w:ascii="Times New Roman" w:hAnsi="Times New Roman" w:eastAsia="宋体" w:cs="Times New Roman"/>
      <w:kern w:val="2"/>
      <w:sz w:val="21"/>
      <w:lang w:val="en-US" w:eastAsia="zh-CN" w:bidi="ar-SA"/>
    </w:rPr>
  </w:style>
  <w:style w:type="paragraph" w:customStyle="1" w:styleId="112">
    <w:name w:val="修订2"/>
    <w:hidden/>
    <w:unhideWhenUsed/>
    <w:qFormat/>
    <w:uiPriority w:val="99"/>
    <w:rPr>
      <w:rFonts w:ascii="Calibri" w:hAnsi="Calibri" w:eastAsia="宋体" w:cs="Times New Roman"/>
      <w:kern w:val="2"/>
      <w:sz w:val="21"/>
      <w:szCs w:val="22"/>
      <w:lang w:val="en-US" w:eastAsia="zh-CN" w:bidi="ar-SA"/>
    </w:rPr>
  </w:style>
  <w:style w:type="paragraph" w:customStyle="1" w:styleId="113">
    <w:name w:val="Revision"/>
    <w:hidden/>
    <w:unhideWhenUsed/>
    <w:qFormat/>
    <w:uiPriority w:val="99"/>
    <w:rPr>
      <w:rFonts w:ascii="Calibri" w:hAnsi="Calibri" w:eastAsia="宋体" w:cs="Times New Roman"/>
      <w:kern w:val="2"/>
      <w:sz w:val="21"/>
      <w:szCs w:val="22"/>
      <w:lang w:val="en-US" w:eastAsia="zh-CN" w:bidi="ar-SA"/>
    </w:rPr>
  </w:style>
  <w:style w:type="character" w:customStyle="1" w:styleId="114">
    <w:name w:val="页眉 Char"/>
    <w:qFormat/>
    <w:uiPriority w:val="99"/>
    <w:rPr>
      <w:kern w:val="2"/>
      <w:sz w:val="18"/>
      <w:szCs w:val="18"/>
      <w:lang w:val="zh-CN" w:eastAsia="zh-CN"/>
    </w:rPr>
  </w:style>
  <w:style w:type="character" w:customStyle="1" w:styleId="115">
    <w:name w:val="标准正文 Char"/>
    <w:link w:val="116"/>
    <w:qFormat/>
    <w:uiPriority w:val="0"/>
    <w:rPr>
      <w:szCs w:val="24"/>
    </w:rPr>
  </w:style>
  <w:style w:type="paragraph" w:customStyle="1" w:styleId="116">
    <w:name w:val="标准正文"/>
    <w:basedOn w:val="1"/>
    <w:link w:val="115"/>
    <w:qFormat/>
    <w:uiPriority w:val="0"/>
    <w:pPr>
      <w:tabs>
        <w:tab w:val="left" w:pos="720"/>
      </w:tabs>
      <w:spacing w:line="360" w:lineRule="auto"/>
      <w:ind w:firstLine="200" w:firstLineChars="200"/>
    </w:pPr>
    <w:rPr>
      <w:rFonts w:ascii="等线" w:hAnsi="等线" w:eastAsia="等线"/>
      <w:kern w:val="0"/>
      <w:sz w:val="20"/>
      <w:szCs w:val="24"/>
    </w:rPr>
  </w:style>
  <w:style w:type="paragraph" w:customStyle="1" w:styleId="117">
    <w:name w:val="PlainText"/>
    <w:basedOn w:val="1"/>
    <w:qFormat/>
    <w:uiPriority w:val="0"/>
    <w:pPr>
      <w:textAlignment w:val="baseline"/>
    </w:pPr>
    <w:rPr>
      <w:rFonts w:ascii="宋体" w:hAnsi="Courier New" w:cs="Calibri"/>
      <w:color w:val="000000"/>
      <w:kern w:val="0"/>
      <w:sz w:val="20"/>
      <w:szCs w:val="20"/>
    </w:rPr>
  </w:style>
  <w:style w:type="paragraph" w:customStyle="1" w:styleId="118">
    <w:name w:val="_Style 3"/>
    <w:basedOn w:val="1"/>
    <w:qFormat/>
    <w:uiPriority w:val="0"/>
    <w:pPr>
      <w:ind w:firstLine="420" w:firstLineChars="200"/>
    </w:pPr>
    <w:rPr>
      <w:rFonts w:ascii="Times New Roman" w:hAnsi="Times New Roman"/>
      <w:sz w:val="20"/>
    </w:rPr>
  </w:style>
  <w:style w:type="paragraph" w:customStyle="1" w:styleId="119">
    <w:name w:val="文一"/>
    <w:basedOn w:val="1"/>
    <w:qFormat/>
    <w:uiPriority w:val="0"/>
    <w:pPr>
      <w:topLinePunct/>
      <w:adjustRightInd w:val="0"/>
      <w:snapToGrid w:val="0"/>
      <w:spacing w:line="360" w:lineRule="auto"/>
      <w:ind w:firstLine="200" w:firstLineChars="200"/>
    </w:pPr>
    <w:rPr>
      <w:rFonts w:ascii="等线" w:hAnsi="等线"/>
      <w:spacing w:val="4"/>
      <w:kern w:val="0"/>
      <w:sz w:val="24"/>
      <w:szCs w:val="24"/>
    </w:rPr>
  </w:style>
  <w:style w:type="paragraph" w:customStyle="1" w:styleId="120">
    <w:name w:val="封二"/>
    <w:basedOn w:val="119"/>
    <w:next w:val="119"/>
    <w:qFormat/>
    <w:uiPriority w:val="0"/>
    <w:pPr>
      <w:ind w:firstLine="0" w:firstLineChars="0"/>
      <w:jc w:val="center"/>
    </w:pPr>
    <w:rPr>
      <w:rFonts w:eastAsia="黑体"/>
      <w:b/>
      <w:sz w:val="36"/>
      <w:szCs w:val="36"/>
    </w:rPr>
  </w:style>
  <w:style w:type="paragraph" w:customStyle="1" w:styleId="121">
    <w:name w:val="封一"/>
    <w:basedOn w:val="119"/>
    <w:next w:val="119"/>
    <w:qFormat/>
    <w:uiPriority w:val="0"/>
    <w:pPr>
      <w:ind w:firstLine="0" w:firstLineChars="0"/>
      <w:jc w:val="center"/>
    </w:pPr>
    <w:rPr>
      <w:rFonts w:eastAsia="黑体"/>
      <w:b/>
      <w:sz w:val="84"/>
      <w:szCs w:val="84"/>
    </w:rPr>
  </w:style>
  <w:style w:type="paragraph" w:customStyle="1" w:styleId="122">
    <w:name w:val="封四"/>
    <w:basedOn w:val="119"/>
    <w:next w:val="119"/>
    <w:qFormat/>
    <w:uiPriority w:val="0"/>
    <w:pPr>
      <w:jc w:val="left"/>
    </w:pPr>
    <w:rPr>
      <w:sz w:val="30"/>
      <w:szCs w:val="30"/>
    </w:rPr>
  </w:style>
  <w:style w:type="paragraph" w:customStyle="1" w:styleId="123">
    <w:name w:val="正题"/>
    <w:basedOn w:val="119"/>
    <w:next w:val="119"/>
    <w:qFormat/>
    <w:uiPriority w:val="0"/>
    <w:pPr>
      <w:ind w:firstLine="0" w:firstLineChars="0"/>
      <w:jc w:val="center"/>
    </w:pPr>
    <w:rPr>
      <w:rFonts w:eastAsia="黑体"/>
      <w:b/>
      <w:sz w:val="36"/>
      <w:szCs w:val="36"/>
    </w:rPr>
  </w:style>
  <w:style w:type="character" w:customStyle="1" w:styleId="124">
    <w:name w:val="NormalCharacter"/>
    <w:qFormat/>
    <w:uiPriority w:val="0"/>
  </w:style>
  <w:style w:type="paragraph" w:customStyle="1" w:styleId="125">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null3"/>
    <w:qFormat/>
    <w:uiPriority w:val="0"/>
    <w:rPr>
      <w:rFonts w:hint="eastAsia" w:ascii="Calibri" w:hAnsi="Calibri" w:eastAsia="宋体" w:cs="Times New Roman"/>
      <w:lang w:val="en-US" w:eastAsia="zh-Hans"/>
    </w:rPr>
  </w:style>
  <w:style w:type="paragraph" w:customStyle="1" w:styleId="127">
    <w:name w:val="Normal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28">
    <w:name w:val="自标题3"/>
    <w:basedOn w:val="127"/>
    <w:qFormat/>
    <w:uiPriority w:val="0"/>
  </w:style>
  <w:style w:type="paragraph" w:customStyle="1" w:styleId="129">
    <w:name w:val="正文段落"/>
    <w:qFormat/>
    <w:uiPriority w:val="0"/>
    <w:pPr>
      <w:spacing w:beforeLines="50"/>
      <w:ind w:firstLine="505" w:firstLineChars="200"/>
    </w:pPr>
    <w:rPr>
      <w:rFonts w:ascii="Times New Roman" w:hAnsi="Times New Roman" w:eastAsia="宋体" w:cs="Times New Roman"/>
      <w:bCs/>
      <w:kern w:val="2"/>
      <w:sz w:val="24"/>
      <w:szCs w:val="24"/>
      <w:lang w:val="en-US" w:eastAsia="zh-CN" w:bidi="ar-SA"/>
    </w:rPr>
  </w:style>
  <w:style w:type="paragraph" w:customStyle="1" w:styleId="130">
    <w:name w:val="正文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1">
    <w:name w:val="正文文本3"/>
    <w:basedOn w:val="1"/>
    <w:qFormat/>
    <w:uiPriority w:val="0"/>
    <w:pPr>
      <w:shd w:val="clear" w:color="auto" w:fill="FFFFFF"/>
      <w:spacing w:line="0" w:lineRule="atLeast"/>
      <w:jc w:val="left"/>
    </w:pPr>
    <w:rPr>
      <w:rFonts w:ascii="宋体" w:hAnsi="宋体" w:cs="宋体"/>
      <w:sz w:val="19"/>
      <w:szCs w:val="19"/>
    </w:rPr>
  </w:style>
  <w:style w:type="character" w:customStyle="1" w:styleId="132">
    <w:name w:val="16"/>
    <w:qFormat/>
    <w:uiPriority w:val="0"/>
    <w:rPr>
      <w:rFonts w:hint="default" w:ascii="Times New Roman" w:hAnsi="Times New Roman" w:cs="Times New Roman"/>
    </w:rPr>
  </w:style>
  <w:style w:type="paragraph" w:customStyle="1" w:styleId="133">
    <w:name w:val="章节三"/>
    <w:basedOn w:val="1"/>
    <w:next w:val="1"/>
    <w:qFormat/>
    <w:uiPriority w:val="0"/>
    <w:pPr>
      <w:topLinePunct/>
      <w:adjustRightInd w:val="0"/>
      <w:snapToGrid w:val="0"/>
      <w:spacing w:beforeLines="50" w:afterLines="50"/>
      <w:jc w:val="left"/>
      <w:outlineLvl w:val="2"/>
    </w:pPr>
    <w:rPr>
      <w:rFonts w:ascii="黑体" w:hAnsi="宋体" w:eastAsia="黑体"/>
      <w:b/>
      <w:snapToGrid w:val="0"/>
      <w:spacing w:val="4"/>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107</Pages>
  <Words>485</Words>
  <Characters>522</Characters>
  <Lines>582</Lines>
  <Paragraphs>164</Paragraphs>
  <TotalTime>137</TotalTime>
  <ScaleCrop>false</ScaleCrop>
  <LinksUpToDate>false</LinksUpToDate>
  <CharactersWithSpaces>576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2019-10-12T15:40:00Z</dcterms:created>
  <dc:creator>管理员</dc:creator>
  <cp:lastModifiedBy>温润如玉</cp:lastModifiedBy>
  <dcterms:modified xsi:type="dcterms:W3CDTF">2025-05-29T09:44:24Z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14B948692EC34E13BCC34129D46095DD</vt:lpwstr>
  </property>
  <property fmtid="{D5CDD505-2E9C-101B-9397-08002B2CF9AE}" pid="4" name="KSOTemplateDocerSaveRecord">
    <vt:lpwstr>eyJoZGlkIjoiNWNhNDk2NTVmZDE4ZGJiYWU4NWY2ZmMxMjM3MTI1ZWIiLCJ1c2VySWQiOiI0Mzg0MTY3NTgifQ==</vt:lpwstr>
  </property>
</Properties>
</file>