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FE277">
      <w:pPr>
        <w:shd w:val="clear"/>
        <w:spacing w:line="480" w:lineRule="auto"/>
        <w:jc w:val="center"/>
        <w:rPr>
          <w:rFonts w:hint="eastAsia" w:ascii="宋体" w:hAnsi="宋体" w:eastAsia="宋体" w:cs="宋体"/>
          <w:b/>
          <w:bCs/>
          <w:color w:val="auto"/>
          <w:sz w:val="52"/>
          <w:szCs w:val="52"/>
          <w:highlight w:val="none"/>
          <w:lang w:eastAsia="zh-CN"/>
        </w:rPr>
      </w:pPr>
    </w:p>
    <w:p w14:paraId="13455274">
      <w:pPr>
        <w:shd w:val="clear"/>
        <w:spacing w:line="48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2023年白云区路灯查漏补缺项目</w:t>
      </w:r>
    </w:p>
    <w:p w14:paraId="6AF79B46">
      <w:pPr>
        <w:spacing w:line="360" w:lineRule="auto"/>
        <w:ind w:left="359" w:leftChars="171"/>
        <w:jc w:val="center"/>
        <w:rPr>
          <w:rFonts w:hint="eastAsia" w:ascii="宋体" w:hAnsi="宋体" w:eastAsia="宋体" w:cs="宋体"/>
          <w:color w:val="auto"/>
          <w:sz w:val="36"/>
          <w:highlight w:val="none"/>
          <w:lang w:eastAsia="zh-CN"/>
        </w:rPr>
      </w:pPr>
    </w:p>
    <w:p w14:paraId="075ACAE1">
      <w:pPr>
        <w:spacing w:line="360" w:lineRule="auto"/>
        <w:ind w:left="359" w:leftChars="171"/>
        <w:jc w:val="center"/>
        <w:rPr>
          <w:rFonts w:hint="eastAsia" w:ascii="宋体" w:hAnsi="宋体" w:eastAsia="宋体" w:cs="宋体"/>
          <w:color w:val="auto"/>
          <w:sz w:val="36"/>
          <w:highlight w:val="none"/>
          <w:lang w:eastAsia="zh-CN"/>
        </w:rPr>
      </w:pPr>
    </w:p>
    <w:p w14:paraId="6E858BA2">
      <w:pPr>
        <w:spacing w:line="360" w:lineRule="auto"/>
        <w:ind w:left="359" w:leftChars="171"/>
        <w:jc w:val="center"/>
        <w:rPr>
          <w:rFonts w:hint="eastAsia" w:ascii="宋体" w:hAnsi="宋体" w:eastAsia="宋体" w:cs="宋体"/>
          <w:color w:val="auto"/>
          <w:sz w:val="36"/>
          <w:highlight w:val="none"/>
          <w:lang w:eastAsia="zh-CN"/>
        </w:rPr>
      </w:pPr>
    </w:p>
    <w:p w14:paraId="15EF4D17">
      <w:pPr>
        <w:spacing w:line="360" w:lineRule="auto"/>
        <w:ind w:left="359" w:leftChars="171"/>
        <w:jc w:val="center"/>
        <w:rPr>
          <w:rFonts w:hint="eastAsia" w:ascii="宋体" w:hAnsi="宋体" w:eastAsia="宋体" w:cs="宋体"/>
          <w:color w:val="auto"/>
          <w:sz w:val="36"/>
          <w:highlight w:val="none"/>
        </w:rPr>
      </w:pPr>
    </w:p>
    <w:p w14:paraId="64A365C4">
      <w:pPr>
        <w:spacing w:line="360" w:lineRule="auto"/>
        <w:jc w:val="center"/>
        <w:rPr>
          <w:rFonts w:hint="eastAsia" w:ascii="宋体" w:hAnsi="宋体" w:eastAsia="宋体" w:cs="宋体"/>
          <w:color w:val="auto"/>
          <w:sz w:val="36"/>
          <w:highlight w:val="none"/>
          <w:u w:val="single"/>
        </w:rPr>
      </w:pPr>
    </w:p>
    <w:p w14:paraId="6BA9C4BD">
      <w:pPr>
        <w:spacing w:line="360" w:lineRule="auto"/>
        <w:jc w:val="center"/>
        <w:rPr>
          <w:rFonts w:hint="eastAsia" w:ascii="宋体" w:hAnsi="宋体" w:eastAsia="宋体" w:cs="宋体"/>
          <w:b/>
          <w:bCs/>
          <w:color w:val="auto"/>
          <w:spacing w:val="26"/>
          <w:sz w:val="110"/>
          <w:szCs w:val="110"/>
          <w:highlight w:val="none"/>
          <w:lang w:val="en-US" w:eastAsia="zh-CN"/>
        </w:rPr>
      </w:pPr>
      <w:r>
        <w:rPr>
          <w:rFonts w:hint="eastAsia" w:ascii="宋体" w:hAnsi="宋体" w:eastAsia="宋体" w:cs="宋体"/>
          <w:b/>
          <w:bCs/>
          <w:color w:val="auto"/>
          <w:spacing w:val="26"/>
          <w:sz w:val="110"/>
          <w:szCs w:val="110"/>
          <w:highlight w:val="none"/>
        </w:rPr>
        <w:t>招标</w:t>
      </w:r>
      <w:r>
        <w:rPr>
          <w:rFonts w:hint="eastAsia" w:ascii="宋体" w:hAnsi="宋体" w:eastAsia="宋体" w:cs="宋体"/>
          <w:b/>
          <w:bCs/>
          <w:color w:val="auto"/>
          <w:spacing w:val="26"/>
          <w:sz w:val="110"/>
          <w:szCs w:val="110"/>
          <w:highlight w:val="none"/>
          <w:lang w:eastAsia="zh-CN"/>
        </w:rPr>
        <w:t>公告</w:t>
      </w:r>
    </w:p>
    <w:p w14:paraId="775EEC25">
      <w:pPr>
        <w:spacing w:line="360" w:lineRule="auto"/>
        <w:ind w:firstLine="2560" w:firstLineChars="800"/>
        <w:rPr>
          <w:rFonts w:hint="eastAsia" w:ascii="宋体" w:hAnsi="宋体" w:eastAsia="宋体" w:cs="宋体"/>
          <w:color w:val="auto"/>
          <w:sz w:val="32"/>
          <w:highlight w:val="none"/>
        </w:rPr>
      </w:pPr>
    </w:p>
    <w:p w14:paraId="4A7E4367">
      <w:pPr>
        <w:spacing w:line="360" w:lineRule="auto"/>
        <w:rPr>
          <w:rFonts w:hint="eastAsia" w:ascii="宋体" w:hAnsi="宋体" w:eastAsia="宋体" w:cs="宋体"/>
          <w:color w:val="auto"/>
          <w:sz w:val="52"/>
          <w:highlight w:val="none"/>
        </w:rPr>
      </w:pPr>
    </w:p>
    <w:p w14:paraId="488E7218">
      <w:pPr>
        <w:spacing w:line="360" w:lineRule="auto"/>
        <w:rPr>
          <w:rFonts w:hint="eastAsia" w:ascii="宋体" w:hAnsi="宋体" w:eastAsia="宋体" w:cs="宋体"/>
          <w:color w:val="auto"/>
          <w:sz w:val="52"/>
          <w:highlight w:val="none"/>
        </w:rPr>
      </w:pPr>
    </w:p>
    <w:p w14:paraId="5828AA6C">
      <w:pPr>
        <w:keepNext w:val="0"/>
        <w:keepLines w:val="0"/>
        <w:pageBreakBefore w:val="0"/>
        <w:widowControl w:val="0"/>
        <w:kinsoku/>
        <w:wordWrap/>
        <w:overflowPunct/>
        <w:topLinePunct w:val="0"/>
        <w:autoSpaceDE/>
        <w:autoSpaceDN/>
        <w:bidi w:val="0"/>
        <w:adjustRightInd/>
        <w:snapToGrid/>
        <w:spacing w:line="360" w:lineRule="auto"/>
        <w:ind w:left="0" w:leftChars="0" w:firstLine="1257" w:firstLineChars="419"/>
        <w:textAlignment w:val="auto"/>
        <w:rPr>
          <w:rFonts w:hint="eastAsia" w:ascii="宋体" w:hAnsi="宋体" w:eastAsia="宋体" w:cs="宋体"/>
          <w:color w:val="auto"/>
          <w:sz w:val="30"/>
          <w:szCs w:val="30"/>
          <w:highlight w:val="none"/>
        </w:rPr>
      </w:pPr>
    </w:p>
    <w:p w14:paraId="75CDACE0">
      <w:pPr>
        <w:keepNext w:val="0"/>
        <w:keepLines w:val="0"/>
        <w:pageBreakBefore w:val="0"/>
        <w:widowControl w:val="0"/>
        <w:kinsoku/>
        <w:wordWrap/>
        <w:overflowPunct/>
        <w:topLinePunct w:val="0"/>
        <w:autoSpaceDE/>
        <w:autoSpaceDN/>
        <w:bidi w:val="0"/>
        <w:adjustRightInd/>
        <w:snapToGrid/>
        <w:spacing w:line="360" w:lineRule="auto"/>
        <w:ind w:left="0" w:leftChars="0" w:firstLine="1257" w:firstLineChars="419"/>
        <w:textAlignment w:val="auto"/>
        <w:rPr>
          <w:rFonts w:hint="eastAsia" w:ascii="宋体" w:hAnsi="宋体" w:eastAsia="宋体" w:cs="宋体"/>
          <w:color w:val="auto"/>
          <w:sz w:val="30"/>
          <w:szCs w:val="30"/>
          <w:highlight w:val="none"/>
        </w:rPr>
      </w:pPr>
    </w:p>
    <w:p w14:paraId="7438D4A9">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招  标 单 位：</w:t>
      </w:r>
      <w:r>
        <w:rPr>
          <w:rFonts w:hint="eastAsia" w:ascii="宋体" w:hAnsi="宋体" w:eastAsia="宋体" w:cs="宋体"/>
          <w:color w:val="auto"/>
          <w:sz w:val="30"/>
          <w:szCs w:val="30"/>
          <w:highlight w:val="none"/>
          <w:u w:val="single"/>
          <w:lang w:eastAsia="zh-CN"/>
        </w:rPr>
        <w:t>广州市白云区道路设施养护管理中心</w:t>
      </w:r>
    </w:p>
    <w:p w14:paraId="4453E439">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招标代理单位：</w:t>
      </w:r>
      <w:r>
        <w:rPr>
          <w:rFonts w:hint="eastAsia" w:ascii="宋体" w:hAnsi="宋体" w:eastAsia="宋体" w:cs="宋体"/>
          <w:color w:val="auto"/>
          <w:sz w:val="30"/>
          <w:szCs w:val="30"/>
          <w:highlight w:val="none"/>
          <w:u w:val="single"/>
          <w:lang w:eastAsia="zh-CN"/>
        </w:rPr>
        <w:t>广州珠江监理咨询集团有限公司</w:t>
      </w:r>
    </w:p>
    <w:p w14:paraId="6481BB0B">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rPr>
        <w:sectPr>
          <w:endnotePr>
            <w:numFmt w:val="decimal"/>
          </w:endnotePr>
          <w:pgSz w:w="11906" w:h="16838"/>
          <w:pgMar w:top="1440" w:right="1134" w:bottom="1440" w:left="1134" w:header="851" w:footer="992" w:gutter="0"/>
          <w:pgNumType w:fmt="decimal" w:start="1"/>
          <w:cols w:space="425" w:num="1"/>
          <w:docGrid w:type="lines" w:linePitch="312" w:charSpace="0"/>
        </w:sectPr>
      </w:pPr>
      <w:r>
        <w:rPr>
          <w:rFonts w:hint="eastAsia" w:ascii="宋体" w:hAnsi="宋体" w:eastAsia="宋体" w:cs="宋体"/>
          <w:color w:val="auto"/>
          <w:sz w:val="30"/>
          <w:szCs w:val="30"/>
          <w:highlight w:val="none"/>
        </w:rPr>
        <w:t>日</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期：</w:t>
      </w:r>
      <w:r>
        <w:rPr>
          <w:rFonts w:hint="eastAsia" w:ascii="宋体" w:hAnsi="宋体" w:eastAsia="宋体" w:cs="宋体"/>
          <w:color w:val="auto"/>
          <w:sz w:val="30"/>
          <w:szCs w:val="30"/>
          <w:highlight w:val="none"/>
          <w:u w:val="single"/>
          <w:lang w:val="en-US" w:eastAsia="zh-CN"/>
        </w:rPr>
        <w:t>2025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u w:val="single"/>
          <w:lang w:val="en-US" w:eastAsia="zh-CN"/>
        </w:rPr>
        <w:t>5</w:t>
      </w:r>
      <w:r>
        <w:rPr>
          <w:rFonts w:hint="eastAsia" w:ascii="宋体" w:hAnsi="宋体" w:eastAsia="宋体" w:cs="宋体"/>
          <w:color w:val="auto"/>
          <w:sz w:val="30"/>
          <w:szCs w:val="30"/>
          <w:highlight w:val="none"/>
        </w:rPr>
        <w:t>月</w:t>
      </w:r>
      <w:r>
        <w:rPr>
          <w:rFonts w:hint="eastAsia" w:ascii="宋体" w:hAnsi="宋体" w:cs="宋体"/>
          <w:color w:val="auto"/>
          <w:sz w:val="30"/>
          <w:szCs w:val="30"/>
          <w:highlight w:val="none"/>
          <w:u w:val="single"/>
          <w:lang w:val="en-US" w:eastAsia="zh-CN"/>
        </w:rPr>
        <w:t>30</w:t>
      </w:r>
      <w:r>
        <w:rPr>
          <w:rFonts w:hint="eastAsia" w:ascii="宋体" w:hAnsi="宋体" w:eastAsia="宋体" w:cs="宋体"/>
          <w:color w:val="auto"/>
          <w:sz w:val="30"/>
          <w:szCs w:val="30"/>
          <w:highlight w:val="none"/>
        </w:rPr>
        <w:t>日</w:t>
      </w:r>
    </w:p>
    <w:p w14:paraId="5A5704B3">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2"/>
          <w:sz w:val="28"/>
          <w:szCs w:val="28"/>
          <w:highlight w:val="none"/>
          <w:u w:val="none"/>
          <w:lang w:val="en-US" w:eastAsia="zh-CN" w:bidi="ar-SA"/>
        </w:rPr>
      </w:pPr>
      <w:r>
        <w:rPr>
          <w:rFonts w:hint="eastAsia" w:ascii="宋体" w:hAnsi="宋体" w:eastAsia="宋体" w:cs="宋体"/>
          <w:b/>
          <w:bCs/>
          <w:color w:val="auto"/>
          <w:kern w:val="2"/>
          <w:sz w:val="28"/>
          <w:szCs w:val="28"/>
          <w:highlight w:val="none"/>
          <w:u w:val="none"/>
          <w:lang w:val="en-US" w:eastAsia="zh-CN" w:bidi="ar-SA"/>
        </w:rPr>
        <w:t>2023年白云区路灯查漏补缺项目</w:t>
      </w:r>
    </w:p>
    <w:p w14:paraId="59364E20">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highlight w:val="none"/>
          <w:u w:val="none"/>
        </w:rPr>
      </w:pPr>
      <w:r>
        <w:rPr>
          <w:rFonts w:hint="eastAsia" w:ascii="宋体" w:hAnsi="宋体" w:eastAsia="宋体" w:cs="宋体"/>
          <w:b/>
          <w:bCs/>
          <w:color w:val="auto"/>
          <w:kern w:val="2"/>
          <w:sz w:val="28"/>
          <w:szCs w:val="28"/>
          <w:highlight w:val="none"/>
          <w:u w:val="none"/>
          <w:lang w:val="en-US" w:eastAsia="zh-CN" w:bidi="ar-SA"/>
        </w:rPr>
        <w:t>招标公告</w:t>
      </w:r>
    </w:p>
    <w:p w14:paraId="12FB1F31">
      <w:pPr>
        <w:keepNext w:val="0"/>
        <w:keepLines w:val="0"/>
        <w:pageBreakBefore w:val="0"/>
        <w:kinsoku/>
        <w:wordWrap/>
        <w:overflowPunct/>
        <w:topLinePunct w:val="0"/>
        <w:autoSpaceDE/>
        <w:autoSpaceDN/>
        <w:bidi w:val="0"/>
        <w:adjustRightInd/>
        <w:spacing w:line="360" w:lineRule="auto"/>
        <w:ind w:firstLine="537" w:firstLineChars="224"/>
        <w:jc w:val="center"/>
        <w:textAlignment w:val="auto"/>
        <w:rPr>
          <w:rFonts w:hint="eastAsia" w:ascii="宋体" w:hAnsi="宋体" w:eastAsia="宋体" w:cs="宋体"/>
          <w:color w:val="auto"/>
          <w:sz w:val="24"/>
          <w:highlight w:val="none"/>
        </w:rPr>
      </w:pPr>
    </w:p>
    <w:p w14:paraId="5068DD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rPr>
        <w:t xml:space="preserve"> 广州市白云区发展和改革局关于</w:t>
      </w:r>
      <w:r>
        <w:rPr>
          <w:rFonts w:hint="eastAsia" w:ascii="宋体" w:hAnsi="宋体" w:eastAsia="宋体" w:cs="宋体"/>
          <w:color w:val="auto"/>
          <w:sz w:val="24"/>
          <w:highlight w:val="none"/>
          <w:u w:val="single"/>
          <w:lang w:eastAsia="zh-CN"/>
        </w:rPr>
        <w:t>2023年白云区路灯查漏补缺项目</w:t>
      </w:r>
      <w:r>
        <w:rPr>
          <w:rFonts w:hint="eastAsia" w:ascii="宋体" w:hAnsi="宋体" w:eastAsia="宋体" w:cs="宋体"/>
          <w:color w:val="auto"/>
          <w:sz w:val="24"/>
          <w:highlight w:val="none"/>
          <w:u w:val="single"/>
        </w:rPr>
        <w:t>可行性研究报告的复函（穗白发改投批〔2024〕</w:t>
      </w:r>
      <w:r>
        <w:rPr>
          <w:rFonts w:hint="eastAsia" w:ascii="宋体" w:hAnsi="宋体" w:eastAsia="宋体" w:cs="宋体"/>
          <w:color w:val="auto"/>
          <w:sz w:val="24"/>
          <w:highlight w:val="none"/>
          <w:u w:val="single"/>
          <w:lang w:val="en-US" w:eastAsia="zh-CN"/>
        </w:rPr>
        <w:t>33</w:t>
      </w:r>
      <w:r>
        <w:rPr>
          <w:rFonts w:hint="eastAsia" w:ascii="宋体" w:hAnsi="宋体" w:eastAsia="宋体" w:cs="宋体"/>
          <w:color w:val="auto"/>
          <w:sz w:val="24"/>
          <w:highlight w:val="none"/>
          <w:u w:val="single"/>
        </w:rPr>
        <w:t>号）文件</w:t>
      </w:r>
      <w:r>
        <w:rPr>
          <w:rFonts w:hint="eastAsia" w:ascii="宋体" w:hAnsi="宋体" w:eastAsia="宋体" w:cs="宋体"/>
          <w:color w:val="auto"/>
          <w:sz w:val="24"/>
          <w:highlight w:val="none"/>
        </w:rPr>
        <w:t>批准，并且图纸和技术资料满足施工需要，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广州市白云区道路设施养护管理中心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现对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2023年白云区路灯查漏补缺项目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进行施工公开招标，选定承包人。</w:t>
      </w:r>
    </w:p>
    <w:p w14:paraId="40AB2A1E">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highlight w:val="none"/>
          <w:u w:val="single"/>
        </w:rPr>
      </w:pPr>
      <w:bookmarkStart w:id="0" w:name="_Toc4156"/>
      <w:r>
        <w:rPr>
          <w:rStyle w:val="61"/>
          <w:rFonts w:hint="eastAsia" w:ascii="宋体" w:hAnsi="宋体" w:eastAsia="宋体" w:cs="宋体"/>
          <w:color w:val="auto"/>
          <w:highlight w:val="none"/>
        </w:rPr>
        <w:t>一、</w:t>
      </w:r>
      <w:r>
        <w:rPr>
          <w:rStyle w:val="61"/>
          <w:rFonts w:hint="eastAsia" w:ascii="宋体" w:hAnsi="宋体" w:eastAsia="宋体" w:cs="宋体"/>
          <w:color w:val="auto"/>
          <w:highlight w:val="none"/>
          <w:lang w:eastAsia="zh-CN"/>
        </w:rPr>
        <w:t>招标项目</w:t>
      </w:r>
      <w:r>
        <w:rPr>
          <w:rStyle w:val="61"/>
          <w:rFonts w:hint="eastAsia" w:ascii="宋体" w:hAnsi="宋体" w:eastAsia="宋体" w:cs="宋体"/>
          <w:color w:val="auto"/>
          <w:highlight w:val="none"/>
        </w:rPr>
        <w:t>名称：</w:t>
      </w:r>
      <w:bookmarkEnd w:id="0"/>
      <w:r>
        <w:rPr>
          <w:rStyle w:val="61"/>
          <w:rFonts w:hint="eastAsia" w:ascii="宋体" w:hAnsi="宋体" w:eastAsia="宋体" w:cs="宋体"/>
          <w:b w:val="0"/>
          <w:bCs/>
          <w:color w:val="auto"/>
          <w:highlight w:val="none"/>
          <w:u w:val="single"/>
          <w:lang w:val="en-US" w:eastAsia="zh-CN"/>
        </w:rPr>
        <w:t>2023年白云区路灯查漏补缺项目</w:t>
      </w:r>
    </w:p>
    <w:p w14:paraId="4D856B4B">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highlight w:val="none"/>
          <w:u w:val="single"/>
        </w:rPr>
      </w:pPr>
      <w:bookmarkStart w:id="1" w:name="_Toc10700"/>
      <w:r>
        <w:rPr>
          <w:rStyle w:val="61"/>
          <w:rFonts w:hint="eastAsia" w:ascii="宋体" w:hAnsi="宋体" w:eastAsia="宋体" w:cs="宋体"/>
          <w:b w:val="0"/>
          <w:bCs/>
          <w:color w:val="auto"/>
          <w:highlight w:val="none"/>
          <w:lang w:eastAsia="zh-CN"/>
        </w:rPr>
        <w:t>招标项目对应工程项目</w:t>
      </w:r>
      <w:r>
        <w:rPr>
          <w:rStyle w:val="61"/>
          <w:rFonts w:hint="eastAsia" w:ascii="宋体" w:hAnsi="宋体" w:eastAsia="宋体" w:cs="宋体"/>
          <w:b w:val="0"/>
          <w:bCs/>
          <w:color w:val="auto"/>
          <w:highlight w:val="none"/>
        </w:rPr>
        <w:t>名称：</w:t>
      </w:r>
      <w:bookmarkEnd w:id="1"/>
      <w:r>
        <w:rPr>
          <w:rStyle w:val="61"/>
          <w:rFonts w:hint="eastAsia" w:ascii="宋体" w:hAnsi="宋体" w:eastAsia="宋体" w:cs="宋体"/>
          <w:b w:val="0"/>
          <w:bCs/>
          <w:color w:val="auto"/>
          <w:highlight w:val="none"/>
          <w:u w:val="single"/>
          <w:lang w:val="en-US" w:eastAsia="zh-CN"/>
        </w:rPr>
        <w:t>2023年白云区路灯查漏补缺项目</w:t>
      </w:r>
    </w:p>
    <w:p w14:paraId="4AB829B4">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招标项目固定资产投资项目</w:t>
      </w:r>
      <w:r>
        <w:rPr>
          <w:rFonts w:hint="eastAsia" w:ascii="宋体" w:hAnsi="宋体" w:eastAsia="宋体" w:cs="宋体"/>
          <w:color w:val="auto"/>
          <w:sz w:val="24"/>
          <w:highlight w:val="none"/>
        </w:rPr>
        <w:t>代码：</w:t>
      </w:r>
      <w:r>
        <w:rPr>
          <w:rFonts w:hint="eastAsia" w:ascii="宋体" w:hAnsi="宋体" w:eastAsia="宋体" w:cs="宋体"/>
          <w:color w:val="auto"/>
          <w:sz w:val="24"/>
          <w:highlight w:val="none"/>
          <w:u w:val="single"/>
          <w:lang w:eastAsia="zh-CN"/>
        </w:rPr>
        <w:t>2306-440111-17-01-800823</w:t>
      </w:r>
    </w:p>
    <w:p w14:paraId="6FF570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u w:val="single"/>
          <w:lang w:eastAsia="zh-CN"/>
        </w:rPr>
      </w:pPr>
      <w:bookmarkStart w:id="2" w:name="_Toc31984"/>
      <w:r>
        <w:rPr>
          <w:rStyle w:val="61"/>
          <w:rFonts w:hint="eastAsia" w:ascii="宋体" w:hAnsi="宋体" w:eastAsia="宋体" w:cs="宋体"/>
          <w:color w:val="auto"/>
          <w:highlight w:val="none"/>
        </w:rPr>
        <w:t>二、招标单位：</w:t>
      </w:r>
      <w:bookmarkEnd w:id="2"/>
      <w:r>
        <w:rPr>
          <w:rFonts w:hint="eastAsia" w:ascii="宋体" w:hAnsi="宋体" w:eastAsia="宋体" w:cs="宋体"/>
          <w:color w:val="auto"/>
          <w:sz w:val="24"/>
          <w:highlight w:val="none"/>
          <w:u w:val="single"/>
          <w:lang w:eastAsia="zh-CN"/>
        </w:rPr>
        <w:t>广州市白云区道路设施养护管理中心</w:t>
      </w:r>
    </w:p>
    <w:p w14:paraId="07A4737E">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张工</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lang w:eastAsia="zh-CN"/>
        </w:rPr>
        <w:t>020-31234451</w:t>
      </w:r>
    </w:p>
    <w:p w14:paraId="5D85953A">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lang w:eastAsia="zh-CN"/>
        </w:rPr>
        <w:t>广州市水荫路永福正街52号</w:t>
      </w:r>
    </w:p>
    <w:p w14:paraId="2FB541D0">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项目建设管理单位：</w:t>
      </w:r>
      <w:r>
        <w:rPr>
          <w:rFonts w:hint="eastAsia" w:ascii="宋体" w:hAnsi="宋体" w:eastAsia="宋体" w:cs="宋体"/>
          <w:color w:val="auto"/>
          <w:sz w:val="24"/>
          <w:highlight w:val="none"/>
          <w:u w:val="single"/>
        </w:rPr>
        <w:t>/</w:t>
      </w:r>
    </w:p>
    <w:p w14:paraId="59947B9E">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w:t>
      </w:r>
    </w:p>
    <w:p w14:paraId="23643872">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rPr>
        <w:t>/</w:t>
      </w:r>
    </w:p>
    <w:p w14:paraId="382A8AD6">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u w:val="single"/>
          <w:lang w:eastAsia="zh-CN"/>
        </w:rPr>
        <w:t>广州珠江监理咨询集团有限公司</w:t>
      </w:r>
    </w:p>
    <w:p w14:paraId="6806D989">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唐工</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020-</w:t>
      </w:r>
      <w:r>
        <w:rPr>
          <w:rFonts w:hint="eastAsia" w:ascii="宋体" w:hAnsi="宋体" w:eastAsia="宋体" w:cs="宋体"/>
          <w:color w:val="auto"/>
          <w:sz w:val="24"/>
          <w:highlight w:val="none"/>
          <w:u w:val="single"/>
          <w:lang w:val="en-US" w:eastAsia="zh-CN"/>
        </w:rPr>
        <w:t>83492175</w:t>
      </w:r>
    </w:p>
    <w:p w14:paraId="303E4E05">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lang w:eastAsia="zh-CN"/>
        </w:rPr>
        <w:t>广州市越秀区永泰路50号101房</w:t>
      </w:r>
    </w:p>
    <w:p w14:paraId="35E029AA">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招标监督机构：</w:t>
      </w:r>
      <w:r>
        <w:rPr>
          <w:rFonts w:hint="eastAsia" w:ascii="宋体" w:hAnsi="宋体" w:eastAsia="宋体" w:cs="宋体"/>
          <w:color w:val="auto"/>
          <w:sz w:val="24"/>
          <w:highlight w:val="none"/>
          <w:u w:val="single"/>
          <w:lang w:eastAsia="zh-CN"/>
        </w:rPr>
        <w:t>广州市白云区建设工程研究和招投标管理中心</w:t>
      </w:r>
    </w:p>
    <w:p w14:paraId="6BE7D7EA">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监督电话：</w:t>
      </w:r>
      <w:r>
        <w:rPr>
          <w:rFonts w:hint="eastAsia" w:ascii="宋体" w:hAnsi="宋体" w:eastAsia="宋体" w:cs="宋体"/>
          <w:color w:val="auto"/>
          <w:sz w:val="24"/>
          <w:highlight w:val="none"/>
          <w:u w:val="single"/>
          <w:lang w:eastAsia="zh-CN"/>
        </w:rPr>
        <w:t>020-86212546</w:t>
      </w:r>
    </w:p>
    <w:p w14:paraId="24B40453">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lang w:eastAsia="zh-CN"/>
        </w:rPr>
        <w:t>广州市白云区大金钟路23号二楼</w:t>
      </w:r>
    </w:p>
    <w:p w14:paraId="7DDA7E6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color w:val="auto"/>
          <w:sz w:val="24"/>
          <w:highlight w:val="none"/>
          <w:u w:val="single"/>
        </w:rPr>
      </w:pPr>
      <w:bookmarkStart w:id="3" w:name="_Toc8954"/>
      <w:r>
        <w:rPr>
          <w:rStyle w:val="61"/>
          <w:rFonts w:hint="eastAsia" w:ascii="宋体" w:hAnsi="宋体" w:eastAsia="宋体" w:cs="宋体"/>
          <w:color w:val="auto"/>
          <w:highlight w:val="none"/>
        </w:rPr>
        <w:t>三、建设地点：</w:t>
      </w:r>
      <w:bookmarkEnd w:id="3"/>
      <w:r>
        <w:rPr>
          <w:rStyle w:val="61"/>
          <w:rFonts w:hint="eastAsia" w:ascii="宋体" w:hAnsi="宋体" w:eastAsia="宋体" w:cs="宋体"/>
          <w:color w:val="auto"/>
          <w:highlight w:val="none"/>
          <w:u w:val="single"/>
          <w:lang w:eastAsia="zh-CN"/>
        </w:rPr>
        <w:t>广州市白云区</w:t>
      </w:r>
      <w:r>
        <w:rPr>
          <w:rFonts w:hint="eastAsia" w:ascii="宋体" w:hAnsi="宋体" w:eastAsia="宋体" w:cs="宋体"/>
          <w:color w:val="auto"/>
          <w:sz w:val="24"/>
          <w:highlight w:val="none"/>
          <w:u w:val="single"/>
        </w:rPr>
        <w:t>。</w:t>
      </w:r>
    </w:p>
    <w:p w14:paraId="67A04FE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val="0"/>
          <w:bCs/>
          <w:color w:val="auto"/>
          <w:sz w:val="24"/>
          <w:highlight w:val="none"/>
          <w:u w:val="single"/>
        </w:rPr>
      </w:pPr>
      <w:bookmarkStart w:id="4" w:name="_Toc5544"/>
      <w:r>
        <w:rPr>
          <w:rStyle w:val="61"/>
          <w:rFonts w:hint="eastAsia" w:ascii="宋体" w:hAnsi="宋体" w:eastAsia="宋体" w:cs="宋体"/>
          <w:color w:val="auto"/>
          <w:highlight w:val="none"/>
        </w:rPr>
        <w:t>四、项目概况：</w:t>
      </w:r>
      <w:bookmarkEnd w:id="4"/>
      <w:r>
        <w:rPr>
          <w:rStyle w:val="61"/>
          <w:rFonts w:hint="eastAsia" w:ascii="宋体" w:hAnsi="宋体" w:eastAsia="宋体" w:cs="宋体"/>
          <w:b w:val="0"/>
          <w:bCs/>
          <w:color w:val="auto"/>
          <w:highlight w:val="none"/>
          <w:u w:val="single"/>
        </w:rPr>
        <w:t>本项目对三元里街道、同德街道、新市街道、同和街道、京溪街道、永平街道、金沙街道、石门街道、龙归街道、人和镇、太和镇、钟落潭镇、江高镇等13个镇街“有路无灯”及照明不足路段照明设施进行完善，涉及主次干道，支路、绿道约52.6千米，共新建路灯控制箱约77台、线路保护箱约9台、立杆路灯约1918盏、短支架路灯约100盏以及护栏灯约700盏，并建设配套电缆电线约97.4千米和保护管约98.1千米。建设内容包括控制箱工程、灯具工程、电缆电线工程、管道工程、土方工程、道路修复工程等（具体内容以招标文件、工程量清单、招标图纸及有关资料为准）</w:t>
      </w:r>
      <w:r>
        <w:rPr>
          <w:rFonts w:hint="eastAsia" w:ascii="宋体" w:hAnsi="宋体" w:eastAsia="宋体" w:cs="宋体"/>
          <w:b w:val="0"/>
          <w:bCs/>
          <w:color w:val="auto"/>
          <w:sz w:val="24"/>
          <w:highlight w:val="none"/>
          <w:u w:val="single"/>
        </w:rPr>
        <w:t>。</w:t>
      </w:r>
    </w:p>
    <w:p w14:paraId="0D89E0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Style w:val="61"/>
          <w:rFonts w:hint="eastAsia" w:ascii="宋体" w:hAnsi="宋体" w:eastAsia="宋体" w:cs="宋体"/>
          <w:color w:val="auto"/>
          <w:highlight w:val="none"/>
        </w:rPr>
      </w:pPr>
      <w:bookmarkStart w:id="5" w:name="_Toc1453"/>
      <w:r>
        <w:rPr>
          <w:rStyle w:val="61"/>
          <w:rFonts w:hint="eastAsia" w:ascii="宋体" w:hAnsi="宋体" w:eastAsia="宋体" w:cs="宋体"/>
          <w:color w:val="auto"/>
          <w:highlight w:val="none"/>
        </w:rPr>
        <w:t>五、标段划分及各标段招标内容、规模和最高投标限价：</w:t>
      </w:r>
      <w:bookmarkEnd w:id="5"/>
    </w:p>
    <w:p w14:paraId="20E416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i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本招标项目分为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个标段。</w:t>
      </w:r>
    </w:p>
    <w:p w14:paraId="2B9FA7B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2"/>
          <w:highlight w:val="none"/>
        </w:rPr>
        <w:t>招标</w:t>
      </w:r>
      <w:r>
        <w:rPr>
          <w:rFonts w:hint="eastAsia" w:ascii="宋体" w:hAnsi="宋体" w:eastAsia="宋体" w:cs="宋体"/>
          <w:color w:val="auto"/>
          <w:sz w:val="24"/>
          <w:highlight w:val="none"/>
        </w:rPr>
        <w:t>内容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u w:val="single"/>
          <w:lang w:eastAsia="zh-CN"/>
        </w:rPr>
        <w:t>本项目对三元里街道、同德街道、新市街道、同和街道、京溪街道、永平街道、金沙街道、石门街道、龙归街道、人和镇、太和镇、钟落潭镇、江高镇等13个镇街“有路无灯”及照明不足路段照明设施进行完善，涉及主次干道，支路、绿道约52.6千米，共新建路灯控制箱约77台、线路保护箱约9台、立杆路灯约1918盏、短支架路灯约100盏以及护栏灯约700盏，并建设配套电缆电线约97.4千米和保护管约98.1千米。建设内容包括控制箱工程、灯具工程、电缆电线工程、管道工程、土方工程、道路修复工程等（具体内容以招标文件、工程量清单、招标图纸及有关资料为准）</w:t>
      </w:r>
    </w:p>
    <w:p w14:paraId="7771EB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最高投标限价：</w:t>
      </w:r>
      <w:r>
        <w:rPr>
          <w:rFonts w:hint="eastAsia" w:ascii="宋体" w:hAnsi="宋体" w:eastAsia="宋体" w:cs="宋体"/>
          <w:color w:val="auto"/>
          <w:sz w:val="24"/>
          <w:szCs w:val="24"/>
          <w:highlight w:val="none"/>
          <w:u w:val="single"/>
          <w:lang w:val="en-US" w:eastAsia="zh-CN"/>
        </w:rPr>
        <w:t>26914222.06</w:t>
      </w:r>
      <w:r>
        <w:rPr>
          <w:rFonts w:hint="eastAsia" w:ascii="宋体" w:hAnsi="宋体" w:eastAsia="宋体" w:cs="宋体"/>
          <w:color w:val="auto"/>
          <w:sz w:val="24"/>
          <w:szCs w:val="24"/>
          <w:highlight w:val="none"/>
        </w:rPr>
        <w:t>元。</w:t>
      </w:r>
      <w:r>
        <w:rPr>
          <w:rFonts w:hint="eastAsia" w:ascii="宋体" w:hAnsi="宋体" w:eastAsia="宋体" w:cs="宋体"/>
          <w:color w:val="auto"/>
          <w:sz w:val="24"/>
          <w:highlight w:val="none"/>
          <w:u w:val="none"/>
        </w:rPr>
        <w:t xml:space="preserve"> </w:t>
      </w:r>
    </w:p>
    <w:p w14:paraId="1D66498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color w:val="auto"/>
          <w:sz w:val="24"/>
          <w:highlight w:val="none"/>
        </w:rPr>
      </w:pPr>
      <w:bookmarkStart w:id="6" w:name="_Toc14879"/>
      <w:r>
        <w:rPr>
          <w:rStyle w:val="61"/>
          <w:rFonts w:hint="eastAsia" w:ascii="宋体" w:hAnsi="宋体" w:eastAsia="宋体" w:cs="宋体"/>
          <w:color w:val="auto"/>
          <w:highlight w:val="none"/>
        </w:rPr>
        <w:t>六、资金来源：</w:t>
      </w:r>
      <w:bookmarkEnd w:id="6"/>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区财政资金</w:t>
      </w:r>
      <w:r>
        <w:rPr>
          <w:rFonts w:hint="eastAsia" w:ascii="宋体" w:hAnsi="宋体" w:eastAsia="宋体" w:cs="宋体"/>
          <w:color w:val="auto"/>
          <w:sz w:val="24"/>
          <w:highlight w:val="none"/>
          <w:u w:val="single"/>
        </w:rPr>
        <w:t xml:space="preserve"> </w:t>
      </w:r>
    </w:p>
    <w:p w14:paraId="163B82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Style w:val="61"/>
          <w:rFonts w:hint="eastAsia" w:ascii="宋体" w:hAnsi="宋体" w:eastAsia="宋体" w:cs="宋体"/>
          <w:color w:val="auto"/>
          <w:highlight w:val="none"/>
        </w:rPr>
      </w:pPr>
      <w:bookmarkStart w:id="7" w:name="_Toc14645"/>
      <w:r>
        <w:rPr>
          <w:rFonts w:hint="eastAsia" w:ascii="宋体" w:hAnsi="宋体" w:eastAsia="宋体" w:cs="宋体"/>
          <w:color w:val="auto"/>
          <w:sz w:val="24"/>
          <w:highlight w:val="none"/>
        </w:rPr>
        <w:t>注：政府投资项目一律不得以建筑业企业带资承包的方式进行建设。</w:t>
      </w:r>
    </w:p>
    <w:p w14:paraId="48E9707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Style w:val="61"/>
          <w:rFonts w:hint="eastAsia" w:ascii="宋体" w:hAnsi="宋体" w:eastAsia="宋体" w:cs="宋体"/>
          <w:color w:val="auto"/>
          <w:highlight w:val="none"/>
        </w:rPr>
        <w:t>七、公告发布日期、递交投标文件时间与开标时间</w:t>
      </w:r>
      <w:bookmarkEnd w:id="7"/>
      <w:r>
        <w:rPr>
          <w:rFonts w:hint="eastAsia" w:ascii="宋体" w:hAnsi="宋体" w:eastAsia="宋体" w:cs="宋体"/>
          <w:color w:val="auto"/>
          <w:sz w:val="24"/>
          <w:szCs w:val="24"/>
          <w:highlight w:val="none"/>
        </w:rPr>
        <w:t>：</w:t>
      </w:r>
    </w:p>
    <w:p w14:paraId="49CEADE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公告发布日期（含本日）：</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日  至</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日</w:t>
      </w:r>
    </w:p>
    <w:p w14:paraId="1D4F563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交易平台网站下载电子招标文件。</w:t>
      </w:r>
    </w:p>
    <w:p w14:paraId="36858F4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注：发布招标公告的时间为招标公告发出之日起至投标截止时间止</w:t>
      </w:r>
      <w:r>
        <w:rPr>
          <w:rFonts w:hint="eastAsia" w:ascii="宋体" w:hAnsi="宋体" w:eastAsia="宋体" w:cs="宋体"/>
          <w:color w:val="auto"/>
          <w:sz w:val="24"/>
          <w:szCs w:val="24"/>
          <w:highlight w:val="none"/>
          <w:lang w:eastAsia="zh-CN"/>
        </w:rPr>
        <w:t>。</w:t>
      </w:r>
    </w:p>
    <w:p w14:paraId="161BC51F">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递交投标文件起始时间：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63C024A">
      <w:pPr>
        <w:pStyle w:val="20"/>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595AB09">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开标开始时间：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5DA7A32">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递交投标文件备用光盘时间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  月  日  时  分至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  月  日  时  分</w:t>
      </w:r>
      <w:r>
        <w:rPr>
          <w:rFonts w:hint="eastAsia" w:ascii="宋体" w:hAnsi="宋体" w:eastAsia="宋体" w:cs="宋体"/>
          <w:color w:val="auto"/>
          <w:sz w:val="24"/>
          <w:szCs w:val="24"/>
          <w:highlight w:val="none"/>
        </w:rPr>
        <w:t>；递交投标文件备用光盘地点：</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天润路333号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开标室。</w:t>
      </w:r>
    </w:p>
    <w:p w14:paraId="15DE0316">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递交投标文件截止时间与开标时间是否有变化，请密切留意</w:t>
      </w:r>
      <w:r>
        <w:rPr>
          <w:rFonts w:hint="eastAsia" w:ascii="宋体" w:hAnsi="宋体" w:eastAsia="宋体" w:cs="宋体"/>
          <w:color w:val="auto"/>
          <w:sz w:val="24"/>
          <w:szCs w:val="24"/>
          <w:highlight w:val="none"/>
          <w:u w:val="single"/>
        </w:rPr>
        <w:t>招标答疑</w:t>
      </w:r>
      <w:r>
        <w:rPr>
          <w:rFonts w:hint="eastAsia" w:ascii="宋体" w:hAnsi="宋体" w:eastAsia="宋体" w:cs="宋体"/>
          <w:color w:val="auto"/>
          <w:sz w:val="24"/>
          <w:szCs w:val="24"/>
          <w:highlight w:val="none"/>
        </w:rPr>
        <w:t>中的相关信息。递交投标文件截止时间后，开标时间因故推迟的，相关评标信息仍以原递交投标文件截止时间的信息为准</w:t>
      </w:r>
      <w:r>
        <w:rPr>
          <w:rFonts w:hint="eastAsia" w:ascii="宋体" w:hAnsi="宋体" w:eastAsia="宋体" w:cs="宋体"/>
          <w:color w:val="auto"/>
          <w:sz w:val="24"/>
          <w:szCs w:val="24"/>
          <w:highlight w:val="none"/>
          <w:lang w:eastAsia="zh-CN"/>
        </w:rPr>
        <w:t>。</w:t>
      </w:r>
    </w:p>
    <w:p w14:paraId="36EC0A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bCs/>
          <w:color w:val="auto"/>
          <w:sz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递交电子投标文件。</w:t>
      </w:r>
      <w:r>
        <w:rPr>
          <w:rFonts w:hint="eastAsia" w:ascii="宋体" w:hAnsi="宋体" w:eastAsia="宋体" w:cs="宋体"/>
          <w:color w:val="auto"/>
          <w:sz w:val="24"/>
          <w:szCs w:val="24"/>
          <w:highlight w:val="none"/>
        </w:rPr>
        <w:t>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广州交易集团有限公司（广州公共资源交易中心）网站发布的最新版操作指引</w:t>
      </w:r>
      <w:r>
        <w:rPr>
          <w:rFonts w:hint="eastAsia" w:ascii="宋体" w:hAnsi="宋体" w:eastAsia="宋体" w:cs="宋体"/>
          <w:color w:val="auto"/>
          <w:sz w:val="24"/>
          <w:szCs w:val="24"/>
          <w:highlight w:val="none"/>
        </w:rPr>
        <w:t xml:space="preserve">。 </w:t>
      </w:r>
    </w:p>
    <w:p w14:paraId="0ADB3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u w:val="single"/>
          <w:lang w:val="en-US" w:eastAsia="zh-CN"/>
        </w:rPr>
        <w:t>在投标登记时，投标人应按要求在广州交易集团有限公司（广州公共资源交易中心）交易系统中填写《施工项目管理团队人员信息表》（详见本公告附件三），表中的项目管理团队人员信息作为投标文件的一部分，将由交易系统提取后供各相关单位在中标人履约时进行比对、查核。</w:t>
      </w:r>
    </w:p>
    <w:p w14:paraId="0D583B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bookmarkStart w:id="8" w:name="_Toc10467"/>
      <w:r>
        <w:rPr>
          <w:rStyle w:val="61"/>
          <w:rFonts w:hint="eastAsia" w:ascii="宋体" w:hAnsi="宋体" w:eastAsia="宋体" w:cs="宋体"/>
          <w:color w:val="auto"/>
          <w:highlight w:val="none"/>
        </w:rPr>
        <w:t>八、招标文件获取方式</w:t>
      </w:r>
      <w:r>
        <w:rPr>
          <w:rStyle w:val="61"/>
          <w:rFonts w:hint="eastAsia" w:ascii="宋体" w:hAnsi="宋体" w:eastAsia="宋体" w:cs="宋体"/>
          <w:color w:val="auto"/>
          <w:highlight w:val="none"/>
          <w:lang w:eastAsia="zh-CN"/>
        </w:rPr>
        <w:t>：</w:t>
      </w:r>
      <w:bookmarkEnd w:id="8"/>
    </w:p>
    <w:p w14:paraId="19C2EC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r>
        <w:rPr>
          <w:rFonts w:hint="eastAsia" w:ascii="宋体" w:hAnsi="宋体" w:eastAsia="宋体" w:cs="宋体"/>
          <w:color w:val="auto"/>
          <w:kern w:val="0"/>
          <w:sz w:val="24"/>
          <w:szCs w:val="24"/>
          <w:highlight w:val="none"/>
          <w:lang w:eastAsia="zh-CN"/>
        </w:rPr>
        <w:t>。</w:t>
      </w:r>
    </w:p>
    <w:p w14:paraId="4ACA75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rPr>
      </w:pPr>
      <w:bookmarkStart w:id="9" w:name="_Toc3194"/>
      <w:r>
        <w:rPr>
          <w:rStyle w:val="61"/>
          <w:rFonts w:hint="eastAsia" w:ascii="宋体" w:hAnsi="宋体" w:eastAsia="宋体" w:cs="宋体"/>
          <w:color w:val="auto"/>
          <w:highlight w:val="none"/>
        </w:rPr>
        <w:t>九、投标人</w:t>
      </w:r>
      <w:r>
        <w:rPr>
          <w:rStyle w:val="61"/>
          <w:rFonts w:hint="eastAsia" w:ascii="宋体" w:hAnsi="宋体" w:eastAsia="宋体" w:cs="宋体"/>
          <w:color w:val="auto"/>
          <w:highlight w:val="none"/>
          <w:lang w:eastAsia="zh-CN"/>
        </w:rPr>
        <w:t>资格要求</w:t>
      </w:r>
      <w:bookmarkEnd w:id="9"/>
      <w:r>
        <w:rPr>
          <w:rFonts w:hint="eastAsia" w:ascii="宋体" w:hAnsi="宋体" w:eastAsia="宋体" w:cs="宋体"/>
          <w:color w:val="auto"/>
          <w:sz w:val="24"/>
          <w:highlight w:val="none"/>
        </w:rPr>
        <w:t>：</w:t>
      </w:r>
    </w:p>
    <w:p w14:paraId="2ED008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参加投标的意思表达清楚，投标人代表被授权有效</w:t>
      </w:r>
      <w:r>
        <w:rPr>
          <w:rFonts w:hint="eastAsia" w:ascii="宋体" w:hAnsi="宋体" w:eastAsia="宋体" w:cs="宋体"/>
          <w:color w:val="auto"/>
          <w:sz w:val="24"/>
          <w:highlight w:val="none"/>
        </w:rPr>
        <w:t>。</w:t>
      </w:r>
    </w:p>
    <w:p w14:paraId="530DDD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szCs w:val="22"/>
          <w:highlight w:val="none"/>
          <w:u w:val="single"/>
        </w:rPr>
        <w:t>是法人或其他组织</w:t>
      </w:r>
      <w:r>
        <w:rPr>
          <w:rFonts w:hint="eastAsia" w:ascii="宋体" w:hAnsi="宋体" w:eastAsia="宋体" w:cs="宋体"/>
          <w:color w:val="auto"/>
          <w:sz w:val="24"/>
          <w:highlight w:val="none"/>
          <w:u w:val="single"/>
        </w:rPr>
        <w:t>，按国家法律经营</w:t>
      </w:r>
      <w:r>
        <w:rPr>
          <w:rFonts w:hint="eastAsia" w:ascii="宋体" w:hAnsi="宋体" w:eastAsia="宋体" w:cs="宋体"/>
          <w:color w:val="auto"/>
          <w:sz w:val="24"/>
          <w:highlight w:val="none"/>
        </w:rPr>
        <w:t>。</w:t>
      </w:r>
    </w:p>
    <w:p w14:paraId="3CE6A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投标人均持有</w:t>
      </w:r>
      <w:r>
        <w:rPr>
          <w:rFonts w:hint="eastAsia" w:ascii="宋体" w:hAnsi="宋体" w:eastAsia="宋体" w:cs="宋体"/>
          <w:color w:val="auto"/>
          <w:sz w:val="24"/>
          <w:highlight w:val="none"/>
          <w:u w:val="single"/>
        </w:rPr>
        <w:t>建设行政主管部门颁发的有效期内的企业资质证书及安全生产许可证</w:t>
      </w:r>
      <w:r>
        <w:rPr>
          <w:rFonts w:hint="eastAsia" w:ascii="宋体" w:hAnsi="宋体" w:eastAsia="宋体" w:cs="宋体"/>
          <w:color w:val="auto"/>
          <w:sz w:val="24"/>
          <w:highlight w:val="none"/>
        </w:rPr>
        <w:t>；</w:t>
      </w:r>
    </w:p>
    <w:p w14:paraId="51ACE53C">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投标人应具备以下资质：</w:t>
      </w:r>
    </w:p>
    <w:p w14:paraId="44345632">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投标人具有承接本工程</w:t>
      </w:r>
      <w:r>
        <w:rPr>
          <w:rFonts w:hint="eastAsia" w:ascii="宋体" w:hAnsi="宋体" w:eastAsia="宋体" w:cs="宋体"/>
          <w:color w:val="auto"/>
          <w:sz w:val="24"/>
          <w:szCs w:val="24"/>
          <w:highlight w:val="none"/>
          <w:lang w:eastAsia="zh-CN"/>
        </w:rPr>
        <w:t>所需</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城市及道路照明工程专业承包一级</w:t>
      </w:r>
      <w:r>
        <w:rPr>
          <w:rFonts w:hint="eastAsia" w:ascii="宋体" w:hAnsi="宋体" w:eastAsia="宋体" w:cs="宋体"/>
          <w:color w:val="auto"/>
          <w:sz w:val="24"/>
          <w:szCs w:val="24"/>
          <w:highlight w:val="none"/>
        </w:rPr>
        <w:t>资质。</w:t>
      </w:r>
    </w:p>
    <w:p w14:paraId="20CDA65F">
      <w:pPr>
        <w:pStyle w:val="6"/>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对应所设置资质要求的规模指标：单项合同额超过1200万元的城市与道路照明工程。</w:t>
      </w:r>
    </w:p>
    <w:p w14:paraId="04A59D9D">
      <w:pPr>
        <w:pStyle w:val="97"/>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《住房和城乡建设部关于印发建设工程企业资质管理制度改革方案的通知》（建市〔2020〕94号）</w:t>
      </w:r>
      <w:r>
        <w:rPr>
          <w:rFonts w:hint="eastAsia" w:ascii="宋体" w:hAnsi="宋体" w:eastAsia="宋体" w:cs="宋体"/>
          <w:color w:val="auto"/>
          <w:sz w:val="24"/>
          <w:szCs w:val="24"/>
          <w:highlight w:val="none"/>
        </w:rPr>
        <w:t>)的要求设置。招标内容含有设计要求，且设计要求仅为深化设计的，在投标人的资质设置要求中，不允许设置设计资质。</w:t>
      </w:r>
    </w:p>
    <w:p w14:paraId="03CAE85F">
      <w:pPr>
        <w:pStyle w:val="97"/>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《广东省住房和城乡建设厅关于建设工程企业资质有效期延期的通知》（粤建许函〔2021〕849号）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sz w:val="24"/>
          <w:szCs w:val="24"/>
          <w:highlight w:val="none"/>
          <w:lang w:eastAsia="zh-CN"/>
        </w:rPr>
        <w:t>《住房和城乡建设部关于进一步加强建设工程企业资质审批管理工作的通知》（建市规</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3号）、</w:t>
      </w:r>
      <w:r>
        <w:rPr>
          <w:rFonts w:hint="eastAsia" w:ascii="宋体" w:hAnsi="宋体" w:eastAsia="宋体" w:cs="宋体"/>
          <w:color w:val="auto"/>
          <w:sz w:val="24"/>
          <w:szCs w:val="24"/>
          <w:highlight w:val="none"/>
        </w:rPr>
        <w:t>《住房城乡建设部办公厅关于做好有关建设工程企业资质证书换领和延续工作的通知》（建办市〔2023〕47号）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kern w:val="2"/>
          <w:sz w:val="24"/>
          <w:szCs w:val="24"/>
          <w:highlight w:val="none"/>
          <w:lang w:eastAsia="zh-CN"/>
        </w:rPr>
        <w:t>广东省住房和城乡建设厅关于做好有关建设工程企业资质证书换领工作的通知（粤建许函〔2024〕124号）</w:t>
      </w:r>
      <w:r>
        <w:rPr>
          <w:rFonts w:hint="eastAsia" w:ascii="宋体" w:hAnsi="宋体" w:eastAsia="宋体" w:cs="宋体"/>
          <w:color w:val="auto"/>
          <w:sz w:val="24"/>
          <w:szCs w:val="24"/>
          <w:highlight w:val="none"/>
        </w:rPr>
        <w:t>等相关规定。根据上述文件的要求，投标人需办理企业资质有效期延续的，应当按照相关规定及时办理。</w:t>
      </w:r>
    </w:p>
    <w:p w14:paraId="67D28A85">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6A80208">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BC08EA7">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D751E5D">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lang w:val="en-US" w:eastAsia="zh-CN"/>
        </w:rPr>
        <w:t>机电工程或</w:t>
      </w:r>
      <w:r>
        <w:rPr>
          <w:rFonts w:hint="eastAsia" w:ascii="宋体" w:hAnsi="宋体" w:eastAsia="宋体" w:cs="宋体"/>
          <w:color w:val="auto"/>
          <w:sz w:val="24"/>
          <w:szCs w:val="24"/>
          <w:highlight w:val="none"/>
          <w:u w:val="single"/>
        </w:rPr>
        <w:t>市政公用工程专业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级注册建造师</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必须为企业在岗人员，注册执业单位须与投标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登记时一致；项目负责人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持有安全生产考核合格证（B类）或建筑施工企业项目负责人安全生产考核合格证书；</w:t>
      </w:r>
    </w:p>
    <w:p w14:paraId="1560F1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u w:val="single"/>
          <w:lang w:val="en-US" w:eastAsia="zh-CN"/>
        </w:rPr>
        <w:t>投标人拟担任本工程技术负责人的资格要求为：具有机电工程或市政公用工程相关专业高级技术职称。</w:t>
      </w:r>
    </w:p>
    <w:p w14:paraId="5A1AD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拟配备的专职安全员不少于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人，</w:t>
      </w:r>
      <w:r>
        <w:rPr>
          <w:rFonts w:hint="eastAsia" w:ascii="宋体" w:hAnsi="宋体" w:eastAsia="宋体" w:cs="宋体"/>
          <w:color w:val="auto"/>
          <w:sz w:val="24"/>
          <w:szCs w:val="24"/>
          <w:highlight w:val="none"/>
        </w:rPr>
        <w:t>专职安全员须具有安全生产考核合格证（C类）</w:t>
      </w:r>
      <w:r>
        <w:rPr>
          <w:rFonts w:hint="eastAsia" w:ascii="宋体" w:hAnsi="宋体" w:eastAsia="宋体" w:cs="宋体"/>
          <w:color w:val="auto"/>
          <w:kern w:val="0"/>
          <w:sz w:val="24"/>
          <w:highlight w:val="none"/>
        </w:rPr>
        <w:t>或建筑施工企业专职安全生产管理人员安全生产考核合格证书（C3）。</w:t>
      </w:r>
    </w:p>
    <w:p w14:paraId="67970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投标人自</w:t>
      </w:r>
      <w:r>
        <w:rPr>
          <w:rFonts w:hint="eastAsia" w:ascii="宋体" w:hAnsi="宋体" w:eastAsia="宋体" w:cs="宋体"/>
          <w:color w:val="auto"/>
          <w:sz w:val="24"/>
          <w:highlight w:val="none"/>
          <w:u w:val="single"/>
          <w:lang w:val="en-US" w:eastAsia="zh-CN"/>
        </w:rPr>
        <w:t>2020</w:t>
      </w:r>
      <w:r>
        <w:rPr>
          <w:rFonts w:hint="eastAsia" w:ascii="宋体" w:hAnsi="宋体" w:eastAsia="宋体" w:cs="宋体"/>
          <w:color w:val="auto"/>
          <w:sz w:val="24"/>
          <w:highlight w:val="none"/>
        </w:rPr>
        <w:t>年1月1日至今完成过质量合格的类似工程业绩（类似工程是指</w:t>
      </w:r>
      <w:r>
        <w:rPr>
          <w:rFonts w:hint="eastAsia" w:ascii="宋体" w:hAnsi="宋体" w:eastAsia="宋体" w:cs="宋体"/>
          <w:color w:val="auto"/>
          <w:sz w:val="24"/>
          <w:highlight w:val="none"/>
          <w:u w:val="single"/>
          <w:lang w:val="en-US" w:eastAsia="zh-CN"/>
        </w:rPr>
        <w:t>金额大于等于1700万元的城市及道路照明工程施工专业承包（包括但不限于路灯、灯光、泛光照明、亮化、光环境等相关室外空间照明施工工程，室内空间照明工程及照明维修养护类不予认定）</w:t>
      </w:r>
      <w:r>
        <w:rPr>
          <w:rFonts w:hint="eastAsia" w:ascii="宋体" w:hAnsi="宋体" w:eastAsia="宋体" w:cs="宋体"/>
          <w:color w:val="auto"/>
          <w:sz w:val="24"/>
          <w:highlight w:val="none"/>
        </w:rPr>
        <w:t>）。</w:t>
      </w:r>
    </w:p>
    <w:p w14:paraId="427EDD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类似工程</w:t>
      </w:r>
      <w:r>
        <w:rPr>
          <w:rFonts w:hint="eastAsia" w:ascii="宋体" w:hAnsi="宋体" w:eastAsia="宋体" w:cs="宋体"/>
          <w:color w:val="auto"/>
          <w:sz w:val="24"/>
          <w:highlight w:val="none"/>
        </w:rPr>
        <w:t>业绩金额：</w:t>
      </w:r>
      <w:r>
        <w:rPr>
          <w:rFonts w:hint="eastAsia" w:ascii="宋体" w:hAnsi="宋体" w:eastAsia="宋体" w:cs="宋体"/>
          <w:color w:val="auto"/>
          <w:sz w:val="24"/>
          <w:highlight w:val="none"/>
          <w:u w:val="single"/>
        </w:rPr>
        <w:t>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w:t>
      </w:r>
    </w:p>
    <w:p w14:paraId="1273F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业绩完成时间：</w:t>
      </w:r>
      <w:r>
        <w:rPr>
          <w:rFonts w:hint="eastAsia" w:ascii="宋体" w:hAnsi="宋体" w:eastAsia="宋体" w:cs="宋体"/>
          <w:color w:val="auto"/>
          <w:sz w:val="24"/>
          <w:highlight w:val="none"/>
          <w:u w:val="single"/>
        </w:rPr>
        <w:t>施工专业承包项目</w:t>
      </w:r>
      <w:r>
        <w:rPr>
          <w:rFonts w:hint="eastAsia" w:ascii="宋体" w:hAnsi="宋体" w:eastAsia="宋体" w:cs="宋体"/>
          <w:color w:val="auto"/>
          <w:sz w:val="24"/>
          <w:highlight w:val="none"/>
          <w:u w:val="single"/>
          <w:lang w:val="en-US" w:eastAsia="zh-CN"/>
        </w:rPr>
        <w:t>以验收记录时间为准，</w:t>
      </w:r>
      <w:r>
        <w:rPr>
          <w:rFonts w:hint="eastAsia" w:ascii="宋体" w:hAnsi="宋体" w:eastAsia="宋体" w:cs="宋体"/>
          <w:color w:val="auto"/>
          <w:sz w:val="24"/>
          <w:highlight w:val="none"/>
          <w:u w:val="single"/>
        </w:rPr>
        <w:t>由总承包单位依法分包的专业工程完成时间以子分部工程质量验收记录时间为准。验收记录至少具有建设单位、设计、施工和监理单位盖章</w:t>
      </w:r>
      <w:r>
        <w:rPr>
          <w:rFonts w:hint="eastAsia" w:ascii="宋体" w:hAnsi="宋体" w:eastAsia="宋体" w:cs="宋体"/>
          <w:color w:val="auto"/>
          <w:sz w:val="24"/>
          <w:highlight w:val="none"/>
          <w:u w:val="single"/>
          <w:lang w:eastAsia="zh-CN"/>
        </w:rPr>
        <w:t>。</w:t>
      </w:r>
    </w:p>
    <w:p w14:paraId="13EAD4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业绩不符合上述要求的或工程资质内容与施工合同等业绩证明资料不相符的，该项业绩不予认定。</w:t>
      </w:r>
    </w:p>
    <w:p w14:paraId="15875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投标人已按照附件一的内容签署盖章的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DD700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关于联合体投标：</w:t>
      </w:r>
      <w:r>
        <w:rPr>
          <w:rFonts w:hint="eastAsia" w:ascii="宋体" w:hAnsi="宋体" w:eastAsia="宋体" w:cs="宋体"/>
          <w:color w:val="auto"/>
          <w:sz w:val="24"/>
          <w:szCs w:val="24"/>
          <w:highlight w:val="none"/>
          <w:lang w:eastAsia="zh-CN"/>
        </w:rPr>
        <w:t>本次招标</w:t>
      </w:r>
      <w:r>
        <w:rPr>
          <w:rFonts w:hint="eastAsia" w:ascii="宋体" w:hAnsi="宋体" w:eastAsia="宋体" w:cs="宋体"/>
          <w:color w:val="auto"/>
          <w:sz w:val="24"/>
          <w:szCs w:val="24"/>
          <w:highlight w:val="none"/>
          <w:u w:val="single"/>
          <w:lang w:val="en-US" w:eastAsia="zh-CN"/>
        </w:rPr>
        <w:t>接受</w:t>
      </w:r>
      <w:r>
        <w:rPr>
          <w:rFonts w:hint="eastAsia" w:ascii="宋体" w:hAnsi="宋体" w:eastAsia="宋体" w:cs="宋体"/>
          <w:color w:val="auto"/>
          <w:sz w:val="24"/>
          <w:szCs w:val="24"/>
          <w:highlight w:val="none"/>
          <w:lang w:val="en-US" w:eastAsia="zh-CN"/>
        </w:rPr>
        <w:t>联合体投标。联合体投标的，应满足下列要求：</w:t>
      </w:r>
    </w:p>
    <w:p w14:paraId="0B794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(1)联合体各方应按招标文件提供的格式签订联合体协议书，明确联合体牵头人和各方权利义务，并承诺就中标项目向招标人承担连带责任</w:t>
      </w:r>
      <w:r>
        <w:rPr>
          <w:rFonts w:hint="eastAsia" w:ascii="宋体" w:hAnsi="宋体" w:eastAsia="宋体" w:cs="宋体"/>
          <w:color w:val="auto"/>
          <w:sz w:val="24"/>
          <w:highlight w:val="none"/>
          <w:lang w:eastAsia="zh-CN"/>
        </w:rPr>
        <w:t>。</w:t>
      </w:r>
    </w:p>
    <w:p w14:paraId="40D274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投标人组成联合体，应签定联合体工作协议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联合体工作协议应明确约定各方拟承担的工作和责任。投标人拟任本工程项目负责人应为</w:t>
      </w:r>
      <w:r>
        <w:rPr>
          <w:rFonts w:hint="eastAsia" w:ascii="宋体" w:hAnsi="宋体" w:eastAsia="宋体" w:cs="宋体"/>
          <w:color w:val="auto"/>
          <w:sz w:val="24"/>
          <w:szCs w:val="24"/>
          <w:highlight w:val="none"/>
          <w:lang w:eastAsia="zh-CN"/>
        </w:rPr>
        <w:t>牵头方</w:t>
      </w:r>
      <w:r>
        <w:rPr>
          <w:rFonts w:hint="eastAsia" w:ascii="宋体" w:hAnsi="宋体" w:eastAsia="宋体" w:cs="宋体"/>
          <w:color w:val="auto"/>
          <w:sz w:val="24"/>
          <w:szCs w:val="24"/>
          <w:highlight w:val="none"/>
        </w:rPr>
        <w:t>正式员工。</w:t>
      </w:r>
    </w:p>
    <w:p w14:paraId="4D5C9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)由同一专业（指从事同一工作内容，下同）的单位组成的联合体，按照资质等级较低的单位确定资质等级</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rPr>
        <w:t>组成联合体承接按资质标准划分为同一类工程的投标人，其人员、资金、机械设备等资源性指标可合并计算。</w:t>
      </w:r>
    </w:p>
    <w:p w14:paraId="1615D3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组成联合体承接按资质标准划分为多类工程的投标人，应在联合体协议中明确承接每一类工程的成员单位。在资格审查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评标环节，均应先按本条第（</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）项规定逐类评审，再将各类评审结果汇总</w:t>
      </w:r>
      <w:r>
        <w:rPr>
          <w:rFonts w:hint="eastAsia" w:ascii="宋体" w:hAnsi="宋体" w:eastAsia="宋体" w:cs="宋体"/>
          <w:color w:val="auto"/>
          <w:sz w:val="24"/>
          <w:szCs w:val="24"/>
          <w:highlight w:val="none"/>
          <w:lang w:eastAsia="zh-CN"/>
        </w:rPr>
        <w:t>。若设置了企业信用评价得分项的，</w:t>
      </w:r>
      <w:r>
        <w:rPr>
          <w:rFonts w:hint="eastAsia" w:ascii="宋体" w:hAnsi="宋体" w:eastAsia="宋体" w:cs="宋体"/>
          <w:color w:val="auto"/>
          <w:sz w:val="24"/>
          <w:szCs w:val="24"/>
          <w:highlight w:val="none"/>
        </w:rPr>
        <w:t>各投标人</w:t>
      </w:r>
      <w:r>
        <w:rPr>
          <w:rFonts w:hint="eastAsia" w:ascii="宋体" w:hAnsi="宋体" w:eastAsia="宋体" w:cs="宋体"/>
          <w:color w:val="auto"/>
          <w:sz w:val="24"/>
          <w:szCs w:val="24"/>
          <w:highlight w:val="none"/>
          <w:lang w:eastAsia="zh-CN"/>
        </w:rPr>
        <w:t>企业信用评价得分</w:t>
      </w:r>
      <w:r>
        <w:rPr>
          <w:rFonts w:hint="eastAsia" w:ascii="宋体" w:hAnsi="宋体" w:eastAsia="宋体" w:cs="宋体"/>
          <w:color w:val="auto"/>
          <w:sz w:val="24"/>
          <w:szCs w:val="24"/>
          <w:highlight w:val="none"/>
        </w:rPr>
        <w:t>以最高投标限价中各类工程的占比作为权重，将其各类</w:t>
      </w:r>
      <w:r>
        <w:rPr>
          <w:rFonts w:hint="eastAsia" w:ascii="宋体" w:hAnsi="宋体" w:eastAsia="宋体" w:cs="宋体"/>
          <w:color w:val="auto"/>
          <w:sz w:val="24"/>
          <w:szCs w:val="24"/>
          <w:highlight w:val="none"/>
          <w:lang w:eastAsia="zh-CN"/>
        </w:rPr>
        <w:t>企业信用评价得分</w:t>
      </w:r>
      <w:r>
        <w:rPr>
          <w:rFonts w:hint="eastAsia" w:ascii="宋体" w:hAnsi="宋体" w:eastAsia="宋体" w:cs="宋体"/>
          <w:color w:val="auto"/>
          <w:sz w:val="24"/>
          <w:szCs w:val="24"/>
          <w:highlight w:val="none"/>
        </w:rPr>
        <w:t>加权平均计算。</w:t>
      </w:r>
    </w:p>
    <w:p w14:paraId="0172A9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联合体各方不得再以自己名义单独或参加其他联合体在同一项目包中投标</w:t>
      </w:r>
      <w:r>
        <w:rPr>
          <w:rFonts w:hint="eastAsia" w:ascii="宋体" w:hAnsi="宋体" w:eastAsia="宋体" w:cs="宋体"/>
          <w:color w:val="auto"/>
          <w:sz w:val="24"/>
          <w:highlight w:val="none"/>
          <w:lang w:eastAsia="zh-CN"/>
        </w:rPr>
        <w:t>。</w:t>
      </w:r>
    </w:p>
    <w:p w14:paraId="5F0FE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尽管委任了联合体牵头人，但联合体各成员在投标、签订合同与履行合同过程中，仍负有连带的和各自的法律责任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联合体牵头人所提交的投标文件应认为已代表了联合体各成员的真实情况</w:t>
      </w:r>
      <w:r>
        <w:rPr>
          <w:rFonts w:hint="eastAsia" w:ascii="宋体" w:hAnsi="宋体" w:eastAsia="宋体" w:cs="宋体"/>
          <w:color w:val="auto"/>
          <w:sz w:val="24"/>
          <w:highlight w:val="none"/>
          <w:lang w:eastAsia="zh-CN"/>
        </w:rPr>
        <w:t>。</w:t>
      </w:r>
    </w:p>
    <w:p w14:paraId="59E02DE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b/>
          <w:bCs/>
          <w:color w:val="auto"/>
          <w:sz w:val="24"/>
          <w:highlight w:val="none"/>
        </w:rPr>
        <w:t>资格审查前，投标人须在广州交易集团有限公司（广州公共资源交易中心）办理企业信息登记及拟担任本工程的项目负责人、专职安全员须是本企业在广州交易集团有限公司（广州公共资源交易中心）企业信息登记中的在册人员。</w:t>
      </w:r>
      <w:r>
        <w:rPr>
          <w:rFonts w:hint="eastAsia" w:ascii="宋体" w:hAnsi="宋体" w:eastAsia="宋体" w:cs="宋体"/>
          <w:b/>
          <w:bCs/>
          <w:color w:val="auto"/>
          <w:sz w:val="24"/>
          <w:highlight w:val="none"/>
          <w:lang w:eastAsia="zh-CN"/>
        </w:rPr>
        <w:t>投标人须在资格审查前及时维护、更新本企业信息，及时上传相关证件，确保拟委派的项目负责人、专职安全员等相关信息、证件等能有效且被使用，因投标人未及时维护、更新在</w:t>
      </w:r>
      <w:r>
        <w:rPr>
          <w:rFonts w:hint="eastAsia" w:ascii="宋体" w:hAnsi="宋体" w:eastAsia="宋体" w:cs="宋体"/>
          <w:b/>
          <w:bCs/>
          <w:color w:val="auto"/>
          <w:sz w:val="24"/>
          <w:highlight w:val="none"/>
        </w:rPr>
        <w:t>广州交易集团有限公司（广州公共资源交易中心）企业信息库</w:t>
      </w:r>
      <w:r>
        <w:rPr>
          <w:rFonts w:hint="eastAsia" w:ascii="宋体" w:hAnsi="宋体" w:eastAsia="宋体" w:cs="宋体"/>
          <w:b/>
          <w:bCs/>
          <w:color w:val="auto"/>
          <w:sz w:val="24"/>
          <w:highlight w:val="none"/>
          <w:lang w:eastAsia="zh-CN"/>
        </w:rPr>
        <w:t>内的信息，造成其资格审查不合格或不通过的，后果由投标人自行承担</w:t>
      </w:r>
      <w:r>
        <w:rPr>
          <w:rFonts w:hint="eastAsia" w:ascii="宋体" w:hAnsi="宋体" w:eastAsia="宋体" w:cs="宋体"/>
          <w:color w:val="auto"/>
          <w:sz w:val="24"/>
          <w:highlight w:val="none"/>
          <w:lang w:eastAsia="zh-CN"/>
        </w:rPr>
        <w:t>。</w:t>
      </w:r>
    </w:p>
    <w:p w14:paraId="2E31E7F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投标无效</w:t>
      </w:r>
      <w:r>
        <w:rPr>
          <w:rFonts w:hint="eastAsia" w:ascii="宋体" w:hAnsi="宋体" w:eastAsia="宋体" w:cs="宋体"/>
          <w:color w:val="auto"/>
          <w:sz w:val="24"/>
          <w:highlight w:val="none"/>
        </w:rPr>
        <w:t>。</w:t>
      </w:r>
    </w:p>
    <w:p w14:paraId="0F3FEFC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szCs w:val="24"/>
          <w:highlight w:val="none"/>
        </w:rPr>
        <w:t>在投标截止时间前</w:t>
      </w:r>
      <w:r>
        <w:rPr>
          <w:rFonts w:hint="eastAsia" w:ascii="宋体" w:hAnsi="宋体" w:eastAsia="宋体" w:cs="宋体"/>
          <w:color w:val="auto"/>
          <w:sz w:val="24"/>
          <w:highlight w:val="none"/>
        </w:rPr>
        <w:t>，未被列入拖欠农民工工资失信联合惩戒对象名单</w:t>
      </w:r>
      <w:r>
        <w:rPr>
          <w:rFonts w:hint="eastAsia" w:ascii="宋体" w:hAnsi="宋体" w:eastAsia="宋体" w:cs="宋体"/>
          <w:color w:val="auto"/>
          <w:sz w:val="24"/>
          <w:szCs w:val="24"/>
          <w:highlight w:val="none"/>
        </w:rPr>
        <w:t>。</w:t>
      </w:r>
    </w:p>
    <w:p w14:paraId="460757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14.政府投资项目，</w:t>
      </w:r>
      <w:r>
        <w:rPr>
          <w:rFonts w:hint="eastAsia" w:ascii="宋体" w:hAnsi="宋体" w:eastAsia="宋体" w:cs="宋体"/>
          <w:color w:val="auto"/>
          <w:sz w:val="24"/>
          <w:highlight w:val="none"/>
        </w:rPr>
        <w:t>在投标截止时间前，</w:t>
      </w:r>
      <w:r>
        <w:rPr>
          <w:rFonts w:hint="eastAsia" w:ascii="宋体" w:hAnsi="宋体" w:eastAsia="宋体" w:cs="宋体"/>
          <w:color w:val="auto"/>
          <w:sz w:val="24"/>
          <w:highlight w:val="none"/>
          <w:lang w:val="en-US" w:eastAsia="zh-CN"/>
        </w:rPr>
        <w:t>投标人（如为联合体，则联合体各方）未被列入“失信被执行人”名单。</w:t>
      </w:r>
    </w:p>
    <w:p w14:paraId="0A7B13F0">
      <w:pPr>
        <w:pStyle w:val="5"/>
        <w:keepNext w:val="0"/>
        <w:keepLines w:val="0"/>
        <w:pageBreakBefore w:val="0"/>
        <w:widowControl w:val="0"/>
        <w:tabs>
          <w:tab w:val="left" w:pos="7380"/>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注：未在招标公告第九条单列的资审合格条件，不作为资审不合格的依据。</w:t>
      </w:r>
    </w:p>
    <w:p w14:paraId="1A6B2AE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bookmarkStart w:id="10" w:name="_Toc7553"/>
      <w:r>
        <w:rPr>
          <w:rStyle w:val="61"/>
          <w:rFonts w:hint="eastAsia" w:ascii="宋体" w:hAnsi="宋体" w:eastAsia="宋体" w:cs="宋体"/>
          <w:color w:val="auto"/>
          <w:highlight w:val="none"/>
        </w:rPr>
        <w:t>十、资格审查方式</w:t>
      </w:r>
      <w:bookmarkEnd w:id="10"/>
      <w:r>
        <w:rPr>
          <w:rFonts w:hint="eastAsia" w:ascii="宋体" w:hAnsi="宋体" w:eastAsia="宋体" w:cs="宋体"/>
          <w:color w:val="auto"/>
          <w:sz w:val="24"/>
          <w:szCs w:val="24"/>
          <w:highlight w:val="none"/>
        </w:rPr>
        <w:t>：</w:t>
      </w:r>
    </w:p>
    <w:p w14:paraId="68288E9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r>
        <w:rPr>
          <w:rFonts w:hint="eastAsia" w:ascii="宋体" w:hAnsi="宋体" w:cs="宋体"/>
          <w:color w:val="auto"/>
          <w:sz w:val="24"/>
          <w:szCs w:val="24"/>
          <w:highlight w:val="none"/>
          <w:u w:val="single"/>
        </w:rPr>
        <w:t>本工程采用</w:t>
      </w:r>
      <w:r>
        <w:rPr>
          <w:rFonts w:hint="eastAsia"/>
          <w:color w:val="auto"/>
          <w:sz w:val="24"/>
          <w:highlight w:val="none"/>
          <w:u w:val="single"/>
          <w:lang w:eastAsia="zh-CN"/>
        </w:rPr>
        <w:t>评定分离的评审方式。</w:t>
      </w:r>
    </w:p>
    <w:p w14:paraId="3B8E290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和广东省招标投标监管网公示，</w:t>
      </w:r>
      <w:r>
        <w:rPr>
          <w:rFonts w:hint="eastAsia" w:ascii="宋体" w:hAnsi="宋体" w:eastAsia="宋体" w:cs="宋体"/>
          <w:bCs/>
          <w:color w:val="auto"/>
          <w:sz w:val="24"/>
          <w:highlight w:val="none"/>
        </w:rPr>
        <w:t>公示时间不得少于3日。</w:t>
      </w:r>
    </w:p>
    <w:p w14:paraId="62E41F6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十二、递交投标文件的投标人</w:t>
      </w:r>
      <w:r>
        <w:rPr>
          <w:rFonts w:hint="eastAsia" w:ascii="宋体" w:hAnsi="宋体" w:eastAsia="宋体" w:cs="宋体"/>
          <w:color w:val="auto"/>
          <w:sz w:val="24"/>
          <w:highlight w:val="none"/>
          <w:lang w:eastAsia="zh-CN"/>
        </w:rPr>
        <w:t>不足</w:t>
      </w:r>
      <w:r>
        <w:rPr>
          <w:rFonts w:hint="eastAsia" w:ascii="宋体" w:hAnsi="宋体" w:eastAsia="宋体" w:cs="宋体"/>
          <w:color w:val="auto"/>
          <w:sz w:val="24"/>
          <w:highlight w:val="none"/>
          <w:lang w:val="en-US" w:eastAsia="zh-CN"/>
        </w:rPr>
        <w:t>3名，或</w:t>
      </w:r>
      <w:r>
        <w:rPr>
          <w:rFonts w:hint="eastAsia" w:ascii="宋体" w:hAnsi="宋体" w:eastAsia="宋体" w:cs="宋体"/>
          <w:color w:val="auto"/>
          <w:sz w:val="24"/>
          <w:highlight w:val="none"/>
        </w:rPr>
        <w:t>满足资格审查合格条件的投标人不足3名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或通过有效性审查的投标人不足3名时为招标失败。</w:t>
      </w:r>
      <w:r>
        <w:rPr>
          <w:rFonts w:hint="eastAsia" w:ascii="宋体" w:hAnsi="宋体" w:eastAsia="宋体" w:cs="宋体"/>
          <w:color w:val="auto"/>
          <w:sz w:val="24"/>
          <w:highlight w:val="none"/>
          <w:u w:val="single"/>
        </w:rPr>
        <w:t>招标人分析招标失败原因，修正招标方案，报有关管理部门核准后，重新组织招标。</w:t>
      </w:r>
    </w:p>
    <w:p w14:paraId="154A4C3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54F85D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十四、投标文件全部采用电子文档，投标人按招标文件要求提交投标文件。</w:t>
      </w:r>
    </w:p>
    <w:p w14:paraId="2A8C3F5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十五、潜在投标人或利害关系人对本招标公告及招标文件有异议的，应当在投标截止时间10日前向招标人书面提出。</w:t>
      </w:r>
    </w:p>
    <w:p w14:paraId="5D90E3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异议受理部门：</w:t>
      </w:r>
      <w:r>
        <w:rPr>
          <w:rFonts w:hint="eastAsia" w:ascii="宋体" w:hAnsi="宋体" w:eastAsia="宋体" w:cs="宋体"/>
          <w:color w:val="auto"/>
          <w:sz w:val="24"/>
          <w:highlight w:val="none"/>
          <w:u w:val="single"/>
          <w:lang w:eastAsia="zh-CN"/>
        </w:rPr>
        <w:t>广州市白云区道路设施养护管理中心</w:t>
      </w:r>
    </w:p>
    <w:p w14:paraId="3B15C1A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异议受理电话：</w:t>
      </w:r>
      <w:r>
        <w:rPr>
          <w:rFonts w:hint="eastAsia" w:ascii="宋体" w:hAnsi="宋体" w:eastAsia="宋体" w:cs="宋体"/>
          <w:color w:val="auto"/>
          <w:sz w:val="24"/>
          <w:highlight w:val="none"/>
          <w:u w:val="single"/>
          <w:lang w:eastAsia="zh-CN"/>
        </w:rPr>
        <w:t>020-31234451</w:t>
      </w:r>
    </w:p>
    <w:p w14:paraId="698C015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lang w:eastAsia="zh-CN"/>
        </w:rPr>
        <w:t>广州市水荫路永福正街52号</w:t>
      </w:r>
    </w:p>
    <w:p w14:paraId="38967D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注：潜在投标人或利害关系人</w:t>
      </w:r>
      <w:r>
        <w:rPr>
          <w:rFonts w:hint="eastAsia" w:ascii="宋体" w:hAnsi="宋体" w:eastAsia="宋体" w:cs="宋体"/>
          <w:color w:val="auto"/>
          <w:sz w:val="24"/>
          <w:highlight w:val="none"/>
          <w:lang w:eastAsia="zh-CN"/>
        </w:rPr>
        <w:t>对本招标公告及招标文件有异议的，应当在招标投标相关法律法规规定的时间内（投标截止时间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lang w:eastAsia="zh-CN"/>
        </w:rPr>
        <w:t>日前）</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eastAsia="zh-CN"/>
        </w:rPr>
        <w:t>电子交易系统向招标人</w:t>
      </w:r>
      <w:r>
        <w:rPr>
          <w:rFonts w:hint="eastAsia" w:ascii="宋体" w:hAnsi="宋体" w:eastAsia="宋体" w:cs="宋体"/>
          <w:color w:val="auto"/>
          <w:sz w:val="24"/>
          <w:highlight w:val="none"/>
        </w:rPr>
        <w:t>提出异议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具体按照</w:t>
      </w:r>
      <w:r>
        <w:rPr>
          <w:rFonts w:hint="eastAsia" w:ascii="宋体" w:hAnsi="宋体" w:eastAsia="宋体" w:cs="宋体"/>
          <w:color w:val="auto"/>
          <w:sz w:val="24"/>
          <w:highlight w:val="none"/>
          <w:lang w:eastAsia="zh-CN"/>
        </w:rPr>
        <w:t>电子招标投标</w:t>
      </w:r>
      <w:r>
        <w:rPr>
          <w:rFonts w:hint="eastAsia" w:ascii="宋体" w:hAnsi="宋体" w:eastAsia="宋体" w:cs="宋体"/>
          <w:color w:val="auto"/>
          <w:sz w:val="24"/>
          <w:highlight w:val="none"/>
        </w:rPr>
        <w:t>交易平台相关指南进行操作。</w:t>
      </w:r>
      <w:r>
        <w:rPr>
          <w:rFonts w:hint="eastAsia" w:ascii="宋体" w:hAnsi="宋体" w:eastAsia="宋体" w:cs="宋体"/>
          <w:color w:val="auto"/>
          <w:sz w:val="24"/>
          <w:highlight w:val="none"/>
          <w:lang w:eastAsia="zh-CN"/>
        </w:rPr>
        <w:t>尚未登记注册的，可按照招标人明确的其他方式（</w:t>
      </w:r>
      <w:r>
        <w:rPr>
          <w:rFonts w:hint="eastAsia" w:ascii="宋体" w:hAnsi="宋体" w:eastAsia="宋体" w:cs="宋体"/>
          <w:b/>
          <w:bCs/>
          <w:color w:val="auto"/>
          <w:sz w:val="24"/>
          <w:highlight w:val="none"/>
          <w:u w:val="single"/>
          <w:lang w:val="en-US" w:eastAsia="zh-CN"/>
        </w:rPr>
        <w:t>线下纸质原件递交；递交时间：</w:t>
      </w:r>
      <w:r>
        <w:rPr>
          <w:rFonts w:hint="eastAsia" w:ascii="宋体" w:hAnsi="宋体" w:eastAsia="宋体" w:cs="宋体"/>
          <w:b/>
          <w:bCs/>
          <w:color w:val="auto"/>
          <w:sz w:val="24"/>
          <w:highlight w:val="none"/>
          <w:u w:val="single"/>
          <w:lang w:eastAsia="zh-CN"/>
        </w:rPr>
        <w:t>投标截止时间</w:t>
      </w:r>
      <w:r>
        <w:rPr>
          <w:rFonts w:hint="eastAsia" w:ascii="宋体" w:hAnsi="宋体" w:eastAsia="宋体" w:cs="宋体"/>
          <w:b/>
          <w:bCs/>
          <w:color w:val="auto"/>
          <w:sz w:val="24"/>
          <w:highlight w:val="none"/>
          <w:u w:val="single"/>
          <w:lang w:val="en-US" w:eastAsia="zh-CN"/>
        </w:rPr>
        <w:t>10</w:t>
      </w:r>
      <w:r>
        <w:rPr>
          <w:rFonts w:hint="eastAsia" w:ascii="宋体" w:hAnsi="宋体" w:eastAsia="宋体" w:cs="宋体"/>
          <w:b/>
          <w:bCs/>
          <w:color w:val="auto"/>
          <w:sz w:val="24"/>
          <w:highlight w:val="none"/>
          <w:u w:val="single"/>
          <w:lang w:eastAsia="zh-CN"/>
        </w:rPr>
        <w:t>日前，</w:t>
      </w:r>
      <w:r>
        <w:rPr>
          <w:rFonts w:hint="eastAsia" w:ascii="宋体" w:hAnsi="宋体" w:eastAsia="宋体" w:cs="宋体"/>
          <w:b/>
          <w:bCs/>
          <w:color w:val="auto"/>
          <w:sz w:val="24"/>
          <w:highlight w:val="none"/>
          <w:u w:val="single"/>
          <w:lang w:val="en-US" w:eastAsia="zh-CN"/>
        </w:rPr>
        <w:t>北京时间9时00分-18时00分；递交地点：广州市水荫路永福正街52号；联系人：张工；联系电话：</w:t>
      </w:r>
      <w:r>
        <w:rPr>
          <w:rFonts w:hint="eastAsia" w:ascii="宋体" w:hAnsi="宋体" w:eastAsia="宋体" w:cs="宋体"/>
          <w:b/>
          <w:bCs/>
          <w:color w:val="auto"/>
          <w:sz w:val="24"/>
          <w:highlight w:val="none"/>
          <w:u w:val="single"/>
          <w:lang w:eastAsia="zh-CN"/>
        </w:rPr>
        <w:t>020-31234451。</w:t>
      </w:r>
      <w:r>
        <w:rPr>
          <w:rFonts w:hint="eastAsia" w:ascii="宋体" w:hAnsi="宋体" w:eastAsia="宋体" w:cs="宋体"/>
          <w:color w:val="auto"/>
          <w:sz w:val="24"/>
          <w:highlight w:val="none"/>
          <w:lang w:eastAsia="zh-CN"/>
        </w:rPr>
        <w:t>）向招标人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应当在规定的异议答复期限内作出答复；</w:t>
      </w:r>
      <w:r>
        <w:rPr>
          <w:rFonts w:hint="eastAsia" w:ascii="宋体" w:hAnsi="宋体" w:eastAsia="宋体" w:cs="宋体"/>
          <w:color w:val="auto"/>
          <w:sz w:val="24"/>
          <w:highlight w:val="none"/>
        </w:rPr>
        <w:t>作出答复前，应当暂停招标投标活动。</w:t>
      </w:r>
      <w:r>
        <w:rPr>
          <w:rFonts w:hint="eastAsia" w:ascii="宋体" w:hAnsi="宋体" w:eastAsia="宋体" w:cs="宋体"/>
          <w:color w:val="auto"/>
          <w:sz w:val="24"/>
          <w:highlight w:val="none"/>
          <w:lang w:eastAsia="zh-CN"/>
        </w:rPr>
        <w:t>招标人依法作出答复、发布招标文件澄清或者修改文件的，应当通过电子交易系统进行。</w:t>
      </w:r>
      <w:r>
        <w:rPr>
          <w:rFonts w:hint="eastAsia" w:ascii="宋体" w:hAnsi="宋体" w:eastAsia="宋体" w:cs="宋体"/>
          <w:color w:val="auto"/>
          <w:sz w:val="24"/>
          <w:highlight w:val="none"/>
        </w:rPr>
        <w:t>作出答复前，应当暂停招标投标活动。</w:t>
      </w:r>
    </w:p>
    <w:p w14:paraId="59652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十六、本公告在</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u w:val="single"/>
        </w:rPr>
        <w:t>http://www.gzggzy.cn/</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广东省招标投标监管网</w:t>
      </w:r>
      <w:r>
        <w:rPr>
          <w:rFonts w:hint="eastAsia" w:ascii="宋体" w:hAnsi="宋体" w:eastAsia="宋体" w:cs="宋体"/>
          <w:color w:val="auto"/>
          <w:sz w:val="24"/>
          <w:highlight w:val="none"/>
        </w:rPr>
        <w:t>（网址：https://zbtb.gd.gov.cn/）和</w:t>
      </w:r>
      <w:r>
        <w:rPr>
          <w:rFonts w:hint="eastAsia" w:ascii="宋体" w:hAnsi="宋体" w:eastAsia="宋体" w:cs="宋体"/>
          <w:color w:val="auto"/>
          <w:sz w:val="24"/>
          <w:highlight w:val="none"/>
          <w:u w:val="single"/>
        </w:rPr>
        <w:t>中国招标投标公共服务平台</w:t>
      </w:r>
      <w:r>
        <w:rPr>
          <w:rFonts w:hint="eastAsia" w:ascii="宋体" w:hAnsi="宋体" w:eastAsia="宋体" w:cs="宋体"/>
          <w:color w:val="auto"/>
          <w:sz w:val="24"/>
          <w:highlight w:val="none"/>
        </w:rPr>
        <w:t>（网址：http://www.cebpubservice.com/）发布。招标公告、公示信息的发布时间和内容，以在广东省招标投标监管网发布的为准。</w:t>
      </w:r>
      <w:r>
        <w:rPr>
          <w:rFonts w:hint="eastAsia" w:ascii="宋体" w:hAnsi="宋体" w:eastAsia="宋体" w:cs="宋体"/>
          <w:color w:val="auto"/>
          <w:sz w:val="24"/>
          <w:highlight w:val="none"/>
          <w:u w:val="single"/>
        </w:rPr>
        <w:t>本公告的修改、补充，在广州交易集团有限公司（广州公共资源交易中心）官网发布。</w:t>
      </w:r>
    </w:p>
    <w:p w14:paraId="1BC92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highlight w:val="none"/>
          <w:lang w:eastAsia="zh-CN"/>
        </w:rPr>
        <w:t>招标人如需发布补充公告的，以最后发布的补充公告时间起计算编制投标文件时间。</w:t>
      </w:r>
      <w:r>
        <w:rPr>
          <w:rFonts w:hint="eastAsia" w:ascii="宋体" w:hAnsi="宋体" w:eastAsia="宋体" w:cs="宋体"/>
          <w:color w:val="auto"/>
          <w:sz w:val="24"/>
          <w:highlight w:val="none"/>
        </w:rPr>
        <w:t>招标人应综合考虑节假日因素，合理确定投标人编制投标文件所需要的时间，如遇春节、五一、十一等长假，建议招标人结合项目特点和实际需要适当延长备标期。</w:t>
      </w:r>
    </w:p>
    <w:p w14:paraId="1522B2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、《投诉处理决定书》和《行政处理决定书》在广州市</w:t>
      </w:r>
      <w:r>
        <w:rPr>
          <w:rFonts w:hint="eastAsia" w:ascii="宋体" w:hAnsi="宋体" w:eastAsia="宋体" w:cs="宋体"/>
          <w:color w:val="auto"/>
          <w:sz w:val="24"/>
          <w:highlight w:val="none"/>
          <w:lang w:eastAsia="zh-CN"/>
        </w:rPr>
        <w:t>交通运输</w:t>
      </w:r>
      <w:r>
        <w:rPr>
          <w:rFonts w:hint="eastAsia" w:ascii="宋体" w:hAnsi="宋体" w:eastAsia="宋体" w:cs="宋体"/>
          <w:color w:val="auto"/>
          <w:sz w:val="24"/>
          <w:highlight w:val="none"/>
        </w:rPr>
        <w:t>局网站网站上公布的，视为送达其他与决定书有关的当事人。</w:t>
      </w:r>
    </w:p>
    <w:p w14:paraId="187E0C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、投标人在本项目招标人的工程项目中存在下列行为的，将被拒绝</w:t>
      </w:r>
      <w:r>
        <w:rPr>
          <w:rFonts w:hint="eastAsia" w:ascii="宋体" w:hAnsi="宋体" w:eastAsia="宋体" w:cs="宋体"/>
          <w:color w:val="auto"/>
          <w:sz w:val="24"/>
          <w:highlight w:val="none"/>
          <w:u w:val="single"/>
        </w:rPr>
        <w:t>一年内</w:t>
      </w:r>
      <w:r>
        <w:rPr>
          <w:rFonts w:hint="eastAsia" w:ascii="宋体" w:hAnsi="宋体" w:eastAsia="宋体" w:cs="宋体"/>
          <w:color w:val="auto"/>
          <w:sz w:val="24"/>
          <w:highlight w:val="none"/>
        </w:rPr>
        <w:t>参与招标人后续工程投标。（注：拒绝投标时限由招标人视严重程度确定，最低三个月起，自招标人发出通知之日起计）</w:t>
      </w:r>
      <w:r>
        <w:rPr>
          <w:rFonts w:hint="eastAsia" w:ascii="宋体" w:hAnsi="宋体" w:eastAsia="宋体" w:cs="宋体"/>
          <w:color w:val="auto"/>
          <w:sz w:val="24"/>
          <w:highlight w:val="none"/>
          <w:u w:val="none"/>
          <w:lang w:eastAsia="zh-CN"/>
        </w:rPr>
        <w:t>：</w:t>
      </w:r>
    </w:p>
    <w:p w14:paraId="25D22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1.将中标工程转包或者违法分包的;</w:t>
      </w:r>
    </w:p>
    <w:p w14:paraId="59748C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2.在中标工程中不执行质量、安全生产相关规定的，造成质量或安全事故的；</w:t>
      </w:r>
    </w:p>
    <w:p w14:paraId="60A9DB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3.出让投标资格的；</w:t>
      </w:r>
    </w:p>
    <w:p w14:paraId="3062E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none"/>
        </w:rPr>
        <w:t>存在围标</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串标情形的</w:t>
      </w:r>
      <w:r>
        <w:rPr>
          <w:rFonts w:hint="eastAsia" w:ascii="宋体" w:hAnsi="宋体" w:eastAsia="宋体" w:cs="宋体"/>
          <w:color w:val="auto"/>
          <w:sz w:val="24"/>
          <w:highlight w:val="none"/>
          <w:u w:val="none"/>
          <w:lang w:eastAsia="zh-CN"/>
        </w:rPr>
        <w:t>；</w:t>
      </w:r>
    </w:p>
    <w:p w14:paraId="4C272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5.在投标文件中提供虚假材料的；</w:t>
      </w:r>
    </w:p>
    <w:p w14:paraId="4720D7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6.存在少放、不放业绩、奖项等客观评审资料，减少自身竞争力情形的；</w:t>
      </w:r>
    </w:p>
    <w:p w14:paraId="387456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7.存在行贿情形的;</w:t>
      </w:r>
    </w:p>
    <w:p w14:paraId="7ADA7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8.拖欠农民工工资的；</w:t>
      </w:r>
    </w:p>
    <w:p w14:paraId="6C2D7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9.未按照国家、省、市有关建筑施工实名制管理和工人工资支付分账管理的规定执行，被行政监管部门处罚的；</w:t>
      </w:r>
    </w:p>
    <w:p w14:paraId="33709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dstrike w:val="0"/>
          <w:color w:val="auto"/>
          <w:sz w:val="24"/>
          <w:highlight w:val="none"/>
          <w:lang w:eastAsia="zh-CN"/>
        </w:rPr>
      </w:pPr>
      <w:r>
        <w:rPr>
          <w:rFonts w:hint="eastAsia" w:ascii="宋体" w:hAnsi="宋体" w:eastAsia="宋体" w:cs="宋体"/>
          <w:color w:val="auto"/>
          <w:sz w:val="24"/>
          <w:highlight w:val="none"/>
        </w:rPr>
        <w:t>10.中标人在项目实施过程中选取的专业分包单位或劳务企业或劳务班组长与投标时不一致的（如有）</w:t>
      </w:r>
      <w:r>
        <w:rPr>
          <w:rFonts w:hint="eastAsia" w:ascii="宋体" w:hAnsi="宋体" w:eastAsia="宋体" w:cs="宋体"/>
          <w:color w:val="auto"/>
          <w:sz w:val="24"/>
          <w:highlight w:val="none"/>
          <w:lang w:eastAsia="zh-CN"/>
        </w:rPr>
        <w:t>。</w:t>
      </w:r>
    </w:p>
    <w:p w14:paraId="6E052D5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highlight w:val="none"/>
        </w:rPr>
      </w:pPr>
    </w:p>
    <w:p w14:paraId="5986551F">
      <w:pPr>
        <w:keepNext w:val="0"/>
        <w:keepLines w:val="0"/>
        <w:pageBreakBefore w:val="0"/>
        <w:widowControl w:val="0"/>
        <w:kinsoku/>
        <w:wordWrap/>
        <w:overflowPunct/>
        <w:topLinePunct w:val="0"/>
        <w:autoSpaceDE/>
        <w:autoSpaceDN/>
        <w:bidi w:val="0"/>
        <w:adjustRightInd/>
        <w:snapToGrid/>
        <w:spacing w:line="360" w:lineRule="auto"/>
        <w:ind w:right="0" w:rightChars="0" w:firstLine="4320" w:firstLineChars="18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广州市白云区道路设施养护管理中心</w:t>
      </w:r>
    </w:p>
    <w:p w14:paraId="73B2C016">
      <w:pPr>
        <w:keepNext w:val="0"/>
        <w:keepLines w:val="0"/>
        <w:pageBreakBefore w:val="0"/>
        <w:widowControl w:val="0"/>
        <w:kinsoku/>
        <w:wordWrap/>
        <w:overflowPunct/>
        <w:topLinePunct w:val="0"/>
        <w:autoSpaceDE/>
        <w:autoSpaceDN/>
        <w:bidi w:val="0"/>
        <w:adjustRightInd/>
        <w:snapToGrid/>
        <w:spacing w:line="360" w:lineRule="auto"/>
        <w:ind w:right="0" w:rightChars="0" w:firstLine="4320" w:firstLineChars="18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招标代理：</w:t>
      </w:r>
      <w:r>
        <w:rPr>
          <w:rFonts w:hint="eastAsia" w:ascii="宋体" w:hAnsi="宋体" w:eastAsia="宋体" w:cs="宋体"/>
          <w:color w:val="auto"/>
          <w:sz w:val="24"/>
          <w:szCs w:val="24"/>
          <w:highlight w:val="none"/>
          <w:lang w:eastAsia="zh-CN"/>
        </w:rPr>
        <w:t>广州珠江监理咨询集团有限公司</w:t>
      </w:r>
    </w:p>
    <w:p w14:paraId="5BC8BA76">
      <w:pPr>
        <w:keepNext w:val="0"/>
        <w:keepLines w:val="0"/>
        <w:pageBreakBefore w:val="0"/>
        <w:widowControl w:val="0"/>
        <w:kinsoku/>
        <w:wordWrap/>
        <w:overflowPunct/>
        <w:topLinePunct w:val="0"/>
        <w:autoSpaceDE/>
        <w:autoSpaceDN/>
        <w:bidi w:val="0"/>
        <w:adjustRightInd/>
        <w:snapToGrid/>
        <w:spacing w:line="360" w:lineRule="auto"/>
        <w:ind w:right="0" w:rightChars="0" w:firstLine="4320" w:firstLineChars="18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30</w:t>
      </w:r>
      <w:bookmarkStart w:id="11" w:name="_GoBack"/>
      <w:bookmarkEnd w:id="11"/>
      <w:r>
        <w:rPr>
          <w:rFonts w:hint="eastAsia" w:ascii="宋体" w:hAnsi="宋体" w:eastAsia="宋体" w:cs="宋体"/>
          <w:color w:val="auto"/>
          <w:sz w:val="24"/>
          <w:highlight w:val="none"/>
        </w:rPr>
        <w:t>日</w:t>
      </w:r>
    </w:p>
    <w:p w14:paraId="48B936F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highlight w:val="none"/>
        </w:rPr>
        <w:sectPr>
          <w:footerReference r:id="rId3" w:type="default"/>
          <w:endnotePr>
            <w:numFmt w:val="decimal"/>
          </w:endnotePr>
          <w:pgSz w:w="11906" w:h="16838"/>
          <w:pgMar w:top="1440" w:right="1134" w:bottom="1440" w:left="1134" w:header="851" w:footer="992" w:gutter="0"/>
          <w:pgNumType w:fmt="decimal" w:start="1"/>
          <w:cols w:space="425" w:num="1"/>
          <w:docGrid w:type="lines" w:linePitch="312" w:charSpace="0"/>
        </w:sectPr>
      </w:pPr>
    </w:p>
    <w:p w14:paraId="7B15F918">
      <w:pPr>
        <w:spacing w:line="360" w:lineRule="auto"/>
        <w:rPr>
          <w:b/>
          <w:color w:val="auto"/>
          <w:sz w:val="44"/>
          <w:highlight w:val="none"/>
        </w:rPr>
      </w:pPr>
      <w:r>
        <w:rPr>
          <w:rFonts w:hint="eastAsia" w:ascii="宋体" w:hAnsi="宋体"/>
          <w:color w:val="auto"/>
          <w:sz w:val="24"/>
          <w:highlight w:val="none"/>
        </w:rPr>
        <w:t>附件一：</w:t>
      </w:r>
    </w:p>
    <w:p w14:paraId="18933372">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36E899D3">
      <w:pPr>
        <w:jc w:val="center"/>
        <w:rPr>
          <w:b/>
          <w:color w:val="auto"/>
          <w:sz w:val="44"/>
          <w:szCs w:val="44"/>
          <w:highlight w:val="none"/>
        </w:rPr>
      </w:pPr>
    </w:p>
    <w:p w14:paraId="2980C906">
      <w:pPr>
        <w:pStyle w:val="97"/>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本招标项目招标人及招标监管机构：</w:t>
      </w:r>
    </w:p>
    <w:p w14:paraId="4EA978D4">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52BE3599">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rPr>
        <w:t>、完整的</w:t>
      </w:r>
      <w:r>
        <w:rPr>
          <w:rFonts w:hint="eastAsia" w:ascii="宋体" w:hAnsi="宋体" w:eastAsia="宋体"/>
          <w:color w:val="auto"/>
          <w:sz w:val="24"/>
          <w:szCs w:val="24"/>
          <w:highlight w:val="none"/>
          <w:lang w:eastAsia="zh-CN"/>
        </w:rPr>
        <w:t>、合法的。</w:t>
      </w:r>
      <w:r>
        <w:rPr>
          <w:rFonts w:hint="eastAsia" w:ascii="宋体" w:hAnsi="宋体" w:eastAsia="宋体"/>
          <w:color w:val="auto"/>
          <w:sz w:val="24"/>
          <w:szCs w:val="24"/>
          <w:highlight w:val="none"/>
        </w:rPr>
        <w:t>如我司成为本项目中标候选人，我司同意并授权招标人将我司投标文件商务部分的人员、业绩、奖项等资料进行公开。</w:t>
      </w:r>
    </w:p>
    <w:p w14:paraId="01ECDC1A">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853757C">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13BE0BFC">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1065F830">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58FD8730">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69447E61">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07B9EE9E">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373FF709">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447113C5">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14201865">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329BC78D">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1938297E">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50F4FE28">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44"/>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1D8E41F7">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052E3061">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4DA282EB">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highlight w:val="none"/>
          <w:lang w:eastAsia="zh-CN"/>
        </w:rPr>
        <w:t>；</w:t>
      </w:r>
    </w:p>
    <w:p w14:paraId="3BAE2E65">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69066FDF">
      <w:pPr>
        <w:pStyle w:val="97"/>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1E47EBDA">
      <w:pPr>
        <w:pStyle w:val="97"/>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381BC6E">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F60807D">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6B671658">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45E792EB">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6BE111D6">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r>
        <w:rPr>
          <w:rFonts w:hint="eastAsia" w:ascii="宋体" w:hAnsi="宋体" w:eastAsia="宋体"/>
          <w:color w:val="auto"/>
          <w:sz w:val="24"/>
          <w:szCs w:val="24"/>
          <w:highlight w:val="none"/>
          <w:lang w:eastAsia="zh-CN"/>
        </w:rPr>
        <w:t>。</w:t>
      </w:r>
    </w:p>
    <w:p w14:paraId="56E7C44A">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十一、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377D7D1">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十二、本公司承诺，中标后</w:t>
      </w:r>
      <w:r>
        <w:rPr>
          <w:rFonts w:hint="eastAsia" w:ascii="宋体" w:hAnsi="宋体" w:eastAsia="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highlight w:val="none"/>
          <w:lang w:eastAsia="zh-CN"/>
        </w:rPr>
        <w:t>。</w:t>
      </w:r>
    </w:p>
    <w:p w14:paraId="07EAE1DB">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eastAsia="zh-CN"/>
        </w:rPr>
        <w:t>三</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rPr>
        <w:t>本公司违反上述承诺，或本声明陈述与事实不符，经查实，本公司愿意接受公开</w:t>
      </w:r>
      <w:r>
        <w:rPr>
          <w:rFonts w:hint="eastAsia" w:ascii="宋体" w:hAnsi="宋体" w:eastAsia="宋体" w:cs="宋体"/>
          <w:color w:val="auto"/>
          <w:sz w:val="24"/>
          <w:szCs w:val="24"/>
          <w:highlight w:val="none"/>
          <w:lang w:val="en-US" w:eastAsia="zh-CN"/>
        </w:rPr>
        <w:t>年的</w:t>
      </w:r>
      <w:r>
        <w:rPr>
          <w:rFonts w:hint="eastAsia" w:ascii="宋体" w:hAnsi="宋体" w:eastAsia="宋体" w:cs="宋体"/>
          <w:color w:val="auto"/>
          <w:sz w:val="24"/>
          <w:szCs w:val="24"/>
          <w:highlight w:val="none"/>
        </w:rPr>
        <w:t>通报，</w:t>
      </w:r>
      <w:r>
        <w:rPr>
          <w:rFonts w:hint="eastAsia" w:ascii="宋体" w:hAnsi="宋体" w:eastAsia="宋体" w:cs="宋体"/>
          <w:b/>
          <w:bCs/>
          <w:color w:val="auto"/>
          <w:sz w:val="24"/>
          <w:szCs w:val="24"/>
          <w:highlight w:val="none"/>
        </w:rPr>
        <w:t>愿意按照广州市交通运输局有关信用</w:t>
      </w:r>
      <w:r>
        <w:rPr>
          <w:rFonts w:hint="eastAsia" w:ascii="宋体" w:hAnsi="宋体" w:eastAsia="宋体" w:cs="宋体"/>
          <w:b/>
          <w:bCs/>
          <w:color w:val="auto"/>
          <w:sz w:val="24"/>
          <w:szCs w:val="24"/>
          <w:highlight w:val="none"/>
          <w:lang w:eastAsia="zh-CN"/>
        </w:rPr>
        <w:t>评价管理</w:t>
      </w:r>
      <w:r>
        <w:rPr>
          <w:rFonts w:hint="eastAsia" w:ascii="宋体" w:hAnsi="宋体" w:eastAsia="宋体" w:cs="宋体"/>
          <w:b/>
          <w:bCs/>
          <w:color w:val="auto"/>
          <w:sz w:val="24"/>
          <w:szCs w:val="24"/>
          <w:highlight w:val="none"/>
        </w:rPr>
        <w:t>有关规定，被记录为“不良</w:t>
      </w:r>
      <w:r>
        <w:rPr>
          <w:rFonts w:hint="eastAsia" w:ascii="宋体" w:hAnsi="宋体" w:eastAsia="宋体" w:cs="宋体"/>
          <w:b/>
          <w:bCs/>
          <w:color w:val="auto"/>
          <w:sz w:val="24"/>
          <w:szCs w:val="24"/>
          <w:highlight w:val="none"/>
          <w:lang w:eastAsia="zh-CN"/>
        </w:rPr>
        <w:t>交易行为</w:t>
      </w:r>
      <w:r>
        <w:rPr>
          <w:rFonts w:hint="eastAsia" w:ascii="宋体" w:hAnsi="宋体" w:eastAsia="宋体" w:cs="宋体"/>
          <w:b/>
          <w:bCs/>
          <w:color w:val="auto"/>
          <w:sz w:val="24"/>
          <w:szCs w:val="24"/>
          <w:highlight w:val="none"/>
        </w:rPr>
        <w:t>信息”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承担由此带来的法律后果</w:t>
      </w:r>
      <w:r>
        <w:rPr>
          <w:rFonts w:hint="eastAsia" w:ascii="宋体" w:hAnsi="宋体" w:eastAsia="宋体"/>
          <w:color w:val="auto"/>
          <w:sz w:val="24"/>
          <w:szCs w:val="24"/>
          <w:highlight w:val="none"/>
        </w:rPr>
        <w:t>。</w:t>
      </w:r>
    </w:p>
    <w:p w14:paraId="389C1F20">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7964F1F1">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43A2F721">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3EF6C73A">
      <w:pPr>
        <w:pStyle w:val="99"/>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14:paraId="33092251">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法定代表人或授权代理人签字：</w:t>
      </w:r>
    </w:p>
    <w:p w14:paraId="33B33ED5">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0A7A0234">
      <w:pPr>
        <w:pStyle w:val="97"/>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14:paraId="52A909FC">
      <w:pPr>
        <w:pStyle w:val="9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5CC695AC">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14:paraId="24009A78">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 w:val="24"/>
          <w:szCs w:val="24"/>
          <w:highlight w:val="none"/>
        </w:rPr>
      </w:pPr>
      <w:r>
        <w:rPr>
          <w:rFonts w:hint="eastAsia" w:ascii="宋体" w:hAnsi="宋体"/>
          <w:color w:val="auto"/>
          <w:sz w:val="24"/>
          <w:szCs w:val="24"/>
          <w:highlight w:val="none"/>
        </w:rPr>
        <w:t>注：招标人应当要求投标人的法定代表人或授权代理人、项目负责人、技术负责人签字。</w:t>
      </w:r>
    </w:p>
    <w:p w14:paraId="1E296088">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7AF6015E">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0DA3A1ED">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3EA71849">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794297EF">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16817819">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5ECB8A80">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23602057">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1895DCD6">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3828D73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26E72419">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01B03C78">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169196B7">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11562EFF">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61B5A486">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15B5936B">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7793F385">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72ECE622">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1CFA100B">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64719711">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4DADC5DF">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14:paraId="4FF4AD75">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二：</w:t>
      </w:r>
    </w:p>
    <w:p w14:paraId="019573A9">
      <w:pPr>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评标委员会成员声明</w:t>
      </w:r>
    </w:p>
    <w:p w14:paraId="2AB113E3">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本项目招标人：</w:t>
      </w:r>
    </w:p>
    <w:p w14:paraId="50AC478F">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2023年白云区路灯查漏补缺项目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的评标工作，作出郑重声明：</w:t>
      </w:r>
    </w:p>
    <w:p w14:paraId="446D6730">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92DB9AF">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75AC3D5">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E966F92">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D040358">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9EC69B9">
      <w:pPr>
        <w:pStyle w:val="9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2211752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01E15D02">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声明人：</w:t>
      </w:r>
      <w:r>
        <w:rPr>
          <w:rFonts w:hint="eastAsia" w:ascii="宋体" w:hAnsi="宋体" w:eastAsia="宋体" w:cs="宋体"/>
          <w:color w:val="auto"/>
          <w:sz w:val="24"/>
          <w:szCs w:val="24"/>
          <w:highlight w:val="none"/>
          <w:u w:val="single"/>
        </w:rPr>
        <w:t xml:space="preserve">（签名）  </w:t>
      </w:r>
    </w:p>
    <w:p w14:paraId="7CBE3630">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774B6DB3">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5BD36B3E">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7918C1E6">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7C140F5B">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30FFAD8B">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4AAFC865">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6D4E9CEB">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64B43616">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568C8C66">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488A04ED">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12133A70">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57E56912">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3E1AF2DC">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150EA41E">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37390BEE">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7C1C7DC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172BA641">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4581A4E3">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258ADF8A">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72B44C4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20F99698">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37117738">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096F3BAF">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25358E7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rPr>
      </w:pPr>
    </w:p>
    <w:p w14:paraId="1C3E0D72">
      <w:pPr>
        <w:widowControl/>
        <w:snapToGrid w:val="0"/>
        <w:spacing w:line="360" w:lineRule="auto"/>
        <w:ind w:right="102"/>
        <w:jc w:val="left"/>
        <w:rPr>
          <w:rFonts w:hint="eastAsia" w:ascii="宋体" w:hAnsi="宋体" w:eastAsia="宋体" w:cs="宋体"/>
          <w:color w:val="auto"/>
          <w:sz w:val="24"/>
          <w:highlight w:val="none"/>
        </w:rPr>
      </w:pPr>
    </w:p>
    <w:p w14:paraId="0F25785F">
      <w:pPr>
        <w:widowControl/>
        <w:snapToGrid w:val="0"/>
        <w:spacing w:line="360" w:lineRule="auto"/>
        <w:ind w:right="102"/>
        <w:jc w:val="left"/>
        <w:rPr>
          <w:rFonts w:hint="eastAsia" w:ascii="宋体" w:hAnsi="宋体" w:eastAsia="宋体" w:cs="宋体"/>
          <w:color w:val="auto"/>
          <w:sz w:val="24"/>
          <w:highlight w:val="none"/>
        </w:rPr>
      </w:pPr>
    </w:p>
    <w:p w14:paraId="71F2E9BB">
      <w:pPr>
        <w:widowControl/>
        <w:snapToGrid w:val="0"/>
        <w:spacing w:line="360" w:lineRule="auto"/>
        <w:ind w:right="102"/>
        <w:jc w:val="left"/>
        <w:rPr>
          <w:rFonts w:hint="eastAsia" w:ascii="宋体" w:hAnsi="宋体" w:eastAsia="宋体" w:cs="宋体"/>
          <w:color w:val="auto"/>
          <w:sz w:val="18"/>
          <w:szCs w:val="18"/>
          <w:highlight w:val="none"/>
        </w:rPr>
      </w:pPr>
      <w:r>
        <w:rPr>
          <w:rFonts w:hint="eastAsia" w:ascii="宋体" w:hAnsi="宋体" w:eastAsia="宋体" w:cs="宋体"/>
          <w:color w:val="auto"/>
          <w:sz w:val="24"/>
          <w:highlight w:val="none"/>
        </w:rPr>
        <w:t>附件三：</w:t>
      </w:r>
    </w:p>
    <w:p w14:paraId="68D59C67">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联合体工作协议</w:t>
      </w:r>
    </w:p>
    <w:p w14:paraId="7C2306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AD7F480">
      <w:pPr>
        <w:pStyle w:val="2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14:paraId="7A21EB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我方决定组成联合体共同参加以上项目的投标，若中标，联合体各成员向招标人承担连带责任。我方授权委托本协议</w:t>
      </w:r>
      <w:r>
        <w:rPr>
          <w:rFonts w:hint="eastAsia" w:ascii="宋体" w:hAnsi="宋体" w:eastAsia="宋体" w:cs="宋体"/>
          <w:color w:val="auto"/>
          <w:sz w:val="24"/>
          <w:highlight w:val="none"/>
          <w:lang w:eastAsia="zh-CN"/>
        </w:rPr>
        <w:t>牵头方</w:t>
      </w:r>
      <w:r>
        <w:rPr>
          <w:rFonts w:hint="eastAsia" w:ascii="宋体" w:hAnsi="宋体" w:eastAsia="宋体" w:cs="宋体"/>
          <w:color w:val="auto"/>
          <w:sz w:val="24"/>
          <w:highlight w:val="none"/>
        </w:rPr>
        <w:t>，代表所有联合体成员参加投标、签署投标资料、提交投标文件，以及与招标人签订合同，负责整个合同实施阶段的协调工作。</w:t>
      </w:r>
    </w:p>
    <w:p w14:paraId="07537E1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w:t>
      </w:r>
      <w:r>
        <w:rPr>
          <w:rFonts w:hint="eastAsia" w:ascii="宋体" w:hAnsi="宋体" w:eastAsia="宋体" w:cs="宋体"/>
          <w:color w:val="auto"/>
          <w:sz w:val="24"/>
          <w:highlight w:val="none"/>
          <w:lang w:eastAsia="zh-CN"/>
        </w:rPr>
        <w:t>牵头方</w:t>
      </w:r>
      <w:r>
        <w:rPr>
          <w:rFonts w:hint="eastAsia" w:ascii="宋体" w:hAnsi="宋体" w:eastAsia="宋体" w:cs="宋体"/>
          <w:color w:val="auto"/>
          <w:sz w:val="24"/>
          <w:highlight w:val="none"/>
        </w:rPr>
        <w:t>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AA8E5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联合体将严格按照招标文件的各项要求，递交投标文件，履行合同，并对外承担相应责任。</w:t>
      </w:r>
    </w:p>
    <w:p w14:paraId="119C302A">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联合体</w:t>
      </w:r>
      <w:r>
        <w:rPr>
          <w:rFonts w:hint="eastAsia" w:ascii="宋体" w:hAnsi="宋体" w:eastAsia="宋体" w:cs="宋体"/>
          <w:color w:val="auto"/>
          <w:sz w:val="24"/>
          <w:highlight w:val="none"/>
          <w:lang w:eastAsia="zh-CN"/>
        </w:rPr>
        <w:t>牵头方</w:t>
      </w:r>
      <w:r>
        <w:rPr>
          <w:rFonts w:hint="eastAsia" w:ascii="宋体" w:hAnsi="宋体" w:eastAsia="宋体" w:cs="宋体"/>
          <w:color w:val="auto"/>
          <w:sz w:val="24"/>
          <w:highlight w:val="none"/>
        </w:rPr>
        <w:t>：（盖章）</w:t>
      </w:r>
      <w:r>
        <w:rPr>
          <w:rFonts w:hint="eastAsia" w:ascii="宋体" w:hAnsi="宋体" w:eastAsia="宋体" w:cs="宋体"/>
          <w:b/>
          <w:bCs/>
          <w:color w:val="auto"/>
          <w:sz w:val="24"/>
          <w:highlight w:val="none"/>
          <w:u w:val="single"/>
        </w:rPr>
        <w:t xml:space="preserve">                        </w:t>
      </w:r>
    </w:p>
    <w:p w14:paraId="44F4A298">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法定代表人：（签字或盖章）</w:t>
      </w:r>
      <w:r>
        <w:rPr>
          <w:rFonts w:hint="eastAsia" w:ascii="宋体" w:hAnsi="宋体" w:eastAsia="宋体" w:cs="宋体"/>
          <w:b/>
          <w:bCs/>
          <w:color w:val="auto"/>
          <w:sz w:val="24"/>
          <w:highlight w:val="none"/>
          <w:u w:val="single"/>
        </w:rPr>
        <w:t xml:space="preserve">        　　    　　                        </w:t>
      </w:r>
    </w:p>
    <w:p w14:paraId="3CDB8D43">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分工内容：</w:t>
      </w:r>
      <w:r>
        <w:rPr>
          <w:rFonts w:hint="eastAsia" w:ascii="宋体" w:hAnsi="宋体" w:eastAsia="宋体" w:cs="宋体"/>
          <w:color w:val="auto"/>
          <w:sz w:val="24"/>
          <w:highlight w:val="none"/>
          <w:u w:val="single"/>
        </w:rPr>
        <w:t xml:space="preserve">                                                          </w:t>
      </w:r>
    </w:p>
    <w:p w14:paraId="07AF77E3">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p>
    <w:p w14:paraId="68130FAB">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联合体成员：（盖章）</w:t>
      </w:r>
      <w:r>
        <w:rPr>
          <w:rFonts w:hint="eastAsia" w:ascii="宋体" w:hAnsi="宋体" w:eastAsia="宋体" w:cs="宋体"/>
          <w:b/>
          <w:bCs/>
          <w:color w:val="auto"/>
          <w:sz w:val="24"/>
          <w:highlight w:val="none"/>
          <w:u w:val="single"/>
        </w:rPr>
        <w:t xml:space="preserve">                         </w:t>
      </w:r>
    </w:p>
    <w:p w14:paraId="145E273D">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b/>
          <w:bCs/>
          <w:color w:val="auto"/>
          <w:sz w:val="24"/>
          <w:highlight w:val="none"/>
          <w:u w:val="single"/>
        </w:rPr>
        <w:t xml:space="preserve">                　　    　　                </w:t>
      </w:r>
    </w:p>
    <w:p w14:paraId="412D1876">
      <w:pPr>
        <w:pStyle w:val="2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分工内容：</w:t>
      </w:r>
      <w:r>
        <w:rPr>
          <w:rFonts w:hint="eastAsia" w:ascii="宋体" w:hAnsi="宋体" w:eastAsia="宋体" w:cs="宋体"/>
          <w:color w:val="auto"/>
          <w:sz w:val="24"/>
          <w:highlight w:val="none"/>
          <w:u w:val="single"/>
        </w:rPr>
        <w:t xml:space="preserve">                                        </w:t>
      </w:r>
    </w:p>
    <w:p w14:paraId="6831DCD2">
      <w:pPr>
        <w:spacing w:line="360" w:lineRule="auto"/>
        <w:rPr>
          <w:rFonts w:hint="eastAsia" w:ascii="宋体" w:hAnsi="宋体" w:eastAsia="宋体" w:cs="宋体"/>
          <w:color w:val="auto"/>
          <w:highlight w:val="none"/>
          <w:lang w:val="zh-CN"/>
        </w:rPr>
      </w:pPr>
    </w:p>
    <w:p w14:paraId="694DD3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签订日期：</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日</w:t>
      </w:r>
    </w:p>
    <w:p w14:paraId="6E0C189F">
      <w:pPr>
        <w:rPr>
          <w:rFonts w:hint="eastAsia" w:ascii="宋体" w:hAnsi="宋体" w:eastAsia="宋体" w:cs="宋体"/>
          <w:color w:val="auto"/>
          <w:sz w:val="22"/>
          <w:szCs w:val="21"/>
          <w:highlight w:val="none"/>
          <w:lang w:bidi="ar"/>
        </w:rPr>
      </w:pPr>
    </w:p>
    <w:p w14:paraId="6F0C518B">
      <w:pPr>
        <w:rPr>
          <w:rFonts w:hint="eastAsia" w:ascii="宋体" w:hAnsi="宋体" w:eastAsia="宋体" w:cs="宋体"/>
          <w:color w:val="auto"/>
          <w:sz w:val="22"/>
          <w:szCs w:val="21"/>
          <w:highlight w:val="none"/>
          <w:lang w:bidi="ar"/>
        </w:rPr>
      </w:pPr>
    </w:p>
    <w:p w14:paraId="2178C9C2">
      <w:pPr>
        <w:rPr>
          <w:rFonts w:hint="eastAsia" w:ascii="宋体" w:hAnsi="宋体" w:eastAsia="宋体" w:cs="宋体"/>
          <w:color w:val="auto"/>
          <w:sz w:val="22"/>
          <w:szCs w:val="21"/>
          <w:highlight w:val="none"/>
          <w:lang w:bidi="ar"/>
        </w:rPr>
      </w:pPr>
    </w:p>
    <w:p w14:paraId="79C400E9">
      <w:pPr>
        <w:widowControl/>
        <w:shd w:val="clear" w:color="auto" w:fill="FFFFFF"/>
        <w:spacing w:line="315" w:lineRule="atLeast"/>
        <w:rPr>
          <w:rFonts w:hint="eastAsia" w:ascii="宋体" w:hAnsi="宋体" w:eastAsia="宋体" w:cs="宋体"/>
          <w:color w:val="auto"/>
          <w:kern w:val="0"/>
          <w:sz w:val="24"/>
          <w:szCs w:val="24"/>
          <w:highlight w:val="none"/>
        </w:rPr>
      </w:pPr>
      <w:r>
        <w:rPr>
          <w:rFonts w:hint="eastAsia" w:ascii="宋体" w:hAnsi="宋体" w:eastAsia="宋体" w:cs="宋体"/>
          <w:color w:val="auto"/>
          <w:sz w:val="22"/>
          <w:szCs w:val="21"/>
          <w:highlight w:val="none"/>
          <w:lang w:bidi="ar"/>
        </w:rPr>
        <w:t>注：1、单独投标的，无需提交本协议书。</w:t>
      </w:r>
    </w:p>
    <w:p w14:paraId="3DBDB53C">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u w:val="single"/>
          <w:lang w:eastAsia="zh-CN"/>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CAB0">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2F2CD">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B2F2CD">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CB4D">
    <w:pPr>
      <w:pStyle w:val="2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A1BDA">
                          <w:pPr>
                            <w:pStyle w:val="2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2A1BDA">
                    <w:pPr>
                      <w:pStyle w:val="25"/>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EEF8">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27CB1"/>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16BA8"/>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2690261"/>
    <w:rsid w:val="02C05BB1"/>
    <w:rsid w:val="02FD74EC"/>
    <w:rsid w:val="030977B8"/>
    <w:rsid w:val="0365214C"/>
    <w:rsid w:val="03B73450"/>
    <w:rsid w:val="03F53B6F"/>
    <w:rsid w:val="04016C0A"/>
    <w:rsid w:val="042965C4"/>
    <w:rsid w:val="04387860"/>
    <w:rsid w:val="04602913"/>
    <w:rsid w:val="04A75B49"/>
    <w:rsid w:val="04BE07B2"/>
    <w:rsid w:val="05935ABA"/>
    <w:rsid w:val="05EA2C50"/>
    <w:rsid w:val="061A393B"/>
    <w:rsid w:val="061C7FBD"/>
    <w:rsid w:val="068154EF"/>
    <w:rsid w:val="06CF5060"/>
    <w:rsid w:val="06D038B7"/>
    <w:rsid w:val="071250C8"/>
    <w:rsid w:val="071F36EB"/>
    <w:rsid w:val="072F44E3"/>
    <w:rsid w:val="07312890"/>
    <w:rsid w:val="073C3C45"/>
    <w:rsid w:val="07A13F45"/>
    <w:rsid w:val="07EF4429"/>
    <w:rsid w:val="08061A64"/>
    <w:rsid w:val="08517165"/>
    <w:rsid w:val="086F1377"/>
    <w:rsid w:val="08A51580"/>
    <w:rsid w:val="08C11542"/>
    <w:rsid w:val="09000221"/>
    <w:rsid w:val="090C13B6"/>
    <w:rsid w:val="090F4EF1"/>
    <w:rsid w:val="094E1D6F"/>
    <w:rsid w:val="09805F33"/>
    <w:rsid w:val="09B07E99"/>
    <w:rsid w:val="09EB6AE1"/>
    <w:rsid w:val="09F33618"/>
    <w:rsid w:val="09F5224A"/>
    <w:rsid w:val="0A0F62EE"/>
    <w:rsid w:val="0AC534D0"/>
    <w:rsid w:val="0AF62F6A"/>
    <w:rsid w:val="0B4354CB"/>
    <w:rsid w:val="0B6E4437"/>
    <w:rsid w:val="0B9109AA"/>
    <w:rsid w:val="0B9F01C5"/>
    <w:rsid w:val="0BC3240C"/>
    <w:rsid w:val="0BC83F60"/>
    <w:rsid w:val="0C364F68"/>
    <w:rsid w:val="0C521233"/>
    <w:rsid w:val="0C6C62F9"/>
    <w:rsid w:val="0C70493E"/>
    <w:rsid w:val="0C730B66"/>
    <w:rsid w:val="0C91267B"/>
    <w:rsid w:val="0D020937"/>
    <w:rsid w:val="0D4A0241"/>
    <w:rsid w:val="0D5F19BA"/>
    <w:rsid w:val="0DA717DD"/>
    <w:rsid w:val="0E1D06E9"/>
    <w:rsid w:val="0E4C4CAD"/>
    <w:rsid w:val="0E6C4374"/>
    <w:rsid w:val="0E76520D"/>
    <w:rsid w:val="0E8042DE"/>
    <w:rsid w:val="0EB65F51"/>
    <w:rsid w:val="0F130CAE"/>
    <w:rsid w:val="0F6A1B72"/>
    <w:rsid w:val="0F7E4AB5"/>
    <w:rsid w:val="0FDC3796"/>
    <w:rsid w:val="0FDF5C57"/>
    <w:rsid w:val="0FEF45D8"/>
    <w:rsid w:val="106B07D0"/>
    <w:rsid w:val="10A36062"/>
    <w:rsid w:val="10B57C21"/>
    <w:rsid w:val="11052D75"/>
    <w:rsid w:val="11121F8F"/>
    <w:rsid w:val="118A0FD0"/>
    <w:rsid w:val="11CA3566"/>
    <w:rsid w:val="11E8746F"/>
    <w:rsid w:val="128E689D"/>
    <w:rsid w:val="129B2E90"/>
    <w:rsid w:val="12A4536D"/>
    <w:rsid w:val="12C51E21"/>
    <w:rsid w:val="13750189"/>
    <w:rsid w:val="137A5404"/>
    <w:rsid w:val="13EF0EA4"/>
    <w:rsid w:val="14AB1989"/>
    <w:rsid w:val="14D34591"/>
    <w:rsid w:val="14D74F4B"/>
    <w:rsid w:val="14D9719C"/>
    <w:rsid w:val="14F35BB7"/>
    <w:rsid w:val="154459C2"/>
    <w:rsid w:val="15DD252D"/>
    <w:rsid w:val="162C4539"/>
    <w:rsid w:val="167A7865"/>
    <w:rsid w:val="17077E1E"/>
    <w:rsid w:val="173741A6"/>
    <w:rsid w:val="17497256"/>
    <w:rsid w:val="174B1C4B"/>
    <w:rsid w:val="17684412"/>
    <w:rsid w:val="17822770"/>
    <w:rsid w:val="17AA5F28"/>
    <w:rsid w:val="17AE485B"/>
    <w:rsid w:val="17B0263E"/>
    <w:rsid w:val="17B8199D"/>
    <w:rsid w:val="17EC2627"/>
    <w:rsid w:val="18151F96"/>
    <w:rsid w:val="181C07FE"/>
    <w:rsid w:val="18474916"/>
    <w:rsid w:val="18534811"/>
    <w:rsid w:val="187C5B16"/>
    <w:rsid w:val="18891660"/>
    <w:rsid w:val="19602C5A"/>
    <w:rsid w:val="19960E59"/>
    <w:rsid w:val="19AE6A7C"/>
    <w:rsid w:val="19D2412A"/>
    <w:rsid w:val="19E10161"/>
    <w:rsid w:val="1A205D77"/>
    <w:rsid w:val="1A2F4635"/>
    <w:rsid w:val="1A6500CD"/>
    <w:rsid w:val="1A6E3101"/>
    <w:rsid w:val="1AA40A79"/>
    <w:rsid w:val="1AAA7997"/>
    <w:rsid w:val="1AB64BE3"/>
    <w:rsid w:val="1AB67180"/>
    <w:rsid w:val="1AB8095B"/>
    <w:rsid w:val="1AD03189"/>
    <w:rsid w:val="1AD432CC"/>
    <w:rsid w:val="1AE45BF4"/>
    <w:rsid w:val="1AEA5623"/>
    <w:rsid w:val="1B1D4C62"/>
    <w:rsid w:val="1B8151F1"/>
    <w:rsid w:val="1B86423A"/>
    <w:rsid w:val="1B927ADD"/>
    <w:rsid w:val="1B9E2075"/>
    <w:rsid w:val="1BA3160C"/>
    <w:rsid w:val="1BAE4885"/>
    <w:rsid w:val="1BDF0B10"/>
    <w:rsid w:val="1BED33B9"/>
    <w:rsid w:val="1C471BAE"/>
    <w:rsid w:val="1C5C0C26"/>
    <w:rsid w:val="1CAC44F0"/>
    <w:rsid w:val="1CC21F65"/>
    <w:rsid w:val="1CD4051D"/>
    <w:rsid w:val="1CDD2E94"/>
    <w:rsid w:val="1D027F1C"/>
    <w:rsid w:val="1D0A3E09"/>
    <w:rsid w:val="1D3F5364"/>
    <w:rsid w:val="1DC03DB7"/>
    <w:rsid w:val="1E017BA6"/>
    <w:rsid w:val="1E1D26F4"/>
    <w:rsid w:val="1E486D96"/>
    <w:rsid w:val="1E513B7B"/>
    <w:rsid w:val="1E66059A"/>
    <w:rsid w:val="1EBA5A37"/>
    <w:rsid w:val="1F47327D"/>
    <w:rsid w:val="1F816AF6"/>
    <w:rsid w:val="1F8D685B"/>
    <w:rsid w:val="1F8E47EB"/>
    <w:rsid w:val="1FB42F9F"/>
    <w:rsid w:val="1FCD6E14"/>
    <w:rsid w:val="1FD77AD6"/>
    <w:rsid w:val="205904EB"/>
    <w:rsid w:val="20B9399F"/>
    <w:rsid w:val="20E36C50"/>
    <w:rsid w:val="21250A1F"/>
    <w:rsid w:val="219F1FA0"/>
    <w:rsid w:val="21C71170"/>
    <w:rsid w:val="21E32762"/>
    <w:rsid w:val="21E76FBA"/>
    <w:rsid w:val="22016D7A"/>
    <w:rsid w:val="226B42AC"/>
    <w:rsid w:val="226F3203"/>
    <w:rsid w:val="22AD29BB"/>
    <w:rsid w:val="23272B22"/>
    <w:rsid w:val="232F5F2B"/>
    <w:rsid w:val="232F6B26"/>
    <w:rsid w:val="23355E47"/>
    <w:rsid w:val="233A2E13"/>
    <w:rsid w:val="237F017D"/>
    <w:rsid w:val="23AD17DA"/>
    <w:rsid w:val="23C92457"/>
    <w:rsid w:val="24116252"/>
    <w:rsid w:val="244D1F35"/>
    <w:rsid w:val="24615AF1"/>
    <w:rsid w:val="24A47FAB"/>
    <w:rsid w:val="24A501A2"/>
    <w:rsid w:val="24A972CC"/>
    <w:rsid w:val="24B2644C"/>
    <w:rsid w:val="24BD7292"/>
    <w:rsid w:val="25582AAC"/>
    <w:rsid w:val="255F47F5"/>
    <w:rsid w:val="25897AC4"/>
    <w:rsid w:val="259D757A"/>
    <w:rsid w:val="25C90160"/>
    <w:rsid w:val="25EB1CBA"/>
    <w:rsid w:val="26622587"/>
    <w:rsid w:val="268F2EB8"/>
    <w:rsid w:val="26CA70AB"/>
    <w:rsid w:val="271A7958"/>
    <w:rsid w:val="27206676"/>
    <w:rsid w:val="27323AFD"/>
    <w:rsid w:val="273625F3"/>
    <w:rsid w:val="27640D6C"/>
    <w:rsid w:val="281929B4"/>
    <w:rsid w:val="284631BC"/>
    <w:rsid w:val="28790229"/>
    <w:rsid w:val="28955221"/>
    <w:rsid w:val="29463324"/>
    <w:rsid w:val="29483044"/>
    <w:rsid w:val="298E7457"/>
    <w:rsid w:val="29DB5E89"/>
    <w:rsid w:val="2A015401"/>
    <w:rsid w:val="2A154CA5"/>
    <w:rsid w:val="2A880A7B"/>
    <w:rsid w:val="2A984622"/>
    <w:rsid w:val="2A9F5694"/>
    <w:rsid w:val="2AE47E9C"/>
    <w:rsid w:val="2AE5327C"/>
    <w:rsid w:val="2AEC5CA9"/>
    <w:rsid w:val="2AF761B7"/>
    <w:rsid w:val="2B044026"/>
    <w:rsid w:val="2B3C1135"/>
    <w:rsid w:val="2B585185"/>
    <w:rsid w:val="2B987E93"/>
    <w:rsid w:val="2B9D7E25"/>
    <w:rsid w:val="2BA900DA"/>
    <w:rsid w:val="2BFF6D43"/>
    <w:rsid w:val="2C5E4903"/>
    <w:rsid w:val="2CDE257A"/>
    <w:rsid w:val="2CEE627B"/>
    <w:rsid w:val="2D102879"/>
    <w:rsid w:val="2D1A0EBD"/>
    <w:rsid w:val="2D1D0F10"/>
    <w:rsid w:val="2D254805"/>
    <w:rsid w:val="2D355E3C"/>
    <w:rsid w:val="2D3E6293"/>
    <w:rsid w:val="2D522E91"/>
    <w:rsid w:val="2D716FB7"/>
    <w:rsid w:val="2D7D1990"/>
    <w:rsid w:val="2DA532B1"/>
    <w:rsid w:val="2DB66D80"/>
    <w:rsid w:val="2DC144F7"/>
    <w:rsid w:val="2DC4660F"/>
    <w:rsid w:val="2E151CAE"/>
    <w:rsid w:val="2EB37960"/>
    <w:rsid w:val="2ED85E73"/>
    <w:rsid w:val="2EDA6F06"/>
    <w:rsid w:val="2F384988"/>
    <w:rsid w:val="2F3E13BB"/>
    <w:rsid w:val="2F60641D"/>
    <w:rsid w:val="2F6239B5"/>
    <w:rsid w:val="2FC04BEF"/>
    <w:rsid w:val="30057BEC"/>
    <w:rsid w:val="301A4A2F"/>
    <w:rsid w:val="30287B62"/>
    <w:rsid w:val="30442541"/>
    <w:rsid w:val="305C69DC"/>
    <w:rsid w:val="30997F39"/>
    <w:rsid w:val="30B03D7B"/>
    <w:rsid w:val="30BB2AFC"/>
    <w:rsid w:val="31047F0E"/>
    <w:rsid w:val="315363F4"/>
    <w:rsid w:val="315C46BD"/>
    <w:rsid w:val="3207249C"/>
    <w:rsid w:val="329135B7"/>
    <w:rsid w:val="32BF3509"/>
    <w:rsid w:val="32C12A75"/>
    <w:rsid w:val="32DD6E40"/>
    <w:rsid w:val="32E35695"/>
    <w:rsid w:val="32F26CA9"/>
    <w:rsid w:val="32F53FB6"/>
    <w:rsid w:val="33093FF2"/>
    <w:rsid w:val="33110959"/>
    <w:rsid w:val="33664FA1"/>
    <w:rsid w:val="33787717"/>
    <w:rsid w:val="33953AD8"/>
    <w:rsid w:val="33B916E0"/>
    <w:rsid w:val="33D321A9"/>
    <w:rsid w:val="33E31656"/>
    <w:rsid w:val="33FC15EB"/>
    <w:rsid w:val="349E2586"/>
    <w:rsid w:val="34AC0990"/>
    <w:rsid w:val="35150EE6"/>
    <w:rsid w:val="354258EB"/>
    <w:rsid w:val="35D92E39"/>
    <w:rsid w:val="36107F4A"/>
    <w:rsid w:val="36174299"/>
    <w:rsid w:val="36504865"/>
    <w:rsid w:val="366D489F"/>
    <w:rsid w:val="367C1664"/>
    <w:rsid w:val="36807F5F"/>
    <w:rsid w:val="368F09FA"/>
    <w:rsid w:val="36CF1672"/>
    <w:rsid w:val="36E76FE1"/>
    <w:rsid w:val="375D203C"/>
    <w:rsid w:val="38026A6F"/>
    <w:rsid w:val="38137719"/>
    <w:rsid w:val="382311BB"/>
    <w:rsid w:val="38244844"/>
    <w:rsid w:val="38260B47"/>
    <w:rsid w:val="383C5696"/>
    <w:rsid w:val="387B18EF"/>
    <w:rsid w:val="387E303B"/>
    <w:rsid w:val="38910D12"/>
    <w:rsid w:val="38FD1C54"/>
    <w:rsid w:val="392D582E"/>
    <w:rsid w:val="39902D77"/>
    <w:rsid w:val="39BB33B7"/>
    <w:rsid w:val="39C15447"/>
    <w:rsid w:val="3A3C34B9"/>
    <w:rsid w:val="3A9827B6"/>
    <w:rsid w:val="3AB578C7"/>
    <w:rsid w:val="3AD13648"/>
    <w:rsid w:val="3AD14697"/>
    <w:rsid w:val="3B7346FF"/>
    <w:rsid w:val="3BC63B24"/>
    <w:rsid w:val="3BCD3EBF"/>
    <w:rsid w:val="3C121652"/>
    <w:rsid w:val="3C487939"/>
    <w:rsid w:val="3C722C08"/>
    <w:rsid w:val="3CAB19CD"/>
    <w:rsid w:val="3CAC7EDE"/>
    <w:rsid w:val="3CDB3BDA"/>
    <w:rsid w:val="3CE05DC4"/>
    <w:rsid w:val="3CFB3391"/>
    <w:rsid w:val="3D54230E"/>
    <w:rsid w:val="3D562934"/>
    <w:rsid w:val="3D60411F"/>
    <w:rsid w:val="3D8A02CD"/>
    <w:rsid w:val="3DA93298"/>
    <w:rsid w:val="3DDF4B2C"/>
    <w:rsid w:val="3DF94976"/>
    <w:rsid w:val="3E004CF1"/>
    <w:rsid w:val="3E547E99"/>
    <w:rsid w:val="3EC82150"/>
    <w:rsid w:val="3EE00F3F"/>
    <w:rsid w:val="3EF15B29"/>
    <w:rsid w:val="3EFA5782"/>
    <w:rsid w:val="3F0A7128"/>
    <w:rsid w:val="3F0D44AE"/>
    <w:rsid w:val="3F1D6618"/>
    <w:rsid w:val="3F220916"/>
    <w:rsid w:val="3F23468E"/>
    <w:rsid w:val="3F36468C"/>
    <w:rsid w:val="3FB75AA7"/>
    <w:rsid w:val="3FBA1F41"/>
    <w:rsid w:val="3FF468EF"/>
    <w:rsid w:val="3FFC782B"/>
    <w:rsid w:val="401B3CF2"/>
    <w:rsid w:val="402F5CD7"/>
    <w:rsid w:val="40327DB0"/>
    <w:rsid w:val="40AB1D23"/>
    <w:rsid w:val="40EE65D6"/>
    <w:rsid w:val="40F41E3E"/>
    <w:rsid w:val="40F53849"/>
    <w:rsid w:val="41792343"/>
    <w:rsid w:val="41874A60"/>
    <w:rsid w:val="41E657FF"/>
    <w:rsid w:val="41E70D48"/>
    <w:rsid w:val="422229DB"/>
    <w:rsid w:val="42917FBA"/>
    <w:rsid w:val="42997141"/>
    <w:rsid w:val="429D02B3"/>
    <w:rsid w:val="43284021"/>
    <w:rsid w:val="43644E69"/>
    <w:rsid w:val="436C0A8D"/>
    <w:rsid w:val="436F1C02"/>
    <w:rsid w:val="43DC2B82"/>
    <w:rsid w:val="43E22ABA"/>
    <w:rsid w:val="43F80DCD"/>
    <w:rsid w:val="43FB75A4"/>
    <w:rsid w:val="445D41D8"/>
    <w:rsid w:val="4462631A"/>
    <w:rsid w:val="44751F2B"/>
    <w:rsid w:val="44884C83"/>
    <w:rsid w:val="449622B7"/>
    <w:rsid w:val="452847AC"/>
    <w:rsid w:val="453074E6"/>
    <w:rsid w:val="458029AA"/>
    <w:rsid w:val="458A2D71"/>
    <w:rsid w:val="45D95AA6"/>
    <w:rsid w:val="461F443E"/>
    <w:rsid w:val="46500EC4"/>
    <w:rsid w:val="467E1C70"/>
    <w:rsid w:val="468A4245"/>
    <w:rsid w:val="46A75BA4"/>
    <w:rsid w:val="4748596C"/>
    <w:rsid w:val="47500045"/>
    <w:rsid w:val="476B40D2"/>
    <w:rsid w:val="477261B2"/>
    <w:rsid w:val="478B7839"/>
    <w:rsid w:val="47E17B4A"/>
    <w:rsid w:val="48040645"/>
    <w:rsid w:val="48376AB4"/>
    <w:rsid w:val="48523C0A"/>
    <w:rsid w:val="48763CF2"/>
    <w:rsid w:val="487C78C9"/>
    <w:rsid w:val="489E3890"/>
    <w:rsid w:val="48B40105"/>
    <w:rsid w:val="48F511C4"/>
    <w:rsid w:val="49256E19"/>
    <w:rsid w:val="494975E8"/>
    <w:rsid w:val="49583633"/>
    <w:rsid w:val="497A2C70"/>
    <w:rsid w:val="49E47F6E"/>
    <w:rsid w:val="49EA0282"/>
    <w:rsid w:val="4A0B41AC"/>
    <w:rsid w:val="4A4F766A"/>
    <w:rsid w:val="4A51245D"/>
    <w:rsid w:val="4A6E2C61"/>
    <w:rsid w:val="4A8F4985"/>
    <w:rsid w:val="4B1550A5"/>
    <w:rsid w:val="4B3A06D7"/>
    <w:rsid w:val="4B3F6B82"/>
    <w:rsid w:val="4B447127"/>
    <w:rsid w:val="4B6B7860"/>
    <w:rsid w:val="4B822253"/>
    <w:rsid w:val="4B9759E4"/>
    <w:rsid w:val="4BC56187"/>
    <w:rsid w:val="4BD34E49"/>
    <w:rsid w:val="4C0C01C1"/>
    <w:rsid w:val="4C286E40"/>
    <w:rsid w:val="4C942727"/>
    <w:rsid w:val="4CBC28D9"/>
    <w:rsid w:val="4D3021F3"/>
    <w:rsid w:val="4D3D691B"/>
    <w:rsid w:val="4D3F455B"/>
    <w:rsid w:val="4D6E3BBD"/>
    <w:rsid w:val="4D892D1C"/>
    <w:rsid w:val="4DBC088F"/>
    <w:rsid w:val="4DCD4142"/>
    <w:rsid w:val="4DCF2F60"/>
    <w:rsid w:val="4E2174AB"/>
    <w:rsid w:val="4E2C1433"/>
    <w:rsid w:val="4E300D69"/>
    <w:rsid w:val="4E3C60BC"/>
    <w:rsid w:val="4E4E5A90"/>
    <w:rsid w:val="4E6C325B"/>
    <w:rsid w:val="4EBE15A2"/>
    <w:rsid w:val="4EC54C1D"/>
    <w:rsid w:val="4ED35B75"/>
    <w:rsid w:val="4EE00DE1"/>
    <w:rsid w:val="4F502F66"/>
    <w:rsid w:val="4F7072B9"/>
    <w:rsid w:val="4F764175"/>
    <w:rsid w:val="4F7E2EF6"/>
    <w:rsid w:val="4F8464B4"/>
    <w:rsid w:val="4F871ED9"/>
    <w:rsid w:val="4F9A1B35"/>
    <w:rsid w:val="4FD70343"/>
    <w:rsid w:val="50391FDB"/>
    <w:rsid w:val="503E6388"/>
    <w:rsid w:val="504E4830"/>
    <w:rsid w:val="50530F7D"/>
    <w:rsid w:val="50806617"/>
    <w:rsid w:val="50834F8C"/>
    <w:rsid w:val="50D76907"/>
    <w:rsid w:val="50E71153"/>
    <w:rsid w:val="510F4A72"/>
    <w:rsid w:val="513F1823"/>
    <w:rsid w:val="516F27CB"/>
    <w:rsid w:val="5196143C"/>
    <w:rsid w:val="51B55619"/>
    <w:rsid w:val="51E63FE0"/>
    <w:rsid w:val="52043826"/>
    <w:rsid w:val="52125025"/>
    <w:rsid w:val="522E1874"/>
    <w:rsid w:val="523B7CFC"/>
    <w:rsid w:val="524266BE"/>
    <w:rsid w:val="52E00EA8"/>
    <w:rsid w:val="52F13971"/>
    <w:rsid w:val="531151F6"/>
    <w:rsid w:val="53193AC3"/>
    <w:rsid w:val="53356AB0"/>
    <w:rsid w:val="53597175"/>
    <w:rsid w:val="53687418"/>
    <w:rsid w:val="53720DE2"/>
    <w:rsid w:val="538057B3"/>
    <w:rsid w:val="53AA2830"/>
    <w:rsid w:val="53CD4272"/>
    <w:rsid w:val="53F92C98"/>
    <w:rsid w:val="54067AFD"/>
    <w:rsid w:val="541A6CDE"/>
    <w:rsid w:val="54E57FC4"/>
    <w:rsid w:val="555D67A4"/>
    <w:rsid w:val="55B60238"/>
    <w:rsid w:val="55EA5219"/>
    <w:rsid w:val="561505D4"/>
    <w:rsid w:val="563102A4"/>
    <w:rsid w:val="56973E1F"/>
    <w:rsid w:val="56E30533"/>
    <w:rsid w:val="572136AE"/>
    <w:rsid w:val="576772B5"/>
    <w:rsid w:val="576C7C19"/>
    <w:rsid w:val="57CD71C9"/>
    <w:rsid w:val="57E34306"/>
    <w:rsid w:val="57E57589"/>
    <w:rsid w:val="57ED2754"/>
    <w:rsid w:val="58AC71CF"/>
    <w:rsid w:val="590B5B1F"/>
    <w:rsid w:val="591254B9"/>
    <w:rsid w:val="596A6CE9"/>
    <w:rsid w:val="59A92A61"/>
    <w:rsid w:val="59C9560C"/>
    <w:rsid w:val="5A3317D1"/>
    <w:rsid w:val="5ABD60D6"/>
    <w:rsid w:val="5ADE1F73"/>
    <w:rsid w:val="5AFE3B8D"/>
    <w:rsid w:val="5B5E287E"/>
    <w:rsid w:val="5BF8382F"/>
    <w:rsid w:val="5BFD3E45"/>
    <w:rsid w:val="5C052CF9"/>
    <w:rsid w:val="5C22684F"/>
    <w:rsid w:val="5C6E68D3"/>
    <w:rsid w:val="5C702869"/>
    <w:rsid w:val="5CB52BD2"/>
    <w:rsid w:val="5CDF456F"/>
    <w:rsid w:val="5CE3322E"/>
    <w:rsid w:val="5D572C78"/>
    <w:rsid w:val="5D7C348F"/>
    <w:rsid w:val="5DCB33F6"/>
    <w:rsid w:val="5DD153DA"/>
    <w:rsid w:val="5DFF429F"/>
    <w:rsid w:val="5E3556CC"/>
    <w:rsid w:val="5E6A2CC5"/>
    <w:rsid w:val="5E990EF9"/>
    <w:rsid w:val="5E99583F"/>
    <w:rsid w:val="5EBF74D1"/>
    <w:rsid w:val="5ED74E21"/>
    <w:rsid w:val="5EDA046D"/>
    <w:rsid w:val="5F2465E8"/>
    <w:rsid w:val="5F2E2567"/>
    <w:rsid w:val="5F306102"/>
    <w:rsid w:val="5F4B72E8"/>
    <w:rsid w:val="5F71206D"/>
    <w:rsid w:val="5F783DAA"/>
    <w:rsid w:val="5F835D88"/>
    <w:rsid w:val="5FC54CE6"/>
    <w:rsid w:val="5FD2383A"/>
    <w:rsid w:val="601A24B3"/>
    <w:rsid w:val="603B11D0"/>
    <w:rsid w:val="60E15CF6"/>
    <w:rsid w:val="60FE4D9D"/>
    <w:rsid w:val="61044027"/>
    <w:rsid w:val="61067EA9"/>
    <w:rsid w:val="612C47B1"/>
    <w:rsid w:val="618C17C7"/>
    <w:rsid w:val="61AA49D7"/>
    <w:rsid w:val="61DB480A"/>
    <w:rsid w:val="626A12F1"/>
    <w:rsid w:val="628E2720"/>
    <w:rsid w:val="62EE20BE"/>
    <w:rsid w:val="62F241E8"/>
    <w:rsid w:val="62F92E8C"/>
    <w:rsid w:val="63057A83"/>
    <w:rsid w:val="630930CF"/>
    <w:rsid w:val="632B71C6"/>
    <w:rsid w:val="634C153F"/>
    <w:rsid w:val="636F7002"/>
    <w:rsid w:val="6438051B"/>
    <w:rsid w:val="6457430E"/>
    <w:rsid w:val="645940DA"/>
    <w:rsid w:val="645962D8"/>
    <w:rsid w:val="64834DD8"/>
    <w:rsid w:val="648C318D"/>
    <w:rsid w:val="649E018F"/>
    <w:rsid w:val="64B35E55"/>
    <w:rsid w:val="64D30970"/>
    <w:rsid w:val="653505E7"/>
    <w:rsid w:val="65876E75"/>
    <w:rsid w:val="658F218E"/>
    <w:rsid w:val="65B95D5B"/>
    <w:rsid w:val="661B154B"/>
    <w:rsid w:val="662114A5"/>
    <w:rsid w:val="662E766F"/>
    <w:rsid w:val="66AC2722"/>
    <w:rsid w:val="66E71CCD"/>
    <w:rsid w:val="671E1113"/>
    <w:rsid w:val="67305B69"/>
    <w:rsid w:val="676A38DC"/>
    <w:rsid w:val="676F196F"/>
    <w:rsid w:val="67851192"/>
    <w:rsid w:val="678F1196"/>
    <w:rsid w:val="67A05B7E"/>
    <w:rsid w:val="67AF7FBD"/>
    <w:rsid w:val="67ED5EED"/>
    <w:rsid w:val="68101CC4"/>
    <w:rsid w:val="686D30F8"/>
    <w:rsid w:val="687424E1"/>
    <w:rsid w:val="68D433DA"/>
    <w:rsid w:val="68D81006"/>
    <w:rsid w:val="69146FEF"/>
    <w:rsid w:val="69D34CDF"/>
    <w:rsid w:val="69EC54F9"/>
    <w:rsid w:val="6A5F4FA1"/>
    <w:rsid w:val="6A7A4E34"/>
    <w:rsid w:val="6ADA6866"/>
    <w:rsid w:val="6B3158B9"/>
    <w:rsid w:val="6B4A018C"/>
    <w:rsid w:val="6B61332D"/>
    <w:rsid w:val="6B7606E6"/>
    <w:rsid w:val="6B9D4CFC"/>
    <w:rsid w:val="6C4516BE"/>
    <w:rsid w:val="6C4A61B1"/>
    <w:rsid w:val="6C4F5101"/>
    <w:rsid w:val="6C7621DF"/>
    <w:rsid w:val="6C787452"/>
    <w:rsid w:val="6C853C97"/>
    <w:rsid w:val="6CAD0F6F"/>
    <w:rsid w:val="6CE1254E"/>
    <w:rsid w:val="6CEF4F0F"/>
    <w:rsid w:val="6D397846"/>
    <w:rsid w:val="6D761CA9"/>
    <w:rsid w:val="6D7D71B1"/>
    <w:rsid w:val="6DAA12B9"/>
    <w:rsid w:val="6DAB59DE"/>
    <w:rsid w:val="6DAC0CA7"/>
    <w:rsid w:val="6DC24EEE"/>
    <w:rsid w:val="6DD9192B"/>
    <w:rsid w:val="6E434EF0"/>
    <w:rsid w:val="6E6E4E06"/>
    <w:rsid w:val="6E7A016D"/>
    <w:rsid w:val="6EC47A23"/>
    <w:rsid w:val="6ED749C9"/>
    <w:rsid w:val="6EF47564"/>
    <w:rsid w:val="6FAB03A8"/>
    <w:rsid w:val="6FE253D4"/>
    <w:rsid w:val="701B0E3A"/>
    <w:rsid w:val="70235C5C"/>
    <w:rsid w:val="702C1048"/>
    <w:rsid w:val="70455FF7"/>
    <w:rsid w:val="705B4869"/>
    <w:rsid w:val="707215D5"/>
    <w:rsid w:val="708B7B34"/>
    <w:rsid w:val="708E730A"/>
    <w:rsid w:val="70B42BBA"/>
    <w:rsid w:val="71493855"/>
    <w:rsid w:val="71525973"/>
    <w:rsid w:val="71790EBA"/>
    <w:rsid w:val="71AA1F21"/>
    <w:rsid w:val="71B53A87"/>
    <w:rsid w:val="71D55BDA"/>
    <w:rsid w:val="71DA2ABA"/>
    <w:rsid w:val="71F76241"/>
    <w:rsid w:val="724C7869"/>
    <w:rsid w:val="726971FF"/>
    <w:rsid w:val="72D677F3"/>
    <w:rsid w:val="72F42593"/>
    <w:rsid w:val="730043D2"/>
    <w:rsid w:val="73724465"/>
    <w:rsid w:val="737547B1"/>
    <w:rsid w:val="73CC483B"/>
    <w:rsid w:val="73FE0302"/>
    <w:rsid w:val="74125A53"/>
    <w:rsid w:val="74162289"/>
    <w:rsid w:val="741D2362"/>
    <w:rsid w:val="74933D70"/>
    <w:rsid w:val="749C2B7B"/>
    <w:rsid w:val="749D1342"/>
    <w:rsid w:val="749F7D37"/>
    <w:rsid w:val="74F57957"/>
    <w:rsid w:val="750758DC"/>
    <w:rsid w:val="75566EE4"/>
    <w:rsid w:val="7583200C"/>
    <w:rsid w:val="7660428B"/>
    <w:rsid w:val="76A07D97"/>
    <w:rsid w:val="76C56DC4"/>
    <w:rsid w:val="76F2653C"/>
    <w:rsid w:val="77482DBF"/>
    <w:rsid w:val="77974CF6"/>
    <w:rsid w:val="77B4314C"/>
    <w:rsid w:val="77CD13AB"/>
    <w:rsid w:val="77CE4DD0"/>
    <w:rsid w:val="77D84AFD"/>
    <w:rsid w:val="78014865"/>
    <w:rsid w:val="789E6215"/>
    <w:rsid w:val="78C647AD"/>
    <w:rsid w:val="78CE77AC"/>
    <w:rsid w:val="78D43D28"/>
    <w:rsid w:val="79394A97"/>
    <w:rsid w:val="79900684"/>
    <w:rsid w:val="79963F39"/>
    <w:rsid w:val="79A65463"/>
    <w:rsid w:val="79DB3FA7"/>
    <w:rsid w:val="79F31D17"/>
    <w:rsid w:val="7A286456"/>
    <w:rsid w:val="7AC73B44"/>
    <w:rsid w:val="7ACF0E2A"/>
    <w:rsid w:val="7ADC31A8"/>
    <w:rsid w:val="7AE11CFE"/>
    <w:rsid w:val="7B275319"/>
    <w:rsid w:val="7B3D5BB4"/>
    <w:rsid w:val="7B4324F0"/>
    <w:rsid w:val="7B453B00"/>
    <w:rsid w:val="7B8F0214"/>
    <w:rsid w:val="7BF111A2"/>
    <w:rsid w:val="7C280C89"/>
    <w:rsid w:val="7C7E46D6"/>
    <w:rsid w:val="7CAE4569"/>
    <w:rsid w:val="7CB121DB"/>
    <w:rsid w:val="7CBE43EB"/>
    <w:rsid w:val="7D040A54"/>
    <w:rsid w:val="7D197F5B"/>
    <w:rsid w:val="7D2B5029"/>
    <w:rsid w:val="7D4C0330"/>
    <w:rsid w:val="7DBB4185"/>
    <w:rsid w:val="7DC934DB"/>
    <w:rsid w:val="7E492AC2"/>
    <w:rsid w:val="7E5739DC"/>
    <w:rsid w:val="7E9E3841"/>
    <w:rsid w:val="7EBC6B26"/>
    <w:rsid w:val="7ECB1A77"/>
    <w:rsid w:val="7ECC1B65"/>
    <w:rsid w:val="7ED60533"/>
    <w:rsid w:val="7EE23AE4"/>
    <w:rsid w:val="7EE52B34"/>
    <w:rsid w:val="7EF23159"/>
    <w:rsid w:val="7F3D2627"/>
    <w:rsid w:val="7F517E80"/>
    <w:rsid w:val="7F8B2110"/>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0"/>
    <w:qFormat/>
    <w:uiPriority w:val="0"/>
    <w:pPr>
      <w:keepNext/>
      <w:keepLines/>
      <w:spacing w:after="120" w:line="360" w:lineRule="auto"/>
      <w:outlineLvl w:val="0"/>
    </w:pPr>
    <w:rPr>
      <w:kern w:val="44"/>
      <w:sz w:val="28"/>
      <w:szCs w:val="28"/>
    </w:rPr>
  </w:style>
  <w:style w:type="paragraph" w:styleId="7">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9">
    <w:name w:val="heading 4"/>
    <w:basedOn w:val="8"/>
    <w:next w:val="2"/>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2"/>
    <w:link w:val="63"/>
    <w:qFormat/>
    <w:uiPriority w:val="0"/>
    <w:pPr>
      <w:numPr>
        <w:ilvl w:val="4"/>
      </w:numPr>
      <w:spacing w:line="240" w:lineRule="exact"/>
      <w:outlineLvl w:val="4"/>
    </w:pPr>
  </w:style>
  <w:style w:type="paragraph" w:styleId="11">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2"/>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2"/>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2"/>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link w:val="69"/>
    <w:qFormat/>
    <w:uiPriority w:val="0"/>
    <w:pPr>
      <w:spacing w:before="120" w:after="60"/>
      <w:jc w:val="center"/>
    </w:pPr>
    <w:rPr>
      <w:rFonts w:ascii="Arial" w:hAnsi="Arial"/>
      <w:b/>
      <w:sz w:val="44"/>
      <w:szCs w:val="20"/>
    </w:rPr>
  </w:style>
  <w:style w:type="paragraph" w:styleId="5">
    <w:name w:val="Body Text First Indent"/>
    <w:basedOn w:val="6"/>
    <w:link w:val="73"/>
    <w:qFormat/>
    <w:uiPriority w:val="0"/>
    <w:pPr>
      <w:ind w:firstLine="420"/>
    </w:pPr>
  </w:style>
  <w:style w:type="paragraph" w:styleId="6">
    <w:name w:val="Body Text"/>
    <w:basedOn w:val="1"/>
    <w:link w:val="71"/>
    <w:qFormat/>
    <w:uiPriority w:val="0"/>
    <w:pPr>
      <w:spacing w:after="120"/>
    </w:pPr>
    <w:rPr>
      <w:rFonts w:ascii="Times New Roman" w:hAnsi="Times New Roman"/>
      <w:szCs w:val="20"/>
    </w:rPr>
  </w:style>
  <w:style w:type="paragraph" w:styleId="15">
    <w:name w:val="Document Map"/>
    <w:basedOn w:val="1"/>
    <w:link w:val="79"/>
    <w:qFormat/>
    <w:uiPriority w:val="0"/>
    <w:pPr>
      <w:shd w:val="clear" w:color="auto" w:fill="000080"/>
    </w:pPr>
    <w:rPr>
      <w:rFonts w:ascii="Times New Roman" w:hAnsi="Times New Roman"/>
      <w:szCs w:val="20"/>
    </w:rPr>
  </w:style>
  <w:style w:type="paragraph" w:styleId="16">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7"/>
    <w:qFormat/>
    <w:uiPriority w:val="0"/>
    <w:pPr>
      <w:ind w:firstLine="570"/>
    </w:pPr>
    <w:rPr>
      <w:rFonts w:ascii="Times New Roman" w:hAnsi="Times New Roman"/>
      <w:sz w:val="28"/>
      <w:szCs w:val="20"/>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6"/>
    <w:next w:val="16"/>
    <w:link w:val="109"/>
    <w:qFormat/>
    <w:uiPriority w:val="0"/>
    <w:rPr>
      <w:b/>
      <w:bCs/>
    </w:r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8"/>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5"/>
    <w:qFormat/>
    <w:uiPriority w:val="0"/>
    <w:rPr>
      <w:rFonts w:ascii="Calibri" w:hAnsi="Calibri" w:eastAsia="宋体" w:cs="Times New Roman"/>
      <w:sz w:val="18"/>
      <w:szCs w:val="18"/>
    </w:rPr>
  </w:style>
  <w:style w:type="character" w:customStyle="1" w:styleId="60">
    <w:name w:val="标题 1 Char"/>
    <w:link w:val="3"/>
    <w:qFormat/>
    <w:uiPriority w:val="0"/>
    <w:rPr>
      <w:rFonts w:ascii="Arial" w:hAnsi="Arial" w:eastAsia="宋体"/>
      <w:b/>
      <w:kern w:val="44"/>
      <w:sz w:val="28"/>
      <w:szCs w:val="28"/>
    </w:rPr>
  </w:style>
  <w:style w:type="character" w:customStyle="1" w:styleId="61">
    <w:name w:val="标题 2 Char"/>
    <w:link w:val="7"/>
    <w:qFormat/>
    <w:uiPriority w:val="0"/>
    <w:rPr>
      <w:rFonts w:ascii="Arial" w:hAnsi="Arial" w:eastAsia="宋体" w:cs="Times New Roman"/>
      <w:b/>
      <w:color w:val="000000"/>
      <w:sz w:val="24"/>
      <w:szCs w:val="24"/>
    </w:rPr>
  </w:style>
  <w:style w:type="character" w:customStyle="1" w:styleId="62">
    <w:name w:val="标题 4 Char"/>
    <w:link w:val="9"/>
    <w:qFormat/>
    <w:uiPriority w:val="0"/>
    <w:rPr>
      <w:rFonts w:ascii="Arial" w:hAnsi="Arial" w:eastAsia="宋体" w:cs="Times New Roman"/>
      <w:color w:val="000000"/>
      <w:szCs w:val="21"/>
    </w:rPr>
  </w:style>
  <w:style w:type="character" w:customStyle="1" w:styleId="63">
    <w:name w:val="标题 5 Char"/>
    <w:link w:val="10"/>
    <w:qFormat/>
    <w:uiPriority w:val="0"/>
    <w:rPr>
      <w:rFonts w:ascii="Arial" w:hAnsi="Arial" w:eastAsia="宋体" w:cs="Times New Roman"/>
      <w:color w:val="000000"/>
      <w:szCs w:val="21"/>
    </w:rPr>
  </w:style>
  <w:style w:type="character" w:customStyle="1" w:styleId="64">
    <w:name w:val="标题 6 Char"/>
    <w:link w:val="11"/>
    <w:qFormat/>
    <w:uiPriority w:val="0"/>
    <w:rPr>
      <w:rFonts w:ascii="Arial" w:hAnsi="Arial" w:eastAsia="黑体" w:cs="Times New Roman"/>
      <w:b/>
      <w:bCs/>
      <w:sz w:val="24"/>
      <w:szCs w:val="24"/>
    </w:rPr>
  </w:style>
  <w:style w:type="character" w:customStyle="1" w:styleId="65">
    <w:name w:val="标题 7 Char"/>
    <w:link w:val="12"/>
    <w:qFormat/>
    <w:uiPriority w:val="0"/>
    <w:rPr>
      <w:rFonts w:ascii="Times New Roman" w:hAnsi="Times New Roman" w:eastAsia="宋体" w:cs="Times New Roman"/>
      <w:b/>
      <w:sz w:val="24"/>
      <w:szCs w:val="20"/>
    </w:rPr>
  </w:style>
  <w:style w:type="character" w:customStyle="1" w:styleId="66">
    <w:name w:val="标题 8 Char"/>
    <w:link w:val="13"/>
    <w:qFormat/>
    <w:uiPriority w:val="0"/>
    <w:rPr>
      <w:rFonts w:ascii="Arial" w:hAnsi="Arial" w:eastAsia="黑体" w:cs="Times New Roman"/>
      <w:sz w:val="24"/>
      <w:szCs w:val="20"/>
    </w:rPr>
  </w:style>
  <w:style w:type="character" w:customStyle="1" w:styleId="67">
    <w:name w:val="标题 9 Char"/>
    <w:link w:val="14"/>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4"/>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6"/>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5"/>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17"/>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5"/>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2"/>
    <w:qFormat/>
    <w:uiPriority w:val="0"/>
    <w:pPr>
      <w:ind w:firstLine="0"/>
    </w:pPr>
    <w:rPr>
      <w:rFonts w:ascii="仿宋_GB2312" w:eastAsia="仿宋_GB2312"/>
      <w:sz w:val="30"/>
      <w:szCs w:val="24"/>
    </w:rPr>
  </w:style>
  <w:style w:type="paragraph" w:customStyle="1" w:styleId="96">
    <w:name w:val="Char Char Char1 Char"/>
    <w:basedOn w:val="15"/>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4"/>
    <w:qFormat/>
    <w:uiPriority w:val="0"/>
    <w:rPr>
      <w:rFonts w:ascii="Times New Roman" w:hAnsi="Times New Roman" w:eastAsia="宋体" w:cs="Times New Roman"/>
      <w:sz w:val="18"/>
      <w:szCs w:val="18"/>
    </w:rPr>
  </w:style>
  <w:style w:type="paragraph" w:customStyle="1" w:styleId="103">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6"/>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 w:type="character" w:customStyle="1" w:styleId="118">
    <w:name w:val="font01"/>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303</Words>
  <Characters>363</Characters>
  <Lines>582</Lines>
  <Paragraphs>164</Paragraphs>
  <TotalTime>3</TotalTime>
  <ScaleCrop>false</ScaleCrop>
  <LinksUpToDate>false</LinksUpToDate>
  <CharactersWithSpaces>386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温润如玉</cp:lastModifiedBy>
  <dcterms:modified xsi:type="dcterms:W3CDTF">2025-05-30T07:45:32Z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B5500F81B1B445C2B1185437853BFA4A</vt:lpwstr>
  </property>
  <property fmtid="{D5CDD505-2E9C-101B-9397-08002B2CF9AE}" pid="4" name="KSOTemplateDocerSaveRecord">
    <vt:lpwstr>eyJoZGlkIjoiNWNhNDk2NTVmZDE4ZGJiYWU4NWY2ZmMxMjM3MTI1ZWIiLCJ1c2VySWQiOiI0Mzg0MTY3NTgifQ==</vt:lpwstr>
  </property>
</Properties>
</file>