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04B92">
      <w:pPr>
        <w:spacing w:line="360" w:lineRule="auto"/>
        <w:jc w:val="center"/>
        <w:rPr>
          <w:rFonts w:hint="eastAsia" w:ascii="宋体" w:hAnsi="宋体"/>
          <w:b/>
          <w:color w:val="auto"/>
          <w:sz w:val="36"/>
          <w:szCs w:val="36"/>
          <w:highlight w:val="none"/>
        </w:rPr>
      </w:pPr>
    </w:p>
    <w:p w14:paraId="2CDFE9B2">
      <w:pPr>
        <w:jc w:val="center"/>
        <w:rPr>
          <w:rFonts w:hint="eastAsia" w:ascii="宋体" w:hAnsi="宋体"/>
          <w:b/>
          <w:color w:val="auto"/>
          <w:sz w:val="44"/>
          <w:szCs w:val="44"/>
          <w:highlight w:val="none"/>
        </w:rPr>
      </w:pPr>
      <w:r>
        <w:rPr>
          <w:rFonts w:hint="eastAsia" w:ascii="宋体" w:hAnsi="宋体"/>
          <w:b/>
          <w:color w:val="auto"/>
          <w:sz w:val="44"/>
          <w:szCs w:val="44"/>
          <w:highlight w:val="none"/>
        </w:rPr>
        <w:t>博罗县河肚水水系综合整治工程和博罗县</w:t>
      </w:r>
    </w:p>
    <w:p w14:paraId="25151A59">
      <w:pPr>
        <w:jc w:val="center"/>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t>澜石河水系综合整治工程施工</w:t>
      </w:r>
      <w:r>
        <w:rPr>
          <w:rFonts w:hint="eastAsia" w:ascii="宋体" w:hAnsi="宋体"/>
          <w:b/>
          <w:color w:val="auto"/>
          <w:sz w:val="44"/>
          <w:szCs w:val="44"/>
          <w:highlight w:val="none"/>
          <w:lang w:eastAsia="zh-CN"/>
        </w:rPr>
        <w:t>（</w:t>
      </w:r>
      <w:r>
        <w:rPr>
          <w:rFonts w:hint="eastAsia" w:ascii="宋体" w:hAnsi="宋体"/>
          <w:b/>
          <w:color w:val="auto"/>
          <w:sz w:val="44"/>
          <w:szCs w:val="44"/>
          <w:highlight w:val="none"/>
          <w:lang w:val="en-US" w:eastAsia="zh-CN"/>
        </w:rPr>
        <w:t>第二次招标</w:t>
      </w:r>
      <w:r>
        <w:rPr>
          <w:rFonts w:hint="eastAsia" w:ascii="宋体" w:hAnsi="宋体"/>
          <w:b/>
          <w:color w:val="auto"/>
          <w:sz w:val="44"/>
          <w:szCs w:val="44"/>
          <w:highlight w:val="none"/>
          <w:lang w:eastAsia="zh-CN"/>
        </w:rPr>
        <w:t>）</w:t>
      </w:r>
    </w:p>
    <w:p w14:paraId="35A08327">
      <w:pPr>
        <w:jc w:val="center"/>
        <w:rPr>
          <w:rFonts w:hint="eastAsia" w:ascii="宋体" w:hAnsi="宋体"/>
          <w:color w:val="auto"/>
          <w:sz w:val="28"/>
          <w:szCs w:val="28"/>
          <w:highlight w:val="none"/>
        </w:rPr>
      </w:pPr>
    </w:p>
    <w:p w14:paraId="69D43932">
      <w:pPr>
        <w:jc w:val="center"/>
        <w:rPr>
          <w:rFonts w:hint="eastAsia" w:ascii="宋体" w:hAnsi="宋体"/>
          <w:color w:val="auto"/>
          <w:sz w:val="28"/>
          <w:szCs w:val="28"/>
          <w:highlight w:val="none"/>
        </w:rPr>
      </w:pPr>
    </w:p>
    <w:p w14:paraId="0DA31EB1">
      <w:pPr>
        <w:jc w:val="center"/>
        <w:rPr>
          <w:rFonts w:hint="eastAsia" w:ascii="宋体" w:hAnsi="宋体"/>
          <w:color w:val="auto"/>
          <w:sz w:val="28"/>
          <w:szCs w:val="28"/>
          <w:highlight w:val="none"/>
        </w:rPr>
      </w:pPr>
    </w:p>
    <w:p w14:paraId="45DD1284">
      <w:pPr>
        <w:jc w:val="center"/>
        <w:rPr>
          <w:rFonts w:hint="eastAsia" w:ascii="宋体" w:hAnsi="宋体"/>
          <w:color w:val="auto"/>
          <w:sz w:val="28"/>
          <w:szCs w:val="28"/>
          <w:highlight w:val="none"/>
        </w:rPr>
      </w:pPr>
    </w:p>
    <w:p w14:paraId="4D1C1DDB">
      <w:pPr>
        <w:jc w:val="center"/>
        <w:rPr>
          <w:rFonts w:hint="eastAsia" w:ascii="宋体" w:hAnsi="宋体"/>
          <w:b/>
          <w:color w:val="auto"/>
          <w:sz w:val="72"/>
          <w:szCs w:val="72"/>
          <w:highlight w:val="none"/>
        </w:rPr>
      </w:pPr>
      <w:bookmarkStart w:id="0" w:name="_Toc221949913"/>
      <w:r>
        <w:rPr>
          <w:rFonts w:hint="eastAsia" w:ascii="宋体" w:hAnsi="宋体"/>
          <w:b/>
          <w:color w:val="auto"/>
          <w:sz w:val="72"/>
          <w:szCs w:val="72"/>
          <w:highlight w:val="none"/>
        </w:rPr>
        <w:t>招 标 文 件</w:t>
      </w:r>
      <w:bookmarkEnd w:id="0"/>
    </w:p>
    <w:p w14:paraId="4AB23479">
      <w:pPr>
        <w:jc w:val="center"/>
        <w:rPr>
          <w:rFonts w:hint="eastAsia" w:ascii="宋体" w:hAnsi="宋体"/>
          <w:color w:val="auto"/>
          <w:sz w:val="28"/>
          <w:highlight w:val="none"/>
        </w:rPr>
      </w:pPr>
      <w:r>
        <w:rPr>
          <w:rFonts w:hint="eastAsia" w:ascii="宋体" w:hAnsi="宋体"/>
          <w:color w:val="auto"/>
          <w:sz w:val="28"/>
          <w:highlight w:val="none"/>
        </w:rPr>
        <w:t xml:space="preserve"> </w:t>
      </w:r>
    </w:p>
    <w:p w14:paraId="3193DE99">
      <w:pPr>
        <w:spacing w:line="400" w:lineRule="exact"/>
        <w:jc w:val="center"/>
        <w:rPr>
          <w:rFonts w:hint="eastAsia" w:ascii="宋体" w:hAnsi="宋体"/>
          <w:color w:val="auto"/>
          <w:highlight w:val="none"/>
        </w:rPr>
      </w:pPr>
    </w:p>
    <w:p w14:paraId="10CF68DB">
      <w:pPr>
        <w:spacing w:line="400" w:lineRule="exact"/>
        <w:jc w:val="center"/>
        <w:rPr>
          <w:rFonts w:hint="eastAsia" w:ascii="宋体" w:hAnsi="宋体"/>
          <w:color w:val="auto"/>
          <w:highlight w:val="none"/>
        </w:rPr>
      </w:pPr>
    </w:p>
    <w:p w14:paraId="7FF641CB">
      <w:pPr>
        <w:spacing w:line="400" w:lineRule="exact"/>
        <w:jc w:val="center"/>
        <w:rPr>
          <w:rFonts w:hint="eastAsia" w:ascii="宋体" w:hAnsi="宋体"/>
          <w:color w:val="auto"/>
          <w:highlight w:val="none"/>
        </w:rPr>
      </w:pPr>
    </w:p>
    <w:p w14:paraId="2546F758">
      <w:pPr>
        <w:spacing w:line="400" w:lineRule="exact"/>
        <w:jc w:val="center"/>
        <w:rPr>
          <w:rFonts w:hint="eastAsia" w:ascii="宋体" w:hAnsi="宋体"/>
          <w:color w:val="auto"/>
          <w:highlight w:val="none"/>
        </w:rPr>
      </w:pPr>
    </w:p>
    <w:p w14:paraId="2E8BA258">
      <w:pPr>
        <w:spacing w:line="400" w:lineRule="exact"/>
        <w:jc w:val="center"/>
        <w:rPr>
          <w:rFonts w:hint="eastAsia" w:ascii="宋体" w:hAnsi="宋体"/>
          <w:color w:val="auto"/>
          <w:highlight w:val="none"/>
        </w:rPr>
      </w:pPr>
    </w:p>
    <w:p w14:paraId="3DDFC65D">
      <w:pPr>
        <w:spacing w:line="400" w:lineRule="exact"/>
        <w:jc w:val="center"/>
        <w:rPr>
          <w:rFonts w:hint="eastAsia" w:ascii="宋体" w:hAnsi="宋体"/>
          <w:color w:val="auto"/>
          <w:highlight w:val="none"/>
        </w:rPr>
      </w:pPr>
    </w:p>
    <w:p w14:paraId="4CC9A0B2">
      <w:pPr>
        <w:spacing w:line="400" w:lineRule="exact"/>
        <w:jc w:val="center"/>
        <w:rPr>
          <w:rFonts w:hint="eastAsia" w:ascii="宋体" w:hAnsi="宋体"/>
          <w:color w:val="auto"/>
          <w:highlight w:val="none"/>
        </w:rPr>
      </w:pPr>
    </w:p>
    <w:p w14:paraId="6E26AE5E">
      <w:pPr>
        <w:spacing w:line="400" w:lineRule="exact"/>
        <w:jc w:val="center"/>
        <w:rPr>
          <w:rFonts w:hint="eastAsia" w:ascii="宋体" w:hAnsi="宋体"/>
          <w:color w:val="auto"/>
          <w:highlight w:val="none"/>
        </w:rPr>
      </w:pPr>
    </w:p>
    <w:p w14:paraId="5CFC46F4">
      <w:pPr>
        <w:spacing w:line="400" w:lineRule="exact"/>
        <w:jc w:val="center"/>
        <w:rPr>
          <w:rFonts w:hint="eastAsia" w:ascii="宋体" w:hAnsi="宋体"/>
          <w:color w:val="auto"/>
          <w:highlight w:val="none"/>
        </w:rPr>
      </w:pPr>
    </w:p>
    <w:p w14:paraId="553AF3C1">
      <w:pPr>
        <w:spacing w:line="720" w:lineRule="auto"/>
        <w:outlineLvl w:val="0"/>
        <w:rPr>
          <w:rFonts w:hint="eastAsia" w:ascii="宋体" w:hAnsi="宋体"/>
          <w:b/>
          <w:color w:val="auto"/>
          <w:sz w:val="30"/>
          <w:szCs w:val="30"/>
          <w:highlight w:val="none"/>
        </w:rPr>
      </w:pPr>
      <w:bookmarkStart w:id="1" w:name="_Toc23132"/>
      <w:bookmarkStart w:id="2" w:name="_Toc6798"/>
      <w:bookmarkStart w:id="3" w:name="_Toc29923"/>
      <w:bookmarkStart w:id="4" w:name="_Toc24146"/>
      <w:bookmarkStart w:id="5" w:name="_Toc17627"/>
      <w:bookmarkStart w:id="6" w:name="_Toc4838"/>
      <w:bookmarkStart w:id="7" w:name="_Toc10263"/>
      <w:r>
        <w:rPr>
          <w:rFonts w:hint="eastAsia" w:ascii="宋体" w:hAnsi="宋体"/>
          <w:b/>
          <w:color w:val="auto"/>
          <w:sz w:val="30"/>
          <w:szCs w:val="30"/>
          <w:highlight w:val="none"/>
        </w:rPr>
        <w:t>招   标   人：博罗县水务工程建设管理中心（盖单位章）</w:t>
      </w:r>
      <w:bookmarkEnd w:id="1"/>
      <w:bookmarkEnd w:id="2"/>
      <w:bookmarkEnd w:id="3"/>
      <w:bookmarkEnd w:id="4"/>
      <w:bookmarkEnd w:id="5"/>
      <w:bookmarkEnd w:id="6"/>
      <w:bookmarkEnd w:id="7"/>
    </w:p>
    <w:p w14:paraId="51A60948">
      <w:pPr>
        <w:spacing w:line="720" w:lineRule="auto"/>
        <w:rPr>
          <w:rFonts w:hint="eastAsia" w:ascii="宋体" w:hAnsi="宋体"/>
          <w:b/>
          <w:color w:val="auto"/>
          <w:sz w:val="30"/>
          <w:szCs w:val="30"/>
          <w:highlight w:val="none"/>
        </w:rPr>
      </w:pPr>
      <w:r>
        <w:rPr>
          <w:rFonts w:hint="eastAsia" w:ascii="宋体" w:hAnsi="宋体"/>
          <w:b/>
          <w:color w:val="auto"/>
          <w:sz w:val="30"/>
          <w:szCs w:val="30"/>
          <w:highlight w:val="none"/>
        </w:rPr>
        <w:t>招标代理机构：惠州众志诚工程管理有限公司（盖单位章）</w:t>
      </w:r>
    </w:p>
    <w:p w14:paraId="69BEE4A6">
      <w:pPr>
        <w:spacing w:line="720" w:lineRule="auto"/>
        <w:jc w:val="center"/>
        <w:rPr>
          <w:rFonts w:hint="eastAsia" w:ascii="宋体" w:hAnsi="宋体"/>
          <w:b/>
          <w:color w:val="auto"/>
          <w:sz w:val="30"/>
          <w:szCs w:val="30"/>
          <w:highlight w:val="none"/>
        </w:rPr>
        <w:sectPr>
          <w:pgSz w:w="11907" w:h="16840"/>
          <w:pgMar w:top="1440" w:right="1531" w:bottom="1440" w:left="1531" w:header="851" w:footer="992" w:gutter="0"/>
          <w:pgNumType w:start="1"/>
          <w:cols w:space="720" w:num="1"/>
          <w:docGrid w:type="lines" w:linePitch="326" w:charSpace="0"/>
        </w:sectPr>
      </w:pPr>
      <w:r>
        <w:rPr>
          <w:rFonts w:hint="eastAsia" w:ascii="宋体" w:hAnsi="宋体"/>
          <w:b/>
          <w:color w:val="auto"/>
          <w:sz w:val="30"/>
          <w:szCs w:val="30"/>
          <w:highlight w:val="none"/>
        </w:rPr>
        <w:t>2025年05月</w:t>
      </w:r>
    </w:p>
    <w:p w14:paraId="5B5697CF">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目  录</w:t>
      </w:r>
    </w:p>
    <w:p w14:paraId="240AC26F">
      <w:pPr>
        <w:pStyle w:val="14"/>
        <w:tabs>
          <w:tab w:val="right" w:leader="dot" w:pos="8845"/>
        </w:tabs>
        <w:spacing w:before="0" w:after="0" w:line="280" w:lineRule="exact"/>
        <w:rPr>
          <w:color w:val="auto"/>
          <w:highlight w:val="none"/>
        </w:rPr>
      </w:pPr>
      <w:bookmarkStart w:id="8" w:name="_Toc221949919"/>
      <w:r>
        <w:rPr>
          <w:rFonts w:hint="eastAsia" w:ascii="宋体" w:hAnsi="宋体"/>
          <w:color w:val="auto"/>
          <w:highlight w:val="none"/>
        </w:rPr>
        <w:fldChar w:fldCharType="begin"/>
      </w:r>
      <w:r>
        <w:rPr>
          <w:rFonts w:hint="eastAsia" w:ascii="宋体" w:hAnsi="宋体"/>
          <w:color w:val="auto"/>
          <w:highlight w:val="none"/>
        </w:rPr>
        <w:instrText xml:space="preserve">TOC \o "1-3" \h \u </w:instrText>
      </w:r>
      <w:r>
        <w:rPr>
          <w:rFonts w:hint="eastAsia" w:ascii="宋体" w:hAnsi="宋体"/>
          <w:color w:val="auto"/>
          <w:highlight w:val="none"/>
        </w:rPr>
        <w:fldChar w:fldCharType="separate"/>
      </w:r>
      <w:r>
        <w:rPr>
          <w:color w:val="auto"/>
          <w:highlight w:val="none"/>
        </w:rPr>
        <w:fldChar w:fldCharType="begin"/>
      </w:r>
      <w:r>
        <w:rPr>
          <w:color w:val="auto"/>
          <w:highlight w:val="none"/>
        </w:rPr>
        <w:instrText xml:space="preserve"> HYPERLINK \l "_Toc30086" </w:instrText>
      </w:r>
      <w:r>
        <w:rPr>
          <w:color w:val="auto"/>
          <w:highlight w:val="none"/>
        </w:rPr>
        <w:fldChar w:fldCharType="separate"/>
      </w:r>
      <w:r>
        <w:rPr>
          <w:rFonts w:ascii="宋体" w:hAnsi="宋体" w:cs="宋体"/>
          <w:color w:val="auto"/>
          <w:kern w:val="0"/>
          <w:highlight w:val="none"/>
          <w:lang w:val="zh-CN" w:bidi="zh-CN"/>
        </w:rPr>
        <w:t>第一章招标公告</w:t>
      </w:r>
      <w:r>
        <w:rPr>
          <w:color w:val="auto"/>
          <w:highlight w:val="none"/>
        </w:rPr>
        <w:tab/>
      </w:r>
      <w:r>
        <w:rPr>
          <w:color w:val="auto"/>
          <w:highlight w:val="none"/>
        </w:rPr>
        <w:fldChar w:fldCharType="begin"/>
      </w:r>
      <w:r>
        <w:rPr>
          <w:color w:val="auto"/>
          <w:highlight w:val="none"/>
        </w:rPr>
        <w:instrText xml:space="preserve"> PAGEREF _Toc30086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4BD1D4D2">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"_Toc29314" </w:instrText>
      </w:r>
      <w:r>
        <w:rPr>
          <w:color w:val="auto"/>
          <w:highlight w:val="none"/>
        </w:rPr>
        <w:fldChar w:fldCharType="separate"/>
      </w:r>
      <w:r>
        <w:rPr>
          <w:rFonts w:hint="eastAsia" w:ascii="宋体" w:hAnsi="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_Toc29314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4BDE547B">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"_Toc11670" </w:instrText>
      </w:r>
      <w:r>
        <w:rPr>
          <w:color w:val="auto"/>
          <w:highlight w:val="none"/>
        </w:rPr>
        <w:fldChar w:fldCharType="separate"/>
      </w:r>
      <w:r>
        <w:rPr>
          <w:rFonts w:hint="eastAsia" w:ascii="宋体" w:hAnsi="宋体"/>
          <w:color w:val="auto"/>
          <w:szCs w:val="28"/>
          <w:highlight w:val="none"/>
        </w:rPr>
        <w:t>1. 总则</w:t>
      </w:r>
      <w:r>
        <w:rPr>
          <w:color w:val="auto"/>
          <w:highlight w:val="none"/>
        </w:rPr>
        <w:tab/>
      </w:r>
      <w:r>
        <w:rPr>
          <w:color w:val="auto"/>
          <w:highlight w:val="none"/>
        </w:rPr>
        <w:fldChar w:fldCharType="begin"/>
      </w:r>
      <w:r>
        <w:rPr>
          <w:color w:val="auto"/>
          <w:highlight w:val="none"/>
        </w:rPr>
        <w:instrText xml:space="preserve"> PAGEREF _Toc11670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B5BC482">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"_Toc2573" </w:instrText>
      </w:r>
      <w:r>
        <w:rPr>
          <w:color w:val="auto"/>
          <w:highlight w:val="none"/>
        </w:rPr>
        <w:fldChar w:fldCharType="separate"/>
      </w:r>
      <w:r>
        <w:rPr>
          <w:rFonts w:hint="eastAsia" w:ascii="宋体" w:hAnsi="宋体"/>
          <w:color w:val="auto"/>
          <w:szCs w:val="36"/>
          <w:highlight w:val="none"/>
        </w:rPr>
        <w:t>2. 招标文件</w:t>
      </w:r>
      <w:r>
        <w:rPr>
          <w:color w:val="auto"/>
          <w:highlight w:val="none"/>
        </w:rPr>
        <w:tab/>
      </w:r>
      <w:r>
        <w:rPr>
          <w:color w:val="auto"/>
          <w:highlight w:val="none"/>
        </w:rPr>
        <w:fldChar w:fldCharType="begin"/>
      </w:r>
      <w:r>
        <w:rPr>
          <w:color w:val="auto"/>
          <w:highlight w:val="none"/>
        </w:rPr>
        <w:instrText xml:space="preserve"> PAGEREF _Toc2573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14:paraId="7A8E7030">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"_Toc11805" </w:instrText>
      </w:r>
      <w:r>
        <w:rPr>
          <w:color w:val="auto"/>
          <w:highlight w:val="none"/>
        </w:rPr>
        <w:fldChar w:fldCharType="separate"/>
      </w:r>
      <w:r>
        <w:rPr>
          <w:rFonts w:hint="eastAsia" w:ascii="宋体" w:hAnsi="宋体"/>
          <w:color w:val="auto"/>
          <w:szCs w:val="32"/>
          <w:highlight w:val="none"/>
        </w:rPr>
        <w:t>3. 投标文件</w:t>
      </w:r>
      <w:r>
        <w:rPr>
          <w:color w:val="auto"/>
          <w:highlight w:val="none"/>
        </w:rPr>
        <w:tab/>
      </w:r>
      <w:r>
        <w:rPr>
          <w:color w:val="auto"/>
          <w:highlight w:val="none"/>
        </w:rPr>
        <w:fldChar w:fldCharType="begin"/>
      </w:r>
      <w:r>
        <w:rPr>
          <w:color w:val="auto"/>
          <w:highlight w:val="none"/>
        </w:rPr>
        <w:instrText xml:space="preserve"> PAGEREF _Toc11805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4572CDC9">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"_Toc32450" </w:instrText>
      </w:r>
      <w:r>
        <w:rPr>
          <w:color w:val="auto"/>
          <w:highlight w:val="none"/>
        </w:rPr>
        <w:fldChar w:fldCharType="separate"/>
      </w:r>
      <w:r>
        <w:rPr>
          <w:rFonts w:hint="eastAsia" w:ascii="宋体" w:hAnsi="宋体"/>
          <w:color w:val="auto"/>
          <w:szCs w:val="36"/>
          <w:highlight w:val="none"/>
        </w:rPr>
        <w:t>4. 投标</w:t>
      </w:r>
      <w:r>
        <w:rPr>
          <w:color w:val="auto"/>
          <w:highlight w:val="none"/>
        </w:rPr>
        <w:tab/>
      </w:r>
      <w:r>
        <w:rPr>
          <w:color w:val="auto"/>
          <w:highlight w:val="none"/>
        </w:rPr>
        <w:fldChar w:fldCharType="begin"/>
      </w:r>
      <w:r>
        <w:rPr>
          <w:color w:val="auto"/>
          <w:highlight w:val="none"/>
        </w:rPr>
        <w:instrText xml:space="preserve"> PAGEREF _Toc32450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604D64AB">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"_Toc17086" </w:instrText>
      </w:r>
      <w:r>
        <w:rPr>
          <w:color w:val="auto"/>
          <w:highlight w:val="none"/>
        </w:rPr>
        <w:fldChar w:fldCharType="separate"/>
      </w:r>
      <w:r>
        <w:rPr>
          <w:rFonts w:hint="eastAsia" w:ascii="宋体" w:hAnsi="宋体"/>
          <w:color w:val="auto"/>
          <w:szCs w:val="36"/>
          <w:highlight w:val="none"/>
        </w:rPr>
        <w:t>5. 开标</w:t>
      </w:r>
      <w:r>
        <w:rPr>
          <w:color w:val="auto"/>
          <w:highlight w:val="none"/>
        </w:rPr>
        <w:tab/>
      </w:r>
      <w:r>
        <w:rPr>
          <w:color w:val="auto"/>
          <w:highlight w:val="none"/>
        </w:rPr>
        <w:fldChar w:fldCharType="begin"/>
      </w:r>
      <w:r>
        <w:rPr>
          <w:color w:val="auto"/>
          <w:highlight w:val="none"/>
        </w:rPr>
        <w:instrText xml:space="preserve"> PAGEREF _Toc17086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141BED5C">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"_Toc19433" </w:instrText>
      </w:r>
      <w:r>
        <w:rPr>
          <w:color w:val="auto"/>
          <w:highlight w:val="none"/>
        </w:rPr>
        <w:fldChar w:fldCharType="separate"/>
      </w:r>
      <w:r>
        <w:rPr>
          <w:rFonts w:hint="eastAsia" w:ascii="宋体" w:hAnsi="宋体"/>
          <w:bCs/>
          <w:color w:val="auto"/>
          <w:szCs w:val="36"/>
          <w:highlight w:val="none"/>
        </w:rPr>
        <w:t>6. 评标</w:t>
      </w:r>
      <w:r>
        <w:rPr>
          <w:color w:val="auto"/>
          <w:highlight w:val="none"/>
        </w:rPr>
        <w:tab/>
      </w:r>
      <w:r>
        <w:rPr>
          <w:color w:val="auto"/>
          <w:highlight w:val="none"/>
        </w:rPr>
        <w:fldChar w:fldCharType="begin"/>
      </w:r>
      <w:r>
        <w:rPr>
          <w:color w:val="auto"/>
          <w:highlight w:val="none"/>
        </w:rPr>
        <w:instrText xml:space="preserve"> PAGEREF _Toc19433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0E6D91DB">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"_Toc16373" </w:instrText>
      </w:r>
      <w:r>
        <w:rPr>
          <w:color w:val="auto"/>
          <w:highlight w:val="none"/>
        </w:rPr>
        <w:fldChar w:fldCharType="separate"/>
      </w:r>
      <w:r>
        <w:rPr>
          <w:rFonts w:hint="eastAsia" w:ascii="宋体" w:hAnsi="宋体"/>
          <w:color w:val="auto"/>
          <w:szCs w:val="36"/>
          <w:highlight w:val="none"/>
        </w:rPr>
        <w:t>7. 合同授予</w:t>
      </w:r>
      <w:r>
        <w:rPr>
          <w:color w:val="auto"/>
          <w:highlight w:val="none"/>
        </w:rPr>
        <w:tab/>
      </w:r>
      <w:r>
        <w:rPr>
          <w:color w:val="auto"/>
          <w:highlight w:val="none"/>
        </w:rPr>
        <w:fldChar w:fldCharType="begin"/>
      </w:r>
      <w:r>
        <w:rPr>
          <w:color w:val="auto"/>
          <w:highlight w:val="none"/>
        </w:rPr>
        <w:instrText xml:space="preserve"> PAGEREF _Toc16373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1C813136">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"_Toc22673" </w:instrText>
      </w:r>
      <w:r>
        <w:rPr>
          <w:color w:val="auto"/>
          <w:highlight w:val="none"/>
        </w:rPr>
        <w:fldChar w:fldCharType="separate"/>
      </w:r>
      <w:r>
        <w:rPr>
          <w:rFonts w:hint="eastAsia" w:ascii="宋体" w:hAnsi="宋体"/>
          <w:color w:val="auto"/>
          <w:szCs w:val="32"/>
          <w:highlight w:val="none"/>
        </w:rPr>
        <w:t>8. 纪律和监督</w:t>
      </w:r>
      <w:r>
        <w:rPr>
          <w:color w:val="auto"/>
          <w:highlight w:val="none"/>
        </w:rPr>
        <w:tab/>
      </w:r>
      <w:r>
        <w:rPr>
          <w:color w:val="auto"/>
          <w:highlight w:val="none"/>
        </w:rPr>
        <w:fldChar w:fldCharType="begin"/>
      </w:r>
      <w:r>
        <w:rPr>
          <w:color w:val="auto"/>
          <w:highlight w:val="none"/>
        </w:rPr>
        <w:instrText xml:space="preserve"> PAGEREF _Toc22673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2349B65E">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"_Toc16569" </w:instrText>
      </w:r>
      <w:r>
        <w:rPr>
          <w:color w:val="auto"/>
          <w:highlight w:val="none"/>
        </w:rPr>
        <w:fldChar w:fldCharType="separate"/>
      </w:r>
      <w:r>
        <w:rPr>
          <w:rFonts w:hint="eastAsia" w:ascii="宋体" w:hAnsi="宋体"/>
          <w:color w:val="auto"/>
          <w:szCs w:val="32"/>
          <w:highlight w:val="none"/>
        </w:rPr>
        <w:t>9.电子招标投标</w:t>
      </w:r>
      <w:r>
        <w:rPr>
          <w:color w:val="auto"/>
          <w:highlight w:val="none"/>
        </w:rPr>
        <w:tab/>
      </w:r>
      <w:r>
        <w:rPr>
          <w:color w:val="auto"/>
          <w:highlight w:val="none"/>
        </w:rPr>
        <w:fldChar w:fldCharType="begin"/>
      </w:r>
      <w:r>
        <w:rPr>
          <w:color w:val="auto"/>
          <w:highlight w:val="none"/>
        </w:rPr>
        <w:instrText xml:space="preserve"> PAGEREF _Toc16569 \h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14:paraId="5DE5EE24">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"_Toc8370" </w:instrText>
      </w:r>
      <w:r>
        <w:rPr>
          <w:color w:val="auto"/>
          <w:highlight w:val="none"/>
        </w:rPr>
        <w:fldChar w:fldCharType="separate"/>
      </w:r>
      <w:r>
        <w:rPr>
          <w:rFonts w:hint="eastAsia" w:ascii="宋体" w:hAnsi="宋体"/>
          <w:color w:val="auto"/>
          <w:szCs w:val="32"/>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_Toc8370 \h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14:paraId="58EDCB8B">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"_Toc18414" </w:instrText>
      </w:r>
      <w:r>
        <w:rPr>
          <w:color w:val="auto"/>
          <w:highlight w:val="none"/>
        </w:rPr>
        <w:fldChar w:fldCharType="separate"/>
      </w:r>
      <w:r>
        <w:rPr>
          <w:rFonts w:hint="eastAsia" w:ascii="宋体" w:hAnsi="宋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_Toc18414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35A685F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"_Toc22711" </w:instrText>
      </w:r>
      <w:r>
        <w:rPr>
          <w:color w:val="auto"/>
          <w:highlight w:val="none"/>
        </w:rPr>
        <w:fldChar w:fldCharType="separate"/>
      </w:r>
      <w:r>
        <w:rPr>
          <w:rFonts w:hint="eastAsia" w:ascii="宋体" w:hAnsi="宋体"/>
          <w:color w:val="auto"/>
          <w:szCs w:val="30"/>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_Toc22711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506F035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"_Toc16147" </w:instrText>
      </w:r>
      <w:r>
        <w:rPr>
          <w:color w:val="auto"/>
          <w:highlight w:val="none"/>
        </w:rPr>
        <w:fldChar w:fldCharType="separate"/>
      </w:r>
      <w:r>
        <w:rPr>
          <w:rFonts w:hint="eastAsia" w:ascii="宋体" w:hAnsi="宋体"/>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_Toc16147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4DE0F96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"_Toc32070" </w:instrText>
      </w:r>
      <w:r>
        <w:rPr>
          <w:color w:val="auto"/>
          <w:highlight w:val="none"/>
        </w:rPr>
        <w:fldChar w:fldCharType="separate"/>
      </w:r>
      <w:r>
        <w:rPr>
          <w:rFonts w:hint="eastAsia" w:ascii="宋体" w:hAnsi="宋体"/>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_Toc32070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4ACDA0F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"_Toc25675" </w:instrText>
      </w:r>
      <w:r>
        <w:rPr>
          <w:color w:val="auto"/>
          <w:highlight w:val="none"/>
        </w:rPr>
        <w:fldChar w:fldCharType="separate"/>
      </w:r>
      <w:r>
        <w:rPr>
          <w:rFonts w:hint="eastAsia" w:ascii="宋体" w:hAnsi="宋体"/>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_Toc25675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4DA5F44F">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"_Toc860" </w:instrText>
      </w:r>
      <w:r>
        <w:rPr>
          <w:color w:val="auto"/>
          <w:highlight w:val="none"/>
        </w:rPr>
        <w:fldChar w:fldCharType="separate"/>
      </w:r>
      <w:r>
        <w:rPr>
          <w:rFonts w:hint="eastAsia" w:ascii="宋体" w:hAnsi="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_Toc860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729A51D7">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"_Toc13871" </w:instrText>
      </w:r>
      <w:r>
        <w:rPr>
          <w:color w:val="auto"/>
          <w:highlight w:val="none"/>
        </w:rPr>
        <w:fldChar w:fldCharType="separate"/>
      </w:r>
      <w:r>
        <w:rPr>
          <w:bCs/>
          <w:color w:val="auto"/>
          <w:szCs w:val="32"/>
          <w:highlight w:val="none"/>
        </w:rPr>
        <w:t>第一节 通用合同条款</w:t>
      </w:r>
      <w:r>
        <w:rPr>
          <w:color w:val="auto"/>
          <w:highlight w:val="none"/>
        </w:rPr>
        <w:tab/>
      </w:r>
      <w:r>
        <w:rPr>
          <w:color w:val="auto"/>
          <w:highlight w:val="none"/>
        </w:rPr>
        <w:fldChar w:fldCharType="begin"/>
      </w:r>
      <w:r>
        <w:rPr>
          <w:color w:val="auto"/>
          <w:highlight w:val="none"/>
        </w:rPr>
        <w:instrText xml:space="preserve"> PAGEREF _Toc13871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25428876">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"_Toc20622" </w:instrText>
      </w:r>
      <w:r>
        <w:rPr>
          <w:color w:val="auto"/>
          <w:highlight w:val="none"/>
        </w:rPr>
        <w:fldChar w:fldCharType="separate"/>
      </w:r>
      <w:r>
        <w:rPr>
          <w:bCs/>
          <w:color w:val="auto"/>
          <w:szCs w:val="28"/>
          <w:highlight w:val="none"/>
        </w:rPr>
        <w:t>第二节 专用合同条款</w:t>
      </w:r>
      <w:r>
        <w:rPr>
          <w:color w:val="auto"/>
          <w:highlight w:val="none"/>
        </w:rPr>
        <w:tab/>
      </w:r>
      <w:r>
        <w:rPr>
          <w:color w:val="auto"/>
          <w:highlight w:val="none"/>
        </w:rPr>
        <w:fldChar w:fldCharType="begin"/>
      </w:r>
      <w:r>
        <w:rPr>
          <w:color w:val="auto"/>
          <w:highlight w:val="none"/>
        </w:rPr>
        <w:instrText xml:space="preserve"> PAGEREF _Toc20622 \h </w:instrText>
      </w:r>
      <w:r>
        <w:rPr>
          <w:color w:val="auto"/>
          <w:highlight w:val="none"/>
        </w:rPr>
        <w:fldChar w:fldCharType="separate"/>
      </w:r>
      <w:r>
        <w:rPr>
          <w:color w:val="auto"/>
          <w:highlight w:val="none"/>
        </w:rPr>
        <w:t>- 89 -</w:t>
      </w:r>
      <w:r>
        <w:rPr>
          <w:color w:val="auto"/>
          <w:highlight w:val="none"/>
        </w:rPr>
        <w:fldChar w:fldCharType="end"/>
      </w:r>
      <w:r>
        <w:rPr>
          <w:color w:val="auto"/>
          <w:highlight w:val="none"/>
        </w:rPr>
        <w:fldChar w:fldCharType="end"/>
      </w:r>
    </w:p>
    <w:p w14:paraId="0479EB51">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"_Toc412" </w:instrText>
      </w:r>
      <w:r>
        <w:rPr>
          <w:color w:val="auto"/>
          <w:highlight w:val="none"/>
        </w:rPr>
        <w:fldChar w:fldCharType="separate"/>
      </w:r>
      <w:r>
        <w:rPr>
          <w:bCs/>
          <w:color w:val="auto"/>
          <w:szCs w:val="32"/>
          <w:highlight w:val="none"/>
        </w:rPr>
        <w:t>第三节 合同附件格式</w:t>
      </w:r>
      <w:r>
        <w:rPr>
          <w:color w:val="auto"/>
          <w:highlight w:val="none"/>
        </w:rPr>
        <w:tab/>
      </w:r>
      <w:r>
        <w:rPr>
          <w:color w:val="auto"/>
          <w:highlight w:val="none"/>
        </w:rPr>
        <w:fldChar w:fldCharType="begin"/>
      </w:r>
      <w:r>
        <w:rPr>
          <w:color w:val="auto"/>
          <w:highlight w:val="none"/>
        </w:rPr>
        <w:instrText xml:space="preserve"> PAGEREF _Toc412 \h </w:instrText>
      </w:r>
      <w:r>
        <w:rPr>
          <w:color w:val="auto"/>
          <w:highlight w:val="none"/>
        </w:rPr>
        <w:fldChar w:fldCharType="separate"/>
      </w:r>
      <w:r>
        <w:rPr>
          <w:color w:val="auto"/>
          <w:highlight w:val="none"/>
        </w:rPr>
        <w:t>- 101 -</w:t>
      </w:r>
      <w:r>
        <w:rPr>
          <w:color w:val="auto"/>
          <w:highlight w:val="none"/>
        </w:rPr>
        <w:fldChar w:fldCharType="end"/>
      </w:r>
      <w:r>
        <w:rPr>
          <w:color w:val="auto"/>
          <w:highlight w:val="none"/>
        </w:rPr>
        <w:fldChar w:fldCharType="end"/>
      </w:r>
    </w:p>
    <w:p w14:paraId="54452ABC">
      <w:pPr>
        <w:pStyle w:val="10"/>
        <w:tabs>
          <w:tab w:val="right" w:leader="dot" w:pos="8845"/>
        </w:tabs>
        <w:spacing w:line="280" w:lineRule="exact"/>
        <w:rPr>
          <w:rFonts w:hint="default" w:ascii="Times New Roman" w:hAnsi="Times New Roman" w:cs="Times New Roman"/>
          <w:i w:val="0"/>
          <w:iCs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"_Toc29109" </w:instrText>
      </w:r>
      <w:r>
        <w:rPr>
          <w:rFonts w:hint="default" w:ascii="Times New Roman" w:hAnsi="Times New Roman" w:cs="Times New Roman"/>
          <w:color w:val="auto"/>
          <w:highlight w:val="none"/>
        </w:rPr>
        <w:fldChar w:fldCharType="separate"/>
      </w:r>
      <w:r>
        <w:rPr>
          <w:rFonts w:hint="default" w:ascii="Times New Roman" w:hAnsi="Times New Roman" w:cs="Times New Roman"/>
          <w:i w:val="0"/>
          <w:iCs w:val="0"/>
          <w:color w:val="auto"/>
          <w:highlight w:val="none"/>
        </w:rPr>
        <w:t>附件一：合同协议书</w:t>
      </w:r>
      <w:r>
        <w:rPr>
          <w:rFonts w:hint="default" w:ascii="Times New Roman" w:hAnsi="Times New Roman" w:cs="Times New Roman"/>
          <w:i w:val="0"/>
          <w:iCs w:val="0"/>
          <w:color w:val="auto"/>
          <w:highlight w:val="none"/>
        </w:rPr>
        <w:tab/>
      </w:r>
      <w:r>
        <w:rPr>
          <w:rFonts w:hint="default" w:ascii="Times New Roman" w:hAnsi="Times New Roman" w:cs="Times New Roman"/>
          <w:i w:val="0"/>
          <w:iCs w:val="0"/>
          <w:color w:val="auto"/>
          <w:highlight w:val="none"/>
        </w:rPr>
        <w:fldChar w:fldCharType="begin"/>
      </w:r>
      <w:r>
        <w:rPr>
          <w:rFonts w:hint="default" w:ascii="Times New Roman" w:hAnsi="Times New Roman" w:cs="Times New Roman"/>
          <w:i w:val="0"/>
          <w:iCs w:val="0"/>
          <w:color w:val="auto"/>
          <w:highlight w:val="none"/>
        </w:rPr>
        <w:instrText xml:space="preserve"> PAGEREF _Toc29109 \h </w:instrText>
      </w:r>
      <w:r>
        <w:rPr>
          <w:rFonts w:hint="default" w:ascii="Times New Roman" w:hAnsi="Times New Roman" w:cs="Times New Roman"/>
          <w:i w:val="0"/>
          <w:iCs w:val="0"/>
          <w:color w:val="auto"/>
          <w:highlight w:val="none"/>
        </w:rPr>
        <w:fldChar w:fldCharType="separate"/>
      </w:r>
      <w:r>
        <w:rPr>
          <w:rFonts w:hint="default" w:ascii="Times New Roman" w:hAnsi="Times New Roman" w:cs="Times New Roman"/>
          <w:i w:val="0"/>
          <w:iCs w:val="0"/>
          <w:color w:val="auto"/>
          <w:highlight w:val="none"/>
        </w:rPr>
        <w:t>- 101 -</w:t>
      </w:r>
      <w:r>
        <w:rPr>
          <w:rFonts w:hint="default" w:ascii="Times New Roman" w:hAnsi="Times New Roman" w:cs="Times New Roman"/>
          <w:i w:val="0"/>
          <w:iCs w:val="0"/>
          <w:color w:val="auto"/>
          <w:highlight w:val="none"/>
        </w:rPr>
        <w:fldChar w:fldCharType="end"/>
      </w:r>
      <w:r>
        <w:rPr>
          <w:rFonts w:hint="default" w:ascii="Times New Roman" w:hAnsi="Times New Roman" w:cs="Times New Roman"/>
          <w:i w:val="0"/>
          <w:iCs w:val="0"/>
          <w:color w:val="auto"/>
          <w:highlight w:val="none"/>
        </w:rPr>
        <w:fldChar w:fldCharType="end"/>
      </w:r>
    </w:p>
    <w:p w14:paraId="7C8563DB">
      <w:pPr>
        <w:pStyle w:val="10"/>
        <w:tabs>
          <w:tab w:val="right" w:leader="dot" w:pos="8845"/>
        </w:tabs>
        <w:spacing w:line="280" w:lineRule="exact"/>
        <w:rPr>
          <w:rFonts w:hint="default" w:ascii="Times New Roman" w:hAnsi="Times New Roman" w:cs="Times New Roman"/>
          <w:i w:val="0"/>
          <w:iCs w:val="0"/>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"_Toc10114" </w:instrText>
      </w:r>
      <w:r>
        <w:rPr>
          <w:rFonts w:hint="default" w:ascii="Times New Roman" w:hAnsi="Times New Roman" w:cs="Times New Roman"/>
          <w:color w:val="auto"/>
          <w:highlight w:val="none"/>
        </w:rPr>
        <w:fldChar w:fldCharType="separate"/>
      </w:r>
      <w:r>
        <w:rPr>
          <w:rFonts w:hint="default" w:ascii="Times New Roman" w:hAnsi="Times New Roman" w:cs="Times New Roman"/>
          <w:i w:val="0"/>
          <w:iCs w:val="0"/>
          <w:color w:val="auto"/>
          <w:highlight w:val="none"/>
        </w:rPr>
        <w:t>附件二：履约担保格式</w:t>
      </w:r>
      <w:r>
        <w:rPr>
          <w:rFonts w:hint="default" w:ascii="Times New Roman" w:hAnsi="Times New Roman" w:cs="Times New Roman"/>
          <w:i w:val="0"/>
          <w:iCs w:val="0"/>
          <w:color w:val="auto"/>
          <w:highlight w:val="none"/>
        </w:rPr>
        <w:tab/>
      </w:r>
      <w:r>
        <w:rPr>
          <w:rFonts w:hint="default" w:ascii="Times New Roman" w:hAnsi="Times New Roman" w:cs="Times New Roman"/>
          <w:i w:val="0"/>
          <w:iCs w:val="0"/>
          <w:color w:val="auto"/>
          <w:highlight w:val="none"/>
        </w:rPr>
        <w:fldChar w:fldCharType="begin"/>
      </w:r>
      <w:r>
        <w:rPr>
          <w:rFonts w:hint="default" w:ascii="Times New Roman" w:hAnsi="Times New Roman" w:cs="Times New Roman"/>
          <w:i w:val="0"/>
          <w:iCs w:val="0"/>
          <w:color w:val="auto"/>
          <w:highlight w:val="none"/>
        </w:rPr>
        <w:instrText xml:space="preserve"> PAGEREF _Toc10114 \h </w:instrText>
      </w:r>
      <w:r>
        <w:rPr>
          <w:rFonts w:hint="default" w:ascii="Times New Roman" w:hAnsi="Times New Roman" w:cs="Times New Roman"/>
          <w:i w:val="0"/>
          <w:iCs w:val="0"/>
          <w:color w:val="auto"/>
          <w:highlight w:val="none"/>
        </w:rPr>
        <w:fldChar w:fldCharType="separate"/>
      </w:r>
      <w:r>
        <w:rPr>
          <w:rFonts w:hint="default" w:ascii="Times New Roman" w:hAnsi="Times New Roman" w:cs="Times New Roman"/>
          <w:i w:val="0"/>
          <w:iCs w:val="0"/>
          <w:color w:val="auto"/>
          <w:highlight w:val="none"/>
        </w:rPr>
        <w:t>- 102 -</w:t>
      </w:r>
      <w:r>
        <w:rPr>
          <w:rFonts w:hint="default" w:ascii="Times New Roman" w:hAnsi="Times New Roman" w:cs="Times New Roman"/>
          <w:i w:val="0"/>
          <w:iCs w:val="0"/>
          <w:color w:val="auto"/>
          <w:highlight w:val="none"/>
        </w:rPr>
        <w:fldChar w:fldCharType="end"/>
      </w:r>
      <w:r>
        <w:rPr>
          <w:rFonts w:hint="default" w:ascii="Times New Roman" w:hAnsi="Times New Roman" w:cs="Times New Roman"/>
          <w:i w:val="0"/>
          <w:iCs w:val="0"/>
          <w:color w:val="auto"/>
          <w:highlight w:val="none"/>
        </w:rPr>
        <w:fldChar w:fldCharType="end"/>
      </w:r>
    </w:p>
    <w:p w14:paraId="2454C88A">
      <w:pPr>
        <w:pStyle w:val="10"/>
        <w:tabs>
          <w:tab w:val="right" w:leader="dot" w:pos="8845"/>
        </w:tabs>
        <w:spacing w:line="28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"_Toc10116" </w:instrText>
      </w:r>
      <w:r>
        <w:rPr>
          <w:rFonts w:hint="default" w:ascii="Times New Roman" w:hAnsi="Times New Roman" w:cs="Times New Roman"/>
          <w:color w:val="auto"/>
          <w:highlight w:val="none"/>
        </w:rPr>
        <w:fldChar w:fldCharType="separate"/>
      </w:r>
      <w:r>
        <w:rPr>
          <w:rFonts w:hint="default" w:ascii="Times New Roman" w:hAnsi="Times New Roman" w:cs="Times New Roman"/>
          <w:i w:val="0"/>
          <w:iCs w:val="0"/>
          <w:color w:val="auto"/>
          <w:highlight w:val="none"/>
        </w:rPr>
        <w:t>附件三：工程建设项目安全生产责任书</w:t>
      </w:r>
      <w:r>
        <w:rPr>
          <w:rFonts w:hint="default" w:ascii="Times New Roman" w:hAnsi="Times New Roman" w:cs="Times New Roman"/>
          <w:i w:val="0"/>
          <w:iCs w:val="0"/>
          <w:color w:val="auto"/>
          <w:highlight w:val="none"/>
        </w:rPr>
        <w:tab/>
      </w:r>
      <w:r>
        <w:rPr>
          <w:rFonts w:hint="default" w:ascii="Times New Roman" w:hAnsi="Times New Roman" w:cs="Times New Roman"/>
          <w:i w:val="0"/>
          <w:iCs w:val="0"/>
          <w:color w:val="auto"/>
          <w:highlight w:val="none"/>
        </w:rPr>
        <w:fldChar w:fldCharType="begin"/>
      </w:r>
      <w:r>
        <w:rPr>
          <w:rFonts w:hint="default" w:ascii="Times New Roman" w:hAnsi="Times New Roman" w:cs="Times New Roman"/>
          <w:i w:val="0"/>
          <w:iCs w:val="0"/>
          <w:color w:val="auto"/>
          <w:highlight w:val="none"/>
        </w:rPr>
        <w:instrText xml:space="preserve"> PAGEREF _Toc10116 \h </w:instrText>
      </w:r>
      <w:r>
        <w:rPr>
          <w:rFonts w:hint="default" w:ascii="Times New Roman" w:hAnsi="Times New Roman" w:cs="Times New Roman"/>
          <w:i w:val="0"/>
          <w:iCs w:val="0"/>
          <w:color w:val="auto"/>
          <w:highlight w:val="none"/>
        </w:rPr>
        <w:fldChar w:fldCharType="separate"/>
      </w:r>
      <w:r>
        <w:rPr>
          <w:rFonts w:hint="default" w:ascii="Times New Roman" w:hAnsi="Times New Roman" w:cs="Times New Roman"/>
          <w:i w:val="0"/>
          <w:iCs w:val="0"/>
          <w:color w:val="auto"/>
          <w:highlight w:val="none"/>
        </w:rPr>
        <w:t>- 103 -</w:t>
      </w:r>
      <w:r>
        <w:rPr>
          <w:rFonts w:hint="default" w:ascii="Times New Roman" w:hAnsi="Times New Roman" w:cs="Times New Roman"/>
          <w:i w:val="0"/>
          <w:iCs w:val="0"/>
          <w:color w:val="auto"/>
          <w:highlight w:val="none"/>
        </w:rPr>
        <w:fldChar w:fldCharType="end"/>
      </w:r>
      <w:r>
        <w:rPr>
          <w:rFonts w:hint="default" w:ascii="Times New Roman" w:hAnsi="Times New Roman" w:cs="Times New Roman"/>
          <w:i w:val="0"/>
          <w:iCs w:val="0"/>
          <w:color w:val="auto"/>
          <w:highlight w:val="none"/>
        </w:rPr>
        <w:fldChar w:fldCharType="end"/>
      </w:r>
    </w:p>
    <w:p w14:paraId="639E12E6">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"_Toc21602" </w:instrText>
      </w:r>
      <w:r>
        <w:rPr>
          <w:color w:val="auto"/>
          <w:highlight w:val="none"/>
        </w:rPr>
        <w:fldChar w:fldCharType="separate"/>
      </w:r>
      <w:r>
        <w:rPr>
          <w:rFonts w:hint="eastAsia" w:ascii="宋体" w:hAnsi="宋体"/>
          <w:color w:val="auto"/>
          <w:highlight w:val="none"/>
        </w:rPr>
        <w:t>第五章 图纸(招标图纸)</w:t>
      </w:r>
      <w:r>
        <w:rPr>
          <w:color w:val="auto"/>
          <w:highlight w:val="none"/>
        </w:rPr>
        <w:tab/>
      </w:r>
      <w:r>
        <w:rPr>
          <w:color w:val="auto"/>
          <w:highlight w:val="none"/>
        </w:rPr>
        <w:fldChar w:fldCharType="begin"/>
      </w:r>
      <w:r>
        <w:rPr>
          <w:color w:val="auto"/>
          <w:highlight w:val="none"/>
        </w:rPr>
        <w:instrText xml:space="preserve"> PAGEREF _Toc21602 \h </w:instrText>
      </w:r>
      <w:r>
        <w:rPr>
          <w:color w:val="auto"/>
          <w:highlight w:val="none"/>
        </w:rPr>
        <w:fldChar w:fldCharType="separate"/>
      </w:r>
      <w:r>
        <w:rPr>
          <w:color w:val="auto"/>
          <w:highlight w:val="none"/>
        </w:rPr>
        <w:t>- 106 -</w:t>
      </w:r>
      <w:r>
        <w:rPr>
          <w:color w:val="auto"/>
          <w:highlight w:val="none"/>
        </w:rPr>
        <w:fldChar w:fldCharType="end"/>
      </w:r>
      <w:r>
        <w:rPr>
          <w:color w:val="auto"/>
          <w:highlight w:val="none"/>
        </w:rPr>
        <w:fldChar w:fldCharType="end"/>
      </w:r>
    </w:p>
    <w:p w14:paraId="4247E74F">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"_Toc31053" </w:instrText>
      </w:r>
      <w:r>
        <w:rPr>
          <w:color w:val="auto"/>
          <w:highlight w:val="none"/>
        </w:rPr>
        <w:fldChar w:fldCharType="separate"/>
      </w:r>
      <w:r>
        <w:rPr>
          <w:rFonts w:hint="eastAsia" w:ascii="宋体" w:hAnsi="宋体"/>
          <w:color w:val="auto"/>
          <w:kern w:val="44"/>
          <w:szCs w:val="44"/>
          <w:highlight w:val="none"/>
        </w:rPr>
        <w:t xml:space="preserve">第六章 </w:t>
      </w:r>
      <w:r>
        <w:rPr>
          <w:rFonts w:hint="eastAsia" w:ascii="宋体" w:hAnsi="宋体"/>
          <w:color w:val="auto"/>
          <w:szCs w:val="36"/>
          <w:highlight w:val="none"/>
        </w:rPr>
        <w:t>工程量清</w:t>
      </w:r>
      <w:r>
        <w:rPr>
          <w:rFonts w:hint="eastAsia" w:ascii="宋体" w:hAnsi="宋体" w:cs="宋体"/>
          <w:color w:val="auto"/>
          <w:szCs w:val="36"/>
          <w:highlight w:val="none"/>
        </w:rPr>
        <w:t>单</w:t>
      </w:r>
      <w:r>
        <w:rPr>
          <w:color w:val="auto"/>
          <w:highlight w:val="none"/>
        </w:rPr>
        <w:tab/>
      </w:r>
      <w:r>
        <w:rPr>
          <w:color w:val="auto"/>
          <w:highlight w:val="none"/>
        </w:rPr>
        <w:fldChar w:fldCharType="begin"/>
      </w:r>
      <w:r>
        <w:rPr>
          <w:color w:val="auto"/>
          <w:highlight w:val="none"/>
        </w:rPr>
        <w:instrText xml:space="preserve"> PAGEREF _Toc31053 \h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14:paraId="5B818EC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ascii="宋体" w:hAnsi="宋体"/>
          <w:bCs/>
          <w:color w:val="auto"/>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14:paraId="145024CB">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bCs/>
          <w:color w:val="auto"/>
          <w:highlight w:val="none"/>
        </w:rPr>
        <w:t>2.投标报价说明</w:t>
      </w:r>
      <w:r>
        <w:rPr>
          <w:color w:val="auto"/>
          <w:highlight w:val="none"/>
        </w:rPr>
        <w:tab/>
      </w:r>
      <w:r>
        <w:rPr>
          <w:color w:val="auto"/>
          <w:highlight w:val="none"/>
        </w:rPr>
        <w:fldChar w:fldCharType="begin"/>
      </w:r>
      <w:r>
        <w:rPr>
          <w:color w:val="auto"/>
          <w:highlight w:val="none"/>
        </w:rPr>
        <w:instrText xml:space="preserve"> PAGEREF _Toc30886 \h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14:paraId="61A03CD0">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"_Toc31151" </w:instrText>
      </w:r>
      <w:r>
        <w:rPr>
          <w:color w:val="auto"/>
          <w:highlight w:val="none"/>
        </w:rPr>
        <w:fldChar w:fldCharType="separate"/>
      </w:r>
      <w:r>
        <w:rPr>
          <w:rFonts w:hint="eastAsia" w:ascii="宋体" w:hAnsi="宋体"/>
          <w:bCs/>
          <w:color w:val="auto"/>
          <w:highlight w:val="none"/>
        </w:rPr>
        <w:t>3. 其他说明</w:t>
      </w:r>
      <w:r>
        <w:rPr>
          <w:color w:val="auto"/>
          <w:highlight w:val="none"/>
        </w:rPr>
        <w:tab/>
      </w:r>
      <w:r>
        <w:rPr>
          <w:color w:val="auto"/>
          <w:highlight w:val="none"/>
        </w:rPr>
        <w:fldChar w:fldCharType="begin"/>
      </w:r>
      <w:r>
        <w:rPr>
          <w:color w:val="auto"/>
          <w:highlight w:val="none"/>
        </w:rPr>
        <w:instrText xml:space="preserve"> PAGEREF _Toc31151 \h </w:instrText>
      </w:r>
      <w:r>
        <w:rPr>
          <w:color w:val="auto"/>
          <w:highlight w:val="none"/>
        </w:rPr>
        <w:fldChar w:fldCharType="separate"/>
      </w:r>
      <w:r>
        <w:rPr>
          <w:color w:val="auto"/>
          <w:highlight w:val="none"/>
        </w:rPr>
        <w:t>- 107 -</w:t>
      </w:r>
      <w:r>
        <w:rPr>
          <w:color w:val="auto"/>
          <w:highlight w:val="none"/>
        </w:rPr>
        <w:fldChar w:fldCharType="end"/>
      </w:r>
      <w:r>
        <w:rPr>
          <w:color w:val="auto"/>
          <w:highlight w:val="none"/>
        </w:rPr>
        <w:fldChar w:fldCharType="end"/>
      </w:r>
    </w:p>
    <w:p w14:paraId="5B49D2D3">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"_Toc13109" </w:instrText>
      </w:r>
      <w:r>
        <w:rPr>
          <w:color w:val="auto"/>
          <w:highlight w:val="none"/>
        </w:rPr>
        <w:fldChar w:fldCharType="separate"/>
      </w:r>
      <w:r>
        <w:rPr>
          <w:rFonts w:hint="eastAsia" w:ascii="宋体" w:hAnsi="宋体"/>
          <w:color w:val="auto"/>
          <w:highlight w:val="none"/>
        </w:rPr>
        <w:t>第七章 技术标准和要求(合同技术条款)</w:t>
      </w:r>
      <w:r>
        <w:rPr>
          <w:color w:val="auto"/>
          <w:highlight w:val="none"/>
        </w:rPr>
        <w:tab/>
      </w:r>
      <w:r>
        <w:rPr>
          <w:color w:val="auto"/>
          <w:highlight w:val="none"/>
        </w:rPr>
        <w:fldChar w:fldCharType="begin"/>
      </w:r>
      <w:r>
        <w:rPr>
          <w:color w:val="auto"/>
          <w:highlight w:val="none"/>
        </w:rPr>
        <w:instrText xml:space="preserve"> PAGEREF _Toc13109 \h </w:instrText>
      </w:r>
      <w:r>
        <w:rPr>
          <w:color w:val="auto"/>
          <w:highlight w:val="none"/>
        </w:rPr>
        <w:fldChar w:fldCharType="separate"/>
      </w:r>
      <w:r>
        <w:rPr>
          <w:color w:val="auto"/>
          <w:highlight w:val="none"/>
        </w:rPr>
        <w:t>- 108 -</w:t>
      </w:r>
      <w:r>
        <w:rPr>
          <w:color w:val="auto"/>
          <w:highlight w:val="none"/>
        </w:rPr>
        <w:fldChar w:fldCharType="end"/>
      </w:r>
      <w:r>
        <w:rPr>
          <w:color w:val="auto"/>
          <w:highlight w:val="none"/>
        </w:rPr>
        <w:fldChar w:fldCharType="end"/>
      </w:r>
    </w:p>
    <w:p w14:paraId="3A29CBA2">
      <w:pPr>
        <w:pStyle w:val="14"/>
        <w:tabs>
          <w:tab w:val="right" w:leader="dot" w:pos="8845"/>
        </w:tabs>
        <w:spacing w:before="0" w:after="0" w:line="280" w:lineRule="exact"/>
        <w:rPr>
          <w:color w:val="auto"/>
          <w:highlight w:val="none"/>
        </w:rPr>
      </w:pPr>
      <w:r>
        <w:rPr>
          <w:color w:val="auto"/>
          <w:highlight w:val="none"/>
        </w:rPr>
        <w:fldChar w:fldCharType="begin"/>
      </w:r>
      <w:r>
        <w:rPr>
          <w:color w:val="auto"/>
          <w:highlight w:val="none"/>
        </w:rPr>
        <w:instrText xml:space="preserve"> HYPERLINK \l "_Toc2667" </w:instrText>
      </w:r>
      <w:r>
        <w:rPr>
          <w:color w:val="auto"/>
          <w:highlight w:val="none"/>
        </w:rPr>
        <w:fldChar w:fldCharType="separate"/>
      </w:r>
      <w:r>
        <w:rPr>
          <w:rFonts w:hint="eastAsia" w:ascii="宋体" w:hAnsi="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_Toc2667 \h </w:instrText>
      </w:r>
      <w:r>
        <w:rPr>
          <w:color w:val="auto"/>
          <w:highlight w:val="none"/>
        </w:rPr>
        <w:fldChar w:fldCharType="separate"/>
      </w:r>
      <w:r>
        <w:rPr>
          <w:color w:val="auto"/>
          <w:highlight w:val="none"/>
        </w:rPr>
        <w:t>- 109 -</w:t>
      </w:r>
      <w:r>
        <w:rPr>
          <w:color w:val="auto"/>
          <w:highlight w:val="none"/>
        </w:rPr>
        <w:fldChar w:fldCharType="end"/>
      </w:r>
      <w:r>
        <w:rPr>
          <w:color w:val="auto"/>
          <w:highlight w:val="none"/>
        </w:rPr>
        <w:fldChar w:fldCharType="end"/>
      </w:r>
    </w:p>
    <w:p w14:paraId="7075DDAA">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"_Toc3169" </w:instrText>
      </w:r>
      <w:r>
        <w:rPr>
          <w:color w:val="auto"/>
          <w:highlight w:val="none"/>
        </w:rPr>
        <w:fldChar w:fldCharType="separate"/>
      </w:r>
      <w:r>
        <w:rPr>
          <w:rFonts w:hint="eastAsia" w:ascii="宋体" w:hAnsi="宋体" w:cs="宋体"/>
          <w:color w:val="auto"/>
          <w:szCs w:val="21"/>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_Toc3169 \h </w:instrText>
      </w:r>
      <w:r>
        <w:rPr>
          <w:color w:val="auto"/>
          <w:highlight w:val="none"/>
        </w:rPr>
        <w:fldChar w:fldCharType="separate"/>
      </w:r>
      <w:r>
        <w:rPr>
          <w:color w:val="auto"/>
          <w:highlight w:val="none"/>
        </w:rPr>
        <w:t>- 112 -</w:t>
      </w:r>
      <w:r>
        <w:rPr>
          <w:color w:val="auto"/>
          <w:highlight w:val="none"/>
        </w:rPr>
        <w:fldChar w:fldCharType="end"/>
      </w:r>
      <w:r>
        <w:rPr>
          <w:color w:val="auto"/>
          <w:highlight w:val="none"/>
        </w:rPr>
        <w:fldChar w:fldCharType="end"/>
      </w:r>
    </w:p>
    <w:p w14:paraId="74C5BE76">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"_Toc30440" </w:instrText>
      </w:r>
      <w:r>
        <w:rPr>
          <w:color w:val="auto"/>
          <w:highlight w:val="none"/>
        </w:rPr>
        <w:fldChar w:fldCharType="separate"/>
      </w:r>
      <w:r>
        <w:rPr>
          <w:rFonts w:ascii="宋体" w:hAnsi="宋体"/>
          <w:i w:val="0"/>
          <w:iCs w:val="0"/>
          <w:color w:val="auto"/>
          <w:szCs w:val="36"/>
          <w:highlight w:val="none"/>
        </w:rPr>
        <w:t>（一）投标函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_Toc30440 \h </w:instrText>
      </w:r>
      <w:r>
        <w:rPr>
          <w:i w:val="0"/>
          <w:iCs w:val="0"/>
          <w:color w:val="auto"/>
          <w:highlight w:val="none"/>
        </w:rPr>
        <w:fldChar w:fldCharType="separate"/>
      </w:r>
      <w:r>
        <w:rPr>
          <w:i w:val="0"/>
          <w:iCs w:val="0"/>
          <w:color w:val="auto"/>
          <w:highlight w:val="none"/>
        </w:rPr>
        <w:t>- 112 -</w:t>
      </w:r>
      <w:r>
        <w:rPr>
          <w:i w:val="0"/>
          <w:iCs w:val="0"/>
          <w:color w:val="auto"/>
          <w:highlight w:val="none"/>
        </w:rPr>
        <w:fldChar w:fldCharType="end"/>
      </w:r>
      <w:r>
        <w:rPr>
          <w:i w:val="0"/>
          <w:iCs w:val="0"/>
          <w:color w:val="auto"/>
          <w:highlight w:val="none"/>
        </w:rPr>
        <w:fldChar w:fldCharType="end"/>
      </w:r>
    </w:p>
    <w:p w14:paraId="6128B0DF">
      <w:pPr>
        <w:pStyle w:val="10"/>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"_Toc4237" </w:instrText>
      </w:r>
      <w:r>
        <w:rPr>
          <w:color w:val="auto"/>
          <w:highlight w:val="none"/>
        </w:rPr>
        <w:fldChar w:fldCharType="separate"/>
      </w:r>
      <w:r>
        <w:rPr>
          <w:rFonts w:ascii="宋体" w:hAnsi="宋体"/>
          <w:i w:val="0"/>
          <w:iCs w:val="0"/>
          <w:color w:val="auto"/>
          <w:szCs w:val="36"/>
          <w:highlight w:val="none"/>
        </w:rPr>
        <w:t>（二）投标函附录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_Toc4237 \h </w:instrText>
      </w:r>
      <w:r>
        <w:rPr>
          <w:i w:val="0"/>
          <w:iCs w:val="0"/>
          <w:color w:val="auto"/>
          <w:highlight w:val="none"/>
        </w:rPr>
        <w:fldChar w:fldCharType="separate"/>
      </w:r>
      <w:r>
        <w:rPr>
          <w:i w:val="0"/>
          <w:iCs w:val="0"/>
          <w:color w:val="auto"/>
          <w:highlight w:val="none"/>
        </w:rPr>
        <w:t>- 113 -</w:t>
      </w:r>
      <w:r>
        <w:rPr>
          <w:i w:val="0"/>
          <w:iCs w:val="0"/>
          <w:color w:val="auto"/>
          <w:highlight w:val="none"/>
        </w:rPr>
        <w:fldChar w:fldCharType="end"/>
      </w:r>
      <w:r>
        <w:rPr>
          <w:i w:val="0"/>
          <w:iCs w:val="0"/>
          <w:color w:val="auto"/>
          <w:highlight w:val="none"/>
        </w:rPr>
        <w:fldChar w:fldCharType="end"/>
      </w:r>
    </w:p>
    <w:p w14:paraId="71164C87">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"_Toc30883" </w:instrText>
      </w:r>
      <w:r>
        <w:rPr>
          <w:color w:val="auto"/>
          <w:highlight w:val="none"/>
        </w:rPr>
        <w:fldChar w:fldCharType="separate"/>
      </w:r>
      <w:r>
        <w:rPr>
          <w:rFonts w:hint="eastAsia" w:ascii="宋体" w:hAnsi="宋体" w:cs="宋体"/>
          <w:color w:val="auto"/>
          <w:szCs w:val="21"/>
          <w:highlight w:val="none"/>
        </w:rPr>
        <w:t>二、法定代表人身份证明或附有法定代表人身份证明的授权委托书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_Toc30883 \h </w:instrText>
      </w:r>
      <w:r>
        <w:rPr>
          <w:color w:val="auto"/>
          <w:highlight w:val="none"/>
        </w:rPr>
        <w:fldChar w:fldCharType="separate"/>
      </w:r>
      <w:r>
        <w:rPr>
          <w:color w:val="auto"/>
          <w:highlight w:val="none"/>
        </w:rPr>
        <w:t>- 114 -</w:t>
      </w:r>
      <w:r>
        <w:rPr>
          <w:color w:val="auto"/>
          <w:highlight w:val="none"/>
        </w:rPr>
        <w:fldChar w:fldCharType="end"/>
      </w:r>
      <w:r>
        <w:rPr>
          <w:color w:val="auto"/>
          <w:highlight w:val="none"/>
        </w:rPr>
        <w:fldChar w:fldCharType="end"/>
      </w:r>
    </w:p>
    <w:p w14:paraId="7F82B7FF">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"_Toc7998" </w:instrText>
      </w:r>
      <w:r>
        <w:rPr>
          <w:color w:val="auto"/>
          <w:highlight w:val="none"/>
        </w:rPr>
        <w:fldChar w:fldCharType="separate"/>
      </w:r>
      <w:r>
        <w:rPr>
          <w:rFonts w:hint="eastAsia" w:ascii="宋体" w:hAnsi="宋体"/>
          <w:i w:val="0"/>
          <w:iCs w:val="0"/>
          <w:color w:val="auto"/>
          <w:szCs w:val="36"/>
          <w:highlight w:val="none"/>
        </w:rPr>
        <w:t>（一）法定代表人身份证明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_Toc7998 \h </w:instrText>
      </w:r>
      <w:r>
        <w:rPr>
          <w:i w:val="0"/>
          <w:iCs w:val="0"/>
          <w:color w:val="auto"/>
          <w:highlight w:val="none"/>
        </w:rPr>
        <w:fldChar w:fldCharType="separate"/>
      </w:r>
      <w:r>
        <w:rPr>
          <w:i w:val="0"/>
          <w:iCs w:val="0"/>
          <w:color w:val="auto"/>
          <w:highlight w:val="none"/>
        </w:rPr>
        <w:t>- 114 -</w:t>
      </w:r>
      <w:r>
        <w:rPr>
          <w:i w:val="0"/>
          <w:iCs w:val="0"/>
          <w:color w:val="auto"/>
          <w:highlight w:val="none"/>
        </w:rPr>
        <w:fldChar w:fldCharType="end"/>
      </w:r>
      <w:r>
        <w:rPr>
          <w:i w:val="0"/>
          <w:iCs w:val="0"/>
          <w:color w:val="auto"/>
          <w:highlight w:val="none"/>
        </w:rPr>
        <w:fldChar w:fldCharType="end"/>
      </w:r>
    </w:p>
    <w:p w14:paraId="54D9B3A3">
      <w:pPr>
        <w:pStyle w:val="10"/>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"_Toc21769" </w:instrText>
      </w:r>
      <w:r>
        <w:rPr>
          <w:color w:val="auto"/>
          <w:highlight w:val="none"/>
        </w:rPr>
        <w:fldChar w:fldCharType="separate"/>
      </w:r>
      <w:r>
        <w:rPr>
          <w:rFonts w:hint="eastAsia" w:ascii="宋体" w:hAnsi="宋体"/>
          <w:i w:val="0"/>
          <w:iCs w:val="0"/>
          <w:color w:val="auto"/>
          <w:szCs w:val="28"/>
          <w:highlight w:val="none"/>
        </w:rPr>
        <w:t>（二）</w:t>
      </w:r>
      <w:r>
        <w:rPr>
          <w:rFonts w:ascii="宋体" w:hAnsi="宋体"/>
          <w:i w:val="0"/>
          <w:iCs w:val="0"/>
          <w:color w:val="auto"/>
          <w:szCs w:val="28"/>
          <w:highlight w:val="none"/>
        </w:rPr>
        <w:t>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_Toc21769 \h </w:instrText>
      </w:r>
      <w:r>
        <w:rPr>
          <w:i w:val="0"/>
          <w:iCs w:val="0"/>
          <w:color w:val="auto"/>
          <w:highlight w:val="none"/>
        </w:rPr>
        <w:fldChar w:fldCharType="separate"/>
      </w:r>
      <w:r>
        <w:rPr>
          <w:i w:val="0"/>
          <w:iCs w:val="0"/>
          <w:color w:val="auto"/>
          <w:highlight w:val="none"/>
        </w:rPr>
        <w:t>- 115 -</w:t>
      </w:r>
      <w:r>
        <w:rPr>
          <w:i w:val="0"/>
          <w:iCs w:val="0"/>
          <w:color w:val="auto"/>
          <w:highlight w:val="none"/>
        </w:rPr>
        <w:fldChar w:fldCharType="end"/>
      </w:r>
      <w:r>
        <w:rPr>
          <w:i w:val="0"/>
          <w:iCs w:val="0"/>
          <w:color w:val="auto"/>
          <w:highlight w:val="none"/>
        </w:rPr>
        <w:fldChar w:fldCharType="end"/>
      </w:r>
    </w:p>
    <w:p w14:paraId="3ECD53C0">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"_Toc9282" </w:instrText>
      </w:r>
      <w:r>
        <w:rPr>
          <w:color w:val="auto"/>
          <w:highlight w:val="none"/>
        </w:rPr>
        <w:fldChar w:fldCharType="separate"/>
      </w:r>
      <w:r>
        <w:rPr>
          <w:rFonts w:hint="eastAsia" w:ascii="宋体" w:hAnsi="宋体" w:cs="宋体"/>
          <w:color w:val="auto"/>
          <w:szCs w:val="21"/>
          <w:highlight w:val="none"/>
        </w:rPr>
        <w:t>三、投标保证金</w:t>
      </w:r>
      <w:r>
        <w:rPr>
          <w:color w:val="auto"/>
          <w:highlight w:val="none"/>
        </w:rPr>
        <w:tab/>
      </w:r>
      <w:r>
        <w:rPr>
          <w:color w:val="auto"/>
          <w:highlight w:val="none"/>
        </w:rPr>
        <w:fldChar w:fldCharType="begin"/>
      </w:r>
      <w:r>
        <w:rPr>
          <w:color w:val="auto"/>
          <w:highlight w:val="none"/>
        </w:rPr>
        <w:instrText xml:space="preserve"> PAGEREF _Toc9282 \h </w:instrText>
      </w:r>
      <w:r>
        <w:rPr>
          <w:color w:val="auto"/>
          <w:highlight w:val="none"/>
        </w:rPr>
        <w:fldChar w:fldCharType="separate"/>
      </w:r>
      <w:r>
        <w:rPr>
          <w:color w:val="auto"/>
          <w:highlight w:val="none"/>
        </w:rPr>
        <w:t>- 116 -</w:t>
      </w:r>
      <w:r>
        <w:rPr>
          <w:color w:val="auto"/>
          <w:highlight w:val="none"/>
        </w:rPr>
        <w:fldChar w:fldCharType="end"/>
      </w:r>
      <w:r>
        <w:rPr>
          <w:color w:val="auto"/>
          <w:highlight w:val="none"/>
        </w:rPr>
        <w:fldChar w:fldCharType="end"/>
      </w:r>
    </w:p>
    <w:p w14:paraId="6612B6ED">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"_Toc23673" </w:instrText>
      </w:r>
      <w:r>
        <w:rPr>
          <w:color w:val="auto"/>
          <w:highlight w:val="none"/>
        </w:rPr>
        <w:fldChar w:fldCharType="separate"/>
      </w:r>
      <w:r>
        <w:rPr>
          <w:rFonts w:hint="eastAsia" w:ascii="宋体" w:hAnsi="宋体" w:cs="宋体"/>
          <w:color w:val="auto"/>
          <w:szCs w:val="21"/>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_Toc23673 \h </w:instrText>
      </w:r>
      <w:r>
        <w:rPr>
          <w:color w:val="auto"/>
          <w:highlight w:val="none"/>
        </w:rPr>
        <w:fldChar w:fldCharType="separate"/>
      </w:r>
      <w:r>
        <w:rPr>
          <w:color w:val="auto"/>
          <w:highlight w:val="none"/>
        </w:rPr>
        <w:t>- 117 -</w:t>
      </w:r>
      <w:r>
        <w:rPr>
          <w:color w:val="auto"/>
          <w:highlight w:val="none"/>
        </w:rPr>
        <w:fldChar w:fldCharType="end"/>
      </w:r>
      <w:r>
        <w:rPr>
          <w:color w:val="auto"/>
          <w:highlight w:val="none"/>
        </w:rPr>
        <w:fldChar w:fldCharType="end"/>
      </w:r>
    </w:p>
    <w:p w14:paraId="77009B8E">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"_Toc6943" </w:instrText>
      </w:r>
      <w:r>
        <w:rPr>
          <w:color w:val="auto"/>
          <w:highlight w:val="none"/>
        </w:rPr>
        <w:fldChar w:fldCharType="separate"/>
      </w:r>
      <w:r>
        <w:rPr>
          <w:rFonts w:hint="eastAsia" w:ascii="宋体" w:hAnsi="宋体" w:cs="宋体"/>
          <w:i w:val="0"/>
          <w:iCs w:val="0"/>
          <w:color w:val="auto"/>
          <w:szCs w:val="28"/>
          <w:highlight w:val="none"/>
        </w:rPr>
        <w:t>（一）投标人基本情况表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_Toc6943 \h </w:instrText>
      </w:r>
      <w:r>
        <w:rPr>
          <w:i w:val="0"/>
          <w:iCs w:val="0"/>
          <w:color w:val="auto"/>
          <w:highlight w:val="none"/>
        </w:rPr>
        <w:fldChar w:fldCharType="separate"/>
      </w:r>
      <w:r>
        <w:rPr>
          <w:i w:val="0"/>
          <w:iCs w:val="0"/>
          <w:color w:val="auto"/>
          <w:highlight w:val="none"/>
        </w:rPr>
        <w:t>- 117 -</w:t>
      </w:r>
      <w:r>
        <w:rPr>
          <w:i w:val="0"/>
          <w:iCs w:val="0"/>
          <w:color w:val="auto"/>
          <w:highlight w:val="none"/>
        </w:rPr>
        <w:fldChar w:fldCharType="end"/>
      </w:r>
      <w:r>
        <w:rPr>
          <w:i w:val="0"/>
          <w:iCs w:val="0"/>
          <w:color w:val="auto"/>
          <w:highlight w:val="none"/>
        </w:rPr>
        <w:fldChar w:fldCharType="end"/>
      </w:r>
    </w:p>
    <w:p w14:paraId="6D5C8148">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"_Toc24188" </w:instrText>
      </w:r>
      <w:r>
        <w:rPr>
          <w:color w:val="auto"/>
          <w:highlight w:val="none"/>
        </w:rPr>
        <w:fldChar w:fldCharType="separate"/>
      </w:r>
      <w:r>
        <w:rPr>
          <w:rFonts w:hint="eastAsia" w:ascii="宋体" w:hAnsi="宋体" w:cs="宋体"/>
          <w:i w:val="0"/>
          <w:iCs w:val="0"/>
          <w:color w:val="auto"/>
          <w:szCs w:val="28"/>
          <w:highlight w:val="none"/>
        </w:rPr>
        <w:t>（二）项目管理机构组成表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_Toc24188 \h </w:instrText>
      </w:r>
      <w:r>
        <w:rPr>
          <w:i w:val="0"/>
          <w:iCs w:val="0"/>
          <w:color w:val="auto"/>
          <w:highlight w:val="none"/>
        </w:rPr>
        <w:fldChar w:fldCharType="separate"/>
      </w:r>
      <w:r>
        <w:rPr>
          <w:i w:val="0"/>
          <w:iCs w:val="0"/>
          <w:color w:val="auto"/>
          <w:highlight w:val="none"/>
        </w:rPr>
        <w:t>- 118 -</w:t>
      </w:r>
      <w:r>
        <w:rPr>
          <w:i w:val="0"/>
          <w:iCs w:val="0"/>
          <w:color w:val="auto"/>
          <w:highlight w:val="none"/>
        </w:rPr>
        <w:fldChar w:fldCharType="end"/>
      </w:r>
      <w:r>
        <w:rPr>
          <w:i w:val="0"/>
          <w:iCs w:val="0"/>
          <w:color w:val="auto"/>
          <w:highlight w:val="none"/>
        </w:rPr>
        <w:fldChar w:fldCharType="end"/>
      </w:r>
    </w:p>
    <w:p w14:paraId="10D89A2D">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"_Toc14060" </w:instrText>
      </w:r>
      <w:r>
        <w:rPr>
          <w:color w:val="auto"/>
          <w:highlight w:val="none"/>
        </w:rPr>
        <w:fldChar w:fldCharType="separate"/>
      </w:r>
      <w:r>
        <w:rPr>
          <w:rFonts w:hint="eastAsia" w:ascii="宋体" w:hAnsi="宋体" w:cs="宋体"/>
          <w:i w:val="0"/>
          <w:iCs w:val="0"/>
          <w:color w:val="auto"/>
          <w:szCs w:val="28"/>
          <w:highlight w:val="none"/>
        </w:rPr>
        <w:t>（三）主要人员简历表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_Toc14060 \h </w:instrText>
      </w:r>
      <w:r>
        <w:rPr>
          <w:i w:val="0"/>
          <w:iCs w:val="0"/>
          <w:color w:val="auto"/>
          <w:highlight w:val="none"/>
        </w:rPr>
        <w:fldChar w:fldCharType="separate"/>
      </w:r>
      <w:r>
        <w:rPr>
          <w:i w:val="0"/>
          <w:iCs w:val="0"/>
          <w:color w:val="auto"/>
          <w:highlight w:val="none"/>
        </w:rPr>
        <w:t>- 119 -</w:t>
      </w:r>
      <w:r>
        <w:rPr>
          <w:i w:val="0"/>
          <w:iCs w:val="0"/>
          <w:color w:val="auto"/>
          <w:highlight w:val="none"/>
        </w:rPr>
        <w:fldChar w:fldCharType="end"/>
      </w:r>
      <w:r>
        <w:rPr>
          <w:i w:val="0"/>
          <w:iCs w:val="0"/>
          <w:color w:val="auto"/>
          <w:highlight w:val="none"/>
        </w:rPr>
        <w:fldChar w:fldCharType="end"/>
      </w:r>
    </w:p>
    <w:p w14:paraId="609F5CEE">
      <w:pPr>
        <w:pStyle w:val="10"/>
        <w:tabs>
          <w:tab w:val="right" w:leader="dot" w:pos="8845"/>
        </w:tabs>
        <w:spacing w:line="280" w:lineRule="exact"/>
        <w:rPr>
          <w:i w:val="0"/>
          <w:iCs w:val="0"/>
          <w:color w:val="auto"/>
          <w:highlight w:val="none"/>
        </w:rPr>
      </w:pPr>
      <w:r>
        <w:rPr>
          <w:color w:val="auto"/>
          <w:highlight w:val="none"/>
        </w:rPr>
        <w:fldChar w:fldCharType="begin"/>
      </w:r>
      <w:r>
        <w:rPr>
          <w:color w:val="auto"/>
          <w:highlight w:val="none"/>
        </w:rPr>
        <w:instrText xml:space="preserve"> HYPERLINK \l "_Toc9396" </w:instrText>
      </w:r>
      <w:r>
        <w:rPr>
          <w:color w:val="auto"/>
          <w:highlight w:val="none"/>
        </w:rPr>
        <w:fldChar w:fldCharType="separate"/>
      </w:r>
      <w:r>
        <w:rPr>
          <w:rFonts w:hint="eastAsia" w:ascii="宋体" w:hAnsi="宋体" w:cs="宋体"/>
          <w:i w:val="0"/>
          <w:iCs w:val="0"/>
          <w:color w:val="auto"/>
          <w:szCs w:val="28"/>
          <w:highlight w:val="none"/>
        </w:rPr>
        <w:t>（四）近年完成的类似项目情况表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_Toc9396 \h </w:instrText>
      </w:r>
      <w:r>
        <w:rPr>
          <w:i w:val="0"/>
          <w:iCs w:val="0"/>
          <w:color w:val="auto"/>
          <w:highlight w:val="none"/>
        </w:rPr>
        <w:fldChar w:fldCharType="separate"/>
      </w:r>
      <w:r>
        <w:rPr>
          <w:i w:val="0"/>
          <w:iCs w:val="0"/>
          <w:color w:val="auto"/>
          <w:highlight w:val="none"/>
        </w:rPr>
        <w:t>- 120 -</w:t>
      </w:r>
      <w:r>
        <w:rPr>
          <w:i w:val="0"/>
          <w:iCs w:val="0"/>
          <w:color w:val="auto"/>
          <w:highlight w:val="none"/>
        </w:rPr>
        <w:fldChar w:fldCharType="end"/>
      </w:r>
      <w:r>
        <w:rPr>
          <w:i w:val="0"/>
          <w:iCs w:val="0"/>
          <w:color w:val="auto"/>
          <w:highlight w:val="none"/>
        </w:rPr>
        <w:fldChar w:fldCharType="end"/>
      </w:r>
    </w:p>
    <w:p w14:paraId="5CBCF339">
      <w:pPr>
        <w:pStyle w:val="10"/>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"_Toc6659" </w:instrText>
      </w:r>
      <w:r>
        <w:rPr>
          <w:color w:val="auto"/>
          <w:highlight w:val="none"/>
        </w:rPr>
        <w:fldChar w:fldCharType="separate"/>
      </w:r>
      <w:r>
        <w:rPr>
          <w:rFonts w:hint="eastAsia" w:ascii="宋体" w:hAnsi="宋体" w:cs="宋体"/>
          <w:i w:val="0"/>
          <w:iCs w:val="0"/>
          <w:color w:val="auto"/>
          <w:szCs w:val="28"/>
          <w:highlight w:val="none"/>
        </w:rPr>
        <w:t>（五）财务状况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_Toc6659 \h </w:instrText>
      </w:r>
      <w:r>
        <w:rPr>
          <w:i w:val="0"/>
          <w:iCs w:val="0"/>
          <w:color w:val="auto"/>
          <w:highlight w:val="none"/>
        </w:rPr>
        <w:fldChar w:fldCharType="separate"/>
      </w:r>
      <w:r>
        <w:rPr>
          <w:i w:val="0"/>
          <w:iCs w:val="0"/>
          <w:color w:val="auto"/>
          <w:highlight w:val="none"/>
        </w:rPr>
        <w:t>- 121 -</w:t>
      </w:r>
      <w:r>
        <w:rPr>
          <w:i w:val="0"/>
          <w:iCs w:val="0"/>
          <w:color w:val="auto"/>
          <w:highlight w:val="none"/>
        </w:rPr>
        <w:fldChar w:fldCharType="end"/>
      </w:r>
      <w:r>
        <w:rPr>
          <w:i w:val="0"/>
          <w:iCs w:val="0"/>
          <w:color w:val="auto"/>
          <w:highlight w:val="none"/>
        </w:rPr>
        <w:fldChar w:fldCharType="end"/>
      </w:r>
    </w:p>
    <w:p w14:paraId="57CBA69A">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"_Toc21072" </w:instrText>
      </w:r>
      <w:r>
        <w:rPr>
          <w:color w:val="auto"/>
          <w:highlight w:val="none"/>
        </w:rPr>
        <w:fldChar w:fldCharType="separate"/>
      </w:r>
      <w:r>
        <w:rPr>
          <w:rFonts w:hint="eastAsia" w:ascii="宋体" w:hAnsi="宋体"/>
          <w:color w:val="auto"/>
          <w:szCs w:val="28"/>
          <w:highlight w:val="none"/>
        </w:rPr>
        <w:t>五</w:t>
      </w:r>
      <w:r>
        <w:rPr>
          <w:rFonts w:ascii="宋体" w:hAnsi="宋体"/>
          <w:color w:val="auto"/>
          <w:szCs w:val="28"/>
          <w:highlight w:val="none"/>
        </w:rPr>
        <w:t>、其他</w:t>
      </w:r>
      <w:r>
        <w:rPr>
          <w:rFonts w:hint="eastAsia" w:ascii="宋体" w:hAnsi="宋体"/>
          <w:color w:val="auto"/>
          <w:szCs w:val="28"/>
          <w:highlight w:val="none"/>
        </w:rPr>
        <w:t>资</w:t>
      </w:r>
      <w:r>
        <w:rPr>
          <w:rFonts w:ascii="宋体" w:hAnsi="宋体"/>
          <w:color w:val="auto"/>
          <w:szCs w:val="28"/>
          <w:highlight w:val="none"/>
        </w:rPr>
        <w:t>料</w:t>
      </w:r>
      <w:r>
        <w:rPr>
          <w:color w:val="auto"/>
          <w:highlight w:val="none"/>
        </w:rPr>
        <w:tab/>
      </w:r>
      <w:r>
        <w:rPr>
          <w:color w:val="auto"/>
          <w:highlight w:val="none"/>
        </w:rPr>
        <w:fldChar w:fldCharType="begin"/>
      </w:r>
      <w:r>
        <w:rPr>
          <w:color w:val="auto"/>
          <w:highlight w:val="none"/>
        </w:rPr>
        <w:instrText xml:space="preserve"> PAGEREF _Toc21072 \h </w:instrText>
      </w:r>
      <w:r>
        <w:rPr>
          <w:color w:val="auto"/>
          <w:highlight w:val="none"/>
        </w:rPr>
        <w:fldChar w:fldCharType="separate"/>
      </w:r>
      <w:r>
        <w:rPr>
          <w:color w:val="auto"/>
          <w:highlight w:val="none"/>
        </w:rPr>
        <w:t>- 124 -</w:t>
      </w:r>
      <w:r>
        <w:rPr>
          <w:color w:val="auto"/>
          <w:highlight w:val="none"/>
        </w:rPr>
        <w:fldChar w:fldCharType="end"/>
      </w:r>
      <w:r>
        <w:rPr>
          <w:color w:val="auto"/>
          <w:highlight w:val="none"/>
        </w:rPr>
        <w:fldChar w:fldCharType="end"/>
      </w:r>
    </w:p>
    <w:p w14:paraId="3AC33411">
      <w:pPr>
        <w:pStyle w:val="15"/>
        <w:tabs>
          <w:tab w:val="right" w:leader="dot" w:pos="8845"/>
        </w:tabs>
        <w:spacing w:line="280" w:lineRule="exact"/>
        <w:rPr>
          <w:color w:val="auto"/>
          <w:highlight w:val="none"/>
        </w:rPr>
      </w:pPr>
      <w:r>
        <w:rPr>
          <w:color w:val="auto"/>
          <w:highlight w:val="none"/>
        </w:rPr>
        <w:fldChar w:fldCharType="begin"/>
      </w:r>
      <w:r>
        <w:rPr>
          <w:color w:val="auto"/>
          <w:highlight w:val="none"/>
        </w:rPr>
        <w:instrText xml:space="preserve"> HYPERLINK \l "_Toc9260" </w:instrText>
      </w:r>
      <w:r>
        <w:rPr>
          <w:color w:val="auto"/>
          <w:highlight w:val="none"/>
        </w:rPr>
        <w:fldChar w:fldCharType="separate"/>
      </w:r>
      <w:r>
        <w:rPr>
          <w:rFonts w:hint="eastAsia" w:ascii="宋体" w:hAnsi="宋体"/>
          <w:color w:val="auto"/>
          <w:szCs w:val="28"/>
          <w:highlight w:val="none"/>
        </w:rPr>
        <w:t>六、施工组织设计方案</w:t>
      </w:r>
      <w:r>
        <w:rPr>
          <w:color w:val="auto"/>
          <w:highlight w:val="none"/>
        </w:rPr>
        <w:tab/>
      </w:r>
      <w:r>
        <w:rPr>
          <w:color w:val="auto"/>
          <w:highlight w:val="none"/>
        </w:rPr>
        <w:fldChar w:fldCharType="begin"/>
      </w:r>
      <w:r>
        <w:rPr>
          <w:color w:val="auto"/>
          <w:highlight w:val="none"/>
        </w:rPr>
        <w:instrText xml:space="preserve"> PAGEREF _Toc9260 \h </w:instrText>
      </w:r>
      <w:r>
        <w:rPr>
          <w:color w:val="auto"/>
          <w:highlight w:val="none"/>
        </w:rPr>
        <w:fldChar w:fldCharType="separate"/>
      </w:r>
      <w:r>
        <w:rPr>
          <w:color w:val="auto"/>
          <w:highlight w:val="none"/>
        </w:rPr>
        <w:t>- 125 -</w:t>
      </w:r>
      <w:r>
        <w:rPr>
          <w:color w:val="auto"/>
          <w:highlight w:val="none"/>
        </w:rPr>
        <w:fldChar w:fldCharType="end"/>
      </w:r>
      <w:r>
        <w:rPr>
          <w:color w:val="auto"/>
          <w:highlight w:val="none"/>
        </w:rPr>
        <w:fldChar w:fldCharType="end"/>
      </w:r>
    </w:p>
    <w:p w14:paraId="6DB14D02">
      <w:pPr>
        <w:spacing w:line="280" w:lineRule="exact"/>
        <w:rPr>
          <w:rFonts w:hint="eastAsia" w:ascii="宋体" w:hAnsi="宋体"/>
          <w:color w:val="auto"/>
          <w:highlight w:val="none"/>
        </w:rPr>
      </w:pPr>
      <w:r>
        <w:rPr>
          <w:rFonts w:hint="eastAsia" w:ascii="宋体" w:hAnsi="宋体"/>
          <w:color w:val="auto"/>
          <w:highlight w:val="none"/>
        </w:rPr>
        <w:fldChar w:fldCharType="end"/>
      </w:r>
    </w:p>
    <w:bookmarkEnd w:id="8"/>
    <w:p w14:paraId="45E447F4">
      <w:pPr>
        <w:pStyle w:val="3"/>
        <w:jc w:val="center"/>
        <w:rPr>
          <w:rFonts w:hint="eastAsia" w:ascii="宋体" w:hAnsi="宋体" w:eastAsia="宋体"/>
          <w:color w:val="auto"/>
          <w:highlight w:val="none"/>
        </w:rPr>
        <w:sectPr>
          <w:footerReference r:id="rId3" w:type="default"/>
          <w:pgSz w:w="11907" w:h="16840"/>
          <w:pgMar w:top="1440" w:right="1531" w:bottom="1440" w:left="1531" w:header="851" w:footer="992" w:gutter="0"/>
          <w:pgNumType w:fmt="upperRoman" w:start="1"/>
          <w:cols w:space="720" w:num="1"/>
          <w:docGrid w:type="lines" w:linePitch="326" w:charSpace="0"/>
        </w:sectPr>
      </w:pPr>
      <w:bookmarkStart w:id="9" w:name="_Toc222029462"/>
      <w:bookmarkStart w:id="10" w:name="_Toc39698054"/>
      <w:bookmarkStart w:id="11" w:name="_Toc222030964"/>
      <w:bookmarkStart w:id="12" w:name="_Toc144974479"/>
      <w:bookmarkStart w:id="13" w:name="_Toc229408443"/>
      <w:bookmarkStart w:id="14" w:name="_Toc222032631"/>
      <w:bookmarkStart w:id="15" w:name="_Toc222033813"/>
      <w:bookmarkStart w:id="16" w:name="_Toc229305322"/>
      <w:bookmarkStart w:id="17" w:name="_Toc221949920"/>
      <w:bookmarkStart w:id="18" w:name="_Toc168476028"/>
      <w:bookmarkStart w:id="19" w:name="_Toc168475625"/>
    </w:p>
    <w:p w14:paraId="61A929CA">
      <w:pPr>
        <w:pStyle w:val="3"/>
        <w:keepNext w:val="0"/>
        <w:keepLines w:val="0"/>
        <w:wordWrap w:val="0"/>
        <w:topLinePunct/>
        <w:spacing w:before="65" w:beforeLines="20" w:after="65" w:afterLines="20" w:line="240" w:lineRule="auto"/>
        <w:jc w:val="center"/>
        <w:rPr>
          <w:rFonts w:hint="eastAsia" w:ascii="宋体" w:hAnsi="宋体" w:eastAsia="宋体" w:cs="宋体"/>
          <w:color w:val="auto"/>
          <w:kern w:val="0"/>
          <w:sz w:val="44"/>
          <w:highlight w:val="none"/>
          <w:lang w:val="zh-CN" w:bidi="zh-CN"/>
        </w:rPr>
      </w:pPr>
      <w:bookmarkStart w:id="20" w:name="_Toc23733_WPSOffice_Level1"/>
      <w:bookmarkStart w:id="21" w:name="_Toc2625"/>
      <w:bookmarkStart w:id="22" w:name="_Toc5226"/>
      <w:bookmarkStart w:id="23" w:name="_Toc30086"/>
      <w:bookmarkStart w:id="24" w:name="_Toc221"/>
      <w:bookmarkStart w:id="25" w:name="_Toc11761"/>
      <w:bookmarkStart w:id="26" w:name="_Toc24479"/>
      <w:bookmarkStart w:id="27" w:name="_Toc7244"/>
      <w:bookmarkStart w:id="28" w:name="_Toc517"/>
      <w:bookmarkStart w:id="29" w:name="_Toc5383"/>
      <w:bookmarkStart w:id="30" w:name="_Toc13428"/>
      <w:bookmarkStart w:id="31" w:name="_Toc22148"/>
      <w:bookmarkStart w:id="32" w:name="_Toc28706"/>
      <w:bookmarkStart w:id="33" w:name="_Toc5004"/>
      <w:r>
        <w:rPr>
          <w:rFonts w:ascii="宋体" w:hAnsi="宋体" w:eastAsia="宋体" w:cs="宋体"/>
          <w:color w:val="auto"/>
          <w:kern w:val="0"/>
          <w:sz w:val="44"/>
          <w:highlight w:val="none"/>
          <w:lang w:val="zh-CN" w:bidi="zh-CN"/>
        </w:rPr>
        <w:t>第一章招标公告</w:t>
      </w:r>
      <w:bookmarkEnd w:id="20"/>
      <w:bookmarkEnd w:id="21"/>
      <w:bookmarkEnd w:id="22"/>
      <w:bookmarkEnd w:id="23"/>
      <w:bookmarkEnd w:id="24"/>
      <w:bookmarkEnd w:id="25"/>
      <w:bookmarkEnd w:id="26"/>
    </w:p>
    <w:p w14:paraId="31B51588">
      <w:pPr>
        <w:jc w:val="center"/>
        <w:rPr>
          <w:b/>
          <w:bCs/>
          <w:color w:val="auto"/>
          <w:sz w:val="32"/>
          <w:szCs w:val="32"/>
          <w:highlight w:val="none"/>
        </w:rPr>
      </w:pPr>
      <w:r>
        <w:rPr>
          <w:rFonts w:hint="eastAsia"/>
          <w:b/>
          <w:bCs/>
          <w:color w:val="auto"/>
          <w:sz w:val="32"/>
          <w:szCs w:val="32"/>
          <w:highlight w:val="none"/>
        </w:rPr>
        <w:t>广东省工程建设项目招标公告</w:t>
      </w:r>
    </w:p>
    <w:tbl>
      <w:tblPr>
        <w:tblStyle w:val="17"/>
        <w:tblW w:w="53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972"/>
        <w:gridCol w:w="1187"/>
        <w:gridCol w:w="946"/>
        <w:gridCol w:w="3761"/>
      </w:tblGrid>
      <w:tr w14:paraId="5ADA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0B07D28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投资项目代码</w:t>
            </w:r>
          </w:p>
        </w:tc>
        <w:tc>
          <w:tcPr>
            <w:tcW w:w="4062" w:type="pct"/>
            <w:gridSpan w:val="4"/>
            <w:tcBorders>
              <w:tl2br w:val="nil"/>
              <w:tr2bl w:val="nil"/>
            </w:tcBorders>
            <w:vAlign w:val="center"/>
          </w:tcPr>
          <w:p w14:paraId="46237F5F">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2501-441322-04-01-363446、2501-441322-04-01-376755</w:t>
            </w:r>
          </w:p>
        </w:tc>
      </w:tr>
      <w:tr w14:paraId="4745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0092067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投资项目名称</w:t>
            </w:r>
          </w:p>
        </w:tc>
        <w:tc>
          <w:tcPr>
            <w:tcW w:w="4062" w:type="pct"/>
            <w:gridSpan w:val="4"/>
            <w:tcBorders>
              <w:tl2br w:val="nil"/>
              <w:tr2bl w:val="nil"/>
            </w:tcBorders>
            <w:vAlign w:val="center"/>
          </w:tcPr>
          <w:p w14:paraId="7D0F1929">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博罗县河肚水水系综合整治工程、博罗县澜石河水系综合整治工程</w:t>
            </w:r>
          </w:p>
        </w:tc>
      </w:tr>
      <w:tr w14:paraId="29E7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937" w:type="pct"/>
            <w:tcBorders>
              <w:tl2br w:val="nil"/>
              <w:tr2bl w:val="nil"/>
            </w:tcBorders>
            <w:vAlign w:val="center"/>
          </w:tcPr>
          <w:p w14:paraId="42BC31DC">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招标项目名称</w:t>
            </w:r>
          </w:p>
        </w:tc>
        <w:tc>
          <w:tcPr>
            <w:tcW w:w="4062" w:type="pct"/>
            <w:gridSpan w:val="4"/>
            <w:tcBorders>
              <w:tl2br w:val="nil"/>
              <w:tr2bl w:val="nil"/>
            </w:tcBorders>
            <w:vAlign w:val="center"/>
          </w:tcPr>
          <w:p w14:paraId="48D18BA7">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博罗县河肚水水系综合整治工程和博罗县澜石河水系综合整治工程施工（第二次招标）</w:t>
            </w:r>
          </w:p>
        </w:tc>
      </w:tr>
      <w:tr w14:paraId="5EED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2EF9B0DD">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标段（包）名称</w:t>
            </w:r>
          </w:p>
        </w:tc>
        <w:tc>
          <w:tcPr>
            <w:tcW w:w="1018" w:type="pct"/>
            <w:tcBorders>
              <w:tl2br w:val="nil"/>
              <w:tr2bl w:val="nil"/>
            </w:tcBorders>
            <w:vAlign w:val="center"/>
          </w:tcPr>
          <w:p w14:paraId="3C02C9B4">
            <w:pPr>
              <w:widowControl/>
              <w:spacing w:before="163" w:beforeLines="50" w:after="163" w:afterLines="50"/>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w:t>
            </w:r>
          </w:p>
        </w:tc>
        <w:tc>
          <w:tcPr>
            <w:tcW w:w="613" w:type="pct"/>
            <w:tcBorders>
              <w:tl2br w:val="nil"/>
              <w:tr2bl w:val="nil"/>
            </w:tcBorders>
            <w:vAlign w:val="center"/>
          </w:tcPr>
          <w:p w14:paraId="5200D9CD">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公告性质</w:t>
            </w:r>
          </w:p>
        </w:tc>
        <w:tc>
          <w:tcPr>
            <w:tcW w:w="2431" w:type="pct"/>
            <w:gridSpan w:val="2"/>
            <w:tcBorders>
              <w:tl2br w:val="nil"/>
              <w:tr2bl w:val="nil"/>
            </w:tcBorders>
            <w:vAlign w:val="center"/>
          </w:tcPr>
          <w:p w14:paraId="05B07E65">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正常</w:t>
            </w:r>
          </w:p>
        </w:tc>
      </w:tr>
      <w:tr w14:paraId="4A6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7" w:type="pct"/>
            <w:tcBorders>
              <w:tl2br w:val="nil"/>
              <w:tr2bl w:val="nil"/>
            </w:tcBorders>
            <w:vAlign w:val="center"/>
          </w:tcPr>
          <w:p w14:paraId="5B03210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资格审查方式</w:t>
            </w:r>
          </w:p>
        </w:tc>
        <w:tc>
          <w:tcPr>
            <w:tcW w:w="4062" w:type="pct"/>
            <w:gridSpan w:val="4"/>
            <w:tcBorders>
              <w:tl2br w:val="nil"/>
              <w:tr2bl w:val="nil"/>
            </w:tcBorders>
            <w:vAlign w:val="center"/>
          </w:tcPr>
          <w:p w14:paraId="22163E9E">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资格后审</w:t>
            </w:r>
          </w:p>
        </w:tc>
      </w:tr>
      <w:tr w14:paraId="0826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7" w:type="pct"/>
            <w:tcBorders>
              <w:tl2br w:val="nil"/>
              <w:tr2bl w:val="nil"/>
            </w:tcBorders>
            <w:vAlign w:val="center"/>
          </w:tcPr>
          <w:p w14:paraId="50F2D940">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招标项目实施（交货）地点</w:t>
            </w:r>
          </w:p>
        </w:tc>
        <w:tc>
          <w:tcPr>
            <w:tcW w:w="4062" w:type="pct"/>
            <w:gridSpan w:val="4"/>
            <w:tcBorders>
              <w:tl2br w:val="nil"/>
              <w:tr2bl w:val="nil"/>
            </w:tcBorders>
            <w:vAlign w:val="center"/>
          </w:tcPr>
          <w:p w14:paraId="0F854EA2">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惠州市博罗县</w:t>
            </w:r>
          </w:p>
        </w:tc>
      </w:tr>
      <w:tr w14:paraId="05FA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7" w:type="pct"/>
            <w:tcBorders>
              <w:tl2br w:val="nil"/>
              <w:tr2bl w:val="nil"/>
            </w:tcBorders>
            <w:vAlign w:val="center"/>
          </w:tcPr>
          <w:p w14:paraId="43BBB778">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资金来源</w:t>
            </w:r>
          </w:p>
        </w:tc>
        <w:tc>
          <w:tcPr>
            <w:tcW w:w="1018" w:type="pct"/>
            <w:tcBorders>
              <w:tl2br w:val="nil"/>
              <w:tr2bl w:val="nil"/>
            </w:tcBorders>
            <w:vAlign w:val="center"/>
          </w:tcPr>
          <w:p w14:paraId="137A492B">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rPr>
              <w:t>财政资金</w:t>
            </w:r>
          </w:p>
        </w:tc>
        <w:tc>
          <w:tcPr>
            <w:tcW w:w="613" w:type="pct"/>
            <w:tcBorders>
              <w:tl2br w:val="nil"/>
              <w:tr2bl w:val="nil"/>
            </w:tcBorders>
            <w:vAlign w:val="center"/>
          </w:tcPr>
          <w:p w14:paraId="5555B08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资金来源构成</w:t>
            </w:r>
          </w:p>
        </w:tc>
        <w:tc>
          <w:tcPr>
            <w:tcW w:w="2431" w:type="pct"/>
            <w:gridSpan w:val="2"/>
            <w:tcBorders>
              <w:tl2br w:val="nil"/>
              <w:tr2bl w:val="nil"/>
            </w:tcBorders>
            <w:vAlign w:val="center"/>
          </w:tcPr>
          <w:p w14:paraId="536287A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除申请专项债券和上级资金补助外，不足部分由县财政统筹安排。</w:t>
            </w:r>
          </w:p>
        </w:tc>
      </w:tr>
      <w:tr w14:paraId="3F5A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37" w:type="pct"/>
            <w:tcBorders>
              <w:tl2br w:val="nil"/>
              <w:tr2bl w:val="nil"/>
            </w:tcBorders>
            <w:vAlign w:val="center"/>
          </w:tcPr>
          <w:p w14:paraId="67FB0786">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招标范围及规模</w:t>
            </w:r>
          </w:p>
        </w:tc>
        <w:tc>
          <w:tcPr>
            <w:tcW w:w="4062" w:type="pct"/>
            <w:gridSpan w:val="4"/>
            <w:tcBorders>
              <w:tl2br w:val="nil"/>
              <w:tr2bl w:val="nil"/>
            </w:tcBorders>
            <w:vAlign w:val="center"/>
          </w:tcPr>
          <w:p w14:paraId="245C95D8">
            <w:pPr>
              <w:wordWrap w:val="0"/>
              <w:topLinePunct/>
              <w:spacing w:before="163" w:beforeLines="50" w:after="163" w:afterLines="50"/>
              <w:jc w:val="left"/>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博罗县河肚水水系综合整治工程治理河段长度</w:t>
            </w:r>
            <w:r>
              <w:rPr>
                <w:rFonts w:hint="eastAsia" w:ascii="宋体" w:hAnsi="宋体" w:cs="宋体"/>
                <w:color w:val="auto"/>
                <w:sz w:val="24"/>
                <w:highlight w:val="none"/>
                <w:lang w:val="en-US" w:eastAsia="zh-CN"/>
              </w:rPr>
              <w:t>共计</w:t>
            </w:r>
            <w:r>
              <w:rPr>
                <w:rFonts w:hint="eastAsia" w:ascii="宋体" w:hAnsi="宋体" w:cs="宋体"/>
                <w:b w:val="0"/>
                <w:bCs w:val="0"/>
                <w:color w:val="auto"/>
                <w:sz w:val="24"/>
                <w:highlight w:val="none"/>
              </w:rPr>
              <w:t>4.95km</w:t>
            </w:r>
            <w:r>
              <w:rPr>
                <w:rFonts w:hint="eastAsia" w:ascii="宋体" w:hAnsi="宋体" w:cs="宋体"/>
                <w:color w:val="auto"/>
                <w:sz w:val="24"/>
                <w:highlight w:val="none"/>
                <w:lang w:eastAsia="zh-CN"/>
              </w:rPr>
              <w:t>，</w:t>
            </w:r>
            <w:r>
              <w:rPr>
                <w:rFonts w:hint="eastAsia" w:ascii="宋体" w:hAnsi="宋体" w:cs="宋体"/>
                <w:color w:val="auto"/>
                <w:sz w:val="24"/>
                <w:highlight w:val="none"/>
              </w:rPr>
              <w:t>工程等别为V等，</w:t>
            </w:r>
            <w:r>
              <w:rPr>
                <w:rFonts w:hint="eastAsia" w:ascii="宋体" w:hAnsi="宋体" w:cs="宋体"/>
                <w:color w:val="auto"/>
                <w:sz w:val="24"/>
                <w:highlight w:val="none"/>
                <w:lang w:val="en-US" w:eastAsia="zh-CN"/>
              </w:rPr>
              <w:t>工程规模属小（2）型工程，</w:t>
            </w:r>
            <w:r>
              <w:rPr>
                <w:rFonts w:hint="eastAsia" w:ascii="宋体" w:hAnsi="宋体" w:cs="宋体"/>
                <w:color w:val="auto"/>
                <w:sz w:val="24"/>
                <w:highlight w:val="none"/>
              </w:rPr>
              <w:t>主要建筑物级别为5级，次要建筑物级别为5级，</w:t>
            </w:r>
            <w:r>
              <w:rPr>
                <w:rFonts w:hint="eastAsia" w:ascii="宋体" w:hAnsi="宋体" w:cs="宋体"/>
                <w:color w:val="auto"/>
                <w:sz w:val="24"/>
                <w:highlight w:val="none"/>
                <w:lang w:val="en-US" w:eastAsia="zh-CN"/>
              </w:rPr>
              <w:t>临时建筑物级别</w:t>
            </w:r>
            <w:r>
              <w:rPr>
                <w:rFonts w:hint="eastAsia" w:ascii="宋体" w:hAnsi="宋体" w:cs="宋体"/>
                <w:color w:val="auto"/>
                <w:sz w:val="24"/>
                <w:highlight w:val="none"/>
              </w:rPr>
              <w:t>为5级</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主要工程措施</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河道清淤疏浚、护岸</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、水陂改造</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、灌溉</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及水生态治理工程等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其中气盾闸设备由招标人进行设备采购，中标单位负责安装</w:t>
            </w:r>
            <w:r>
              <w:rPr>
                <w:rFonts w:hint="eastAsia" w:ascii="宋体" w:hAnsi="宋体" w:cs="宋体"/>
                <w:color w:val="auto"/>
                <w:sz w:val="24"/>
                <w:highlight w:val="none"/>
              </w:rPr>
              <w:t>。</w:t>
            </w:r>
          </w:p>
          <w:p w14:paraId="0EED441B">
            <w:pPr>
              <w:wordWrap w:val="0"/>
              <w:topLinePunct/>
              <w:spacing w:before="163" w:beforeLines="50" w:after="163" w:afterLines="50"/>
              <w:jc w:val="left"/>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博罗县澜石河水系综合整治工程治理河段长度共计</w:t>
            </w:r>
            <w:r>
              <w:rPr>
                <w:rFonts w:hint="eastAsia" w:ascii="宋体" w:hAnsi="宋体" w:cs="宋体"/>
                <w:b w:val="0"/>
                <w:bCs w:val="0"/>
                <w:color w:val="auto"/>
                <w:sz w:val="24"/>
                <w:highlight w:val="none"/>
              </w:rPr>
              <w:t>3.83km</w:t>
            </w:r>
            <w:r>
              <w:rPr>
                <w:rFonts w:hint="eastAsia" w:ascii="宋体" w:hAnsi="宋体" w:cs="宋体"/>
                <w:b w:val="0"/>
                <w:bCs w:val="0"/>
                <w:color w:val="auto"/>
                <w:sz w:val="24"/>
                <w:highlight w:val="none"/>
                <w:lang w:eastAsia="zh-CN"/>
              </w:rPr>
              <w:t>，</w:t>
            </w:r>
            <w:r>
              <w:rPr>
                <w:rFonts w:hint="eastAsia" w:ascii="宋体" w:hAnsi="宋体" w:cs="宋体"/>
                <w:color w:val="auto"/>
                <w:sz w:val="24"/>
                <w:highlight w:val="none"/>
              </w:rPr>
              <w:t>工程等别为V等，</w:t>
            </w:r>
            <w:r>
              <w:rPr>
                <w:rFonts w:hint="eastAsia" w:ascii="宋体" w:hAnsi="宋体" w:cs="宋体"/>
                <w:color w:val="auto"/>
                <w:sz w:val="24"/>
                <w:highlight w:val="none"/>
                <w:lang w:val="en-US" w:eastAsia="zh-CN"/>
              </w:rPr>
              <w:t>工程规模属小（2）型工程，</w:t>
            </w:r>
            <w:r>
              <w:rPr>
                <w:rFonts w:hint="eastAsia" w:ascii="宋体" w:hAnsi="宋体" w:cs="宋体"/>
                <w:color w:val="auto"/>
                <w:sz w:val="24"/>
                <w:highlight w:val="none"/>
              </w:rPr>
              <w:t>主要建筑物级别为5级，次要建筑物级别为5级，</w:t>
            </w:r>
            <w:r>
              <w:rPr>
                <w:rFonts w:hint="eastAsia" w:ascii="宋体" w:hAnsi="宋体" w:cs="宋体"/>
                <w:color w:val="auto"/>
                <w:sz w:val="24"/>
                <w:highlight w:val="none"/>
                <w:lang w:val="en-US" w:eastAsia="zh-CN"/>
              </w:rPr>
              <w:t>临时建筑物级别</w:t>
            </w:r>
            <w:r>
              <w:rPr>
                <w:rFonts w:hint="eastAsia" w:ascii="宋体" w:hAnsi="宋体" w:cs="宋体"/>
                <w:color w:val="auto"/>
                <w:sz w:val="24"/>
                <w:highlight w:val="none"/>
              </w:rPr>
              <w:t>为5级</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主要工程措施为河道清淤疏浚、护岸工程、水陂改造工程及水生态治理工程等。</w:t>
            </w:r>
          </w:p>
        </w:tc>
      </w:tr>
      <w:tr w14:paraId="349A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0E38EFD9">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招标内容</w:t>
            </w:r>
          </w:p>
        </w:tc>
        <w:tc>
          <w:tcPr>
            <w:tcW w:w="4062" w:type="pct"/>
            <w:gridSpan w:val="4"/>
            <w:tcBorders>
              <w:tl2br w:val="nil"/>
              <w:tr2bl w:val="nil"/>
            </w:tcBorders>
            <w:vAlign w:val="center"/>
          </w:tcPr>
          <w:p w14:paraId="395608C3">
            <w:pPr>
              <w:widowControl/>
              <w:spacing w:before="163" w:beforeLines="50" w:after="163" w:afterLines="5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主要实施内容：按招标人提供的施工图和有关资料及说明，工作内容包括博罗县河肚水水系综合整治工程和博罗县澜石河水系综合整治工程的施工及保修工作（具体施工内容以招标人提供的有关资料为准）。</w:t>
            </w:r>
          </w:p>
        </w:tc>
      </w:tr>
      <w:tr w14:paraId="2623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3653B09F">
            <w:pPr>
              <w:widowControl/>
              <w:spacing w:before="163" w:beforeLines="50" w:after="163" w:afterLines="50"/>
              <w:jc w:val="right"/>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工期（交货期）</w:t>
            </w:r>
          </w:p>
        </w:tc>
        <w:tc>
          <w:tcPr>
            <w:tcW w:w="4062" w:type="pct"/>
            <w:gridSpan w:val="4"/>
            <w:tcBorders>
              <w:tl2br w:val="nil"/>
              <w:tr2bl w:val="nil"/>
            </w:tcBorders>
            <w:vAlign w:val="center"/>
          </w:tcPr>
          <w:p w14:paraId="43AB8540">
            <w:pPr>
              <w:widowControl/>
              <w:spacing w:before="163" w:beforeLines="50" w:after="163" w:afterLines="50"/>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暂定为365日历天（具体时间以签订合同为准）。</w:t>
            </w:r>
          </w:p>
        </w:tc>
      </w:tr>
      <w:tr w14:paraId="71E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436F8E53">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最高投标限价</w:t>
            </w:r>
          </w:p>
        </w:tc>
        <w:tc>
          <w:tcPr>
            <w:tcW w:w="4062" w:type="pct"/>
            <w:gridSpan w:val="4"/>
            <w:tcBorders>
              <w:tl2br w:val="nil"/>
              <w:tr2bl w:val="nil"/>
            </w:tcBorders>
            <w:vAlign w:val="center"/>
          </w:tcPr>
          <w:p w14:paraId="128C24CE">
            <w:pPr>
              <w:pStyle w:val="2"/>
              <w:rPr>
                <w:rFonts w:hint="eastAsia"/>
                <w:color w:val="auto"/>
                <w:highlight w:val="none"/>
              </w:rPr>
            </w:pPr>
            <w:r>
              <w:rPr>
                <w:rFonts w:hint="eastAsia" w:ascii="宋体" w:hAnsi="宋体" w:eastAsia="宋体" w:cs="宋体"/>
                <w:color w:val="auto"/>
                <w:spacing w:val="0"/>
                <w:sz w:val="24"/>
                <w:szCs w:val="24"/>
                <w:highlight w:val="none"/>
                <w:lang w:val="en-US" w:eastAsia="zh-CN"/>
              </w:rPr>
              <w:t>本次招标最高投标限价为</w:t>
            </w:r>
            <w:r>
              <w:rPr>
                <w:rFonts w:hint="eastAsia" w:ascii="宋体" w:hAnsi="宋体" w:cs="宋体"/>
                <w:color w:val="auto"/>
                <w:sz w:val="24"/>
                <w:highlight w:val="none"/>
                <w:lang w:eastAsia="zh-CN"/>
              </w:rPr>
              <w:t>8980.00</w:t>
            </w:r>
            <w:r>
              <w:rPr>
                <w:rFonts w:hint="eastAsia" w:ascii="宋体" w:hAnsi="宋体" w:eastAsia="宋体" w:cs="宋体"/>
                <w:color w:val="auto"/>
                <w:spacing w:val="0"/>
                <w:sz w:val="24"/>
                <w:szCs w:val="24"/>
                <w:highlight w:val="none"/>
                <w:lang w:val="en-US" w:eastAsia="zh-CN"/>
              </w:rPr>
              <w:t>万元，其中博罗县河肚水水系综合整治工程施工最高投标限价：</w:t>
            </w:r>
            <w:r>
              <w:rPr>
                <w:rFonts w:hint="eastAsia" w:ascii="宋体" w:hAnsi="宋体" w:cs="宋体"/>
                <w:color w:val="auto"/>
                <w:sz w:val="24"/>
                <w:highlight w:val="none"/>
                <w:lang w:val="en-US" w:eastAsia="zh-CN"/>
              </w:rPr>
              <w:t>4780.00</w:t>
            </w:r>
            <w:r>
              <w:rPr>
                <w:rFonts w:hint="eastAsia" w:ascii="宋体" w:hAnsi="宋体" w:eastAsia="宋体" w:cs="宋体"/>
                <w:color w:val="auto"/>
                <w:spacing w:val="0"/>
                <w:sz w:val="24"/>
                <w:szCs w:val="24"/>
                <w:highlight w:val="none"/>
                <w:lang w:val="en-US" w:eastAsia="zh-CN"/>
              </w:rPr>
              <w:t>万元，博罗县澜石河水系综合整治工程施工最高投标限价：</w:t>
            </w:r>
            <w:r>
              <w:rPr>
                <w:rFonts w:hint="eastAsia" w:ascii="宋体" w:hAnsi="宋体" w:cs="宋体"/>
                <w:color w:val="auto"/>
                <w:sz w:val="24"/>
                <w:highlight w:val="none"/>
              </w:rPr>
              <w:t>42</w:t>
            </w:r>
            <w:bookmarkStart w:id="1546" w:name="_GoBack"/>
            <w:bookmarkEnd w:id="1546"/>
            <w:r>
              <w:rPr>
                <w:rFonts w:hint="eastAsia" w:ascii="宋体" w:hAnsi="宋体" w:cs="宋体"/>
                <w:color w:val="auto"/>
                <w:sz w:val="24"/>
                <w:highlight w:val="none"/>
              </w:rPr>
              <w:t>00</w:t>
            </w:r>
            <w:r>
              <w:rPr>
                <w:rFonts w:hint="eastAsia" w:ascii="宋体" w:hAnsi="宋体" w:cs="宋体"/>
                <w:color w:val="auto"/>
                <w:sz w:val="24"/>
                <w:highlight w:val="none"/>
                <w:lang w:val="en-US" w:eastAsia="zh-CN"/>
              </w:rPr>
              <w:t>.00</w:t>
            </w:r>
            <w:r>
              <w:rPr>
                <w:rFonts w:hint="eastAsia" w:ascii="宋体" w:hAnsi="宋体" w:eastAsia="宋体" w:cs="宋体"/>
                <w:color w:val="auto"/>
                <w:spacing w:val="0"/>
                <w:sz w:val="24"/>
                <w:szCs w:val="24"/>
                <w:highlight w:val="none"/>
                <w:lang w:val="en-US" w:eastAsia="zh-CN"/>
              </w:rPr>
              <w:t>万元。</w:t>
            </w:r>
          </w:p>
        </w:tc>
      </w:tr>
      <w:tr w14:paraId="08C2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7" w:type="pct"/>
            <w:tcBorders>
              <w:tl2br w:val="nil"/>
              <w:tr2bl w:val="nil"/>
            </w:tcBorders>
            <w:vAlign w:val="center"/>
          </w:tcPr>
          <w:p w14:paraId="59D303FB">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是否接受联合体投标</w:t>
            </w:r>
          </w:p>
        </w:tc>
        <w:tc>
          <w:tcPr>
            <w:tcW w:w="4062" w:type="pct"/>
            <w:gridSpan w:val="4"/>
            <w:tcBorders>
              <w:tl2br w:val="nil"/>
              <w:tr2bl w:val="nil"/>
            </w:tcBorders>
            <w:vAlign w:val="center"/>
          </w:tcPr>
          <w:p w14:paraId="0F4C9A2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否</w:t>
            </w:r>
          </w:p>
        </w:tc>
      </w:tr>
      <w:tr w14:paraId="17C8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tcBorders>
              <w:tl2br w:val="nil"/>
              <w:tr2bl w:val="nil"/>
            </w:tcBorders>
            <w:vAlign w:val="center"/>
          </w:tcPr>
          <w:p w14:paraId="3AD37FD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投标资格能力要求（包括但不限于资质人员、业绩等要求）</w:t>
            </w:r>
          </w:p>
        </w:tc>
        <w:tc>
          <w:tcPr>
            <w:tcW w:w="1018" w:type="pct"/>
            <w:tcBorders>
              <w:tl2br w:val="nil"/>
              <w:tr2bl w:val="nil"/>
            </w:tcBorders>
            <w:vAlign w:val="center"/>
          </w:tcPr>
          <w:p w14:paraId="5EDD7290">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投标人资格要求</w:t>
            </w:r>
          </w:p>
        </w:tc>
        <w:tc>
          <w:tcPr>
            <w:tcW w:w="3044" w:type="pct"/>
            <w:gridSpan w:val="3"/>
            <w:tcBorders>
              <w:tl2br w:val="nil"/>
              <w:tr2bl w:val="nil"/>
            </w:tcBorders>
            <w:vAlign w:val="center"/>
          </w:tcPr>
          <w:p w14:paraId="7080F55F">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1.投标人必须为在中华人民共和国境内注册，在法律、财务上独立，合法运作的独立法人。</w:t>
            </w:r>
          </w:p>
          <w:p w14:paraId="1E522F68">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2.企业资质要求：</w:t>
            </w:r>
            <w:r>
              <w:rPr>
                <w:rFonts w:hint="eastAsia" w:ascii="宋体" w:hAnsi="宋体"/>
                <w:color w:val="auto"/>
                <w:sz w:val="24"/>
                <w:highlight w:val="none"/>
              </w:rPr>
              <w:t>投标人须具备水利水电工程施工总承包贰级或以上资质，并取得建设行政主管部门颁发的在有效期内的安全生产许可证。</w:t>
            </w:r>
          </w:p>
          <w:p w14:paraId="51F15FDA">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3.拟投入的项目管理班子成员要求：</w:t>
            </w:r>
          </w:p>
          <w:p w14:paraId="33F71B71">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3.1项目负责人2人，具有水利水电工程专业二级或以上建造师注册证书及水行政主管部门颁发的B类安全生产考核合格证书，在投标人本单位注册，未承担其他在建工程；</w:t>
            </w:r>
          </w:p>
          <w:p w14:paraId="29E49173">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3.2技术负责人2人，具有水利类专业中级或以上工程师职称；</w:t>
            </w:r>
          </w:p>
          <w:p w14:paraId="40ACA29F">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3.3安全员2人，均具有水行政主管部门颁发的有效期内的安全考核合格证书（C类）；</w:t>
            </w:r>
          </w:p>
          <w:p w14:paraId="39E7904B">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3.4施工员2人、质检员2人、资料员2人、材料员2人，具有中国水利工程协会或水行政主管部门颁发的相应岗位证书；</w:t>
            </w:r>
          </w:p>
          <w:p w14:paraId="0397619F">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3.5安全负责人1人，应持有注册安全工程师执业证，注册类别为建筑施工安全</w:t>
            </w:r>
            <w:r>
              <w:rPr>
                <w:rFonts w:hint="eastAsia" w:hAnsi="宋体"/>
                <w:color w:val="auto"/>
                <w:sz w:val="24"/>
                <w:highlight w:val="none"/>
              </w:rPr>
              <w:t>或其他安全（不含消防安全）</w:t>
            </w:r>
            <w:r>
              <w:rPr>
                <w:rFonts w:hint="eastAsia" w:ascii="宋体" w:hAnsi="宋体"/>
                <w:color w:val="auto"/>
                <w:sz w:val="24"/>
                <w:highlight w:val="none"/>
              </w:rPr>
              <w:t>，并提供注册安全工程师注册管理系统查询结果截图；或者具有水行政主管部门颁发的B类安全生产考核合格证；</w:t>
            </w:r>
          </w:p>
          <w:p w14:paraId="6188B21A">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3.6造价人员1人，具有水利工程专业的中华人民共和国二级（或以上）造价工程师注册证书；</w:t>
            </w:r>
          </w:p>
          <w:p w14:paraId="54258921">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3.7财务负责人1人，具有初级（或以上）会计专业技术资格证书；</w:t>
            </w:r>
          </w:p>
          <w:p w14:paraId="3F0A903A">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3.8上述人员提供身份证扫描件及近三个月（2025年</w:t>
            </w:r>
            <w:r>
              <w:rPr>
                <w:rFonts w:hint="eastAsia" w:ascii="宋体" w:hAnsi="宋体"/>
                <w:color w:val="auto"/>
                <w:sz w:val="24"/>
                <w:highlight w:val="none"/>
                <w:lang w:val="en-US" w:eastAsia="zh-CN"/>
              </w:rPr>
              <w:t>0</w:t>
            </w:r>
            <w:r>
              <w:rPr>
                <w:rFonts w:hint="eastAsia" w:ascii="宋体" w:hAnsi="宋体"/>
                <w:color w:val="auto"/>
                <w:sz w:val="24"/>
                <w:highlight w:val="none"/>
              </w:rPr>
              <w:t>2月至2025年</w:t>
            </w:r>
            <w:r>
              <w:rPr>
                <w:rFonts w:hint="eastAsia" w:ascii="宋体" w:hAnsi="宋体"/>
                <w:color w:val="auto"/>
                <w:sz w:val="24"/>
                <w:highlight w:val="none"/>
                <w:lang w:val="en-US" w:eastAsia="zh-CN"/>
              </w:rPr>
              <w:t>0</w:t>
            </w:r>
            <w:r>
              <w:rPr>
                <w:rFonts w:hint="eastAsia" w:ascii="宋体" w:hAnsi="宋体"/>
                <w:color w:val="auto"/>
                <w:sz w:val="24"/>
                <w:highlight w:val="none"/>
              </w:rPr>
              <w:t>4月）在投标单位（含分支机构）的社保证明，且不可兼任于其他岗位（必须按一人一岗配置），各投标人可根据自身条件和工程实际情况增加和增派相关专业人员。</w:t>
            </w:r>
          </w:p>
          <w:p w14:paraId="62057833">
            <w:pPr>
              <w:wordWrap w:val="0"/>
              <w:topLinePunct/>
              <w:adjustRightInd w:val="0"/>
              <w:spacing w:line="276" w:lineRule="auto"/>
              <w:textAlignment w:val="baseline"/>
              <w:rPr>
                <w:rFonts w:hint="eastAsia" w:ascii="宋体" w:hAnsi="宋体" w:eastAsia="宋体"/>
                <w:color w:val="auto"/>
                <w:sz w:val="24"/>
                <w:highlight w:val="none"/>
                <w:lang w:eastAsia="zh-CN"/>
              </w:rPr>
            </w:pPr>
            <w:r>
              <w:rPr>
                <w:rFonts w:hint="eastAsia" w:ascii="宋体" w:hAnsi="宋体"/>
                <w:b/>
                <w:bCs/>
                <w:color w:val="auto"/>
                <w:sz w:val="24"/>
                <w:highlight w:val="none"/>
              </w:rPr>
              <w:t>4.财务要求：</w:t>
            </w:r>
            <w:r>
              <w:rPr>
                <w:rFonts w:hint="eastAsia" w:ascii="宋体" w:hAnsi="宋体"/>
                <w:color w:val="auto"/>
                <w:sz w:val="24"/>
                <w:highlight w:val="none"/>
                <w:lang w:val="en-US" w:eastAsia="zh-CN"/>
              </w:rPr>
              <w:t>/</w:t>
            </w:r>
          </w:p>
          <w:p w14:paraId="06E12E1F">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5.信誉要求：</w:t>
            </w:r>
          </w:p>
          <w:p w14:paraId="07B31CD4">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5.1自2022年</w:t>
            </w:r>
            <w:r>
              <w:rPr>
                <w:rFonts w:hint="eastAsia" w:ascii="宋体" w:hAnsi="宋体"/>
                <w:color w:val="auto"/>
                <w:sz w:val="24"/>
                <w:highlight w:val="none"/>
                <w:lang w:val="en-US" w:eastAsia="zh-CN"/>
              </w:rPr>
              <w:t>0</w:t>
            </w:r>
            <w:r>
              <w:rPr>
                <w:rFonts w:hint="eastAsia" w:ascii="宋体" w:hAnsi="宋体"/>
                <w:color w:val="auto"/>
                <w:sz w:val="24"/>
                <w:highlight w:val="none"/>
              </w:rPr>
              <w:t>5月</w:t>
            </w:r>
            <w:r>
              <w:rPr>
                <w:rFonts w:hint="eastAsia" w:ascii="宋体" w:hAnsi="宋体"/>
                <w:color w:val="auto"/>
                <w:sz w:val="24"/>
                <w:highlight w:val="none"/>
                <w:lang w:val="en-US" w:eastAsia="zh-CN"/>
              </w:rPr>
              <w:t>0</w:t>
            </w:r>
            <w:r>
              <w:rPr>
                <w:rFonts w:hint="eastAsia" w:ascii="宋体" w:hAnsi="宋体"/>
                <w:color w:val="auto"/>
                <w:sz w:val="24"/>
                <w:highlight w:val="none"/>
              </w:rPr>
              <w:t>1日以来没有骗取中标或严重违约，经营中无重大安全生产事故或质量事故、没有严重不良行为记录及违法犯罪记录，提供承诺书（格式自拟）。</w:t>
            </w:r>
          </w:p>
          <w:p w14:paraId="7D65A204">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color w:val="auto"/>
                <w:sz w:val="24"/>
                <w:highlight w:val="none"/>
              </w:rPr>
              <w:t>5.2在中国执行信息公开网（http://zxgk.court.gov.cn/shixin/）未被列入失信被执行人、在信用中国网站（www.creditchina.gov.cn）未被列入重大税收违法失信主体以及在国家企业信用信息公示系统（http://www.gsxt.gov.cn/index.html）未被列入严重违法失信名单（黑名单）（提供相关网页截图）。</w:t>
            </w:r>
          </w:p>
          <w:p w14:paraId="3F056BB7">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6.本招标工程采用资格后审方式(详见招标文件资格审查)。</w:t>
            </w:r>
          </w:p>
          <w:p w14:paraId="4E02137C">
            <w:pPr>
              <w:wordWrap w:val="0"/>
              <w:topLinePunct/>
              <w:adjustRightInd w:val="0"/>
              <w:spacing w:line="276" w:lineRule="auto"/>
              <w:textAlignment w:val="baseline"/>
              <w:rPr>
                <w:rFonts w:hint="eastAsia" w:ascii="宋体" w:hAnsi="宋体"/>
                <w:color w:val="auto"/>
                <w:sz w:val="24"/>
                <w:highlight w:val="none"/>
              </w:rPr>
            </w:pPr>
            <w:r>
              <w:rPr>
                <w:rFonts w:hint="eastAsia" w:ascii="宋体" w:hAnsi="宋体"/>
                <w:b/>
                <w:bCs/>
                <w:color w:val="auto"/>
                <w:sz w:val="24"/>
                <w:highlight w:val="none"/>
              </w:rPr>
              <w:t>7.本项目不接受联合体投标。</w:t>
            </w:r>
          </w:p>
          <w:p w14:paraId="40B26B3E">
            <w:pPr>
              <w:wordWrap w:val="0"/>
              <w:topLinePunct/>
              <w:adjustRightInd w:val="0"/>
              <w:spacing w:line="276" w:lineRule="auto"/>
              <w:textAlignment w:val="baseline"/>
              <w:rPr>
                <w:rFonts w:hint="eastAsia" w:ascii="宋体" w:hAnsi="宋体" w:cs="宋体"/>
                <w:color w:val="auto"/>
                <w:kern w:val="0"/>
                <w:sz w:val="24"/>
                <w:highlight w:val="none"/>
                <w:lang w:bidi="ar"/>
              </w:rPr>
            </w:pPr>
            <w:r>
              <w:rPr>
                <w:rFonts w:hint="eastAsia" w:ascii="宋体" w:hAnsi="宋体"/>
                <w:b/>
                <w:bCs/>
                <w:color w:val="auto"/>
                <w:sz w:val="24"/>
                <w:highlight w:val="none"/>
              </w:rPr>
              <w:t>8.其他要求：无。</w:t>
            </w:r>
          </w:p>
        </w:tc>
      </w:tr>
      <w:tr w14:paraId="56AA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tcBorders>
              <w:tl2br w:val="nil"/>
              <w:tr2bl w:val="nil"/>
            </w:tcBorders>
            <w:vAlign w:val="center"/>
          </w:tcPr>
          <w:p w14:paraId="130375F2">
            <w:pPr>
              <w:widowControl/>
              <w:spacing w:before="163" w:beforeLines="50" w:after="163" w:afterLines="50"/>
              <w:jc w:val="center"/>
              <w:textAlignment w:val="center"/>
              <w:rPr>
                <w:rFonts w:hint="eastAsia" w:ascii="宋体" w:hAnsi="宋体" w:cs="宋体"/>
                <w:b/>
                <w:bCs/>
                <w:color w:val="auto"/>
                <w:kern w:val="0"/>
                <w:sz w:val="24"/>
                <w:highlight w:val="none"/>
                <w:lang w:bidi="ar"/>
              </w:rPr>
            </w:pPr>
          </w:p>
        </w:tc>
        <w:tc>
          <w:tcPr>
            <w:tcW w:w="1018" w:type="pct"/>
            <w:tcBorders>
              <w:tl2br w:val="nil"/>
              <w:tr2bl w:val="nil"/>
            </w:tcBorders>
            <w:vAlign w:val="center"/>
          </w:tcPr>
          <w:p w14:paraId="06D08AD3">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投标人业绩要求</w:t>
            </w:r>
          </w:p>
        </w:tc>
        <w:tc>
          <w:tcPr>
            <w:tcW w:w="3044" w:type="pct"/>
            <w:gridSpan w:val="3"/>
            <w:tcBorders>
              <w:tl2br w:val="nil"/>
              <w:tr2bl w:val="nil"/>
            </w:tcBorders>
            <w:vAlign w:val="center"/>
          </w:tcPr>
          <w:p w14:paraId="096A8631">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w:t>
            </w:r>
          </w:p>
        </w:tc>
      </w:tr>
      <w:tr w14:paraId="000F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restart"/>
            <w:tcBorders>
              <w:tl2br w:val="nil"/>
              <w:tr2bl w:val="nil"/>
            </w:tcBorders>
            <w:vAlign w:val="center"/>
          </w:tcPr>
          <w:p w14:paraId="6C0EC76E">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是否采用电子招标投标方式</w:t>
            </w:r>
          </w:p>
        </w:tc>
        <w:tc>
          <w:tcPr>
            <w:tcW w:w="1018" w:type="pct"/>
            <w:vMerge w:val="restart"/>
            <w:tcBorders>
              <w:tl2br w:val="nil"/>
              <w:tr2bl w:val="nil"/>
            </w:tcBorders>
            <w:vAlign w:val="center"/>
          </w:tcPr>
          <w:p w14:paraId="0E05C91D">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rPr>
              <w:t>是</w:t>
            </w:r>
          </w:p>
        </w:tc>
        <w:tc>
          <w:tcPr>
            <w:tcW w:w="613" w:type="pct"/>
            <w:vMerge w:val="restart"/>
            <w:tcBorders>
              <w:tl2br w:val="nil"/>
              <w:tr2bl w:val="nil"/>
            </w:tcBorders>
            <w:vAlign w:val="center"/>
          </w:tcPr>
          <w:p w14:paraId="0F0124A5">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获取招标文件的方式</w:t>
            </w:r>
          </w:p>
        </w:tc>
        <w:tc>
          <w:tcPr>
            <w:tcW w:w="488" w:type="pct"/>
            <w:tcBorders>
              <w:tl2br w:val="nil"/>
              <w:tr2bl w:val="nil"/>
            </w:tcBorders>
            <w:vAlign w:val="center"/>
          </w:tcPr>
          <w:p w14:paraId="39E78FE1">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下载招标文件的网络地址</w:t>
            </w:r>
          </w:p>
        </w:tc>
        <w:tc>
          <w:tcPr>
            <w:tcW w:w="1942" w:type="pct"/>
            <w:tcBorders>
              <w:tl2br w:val="nil"/>
              <w:tr2bl w:val="nil"/>
            </w:tcBorders>
            <w:vAlign w:val="center"/>
          </w:tcPr>
          <w:p w14:paraId="03877E96">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广州交易集团有限公司网站（https://www.gzggzy.cn/）</w:t>
            </w:r>
          </w:p>
        </w:tc>
      </w:tr>
      <w:tr w14:paraId="1FAC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vMerge w:val="continue"/>
            <w:tcBorders>
              <w:tl2br w:val="nil"/>
              <w:tr2bl w:val="nil"/>
            </w:tcBorders>
            <w:vAlign w:val="center"/>
          </w:tcPr>
          <w:p w14:paraId="0087D1D4">
            <w:pPr>
              <w:widowControl/>
              <w:spacing w:before="163" w:beforeLines="50" w:after="163" w:afterLines="50"/>
              <w:jc w:val="center"/>
              <w:textAlignment w:val="center"/>
              <w:rPr>
                <w:rFonts w:hint="eastAsia" w:ascii="宋体" w:hAnsi="宋体" w:cs="宋体"/>
                <w:b/>
                <w:bCs/>
                <w:color w:val="auto"/>
                <w:kern w:val="0"/>
                <w:sz w:val="24"/>
                <w:highlight w:val="none"/>
                <w:lang w:bidi="ar"/>
              </w:rPr>
            </w:pPr>
          </w:p>
        </w:tc>
        <w:tc>
          <w:tcPr>
            <w:tcW w:w="1018" w:type="pct"/>
            <w:vMerge w:val="continue"/>
            <w:tcBorders>
              <w:tl2br w:val="nil"/>
              <w:tr2bl w:val="nil"/>
            </w:tcBorders>
            <w:vAlign w:val="center"/>
          </w:tcPr>
          <w:p w14:paraId="75896245">
            <w:pPr>
              <w:widowControl/>
              <w:spacing w:before="163" w:beforeLines="50" w:after="163" w:afterLines="50"/>
              <w:jc w:val="center"/>
              <w:textAlignment w:val="center"/>
              <w:rPr>
                <w:rFonts w:hint="eastAsia" w:ascii="宋体" w:hAnsi="宋体" w:cs="宋体"/>
                <w:b/>
                <w:bCs/>
                <w:color w:val="auto"/>
                <w:kern w:val="0"/>
                <w:sz w:val="24"/>
                <w:highlight w:val="none"/>
                <w:lang w:bidi="ar"/>
              </w:rPr>
            </w:pPr>
          </w:p>
        </w:tc>
        <w:tc>
          <w:tcPr>
            <w:tcW w:w="613" w:type="pct"/>
            <w:vMerge w:val="continue"/>
            <w:tcBorders>
              <w:tl2br w:val="nil"/>
              <w:tr2bl w:val="nil"/>
            </w:tcBorders>
            <w:vAlign w:val="center"/>
          </w:tcPr>
          <w:p w14:paraId="328BD7AA">
            <w:pPr>
              <w:widowControl/>
              <w:spacing w:before="163" w:beforeLines="50" w:after="163" w:afterLines="50"/>
              <w:jc w:val="center"/>
              <w:textAlignment w:val="center"/>
              <w:rPr>
                <w:rFonts w:hint="eastAsia" w:ascii="宋体" w:hAnsi="宋体" w:cs="宋体"/>
                <w:b/>
                <w:bCs/>
                <w:color w:val="auto"/>
                <w:kern w:val="0"/>
                <w:sz w:val="24"/>
                <w:highlight w:val="none"/>
                <w:lang w:bidi="ar"/>
              </w:rPr>
            </w:pPr>
          </w:p>
        </w:tc>
        <w:tc>
          <w:tcPr>
            <w:tcW w:w="488" w:type="pct"/>
            <w:tcBorders>
              <w:tl2br w:val="nil"/>
              <w:tr2bl w:val="nil"/>
            </w:tcBorders>
            <w:vAlign w:val="center"/>
          </w:tcPr>
          <w:p w14:paraId="39DD5439">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获取招标文件的方式</w:t>
            </w:r>
          </w:p>
        </w:tc>
        <w:tc>
          <w:tcPr>
            <w:tcW w:w="1942" w:type="pct"/>
            <w:tcBorders>
              <w:tl2br w:val="nil"/>
              <w:tr2bl w:val="nil"/>
            </w:tcBorders>
            <w:vAlign w:val="center"/>
          </w:tcPr>
          <w:p w14:paraId="7AF4E2C6">
            <w:pPr>
              <w:widowControl/>
              <w:spacing w:before="163" w:beforeLines="50" w:after="163" w:afterLines="5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备本公告投标人资格要求且有意参与项目投标的潜在投标人，应在《日程安排表》确定的获取招标文件开始时间至获取招标文件结束时间期间内，登陆广州公共资源交易中心交易平台办理网上投标登记手续，投标登记后自行下载电子招标文件。</w:t>
            </w:r>
          </w:p>
        </w:tc>
      </w:tr>
      <w:tr w14:paraId="0CCE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4114A54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获取招标文件开始时间</w:t>
            </w:r>
          </w:p>
        </w:tc>
        <w:tc>
          <w:tcPr>
            <w:tcW w:w="1018" w:type="pct"/>
            <w:tcBorders>
              <w:tl2br w:val="nil"/>
              <w:tr2bl w:val="nil"/>
            </w:tcBorders>
            <w:vAlign w:val="center"/>
          </w:tcPr>
          <w:p w14:paraId="5015E697">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c>
          <w:tcPr>
            <w:tcW w:w="613" w:type="pct"/>
            <w:tcBorders>
              <w:tl2br w:val="nil"/>
              <w:tr2bl w:val="nil"/>
            </w:tcBorders>
            <w:vAlign w:val="center"/>
          </w:tcPr>
          <w:p w14:paraId="733C1F78">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获取招标文件截止时间</w:t>
            </w:r>
          </w:p>
        </w:tc>
        <w:tc>
          <w:tcPr>
            <w:tcW w:w="2431" w:type="pct"/>
            <w:gridSpan w:val="2"/>
            <w:tcBorders>
              <w:tl2br w:val="nil"/>
              <w:tr2bl w:val="nil"/>
            </w:tcBorders>
            <w:vAlign w:val="center"/>
          </w:tcPr>
          <w:p w14:paraId="64903F05">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r>
      <w:tr w14:paraId="62F5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6A7F7475">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递交投标文件截止时间</w:t>
            </w:r>
          </w:p>
        </w:tc>
        <w:tc>
          <w:tcPr>
            <w:tcW w:w="1018" w:type="pct"/>
            <w:tcBorders>
              <w:tl2br w:val="nil"/>
              <w:tr2bl w:val="nil"/>
            </w:tcBorders>
            <w:vAlign w:val="center"/>
          </w:tcPr>
          <w:p w14:paraId="36A399FA">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c>
          <w:tcPr>
            <w:tcW w:w="613" w:type="pct"/>
            <w:tcBorders>
              <w:tl2br w:val="nil"/>
              <w:tr2bl w:val="nil"/>
            </w:tcBorders>
            <w:vAlign w:val="center"/>
          </w:tcPr>
          <w:p w14:paraId="3D56CDC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投标文件递交方式</w:t>
            </w:r>
          </w:p>
        </w:tc>
        <w:tc>
          <w:tcPr>
            <w:tcW w:w="2431" w:type="pct"/>
            <w:gridSpan w:val="2"/>
            <w:tcBorders>
              <w:tl2br w:val="nil"/>
              <w:tr2bl w:val="nil"/>
            </w:tcBorders>
            <w:vAlign w:val="center"/>
          </w:tcPr>
          <w:p w14:paraId="46205F52">
            <w:pPr>
              <w:spacing w:line="50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投标人应在招标文件规定的时间前，登陆广州公共资源交易中心交易平台办理网上投标登记手续，投标登记后自行下载电子招标文件，并在递交投标文件截止时间前，通过广州公共资源交易平台递交电子投标文件，有关全流程电子化项目的相关操作指南可自行在广州公共资源交易中心网站相关栏目下载，路径为广州公共资源交易中心网站&gt;服务指南&gt;系统帮助。</w:t>
            </w:r>
          </w:p>
        </w:tc>
      </w:tr>
      <w:tr w14:paraId="0FE7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067ECF39">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开标时间</w:t>
            </w:r>
          </w:p>
        </w:tc>
        <w:tc>
          <w:tcPr>
            <w:tcW w:w="1018" w:type="pct"/>
            <w:tcBorders>
              <w:tl2br w:val="nil"/>
              <w:tr2bl w:val="nil"/>
            </w:tcBorders>
            <w:vAlign w:val="center"/>
          </w:tcPr>
          <w:p w14:paraId="49E06DF6">
            <w:pPr>
              <w:spacing w:line="500" w:lineRule="exact"/>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c>
          <w:tcPr>
            <w:tcW w:w="613" w:type="pct"/>
            <w:tcBorders>
              <w:tl2br w:val="nil"/>
              <w:tr2bl w:val="nil"/>
            </w:tcBorders>
            <w:vAlign w:val="center"/>
          </w:tcPr>
          <w:p w14:paraId="41E74F4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开标地点</w:t>
            </w:r>
          </w:p>
        </w:tc>
        <w:tc>
          <w:tcPr>
            <w:tcW w:w="2431" w:type="pct"/>
            <w:gridSpan w:val="2"/>
            <w:tcBorders>
              <w:tl2br w:val="nil"/>
              <w:tr2bl w:val="nil"/>
            </w:tcBorders>
            <w:vAlign w:val="center"/>
          </w:tcPr>
          <w:p w14:paraId="61DA547A">
            <w:pPr>
              <w:spacing w:line="500" w:lineRule="exact"/>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详见《日程安排表》</w:t>
            </w:r>
          </w:p>
        </w:tc>
      </w:tr>
      <w:tr w14:paraId="53A2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46767234">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发布公告媒介</w:t>
            </w:r>
          </w:p>
        </w:tc>
        <w:tc>
          <w:tcPr>
            <w:tcW w:w="4062" w:type="pct"/>
            <w:gridSpan w:val="4"/>
            <w:tcBorders>
              <w:tl2br w:val="nil"/>
              <w:tr2bl w:val="nil"/>
            </w:tcBorders>
            <w:vAlign w:val="center"/>
          </w:tcPr>
          <w:p w14:paraId="4908048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kern w:val="0"/>
                <w:sz w:val="24"/>
                <w:highlight w:val="none"/>
                <w:lang w:bidi="ar"/>
              </w:rPr>
              <w:t>广州交易集团有限公司（广州公共资源交易中心）网站、广东省招标投标监管网、中国招标投标公共服务平台、广东省公共资源交易平台</w:t>
            </w:r>
          </w:p>
        </w:tc>
      </w:tr>
      <w:tr w14:paraId="21B5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2F24EB92">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招标人</w:t>
            </w:r>
          </w:p>
        </w:tc>
        <w:tc>
          <w:tcPr>
            <w:tcW w:w="1018" w:type="pct"/>
            <w:tcBorders>
              <w:tl2br w:val="nil"/>
              <w:tr2bl w:val="nil"/>
            </w:tcBorders>
            <w:vAlign w:val="center"/>
          </w:tcPr>
          <w:p w14:paraId="366E01AD">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博罗县水务工程建设管理中心</w:t>
            </w:r>
          </w:p>
        </w:tc>
        <w:tc>
          <w:tcPr>
            <w:tcW w:w="613" w:type="pct"/>
            <w:tcBorders>
              <w:tl2br w:val="nil"/>
              <w:tr2bl w:val="nil"/>
            </w:tcBorders>
            <w:vAlign w:val="center"/>
          </w:tcPr>
          <w:p w14:paraId="3543282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联系地址</w:t>
            </w:r>
          </w:p>
        </w:tc>
        <w:tc>
          <w:tcPr>
            <w:tcW w:w="2431" w:type="pct"/>
            <w:gridSpan w:val="2"/>
            <w:tcBorders>
              <w:tl2br w:val="nil"/>
              <w:tr2bl w:val="nil"/>
            </w:tcBorders>
            <w:vAlign w:val="center"/>
          </w:tcPr>
          <w:p w14:paraId="6C6960D9">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博罗县罗阳街道北门路94号</w:t>
            </w:r>
          </w:p>
        </w:tc>
      </w:tr>
      <w:tr w14:paraId="16C5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44513A47">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招标人联系人</w:t>
            </w:r>
          </w:p>
        </w:tc>
        <w:tc>
          <w:tcPr>
            <w:tcW w:w="1018" w:type="pct"/>
            <w:tcBorders>
              <w:tl2br w:val="nil"/>
              <w:tr2bl w:val="nil"/>
            </w:tcBorders>
            <w:vAlign w:val="center"/>
          </w:tcPr>
          <w:p w14:paraId="7B359B64">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林工</w:t>
            </w:r>
          </w:p>
        </w:tc>
        <w:tc>
          <w:tcPr>
            <w:tcW w:w="613" w:type="pct"/>
            <w:tcBorders>
              <w:tl2br w:val="nil"/>
              <w:tr2bl w:val="nil"/>
            </w:tcBorders>
            <w:vAlign w:val="center"/>
          </w:tcPr>
          <w:p w14:paraId="52975738">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联系电话</w:t>
            </w:r>
          </w:p>
        </w:tc>
        <w:tc>
          <w:tcPr>
            <w:tcW w:w="2431" w:type="pct"/>
            <w:gridSpan w:val="2"/>
            <w:tcBorders>
              <w:tl2br w:val="nil"/>
              <w:tr2bl w:val="nil"/>
            </w:tcBorders>
            <w:vAlign w:val="center"/>
          </w:tcPr>
          <w:p w14:paraId="12F9DDFB">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0752-6208892</w:t>
            </w:r>
          </w:p>
        </w:tc>
      </w:tr>
      <w:tr w14:paraId="154D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38033EC8">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招标代理机构</w:t>
            </w:r>
          </w:p>
        </w:tc>
        <w:tc>
          <w:tcPr>
            <w:tcW w:w="1018" w:type="pct"/>
            <w:tcBorders>
              <w:tl2br w:val="nil"/>
              <w:tr2bl w:val="nil"/>
            </w:tcBorders>
            <w:vAlign w:val="center"/>
          </w:tcPr>
          <w:p w14:paraId="6F8C3E7E">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惠州众志诚工程管理有限公司</w:t>
            </w:r>
          </w:p>
        </w:tc>
        <w:tc>
          <w:tcPr>
            <w:tcW w:w="613" w:type="pct"/>
            <w:tcBorders>
              <w:tl2br w:val="nil"/>
              <w:tr2bl w:val="nil"/>
            </w:tcBorders>
            <w:vAlign w:val="center"/>
          </w:tcPr>
          <w:p w14:paraId="72465EA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联系地址</w:t>
            </w:r>
          </w:p>
        </w:tc>
        <w:tc>
          <w:tcPr>
            <w:tcW w:w="2431" w:type="pct"/>
            <w:gridSpan w:val="2"/>
            <w:tcBorders>
              <w:tl2br w:val="nil"/>
              <w:tr2bl w:val="nil"/>
            </w:tcBorders>
            <w:vAlign w:val="center"/>
          </w:tcPr>
          <w:p w14:paraId="10AB439B">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博罗县罗阳街道商业东街博都大厦A3栋1302号</w:t>
            </w:r>
          </w:p>
        </w:tc>
      </w:tr>
      <w:tr w14:paraId="62B0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5329041A">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招标代理联系人</w:t>
            </w:r>
          </w:p>
        </w:tc>
        <w:tc>
          <w:tcPr>
            <w:tcW w:w="1018" w:type="pct"/>
            <w:tcBorders>
              <w:tl2br w:val="nil"/>
              <w:tr2bl w:val="nil"/>
            </w:tcBorders>
            <w:vAlign w:val="center"/>
          </w:tcPr>
          <w:p w14:paraId="678F3023">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林小姐</w:t>
            </w:r>
          </w:p>
        </w:tc>
        <w:tc>
          <w:tcPr>
            <w:tcW w:w="613" w:type="pct"/>
            <w:tcBorders>
              <w:tl2br w:val="nil"/>
              <w:tr2bl w:val="nil"/>
            </w:tcBorders>
            <w:vAlign w:val="center"/>
          </w:tcPr>
          <w:p w14:paraId="7B368E9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联系电话</w:t>
            </w:r>
          </w:p>
        </w:tc>
        <w:tc>
          <w:tcPr>
            <w:tcW w:w="2431" w:type="pct"/>
            <w:gridSpan w:val="2"/>
            <w:tcBorders>
              <w:tl2br w:val="nil"/>
              <w:tr2bl w:val="nil"/>
            </w:tcBorders>
            <w:vAlign w:val="center"/>
          </w:tcPr>
          <w:p w14:paraId="770A56C8">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0752-6663386</w:t>
            </w:r>
          </w:p>
        </w:tc>
      </w:tr>
      <w:tr w14:paraId="5D8A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191F16BF">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招标监督机构</w:t>
            </w:r>
          </w:p>
        </w:tc>
        <w:tc>
          <w:tcPr>
            <w:tcW w:w="1018" w:type="pct"/>
            <w:tcBorders>
              <w:tl2br w:val="nil"/>
              <w:tr2bl w:val="nil"/>
            </w:tcBorders>
            <w:vAlign w:val="center"/>
          </w:tcPr>
          <w:p w14:paraId="58B85B47">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博罗县水利局</w:t>
            </w:r>
          </w:p>
        </w:tc>
        <w:tc>
          <w:tcPr>
            <w:tcW w:w="613" w:type="pct"/>
            <w:tcBorders>
              <w:tl2br w:val="nil"/>
              <w:tr2bl w:val="nil"/>
            </w:tcBorders>
            <w:vAlign w:val="center"/>
          </w:tcPr>
          <w:p w14:paraId="33928DFB">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联系电话</w:t>
            </w:r>
          </w:p>
        </w:tc>
        <w:tc>
          <w:tcPr>
            <w:tcW w:w="2431" w:type="pct"/>
            <w:gridSpan w:val="2"/>
            <w:tcBorders>
              <w:tl2br w:val="nil"/>
              <w:tr2bl w:val="nil"/>
            </w:tcBorders>
            <w:vAlign w:val="center"/>
          </w:tcPr>
          <w:p w14:paraId="185DB233">
            <w:pPr>
              <w:widowControl/>
              <w:spacing w:before="163" w:beforeLines="50" w:after="163" w:afterLines="5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0752-6208980</w:t>
            </w:r>
          </w:p>
        </w:tc>
      </w:tr>
      <w:tr w14:paraId="3627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pct"/>
            <w:tcBorders>
              <w:tl2br w:val="nil"/>
              <w:tr2bl w:val="nil"/>
            </w:tcBorders>
            <w:vAlign w:val="center"/>
          </w:tcPr>
          <w:p w14:paraId="12CC2E6B">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其他依法应当载明的内容</w:t>
            </w:r>
          </w:p>
        </w:tc>
        <w:tc>
          <w:tcPr>
            <w:tcW w:w="4062" w:type="pct"/>
            <w:gridSpan w:val="4"/>
            <w:tcBorders>
              <w:tl2br w:val="nil"/>
              <w:tr2bl w:val="nil"/>
            </w:tcBorders>
            <w:vAlign w:val="center"/>
          </w:tcPr>
          <w:p w14:paraId="3E1D7199">
            <w:pPr>
              <w:spacing w:line="500" w:lineRule="exact"/>
              <w:rPr>
                <w:rStyle w:val="20"/>
                <w:rFonts w:hint="eastAsia" w:ascii="宋体" w:hAnsi="宋体" w:cs="宋体"/>
                <w:b w:val="0"/>
                <w:color w:val="auto"/>
                <w:sz w:val="24"/>
                <w:highlight w:val="none"/>
              </w:rPr>
            </w:pPr>
            <w:r>
              <w:rPr>
                <w:rStyle w:val="20"/>
                <w:rFonts w:hint="eastAsia" w:ascii="宋体" w:hAnsi="宋体" w:cs="宋体"/>
                <w:b w:val="0"/>
                <w:color w:val="auto"/>
                <w:sz w:val="24"/>
                <w:highlight w:val="none"/>
              </w:rPr>
              <w:t>1、招标方式：公开招标。</w:t>
            </w:r>
          </w:p>
          <w:p w14:paraId="0A9BD34D">
            <w:pPr>
              <w:spacing w:line="500" w:lineRule="exact"/>
              <w:rPr>
                <w:rStyle w:val="20"/>
                <w:rFonts w:hint="eastAsia" w:ascii="宋体" w:hAnsi="宋体" w:cs="宋体"/>
                <w:b w:val="0"/>
                <w:color w:val="auto"/>
                <w:sz w:val="24"/>
                <w:highlight w:val="none"/>
              </w:rPr>
            </w:pPr>
            <w:r>
              <w:rPr>
                <w:rStyle w:val="20"/>
                <w:rFonts w:hint="eastAsia" w:ascii="宋体" w:hAnsi="宋体" w:cs="宋体"/>
                <w:b w:val="0"/>
                <w:color w:val="auto"/>
                <w:sz w:val="24"/>
                <w:highlight w:val="none"/>
              </w:rPr>
              <w:t>2、投标人投标登记前须在广州公共资源交易中心完成企业信息登记。</w:t>
            </w:r>
          </w:p>
          <w:p w14:paraId="1705E6D9">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3、递交投标文件：本项目采用电子投标，具体递交要求以招标文件为准。有关全流程电子化项目的相关操作指南可自行在广州公共资源交易中心网站相关栏目下载，路径为广州公共资源交易中心网站&gt;服务指南&gt;系统帮助。</w:t>
            </w:r>
          </w:p>
          <w:p w14:paraId="5875DD4F">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4、递交投标文件备用电子光盘或纸质投标担保时间及地点：详见《日程安排表》。</w:t>
            </w:r>
          </w:p>
          <w:p w14:paraId="3CB80EAB">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5、递交投标文件截止时间与开标时间是否有变化，请密切留意招标答疑中的相关信息。递交投标文件截止时间后，开标时间因故推迟的，相关评标信息仍以原递交投标文件截止时间的信息为准。</w:t>
            </w:r>
          </w:p>
          <w:p w14:paraId="7C179055">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6、投标文件解密</w:t>
            </w:r>
          </w:p>
          <w:p w14:paraId="2F090165">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在投标截止时间后30分钟内为投标人投标文件解密时间，投标人通过广州公共资源交易平台对已递交的电子投标文件进行解密。超过时间未解密的投标文件将作为放弃投标处理。</w:t>
            </w:r>
          </w:p>
          <w:p w14:paraId="0787448E">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7、投标人通过广州公共资源交易平台递交电子投标文件。投标人应在递交投标文件截止时间前，完成所有投标文件的上传，并取得回执码，投标截止时间前未完成投标文件传输的，视为未递交投标文件。在投标文件递交截止时间之前，投标人可以撤回或替换已递交的投标文件。</w:t>
            </w:r>
          </w:p>
          <w:p w14:paraId="6B5DAC49">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8、踏勘现场和投标预备会</w:t>
            </w:r>
          </w:p>
          <w:p w14:paraId="03A76F46">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本项目招标人不组织踏勘现场，本项目招标人不召开投标预备会，疑问及答疑在广州公共资源交易中心网上答疑专区发布。</w:t>
            </w:r>
          </w:p>
          <w:p w14:paraId="4964828E">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9、技术成果经济补偿</w:t>
            </w:r>
          </w:p>
          <w:p w14:paraId="2FF16F48">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本次招标对未中标人投标文件中的技术成果不给予经济补偿。</w:t>
            </w:r>
          </w:p>
          <w:p w14:paraId="5C46F3FF">
            <w:pPr>
              <w:pStyle w:val="16"/>
              <w:spacing w:after="0" w:line="5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10、资格审查及评标办法：本项目资格审查采用资格后审，评标办法采用综合评估法。</w:t>
            </w:r>
          </w:p>
          <w:p w14:paraId="290B6B7C">
            <w:pPr>
              <w:pStyle w:val="16"/>
              <w:spacing w:after="0" w:line="500" w:lineRule="exact"/>
              <w:ind w:firstLine="0" w:firstLineChars="0"/>
              <w:rPr>
                <w:rFonts w:hint="eastAsia" w:ascii="宋体" w:hAnsi="宋体" w:cs="宋体"/>
                <w:b/>
                <w:bCs/>
                <w:color w:val="auto"/>
                <w:kern w:val="0"/>
                <w:sz w:val="24"/>
                <w:highlight w:val="none"/>
                <w:lang w:bidi="ar"/>
              </w:rPr>
            </w:pPr>
            <w:r>
              <w:rPr>
                <w:rFonts w:hint="eastAsia" w:ascii="宋体" w:hAnsi="宋体" w:cs="宋体"/>
                <w:color w:val="auto"/>
                <w:sz w:val="24"/>
                <w:highlight w:val="none"/>
              </w:rPr>
              <w:t>11、投标人必须详细审阅全部招标文件，充分考虑职责和义务，全面地理解招标文件对投标报价的要求，并按招标人提出的条件及内容进行报价。投标报价超过招标控制价(即最高投标限价)时，投标文件将被拒绝。</w:t>
            </w:r>
          </w:p>
        </w:tc>
      </w:tr>
      <w:tr w14:paraId="41E2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l2br w:val="nil"/>
              <w:tr2bl w:val="nil"/>
            </w:tcBorders>
            <w:vAlign w:val="center"/>
          </w:tcPr>
          <w:p w14:paraId="18C7BE79">
            <w:pPr>
              <w:widowControl/>
              <w:spacing w:before="163" w:beforeLines="50" w:after="163" w:afterLines="50"/>
              <w:jc w:val="center"/>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rPr>
              <w:t>发布日期：    年   月   日</w:t>
            </w:r>
          </w:p>
        </w:tc>
      </w:tr>
      <w:bookmarkEnd w:id="9"/>
      <w:bookmarkEnd w:id="10"/>
      <w:bookmarkEnd w:id="11"/>
      <w:bookmarkEnd w:id="12"/>
      <w:bookmarkEnd w:id="13"/>
      <w:bookmarkEnd w:id="14"/>
      <w:bookmarkEnd w:id="15"/>
      <w:bookmarkEnd w:id="16"/>
      <w:bookmarkEnd w:id="17"/>
      <w:bookmarkEnd w:id="18"/>
      <w:bookmarkEnd w:id="19"/>
      <w:bookmarkEnd w:id="27"/>
      <w:bookmarkEnd w:id="28"/>
      <w:bookmarkEnd w:id="29"/>
      <w:bookmarkEnd w:id="30"/>
      <w:bookmarkEnd w:id="31"/>
      <w:bookmarkEnd w:id="32"/>
      <w:bookmarkEnd w:id="33"/>
    </w:tbl>
    <w:p w14:paraId="38C96ED2">
      <w:pPr>
        <w:spacing w:line="360" w:lineRule="auto"/>
        <w:ind w:firstLine="470" w:firstLineChars="196"/>
        <w:rPr>
          <w:rFonts w:hint="eastAsia" w:ascii="宋体" w:hAnsi="宋体" w:cs="宋体"/>
          <w:bCs/>
          <w:color w:val="auto"/>
          <w:sz w:val="24"/>
          <w:highlight w:val="none"/>
        </w:rPr>
      </w:pPr>
      <w:bookmarkStart w:id="34" w:name="_Toc222030983"/>
      <w:bookmarkStart w:id="35" w:name="_Toc144974495"/>
      <w:bookmarkStart w:id="36" w:name="_Toc221950007"/>
      <w:bookmarkStart w:id="37" w:name="_Toc222033832"/>
      <w:bookmarkStart w:id="38" w:name="_Toc229305341"/>
      <w:bookmarkStart w:id="39" w:name="_Toc222032650"/>
      <w:bookmarkStart w:id="40" w:name="_Toc222029481"/>
      <w:bookmarkStart w:id="41" w:name="_Toc168476045"/>
      <w:bookmarkStart w:id="42" w:name="_Toc168475642"/>
      <w:bookmarkStart w:id="43" w:name="_Toc229408462"/>
    </w:p>
    <w:p w14:paraId="22AD50F9">
      <w:pPr>
        <w:widowControl/>
        <w:spacing w:line="360" w:lineRule="auto"/>
        <w:ind w:firstLine="480" w:firstLineChars="200"/>
        <w:jc w:val="left"/>
        <w:rPr>
          <w:rFonts w:hint="eastAsia" w:ascii="宋体" w:hAnsi="宋体" w:cs="宋体"/>
          <w:color w:val="auto"/>
          <w:sz w:val="24"/>
          <w:highlight w:val="none"/>
        </w:rPr>
        <w:sectPr>
          <w:footerReference r:id="rId4" w:type="default"/>
          <w:pgSz w:w="11907" w:h="16840"/>
          <w:pgMar w:top="1440" w:right="1531" w:bottom="1440" w:left="1531" w:header="851" w:footer="992" w:gutter="0"/>
          <w:pgNumType w:fmt="numberInDash" w:start="1"/>
          <w:cols w:space="720" w:num="1"/>
          <w:docGrid w:type="lines" w:linePitch="326" w:charSpace="0"/>
        </w:sectPr>
      </w:pPr>
    </w:p>
    <w:p w14:paraId="6E081C66">
      <w:pPr>
        <w:pStyle w:val="3"/>
        <w:spacing w:before="0" w:after="0" w:line="579" w:lineRule="auto"/>
        <w:jc w:val="center"/>
        <w:rPr>
          <w:rFonts w:hint="eastAsia" w:ascii="宋体" w:hAnsi="宋体" w:eastAsia="宋体"/>
          <w:color w:val="auto"/>
          <w:highlight w:val="none"/>
        </w:rPr>
      </w:pPr>
      <w:bookmarkStart w:id="44" w:name="_Toc13247"/>
      <w:bookmarkStart w:id="45" w:name="_Toc18094"/>
      <w:bookmarkStart w:id="46" w:name="_Toc13353"/>
      <w:bookmarkStart w:id="47" w:name="_Toc39698055"/>
      <w:bookmarkStart w:id="48" w:name="_Toc29314"/>
      <w:bookmarkStart w:id="49" w:name="_Toc2045"/>
      <w:bookmarkStart w:id="50" w:name="_Toc15725"/>
      <w:r>
        <w:rPr>
          <w:rFonts w:hint="eastAsia" w:ascii="宋体" w:hAnsi="宋体" w:eastAsia="宋体"/>
          <w:color w:val="auto"/>
          <w:highlight w:val="none"/>
        </w:rPr>
        <w:t>第二章 投标人须知</w:t>
      </w:r>
      <w:bookmarkEnd w:id="44"/>
      <w:bookmarkEnd w:id="45"/>
      <w:bookmarkEnd w:id="46"/>
      <w:bookmarkEnd w:id="47"/>
      <w:bookmarkEnd w:id="48"/>
      <w:bookmarkEnd w:id="49"/>
      <w:bookmarkEnd w:id="50"/>
    </w:p>
    <w:tbl>
      <w:tblPr>
        <w:tblStyle w:val="17"/>
        <w:tblpPr w:leftFromText="180" w:rightFromText="180" w:vertAnchor="text" w:horzAnchor="page" w:tblpXSpec="center" w:tblpY="502"/>
        <w:tblOverlap w:val="never"/>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32"/>
        <w:gridCol w:w="5916"/>
      </w:tblGrid>
      <w:tr w14:paraId="6D97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4" w:type="dxa"/>
            <w:shd w:val="clear" w:color="auto" w:fill="A6A6A6"/>
            <w:vAlign w:val="center"/>
          </w:tcPr>
          <w:p w14:paraId="48365AE2">
            <w:pPr>
              <w:adjustRightInd w:val="0"/>
              <w:spacing w:line="460" w:lineRule="exact"/>
              <w:jc w:val="center"/>
              <w:textAlignment w:val="baseline"/>
              <w:rPr>
                <w:rFonts w:hint="eastAsia" w:ascii="宋体" w:hAnsi="宋体"/>
                <w:b/>
                <w:color w:val="auto"/>
                <w:szCs w:val="21"/>
                <w:highlight w:val="none"/>
              </w:rPr>
            </w:pPr>
            <w:r>
              <w:rPr>
                <w:rFonts w:ascii="宋体" w:hAnsi="宋体"/>
                <w:b/>
                <w:color w:val="auto"/>
                <w:szCs w:val="21"/>
                <w:highlight w:val="none"/>
              </w:rPr>
              <w:t>条款号</w:t>
            </w:r>
          </w:p>
        </w:tc>
        <w:tc>
          <w:tcPr>
            <w:tcW w:w="2232" w:type="dxa"/>
            <w:shd w:val="clear" w:color="auto" w:fill="A6A6A6"/>
            <w:vAlign w:val="center"/>
          </w:tcPr>
          <w:p w14:paraId="6849643E">
            <w:pPr>
              <w:adjustRightInd w:val="0"/>
              <w:spacing w:line="460" w:lineRule="exact"/>
              <w:jc w:val="center"/>
              <w:textAlignment w:val="baseline"/>
              <w:rPr>
                <w:rFonts w:hint="eastAsia" w:ascii="宋体" w:hAnsi="宋体"/>
                <w:b/>
                <w:color w:val="auto"/>
                <w:szCs w:val="21"/>
                <w:highlight w:val="none"/>
              </w:rPr>
            </w:pPr>
            <w:r>
              <w:rPr>
                <w:rFonts w:ascii="宋体" w:hAnsi="宋体"/>
                <w:b/>
                <w:color w:val="auto"/>
                <w:szCs w:val="21"/>
                <w:highlight w:val="none"/>
              </w:rPr>
              <w:t>条  款  名  称</w:t>
            </w:r>
          </w:p>
        </w:tc>
        <w:tc>
          <w:tcPr>
            <w:tcW w:w="5916" w:type="dxa"/>
            <w:shd w:val="clear" w:color="auto" w:fill="A6A6A6"/>
            <w:vAlign w:val="center"/>
          </w:tcPr>
          <w:p w14:paraId="62979E0D">
            <w:pPr>
              <w:adjustRightInd w:val="0"/>
              <w:spacing w:line="460" w:lineRule="exact"/>
              <w:jc w:val="center"/>
              <w:textAlignment w:val="baseline"/>
              <w:rPr>
                <w:rFonts w:hint="eastAsia" w:ascii="宋体" w:hAnsi="宋体"/>
                <w:b/>
                <w:color w:val="auto"/>
                <w:szCs w:val="21"/>
                <w:highlight w:val="none"/>
              </w:rPr>
            </w:pPr>
            <w:r>
              <w:rPr>
                <w:rFonts w:ascii="宋体" w:hAnsi="宋体"/>
                <w:b/>
                <w:color w:val="auto"/>
                <w:szCs w:val="21"/>
                <w:highlight w:val="none"/>
              </w:rPr>
              <w:t>编  列  内  容</w:t>
            </w:r>
          </w:p>
        </w:tc>
      </w:tr>
      <w:tr w14:paraId="36B8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34" w:type="dxa"/>
            <w:vAlign w:val="center"/>
          </w:tcPr>
          <w:p w14:paraId="5D5BC5E5">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1.1.2</w:t>
            </w:r>
          </w:p>
        </w:tc>
        <w:tc>
          <w:tcPr>
            <w:tcW w:w="2232" w:type="dxa"/>
            <w:vAlign w:val="center"/>
          </w:tcPr>
          <w:p w14:paraId="24C3D369">
            <w:pPr>
              <w:widowControl/>
              <w:spacing w:line="460" w:lineRule="exact"/>
              <w:jc w:val="center"/>
              <w:rPr>
                <w:rFonts w:hint="eastAsia" w:ascii="宋体" w:hAnsi="宋体"/>
                <w:bCs/>
                <w:color w:val="auto"/>
                <w:kern w:val="0"/>
                <w:szCs w:val="21"/>
                <w:highlight w:val="none"/>
              </w:rPr>
            </w:pPr>
            <w:r>
              <w:rPr>
                <w:rFonts w:ascii="宋体" w:hAnsi="宋体"/>
                <w:bCs/>
                <w:color w:val="auto"/>
                <w:kern w:val="0"/>
                <w:szCs w:val="21"/>
                <w:highlight w:val="none"/>
              </w:rPr>
              <w:t>招标人</w:t>
            </w:r>
          </w:p>
        </w:tc>
        <w:tc>
          <w:tcPr>
            <w:tcW w:w="5916" w:type="dxa"/>
          </w:tcPr>
          <w:p w14:paraId="0792283B">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名  称：博罗县水务工程建设管理中心</w:t>
            </w:r>
          </w:p>
          <w:p w14:paraId="0D1E250C">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地  址：博罗县罗阳街道北门路94号</w:t>
            </w:r>
          </w:p>
          <w:p w14:paraId="587FE705">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联系人：林工</w:t>
            </w:r>
          </w:p>
          <w:p w14:paraId="3DCE845B">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电  话：0752-6208892</w:t>
            </w:r>
          </w:p>
        </w:tc>
      </w:tr>
      <w:tr w14:paraId="21D1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4" w:type="dxa"/>
            <w:vAlign w:val="center"/>
          </w:tcPr>
          <w:p w14:paraId="5D291537">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1.1.3</w:t>
            </w:r>
          </w:p>
        </w:tc>
        <w:tc>
          <w:tcPr>
            <w:tcW w:w="2232" w:type="dxa"/>
            <w:vAlign w:val="center"/>
          </w:tcPr>
          <w:p w14:paraId="0C1FD213">
            <w:pPr>
              <w:widowControl/>
              <w:spacing w:line="460" w:lineRule="exact"/>
              <w:jc w:val="center"/>
              <w:rPr>
                <w:rFonts w:hint="eastAsia" w:ascii="宋体" w:hAnsi="宋体"/>
                <w:bCs/>
                <w:color w:val="auto"/>
                <w:kern w:val="0"/>
                <w:szCs w:val="21"/>
                <w:highlight w:val="none"/>
              </w:rPr>
            </w:pPr>
            <w:r>
              <w:rPr>
                <w:rFonts w:ascii="宋体" w:hAnsi="宋体"/>
                <w:bCs/>
                <w:color w:val="auto"/>
                <w:kern w:val="0"/>
                <w:szCs w:val="21"/>
                <w:highlight w:val="none"/>
              </w:rPr>
              <w:t>招标代理机构</w:t>
            </w:r>
          </w:p>
        </w:tc>
        <w:tc>
          <w:tcPr>
            <w:tcW w:w="5916" w:type="dxa"/>
          </w:tcPr>
          <w:p w14:paraId="3BCAD661">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名称：惠州众志诚工程管理有限公司</w:t>
            </w:r>
          </w:p>
          <w:p w14:paraId="6F8F18E8">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联系地址：博罗县罗阳街道商业东街博都大厦A3栋1302号</w:t>
            </w:r>
          </w:p>
          <w:p w14:paraId="5FBB7C08">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联系人：林小姐</w:t>
            </w:r>
          </w:p>
          <w:p w14:paraId="36923392">
            <w:pPr>
              <w:widowControl/>
              <w:spacing w:line="460" w:lineRule="exact"/>
              <w:jc w:val="left"/>
              <w:rPr>
                <w:rFonts w:hint="eastAsia" w:ascii="宋体" w:hAnsi="宋体"/>
                <w:bCs/>
                <w:color w:val="auto"/>
                <w:kern w:val="0"/>
                <w:szCs w:val="21"/>
                <w:highlight w:val="none"/>
              </w:rPr>
            </w:pPr>
            <w:r>
              <w:rPr>
                <w:rFonts w:hint="eastAsia" w:ascii="宋体" w:hAnsi="宋体"/>
                <w:bCs/>
                <w:color w:val="auto"/>
                <w:kern w:val="0"/>
                <w:szCs w:val="21"/>
                <w:highlight w:val="none"/>
              </w:rPr>
              <w:t>电  话：0752-6663386</w:t>
            </w:r>
          </w:p>
        </w:tc>
      </w:tr>
      <w:tr w14:paraId="3CA2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34" w:type="dxa"/>
            <w:vAlign w:val="center"/>
          </w:tcPr>
          <w:p w14:paraId="72C812B1">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1.1.4</w:t>
            </w:r>
          </w:p>
        </w:tc>
        <w:tc>
          <w:tcPr>
            <w:tcW w:w="2232" w:type="dxa"/>
            <w:vAlign w:val="center"/>
          </w:tcPr>
          <w:p w14:paraId="008217ED">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项目名称</w:t>
            </w:r>
          </w:p>
        </w:tc>
        <w:tc>
          <w:tcPr>
            <w:tcW w:w="5916" w:type="dxa"/>
            <w:vAlign w:val="center"/>
          </w:tcPr>
          <w:p w14:paraId="19DC89E2">
            <w:pPr>
              <w:adjustRightInd w:val="0"/>
              <w:spacing w:line="460" w:lineRule="exact"/>
              <w:jc w:val="left"/>
              <w:textAlignment w:val="baseline"/>
              <w:rPr>
                <w:rFonts w:hint="eastAsia" w:ascii="宋体" w:hAnsi="宋体"/>
                <w:color w:val="auto"/>
                <w:highlight w:val="none"/>
              </w:rPr>
            </w:pPr>
            <w:r>
              <w:rPr>
                <w:rFonts w:hint="eastAsia" w:ascii="宋体" w:hAnsi="宋体"/>
                <w:color w:val="auto"/>
                <w:szCs w:val="21"/>
                <w:highlight w:val="none"/>
              </w:rPr>
              <w:t>博罗县河肚水水系综合整治工程和博罗县澜石河水系综合整治工程施工（第二次招标）</w:t>
            </w:r>
          </w:p>
        </w:tc>
      </w:tr>
      <w:tr w14:paraId="602C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4" w:type="dxa"/>
            <w:vAlign w:val="center"/>
          </w:tcPr>
          <w:p w14:paraId="3EFF397A">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1.1.5</w:t>
            </w:r>
          </w:p>
        </w:tc>
        <w:tc>
          <w:tcPr>
            <w:tcW w:w="2232" w:type="dxa"/>
            <w:vAlign w:val="center"/>
          </w:tcPr>
          <w:p w14:paraId="604CD522">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建设地点</w:t>
            </w:r>
          </w:p>
        </w:tc>
        <w:tc>
          <w:tcPr>
            <w:tcW w:w="5916" w:type="dxa"/>
            <w:vAlign w:val="center"/>
          </w:tcPr>
          <w:p w14:paraId="7E99750E">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惠州市博罗县</w:t>
            </w:r>
          </w:p>
        </w:tc>
      </w:tr>
      <w:tr w14:paraId="3EBD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34" w:type="dxa"/>
            <w:vAlign w:val="center"/>
          </w:tcPr>
          <w:p w14:paraId="29840214">
            <w:pPr>
              <w:spacing w:line="460" w:lineRule="exact"/>
              <w:jc w:val="center"/>
              <w:rPr>
                <w:rFonts w:hint="eastAsia" w:ascii="宋体" w:hAnsi="宋体"/>
                <w:color w:val="auto"/>
                <w:szCs w:val="21"/>
                <w:highlight w:val="none"/>
              </w:rPr>
            </w:pPr>
            <w:r>
              <w:rPr>
                <w:rFonts w:hint="eastAsia" w:ascii="宋体" w:hAnsi="宋体"/>
                <w:color w:val="auto"/>
                <w:szCs w:val="21"/>
                <w:highlight w:val="none"/>
              </w:rPr>
              <w:t>1.1.6</w:t>
            </w:r>
          </w:p>
        </w:tc>
        <w:tc>
          <w:tcPr>
            <w:tcW w:w="2232" w:type="dxa"/>
            <w:vAlign w:val="center"/>
          </w:tcPr>
          <w:p w14:paraId="48507EF3">
            <w:pPr>
              <w:spacing w:line="460" w:lineRule="exact"/>
              <w:jc w:val="center"/>
              <w:rPr>
                <w:rFonts w:hint="eastAsia" w:ascii="宋体" w:hAnsi="宋体"/>
                <w:color w:val="auto"/>
                <w:szCs w:val="21"/>
                <w:highlight w:val="none"/>
              </w:rPr>
            </w:pPr>
            <w:r>
              <w:rPr>
                <w:rFonts w:hint="eastAsia" w:ascii="宋体" w:hAnsi="宋体"/>
                <w:color w:val="auto"/>
                <w:szCs w:val="21"/>
                <w:highlight w:val="none"/>
              </w:rPr>
              <w:t>建设规模</w:t>
            </w:r>
          </w:p>
        </w:tc>
        <w:tc>
          <w:tcPr>
            <w:tcW w:w="5916" w:type="dxa"/>
            <w:vAlign w:val="center"/>
          </w:tcPr>
          <w:p w14:paraId="63C6108B">
            <w:pPr>
              <w:spacing w:line="460" w:lineRule="exact"/>
              <w:rPr>
                <w:rFonts w:hint="eastAsia" w:ascii="宋体" w:hAnsi="宋体"/>
                <w:color w:val="auto"/>
                <w:highlight w:val="none"/>
              </w:rPr>
            </w:pPr>
            <w:r>
              <w:rPr>
                <w:rFonts w:hint="eastAsia" w:ascii="宋体" w:hAnsi="宋体"/>
                <w:color w:val="auto"/>
                <w:highlight w:val="none"/>
              </w:rPr>
              <w:t>一、博罗县河肚水水系综合整治工程治理河段长度共计4.95km，工程等别为V等，工程规模属小（2）型工程，主要建筑物级别为5级，次要建筑物级别为5级，临时建筑物级别为5级，主要工程措施为河道清淤疏浚、护岸工程、水陂改造工程、灌溉工程及水生态治理工程等，其中气盾闸设备由招标人进行设备采购，中标单位负责安装。</w:t>
            </w:r>
          </w:p>
          <w:p w14:paraId="01DAB77D">
            <w:pPr>
              <w:spacing w:line="460" w:lineRule="exact"/>
              <w:rPr>
                <w:rFonts w:hint="eastAsia" w:ascii="宋体" w:hAnsi="宋体"/>
                <w:color w:val="auto"/>
                <w:highlight w:val="none"/>
              </w:rPr>
            </w:pPr>
            <w:r>
              <w:rPr>
                <w:rFonts w:hint="eastAsia" w:ascii="宋体" w:hAnsi="宋体"/>
                <w:color w:val="auto"/>
                <w:highlight w:val="none"/>
              </w:rPr>
              <w:t>二、博罗县澜石河水系综合整治工程治理河段长度共计3.83km，工程等别为V等，工程规模属小（2）型工程，主要建筑物级别为5级，次要建筑物级别为5级，临时建筑物级别为5级，主要工程措施为河道清淤疏浚、护岸工程、水陂改造工程及水生态治理工程等。</w:t>
            </w:r>
          </w:p>
        </w:tc>
      </w:tr>
      <w:tr w14:paraId="6569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34" w:type="dxa"/>
            <w:vAlign w:val="center"/>
          </w:tcPr>
          <w:p w14:paraId="1729F67C">
            <w:pPr>
              <w:spacing w:line="460" w:lineRule="exact"/>
              <w:jc w:val="center"/>
              <w:rPr>
                <w:rFonts w:hint="eastAsia" w:ascii="宋体" w:hAnsi="宋体"/>
                <w:color w:val="auto"/>
                <w:szCs w:val="21"/>
                <w:highlight w:val="none"/>
              </w:rPr>
            </w:pPr>
            <w:r>
              <w:rPr>
                <w:rFonts w:hint="eastAsia" w:ascii="宋体" w:hAnsi="宋体"/>
                <w:color w:val="auto"/>
                <w:szCs w:val="21"/>
                <w:highlight w:val="none"/>
              </w:rPr>
              <w:t>1.1.7</w:t>
            </w:r>
          </w:p>
        </w:tc>
        <w:tc>
          <w:tcPr>
            <w:tcW w:w="2232" w:type="dxa"/>
            <w:vAlign w:val="center"/>
          </w:tcPr>
          <w:p w14:paraId="3FE1C22C">
            <w:pPr>
              <w:widowControl/>
              <w:spacing w:line="46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承包方式</w:t>
            </w:r>
          </w:p>
        </w:tc>
        <w:tc>
          <w:tcPr>
            <w:tcW w:w="5916" w:type="dxa"/>
            <w:vAlign w:val="center"/>
          </w:tcPr>
          <w:p w14:paraId="52E2E4A1">
            <w:pPr>
              <w:spacing w:line="460" w:lineRule="exact"/>
              <w:rPr>
                <w:rFonts w:hint="eastAsia" w:ascii="宋体" w:hAnsi="宋体"/>
                <w:color w:val="auto"/>
                <w:szCs w:val="21"/>
                <w:highlight w:val="none"/>
              </w:rPr>
            </w:pPr>
            <w:r>
              <w:rPr>
                <w:rFonts w:ascii="宋体" w:hAnsi="宋体"/>
                <w:color w:val="auto"/>
                <w:szCs w:val="21"/>
                <w:highlight w:val="none"/>
              </w:rPr>
              <w:t>中标人为本工程施工总承包单位。包人工、包材料、包机械、包质量、包工期、包安全。不允许转包，不允许违法分包。</w:t>
            </w:r>
          </w:p>
        </w:tc>
      </w:tr>
      <w:tr w14:paraId="74B0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dxa"/>
            <w:vAlign w:val="center"/>
          </w:tcPr>
          <w:p w14:paraId="291FC70A">
            <w:pPr>
              <w:spacing w:line="460" w:lineRule="exact"/>
              <w:jc w:val="center"/>
              <w:rPr>
                <w:rFonts w:hint="eastAsia" w:ascii="宋体" w:hAnsi="宋体"/>
                <w:color w:val="auto"/>
                <w:szCs w:val="21"/>
                <w:highlight w:val="none"/>
              </w:rPr>
            </w:pPr>
            <w:bookmarkStart w:id="51" w:name="_Toc221950030"/>
            <w:r>
              <w:rPr>
                <w:rFonts w:ascii="宋体" w:hAnsi="宋体"/>
                <w:color w:val="auto"/>
                <w:szCs w:val="21"/>
                <w:highlight w:val="none"/>
              </w:rPr>
              <w:t>1.2.1</w:t>
            </w:r>
            <w:bookmarkEnd w:id="51"/>
          </w:p>
        </w:tc>
        <w:tc>
          <w:tcPr>
            <w:tcW w:w="2232" w:type="dxa"/>
            <w:vAlign w:val="center"/>
          </w:tcPr>
          <w:p w14:paraId="43239B41">
            <w:pPr>
              <w:spacing w:line="460" w:lineRule="exact"/>
              <w:jc w:val="center"/>
              <w:rPr>
                <w:rFonts w:hint="eastAsia" w:ascii="宋体" w:hAnsi="宋体"/>
                <w:color w:val="auto"/>
                <w:szCs w:val="21"/>
                <w:highlight w:val="none"/>
              </w:rPr>
            </w:pPr>
            <w:bookmarkStart w:id="52" w:name="_Toc221950031"/>
            <w:r>
              <w:rPr>
                <w:rFonts w:ascii="宋体" w:hAnsi="宋体"/>
                <w:color w:val="auto"/>
                <w:szCs w:val="21"/>
                <w:highlight w:val="none"/>
              </w:rPr>
              <w:t>资金来源</w:t>
            </w:r>
            <w:bookmarkEnd w:id="52"/>
          </w:p>
        </w:tc>
        <w:tc>
          <w:tcPr>
            <w:tcW w:w="5916" w:type="dxa"/>
            <w:vAlign w:val="center"/>
          </w:tcPr>
          <w:p w14:paraId="4807F789">
            <w:pPr>
              <w:spacing w:line="460" w:lineRule="exact"/>
              <w:rPr>
                <w:rFonts w:hint="eastAsia" w:ascii="宋体" w:hAnsi="宋体"/>
                <w:color w:val="auto"/>
                <w:szCs w:val="21"/>
                <w:highlight w:val="none"/>
              </w:rPr>
            </w:pPr>
            <w:r>
              <w:rPr>
                <w:rFonts w:hint="eastAsia" w:ascii="宋体" w:hAnsi="宋体"/>
                <w:color w:val="auto"/>
                <w:szCs w:val="21"/>
                <w:highlight w:val="none"/>
              </w:rPr>
              <w:t>除申请专项债券和上级资金补助外，不足部分由县财政统筹安排。</w:t>
            </w:r>
          </w:p>
        </w:tc>
      </w:tr>
      <w:tr w14:paraId="5A1B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4" w:type="dxa"/>
            <w:vAlign w:val="center"/>
          </w:tcPr>
          <w:p w14:paraId="246E7106">
            <w:pPr>
              <w:spacing w:line="460" w:lineRule="exact"/>
              <w:jc w:val="center"/>
              <w:rPr>
                <w:rFonts w:hint="eastAsia" w:ascii="宋体" w:hAnsi="宋体"/>
                <w:color w:val="auto"/>
                <w:szCs w:val="21"/>
                <w:highlight w:val="none"/>
              </w:rPr>
            </w:pPr>
            <w:bookmarkStart w:id="53" w:name="_Toc221950032"/>
            <w:r>
              <w:rPr>
                <w:rFonts w:ascii="宋体" w:hAnsi="宋体"/>
                <w:color w:val="auto"/>
                <w:szCs w:val="21"/>
                <w:highlight w:val="none"/>
              </w:rPr>
              <w:t>1.2.2</w:t>
            </w:r>
            <w:bookmarkEnd w:id="53"/>
          </w:p>
        </w:tc>
        <w:tc>
          <w:tcPr>
            <w:tcW w:w="2232" w:type="dxa"/>
            <w:vAlign w:val="center"/>
          </w:tcPr>
          <w:p w14:paraId="3BF2CA2C">
            <w:pPr>
              <w:spacing w:line="460" w:lineRule="exact"/>
              <w:jc w:val="center"/>
              <w:rPr>
                <w:rFonts w:hint="eastAsia" w:ascii="宋体" w:hAnsi="宋体"/>
                <w:color w:val="auto"/>
                <w:szCs w:val="21"/>
                <w:highlight w:val="none"/>
              </w:rPr>
            </w:pPr>
            <w:bookmarkStart w:id="54" w:name="_Toc221950033"/>
            <w:r>
              <w:rPr>
                <w:rFonts w:ascii="宋体" w:hAnsi="宋体"/>
                <w:color w:val="auto"/>
                <w:szCs w:val="21"/>
                <w:highlight w:val="none"/>
              </w:rPr>
              <w:t>出资比例</w:t>
            </w:r>
            <w:bookmarkEnd w:id="54"/>
          </w:p>
        </w:tc>
        <w:tc>
          <w:tcPr>
            <w:tcW w:w="5916" w:type="dxa"/>
            <w:vAlign w:val="center"/>
          </w:tcPr>
          <w:p w14:paraId="6C42CF66">
            <w:pPr>
              <w:spacing w:line="460" w:lineRule="exact"/>
              <w:rPr>
                <w:rFonts w:hint="eastAsia" w:ascii="宋体" w:hAnsi="宋体"/>
                <w:color w:val="auto"/>
                <w:szCs w:val="21"/>
                <w:highlight w:val="none"/>
              </w:rPr>
            </w:pPr>
            <w:r>
              <w:rPr>
                <w:rFonts w:hint="eastAsia" w:ascii="宋体" w:hAnsi="宋体"/>
                <w:color w:val="auto"/>
                <w:szCs w:val="21"/>
                <w:highlight w:val="none"/>
              </w:rPr>
              <w:t>100%</w:t>
            </w:r>
          </w:p>
        </w:tc>
      </w:tr>
      <w:tr w14:paraId="0AF3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34" w:type="dxa"/>
            <w:vAlign w:val="center"/>
          </w:tcPr>
          <w:p w14:paraId="6BE23D11">
            <w:pPr>
              <w:spacing w:line="460" w:lineRule="exact"/>
              <w:jc w:val="center"/>
              <w:rPr>
                <w:rFonts w:hint="eastAsia" w:ascii="宋体" w:hAnsi="宋体"/>
                <w:color w:val="auto"/>
                <w:szCs w:val="21"/>
                <w:highlight w:val="none"/>
              </w:rPr>
            </w:pPr>
            <w:bookmarkStart w:id="55" w:name="_Toc221950034"/>
            <w:r>
              <w:rPr>
                <w:rFonts w:ascii="宋体" w:hAnsi="宋体"/>
                <w:color w:val="auto"/>
                <w:szCs w:val="21"/>
                <w:highlight w:val="none"/>
              </w:rPr>
              <w:t>1.2.3</w:t>
            </w:r>
            <w:bookmarkEnd w:id="55"/>
          </w:p>
        </w:tc>
        <w:tc>
          <w:tcPr>
            <w:tcW w:w="2232" w:type="dxa"/>
            <w:vAlign w:val="center"/>
          </w:tcPr>
          <w:p w14:paraId="614D9AA1">
            <w:pPr>
              <w:spacing w:line="460" w:lineRule="exact"/>
              <w:jc w:val="center"/>
              <w:rPr>
                <w:rFonts w:hint="eastAsia" w:ascii="宋体" w:hAnsi="宋体"/>
                <w:color w:val="auto"/>
                <w:szCs w:val="21"/>
                <w:highlight w:val="none"/>
              </w:rPr>
            </w:pPr>
            <w:bookmarkStart w:id="56" w:name="_Toc221950035"/>
            <w:r>
              <w:rPr>
                <w:rFonts w:hint="eastAsia" w:ascii="宋体" w:hAnsi="宋体"/>
                <w:color w:val="auto"/>
                <w:szCs w:val="21"/>
                <w:highlight w:val="none"/>
              </w:rPr>
              <w:t>资金</w:t>
            </w:r>
            <w:r>
              <w:rPr>
                <w:rFonts w:ascii="宋体" w:hAnsi="宋体"/>
                <w:color w:val="auto"/>
                <w:szCs w:val="21"/>
                <w:highlight w:val="none"/>
              </w:rPr>
              <w:t>落实情况</w:t>
            </w:r>
            <w:bookmarkEnd w:id="56"/>
          </w:p>
        </w:tc>
        <w:tc>
          <w:tcPr>
            <w:tcW w:w="5916" w:type="dxa"/>
            <w:vAlign w:val="center"/>
          </w:tcPr>
          <w:p w14:paraId="7931EA3A">
            <w:pPr>
              <w:spacing w:line="460" w:lineRule="exact"/>
              <w:rPr>
                <w:rFonts w:hint="eastAsia" w:ascii="宋体" w:hAnsi="宋体"/>
                <w:color w:val="auto"/>
                <w:szCs w:val="21"/>
                <w:highlight w:val="none"/>
              </w:rPr>
            </w:pPr>
            <w:r>
              <w:rPr>
                <w:rFonts w:hint="eastAsia" w:ascii="宋体" w:hAnsi="宋体"/>
                <w:color w:val="auto"/>
                <w:szCs w:val="21"/>
                <w:highlight w:val="none"/>
              </w:rPr>
              <w:t>已落实。</w:t>
            </w:r>
          </w:p>
        </w:tc>
      </w:tr>
      <w:tr w14:paraId="4AA2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34" w:type="dxa"/>
            <w:vAlign w:val="center"/>
          </w:tcPr>
          <w:p w14:paraId="40798A0A">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.1</w:t>
            </w:r>
          </w:p>
        </w:tc>
        <w:tc>
          <w:tcPr>
            <w:tcW w:w="2232" w:type="dxa"/>
            <w:vAlign w:val="center"/>
          </w:tcPr>
          <w:p w14:paraId="11B1734F">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招标范围</w:t>
            </w:r>
          </w:p>
        </w:tc>
        <w:tc>
          <w:tcPr>
            <w:tcW w:w="5916" w:type="dxa"/>
            <w:vAlign w:val="center"/>
          </w:tcPr>
          <w:p w14:paraId="5FA150B9">
            <w:pPr>
              <w:spacing w:line="460" w:lineRule="exact"/>
              <w:rPr>
                <w:rFonts w:hint="eastAsia" w:ascii="宋体" w:hAnsi="宋体"/>
                <w:color w:val="auto"/>
                <w:szCs w:val="21"/>
                <w:highlight w:val="none"/>
              </w:rPr>
            </w:pPr>
            <w:r>
              <w:rPr>
                <w:rFonts w:hint="eastAsia" w:ascii="宋体" w:hAnsi="宋体"/>
                <w:bCs/>
                <w:color w:val="auto"/>
                <w:kern w:val="0"/>
                <w:szCs w:val="21"/>
                <w:highlight w:val="none"/>
              </w:rPr>
              <w:t>主要实施内容：按招标人提供的施工图和有关资料及说明，工作内容包括博罗县河肚水水系综合整治工程和博罗县澜石河水系综合整治工程的施工及保修工作（具体施工内容以招标人提供的有关资料为准）。</w:t>
            </w:r>
          </w:p>
        </w:tc>
      </w:tr>
      <w:tr w14:paraId="4481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605806DC">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1.3.2</w:t>
            </w:r>
          </w:p>
        </w:tc>
        <w:tc>
          <w:tcPr>
            <w:tcW w:w="2232" w:type="dxa"/>
            <w:vAlign w:val="center"/>
          </w:tcPr>
          <w:p w14:paraId="2C0C1844">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计划工期</w:t>
            </w:r>
          </w:p>
        </w:tc>
        <w:tc>
          <w:tcPr>
            <w:tcW w:w="5916" w:type="dxa"/>
            <w:vAlign w:val="center"/>
          </w:tcPr>
          <w:p w14:paraId="670BA338">
            <w:pPr>
              <w:spacing w:line="460" w:lineRule="exact"/>
              <w:rPr>
                <w:rFonts w:hint="eastAsia" w:ascii="宋体" w:hAnsi="宋体"/>
                <w:color w:val="auto"/>
                <w:szCs w:val="21"/>
                <w:highlight w:val="none"/>
              </w:rPr>
            </w:pPr>
            <w:r>
              <w:rPr>
                <w:rFonts w:hint="eastAsia"/>
                <w:color w:val="auto"/>
                <w:szCs w:val="21"/>
                <w:highlight w:val="none"/>
              </w:rPr>
              <w:t>暂定为365日历天。</w:t>
            </w:r>
          </w:p>
        </w:tc>
      </w:tr>
      <w:tr w14:paraId="349D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34" w:type="dxa"/>
            <w:vAlign w:val="center"/>
          </w:tcPr>
          <w:p w14:paraId="3A6D04B7">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1.3.3</w:t>
            </w:r>
          </w:p>
        </w:tc>
        <w:tc>
          <w:tcPr>
            <w:tcW w:w="2232" w:type="dxa"/>
            <w:vAlign w:val="center"/>
          </w:tcPr>
          <w:p w14:paraId="035AAB90">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质量要求</w:t>
            </w:r>
          </w:p>
        </w:tc>
        <w:tc>
          <w:tcPr>
            <w:tcW w:w="5916" w:type="dxa"/>
            <w:vAlign w:val="center"/>
          </w:tcPr>
          <w:p w14:paraId="487466F0">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合格</w:t>
            </w:r>
          </w:p>
        </w:tc>
      </w:tr>
      <w:tr w14:paraId="529A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134" w:type="dxa"/>
            <w:vAlign w:val="center"/>
          </w:tcPr>
          <w:p w14:paraId="285F3742">
            <w:pPr>
              <w:adjustRightInd w:val="0"/>
              <w:spacing w:line="460" w:lineRule="exact"/>
              <w:jc w:val="center"/>
              <w:textAlignment w:val="baseline"/>
              <w:rPr>
                <w:rFonts w:hint="eastAsia" w:ascii="宋体" w:hAnsi="宋体"/>
                <w:color w:val="auto"/>
                <w:szCs w:val="21"/>
                <w:highlight w:val="none"/>
              </w:rPr>
            </w:pPr>
          </w:p>
          <w:p w14:paraId="67D7ADF3">
            <w:pPr>
              <w:adjustRightInd w:val="0"/>
              <w:spacing w:line="460" w:lineRule="exact"/>
              <w:jc w:val="center"/>
              <w:textAlignment w:val="baseline"/>
              <w:rPr>
                <w:rFonts w:hint="eastAsia" w:ascii="宋体" w:hAnsi="宋体"/>
                <w:color w:val="auto"/>
                <w:szCs w:val="21"/>
                <w:highlight w:val="none"/>
              </w:rPr>
            </w:pPr>
            <w:bookmarkStart w:id="57" w:name="_Toc221950045"/>
            <w:r>
              <w:rPr>
                <w:rFonts w:hint="eastAsia" w:ascii="宋体" w:hAnsi="宋体"/>
                <w:color w:val="auto"/>
                <w:szCs w:val="21"/>
                <w:highlight w:val="none"/>
              </w:rPr>
              <w:t>1.4.1</w:t>
            </w:r>
            <w:bookmarkEnd w:id="57"/>
          </w:p>
          <w:p w14:paraId="58392E59">
            <w:pPr>
              <w:adjustRightInd w:val="0"/>
              <w:spacing w:line="460" w:lineRule="exact"/>
              <w:textAlignment w:val="baseline"/>
              <w:rPr>
                <w:rFonts w:hint="eastAsia" w:ascii="宋体" w:hAnsi="宋体"/>
                <w:color w:val="auto"/>
                <w:szCs w:val="21"/>
                <w:highlight w:val="none"/>
              </w:rPr>
            </w:pPr>
          </w:p>
        </w:tc>
        <w:tc>
          <w:tcPr>
            <w:tcW w:w="2232" w:type="dxa"/>
            <w:vAlign w:val="center"/>
          </w:tcPr>
          <w:p w14:paraId="24B3FBD4">
            <w:pPr>
              <w:adjustRightInd w:val="0"/>
              <w:spacing w:line="460" w:lineRule="exact"/>
              <w:jc w:val="center"/>
              <w:textAlignment w:val="baseline"/>
              <w:rPr>
                <w:rFonts w:hint="eastAsia" w:ascii="宋体" w:hAnsi="宋体"/>
                <w:color w:val="auto"/>
                <w:szCs w:val="21"/>
                <w:highlight w:val="none"/>
              </w:rPr>
            </w:pPr>
            <w:bookmarkStart w:id="58" w:name="_Toc221950046"/>
            <w:r>
              <w:rPr>
                <w:rFonts w:hint="eastAsia" w:ascii="宋体" w:hAnsi="宋体"/>
                <w:color w:val="auto"/>
                <w:szCs w:val="21"/>
                <w:highlight w:val="none"/>
              </w:rPr>
              <w:t>投标人资质条件、能力和信誉</w:t>
            </w:r>
            <w:bookmarkEnd w:id="58"/>
          </w:p>
        </w:tc>
        <w:tc>
          <w:tcPr>
            <w:tcW w:w="5916" w:type="dxa"/>
            <w:vAlign w:val="center"/>
          </w:tcPr>
          <w:p w14:paraId="4A7EDE72">
            <w:pPr>
              <w:pStyle w:val="11"/>
              <w:spacing w:line="460" w:lineRule="exact"/>
              <w:rPr>
                <w:rFonts w:hint="eastAsia" w:ascii="宋体" w:hAnsi="宋体"/>
                <w:color w:val="auto"/>
                <w:szCs w:val="24"/>
                <w:highlight w:val="none"/>
              </w:rPr>
            </w:pPr>
            <w:r>
              <w:rPr>
                <w:rFonts w:hint="eastAsia" w:ascii="宋体" w:hAnsi="宋体"/>
                <w:color w:val="auto"/>
                <w:szCs w:val="24"/>
                <w:highlight w:val="none"/>
              </w:rPr>
              <w:t>1.投标人必须为在中华人民共和国境内注册，在法律、财务上独立，合法运作的独立法人。</w:t>
            </w:r>
          </w:p>
          <w:p w14:paraId="2C3F3F58">
            <w:pPr>
              <w:pStyle w:val="11"/>
              <w:spacing w:line="460" w:lineRule="exact"/>
              <w:rPr>
                <w:rFonts w:hint="eastAsia" w:ascii="宋体" w:hAnsi="宋体"/>
                <w:color w:val="auto"/>
                <w:szCs w:val="24"/>
                <w:highlight w:val="none"/>
              </w:rPr>
            </w:pPr>
            <w:r>
              <w:rPr>
                <w:rFonts w:hint="eastAsia" w:ascii="宋体" w:hAnsi="宋体"/>
                <w:color w:val="auto"/>
                <w:szCs w:val="24"/>
                <w:highlight w:val="none"/>
              </w:rPr>
              <w:t>2.企业资质要求：投标人须具备水利水电工程施工总承包贰级或以上资质，并取得建设行政主管部门颁发的在有效期内的安全生产许可证。</w:t>
            </w:r>
          </w:p>
          <w:p w14:paraId="592AA585">
            <w:pPr>
              <w:pStyle w:val="11"/>
              <w:spacing w:line="460" w:lineRule="exact"/>
              <w:rPr>
                <w:rFonts w:hint="eastAsia" w:ascii="宋体" w:hAnsi="宋体"/>
                <w:color w:val="auto"/>
                <w:szCs w:val="24"/>
                <w:highlight w:val="none"/>
              </w:rPr>
            </w:pPr>
            <w:r>
              <w:rPr>
                <w:rFonts w:hint="eastAsia" w:ascii="宋体" w:hAnsi="宋体"/>
                <w:color w:val="auto"/>
                <w:szCs w:val="24"/>
                <w:highlight w:val="none"/>
              </w:rPr>
              <w:t>3.拟投入的项目管理班子成员要求：</w:t>
            </w:r>
          </w:p>
          <w:p w14:paraId="5533AAC2">
            <w:pPr>
              <w:pStyle w:val="11"/>
              <w:spacing w:line="460" w:lineRule="exact"/>
              <w:rPr>
                <w:rFonts w:hint="eastAsia" w:ascii="宋体" w:hAnsi="宋体"/>
                <w:color w:val="auto"/>
                <w:szCs w:val="24"/>
                <w:highlight w:val="none"/>
              </w:rPr>
            </w:pPr>
            <w:r>
              <w:rPr>
                <w:rFonts w:hint="eastAsia" w:ascii="宋体" w:hAnsi="宋体"/>
                <w:color w:val="auto"/>
                <w:szCs w:val="24"/>
                <w:highlight w:val="none"/>
              </w:rPr>
              <w:t>3.1项目负责人2人，具有水利水电工程专业二级或以上建造师注册证书及水行政主管部门颁发的B类安全生产考核合格证书，在投标人本单位注册，未承担其他在建工程；</w:t>
            </w:r>
          </w:p>
          <w:p w14:paraId="1048CFBB">
            <w:pPr>
              <w:pStyle w:val="11"/>
              <w:spacing w:line="460" w:lineRule="exact"/>
              <w:rPr>
                <w:rFonts w:hint="eastAsia" w:ascii="宋体" w:hAnsi="宋体"/>
                <w:color w:val="auto"/>
                <w:szCs w:val="24"/>
                <w:highlight w:val="none"/>
              </w:rPr>
            </w:pPr>
            <w:r>
              <w:rPr>
                <w:rFonts w:hint="eastAsia" w:ascii="宋体" w:hAnsi="宋体"/>
                <w:color w:val="auto"/>
                <w:szCs w:val="24"/>
                <w:highlight w:val="none"/>
              </w:rPr>
              <w:t>3.2技术负责人2人，具有水利类专业中级或以上工程师职称；</w:t>
            </w:r>
          </w:p>
          <w:p w14:paraId="58D2F098">
            <w:pPr>
              <w:pStyle w:val="11"/>
              <w:spacing w:line="460" w:lineRule="exact"/>
              <w:rPr>
                <w:rFonts w:hint="eastAsia" w:ascii="宋体" w:hAnsi="宋体"/>
                <w:color w:val="auto"/>
                <w:szCs w:val="24"/>
                <w:highlight w:val="none"/>
              </w:rPr>
            </w:pPr>
            <w:r>
              <w:rPr>
                <w:rFonts w:hint="eastAsia" w:ascii="宋体" w:hAnsi="宋体"/>
                <w:color w:val="auto"/>
                <w:szCs w:val="24"/>
                <w:highlight w:val="none"/>
              </w:rPr>
              <w:t>3.3安全员2人，均具有水行政主管部门颁发的有效期内的安全考核合格证书（C类）；</w:t>
            </w:r>
          </w:p>
          <w:p w14:paraId="3641B50A">
            <w:pPr>
              <w:pStyle w:val="11"/>
              <w:spacing w:line="460" w:lineRule="exact"/>
              <w:rPr>
                <w:rFonts w:hint="eastAsia" w:ascii="宋体" w:hAnsi="宋体"/>
                <w:color w:val="auto"/>
                <w:szCs w:val="24"/>
                <w:highlight w:val="none"/>
              </w:rPr>
            </w:pPr>
            <w:r>
              <w:rPr>
                <w:rFonts w:hint="eastAsia" w:ascii="宋体" w:hAnsi="宋体"/>
                <w:color w:val="auto"/>
                <w:szCs w:val="24"/>
                <w:highlight w:val="none"/>
              </w:rPr>
              <w:t>3.4施工员2人、质检员2人、资料员2人、材料员2人，具有中国水利工程协会或水行政主管部门颁发的相应岗位证书；</w:t>
            </w:r>
          </w:p>
          <w:p w14:paraId="6D453408">
            <w:pPr>
              <w:pStyle w:val="11"/>
              <w:spacing w:line="460" w:lineRule="exact"/>
              <w:rPr>
                <w:rFonts w:hint="eastAsia" w:ascii="宋体" w:hAnsi="宋体"/>
                <w:color w:val="auto"/>
                <w:szCs w:val="24"/>
                <w:highlight w:val="none"/>
              </w:rPr>
            </w:pPr>
            <w:r>
              <w:rPr>
                <w:rFonts w:hint="eastAsia" w:ascii="宋体" w:hAnsi="宋体"/>
                <w:color w:val="auto"/>
                <w:szCs w:val="24"/>
                <w:highlight w:val="none"/>
              </w:rPr>
              <w:t>3.5安全负责人1人，应持有注册安全工程师执业证，注册类别为建筑施工安全或其他安全（不含消防安全），并提供注册安全工程师注册管理系统查询结果截图；或者具有水行政主管部门颁发的B类安全生产考核合格证；</w:t>
            </w:r>
          </w:p>
          <w:p w14:paraId="33CDC483">
            <w:pPr>
              <w:pStyle w:val="11"/>
              <w:spacing w:line="460" w:lineRule="exact"/>
              <w:rPr>
                <w:rFonts w:hint="eastAsia" w:ascii="宋体" w:hAnsi="宋体"/>
                <w:color w:val="auto"/>
                <w:szCs w:val="24"/>
                <w:highlight w:val="none"/>
              </w:rPr>
            </w:pPr>
            <w:r>
              <w:rPr>
                <w:rFonts w:hint="eastAsia" w:ascii="宋体" w:hAnsi="宋体"/>
                <w:color w:val="auto"/>
                <w:szCs w:val="24"/>
                <w:highlight w:val="none"/>
              </w:rPr>
              <w:t>3.6造价人员1人，具有水利工程专业的中华人民共和国二级（或以上）造价工程师注册证书；</w:t>
            </w:r>
          </w:p>
          <w:p w14:paraId="3BA19870">
            <w:pPr>
              <w:pStyle w:val="11"/>
              <w:spacing w:line="460" w:lineRule="exact"/>
              <w:rPr>
                <w:rFonts w:hint="eastAsia" w:ascii="宋体" w:hAnsi="宋体"/>
                <w:color w:val="auto"/>
                <w:szCs w:val="24"/>
                <w:highlight w:val="none"/>
              </w:rPr>
            </w:pPr>
            <w:r>
              <w:rPr>
                <w:rFonts w:hint="eastAsia" w:ascii="宋体" w:hAnsi="宋体"/>
                <w:color w:val="auto"/>
                <w:szCs w:val="24"/>
                <w:highlight w:val="none"/>
              </w:rPr>
              <w:t>3.7财务负责人1人，具有初级（或以上）会计专业技术资格证书；</w:t>
            </w:r>
          </w:p>
          <w:p w14:paraId="08714010">
            <w:pPr>
              <w:pStyle w:val="11"/>
              <w:spacing w:line="460" w:lineRule="exact"/>
              <w:rPr>
                <w:rFonts w:hint="eastAsia" w:ascii="宋体" w:hAnsi="宋体"/>
                <w:color w:val="auto"/>
                <w:szCs w:val="24"/>
                <w:highlight w:val="none"/>
              </w:rPr>
            </w:pPr>
            <w:r>
              <w:rPr>
                <w:rFonts w:hint="eastAsia" w:ascii="宋体" w:hAnsi="宋体"/>
                <w:color w:val="auto"/>
                <w:szCs w:val="24"/>
                <w:highlight w:val="none"/>
              </w:rPr>
              <w:t>3.8上述人员提供身份证扫描件及近三个月（2025年02月至2025年04月）在投标单位（含分支机构）的社保证明，且不可兼任于其他岗位（必须按一人一岗配置），各投标人可根据自身条件和工程实际情况增加和增派相关专业人员。</w:t>
            </w:r>
          </w:p>
          <w:p w14:paraId="6BF80511">
            <w:pPr>
              <w:pStyle w:val="11"/>
              <w:spacing w:line="460" w:lineRule="exact"/>
              <w:rPr>
                <w:rFonts w:hint="eastAsia" w:ascii="宋体" w:hAnsi="宋体"/>
                <w:color w:val="auto"/>
                <w:szCs w:val="24"/>
                <w:highlight w:val="none"/>
              </w:rPr>
            </w:pPr>
            <w:r>
              <w:rPr>
                <w:rFonts w:hint="eastAsia" w:ascii="宋体" w:hAnsi="宋体"/>
                <w:color w:val="auto"/>
                <w:szCs w:val="24"/>
                <w:highlight w:val="none"/>
              </w:rPr>
              <w:t>4.财务要求：/</w:t>
            </w:r>
          </w:p>
          <w:p w14:paraId="368A089E">
            <w:pPr>
              <w:pStyle w:val="11"/>
              <w:spacing w:line="460" w:lineRule="exact"/>
              <w:rPr>
                <w:rFonts w:hint="eastAsia" w:ascii="宋体" w:hAnsi="宋体"/>
                <w:color w:val="auto"/>
                <w:szCs w:val="24"/>
                <w:highlight w:val="none"/>
              </w:rPr>
            </w:pPr>
            <w:r>
              <w:rPr>
                <w:rFonts w:hint="eastAsia" w:ascii="宋体" w:hAnsi="宋体"/>
                <w:color w:val="auto"/>
                <w:szCs w:val="24"/>
                <w:highlight w:val="none"/>
              </w:rPr>
              <w:t>5.信誉要求：</w:t>
            </w:r>
          </w:p>
          <w:p w14:paraId="6671A219">
            <w:pPr>
              <w:pStyle w:val="11"/>
              <w:spacing w:line="460" w:lineRule="exact"/>
              <w:rPr>
                <w:rFonts w:hint="eastAsia" w:ascii="宋体" w:hAnsi="宋体"/>
                <w:color w:val="auto"/>
                <w:szCs w:val="24"/>
                <w:highlight w:val="none"/>
              </w:rPr>
            </w:pPr>
            <w:r>
              <w:rPr>
                <w:rFonts w:hint="eastAsia" w:ascii="宋体" w:hAnsi="宋体"/>
                <w:color w:val="auto"/>
                <w:szCs w:val="24"/>
                <w:highlight w:val="none"/>
              </w:rPr>
              <w:t>5.1自2022年05月01日以来没有骗取中标或严重违约，经营中无重大安全生产事故或质量事故、没有严重不良行为记录及违法犯罪记录，提供承诺书（格式自拟）。</w:t>
            </w:r>
          </w:p>
          <w:p w14:paraId="22C68E1D">
            <w:pPr>
              <w:pStyle w:val="11"/>
              <w:keepNext w:val="0"/>
              <w:keepLines w:val="0"/>
              <w:pageBreakBefore w:val="0"/>
              <w:widowControl w:val="0"/>
              <w:kinsoku/>
              <w:wordWrap w:val="0"/>
              <w:overflowPunct/>
              <w:topLinePunct/>
              <w:autoSpaceDE/>
              <w:autoSpaceDN/>
              <w:bidi w:val="0"/>
              <w:adjustRightInd/>
              <w:snapToGrid/>
              <w:spacing w:line="460" w:lineRule="exact"/>
              <w:textAlignment w:val="auto"/>
              <w:rPr>
                <w:rFonts w:hint="eastAsia" w:ascii="宋体" w:hAnsi="宋体"/>
                <w:color w:val="auto"/>
                <w:szCs w:val="24"/>
                <w:highlight w:val="none"/>
              </w:rPr>
            </w:pPr>
            <w:r>
              <w:rPr>
                <w:rFonts w:hint="eastAsia" w:ascii="宋体" w:hAnsi="宋体"/>
                <w:color w:val="auto"/>
                <w:szCs w:val="24"/>
                <w:highlight w:val="none"/>
              </w:rPr>
              <w:t>5.2在中国执行信息公开网（http://zxgk.court.gov.cn/shixin/）未被列入失信被执行人、在信用中国网站（www.creditchina.gov.cn）未被列入重大税收违法失信主体以及在国家企业信用信息公示系统（http://www.gsxt.gov.cn/index.html）未被列入严重违法失信名单（黑名单）（提供相关网页截图）。</w:t>
            </w:r>
          </w:p>
          <w:p w14:paraId="7D41FA45">
            <w:pPr>
              <w:pStyle w:val="11"/>
              <w:spacing w:line="460" w:lineRule="exact"/>
              <w:rPr>
                <w:rFonts w:hint="eastAsia" w:ascii="宋体" w:hAnsi="宋体"/>
                <w:color w:val="auto"/>
                <w:szCs w:val="24"/>
                <w:highlight w:val="none"/>
              </w:rPr>
            </w:pPr>
            <w:r>
              <w:rPr>
                <w:rFonts w:hint="eastAsia" w:ascii="宋体" w:hAnsi="宋体"/>
                <w:color w:val="auto"/>
                <w:szCs w:val="24"/>
                <w:highlight w:val="none"/>
              </w:rPr>
              <w:t>6.本招标工程采用资格后审方式(详见招标文件资格审查)。</w:t>
            </w:r>
          </w:p>
          <w:p w14:paraId="686BDE05">
            <w:pPr>
              <w:pStyle w:val="11"/>
              <w:spacing w:line="460" w:lineRule="exact"/>
              <w:rPr>
                <w:rFonts w:hint="eastAsia" w:ascii="宋体" w:hAnsi="宋体"/>
                <w:color w:val="auto"/>
                <w:szCs w:val="24"/>
                <w:highlight w:val="none"/>
              </w:rPr>
            </w:pPr>
            <w:r>
              <w:rPr>
                <w:rFonts w:hint="eastAsia" w:ascii="宋体" w:hAnsi="宋体"/>
                <w:color w:val="auto"/>
                <w:szCs w:val="24"/>
                <w:highlight w:val="none"/>
              </w:rPr>
              <w:t>7.本项目不接受联合体投标。</w:t>
            </w:r>
          </w:p>
          <w:p w14:paraId="0A74F263">
            <w:pPr>
              <w:pStyle w:val="11"/>
              <w:spacing w:line="460" w:lineRule="exact"/>
              <w:rPr>
                <w:rFonts w:hint="eastAsia" w:ascii="宋体" w:hAnsi="宋体"/>
                <w:color w:val="auto"/>
                <w:szCs w:val="24"/>
                <w:highlight w:val="none"/>
              </w:rPr>
            </w:pPr>
            <w:r>
              <w:rPr>
                <w:rFonts w:hint="eastAsia" w:ascii="宋体" w:hAnsi="宋体"/>
                <w:color w:val="auto"/>
                <w:szCs w:val="24"/>
                <w:highlight w:val="none"/>
              </w:rPr>
              <w:t>8.其他要求：无。</w:t>
            </w:r>
          </w:p>
          <w:p w14:paraId="0649A70E">
            <w:pPr>
              <w:pStyle w:val="11"/>
              <w:spacing w:line="460" w:lineRule="exact"/>
              <w:rPr>
                <w:color w:val="auto"/>
                <w:highlight w:val="none"/>
              </w:rPr>
            </w:pPr>
            <w:r>
              <w:rPr>
                <w:rFonts w:hint="eastAsia" w:ascii="宋体" w:hAnsi="宋体"/>
                <w:color w:val="auto"/>
                <w:szCs w:val="24"/>
                <w:highlight w:val="none"/>
              </w:rPr>
              <w:t>9.业绩要求：</w:t>
            </w:r>
            <w:r>
              <w:rPr>
                <w:rFonts w:hint="eastAsia" w:ascii="宋体" w:hAnsi="宋体" w:cs="宋体"/>
                <w:color w:val="auto"/>
                <w:kern w:val="0"/>
                <w:sz w:val="24"/>
                <w:szCs w:val="24"/>
                <w:highlight w:val="none"/>
                <w:lang w:bidi="ar"/>
              </w:rPr>
              <w:t>/</w:t>
            </w:r>
            <w:r>
              <w:rPr>
                <w:rFonts w:hint="eastAsia"/>
                <w:color w:val="auto"/>
                <w:highlight w:val="none"/>
              </w:rPr>
              <w:t>。</w:t>
            </w:r>
          </w:p>
        </w:tc>
      </w:tr>
      <w:tr w14:paraId="278E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34" w:type="dxa"/>
            <w:vAlign w:val="center"/>
          </w:tcPr>
          <w:p w14:paraId="0CA44D12">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2</w:t>
            </w:r>
          </w:p>
        </w:tc>
        <w:tc>
          <w:tcPr>
            <w:tcW w:w="2232" w:type="dxa"/>
            <w:vAlign w:val="center"/>
          </w:tcPr>
          <w:p w14:paraId="162D701A">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是否接受联合体投标</w:t>
            </w:r>
          </w:p>
        </w:tc>
        <w:tc>
          <w:tcPr>
            <w:tcW w:w="5916" w:type="dxa"/>
            <w:vAlign w:val="center"/>
          </w:tcPr>
          <w:p w14:paraId="683250A3">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不接受</w:t>
            </w:r>
          </w:p>
          <w:p w14:paraId="6D4C6A15">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接受，应满足下列要求：</w:t>
            </w:r>
          </w:p>
        </w:tc>
      </w:tr>
      <w:tr w14:paraId="1E9E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6594D19">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.1</w:t>
            </w:r>
          </w:p>
        </w:tc>
        <w:tc>
          <w:tcPr>
            <w:tcW w:w="2232" w:type="dxa"/>
            <w:vAlign w:val="center"/>
          </w:tcPr>
          <w:p w14:paraId="4AEF7260">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踏勘</w:t>
            </w:r>
            <w:r>
              <w:rPr>
                <w:rFonts w:hint="eastAsia" w:ascii="宋体" w:hAnsi="宋体"/>
                <w:color w:val="auto"/>
                <w:szCs w:val="21"/>
                <w:highlight w:val="none"/>
              </w:rPr>
              <w:t>现场</w:t>
            </w:r>
          </w:p>
        </w:tc>
        <w:tc>
          <w:tcPr>
            <w:tcW w:w="5916" w:type="dxa"/>
            <w:vAlign w:val="center"/>
          </w:tcPr>
          <w:p w14:paraId="5F03B2DA">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highlight w:val="none"/>
              </w:rPr>
              <w:t>不组织，根据本工程发布招标公告的工程地点，由各投标人自行组织对本工程现场及周围环境进行踏勘，以便投标人获取有关编制投标文件和签署合同所涉及现场的资料。投标人承担踏勘现场所发生的自身费用。投标人可为踏勘目的进入招标人的项目现场，但投标人不得因此使招标人承担有关的责任和蒙受损失。投标人应承担踏勘现场的责任和风险。投标人不得以未踏勘现场为由向招标人提出任何与此相关的索赔。</w:t>
            </w:r>
          </w:p>
          <w:p w14:paraId="2BF13734">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组织，踏勘时间：</w:t>
            </w:r>
          </w:p>
          <w:p w14:paraId="5FDF8FD8">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踏勘集中地点：</w:t>
            </w:r>
          </w:p>
        </w:tc>
      </w:tr>
      <w:tr w14:paraId="6117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134" w:type="dxa"/>
            <w:vAlign w:val="center"/>
          </w:tcPr>
          <w:p w14:paraId="368B54E1">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1.10.1</w:t>
            </w:r>
          </w:p>
        </w:tc>
        <w:tc>
          <w:tcPr>
            <w:tcW w:w="2232" w:type="dxa"/>
            <w:vAlign w:val="center"/>
          </w:tcPr>
          <w:p w14:paraId="1A440745">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投标预备会</w:t>
            </w:r>
          </w:p>
        </w:tc>
        <w:tc>
          <w:tcPr>
            <w:tcW w:w="5916" w:type="dxa"/>
            <w:vAlign w:val="center"/>
          </w:tcPr>
          <w:p w14:paraId="3ED79924">
            <w:pPr>
              <w:spacing w:line="460" w:lineRule="exact"/>
              <w:rPr>
                <w:rFonts w:hint="eastAsia" w:hAnsi="宋体"/>
                <w:color w:val="auto"/>
                <w:szCs w:val="21"/>
                <w:highlight w:val="none"/>
              </w:rPr>
            </w:pPr>
            <w:r>
              <w:rPr>
                <w:rFonts w:hint="eastAsia" w:ascii="宋体" w:hAnsi="宋体"/>
                <w:color w:val="auto"/>
                <w:szCs w:val="21"/>
                <w:highlight w:val="none"/>
              </w:rPr>
              <w:sym w:font="Wingdings" w:char="00FE"/>
            </w:r>
            <w:r>
              <w:rPr>
                <w:rFonts w:hint="eastAsia" w:hAnsi="宋体"/>
                <w:color w:val="auto"/>
                <w:szCs w:val="21"/>
                <w:highlight w:val="none"/>
              </w:rPr>
              <w:t>不</w:t>
            </w:r>
            <w:r>
              <w:rPr>
                <w:rFonts w:hAnsi="宋体"/>
                <w:color w:val="auto"/>
                <w:szCs w:val="21"/>
                <w:highlight w:val="none"/>
              </w:rPr>
              <w:t>召开</w:t>
            </w:r>
          </w:p>
          <w:p w14:paraId="701AC0F5">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ascii="宋体" w:hAnsi="宋体"/>
                <w:color w:val="auto"/>
                <w:szCs w:val="21"/>
                <w:highlight w:val="none"/>
              </w:rPr>
              <w:t>召开</w:t>
            </w:r>
            <w:r>
              <w:rPr>
                <w:rFonts w:hint="eastAsia" w:ascii="宋体" w:hAnsi="宋体"/>
                <w:color w:val="auto"/>
                <w:szCs w:val="21"/>
                <w:highlight w:val="none"/>
              </w:rPr>
              <w:t>，</w:t>
            </w:r>
            <w:r>
              <w:rPr>
                <w:rFonts w:ascii="宋体" w:hAnsi="宋体"/>
                <w:color w:val="auto"/>
                <w:szCs w:val="21"/>
                <w:highlight w:val="none"/>
              </w:rPr>
              <w:t>召开时间：</w:t>
            </w:r>
          </w:p>
          <w:p w14:paraId="4D6970C3">
            <w:pPr>
              <w:adjustRightInd w:val="0"/>
              <w:spacing w:line="460" w:lineRule="exact"/>
              <w:textAlignment w:val="baseline"/>
              <w:rPr>
                <w:rFonts w:hint="eastAsia" w:ascii="宋体" w:hAnsi="宋体"/>
                <w:color w:val="auto"/>
                <w:szCs w:val="21"/>
                <w:highlight w:val="none"/>
              </w:rPr>
            </w:pPr>
            <w:r>
              <w:rPr>
                <w:rFonts w:ascii="宋体" w:hAnsi="宋体"/>
                <w:color w:val="auto"/>
                <w:szCs w:val="21"/>
                <w:highlight w:val="none"/>
              </w:rPr>
              <w:t>召开地点：</w:t>
            </w:r>
          </w:p>
        </w:tc>
      </w:tr>
      <w:tr w14:paraId="1AB0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688B93C2">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w:t>
            </w:r>
          </w:p>
        </w:tc>
        <w:tc>
          <w:tcPr>
            <w:tcW w:w="2232" w:type="dxa"/>
            <w:vAlign w:val="center"/>
          </w:tcPr>
          <w:p w14:paraId="4DB07016">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分包</w:t>
            </w:r>
          </w:p>
        </w:tc>
        <w:tc>
          <w:tcPr>
            <w:tcW w:w="5916" w:type="dxa"/>
            <w:vAlign w:val="center"/>
          </w:tcPr>
          <w:p w14:paraId="04C8EA71">
            <w:pPr>
              <w:spacing w:line="460" w:lineRule="exact"/>
              <w:rPr>
                <w:rFonts w:hint="eastAsia" w:hAnsi="宋体"/>
                <w:color w:val="auto"/>
                <w:szCs w:val="21"/>
                <w:highlight w:val="none"/>
              </w:rPr>
            </w:pPr>
            <w:r>
              <w:rPr>
                <w:rFonts w:hint="eastAsia" w:ascii="宋体" w:hAnsi="宋体"/>
                <w:color w:val="auto"/>
                <w:szCs w:val="21"/>
                <w:highlight w:val="none"/>
              </w:rPr>
              <w:sym w:font="Wingdings" w:char="00A8"/>
            </w:r>
            <w:r>
              <w:rPr>
                <w:rFonts w:hint="eastAsia" w:hAnsi="宋体"/>
                <w:color w:val="auto"/>
                <w:szCs w:val="21"/>
                <w:highlight w:val="none"/>
              </w:rPr>
              <w:t>不允许</w:t>
            </w:r>
          </w:p>
          <w:p w14:paraId="2AD69A7D">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FE"/>
            </w:r>
            <w:r>
              <w:rPr>
                <w:rFonts w:hint="eastAsia" w:ascii="宋体" w:hAnsi="宋体"/>
                <w:color w:val="auto"/>
                <w:szCs w:val="21"/>
                <w:highlight w:val="none"/>
              </w:rPr>
              <w:t>允许，</w:t>
            </w:r>
            <w:r>
              <w:rPr>
                <w:rFonts w:ascii="宋体" w:hAnsi="宋体"/>
                <w:color w:val="auto"/>
                <w:szCs w:val="21"/>
                <w:highlight w:val="none"/>
              </w:rPr>
              <w:t>分包</w:t>
            </w:r>
            <w:r>
              <w:rPr>
                <w:rFonts w:hint="eastAsia" w:ascii="宋体" w:hAnsi="宋体"/>
                <w:color w:val="auto"/>
                <w:szCs w:val="21"/>
                <w:highlight w:val="none"/>
              </w:rPr>
              <w:t>要求</w:t>
            </w:r>
            <w:r>
              <w:rPr>
                <w:rFonts w:ascii="宋体" w:hAnsi="宋体"/>
                <w:color w:val="auto"/>
                <w:szCs w:val="21"/>
                <w:highlight w:val="none"/>
              </w:rPr>
              <w:t>：</w:t>
            </w:r>
            <w:r>
              <w:rPr>
                <w:rFonts w:hint="eastAsia" w:ascii="宋体" w:hAnsi="宋体"/>
                <w:color w:val="auto"/>
                <w:szCs w:val="21"/>
                <w:highlight w:val="none"/>
              </w:rPr>
              <w:t>①对总承包单位不具有施工资质的专业工程或国家、广东省的法律法规允许分包的部分工程，总承包单位在分包前，必须得到招标人书面同意，才能分包给具有相应施工资质的企业，并报行业行政主管部门备案。②禁止分包的工程部分严禁中标人转包，违法分包、挂靠。如有转包或挂靠行为，一经查实，招标人可单方终止本合同，并有权要求中标人按照合同总金额的20%向招标人承担违约责任，并依法由中标人承担其他全部法律责任。③由分包人实施的非主 体、非关键性工作，投标人应当按照招标人要求提供分包人的相应资料。</w:t>
            </w:r>
          </w:p>
          <w:p w14:paraId="05F1720C">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对分包人的资质要求：按国家、广东省的法律法规的规定执行。</w:t>
            </w:r>
          </w:p>
        </w:tc>
      </w:tr>
      <w:tr w14:paraId="329C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123AEF12">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1.12</w:t>
            </w:r>
          </w:p>
        </w:tc>
        <w:tc>
          <w:tcPr>
            <w:tcW w:w="2232" w:type="dxa"/>
            <w:vAlign w:val="center"/>
          </w:tcPr>
          <w:p w14:paraId="79F23677">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偏离</w:t>
            </w:r>
          </w:p>
        </w:tc>
        <w:tc>
          <w:tcPr>
            <w:tcW w:w="5916" w:type="dxa"/>
            <w:vAlign w:val="center"/>
          </w:tcPr>
          <w:p w14:paraId="5C206485">
            <w:pPr>
              <w:spacing w:line="460" w:lineRule="exact"/>
              <w:rPr>
                <w:rFonts w:hint="eastAsia" w:hAnsi="宋体"/>
                <w:color w:val="auto"/>
                <w:szCs w:val="21"/>
                <w:highlight w:val="none"/>
              </w:rPr>
            </w:pPr>
            <w:r>
              <w:rPr>
                <w:rFonts w:hint="eastAsia" w:ascii="宋体" w:hAnsi="宋体"/>
                <w:color w:val="auto"/>
                <w:szCs w:val="21"/>
                <w:highlight w:val="none"/>
              </w:rPr>
              <w:sym w:font="Wingdings" w:char="00FE"/>
            </w:r>
            <w:r>
              <w:rPr>
                <w:rFonts w:hint="eastAsia" w:hAnsi="宋体"/>
                <w:color w:val="auto"/>
                <w:szCs w:val="21"/>
                <w:highlight w:val="none"/>
              </w:rPr>
              <w:t>不允许</w:t>
            </w:r>
          </w:p>
          <w:p w14:paraId="61BD34BB">
            <w:pPr>
              <w:spacing w:line="460" w:lineRule="exact"/>
              <w:rPr>
                <w:rFonts w:hint="eastAsia" w:hAnsi="宋体"/>
                <w:color w:val="auto"/>
                <w:szCs w:val="21"/>
                <w:highlight w:val="none"/>
              </w:rPr>
            </w:pPr>
            <w:r>
              <w:rPr>
                <w:rFonts w:hint="eastAsia" w:hAnsi="宋体"/>
                <w:color w:val="auto"/>
                <w:sz w:val="20"/>
                <w:highlight w:val="none"/>
              </w:rPr>
              <w:sym w:font="Wingdings" w:char="00A8"/>
            </w:r>
            <w:r>
              <w:rPr>
                <w:rFonts w:hint="eastAsia" w:hAnsi="宋体"/>
                <w:color w:val="auto"/>
                <w:szCs w:val="21"/>
                <w:highlight w:val="none"/>
              </w:rPr>
              <w:t>允许</w:t>
            </w:r>
          </w:p>
        </w:tc>
      </w:tr>
      <w:tr w14:paraId="4852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vAlign w:val="center"/>
          </w:tcPr>
          <w:p w14:paraId="4528DC6B">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2.1</w:t>
            </w:r>
          </w:p>
        </w:tc>
        <w:tc>
          <w:tcPr>
            <w:tcW w:w="2232" w:type="dxa"/>
            <w:vAlign w:val="center"/>
          </w:tcPr>
          <w:p w14:paraId="4B9CCAE3">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构成招标文件的其他材料</w:t>
            </w:r>
          </w:p>
        </w:tc>
        <w:tc>
          <w:tcPr>
            <w:tcW w:w="5916" w:type="dxa"/>
            <w:vAlign w:val="center"/>
          </w:tcPr>
          <w:p w14:paraId="59205462">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无。</w:t>
            </w:r>
          </w:p>
        </w:tc>
      </w:tr>
      <w:tr w14:paraId="5D82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14:paraId="11897AD1">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2.2.1</w:t>
            </w:r>
          </w:p>
        </w:tc>
        <w:tc>
          <w:tcPr>
            <w:tcW w:w="2232" w:type="dxa"/>
            <w:vMerge w:val="restart"/>
            <w:vAlign w:val="center"/>
          </w:tcPr>
          <w:p w14:paraId="62396377">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投标人要求澄清招标文件的截止时间</w:t>
            </w:r>
          </w:p>
        </w:tc>
        <w:tc>
          <w:tcPr>
            <w:tcW w:w="5916" w:type="dxa"/>
            <w:vAlign w:val="center"/>
          </w:tcPr>
          <w:p w14:paraId="4EA9A745">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时间：以招标公告《日程安排表》为准。</w:t>
            </w:r>
          </w:p>
        </w:tc>
      </w:tr>
      <w:tr w14:paraId="2575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14:paraId="7E77D941">
            <w:pPr>
              <w:adjustRightInd w:val="0"/>
              <w:spacing w:line="460" w:lineRule="exact"/>
              <w:jc w:val="center"/>
              <w:textAlignment w:val="baseline"/>
              <w:rPr>
                <w:rFonts w:hint="eastAsia" w:ascii="宋体" w:hAnsi="宋体"/>
                <w:color w:val="auto"/>
                <w:szCs w:val="21"/>
                <w:highlight w:val="none"/>
              </w:rPr>
            </w:pPr>
          </w:p>
        </w:tc>
        <w:tc>
          <w:tcPr>
            <w:tcW w:w="2232" w:type="dxa"/>
            <w:vMerge w:val="continue"/>
            <w:vAlign w:val="center"/>
          </w:tcPr>
          <w:p w14:paraId="56D68D32">
            <w:pPr>
              <w:adjustRightInd w:val="0"/>
              <w:spacing w:line="460" w:lineRule="exact"/>
              <w:jc w:val="center"/>
              <w:textAlignment w:val="baseline"/>
              <w:rPr>
                <w:rFonts w:hint="eastAsia" w:ascii="宋体" w:hAnsi="宋体"/>
                <w:color w:val="auto"/>
                <w:szCs w:val="21"/>
                <w:highlight w:val="none"/>
              </w:rPr>
            </w:pPr>
          </w:p>
        </w:tc>
        <w:tc>
          <w:tcPr>
            <w:tcW w:w="5916" w:type="dxa"/>
            <w:vAlign w:val="center"/>
          </w:tcPr>
          <w:p w14:paraId="7FF3974B">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形式：</w:t>
            </w:r>
          </w:p>
          <w:p w14:paraId="3F001A2C">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1.招标答疑采用网上答疑方式进行。投标人若对招标文件有疑问的，可在规定的时间内通过广州公共资源交易中心网进入提问区域将问题提交给招标人或招标代理人，提交问题时一律不得署名。</w:t>
            </w:r>
          </w:p>
          <w:p w14:paraId="01F8E2A1">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网上答疑的操作指南为:投标人登录广州公共资源交易中心数字交易平台一进入“我是投标人”页面一进入“招标答疑提问”页面一通过项目编号或名称找到所需的项目→在上述答疑时间内点击“答疑提问”→无记名或匿名提出问题。</w:t>
            </w:r>
          </w:p>
          <w:p w14:paraId="441AE965">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2.招标人应在投标截止时间 15 日前解答投标人对招标文件提出的疑问，形成答疑纪要，并在广州公共资源交易中心网项目答疑专区发布。</w:t>
            </w:r>
          </w:p>
          <w:p w14:paraId="5778964B">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3.招标答疑纪要一经在广州公共资源交易中心网发布，视作已发放给所有投标人。</w:t>
            </w:r>
          </w:p>
          <w:p w14:paraId="482A9A7B">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4.招标答疑纪要为招标文件的一部分。投标人可在广州公资源交易中心网浏览、下载招标答疑纪要。</w:t>
            </w:r>
          </w:p>
        </w:tc>
      </w:tr>
      <w:tr w14:paraId="39FA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1C8CA147">
            <w:pPr>
              <w:adjustRightInd w:val="0"/>
              <w:spacing w:line="460" w:lineRule="exact"/>
              <w:jc w:val="center"/>
              <w:textAlignment w:val="baseline"/>
              <w:rPr>
                <w:rFonts w:hint="eastAsia" w:ascii="宋体" w:hAnsi="宋体"/>
                <w:color w:val="auto"/>
                <w:highlight w:val="none"/>
              </w:rPr>
            </w:pPr>
            <w:r>
              <w:rPr>
                <w:rFonts w:hint="eastAsia" w:ascii="宋体" w:hAnsi="宋体"/>
                <w:color w:val="auto"/>
                <w:highlight w:val="none"/>
              </w:rPr>
              <w:t>2.2.2</w:t>
            </w:r>
          </w:p>
        </w:tc>
        <w:tc>
          <w:tcPr>
            <w:tcW w:w="2232" w:type="dxa"/>
            <w:vAlign w:val="center"/>
          </w:tcPr>
          <w:p w14:paraId="5A13E3A1">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招标文件澄清发出的形式</w:t>
            </w:r>
          </w:p>
        </w:tc>
        <w:tc>
          <w:tcPr>
            <w:tcW w:w="5916" w:type="dxa"/>
            <w:vAlign w:val="center"/>
          </w:tcPr>
          <w:p w14:paraId="4810723A">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在广州公共资源交易中心网通过项目答疑专区网上公开发布。</w:t>
            </w:r>
          </w:p>
        </w:tc>
      </w:tr>
      <w:tr w14:paraId="67B1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6B618283">
            <w:pPr>
              <w:adjustRightInd w:val="0"/>
              <w:spacing w:line="460" w:lineRule="exact"/>
              <w:jc w:val="center"/>
              <w:textAlignment w:val="baseline"/>
              <w:rPr>
                <w:rFonts w:hint="eastAsia" w:ascii="宋体" w:hAnsi="宋体"/>
                <w:color w:val="auto"/>
                <w:highlight w:val="none"/>
              </w:rPr>
            </w:pPr>
            <w:r>
              <w:rPr>
                <w:rFonts w:hint="eastAsia" w:ascii="宋体" w:hAnsi="宋体"/>
                <w:color w:val="auto"/>
                <w:highlight w:val="none"/>
              </w:rPr>
              <w:t>2.2.3</w:t>
            </w:r>
          </w:p>
        </w:tc>
        <w:tc>
          <w:tcPr>
            <w:tcW w:w="2232" w:type="dxa"/>
            <w:vAlign w:val="center"/>
          </w:tcPr>
          <w:p w14:paraId="16D8D4AD">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投标人确认收到招标文件澄清</w:t>
            </w:r>
          </w:p>
        </w:tc>
        <w:tc>
          <w:tcPr>
            <w:tcW w:w="5916" w:type="dxa"/>
            <w:vAlign w:val="center"/>
          </w:tcPr>
          <w:p w14:paraId="1763B8B5">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在广州公共资源交易中心网上答疑专区发布时视为投标人收到。</w:t>
            </w:r>
          </w:p>
        </w:tc>
      </w:tr>
      <w:tr w14:paraId="615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271F5B4E">
            <w:pPr>
              <w:adjustRightInd w:val="0"/>
              <w:spacing w:line="460" w:lineRule="exact"/>
              <w:jc w:val="center"/>
              <w:textAlignment w:val="baseline"/>
              <w:rPr>
                <w:rFonts w:hint="eastAsia" w:ascii="宋体" w:hAnsi="宋体"/>
                <w:color w:val="auto"/>
                <w:highlight w:val="none"/>
              </w:rPr>
            </w:pPr>
            <w:r>
              <w:rPr>
                <w:rFonts w:hint="eastAsia" w:ascii="宋体" w:hAnsi="宋体"/>
                <w:color w:val="auto"/>
                <w:highlight w:val="none"/>
              </w:rPr>
              <w:t>2.3.1</w:t>
            </w:r>
          </w:p>
        </w:tc>
        <w:tc>
          <w:tcPr>
            <w:tcW w:w="2232" w:type="dxa"/>
            <w:vAlign w:val="center"/>
          </w:tcPr>
          <w:p w14:paraId="78FE805F">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招标文件修改发出的形式</w:t>
            </w:r>
          </w:p>
        </w:tc>
        <w:tc>
          <w:tcPr>
            <w:tcW w:w="5916" w:type="dxa"/>
            <w:vAlign w:val="center"/>
          </w:tcPr>
          <w:p w14:paraId="568FAFD3">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以补充公告或项目答疑澄清的方式在广州公共资源交易中心网发布。</w:t>
            </w:r>
          </w:p>
        </w:tc>
      </w:tr>
      <w:tr w14:paraId="2C51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333F8E3C">
            <w:pPr>
              <w:adjustRightInd w:val="0"/>
              <w:spacing w:line="460" w:lineRule="exact"/>
              <w:jc w:val="center"/>
              <w:textAlignment w:val="baseline"/>
              <w:rPr>
                <w:rFonts w:hint="eastAsia" w:ascii="宋体" w:hAnsi="宋体"/>
                <w:color w:val="auto"/>
                <w:highlight w:val="none"/>
              </w:rPr>
            </w:pPr>
            <w:r>
              <w:rPr>
                <w:rFonts w:hint="eastAsia" w:ascii="宋体" w:hAnsi="宋体"/>
                <w:color w:val="auto"/>
                <w:highlight w:val="none"/>
              </w:rPr>
              <w:t>2.3.2</w:t>
            </w:r>
          </w:p>
        </w:tc>
        <w:tc>
          <w:tcPr>
            <w:tcW w:w="2232" w:type="dxa"/>
            <w:vAlign w:val="center"/>
          </w:tcPr>
          <w:p w14:paraId="28406A31">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投标人确认收到招标文件修改</w:t>
            </w:r>
          </w:p>
        </w:tc>
        <w:tc>
          <w:tcPr>
            <w:tcW w:w="5916" w:type="dxa"/>
            <w:vAlign w:val="center"/>
          </w:tcPr>
          <w:p w14:paraId="4A369DD6">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以补充公告或项目答疑澄清的方式在广州公共资源交易中心网发布时视为投标人收到。潜在投标人应自行关注广州公共资源交易中心网，否则所造成的一切后果由投标人自负。</w:t>
            </w:r>
          </w:p>
        </w:tc>
      </w:tr>
      <w:tr w14:paraId="19B2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5EB94E7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3.2.1</w:t>
            </w:r>
          </w:p>
        </w:tc>
        <w:tc>
          <w:tcPr>
            <w:tcW w:w="2232" w:type="dxa"/>
            <w:shd w:val="clear" w:color="auto" w:fill="auto"/>
            <w:vAlign w:val="center"/>
          </w:tcPr>
          <w:p w14:paraId="0603B2CD">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报价方式</w:t>
            </w:r>
          </w:p>
        </w:tc>
        <w:tc>
          <w:tcPr>
            <w:tcW w:w="5916" w:type="dxa"/>
            <w:shd w:val="clear" w:color="auto" w:fill="auto"/>
          </w:tcPr>
          <w:p w14:paraId="56EF2336">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sym w:font="Wingdings" w:char="00A8"/>
            </w:r>
            <w:r>
              <w:rPr>
                <w:rFonts w:hint="eastAsia" w:ascii="宋体" w:hAnsi="宋体"/>
                <w:color w:val="auto"/>
                <w:highlight w:val="none"/>
              </w:rPr>
              <w:t>总价</w:t>
            </w:r>
          </w:p>
          <w:p w14:paraId="2F26A60F">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sym w:font="Wingdings" w:char="00FE"/>
            </w:r>
            <w:r>
              <w:rPr>
                <w:rFonts w:hint="eastAsia" w:ascii="宋体" w:hAnsi="宋体"/>
                <w:color w:val="auto"/>
                <w:highlight w:val="none"/>
              </w:rPr>
              <w:t>下浮率</w:t>
            </w:r>
          </w:p>
          <w:p w14:paraId="78BD6650">
            <w:pPr>
              <w:adjustRightInd w:val="0"/>
              <w:spacing w:line="460" w:lineRule="exact"/>
              <w:jc w:val="left"/>
              <w:textAlignment w:val="baseline"/>
              <w:rPr>
                <w:rFonts w:hint="eastAsia" w:ascii="宋体" w:hAnsi="宋体"/>
                <w:color w:val="auto"/>
                <w:highlight w:val="none"/>
                <w:lang w:val="zh-CN"/>
              </w:rPr>
            </w:pPr>
            <w:r>
              <w:rPr>
                <w:rFonts w:hint="eastAsia" w:ascii="宋体" w:hAnsi="宋体"/>
                <w:color w:val="auto"/>
                <w:highlight w:val="none"/>
                <w:lang w:val="zh-CN"/>
              </w:rPr>
              <w:t>本项目投标报价只填报投标报价下浮率，投标人的投标报价下浮率必须</w:t>
            </w:r>
            <w:r>
              <w:rPr>
                <w:rFonts w:hint="eastAsia" w:ascii="宋体" w:hAnsi="宋体" w:cs="宋体"/>
                <w:snapToGrid w:val="0"/>
                <w:color w:val="auto"/>
                <w:sz w:val="23"/>
                <w:szCs w:val="23"/>
                <w:highlight w:val="none"/>
              </w:rPr>
              <w:t>≥</w:t>
            </w:r>
            <w:r>
              <w:rPr>
                <w:rFonts w:hint="eastAsia" w:ascii="宋体" w:hAnsi="宋体"/>
                <w:color w:val="auto"/>
                <w:highlight w:val="none"/>
              </w:rPr>
              <w:t>2.00%</w:t>
            </w:r>
            <w:r>
              <w:rPr>
                <w:rFonts w:hint="eastAsia" w:ascii="宋体" w:hAnsi="宋体"/>
                <w:color w:val="auto"/>
                <w:highlight w:val="none"/>
                <w:lang w:val="zh-CN"/>
              </w:rPr>
              <w:t>（以百分比为单位，精确到小数点后</w:t>
            </w:r>
            <w:r>
              <w:rPr>
                <w:rFonts w:hint="eastAsia" w:ascii="宋体" w:hAnsi="宋体"/>
                <w:color w:val="auto"/>
                <w:highlight w:val="none"/>
              </w:rPr>
              <w:t>两</w:t>
            </w:r>
            <w:r>
              <w:rPr>
                <w:rFonts w:hint="eastAsia" w:ascii="宋体" w:hAnsi="宋体"/>
                <w:color w:val="auto"/>
                <w:highlight w:val="none"/>
                <w:lang w:val="zh-CN"/>
              </w:rPr>
              <w:t>位），否则评标委员会将否决其投标。投标报价下浮率基数为最高投标限价。</w:t>
            </w:r>
          </w:p>
          <w:p w14:paraId="150AF53D">
            <w:pPr>
              <w:adjustRightInd w:val="0"/>
              <w:spacing w:line="460" w:lineRule="exact"/>
              <w:jc w:val="left"/>
              <w:textAlignment w:val="baseline"/>
              <w:rPr>
                <w:rFonts w:hint="eastAsia" w:ascii="宋体" w:hAnsi="宋体"/>
                <w:color w:val="auto"/>
                <w:highlight w:val="none"/>
                <w:lang w:val="zh-CN"/>
              </w:rPr>
            </w:pPr>
            <w:r>
              <w:rPr>
                <w:rFonts w:hint="eastAsia" w:ascii="宋体" w:hAnsi="宋体"/>
                <w:color w:val="auto"/>
                <w:highlight w:val="none"/>
                <w:lang w:val="zh-CN"/>
              </w:rPr>
              <w:t>1、投标人可以参照国家有关收费标准和办法，发挥自身竞争优势，对招标项目进行报价</w:t>
            </w:r>
          </w:p>
          <w:p w14:paraId="606EE778">
            <w:pPr>
              <w:adjustRightInd w:val="0"/>
              <w:spacing w:line="460" w:lineRule="exact"/>
              <w:jc w:val="left"/>
              <w:textAlignment w:val="baseline"/>
              <w:rPr>
                <w:rFonts w:hint="eastAsia" w:ascii="宋体" w:hAnsi="宋体"/>
                <w:color w:val="auto"/>
                <w:highlight w:val="none"/>
                <w:lang w:eastAsia="en-US"/>
              </w:rPr>
            </w:pPr>
            <w:r>
              <w:rPr>
                <w:rFonts w:hint="eastAsia" w:ascii="宋体" w:hAnsi="宋体"/>
                <w:color w:val="auto"/>
                <w:highlight w:val="none"/>
                <w:lang w:val="zh-CN"/>
              </w:rPr>
              <w:t>2、投标人的投标报价包括所有税收、应交的保险、应承担的风险及应提供的服务，以及广州公共资源交易中心交易服务费等，招标人不再为本合同范围内的工作支付额外的费用。</w:t>
            </w:r>
          </w:p>
        </w:tc>
      </w:tr>
      <w:tr w14:paraId="25F3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7DDFE23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3.2.2</w:t>
            </w:r>
          </w:p>
        </w:tc>
        <w:tc>
          <w:tcPr>
            <w:tcW w:w="2232" w:type="dxa"/>
            <w:vAlign w:val="center"/>
          </w:tcPr>
          <w:p w14:paraId="10F5D6EF">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t>最高投标限价（招标控制价）</w:t>
            </w:r>
          </w:p>
        </w:tc>
        <w:tc>
          <w:tcPr>
            <w:tcW w:w="5916" w:type="dxa"/>
          </w:tcPr>
          <w:p w14:paraId="424353FC">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sym w:font="Wingdings" w:char="00A8"/>
            </w:r>
            <w:r>
              <w:rPr>
                <w:rFonts w:hint="eastAsia" w:ascii="宋体" w:hAnsi="宋体"/>
                <w:color w:val="auto"/>
                <w:highlight w:val="none"/>
              </w:rPr>
              <w:t>无</w:t>
            </w:r>
          </w:p>
          <w:p w14:paraId="2BF9B720">
            <w:pPr>
              <w:adjustRightInd w:val="0"/>
              <w:spacing w:line="460" w:lineRule="exact"/>
              <w:jc w:val="left"/>
              <w:textAlignment w:val="baseline"/>
              <w:rPr>
                <w:rFonts w:hint="eastAsia" w:ascii="宋体" w:hAnsi="宋体"/>
                <w:color w:val="auto"/>
                <w:highlight w:val="none"/>
              </w:rPr>
            </w:pPr>
            <w:r>
              <w:rPr>
                <w:rFonts w:hint="eastAsia" w:ascii="宋体" w:hAnsi="宋体"/>
                <w:color w:val="auto"/>
                <w:highlight w:val="none"/>
              </w:rPr>
              <w:sym w:font="Wingdings" w:char="00FE"/>
            </w:r>
            <w:r>
              <w:rPr>
                <w:rFonts w:hint="eastAsia" w:ascii="宋体" w:hAnsi="宋体"/>
                <w:color w:val="auto"/>
                <w:highlight w:val="none"/>
              </w:rPr>
              <w:t>有，本项目招标最高投标限价为</w:t>
            </w:r>
            <w:r>
              <w:rPr>
                <w:rFonts w:hint="eastAsia" w:ascii="宋体" w:hAnsi="宋体"/>
                <w:color w:val="auto"/>
                <w:highlight w:val="none"/>
                <w:lang w:eastAsia="zh-CN"/>
              </w:rPr>
              <w:t>8980.00</w:t>
            </w:r>
            <w:r>
              <w:rPr>
                <w:rFonts w:hint="eastAsia" w:ascii="宋体" w:hAnsi="宋体"/>
                <w:color w:val="auto"/>
                <w:highlight w:val="none"/>
              </w:rPr>
              <w:t>万元（其中博罗县河肚水水系综合整治工程施工最高投标限价：</w:t>
            </w:r>
            <w:r>
              <w:rPr>
                <w:rFonts w:hint="eastAsia" w:ascii="宋体" w:hAnsi="宋体"/>
                <w:color w:val="auto"/>
                <w:highlight w:val="none"/>
                <w:lang w:val="en-US" w:eastAsia="zh-CN"/>
              </w:rPr>
              <w:t>4780.00</w:t>
            </w:r>
            <w:r>
              <w:rPr>
                <w:rFonts w:hint="eastAsia" w:ascii="宋体" w:hAnsi="宋体"/>
                <w:color w:val="auto"/>
                <w:highlight w:val="none"/>
              </w:rPr>
              <w:t>万元，博罗县澜石河水系综合整治工程施工最高投标限价：4200.00万元），作为投标参考价投报下浮率。</w:t>
            </w:r>
          </w:p>
        </w:tc>
      </w:tr>
      <w:tr w14:paraId="0F68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4" w:type="dxa"/>
            <w:vAlign w:val="center"/>
          </w:tcPr>
          <w:p w14:paraId="791A9EF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3.2.3</w:t>
            </w:r>
          </w:p>
        </w:tc>
        <w:tc>
          <w:tcPr>
            <w:tcW w:w="2232" w:type="dxa"/>
            <w:vAlign w:val="center"/>
          </w:tcPr>
          <w:p w14:paraId="0D50F5A6">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投标报价低于成本的说明</w:t>
            </w:r>
          </w:p>
        </w:tc>
        <w:tc>
          <w:tcPr>
            <w:tcW w:w="5916" w:type="dxa"/>
            <w:vAlign w:val="center"/>
          </w:tcPr>
          <w:p w14:paraId="75EC9048">
            <w:pPr>
              <w:pStyle w:val="11"/>
              <w:spacing w:line="460" w:lineRule="exact"/>
              <w:rPr>
                <w:color w:val="auto"/>
                <w:highlight w:val="none"/>
              </w:rPr>
            </w:pPr>
            <w:r>
              <w:rPr>
                <w:rFonts w:hint="eastAsia" w:ascii="宋体" w:hAnsi="宋体" w:cs="宋体"/>
                <w:color w:val="auto"/>
                <w:highlight w:val="none"/>
              </w:rPr>
              <w:t>评标委员会应对投标总报价小于最高投标限价（即招标控制价）85%的投标人启动澄清程序，要求投标人作出书面说明并提供相关证明材料。投标人不能合理说明或者不能提供相关证明资料的，评标委员会应认定该投标人以低于成本报价竞标，否决其投标。当所有投标人的投标因此种情况被否决；或当因此种情况被否决部分投标人后，有效投标人不足三家，评标委员会认为竞争不足的情况出现时，评标委员会应否决全部投标。</w:t>
            </w:r>
          </w:p>
        </w:tc>
      </w:tr>
      <w:tr w14:paraId="3D35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4" w:type="dxa"/>
            <w:vAlign w:val="center"/>
          </w:tcPr>
          <w:p w14:paraId="2724349E">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.1</w:t>
            </w:r>
          </w:p>
        </w:tc>
        <w:tc>
          <w:tcPr>
            <w:tcW w:w="2232" w:type="dxa"/>
            <w:vAlign w:val="center"/>
          </w:tcPr>
          <w:p w14:paraId="33035715">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投标有效期</w:t>
            </w:r>
          </w:p>
        </w:tc>
        <w:tc>
          <w:tcPr>
            <w:tcW w:w="5916" w:type="dxa"/>
            <w:vAlign w:val="center"/>
          </w:tcPr>
          <w:p w14:paraId="2230979F">
            <w:pPr>
              <w:adjustRightInd w:val="0"/>
              <w:spacing w:line="460" w:lineRule="exact"/>
              <w:textAlignment w:val="baseline"/>
              <w:rPr>
                <w:rFonts w:hint="eastAsia" w:ascii="宋体" w:hAnsi="宋体"/>
                <w:color w:val="auto"/>
                <w:szCs w:val="21"/>
                <w:highlight w:val="none"/>
              </w:rPr>
            </w:pPr>
            <w:r>
              <w:rPr>
                <w:rFonts w:hint="eastAsia" w:ascii="宋体" w:hAnsi="宋体"/>
                <w:bCs/>
                <w:color w:val="auto"/>
                <w:kern w:val="0"/>
                <w:szCs w:val="21"/>
                <w:highlight w:val="none"/>
              </w:rPr>
              <w:t>从提交投标文件的截止之日起算90日历天</w:t>
            </w:r>
          </w:p>
        </w:tc>
      </w:tr>
      <w:tr w14:paraId="5ECC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4" w:type="dxa"/>
            <w:vAlign w:val="center"/>
          </w:tcPr>
          <w:p w14:paraId="491CB53F">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3.4.1</w:t>
            </w:r>
          </w:p>
        </w:tc>
        <w:tc>
          <w:tcPr>
            <w:tcW w:w="2232" w:type="dxa"/>
            <w:vAlign w:val="center"/>
          </w:tcPr>
          <w:p w14:paraId="6D62183C">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投标保证金</w:t>
            </w:r>
          </w:p>
        </w:tc>
        <w:tc>
          <w:tcPr>
            <w:tcW w:w="5916" w:type="dxa"/>
          </w:tcPr>
          <w:p w14:paraId="6748BAA5">
            <w:pPr>
              <w:spacing w:line="460" w:lineRule="exact"/>
              <w:rPr>
                <w:rFonts w:hint="eastAsia" w:ascii="宋体" w:hAnsi="宋体" w:cs="Arial Unicode MS"/>
                <w:color w:val="auto"/>
                <w:szCs w:val="21"/>
                <w:highlight w:val="none"/>
              </w:rPr>
            </w:pPr>
            <w:r>
              <w:rPr>
                <w:rFonts w:hint="eastAsia" w:hAnsi="宋体"/>
                <w:color w:val="auto"/>
                <w:sz w:val="20"/>
                <w:highlight w:val="none"/>
              </w:rPr>
              <w:sym w:font="Wingdings" w:char="00A8"/>
            </w:r>
            <w:r>
              <w:rPr>
                <w:rFonts w:hint="eastAsia" w:ascii="宋体" w:hAnsi="宋体" w:cs="Arial Unicode MS"/>
                <w:color w:val="auto"/>
                <w:szCs w:val="21"/>
                <w:highlight w:val="none"/>
              </w:rPr>
              <w:t>不要求递交投标保证金</w:t>
            </w:r>
          </w:p>
          <w:p w14:paraId="6C2D27BA">
            <w:pPr>
              <w:spacing w:line="460" w:lineRule="exact"/>
              <w:rPr>
                <w:rFonts w:hint="eastAsia" w:ascii="宋体" w:hAnsi="宋体" w:cs="Arial Unicode MS"/>
                <w:color w:val="auto"/>
                <w:szCs w:val="21"/>
                <w:highlight w:val="none"/>
              </w:rPr>
            </w:pPr>
            <w:r>
              <w:rPr>
                <w:rFonts w:hint="eastAsia" w:ascii="宋体" w:hAnsi="宋体"/>
                <w:color w:val="auto"/>
                <w:szCs w:val="21"/>
                <w:highlight w:val="none"/>
              </w:rPr>
              <w:sym w:font="Wingdings" w:char="00FE"/>
            </w:r>
            <w:r>
              <w:rPr>
                <w:rFonts w:hint="eastAsia" w:ascii="宋体" w:hAnsi="宋体" w:cs="Arial Unicode MS"/>
                <w:color w:val="auto"/>
                <w:szCs w:val="21"/>
                <w:highlight w:val="none"/>
              </w:rPr>
              <w:t>要求递交投标保证金</w:t>
            </w:r>
          </w:p>
          <w:p w14:paraId="1B59F7F8">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投标保证金可采用的形式：投标保证金可采用银行电汇（或转帐）、支票、汇票、银行保函、投标保证保险的形式，须在递交投标文件截止时间前完成缴纳。</w:t>
            </w:r>
          </w:p>
          <w:p w14:paraId="658AA00F">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1、本项目投标保证金为人民币：￥50.00万元（</w:t>
            </w:r>
            <w:r>
              <w:rPr>
                <w:rFonts w:hint="eastAsia" w:ascii="宋体" w:hAnsi="宋体" w:cs="宋体"/>
                <w:color w:val="auto"/>
                <w:szCs w:val="21"/>
                <w:highlight w:val="none"/>
              </w:rPr>
              <w:t>按本工程总造价的2%计算，最高不超过50万元人民币</w:t>
            </w:r>
            <w:r>
              <w:rPr>
                <w:rFonts w:hint="eastAsia" w:ascii="宋体" w:hAnsi="宋体" w:cs="Arial Unicode MS"/>
                <w:color w:val="auto"/>
                <w:szCs w:val="21"/>
                <w:highlight w:val="none"/>
                <w:lang w:val="zh-CN"/>
              </w:rPr>
              <w:t>）。</w:t>
            </w:r>
          </w:p>
          <w:p w14:paraId="122B5DC8">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2、收取方式：</w:t>
            </w:r>
          </w:p>
          <w:p w14:paraId="24B97E93">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1）采用银行电汇（或转帐）、支票、汇票形式提交的，投标保证金从投标人基本账户递交，由广州公共资源交易中心代收。具体操作要求详见广州公共资源交易中心有关指引，递交事宜请自行咨询交易中心。请各投标人在投标文件</w:t>
            </w:r>
            <w:r>
              <w:rPr>
                <w:rFonts w:hint="eastAsia" w:ascii="宋体" w:hAnsi="宋体" w:cs="Arial Unicode MS"/>
                <w:b/>
                <w:bCs/>
                <w:color w:val="auto"/>
                <w:szCs w:val="21"/>
                <w:highlight w:val="none"/>
                <w:u w:val="single"/>
              </w:rPr>
              <w:t>递交截止时间前</w:t>
            </w:r>
            <w:r>
              <w:rPr>
                <w:rFonts w:hint="eastAsia" w:ascii="宋体" w:hAnsi="宋体" w:cs="Arial Unicode MS"/>
                <w:color w:val="auto"/>
                <w:szCs w:val="21"/>
                <w:highlight w:val="none"/>
              </w:rPr>
              <w:t>按上述金额递交至广州公共资源交易中心，到账情况以开标时广州公共资源交易中心数据库査询的信息为准。</w:t>
            </w:r>
          </w:p>
          <w:p w14:paraId="7B399ABA">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收款单位:广州交易集团有限公司，</w:t>
            </w:r>
          </w:p>
          <w:p w14:paraId="6BF1BCCA">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开户银行:中国建设银行广州天润路支行，</w:t>
            </w:r>
          </w:p>
          <w:p w14:paraId="33E48EE4">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银行账号：44001583404059333333；</w:t>
            </w:r>
          </w:p>
          <w:p w14:paraId="624A7DE5">
            <w:pPr>
              <w:spacing w:line="460" w:lineRule="exact"/>
              <w:rPr>
                <w:rFonts w:hint="eastAsia" w:ascii="宋体" w:hAnsi="宋体" w:cs="Arial Unicode MS"/>
                <w:color w:val="auto"/>
                <w:szCs w:val="21"/>
                <w:highlight w:val="none"/>
              </w:rPr>
            </w:pPr>
            <w:r>
              <w:rPr>
                <w:rFonts w:hint="eastAsia" w:ascii="宋体" w:hAnsi="宋体" w:cs="Arial Unicode MS"/>
                <w:color w:val="auto"/>
                <w:szCs w:val="21"/>
                <w:highlight w:val="none"/>
              </w:rPr>
              <w:t>（2）采用银行保函或投标保证保险等形式（含电子保函）提交的，银行保函需开具给招标人，有效期不少于投标有效期；保证保险需开具给招标人（受益人也必须是招标人），有效期不少于投标有效期。</w:t>
            </w:r>
            <w:r>
              <w:rPr>
                <w:rFonts w:hint="eastAsia" w:ascii="宋体" w:hAnsi="宋体" w:cs="Arial Unicode MS"/>
                <w:b/>
                <w:bCs/>
                <w:color w:val="auto"/>
                <w:szCs w:val="21"/>
                <w:highlight w:val="none"/>
                <w:u w:val="single"/>
              </w:rPr>
              <w:t>采用纸质保函或投标保证保险的投标人应在开标会现场提交本项目投标保函或保证保险原件；采用电子保函的具体操作要求详见广州公共资源交易中心有关指引，或向广州公共资源交易中心咨询，并以开标时广州公共资源交易中心系统查询的信息为准</w:t>
            </w:r>
            <w:r>
              <w:rPr>
                <w:rFonts w:hint="eastAsia" w:ascii="宋体" w:hAnsi="宋体" w:cs="Arial Unicode MS"/>
                <w:color w:val="auto"/>
                <w:szCs w:val="21"/>
                <w:highlight w:val="none"/>
              </w:rPr>
              <w:t>。</w:t>
            </w:r>
          </w:p>
        </w:tc>
      </w:tr>
      <w:tr w14:paraId="17D8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698E661E">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3</w:t>
            </w:r>
          </w:p>
        </w:tc>
        <w:tc>
          <w:tcPr>
            <w:tcW w:w="2232" w:type="dxa"/>
            <w:vAlign w:val="center"/>
          </w:tcPr>
          <w:p w14:paraId="16F08B15">
            <w:pPr>
              <w:spacing w:line="460" w:lineRule="exact"/>
              <w:jc w:val="center"/>
              <w:rPr>
                <w:rFonts w:hint="eastAsia" w:ascii="宋体" w:hAnsi="宋体" w:cs="Arial Unicode MS"/>
                <w:color w:val="auto"/>
                <w:szCs w:val="21"/>
                <w:highlight w:val="none"/>
              </w:rPr>
            </w:pPr>
            <w:r>
              <w:rPr>
                <w:rFonts w:hint="eastAsia" w:ascii="宋体" w:hAnsi="宋体" w:cs="Arial Unicode MS"/>
                <w:color w:val="auto"/>
                <w:szCs w:val="21"/>
                <w:highlight w:val="none"/>
              </w:rPr>
              <w:t>近年完成的类似项目的年份要求</w:t>
            </w:r>
          </w:p>
        </w:tc>
        <w:tc>
          <w:tcPr>
            <w:tcW w:w="5916" w:type="dxa"/>
            <w:vAlign w:val="center"/>
          </w:tcPr>
          <w:p w14:paraId="2514539C">
            <w:pPr>
              <w:spacing w:line="460" w:lineRule="exact"/>
              <w:rPr>
                <w:rFonts w:hint="eastAsia" w:ascii="宋体" w:hAnsi="宋体" w:eastAsia="宋体" w:cs="Arial Unicode MS"/>
                <w:color w:val="auto"/>
                <w:szCs w:val="21"/>
                <w:highlight w:val="none"/>
                <w:bdr w:val="single" w:color="auto" w:sz="2" w:space="0"/>
                <w:lang w:eastAsia="zh-CN"/>
              </w:rPr>
            </w:pPr>
            <w:r>
              <w:rPr>
                <w:rFonts w:hint="eastAsia" w:ascii="宋体" w:hAnsi="宋体" w:cs="Arial Unicode MS"/>
                <w:color w:val="auto"/>
                <w:szCs w:val="21"/>
                <w:highlight w:val="none"/>
                <w:lang w:val="en-US" w:eastAsia="zh-CN"/>
              </w:rPr>
              <w:t>/</w:t>
            </w:r>
          </w:p>
        </w:tc>
      </w:tr>
      <w:tr w14:paraId="6747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627DD7A2">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4</w:t>
            </w:r>
          </w:p>
        </w:tc>
        <w:tc>
          <w:tcPr>
            <w:tcW w:w="2232" w:type="dxa"/>
            <w:vAlign w:val="center"/>
          </w:tcPr>
          <w:p w14:paraId="10C63FF7">
            <w:pPr>
              <w:spacing w:line="460" w:lineRule="exact"/>
              <w:jc w:val="center"/>
              <w:rPr>
                <w:rFonts w:hint="eastAsia" w:ascii="宋体" w:hAnsi="宋体" w:cs="Arial Unicode MS"/>
                <w:color w:val="auto"/>
                <w:szCs w:val="21"/>
                <w:highlight w:val="none"/>
              </w:rPr>
            </w:pPr>
            <w:r>
              <w:rPr>
                <w:rFonts w:hint="eastAsia" w:ascii="宋体" w:hAnsi="宋体" w:cs="Arial Unicode MS"/>
                <w:color w:val="auto"/>
                <w:szCs w:val="21"/>
                <w:highlight w:val="none"/>
              </w:rPr>
              <w:t>近年财务状况的年份要求</w:t>
            </w:r>
          </w:p>
        </w:tc>
        <w:tc>
          <w:tcPr>
            <w:tcW w:w="5916" w:type="dxa"/>
            <w:vAlign w:val="center"/>
          </w:tcPr>
          <w:p w14:paraId="20909F9A">
            <w:pPr>
              <w:spacing w:line="460" w:lineRule="exact"/>
              <w:rPr>
                <w:rFonts w:hint="eastAsia" w:ascii="宋体" w:hAnsi="宋体" w:eastAsia="宋体" w:cs="Arial Unicode MS"/>
                <w:color w:val="auto"/>
                <w:szCs w:val="21"/>
                <w:highlight w:val="none"/>
                <w:lang w:eastAsia="zh-CN"/>
              </w:rPr>
            </w:pPr>
            <w:r>
              <w:rPr>
                <w:rFonts w:hint="eastAsia" w:ascii="宋体" w:hAnsi="宋体" w:cs="Arial Unicode MS"/>
                <w:color w:val="auto"/>
                <w:szCs w:val="21"/>
                <w:highlight w:val="none"/>
                <w:lang w:val="en-US" w:eastAsia="zh-CN"/>
              </w:rPr>
              <w:t>/</w:t>
            </w:r>
          </w:p>
        </w:tc>
      </w:tr>
      <w:tr w14:paraId="4E9F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438F899D">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3.6</w:t>
            </w:r>
          </w:p>
        </w:tc>
        <w:tc>
          <w:tcPr>
            <w:tcW w:w="2232" w:type="dxa"/>
            <w:vAlign w:val="center"/>
          </w:tcPr>
          <w:p w14:paraId="749F353B">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是否允许</w:t>
            </w:r>
            <w:r>
              <w:rPr>
                <w:rFonts w:hint="eastAsia" w:ascii="宋体" w:hAnsi="宋体"/>
                <w:color w:val="auto"/>
                <w:szCs w:val="21"/>
                <w:highlight w:val="none"/>
              </w:rPr>
              <w:t>递交备</w:t>
            </w:r>
            <w:r>
              <w:rPr>
                <w:rFonts w:ascii="宋体" w:hAnsi="宋体"/>
                <w:color w:val="auto"/>
                <w:szCs w:val="21"/>
                <w:highlight w:val="none"/>
              </w:rPr>
              <w:t>选投标方案</w:t>
            </w:r>
          </w:p>
        </w:tc>
        <w:tc>
          <w:tcPr>
            <w:tcW w:w="5916" w:type="dxa"/>
            <w:vAlign w:val="center"/>
          </w:tcPr>
          <w:p w14:paraId="1ACA198A">
            <w:pPr>
              <w:spacing w:line="460" w:lineRule="exact"/>
              <w:rPr>
                <w:rFonts w:hint="eastAsia" w:hAnsi="宋体"/>
                <w:color w:val="auto"/>
                <w:szCs w:val="21"/>
                <w:highlight w:val="none"/>
              </w:rPr>
            </w:pPr>
            <w:r>
              <w:rPr>
                <w:rFonts w:hint="eastAsia" w:ascii="宋体" w:hAnsi="宋体"/>
                <w:color w:val="auto"/>
                <w:szCs w:val="21"/>
                <w:highlight w:val="none"/>
              </w:rPr>
              <w:sym w:font="Wingdings" w:char="00FE"/>
            </w:r>
            <w:r>
              <w:rPr>
                <w:rFonts w:hint="eastAsia" w:hAnsi="宋体"/>
                <w:color w:val="auto"/>
                <w:szCs w:val="21"/>
                <w:highlight w:val="none"/>
              </w:rPr>
              <w:t>不允许</w:t>
            </w:r>
          </w:p>
          <w:p w14:paraId="56427569">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允许</w:t>
            </w:r>
          </w:p>
        </w:tc>
      </w:tr>
      <w:tr w14:paraId="3BA2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34" w:type="dxa"/>
            <w:vMerge w:val="restart"/>
            <w:vAlign w:val="center"/>
          </w:tcPr>
          <w:p w14:paraId="47923B1C">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5</w:t>
            </w:r>
          </w:p>
        </w:tc>
        <w:tc>
          <w:tcPr>
            <w:tcW w:w="2232" w:type="dxa"/>
            <w:vAlign w:val="center"/>
          </w:tcPr>
          <w:p w14:paraId="4FF26967">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投标文件所附证书证件要求</w:t>
            </w:r>
          </w:p>
        </w:tc>
        <w:tc>
          <w:tcPr>
            <w:tcW w:w="5916" w:type="dxa"/>
            <w:vAlign w:val="center"/>
          </w:tcPr>
          <w:p w14:paraId="21C27228">
            <w:pPr>
              <w:adjustRightInd w:val="0"/>
              <w:spacing w:line="460" w:lineRule="exact"/>
              <w:jc w:val="left"/>
              <w:textAlignment w:val="baseline"/>
              <w:rPr>
                <w:rFonts w:hint="eastAsia" w:ascii="宋体" w:hAnsi="宋体"/>
                <w:color w:val="auto"/>
                <w:szCs w:val="21"/>
                <w:highlight w:val="none"/>
              </w:rPr>
            </w:pPr>
            <w:r>
              <w:rPr>
                <w:rFonts w:hint="eastAsia" w:ascii="宋体" w:hAnsi="宋体"/>
                <w:b/>
                <w:bCs/>
                <w:color w:val="auto"/>
                <w:szCs w:val="21"/>
                <w:highlight w:val="none"/>
              </w:rPr>
              <w:t>投标文件全部采用电子文档</w:t>
            </w:r>
            <w:r>
              <w:rPr>
                <w:rFonts w:hint="eastAsia" w:ascii="宋体" w:hAnsi="宋体"/>
                <w:color w:val="auto"/>
                <w:szCs w:val="21"/>
                <w:highlight w:val="none"/>
              </w:rPr>
              <w:t>，投标文件所附证书证件均为原件扫描件或电子证书，按招标文件要求在相应位置盖单位公章或用单位数字证书加盖电子公章。</w:t>
            </w:r>
          </w:p>
        </w:tc>
      </w:tr>
      <w:tr w14:paraId="51E6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34" w:type="dxa"/>
            <w:vMerge w:val="continue"/>
            <w:vAlign w:val="center"/>
          </w:tcPr>
          <w:p w14:paraId="566F5B02">
            <w:pPr>
              <w:adjustRightInd w:val="0"/>
              <w:spacing w:line="460" w:lineRule="exact"/>
              <w:jc w:val="center"/>
              <w:textAlignment w:val="baseline"/>
              <w:rPr>
                <w:rFonts w:hint="eastAsia" w:ascii="宋体" w:hAnsi="宋体"/>
                <w:color w:val="auto"/>
                <w:szCs w:val="21"/>
                <w:highlight w:val="none"/>
              </w:rPr>
            </w:pPr>
          </w:p>
        </w:tc>
        <w:tc>
          <w:tcPr>
            <w:tcW w:w="2232" w:type="dxa"/>
            <w:vAlign w:val="center"/>
          </w:tcPr>
          <w:p w14:paraId="09033D70">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投标文件签字或盖章要求</w:t>
            </w:r>
          </w:p>
        </w:tc>
        <w:tc>
          <w:tcPr>
            <w:tcW w:w="5916" w:type="dxa"/>
            <w:vAlign w:val="center"/>
          </w:tcPr>
          <w:p w14:paraId="5C589FC4">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投标文件格式规定需个人签字的，应签字或签章后扫描上传（可靠的电子签名与手写签名或者盖章具有同等的法律效力）。</w:t>
            </w:r>
          </w:p>
          <w:p w14:paraId="4EF6173E">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投标文件格式规定盖单位公章的页面按招标文件要求在相应位置盖单位公章或用单位数字证书加盖电子公章（公章与电子公章具有相同法律效力）。</w:t>
            </w:r>
          </w:p>
        </w:tc>
      </w:tr>
      <w:tr w14:paraId="2A8D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4" w:type="dxa"/>
            <w:vAlign w:val="center"/>
          </w:tcPr>
          <w:p w14:paraId="1118B6D3">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4.1.2</w:t>
            </w:r>
          </w:p>
        </w:tc>
        <w:tc>
          <w:tcPr>
            <w:tcW w:w="2232" w:type="dxa"/>
            <w:vAlign w:val="center"/>
          </w:tcPr>
          <w:p w14:paraId="7C2A796A">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封套上应载明的信息</w:t>
            </w:r>
          </w:p>
        </w:tc>
        <w:tc>
          <w:tcPr>
            <w:tcW w:w="5916" w:type="dxa"/>
            <w:vAlign w:val="center"/>
          </w:tcPr>
          <w:p w14:paraId="0480E3A1">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招标人名称：博罗县水务工程建设管理中心</w:t>
            </w:r>
          </w:p>
          <w:p w14:paraId="5FA93E60">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招标人地址：博罗县罗阳街道北门路94号</w:t>
            </w:r>
          </w:p>
          <w:p w14:paraId="7ACACD20">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投标项目名称：博罗县河肚水水系综合整治工程和博罗县澜石河水系综合整治工程施工（第二次招标）投标文件光盘</w:t>
            </w:r>
          </w:p>
          <w:p w14:paraId="512C462D">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分（投标截止时间）前不得开启</w:t>
            </w:r>
          </w:p>
        </w:tc>
      </w:tr>
      <w:tr w14:paraId="3FCF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7F896D3A">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4.2.1</w:t>
            </w:r>
          </w:p>
        </w:tc>
        <w:tc>
          <w:tcPr>
            <w:tcW w:w="2232" w:type="dxa"/>
            <w:vAlign w:val="center"/>
          </w:tcPr>
          <w:p w14:paraId="56304148">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投标截止时间</w:t>
            </w:r>
          </w:p>
        </w:tc>
        <w:tc>
          <w:tcPr>
            <w:tcW w:w="5916" w:type="dxa"/>
            <w:vAlign w:val="center"/>
          </w:tcPr>
          <w:p w14:paraId="144540B3">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详见《日程安排表》</w:t>
            </w:r>
          </w:p>
        </w:tc>
      </w:tr>
      <w:tr w14:paraId="1130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1583087">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4.2.2</w:t>
            </w:r>
          </w:p>
        </w:tc>
        <w:tc>
          <w:tcPr>
            <w:tcW w:w="2232" w:type="dxa"/>
            <w:vAlign w:val="center"/>
          </w:tcPr>
          <w:p w14:paraId="4F4A77C5">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递交投标文件地点</w:t>
            </w:r>
          </w:p>
        </w:tc>
        <w:tc>
          <w:tcPr>
            <w:tcW w:w="5916" w:type="dxa"/>
            <w:vAlign w:val="center"/>
          </w:tcPr>
          <w:p w14:paraId="76E19A67">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1.投标人登录广州公共资源交易中心电子交易平台递交电子投标文件。</w:t>
            </w:r>
          </w:p>
          <w:p w14:paraId="47ED5974">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2.投标人完成电子投标文件上传后，交易平台即时向投标人发出递交回执通知。递交时间以递交回执通知载明的传输完成时间为准。</w:t>
            </w:r>
          </w:p>
          <w:p w14:paraId="778D90AD">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3.投标文件备用电子光盘1份，备用电子光盘不得加密。如使用投标文件备用电子光盘时无法读取或导入的，则视为未递交投标文件或撤回投标文件。</w:t>
            </w:r>
            <w:r>
              <w:rPr>
                <w:rFonts w:hint="eastAsia"/>
                <w:color w:val="auto"/>
                <w:highlight w:val="none"/>
              </w:rPr>
              <w:t>投标人也可不递交投标文件备用电子光盘，但当因投标人原因解密失败且未递交备用电子光盘或递交的备用电子光盘不能读取或导入的，视为未递交投标文件或撤回投标文件。</w:t>
            </w:r>
            <w:r>
              <w:rPr>
                <w:rFonts w:hint="eastAsia" w:ascii="宋体" w:hAnsi="宋体" w:cs="宋体"/>
                <w:color w:val="auto"/>
                <w:szCs w:val="21"/>
                <w:highlight w:val="none"/>
              </w:rPr>
              <w:t>（递交备用电子光盘的人员必须为投标人的法定代表人或其委托代理人）。</w:t>
            </w:r>
          </w:p>
          <w:p w14:paraId="0CF43F60">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4.备用电子光盘递交广州公共资源交易中心开标室（具体开标室请投标人自行登录广州公共资源交易网查询，下同）。</w:t>
            </w:r>
          </w:p>
        </w:tc>
      </w:tr>
      <w:tr w14:paraId="5B9E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7AEAA76E">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4.2.3</w:t>
            </w:r>
          </w:p>
        </w:tc>
        <w:tc>
          <w:tcPr>
            <w:tcW w:w="2232" w:type="dxa"/>
            <w:vAlign w:val="center"/>
          </w:tcPr>
          <w:p w14:paraId="17261EED">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是否退还投标文件</w:t>
            </w:r>
          </w:p>
        </w:tc>
        <w:tc>
          <w:tcPr>
            <w:tcW w:w="5916" w:type="dxa"/>
            <w:vAlign w:val="center"/>
          </w:tcPr>
          <w:p w14:paraId="2C7D163B">
            <w:pPr>
              <w:spacing w:line="460" w:lineRule="exact"/>
              <w:rPr>
                <w:rFonts w:hint="eastAsia" w:hAnsi="宋体"/>
                <w:color w:val="auto"/>
                <w:szCs w:val="21"/>
                <w:highlight w:val="none"/>
              </w:rPr>
            </w:pPr>
            <w:r>
              <w:rPr>
                <w:rFonts w:hint="eastAsia" w:ascii="宋体" w:hAnsi="宋体"/>
                <w:color w:val="auto"/>
                <w:szCs w:val="21"/>
                <w:highlight w:val="none"/>
              </w:rPr>
              <w:sym w:font="Wingdings" w:char="00FE"/>
            </w:r>
            <w:r>
              <w:rPr>
                <w:rFonts w:hint="eastAsia" w:hAnsi="宋体"/>
                <w:color w:val="auto"/>
                <w:szCs w:val="21"/>
                <w:highlight w:val="none"/>
              </w:rPr>
              <w:t>否</w:t>
            </w:r>
          </w:p>
          <w:p w14:paraId="55CAAEBF">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是</w:t>
            </w:r>
          </w:p>
        </w:tc>
      </w:tr>
      <w:tr w14:paraId="231A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34" w:type="dxa"/>
            <w:vAlign w:val="center"/>
          </w:tcPr>
          <w:p w14:paraId="74ABF399">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5.1</w:t>
            </w:r>
          </w:p>
        </w:tc>
        <w:tc>
          <w:tcPr>
            <w:tcW w:w="2232" w:type="dxa"/>
            <w:vAlign w:val="center"/>
          </w:tcPr>
          <w:p w14:paraId="03AD268D">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开标时间和地点</w:t>
            </w:r>
          </w:p>
        </w:tc>
        <w:tc>
          <w:tcPr>
            <w:tcW w:w="5916" w:type="dxa"/>
            <w:vAlign w:val="center"/>
          </w:tcPr>
          <w:p w14:paraId="24ACAD57">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开标时间：同投标截止时间</w:t>
            </w:r>
          </w:p>
          <w:p w14:paraId="0F82AC57">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开标地点：同递交投标文件地点</w:t>
            </w:r>
          </w:p>
        </w:tc>
      </w:tr>
      <w:tr w14:paraId="7032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34" w:type="dxa"/>
            <w:vAlign w:val="center"/>
          </w:tcPr>
          <w:p w14:paraId="3E85BDE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5.2</w:t>
            </w:r>
          </w:p>
        </w:tc>
        <w:tc>
          <w:tcPr>
            <w:tcW w:w="2232" w:type="dxa"/>
            <w:vAlign w:val="center"/>
          </w:tcPr>
          <w:p w14:paraId="2BD29E3C">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开标程序</w:t>
            </w:r>
          </w:p>
        </w:tc>
        <w:tc>
          <w:tcPr>
            <w:tcW w:w="5916" w:type="dxa"/>
            <w:vAlign w:val="center"/>
          </w:tcPr>
          <w:p w14:paraId="4A0D256F">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1.在投标截止时间后 30 分钟内，投标人通过递交投标文件的交易平台对已递交的电子投标文件进行解密。投标人完成解密后，再由招标人或招标代理机构进行解密。解密完成后，公布招标项目名称、投标人名称等相关信息。未在规定时间内解密的投标文件不参与开标、评标。</w:t>
            </w:r>
          </w:p>
          <w:p w14:paraId="7561F1A8">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2.截标后，开标开始时间因故推迟的，相关评标信息仍以原定的开标开始时间的信息为准。</w:t>
            </w:r>
          </w:p>
          <w:p w14:paraId="4980AE2B">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3.投标截止时间前未完成投标文件传输的或因投标人之外的原因造成投标文件未解密且未按要求递交备用电子光盘的，视为投标人撤回投标文件。因投标人原因造成投标文件未解密或未在规定的时间内解密的，视为撤销其投标文件。</w:t>
            </w:r>
            <w:r>
              <w:rPr>
                <w:rFonts w:hint="eastAsia" w:ascii="宋体" w:hAnsi="宋体" w:cs="宋体"/>
                <w:color w:val="auto"/>
                <w:szCs w:val="21"/>
                <w:highlight w:val="none"/>
              </w:rPr>
              <w:t>（递交备用电子光盘的人员必须为投标人的法定代表人或其委托代理人）。</w:t>
            </w:r>
          </w:p>
          <w:p w14:paraId="68A69670">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4.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9E63954">
            <w:pPr>
              <w:adjustRightInd w:val="0"/>
              <w:spacing w:line="46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5.开标时，两个（含两个）以上的投标人加密打包投标文件电脑机器特征码一致的，不参与下一程序，并由评标委员会否决其投标。</w:t>
            </w:r>
          </w:p>
        </w:tc>
      </w:tr>
      <w:tr w14:paraId="2D9F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34" w:type="dxa"/>
            <w:vAlign w:val="center"/>
          </w:tcPr>
          <w:p w14:paraId="4E4BABAE">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6.1.1</w:t>
            </w:r>
          </w:p>
        </w:tc>
        <w:tc>
          <w:tcPr>
            <w:tcW w:w="2232" w:type="dxa"/>
            <w:vAlign w:val="center"/>
          </w:tcPr>
          <w:p w14:paraId="4806095A">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评标委员会的组建</w:t>
            </w:r>
          </w:p>
        </w:tc>
        <w:tc>
          <w:tcPr>
            <w:tcW w:w="5916" w:type="dxa"/>
            <w:vAlign w:val="center"/>
          </w:tcPr>
          <w:p w14:paraId="2AA1A50D">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评标委员会成员人数：7人；</w:t>
            </w:r>
          </w:p>
          <w:p w14:paraId="1645B805">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其中招标人代表2人，专家5人，由招标人依法组成。</w:t>
            </w:r>
          </w:p>
          <w:p w14:paraId="0BB1588F">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评标专家确定方式:按广州交易中心规定的时间内在广东省综合评标评审专家库中随机抽取，以能够参加并达到法定人数时为止。</w:t>
            </w:r>
          </w:p>
        </w:tc>
      </w:tr>
      <w:tr w14:paraId="2A77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34" w:type="dxa"/>
            <w:vAlign w:val="center"/>
          </w:tcPr>
          <w:p w14:paraId="4B434068">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6.3.2</w:t>
            </w:r>
          </w:p>
        </w:tc>
        <w:tc>
          <w:tcPr>
            <w:tcW w:w="2232" w:type="dxa"/>
            <w:vAlign w:val="center"/>
          </w:tcPr>
          <w:p w14:paraId="6E0ABFF4">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评标委员会推荐中标候选人的人数</w:t>
            </w:r>
          </w:p>
        </w:tc>
        <w:tc>
          <w:tcPr>
            <w:tcW w:w="5916" w:type="dxa"/>
            <w:vAlign w:val="center"/>
          </w:tcPr>
          <w:p w14:paraId="2D72DC3E">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t>3人</w:t>
            </w:r>
          </w:p>
        </w:tc>
      </w:tr>
      <w:tr w14:paraId="5EDB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34" w:type="dxa"/>
            <w:vAlign w:val="center"/>
          </w:tcPr>
          <w:p w14:paraId="58A02DE8">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7.1</w:t>
            </w:r>
          </w:p>
        </w:tc>
        <w:tc>
          <w:tcPr>
            <w:tcW w:w="2232" w:type="dxa"/>
            <w:vAlign w:val="center"/>
          </w:tcPr>
          <w:p w14:paraId="140E0EF3">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是否授权评标委员会确定中标人</w:t>
            </w:r>
          </w:p>
        </w:tc>
        <w:tc>
          <w:tcPr>
            <w:tcW w:w="5916" w:type="dxa"/>
            <w:vAlign w:val="center"/>
          </w:tcPr>
          <w:p w14:paraId="7A6048CE">
            <w:pPr>
              <w:adjustRightInd w:val="0"/>
              <w:spacing w:line="460" w:lineRule="exact"/>
              <w:textAlignment w:val="baseline"/>
              <w:rPr>
                <w:rFonts w:hint="eastAsia" w:ascii="宋体" w:hAnsi="宋体"/>
                <w:color w:val="auto"/>
                <w:szCs w:val="21"/>
                <w:highlight w:val="none"/>
              </w:rPr>
            </w:pPr>
            <w:r>
              <w:rPr>
                <w:rFonts w:hint="eastAsia" w:hAnsi="宋体"/>
                <w:color w:val="auto"/>
                <w:sz w:val="20"/>
                <w:highlight w:val="none"/>
              </w:rPr>
              <w:sym w:font="Wingdings" w:char="00A8"/>
            </w:r>
            <w:r>
              <w:rPr>
                <w:rFonts w:hint="eastAsia" w:ascii="宋体" w:hAnsi="宋体"/>
                <w:color w:val="auto"/>
                <w:szCs w:val="21"/>
                <w:highlight w:val="none"/>
              </w:rPr>
              <w:t>是</w:t>
            </w:r>
          </w:p>
          <w:p w14:paraId="5AD60071">
            <w:pPr>
              <w:adjustRightInd w:val="0"/>
              <w:spacing w:line="460" w:lineRule="exact"/>
              <w:textAlignment w:val="baseline"/>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否，中标候选人公示依法结束后，招标人确定评标综合得分排名第一名的为中标人。</w:t>
            </w:r>
          </w:p>
        </w:tc>
      </w:tr>
      <w:tr w14:paraId="4BE0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34" w:type="dxa"/>
            <w:vAlign w:val="center"/>
          </w:tcPr>
          <w:p w14:paraId="3556EF38">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7.2</w:t>
            </w:r>
          </w:p>
        </w:tc>
        <w:tc>
          <w:tcPr>
            <w:tcW w:w="2232" w:type="dxa"/>
            <w:vAlign w:val="center"/>
          </w:tcPr>
          <w:p w14:paraId="632406D7">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中标候选人公示媒介及期限</w:t>
            </w:r>
          </w:p>
        </w:tc>
        <w:tc>
          <w:tcPr>
            <w:tcW w:w="5916" w:type="dxa"/>
            <w:vAlign w:val="center"/>
          </w:tcPr>
          <w:p w14:paraId="78275B97">
            <w:pPr>
              <w:spacing w:line="460" w:lineRule="exact"/>
              <w:jc w:val="left"/>
              <w:textAlignment w:val="baseline"/>
              <w:rPr>
                <w:color w:val="auto"/>
                <w:highlight w:val="none"/>
              </w:rPr>
            </w:pPr>
            <w:r>
              <w:rPr>
                <w:rFonts w:hint="eastAsia"/>
                <w:color w:val="auto"/>
                <w:highlight w:val="none"/>
              </w:rPr>
              <w:t>公示媒介：</w:t>
            </w:r>
          </w:p>
          <w:p w14:paraId="18F1A8DE">
            <w:pPr>
              <w:spacing w:line="460" w:lineRule="exact"/>
              <w:jc w:val="left"/>
              <w:textAlignment w:val="baseline"/>
              <w:rPr>
                <w:color w:val="auto"/>
                <w:highlight w:val="none"/>
              </w:rPr>
            </w:pPr>
            <w:r>
              <w:rPr>
                <w:rFonts w:hint="eastAsia"/>
                <w:color w:val="auto"/>
                <w:highlight w:val="none"/>
              </w:rPr>
              <w:t>广东省招标投标监管网</w:t>
            </w:r>
          </w:p>
          <w:p w14:paraId="09E80D9D">
            <w:pPr>
              <w:spacing w:line="460" w:lineRule="exact"/>
              <w:jc w:val="left"/>
              <w:textAlignment w:val="baseline"/>
              <w:rPr>
                <w:color w:val="auto"/>
                <w:highlight w:val="none"/>
              </w:rPr>
            </w:pPr>
            <w:r>
              <w:rPr>
                <w:rFonts w:hint="eastAsia"/>
                <w:color w:val="auto"/>
                <w:highlight w:val="none"/>
              </w:rPr>
              <w:t>广州交易集团有限公司（广州公共资源交易中心）网站</w:t>
            </w:r>
          </w:p>
          <w:p w14:paraId="265F0605">
            <w:pPr>
              <w:spacing w:line="460" w:lineRule="exact"/>
              <w:jc w:val="left"/>
              <w:textAlignment w:val="baseline"/>
              <w:rPr>
                <w:color w:val="auto"/>
                <w:highlight w:val="none"/>
              </w:rPr>
            </w:pPr>
            <w:r>
              <w:rPr>
                <w:rFonts w:hint="eastAsia"/>
                <w:color w:val="auto"/>
                <w:highlight w:val="none"/>
              </w:rPr>
              <w:t>中国招标投标公共服务平台</w:t>
            </w:r>
          </w:p>
          <w:p w14:paraId="2676BA52">
            <w:pPr>
              <w:spacing w:line="460" w:lineRule="exact"/>
              <w:jc w:val="left"/>
              <w:textAlignment w:val="baseline"/>
              <w:rPr>
                <w:color w:val="auto"/>
                <w:highlight w:val="none"/>
              </w:rPr>
            </w:pPr>
            <w:r>
              <w:rPr>
                <w:rFonts w:hint="eastAsia"/>
                <w:color w:val="auto"/>
                <w:highlight w:val="none"/>
              </w:rPr>
              <w:t>广东省公共资源交易平台</w:t>
            </w:r>
          </w:p>
          <w:p w14:paraId="33D6A0B9">
            <w:pPr>
              <w:spacing w:line="460" w:lineRule="exact"/>
              <w:jc w:val="left"/>
              <w:textAlignment w:val="baseline"/>
              <w:rPr>
                <w:color w:val="auto"/>
                <w:highlight w:val="none"/>
              </w:rPr>
            </w:pPr>
            <w:r>
              <w:rPr>
                <w:rFonts w:hint="eastAsia"/>
                <w:color w:val="auto"/>
                <w:highlight w:val="none"/>
              </w:rPr>
              <w:t>公示期限：不少于3 日历天</w:t>
            </w:r>
          </w:p>
        </w:tc>
      </w:tr>
      <w:tr w14:paraId="4813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34" w:type="dxa"/>
            <w:vAlign w:val="center"/>
          </w:tcPr>
          <w:p w14:paraId="06E29DCB">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7.3</w:t>
            </w:r>
          </w:p>
        </w:tc>
        <w:tc>
          <w:tcPr>
            <w:tcW w:w="2232" w:type="dxa"/>
            <w:vAlign w:val="center"/>
          </w:tcPr>
          <w:p w14:paraId="3ECC272C">
            <w:pPr>
              <w:adjustRightInd w:val="0"/>
              <w:spacing w:line="460" w:lineRule="exact"/>
              <w:jc w:val="center"/>
              <w:textAlignment w:val="baseline"/>
              <w:rPr>
                <w:rFonts w:hint="eastAsia" w:ascii="宋体" w:hAnsi="宋体"/>
                <w:color w:val="auto"/>
                <w:szCs w:val="21"/>
                <w:highlight w:val="none"/>
              </w:rPr>
            </w:pPr>
            <w:r>
              <w:rPr>
                <w:rFonts w:hint="eastAsia"/>
                <w:color w:val="auto"/>
                <w:highlight w:val="none"/>
              </w:rPr>
              <w:t>中标结果公告媒介</w:t>
            </w:r>
          </w:p>
        </w:tc>
        <w:tc>
          <w:tcPr>
            <w:tcW w:w="5916" w:type="dxa"/>
            <w:vAlign w:val="center"/>
          </w:tcPr>
          <w:p w14:paraId="3907A631">
            <w:pPr>
              <w:spacing w:line="460" w:lineRule="exact"/>
              <w:jc w:val="left"/>
              <w:textAlignment w:val="baseline"/>
              <w:rPr>
                <w:color w:val="auto"/>
                <w:highlight w:val="none"/>
              </w:rPr>
            </w:pPr>
            <w:r>
              <w:rPr>
                <w:rFonts w:hint="eastAsia"/>
                <w:color w:val="auto"/>
                <w:highlight w:val="none"/>
              </w:rPr>
              <w:t>广东省招标投标监管网</w:t>
            </w:r>
          </w:p>
          <w:p w14:paraId="757F6C28">
            <w:pPr>
              <w:spacing w:line="460" w:lineRule="exact"/>
              <w:jc w:val="left"/>
              <w:textAlignment w:val="baseline"/>
              <w:rPr>
                <w:color w:val="auto"/>
                <w:highlight w:val="none"/>
              </w:rPr>
            </w:pPr>
            <w:r>
              <w:rPr>
                <w:rFonts w:hint="eastAsia"/>
                <w:color w:val="auto"/>
                <w:highlight w:val="none"/>
              </w:rPr>
              <w:t>广州交易集团有限公司（广州公共资源交易中心）网站</w:t>
            </w:r>
          </w:p>
          <w:p w14:paraId="346529E0">
            <w:pPr>
              <w:spacing w:line="460" w:lineRule="exact"/>
              <w:jc w:val="left"/>
              <w:textAlignment w:val="baseline"/>
              <w:rPr>
                <w:color w:val="auto"/>
                <w:highlight w:val="none"/>
              </w:rPr>
            </w:pPr>
            <w:r>
              <w:rPr>
                <w:rFonts w:hint="eastAsia"/>
                <w:color w:val="auto"/>
                <w:highlight w:val="none"/>
              </w:rPr>
              <w:t>中国招标投标公共服务平台</w:t>
            </w:r>
          </w:p>
          <w:p w14:paraId="28044D38">
            <w:pPr>
              <w:spacing w:line="460" w:lineRule="exact"/>
              <w:jc w:val="left"/>
              <w:textAlignment w:val="baseline"/>
              <w:rPr>
                <w:color w:val="auto"/>
                <w:highlight w:val="none"/>
              </w:rPr>
            </w:pPr>
            <w:r>
              <w:rPr>
                <w:rFonts w:hint="eastAsia"/>
                <w:color w:val="auto"/>
                <w:highlight w:val="none"/>
              </w:rPr>
              <w:t>广东省公共资源交易平台</w:t>
            </w:r>
          </w:p>
        </w:tc>
      </w:tr>
      <w:tr w14:paraId="5AC0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178976F">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4</w:t>
            </w:r>
            <w:r>
              <w:rPr>
                <w:rFonts w:ascii="宋体" w:hAnsi="宋体"/>
                <w:color w:val="auto"/>
                <w:szCs w:val="21"/>
                <w:highlight w:val="none"/>
              </w:rPr>
              <w:t>.1</w:t>
            </w:r>
          </w:p>
        </w:tc>
        <w:tc>
          <w:tcPr>
            <w:tcW w:w="2232" w:type="dxa"/>
            <w:vAlign w:val="center"/>
          </w:tcPr>
          <w:p w14:paraId="2A563C91">
            <w:pPr>
              <w:adjustRightInd w:val="0"/>
              <w:spacing w:line="460" w:lineRule="exact"/>
              <w:jc w:val="center"/>
              <w:textAlignment w:val="baseline"/>
              <w:rPr>
                <w:rFonts w:hint="eastAsia" w:ascii="宋体" w:hAnsi="宋体"/>
                <w:color w:val="auto"/>
                <w:szCs w:val="21"/>
                <w:highlight w:val="none"/>
              </w:rPr>
            </w:pPr>
            <w:r>
              <w:rPr>
                <w:rFonts w:ascii="宋体" w:hAnsi="宋体"/>
                <w:color w:val="auto"/>
                <w:szCs w:val="21"/>
                <w:highlight w:val="none"/>
              </w:rPr>
              <w:t>履约担保</w:t>
            </w:r>
          </w:p>
        </w:tc>
        <w:tc>
          <w:tcPr>
            <w:tcW w:w="5916" w:type="dxa"/>
            <w:vAlign w:val="center"/>
          </w:tcPr>
          <w:p w14:paraId="495E45D7">
            <w:pPr>
              <w:adjustRightInd w:val="0"/>
              <w:spacing w:line="460" w:lineRule="exact"/>
              <w:textAlignment w:val="baseline"/>
              <w:rPr>
                <w:rFonts w:hint="eastAsia" w:ascii="宋体" w:hAnsi="宋体"/>
                <w:color w:val="auto"/>
                <w:szCs w:val="21"/>
                <w:highlight w:val="none"/>
              </w:rPr>
            </w:pPr>
            <w:r>
              <w:rPr>
                <w:rFonts w:ascii="宋体" w:hAnsi="宋体"/>
                <w:color w:val="auto"/>
                <w:szCs w:val="21"/>
                <w:highlight w:val="none"/>
              </w:rPr>
              <w:t>履约担保的形式：</w:t>
            </w:r>
            <w:r>
              <w:rPr>
                <w:rFonts w:hint="eastAsia" w:ascii="宋体" w:hAnsi="宋体"/>
                <w:color w:val="auto"/>
                <w:szCs w:val="21"/>
                <w:highlight w:val="none"/>
              </w:rPr>
              <w:t>银行或担保机构出具的保函；或银行转账。</w:t>
            </w:r>
          </w:p>
          <w:p w14:paraId="40AA27AA">
            <w:pPr>
              <w:adjustRightInd w:val="0"/>
              <w:spacing w:line="460" w:lineRule="exact"/>
              <w:textAlignment w:val="baseline"/>
              <w:rPr>
                <w:rFonts w:hint="eastAsia" w:ascii="宋体" w:hAnsi="宋体"/>
                <w:color w:val="auto"/>
                <w:szCs w:val="21"/>
                <w:highlight w:val="none"/>
              </w:rPr>
            </w:pPr>
            <w:r>
              <w:rPr>
                <w:rFonts w:ascii="宋体" w:hAnsi="宋体"/>
                <w:color w:val="auto"/>
                <w:szCs w:val="21"/>
                <w:highlight w:val="none"/>
              </w:rPr>
              <w:t>履约担保的金额：</w:t>
            </w:r>
            <w:r>
              <w:rPr>
                <w:rFonts w:hint="eastAsia" w:ascii="宋体" w:hAnsi="宋体"/>
                <w:color w:val="auto"/>
                <w:szCs w:val="21"/>
                <w:highlight w:val="none"/>
              </w:rPr>
              <w:t>中标价的5%</w:t>
            </w:r>
          </w:p>
        </w:tc>
      </w:tr>
      <w:tr w14:paraId="3916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718B5FF">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szCs w:val="21"/>
                <w:highlight w:val="none"/>
              </w:rPr>
              <w:t>8.5.1</w:t>
            </w:r>
          </w:p>
        </w:tc>
        <w:tc>
          <w:tcPr>
            <w:tcW w:w="2232" w:type="dxa"/>
            <w:vAlign w:val="center"/>
          </w:tcPr>
          <w:p w14:paraId="7A0AB719">
            <w:pPr>
              <w:adjustRightInd w:val="0"/>
              <w:spacing w:line="460" w:lineRule="exact"/>
              <w:jc w:val="center"/>
              <w:textAlignment w:val="baseline"/>
              <w:rPr>
                <w:rFonts w:hint="eastAsia" w:ascii="宋体" w:hAnsi="宋体"/>
                <w:color w:val="auto"/>
                <w:szCs w:val="21"/>
                <w:highlight w:val="none"/>
              </w:rPr>
            </w:pPr>
            <w:r>
              <w:rPr>
                <w:rFonts w:hint="eastAsia" w:ascii="宋体" w:hAnsi="宋体"/>
                <w:color w:val="auto"/>
                <w:highlight w:val="none"/>
              </w:rPr>
              <w:t>监督部门</w:t>
            </w:r>
          </w:p>
        </w:tc>
        <w:tc>
          <w:tcPr>
            <w:tcW w:w="5916" w:type="dxa"/>
            <w:vAlign w:val="center"/>
          </w:tcPr>
          <w:p w14:paraId="081F3485">
            <w:pPr>
              <w:adjustRightInd w:val="0"/>
              <w:spacing w:line="460" w:lineRule="exact"/>
              <w:textAlignment w:val="baseline"/>
              <w:rPr>
                <w:rFonts w:hint="eastAsia" w:ascii="宋体" w:hAnsi="宋体"/>
                <w:color w:val="auto"/>
                <w:highlight w:val="none"/>
              </w:rPr>
            </w:pPr>
            <w:r>
              <w:rPr>
                <w:rFonts w:hint="eastAsia"/>
                <w:color w:val="auto"/>
                <w:highlight w:val="none"/>
              </w:rPr>
              <w:t>项目管理单位监督部门</w:t>
            </w:r>
            <w:r>
              <w:rPr>
                <w:rFonts w:hint="eastAsia" w:ascii="宋体" w:hAnsi="宋体"/>
                <w:color w:val="auto"/>
                <w:highlight w:val="none"/>
              </w:rPr>
              <w:t>：博罗县水利局</w:t>
            </w:r>
          </w:p>
          <w:p w14:paraId="302E7E4D">
            <w:pPr>
              <w:adjustRightInd w:val="0"/>
              <w:spacing w:line="460" w:lineRule="exact"/>
              <w:textAlignment w:val="baseline"/>
              <w:rPr>
                <w:rFonts w:hint="eastAsia" w:ascii="宋体" w:hAnsi="宋体"/>
                <w:color w:val="auto"/>
                <w:highlight w:val="none"/>
              </w:rPr>
            </w:pPr>
            <w:r>
              <w:rPr>
                <w:rFonts w:hint="eastAsia" w:ascii="宋体" w:hAnsi="宋体"/>
                <w:color w:val="auto"/>
                <w:highlight w:val="none"/>
              </w:rPr>
              <w:t>联系电话：0752-6208960</w:t>
            </w:r>
          </w:p>
          <w:p w14:paraId="02B01B5B">
            <w:pPr>
              <w:adjustRightInd w:val="0"/>
              <w:spacing w:line="460" w:lineRule="exact"/>
              <w:textAlignment w:val="baseline"/>
              <w:rPr>
                <w:rFonts w:hint="eastAsia" w:ascii="宋体" w:hAnsi="宋体"/>
                <w:color w:val="auto"/>
                <w:highlight w:val="none"/>
              </w:rPr>
            </w:pPr>
            <w:r>
              <w:rPr>
                <w:rFonts w:hint="eastAsia" w:ascii="宋体" w:hAnsi="宋体"/>
                <w:color w:val="auto"/>
                <w:highlight w:val="none"/>
              </w:rPr>
              <w:t>地 址：博罗县罗阳街道北门路94号</w:t>
            </w:r>
          </w:p>
        </w:tc>
      </w:tr>
      <w:tr w14:paraId="2286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01E1C4B">
            <w:pPr>
              <w:spacing w:line="460" w:lineRule="exact"/>
              <w:jc w:val="center"/>
              <w:textAlignment w:val="baseline"/>
              <w:rPr>
                <w:rFonts w:hint="eastAsia" w:ascii="宋体" w:hAnsi="宋体"/>
                <w:color w:val="auto"/>
                <w:szCs w:val="21"/>
                <w:highlight w:val="none"/>
              </w:rPr>
            </w:pPr>
            <w:r>
              <w:rPr>
                <w:rFonts w:hint="eastAsia"/>
                <w:color w:val="auto"/>
                <w:highlight w:val="none"/>
              </w:rPr>
              <w:t>9</w:t>
            </w:r>
          </w:p>
        </w:tc>
        <w:tc>
          <w:tcPr>
            <w:tcW w:w="2232" w:type="dxa"/>
            <w:vAlign w:val="center"/>
          </w:tcPr>
          <w:p w14:paraId="3E302C88">
            <w:pPr>
              <w:spacing w:line="460" w:lineRule="exact"/>
              <w:jc w:val="center"/>
              <w:textAlignment w:val="baseline"/>
              <w:rPr>
                <w:rFonts w:hint="eastAsia" w:ascii="宋体" w:hAnsi="宋体"/>
                <w:color w:val="auto"/>
                <w:szCs w:val="21"/>
                <w:highlight w:val="none"/>
              </w:rPr>
            </w:pPr>
            <w:r>
              <w:rPr>
                <w:rFonts w:hint="eastAsia"/>
                <w:color w:val="auto"/>
                <w:highlight w:val="none"/>
              </w:rPr>
              <w:t>电子招标投标</w:t>
            </w:r>
          </w:p>
        </w:tc>
        <w:tc>
          <w:tcPr>
            <w:tcW w:w="5916" w:type="dxa"/>
            <w:vAlign w:val="center"/>
          </w:tcPr>
          <w:p w14:paraId="59293B97">
            <w:pPr>
              <w:spacing w:line="460" w:lineRule="exact"/>
              <w:textAlignment w:val="baseline"/>
              <w:rPr>
                <w:color w:val="auto"/>
                <w:sz w:val="20"/>
                <w:highlight w:val="none"/>
              </w:rPr>
            </w:pPr>
            <w:r>
              <w:rPr>
                <w:rFonts w:hint="eastAsia" w:hAnsi="宋体"/>
                <w:color w:val="auto"/>
                <w:sz w:val="20"/>
                <w:highlight w:val="none"/>
              </w:rPr>
              <w:sym w:font="Wingdings" w:char="00A8"/>
            </w:r>
            <w:r>
              <w:rPr>
                <w:rFonts w:hint="eastAsia"/>
                <w:color w:val="auto"/>
                <w:highlight w:val="none"/>
              </w:rPr>
              <w:t>否</w:t>
            </w:r>
          </w:p>
          <w:p w14:paraId="1DDFF60F">
            <w:pPr>
              <w:spacing w:line="460" w:lineRule="exact"/>
              <w:textAlignment w:val="baseline"/>
              <w:rPr>
                <w:color w:val="auto"/>
                <w:highlight w:val="none"/>
              </w:rPr>
            </w:pPr>
            <w:r>
              <w:rPr>
                <w:rFonts w:hint="eastAsia" w:ascii="宋体" w:hAnsi="宋体"/>
                <w:color w:val="auto"/>
                <w:szCs w:val="21"/>
                <w:highlight w:val="none"/>
              </w:rPr>
              <w:sym w:font="Wingdings" w:char="00FE"/>
            </w:r>
            <w:r>
              <w:rPr>
                <w:rFonts w:hint="eastAsia"/>
                <w:color w:val="auto"/>
                <w:highlight w:val="none"/>
              </w:rPr>
              <w:t>是，具体要求：</w:t>
            </w:r>
          </w:p>
          <w:p w14:paraId="33EF6E00">
            <w:pPr>
              <w:spacing w:line="460" w:lineRule="exact"/>
              <w:textAlignment w:val="baseline"/>
              <w:rPr>
                <w:color w:val="auto"/>
                <w:highlight w:val="none"/>
              </w:rPr>
            </w:pPr>
            <w:r>
              <w:rPr>
                <w:rFonts w:hint="eastAsia"/>
                <w:color w:val="auto"/>
                <w:highlight w:val="none"/>
              </w:rPr>
              <w:t>1、具体操作按照广州公共资源交易中心交易平台关于全流程电子化项目的相关指南进行操作。</w:t>
            </w:r>
          </w:p>
          <w:p w14:paraId="035BB398">
            <w:pPr>
              <w:spacing w:line="460" w:lineRule="exact"/>
              <w:textAlignment w:val="baseline"/>
              <w:rPr>
                <w:color w:val="auto"/>
                <w:highlight w:val="none"/>
              </w:rPr>
            </w:pPr>
            <w:r>
              <w:rPr>
                <w:rFonts w:hint="eastAsia"/>
                <w:color w:val="auto"/>
                <w:highlight w:val="none"/>
              </w:rPr>
              <w:t>2、现场提交投标文件备用电子光盘的投标人可按照广州公共资源交易中心交易平台关于全流程电子化项目的相关指南方法制作非加密的电子投标文件刻入光盘。刻录好的投标文件光盘密封在密封袋中，密封袋上应写明的内容见投标人须知前附表要求：①现场递交的投标文件备用电子光盘不得加密。②备用电子光盘无法读取或导入的，则视为未提交投标文件备用电子光盘。③如果投标人没有按规定通过交易平台网上递交电子投标文件的，不再读取和接受现场提交的光盘。④投标人也可不递交投标文件备用电子光盘，但当因投标人原因解密失败且未递交备用电子光盘或递交的备用电子光盘不能读取或导入的，视为未递交投标文件或撤回投标文件。</w:t>
            </w:r>
            <w:r>
              <w:rPr>
                <w:rFonts w:hint="eastAsia" w:ascii="宋体" w:hAnsi="宋体" w:cs="宋体"/>
                <w:color w:val="auto"/>
                <w:szCs w:val="21"/>
                <w:highlight w:val="none"/>
              </w:rPr>
              <w:t>（递交备用电子光盘的人员必须为投标人的法定代表人或其委托代理人）。</w:t>
            </w:r>
          </w:p>
          <w:p w14:paraId="70058D88">
            <w:pPr>
              <w:spacing w:line="460" w:lineRule="exact"/>
              <w:textAlignment w:val="baseline"/>
              <w:rPr>
                <w:color w:val="auto"/>
                <w:highlight w:val="none"/>
              </w:rPr>
            </w:pPr>
            <w:r>
              <w:rPr>
                <w:rFonts w:hint="eastAsia"/>
                <w:color w:val="auto"/>
                <w:highlight w:val="none"/>
              </w:rPr>
              <w:t>3、补救方案</w:t>
            </w:r>
          </w:p>
          <w:p w14:paraId="201386E8">
            <w:pPr>
              <w:spacing w:line="460" w:lineRule="exact"/>
              <w:textAlignment w:val="baseline"/>
              <w:rPr>
                <w:color w:val="auto"/>
                <w:highlight w:val="none"/>
              </w:rPr>
            </w:pPr>
            <w:r>
              <w:rPr>
                <w:rFonts w:hint="eastAsia"/>
                <w:color w:val="auto"/>
                <w:highlight w:val="none"/>
              </w:rPr>
              <w:t>（1）投标文件解密失败的补救方案: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282B265C">
            <w:pPr>
              <w:spacing w:line="460" w:lineRule="exact"/>
              <w:textAlignment w:val="baseline"/>
              <w:rPr>
                <w:color w:val="auto"/>
                <w:highlight w:val="none"/>
              </w:rPr>
            </w:pPr>
            <w:r>
              <w:rPr>
                <w:rFonts w:hint="eastAsia"/>
                <w:color w:val="auto"/>
                <w:highlight w:val="none"/>
              </w:rPr>
              <w:t>（2）评标时突发情况的补救方案:若遇不可抗力发生（如:网络瘫痪、服务器损坏、交易系统故障短期无法恢复等因素，由评标委员会开启现场递交的全部投标文件光盘，并按光盘内容进行评审。投标人未递交投标文件光盘，视为撤回投标文件。</w:t>
            </w:r>
          </w:p>
          <w:p w14:paraId="1A6B541E">
            <w:pPr>
              <w:spacing w:line="460" w:lineRule="exact"/>
              <w:textAlignment w:val="baseline"/>
              <w:rPr>
                <w:rFonts w:hint="eastAsia" w:ascii="宋体" w:hAnsi="宋体"/>
                <w:color w:val="auto"/>
                <w:highlight w:val="none"/>
              </w:rPr>
            </w:pPr>
            <w:r>
              <w:rPr>
                <w:rFonts w:hint="eastAsia"/>
                <w:color w:val="auto"/>
                <w:highlight w:val="none"/>
              </w:rPr>
              <w:t>（3）除发生上述情况外，开标评标均以投标人通过交易平台网上递交的电子投标文件为准。</w:t>
            </w:r>
          </w:p>
        </w:tc>
      </w:tr>
      <w:tr w14:paraId="6C16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5CD0A03">
            <w:pPr>
              <w:adjustRightInd w:val="0"/>
              <w:spacing w:line="46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10</w:t>
            </w:r>
          </w:p>
        </w:tc>
        <w:tc>
          <w:tcPr>
            <w:tcW w:w="8148" w:type="dxa"/>
            <w:gridSpan w:val="2"/>
            <w:vAlign w:val="center"/>
          </w:tcPr>
          <w:p w14:paraId="4605EB08">
            <w:pPr>
              <w:adjustRightInd w:val="0"/>
              <w:spacing w:line="46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需要</w:t>
            </w:r>
            <w:r>
              <w:rPr>
                <w:rFonts w:ascii="宋体" w:hAnsi="宋体"/>
                <w:b/>
                <w:color w:val="auto"/>
                <w:szCs w:val="21"/>
                <w:highlight w:val="none"/>
              </w:rPr>
              <w:t>补充</w:t>
            </w:r>
            <w:r>
              <w:rPr>
                <w:rFonts w:hint="eastAsia" w:ascii="宋体" w:hAnsi="宋体"/>
                <w:b/>
                <w:color w:val="auto"/>
                <w:szCs w:val="21"/>
                <w:highlight w:val="none"/>
              </w:rPr>
              <w:t>的其他</w:t>
            </w:r>
            <w:r>
              <w:rPr>
                <w:rFonts w:ascii="宋体" w:hAnsi="宋体"/>
                <w:b/>
                <w:color w:val="auto"/>
                <w:szCs w:val="21"/>
                <w:highlight w:val="none"/>
              </w:rPr>
              <w:t>内容</w:t>
            </w:r>
          </w:p>
        </w:tc>
      </w:tr>
      <w:tr w14:paraId="1995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527596D">
            <w:pPr>
              <w:spacing w:line="460" w:lineRule="exact"/>
              <w:jc w:val="center"/>
              <w:textAlignment w:val="baseline"/>
              <w:rPr>
                <w:color w:val="auto"/>
                <w:highlight w:val="none"/>
              </w:rPr>
            </w:pPr>
            <w:r>
              <w:rPr>
                <w:rFonts w:hint="eastAsia"/>
                <w:color w:val="auto"/>
                <w:highlight w:val="none"/>
              </w:rPr>
              <w:t>10.1</w:t>
            </w:r>
          </w:p>
        </w:tc>
        <w:tc>
          <w:tcPr>
            <w:tcW w:w="2232" w:type="dxa"/>
            <w:vAlign w:val="center"/>
          </w:tcPr>
          <w:p w14:paraId="419E8BC8">
            <w:pPr>
              <w:spacing w:line="460" w:lineRule="exact"/>
              <w:jc w:val="center"/>
              <w:textAlignment w:val="baseline"/>
              <w:rPr>
                <w:color w:val="auto"/>
                <w:highlight w:val="none"/>
              </w:rPr>
            </w:pPr>
            <w:r>
              <w:rPr>
                <w:rFonts w:hint="eastAsia"/>
                <w:color w:val="auto"/>
                <w:highlight w:val="none"/>
              </w:rPr>
              <w:t>未尽事宜</w:t>
            </w:r>
          </w:p>
        </w:tc>
        <w:tc>
          <w:tcPr>
            <w:tcW w:w="5916" w:type="dxa"/>
            <w:vAlign w:val="center"/>
          </w:tcPr>
          <w:p w14:paraId="7A6541AF">
            <w:pPr>
              <w:spacing w:line="460" w:lineRule="exact"/>
              <w:jc w:val="left"/>
              <w:textAlignment w:val="baseline"/>
              <w:rPr>
                <w:color w:val="auto"/>
                <w:highlight w:val="none"/>
              </w:rPr>
            </w:pPr>
            <w:r>
              <w:rPr>
                <w:rFonts w:hint="eastAsia" w:ascii="宋体" w:hAnsi="宋体"/>
                <w:color w:val="auto"/>
                <w:highlight w:val="none"/>
              </w:rPr>
              <w:t>本招标文件未尽事宜按《中华人民共和国招标投标法》、《中华人民共和国招标投标法实施条例》、《广东省实施&lt;中华人民共和国招标投标法&gt;办法》及地方规定执行。</w:t>
            </w:r>
          </w:p>
        </w:tc>
      </w:tr>
      <w:tr w14:paraId="0F56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14405BC">
            <w:pPr>
              <w:spacing w:line="460" w:lineRule="exact"/>
              <w:jc w:val="center"/>
              <w:textAlignment w:val="baseline"/>
              <w:rPr>
                <w:color w:val="auto"/>
                <w:highlight w:val="none"/>
              </w:rPr>
            </w:pPr>
            <w:r>
              <w:rPr>
                <w:rFonts w:hint="eastAsia"/>
                <w:color w:val="auto"/>
                <w:highlight w:val="none"/>
              </w:rPr>
              <w:t>10.2</w:t>
            </w:r>
          </w:p>
        </w:tc>
        <w:tc>
          <w:tcPr>
            <w:tcW w:w="2232" w:type="dxa"/>
            <w:vAlign w:val="center"/>
          </w:tcPr>
          <w:p w14:paraId="499CD02B">
            <w:pPr>
              <w:spacing w:line="460" w:lineRule="exact"/>
              <w:jc w:val="center"/>
              <w:textAlignment w:val="baseline"/>
              <w:rPr>
                <w:color w:val="auto"/>
                <w:highlight w:val="none"/>
              </w:rPr>
            </w:pPr>
            <w:r>
              <w:rPr>
                <w:rFonts w:hint="eastAsia"/>
                <w:color w:val="auto"/>
                <w:highlight w:val="none"/>
              </w:rPr>
              <w:t>交易服务费</w:t>
            </w:r>
          </w:p>
        </w:tc>
        <w:tc>
          <w:tcPr>
            <w:tcW w:w="5916" w:type="dxa"/>
            <w:vAlign w:val="center"/>
          </w:tcPr>
          <w:p w14:paraId="1FEAD76B">
            <w:pPr>
              <w:spacing w:line="460" w:lineRule="exact"/>
              <w:jc w:val="left"/>
              <w:textAlignment w:val="baseline"/>
              <w:rPr>
                <w:color w:val="auto"/>
                <w:highlight w:val="none"/>
              </w:rPr>
            </w:pPr>
            <w:r>
              <w:rPr>
                <w:rFonts w:hint="eastAsia"/>
                <w:color w:val="auto"/>
                <w:highlight w:val="none"/>
              </w:rPr>
              <w:t>中标人须在中标候选人公示结束之日起3个工作日之内向广州公共资源交易中心一次性缴纳交易服务费，收费标准以广州公共资源交易中心有关规定为准。</w:t>
            </w:r>
          </w:p>
        </w:tc>
      </w:tr>
      <w:tr w14:paraId="586E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1170A46E">
            <w:pPr>
              <w:spacing w:line="460" w:lineRule="exact"/>
              <w:jc w:val="center"/>
              <w:textAlignment w:val="baseline"/>
              <w:rPr>
                <w:color w:val="auto"/>
                <w:highlight w:val="none"/>
              </w:rPr>
            </w:pPr>
            <w:r>
              <w:rPr>
                <w:rFonts w:hint="eastAsia"/>
                <w:color w:val="auto"/>
                <w:highlight w:val="none"/>
              </w:rPr>
              <w:t>10.3</w:t>
            </w:r>
          </w:p>
        </w:tc>
        <w:tc>
          <w:tcPr>
            <w:tcW w:w="2232" w:type="dxa"/>
            <w:vAlign w:val="center"/>
          </w:tcPr>
          <w:p w14:paraId="2960C9F5">
            <w:pPr>
              <w:spacing w:line="460" w:lineRule="exact"/>
              <w:jc w:val="center"/>
              <w:textAlignment w:val="baseline"/>
              <w:rPr>
                <w:color w:val="auto"/>
                <w:highlight w:val="none"/>
              </w:rPr>
            </w:pPr>
            <w:r>
              <w:rPr>
                <w:rFonts w:hint="eastAsia"/>
                <w:color w:val="auto"/>
                <w:highlight w:val="none"/>
              </w:rPr>
              <w:t>招标代理服务费</w:t>
            </w:r>
          </w:p>
        </w:tc>
        <w:tc>
          <w:tcPr>
            <w:tcW w:w="5916" w:type="dxa"/>
            <w:vAlign w:val="center"/>
          </w:tcPr>
          <w:p w14:paraId="0130861D">
            <w:pPr>
              <w:spacing w:line="460" w:lineRule="exact"/>
              <w:jc w:val="left"/>
              <w:textAlignment w:val="baseline"/>
              <w:rPr>
                <w:color w:val="auto"/>
                <w:highlight w:val="none"/>
              </w:rPr>
            </w:pPr>
            <w:r>
              <w:rPr>
                <w:rFonts w:hint="eastAsia"/>
                <w:color w:val="auto"/>
                <w:highlight w:val="none"/>
              </w:rPr>
              <w:t>招标代理服务费：</w:t>
            </w:r>
          </w:p>
          <w:p w14:paraId="3D95AC4D">
            <w:pPr>
              <w:spacing w:line="460" w:lineRule="exact"/>
              <w:jc w:val="left"/>
              <w:textAlignment w:val="baseline"/>
              <w:rPr>
                <w:rFonts w:hint="eastAsia" w:ascii="Times New Roman" w:hAnsi="Times New Roman" w:eastAsia="宋体" w:cs="Times New Roman"/>
                <w:strike w:val="0"/>
                <w:dstrike w:val="0"/>
                <w:color w:val="auto"/>
                <w:highlight w:val="none"/>
              </w:rPr>
            </w:pPr>
            <w:r>
              <w:rPr>
                <w:rFonts w:hint="eastAsia"/>
                <w:color w:val="auto"/>
                <w:highlight w:val="none"/>
              </w:rPr>
              <w:t>1.中标人在领取《中标通知书》前向招标代理机构交纳招标代理服务费，</w:t>
            </w:r>
            <w:r>
              <w:rPr>
                <w:rFonts w:hint="eastAsia"/>
                <w:strike w:val="0"/>
                <w:dstrike w:val="0"/>
                <w:color w:val="auto"/>
                <w:highlight w:val="none"/>
              </w:rPr>
              <w:t>本工程招标代理费为包干价</w:t>
            </w:r>
            <w:r>
              <w:rPr>
                <w:rFonts w:hint="eastAsia"/>
                <w:strike w:val="0"/>
                <w:dstrike w:val="0"/>
                <w:color w:val="auto"/>
                <w:highlight w:val="none"/>
                <w:lang w:eastAsia="zh-CN"/>
              </w:rPr>
              <w:t>：</w:t>
            </w:r>
            <w:r>
              <w:rPr>
                <w:rFonts w:hint="eastAsia"/>
                <w:strike w:val="0"/>
                <w:dstrike w:val="0"/>
                <w:color w:val="auto"/>
                <w:highlight w:val="none"/>
              </w:rPr>
              <w:t>人</w:t>
            </w:r>
            <w:r>
              <w:rPr>
                <w:rFonts w:hint="eastAsia" w:ascii="Times New Roman" w:hAnsi="Times New Roman" w:eastAsia="宋体" w:cs="Times New Roman"/>
                <w:strike w:val="0"/>
                <w:dstrike w:val="0"/>
                <w:color w:val="auto"/>
                <w:highlight w:val="none"/>
              </w:rPr>
              <w:t>民币</w:t>
            </w:r>
            <w:r>
              <w:rPr>
                <w:rFonts w:hint="eastAsia" w:ascii="Times New Roman" w:hAnsi="Times New Roman" w:eastAsia="宋体" w:cs="Times New Roman"/>
                <w:strike w:val="0"/>
                <w:dstrike w:val="0"/>
                <w:color w:val="auto"/>
                <w:highlight w:val="none"/>
                <w:lang w:val="en-US" w:eastAsia="zh-CN"/>
              </w:rPr>
              <w:t>贰拾壹万</w:t>
            </w:r>
            <w:r>
              <w:rPr>
                <w:rFonts w:hint="eastAsia" w:ascii="Times New Roman" w:hAnsi="Times New Roman" w:eastAsia="宋体" w:cs="Times New Roman"/>
                <w:strike w:val="0"/>
                <w:dstrike w:val="0"/>
                <w:color w:val="auto"/>
                <w:highlight w:val="none"/>
              </w:rPr>
              <w:t>元整（小写：</w:t>
            </w:r>
            <w:r>
              <w:rPr>
                <w:rFonts w:hint="eastAsia" w:ascii="Times New Roman" w:hAnsi="Times New Roman" w:eastAsia="宋体" w:cs="Times New Roman"/>
                <w:strike w:val="0"/>
                <w:dstrike w:val="0"/>
                <w:color w:val="auto"/>
                <w:highlight w:val="none"/>
                <w:lang w:val="en-US" w:eastAsia="zh-CN"/>
              </w:rPr>
              <w:t>210000.00</w:t>
            </w:r>
            <w:r>
              <w:rPr>
                <w:rFonts w:hint="eastAsia" w:ascii="Times New Roman" w:hAnsi="Times New Roman" w:eastAsia="宋体" w:cs="Times New Roman"/>
                <w:strike w:val="0"/>
                <w:dstrike w:val="0"/>
                <w:color w:val="auto"/>
                <w:highlight w:val="none"/>
              </w:rPr>
              <w:t>元）；</w:t>
            </w:r>
          </w:p>
          <w:p w14:paraId="31FFCE6E">
            <w:pPr>
              <w:spacing w:line="460" w:lineRule="exact"/>
              <w:jc w:val="left"/>
              <w:textAlignment w:val="baseline"/>
              <w:rPr>
                <w:color w:val="auto"/>
                <w:highlight w:val="none"/>
              </w:rPr>
            </w:pPr>
            <w:r>
              <w:rPr>
                <w:rFonts w:hint="eastAsia"/>
                <w:color w:val="auto"/>
                <w:highlight w:val="none"/>
              </w:rPr>
              <w:t>2.招标代理服务费支付方式：一次性汇入如下帐户：</w:t>
            </w:r>
          </w:p>
          <w:p w14:paraId="3D9F29B4">
            <w:pPr>
              <w:spacing w:line="460" w:lineRule="exact"/>
              <w:jc w:val="left"/>
              <w:textAlignment w:val="baseline"/>
              <w:rPr>
                <w:color w:val="auto"/>
                <w:highlight w:val="none"/>
              </w:rPr>
            </w:pPr>
            <w:r>
              <w:rPr>
                <w:rFonts w:hint="eastAsia"/>
                <w:color w:val="auto"/>
                <w:highlight w:val="none"/>
              </w:rPr>
              <w:t>收款人：惠州众志诚工程管理有限公司</w:t>
            </w:r>
          </w:p>
          <w:p w14:paraId="1E0FACC5">
            <w:pPr>
              <w:spacing w:line="460" w:lineRule="exact"/>
              <w:jc w:val="left"/>
              <w:textAlignment w:val="baseline"/>
              <w:rPr>
                <w:color w:val="auto"/>
                <w:highlight w:val="none"/>
              </w:rPr>
            </w:pPr>
            <w:r>
              <w:rPr>
                <w:rFonts w:hint="eastAsia"/>
                <w:color w:val="auto"/>
                <w:highlight w:val="none"/>
              </w:rPr>
              <w:t>开户银行：中国银行股份有限公司惠州博罗博都花园支行</w:t>
            </w:r>
          </w:p>
          <w:p w14:paraId="5A63B4E4">
            <w:pPr>
              <w:spacing w:line="460" w:lineRule="exact"/>
              <w:jc w:val="left"/>
              <w:textAlignment w:val="baseline"/>
              <w:rPr>
                <w:color w:val="auto"/>
                <w:highlight w:val="none"/>
              </w:rPr>
            </w:pPr>
            <w:r>
              <w:rPr>
                <w:rFonts w:hint="eastAsia"/>
                <w:color w:val="auto"/>
                <w:highlight w:val="none"/>
              </w:rPr>
              <w:t>账号：657473558017</w:t>
            </w:r>
          </w:p>
          <w:p w14:paraId="3E1F78ED">
            <w:pPr>
              <w:spacing w:line="460" w:lineRule="exact"/>
              <w:jc w:val="left"/>
              <w:textAlignment w:val="baseline"/>
              <w:rPr>
                <w:color w:val="auto"/>
                <w:highlight w:val="none"/>
              </w:rPr>
            </w:pPr>
            <w:r>
              <w:rPr>
                <w:rFonts w:hint="eastAsia"/>
                <w:color w:val="auto"/>
                <w:highlight w:val="none"/>
              </w:rPr>
              <w:t>3.招标代理服务费不在投标报价中单列。</w:t>
            </w:r>
          </w:p>
        </w:tc>
      </w:tr>
      <w:tr w14:paraId="5F36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508BC69">
            <w:pPr>
              <w:spacing w:line="460" w:lineRule="exact"/>
              <w:jc w:val="center"/>
              <w:textAlignment w:val="baseline"/>
              <w:rPr>
                <w:color w:val="auto"/>
                <w:highlight w:val="none"/>
              </w:rPr>
            </w:pPr>
            <w:r>
              <w:rPr>
                <w:rFonts w:hint="eastAsia"/>
                <w:color w:val="auto"/>
                <w:highlight w:val="none"/>
              </w:rPr>
              <w:t>10.4</w:t>
            </w:r>
          </w:p>
        </w:tc>
        <w:tc>
          <w:tcPr>
            <w:tcW w:w="2232" w:type="dxa"/>
            <w:vAlign w:val="center"/>
          </w:tcPr>
          <w:p w14:paraId="2B30DAF1">
            <w:pPr>
              <w:spacing w:line="460" w:lineRule="exact"/>
              <w:jc w:val="left"/>
              <w:textAlignment w:val="baseline"/>
              <w:rPr>
                <w:color w:val="auto"/>
                <w:highlight w:val="none"/>
              </w:rPr>
            </w:pPr>
            <w:r>
              <w:rPr>
                <w:rFonts w:hint="eastAsia"/>
                <w:color w:val="auto"/>
                <w:highlight w:val="none"/>
              </w:rPr>
              <w:t>评标所需资料的原件</w:t>
            </w:r>
          </w:p>
        </w:tc>
        <w:tc>
          <w:tcPr>
            <w:tcW w:w="5916" w:type="dxa"/>
            <w:vAlign w:val="center"/>
          </w:tcPr>
          <w:p w14:paraId="0C4C1E61">
            <w:pPr>
              <w:spacing w:line="460" w:lineRule="exact"/>
              <w:jc w:val="left"/>
              <w:textAlignment w:val="baseline"/>
              <w:rPr>
                <w:color w:val="auto"/>
                <w:highlight w:val="none"/>
              </w:rPr>
            </w:pPr>
            <w:r>
              <w:rPr>
                <w:rFonts w:hint="eastAsia"/>
                <w:color w:val="auto"/>
                <w:highlight w:val="none"/>
              </w:rPr>
              <w:t>无需提供，除非评标委员会单独要求</w:t>
            </w:r>
          </w:p>
        </w:tc>
      </w:tr>
      <w:tr w14:paraId="57E5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B5D1276">
            <w:pPr>
              <w:spacing w:line="460" w:lineRule="exact"/>
              <w:jc w:val="center"/>
              <w:textAlignment w:val="baseline"/>
              <w:rPr>
                <w:color w:val="auto"/>
                <w:highlight w:val="none"/>
              </w:rPr>
            </w:pPr>
            <w:r>
              <w:rPr>
                <w:rFonts w:hint="eastAsia"/>
                <w:color w:val="auto"/>
                <w:highlight w:val="none"/>
              </w:rPr>
              <w:t>10.5</w:t>
            </w:r>
          </w:p>
        </w:tc>
        <w:tc>
          <w:tcPr>
            <w:tcW w:w="2232" w:type="dxa"/>
            <w:vAlign w:val="center"/>
          </w:tcPr>
          <w:p w14:paraId="7C9A1CBE">
            <w:pPr>
              <w:spacing w:line="460" w:lineRule="exact"/>
              <w:jc w:val="left"/>
              <w:textAlignment w:val="baseline"/>
              <w:rPr>
                <w:color w:val="auto"/>
                <w:highlight w:val="none"/>
              </w:rPr>
            </w:pPr>
            <w:r>
              <w:rPr>
                <w:rFonts w:hint="eastAsia"/>
                <w:color w:val="auto"/>
                <w:highlight w:val="none"/>
              </w:rPr>
              <w:t>否决性条款汇总</w:t>
            </w:r>
          </w:p>
        </w:tc>
        <w:tc>
          <w:tcPr>
            <w:tcW w:w="5916" w:type="dxa"/>
            <w:vAlign w:val="center"/>
          </w:tcPr>
          <w:p w14:paraId="3F4DAA19">
            <w:pPr>
              <w:spacing w:line="460" w:lineRule="exact"/>
              <w:jc w:val="left"/>
              <w:textAlignment w:val="baseline"/>
              <w:rPr>
                <w:color w:val="auto"/>
                <w:highlight w:val="none"/>
              </w:rPr>
            </w:pPr>
            <w:r>
              <w:rPr>
                <w:rFonts w:hint="eastAsia"/>
                <w:color w:val="auto"/>
                <w:highlight w:val="none"/>
              </w:rPr>
              <w:t>1、投标人的投标报价下浮率必须≥2.00%（以百分比为单位，精确到小数点后两位），否则评标委员会将否决其投标。</w:t>
            </w:r>
          </w:p>
          <w:p w14:paraId="21834B57">
            <w:pPr>
              <w:spacing w:line="460" w:lineRule="exact"/>
              <w:jc w:val="left"/>
              <w:textAlignment w:val="baseline"/>
              <w:rPr>
                <w:color w:val="auto"/>
                <w:highlight w:val="none"/>
              </w:rPr>
            </w:pPr>
            <w:r>
              <w:rPr>
                <w:rFonts w:hint="eastAsia"/>
                <w:color w:val="auto"/>
                <w:highlight w:val="none"/>
              </w:rPr>
              <w:t>2、未按照招标文件要求提交投标保证金；</w:t>
            </w:r>
          </w:p>
          <w:p w14:paraId="44EDFC4E">
            <w:pPr>
              <w:spacing w:line="460" w:lineRule="exact"/>
              <w:jc w:val="left"/>
              <w:textAlignment w:val="baseline"/>
              <w:rPr>
                <w:color w:val="auto"/>
                <w:highlight w:val="none"/>
              </w:rPr>
            </w:pPr>
            <w:r>
              <w:rPr>
                <w:rFonts w:hint="eastAsia"/>
                <w:color w:val="auto"/>
                <w:highlight w:val="none"/>
              </w:rPr>
              <w:t>3、不符合招标文件评标办法前附表“形式评审标准”的；</w:t>
            </w:r>
          </w:p>
          <w:p w14:paraId="78F522E9">
            <w:pPr>
              <w:spacing w:line="460" w:lineRule="exact"/>
              <w:jc w:val="left"/>
              <w:textAlignment w:val="baseline"/>
              <w:rPr>
                <w:color w:val="auto"/>
                <w:highlight w:val="none"/>
              </w:rPr>
            </w:pPr>
            <w:r>
              <w:rPr>
                <w:rFonts w:hint="eastAsia"/>
                <w:color w:val="auto"/>
                <w:highlight w:val="none"/>
              </w:rPr>
              <w:t>4、不符合招标文件评标办法前附表“资格评审标准”的；</w:t>
            </w:r>
          </w:p>
          <w:p w14:paraId="6F493808">
            <w:pPr>
              <w:spacing w:line="460" w:lineRule="exact"/>
              <w:jc w:val="left"/>
              <w:textAlignment w:val="baseline"/>
              <w:rPr>
                <w:color w:val="auto"/>
                <w:highlight w:val="none"/>
              </w:rPr>
            </w:pPr>
            <w:r>
              <w:rPr>
                <w:rFonts w:hint="eastAsia"/>
                <w:color w:val="auto"/>
                <w:highlight w:val="none"/>
              </w:rPr>
              <w:t>5、不符合招标文件评标办法前附表“响应性评审标准”的；</w:t>
            </w:r>
          </w:p>
          <w:p w14:paraId="66F7809E">
            <w:pPr>
              <w:spacing w:line="460" w:lineRule="exact"/>
              <w:jc w:val="left"/>
              <w:textAlignment w:val="baseline"/>
              <w:rPr>
                <w:color w:val="auto"/>
                <w:highlight w:val="none"/>
              </w:rPr>
            </w:pPr>
            <w:r>
              <w:rPr>
                <w:rFonts w:hint="eastAsia"/>
                <w:color w:val="auto"/>
                <w:highlight w:val="none"/>
              </w:rPr>
              <w:t>6、投标文件没有对招标文件的实质性要求和条件作出响应，或者对招标文件的偏差超出招标文件规定的偏差范围或最高项数；</w:t>
            </w:r>
          </w:p>
          <w:p w14:paraId="400E1506">
            <w:pPr>
              <w:spacing w:line="460" w:lineRule="exact"/>
              <w:jc w:val="left"/>
              <w:textAlignment w:val="baseline"/>
              <w:rPr>
                <w:color w:val="auto"/>
                <w:highlight w:val="none"/>
              </w:rPr>
            </w:pPr>
            <w:r>
              <w:rPr>
                <w:rFonts w:hint="eastAsia"/>
                <w:color w:val="auto"/>
                <w:highlight w:val="none"/>
              </w:rPr>
              <w:t>7、有串通投标、弄虚作假、行贿等违法行为；</w:t>
            </w:r>
          </w:p>
          <w:p w14:paraId="77496908">
            <w:pPr>
              <w:spacing w:line="460" w:lineRule="exact"/>
              <w:jc w:val="left"/>
              <w:textAlignment w:val="baseline"/>
              <w:rPr>
                <w:color w:val="auto"/>
                <w:highlight w:val="none"/>
              </w:rPr>
            </w:pPr>
            <w:r>
              <w:rPr>
                <w:rFonts w:hint="eastAsia"/>
                <w:color w:val="auto"/>
                <w:highlight w:val="none"/>
              </w:rPr>
              <w:t>8、投标报价有算术错误及其他错误的，评标委员会按以下原则要求投标人对投标报价进行修正，并要求投标人书面澄清确认。投标人拒不澄清确认的，评标委员会应当否决其投标：</w:t>
            </w:r>
          </w:p>
          <w:p w14:paraId="564F60A6">
            <w:pPr>
              <w:spacing w:line="460" w:lineRule="exact"/>
              <w:jc w:val="left"/>
              <w:textAlignment w:val="baseline"/>
              <w:rPr>
                <w:color w:val="auto"/>
                <w:highlight w:val="none"/>
              </w:rPr>
            </w:pPr>
            <w:r>
              <w:rPr>
                <w:rFonts w:hint="eastAsia"/>
                <w:color w:val="auto"/>
                <w:highlight w:val="none"/>
              </w:rPr>
              <w:t>（1）投标文件中的大写金额与小写金额不一致的，以大写金额为准；</w:t>
            </w:r>
          </w:p>
          <w:p w14:paraId="3E3BAD2D">
            <w:pPr>
              <w:spacing w:line="460" w:lineRule="exact"/>
              <w:jc w:val="left"/>
              <w:textAlignment w:val="baseline"/>
              <w:rPr>
                <w:color w:val="auto"/>
                <w:highlight w:val="none"/>
              </w:rPr>
            </w:pPr>
            <w:r>
              <w:rPr>
                <w:rFonts w:hint="eastAsia"/>
                <w:color w:val="auto"/>
                <w:highlight w:val="none"/>
              </w:rPr>
              <w:t>（2）总价金额与单价金额不一致的，以单价金额为准，但单价金额小数点有明显错误的除外。</w:t>
            </w:r>
          </w:p>
          <w:p w14:paraId="126F6E45">
            <w:pPr>
              <w:spacing w:line="460" w:lineRule="exact"/>
              <w:jc w:val="left"/>
              <w:textAlignment w:val="baseline"/>
              <w:rPr>
                <w:color w:val="auto"/>
                <w:highlight w:val="none"/>
              </w:rPr>
            </w:pPr>
            <w:r>
              <w:rPr>
                <w:rFonts w:hint="eastAsia"/>
                <w:color w:val="auto"/>
                <w:highlight w:val="none"/>
              </w:rPr>
              <w:t>9、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14:paraId="5CB2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BFAB9D4">
            <w:pPr>
              <w:spacing w:line="460" w:lineRule="exact"/>
              <w:jc w:val="center"/>
              <w:textAlignment w:val="baseline"/>
              <w:rPr>
                <w:color w:val="auto"/>
                <w:highlight w:val="none"/>
              </w:rPr>
            </w:pPr>
            <w:r>
              <w:rPr>
                <w:rFonts w:hint="eastAsia"/>
                <w:color w:val="auto"/>
                <w:highlight w:val="none"/>
              </w:rPr>
              <w:t>10.6</w:t>
            </w:r>
          </w:p>
        </w:tc>
        <w:tc>
          <w:tcPr>
            <w:tcW w:w="2232" w:type="dxa"/>
            <w:vAlign w:val="center"/>
          </w:tcPr>
          <w:p w14:paraId="4CB7B9A1">
            <w:pPr>
              <w:spacing w:line="460" w:lineRule="exact"/>
              <w:jc w:val="left"/>
              <w:textAlignment w:val="baseline"/>
              <w:rPr>
                <w:color w:val="auto"/>
                <w:highlight w:val="none"/>
              </w:rPr>
            </w:pPr>
            <w:r>
              <w:rPr>
                <w:rFonts w:hint="eastAsia"/>
                <w:color w:val="auto"/>
                <w:highlight w:val="none"/>
              </w:rPr>
              <w:t>纸质版投标文件要求</w:t>
            </w:r>
          </w:p>
        </w:tc>
        <w:tc>
          <w:tcPr>
            <w:tcW w:w="5916" w:type="dxa"/>
            <w:vAlign w:val="center"/>
          </w:tcPr>
          <w:p w14:paraId="3F59377F">
            <w:pPr>
              <w:spacing w:line="460" w:lineRule="exact"/>
              <w:jc w:val="left"/>
              <w:textAlignment w:val="baseline"/>
              <w:rPr>
                <w:color w:val="auto"/>
                <w:highlight w:val="none"/>
              </w:rPr>
            </w:pPr>
            <w:r>
              <w:rPr>
                <w:rFonts w:hint="eastAsia"/>
                <w:color w:val="auto"/>
                <w:highlight w:val="none"/>
              </w:rPr>
              <w:t>中标单位领取中标通知书时，补送一正两副与交易平台网上递交的电子投标文件一致的书面投标文件（加盖公章）及与投标文件正本相同的可编辑的投标文件电子版U盘一份至招标代理机构。</w:t>
            </w:r>
          </w:p>
        </w:tc>
      </w:tr>
      <w:tr w14:paraId="1D64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5272CFE9">
            <w:pPr>
              <w:spacing w:line="460" w:lineRule="exact"/>
              <w:jc w:val="center"/>
              <w:textAlignment w:val="baseline"/>
              <w:rPr>
                <w:color w:val="auto"/>
                <w:highlight w:val="none"/>
              </w:rPr>
            </w:pPr>
            <w:r>
              <w:rPr>
                <w:rFonts w:hint="eastAsia"/>
                <w:color w:val="auto"/>
                <w:highlight w:val="none"/>
              </w:rPr>
              <w:t>10.7</w:t>
            </w:r>
          </w:p>
        </w:tc>
        <w:tc>
          <w:tcPr>
            <w:tcW w:w="2232" w:type="dxa"/>
            <w:vAlign w:val="center"/>
          </w:tcPr>
          <w:p w14:paraId="199EEE58">
            <w:pPr>
              <w:spacing w:line="460" w:lineRule="exact"/>
              <w:jc w:val="center"/>
              <w:textAlignment w:val="baseline"/>
              <w:rPr>
                <w:color w:val="auto"/>
                <w:highlight w:val="none"/>
              </w:rPr>
            </w:pPr>
            <w:r>
              <w:rPr>
                <w:rFonts w:hint="eastAsia"/>
                <w:color w:val="auto"/>
                <w:highlight w:val="none"/>
              </w:rPr>
              <w:t>重新招标</w:t>
            </w:r>
          </w:p>
        </w:tc>
        <w:tc>
          <w:tcPr>
            <w:tcW w:w="5916" w:type="dxa"/>
            <w:vAlign w:val="center"/>
          </w:tcPr>
          <w:p w14:paraId="012A7180">
            <w:pPr>
              <w:spacing w:line="460" w:lineRule="exact"/>
              <w:jc w:val="left"/>
              <w:textAlignment w:val="baseline"/>
              <w:rPr>
                <w:color w:val="auto"/>
                <w:highlight w:val="none"/>
              </w:rPr>
            </w:pPr>
            <w:r>
              <w:rPr>
                <w:rFonts w:hint="eastAsia"/>
                <w:color w:val="auto"/>
                <w:highlight w:val="none"/>
              </w:rPr>
              <w:t>一、有下列情形之一的，招标人将重新招标：</w:t>
            </w:r>
          </w:p>
          <w:p w14:paraId="5450F292">
            <w:pPr>
              <w:spacing w:line="460" w:lineRule="exact"/>
              <w:jc w:val="left"/>
              <w:textAlignment w:val="baseline"/>
              <w:rPr>
                <w:color w:val="auto"/>
                <w:highlight w:val="none"/>
              </w:rPr>
            </w:pPr>
            <w:r>
              <w:rPr>
                <w:rFonts w:hint="eastAsia"/>
                <w:color w:val="auto"/>
                <w:highlight w:val="none"/>
              </w:rPr>
              <w:t>（1） 投标截止时间止，投标人少于3家的；</w:t>
            </w:r>
          </w:p>
          <w:p w14:paraId="4076B849">
            <w:pPr>
              <w:spacing w:line="460" w:lineRule="exact"/>
              <w:jc w:val="left"/>
              <w:textAlignment w:val="baseline"/>
              <w:rPr>
                <w:color w:val="auto"/>
                <w:highlight w:val="none"/>
              </w:rPr>
            </w:pPr>
            <w:r>
              <w:rPr>
                <w:rFonts w:hint="eastAsia"/>
                <w:color w:val="auto"/>
                <w:highlight w:val="none"/>
              </w:rPr>
              <w:t>（2） 经评标委员会评审后否决所有投标的；</w:t>
            </w:r>
          </w:p>
          <w:p w14:paraId="2588A761">
            <w:pPr>
              <w:spacing w:line="460" w:lineRule="exact"/>
              <w:jc w:val="left"/>
              <w:textAlignment w:val="baseline"/>
              <w:rPr>
                <w:color w:val="auto"/>
                <w:highlight w:val="none"/>
              </w:rPr>
            </w:pPr>
            <w:r>
              <w:rPr>
                <w:rFonts w:hint="eastAsia"/>
                <w:color w:val="auto"/>
                <w:highlight w:val="none"/>
              </w:rPr>
              <w:t>（3） 评标委员会否决不合格投标或者界定为废标后因有效投标不足3个使得投标明显缺乏竞争，评标委员会决定否决全部投标的；</w:t>
            </w:r>
          </w:p>
          <w:p w14:paraId="068A0C6F">
            <w:pPr>
              <w:spacing w:line="460" w:lineRule="exact"/>
              <w:jc w:val="left"/>
              <w:textAlignment w:val="baseline"/>
              <w:rPr>
                <w:color w:val="auto"/>
                <w:highlight w:val="none"/>
              </w:rPr>
            </w:pPr>
            <w:r>
              <w:rPr>
                <w:rFonts w:hint="eastAsia"/>
                <w:color w:val="auto"/>
                <w:highlight w:val="none"/>
              </w:rPr>
              <w:t>（4） 同意延长投标有效期的投标人少于3个的；</w:t>
            </w:r>
          </w:p>
          <w:p w14:paraId="790BA9C8">
            <w:pPr>
              <w:spacing w:line="460" w:lineRule="exact"/>
              <w:jc w:val="left"/>
              <w:textAlignment w:val="baseline"/>
              <w:rPr>
                <w:color w:val="auto"/>
                <w:highlight w:val="none"/>
              </w:rPr>
            </w:pPr>
            <w:r>
              <w:rPr>
                <w:rFonts w:hint="eastAsia"/>
                <w:color w:val="auto"/>
                <w:highlight w:val="none"/>
              </w:rPr>
              <w:t>（5） 中标候选人均未与招标人签订合同的。</w:t>
            </w:r>
          </w:p>
          <w:p w14:paraId="4F7D44FB">
            <w:pPr>
              <w:spacing w:line="460" w:lineRule="exact"/>
              <w:jc w:val="left"/>
              <w:textAlignment w:val="baseline"/>
              <w:rPr>
                <w:color w:val="auto"/>
                <w:highlight w:val="none"/>
              </w:rPr>
            </w:pPr>
            <w:r>
              <w:rPr>
                <w:rFonts w:hint="eastAsia"/>
                <w:color w:val="auto"/>
                <w:highlight w:val="none"/>
              </w:rPr>
              <w:t>（6） 因有效投标不足3个使得投标明显缺乏竞争的，评标委员会可以否决所有投标，则招标人重新组织招标。</w:t>
            </w:r>
          </w:p>
          <w:p w14:paraId="13CC3D9C">
            <w:pPr>
              <w:spacing w:line="460" w:lineRule="exact"/>
              <w:jc w:val="left"/>
              <w:textAlignment w:val="baseline"/>
              <w:rPr>
                <w:color w:val="auto"/>
                <w:highlight w:val="none"/>
              </w:rPr>
            </w:pPr>
            <w:r>
              <w:rPr>
                <w:rFonts w:hint="eastAsia"/>
                <w:color w:val="auto"/>
                <w:highlight w:val="none"/>
              </w:rPr>
              <w:t>（7） 由于招标人原因中止招标或未能在第3.3条规定的延长后的投标文件有效期内确定中标人和发出中标通知，招标人将退还投标人的投标保证金，但不做任何补偿。</w:t>
            </w:r>
          </w:p>
        </w:tc>
      </w:tr>
      <w:tr w14:paraId="505D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8965779">
            <w:pPr>
              <w:spacing w:line="460" w:lineRule="exact"/>
              <w:jc w:val="center"/>
              <w:textAlignment w:val="baseline"/>
              <w:rPr>
                <w:color w:val="auto"/>
                <w:highlight w:val="none"/>
              </w:rPr>
            </w:pPr>
            <w:r>
              <w:rPr>
                <w:rFonts w:hint="eastAsia"/>
                <w:color w:val="auto"/>
                <w:highlight w:val="none"/>
              </w:rPr>
              <w:t>10.8</w:t>
            </w:r>
          </w:p>
        </w:tc>
        <w:tc>
          <w:tcPr>
            <w:tcW w:w="8148" w:type="dxa"/>
            <w:gridSpan w:val="2"/>
            <w:vAlign w:val="center"/>
          </w:tcPr>
          <w:p w14:paraId="2AA67501">
            <w:pPr>
              <w:spacing w:line="460" w:lineRule="exact"/>
              <w:jc w:val="left"/>
              <w:textAlignment w:val="baseline"/>
              <w:rPr>
                <w:color w:val="auto"/>
                <w:highlight w:val="none"/>
              </w:rPr>
            </w:pPr>
            <w:r>
              <w:rPr>
                <w:rFonts w:hint="eastAsia"/>
                <w:color w:val="auto"/>
                <w:highlight w:val="none"/>
              </w:rPr>
              <w:t>其他事项特别提示：</w:t>
            </w:r>
          </w:p>
          <w:p w14:paraId="4EE37C1B">
            <w:pPr>
              <w:spacing w:line="460" w:lineRule="exact"/>
              <w:jc w:val="left"/>
              <w:textAlignment w:val="baseline"/>
              <w:rPr>
                <w:color w:val="auto"/>
                <w:highlight w:val="none"/>
              </w:rPr>
            </w:pPr>
            <w:r>
              <w:rPr>
                <w:rFonts w:hint="eastAsia"/>
                <w:color w:val="auto"/>
                <w:highlight w:val="none"/>
              </w:rPr>
              <w:t>1.本招标文件中第八章“投标文件格式”格式落款处的日期填写招标公告发出之日起至投标(网上报价）截止日期的任一日期均可。</w:t>
            </w:r>
          </w:p>
          <w:p w14:paraId="081D025C">
            <w:pPr>
              <w:spacing w:line="460" w:lineRule="exact"/>
              <w:jc w:val="left"/>
              <w:textAlignment w:val="baseline"/>
              <w:rPr>
                <w:color w:val="auto"/>
                <w:highlight w:val="none"/>
              </w:rPr>
            </w:pPr>
            <w:r>
              <w:rPr>
                <w:rFonts w:hint="eastAsia"/>
                <w:color w:val="auto"/>
                <w:highlight w:val="none"/>
              </w:rPr>
              <w:t>2.投标人在投标时须诚信参与投标，凡出现以下情形之一的，经行政监管部门认定后，一律视为不诚信行为，列入实施联合惩戒：</w:t>
            </w:r>
          </w:p>
          <w:p w14:paraId="5BF04223">
            <w:pPr>
              <w:spacing w:line="460" w:lineRule="exact"/>
              <w:jc w:val="left"/>
              <w:textAlignment w:val="baseline"/>
              <w:rPr>
                <w:color w:val="auto"/>
                <w:highlight w:val="none"/>
              </w:rPr>
            </w:pPr>
            <w:r>
              <w:rPr>
                <w:rFonts w:hint="eastAsia"/>
                <w:color w:val="auto"/>
                <w:highlight w:val="none"/>
              </w:rPr>
              <w:t>（1）证件失效或被暂扣、伪造虚假证件、冒名顶替参加会议；</w:t>
            </w:r>
          </w:p>
          <w:p w14:paraId="2B2613D4">
            <w:pPr>
              <w:spacing w:line="460" w:lineRule="exact"/>
              <w:jc w:val="left"/>
              <w:textAlignment w:val="baseline"/>
              <w:rPr>
                <w:color w:val="auto"/>
                <w:highlight w:val="none"/>
              </w:rPr>
            </w:pPr>
            <w:r>
              <w:rPr>
                <w:rFonts w:hint="eastAsia"/>
                <w:color w:val="auto"/>
                <w:highlight w:val="none"/>
              </w:rPr>
              <w:t>（2）拟派项目负责人同时兼任其他投标项目或有在建项目；</w:t>
            </w:r>
          </w:p>
          <w:p w14:paraId="6ED3810F">
            <w:pPr>
              <w:spacing w:line="460" w:lineRule="exact"/>
              <w:jc w:val="left"/>
              <w:textAlignment w:val="baseline"/>
              <w:rPr>
                <w:color w:val="auto"/>
                <w:highlight w:val="none"/>
              </w:rPr>
            </w:pPr>
            <w:r>
              <w:rPr>
                <w:rFonts w:hint="eastAsia"/>
                <w:color w:val="auto"/>
                <w:highlight w:val="none"/>
              </w:rPr>
              <w:t>（3）不同投标人委托同一单位或者个人办理投标事宜等情形；</w:t>
            </w:r>
          </w:p>
          <w:p w14:paraId="430AFC82">
            <w:pPr>
              <w:spacing w:line="460" w:lineRule="exact"/>
              <w:jc w:val="left"/>
              <w:textAlignment w:val="baseline"/>
              <w:rPr>
                <w:color w:val="auto"/>
                <w:highlight w:val="none"/>
              </w:rPr>
            </w:pPr>
            <w:r>
              <w:rPr>
                <w:rFonts w:hint="eastAsia"/>
                <w:color w:val="auto"/>
                <w:highlight w:val="none"/>
              </w:rPr>
              <w:t>（4）存在被责令停产停业、暂扣或者吊销许可证、暂扣或者吊销执照的情况；</w:t>
            </w:r>
          </w:p>
          <w:p w14:paraId="1785DBF9">
            <w:pPr>
              <w:spacing w:line="460" w:lineRule="exact"/>
              <w:jc w:val="left"/>
              <w:textAlignment w:val="baseline"/>
              <w:rPr>
                <w:color w:val="auto"/>
                <w:highlight w:val="none"/>
              </w:rPr>
            </w:pPr>
            <w:r>
              <w:rPr>
                <w:rFonts w:hint="eastAsia"/>
                <w:color w:val="auto"/>
                <w:highlight w:val="none"/>
              </w:rPr>
              <w:t>（5）存在进入清算程序，或被宣告破产，或其他丧失履约能力的情形；</w:t>
            </w:r>
          </w:p>
          <w:p w14:paraId="0554A3A5">
            <w:pPr>
              <w:spacing w:line="460" w:lineRule="exact"/>
              <w:jc w:val="left"/>
              <w:textAlignment w:val="baseline"/>
              <w:rPr>
                <w:color w:val="auto"/>
                <w:highlight w:val="none"/>
              </w:rPr>
            </w:pPr>
            <w:r>
              <w:rPr>
                <w:rFonts w:hint="eastAsia"/>
                <w:color w:val="auto"/>
                <w:highlight w:val="none"/>
              </w:rPr>
              <w:t>（6）存在在最近三年内发生重大施工质量问题（以相关行业主管部门的行政处罚决定或司法机关出具的有关法律文书为准）；</w:t>
            </w:r>
          </w:p>
          <w:p w14:paraId="1B16AFA9">
            <w:pPr>
              <w:pStyle w:val="11"/>
              <w:spacing w:line="460" w:lineRule="exact"/>
              <w:rPr>
                <w:color w:val="auto"/>
                <w:highlight w:val="none"/>
              </w:rPr>
            </w:pPr>
            <w:r>
              <w:rPr>
                <w:rFonts w:hint="eastAsia" w:ascii="Times New Roman" w:hAnsi="Times New Roman"/>
                <w:color w:val="auto"/>
                <w:highlight w:val="none"/>
              </w:rPr>
              <w:t>（7）在中国执行信息公开网（http://zxgk.court.gov.cn/shixin/）被列入失信被执行人、在信用中国网站（www.creditchina.gov.cn）被列入重大税收违法失信主体以及在国家企业信用信息公示系统（http://www.gsxt.gov.cn/index.html）被列入严重违法失信名单（黑名单）。</w:t>
            </w:r>
          </w:p>
        </w:tc>
      </w:tr>
      <w:bookmarkEnd w:id="34"/>
      <w:bookmarkEnd w:id="35"/>
      <w:bookmarkEnd w:id="36"/>
      <w:bookmarkEnd w:id="37"/>
      <w:bookmarkEnd w:id="38"/>
      <w:bookmarkEnd w:id="39"/>
      <w:bookmarkEnd w:id="40"/>
      <w:bookmarkEnd w:id="41"/>
      <w:bookmarkEnd w:id="42"/>
      <w:bookmarkEnd w:id="43"/>
    </w:tbl>
    <w:p w14:paraId="3215AF7C">
      <w:pPr>
        <w:spacing w:line="420" w:lineRule="exact"/>
        <w:jc w:val="left"/>
        <w:textAlignment w:val="baseline"/>
        <w:outlineLvl w:val="1"/>
        <w:rPr>
          <w:rFonts w:hint="eastAsia" w:ascii="宋体" w:hAnsi="宋体"/>
          <w:b/>
          <w:color w:val="auto"/>
          <w:sz w:val="22"/>
          <w:szCs w:val="28"/>
          <w:highlight w:val="none"/>
        </w:rPr>
      </w:pPr>
      <w:bookmarkStart w:id="59" w:name="_Toc222030984"/>
      <w:bookmarkStart w:id="60" w:name="_Toc222033833"/>
      <w:bookmarkStart w:id="61" w:name="_Toc229305342"/>
      <w:bookmarkStart w:id="62" w:name="_Toc168476047"/>
      <w:bookmarkStart w:id="63" w:name="_Toc229408463"/>
      <w:bookmarkStart w:id="64" w:name="_Toc222029482"/>
      <w:bookmarkStart w:id="65" w:name="_Toc168475644"/>
      <w:bookmarkStart w:id="66" w:name="_Toc222032651"/>
      <w:bookmarkStart w:id="67" w:name="_Toc221950083"/>
      <w:bookmarkStart w:id="68" w:name="_Toc144974497"/>
      <w:bookmarkStart w:id="69" w:name="_Toc39698056"/>
      <w:r>
        <w:rPr>
          <w:rFonts w:hint="eastAsia"/>
          <w:color w:val="auto"/>
          <w:highlight w:val="none"/>
        </w:rPr>
        <w:br w:type="page"/>
      </w:r>
      <w:bookmarkStart w:id="70" w:name="_Toc13837"/>
      <w:bookmarkStart w:id="71" w:name="_Toc11670"/>
      <w:bookmarkStart w:id="72" w:name="_Toc5990"/>
      <w:bookmarkStart w:id="73" w:name="_Toc32696"/>
      <w:bookmarkStart w:id="74" w:name="_Toc23436"/>
      <w:r>
        <w:rPr>
          <w:rFonts w:hint="eastAsia" w:ascii="宋体" w:hAnsi="宋体"/>
          <w:b/>
          <w:color w:val="auto"/>
          <w:sz w:val="22"/>
          <w:szCs w:val="28"/>
          <w:highlight w:val="none"/>
        </w:rPr>
        <w:t>1. 总则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4FA081C">
      <w:pPr>
        <w:spacing w:line="360" w:lineRule="auto"/>
        <w:outlineLvl w:val="2"/>
        <w:rPr>
          <w:rFonts w:hint="eastAsia" w:ascii="宋体" w:hAnsi="宋体"/>
          <w:b/>
          <w:color w:val="auto"/>
          <w:sz w:val="22"/>
          <w:szCs w:val="22"/>
          <w:highlight w:val="none"/>
        </w:rPr>
      </w:pPr>
      <w:bookmarkStart w:id="75" w:name="_Toc4172"/>
      <w:bookmarkStart w:id="76" w:name="_Toc4918"/>
      <w:bookmarkStart w:id="77" w:name="_Toc21374"/>
      <w:bookmarkStart w:id="78" w:name="_Toc1086"/>
      <w:bookmarkStart w:id="79" w:name="_Toc17119"/>
      <w:bookmarkStart w:id="80" w:name="_Toc221950086"/>
      <w:r>
        <w:rPr>
          <w:rFonts w:hint="eastAsia" w:ascii="宋体" w:hAnsi="宋体"/>
          <w:b/>
          <w:color w:val="auto"/>
          <w:sz w:val="22"/>
          <w:szCs w:val="22"/>
          <w:highlight w:val="none"/>
        </w:rPr>
        <w:t>1.1项目概况</w:t>
      </w:r>
      <w:bookmarkEnd w:id="75"/>
      <w:bookmarkEnd w:id="76"/>
      <w:bookmarkEnd w:id="77"/>
      <w:bookmarkEnd w:id="78"/>
      <w:bookmarkEnd w:id="79"/>
    </w:p>
    <w:p w14:paraId="0715C86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1.1.1根据《中华人民共和国招标投标法》等有关法律、法规和规章的规定，本招标项目已具备招标条件，现对本标段施工进行招标。</w:t>
      </w:r>
    </w:p>
    <w:p w14:paraId="69B5F40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1.1.2 本招标项目招标人：见投标人须知前附表。</w:t>
      </w:r>
    </w:p>
    <w:p w14:paraId="045F9DDE">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1.1.3 本标段招标代理机构：见投标人须知前附表。</w:t>
      </w:r>
    </w:p>
    <w:p w14:paraId="633801A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1.1.4 本招标项目名称：见投标人须知前附表。</w:t>
      </w:r>
    </w:p>
    <w:p w14:paraId="76A4196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1.1.5 本标段建设地点：见投标人须知前附表。</w:t>
      </w:r>
    </w:p>
    <w:p w14:paraId="106EF43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1.1.6本招标项目建设规模：见投标人须知前附表。</w:t>
      </w:r>
      <w:bookmarkEnd w:id="80"/>
    </w:p>
    <w:p w14:paraId="0B9C72A6">
      <w:pPr>
        <w:spacing w:line="360" w:lineRule="auto"/>
        <w:rPr>
          <w:rFonts w:hint="eastAsia" w:ascii="宋体" w:hAnsi="宋体"/>
          <w:color w:val="auto"/>
          <w:sz w:val="22"/>
          <w:szCs w:val="28"/>
          <w:highlight w:val="none"/>
        </w:rPr>
      </w:pPr>
      <w:bookmarkStart w:id="81" w:name="_Toc221950087"/>
      <w:r>
        <w:rPr>
          <w:rFonts w:hint="eastAsia" w:ascii="宋体" w:hAnsi="宋体"/>
          <w:color w:val="auto"/>
          <w:sz w:val="22"/>
          <w:szCs w:val="28"/>
          <w:highlight w:val="none"/>
        </w:rPr>
        <w:t>　　1.1.7本招标项目承包方式：见投标须知前附表。</w:t>
      </w:r>
      <w:bookmarkEnd w:id="81"/>
    </w:p>
    <w:p w14:paraId="0BE6FD69">
      <w:pPr>
        <w:spacing w:line="360" w:lineRule="auto"/>
        <w:outlineLvl w:val="2"/>
        <w:rPr>
          <w:rFonts w:hint="eastAsia" w:ascii="宋体" w:hAnsi="宋体"/>
          <w:color w:val="auto"/>
          <w:sz w:val="22"/>
          <w:szCs w:val="28"/>
          <w:highlight w:val="none"/>
        </w:rPr>
      </w:pPr>
      <w:bookmarkStart w:id="82" w:name="_Toc27347"/>
      <w:bookmarkStart w:id="83" w:name="_Toc23636"/>
      <w:bookmarkStart w:id="84" w:name="_Toc258411272"/>
      <w:bookmarkStart w:id="85" w:name="_Toc152042307"/>
      <w:bookmarkStart w:id="86" w:name="_Toc144974499"/>
      <w:bookmarkStart w:id="87" w:name="_Toc4652"/>
      <w:bookmarkStart w:id="88" w:name="_Toc22256"/>
      <w:bookmarkStart w:id="89" w:name="_Toc29494"/>
      <w:bookmarkStart w:id="90" w:name="_Toc152045531"/>
      <w:bookmarkStart w:id="91" w:name="_Toc221950112"/>
      <w:r>
        <w:rPr>
          <w:rFonts w:hint="eastAsia" w:ascii="宋体" w:hAnsi="宋体"/>
          <w:b/>
          <w:color w:val="auto"/>
          <w:sz w:val="22"/>
          <w:szCs w:val="22"/>
          <w:highlight w:val="none"/>
        </w:rPr>
        <w:t>1.2 资金来源和落实情况</w:t>
      </w:r>
      <w:bookmarkEnd w:id="82"/>
      <w:bookmarkEnd w:id="83"/>
      <w:bookmarkEnd w:id="84"/>
      <w:bookmarkEnd w:id="85"/>
      <w:bookmarkEnd w:id="86"/>
      <w:bookmarkEnd w:id="87"/>
      <w:bookmarkEnd w:id="88"/>
      <w:bookmarkEnd w:id="89"/>
      <w:bookmarkEnd w:id="90"/>
    </w:p>
    <w:p w14:paraId="379453FA">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1.2.1 本招标项目的资金来源：见投标人须知前附表。</w:t>
      </w:r>
    </w:p>
    <w:p w14:paraId="5066657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1.2.2 本招标项目的出资比例：见投标人须知前附表。</w:t>
      </w:r>
    </w:p>
    <w:p w14:paraId="034EDF7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1.2.3 本招标项目的资金落实情况：见投标人须知前附表。</w:t>
      </w:r>
    </w:p>
    <w:p w14:paraId="03E0C223">
      <w:pPr>
        <w:spacing w:line="360" w:lineRule="auto"/>
        <w:outlineLvl w:val="2"/>
        <w:rPr>
          <w:rFonts w:hint="eastAsia" w:ascii="宋体" w:hAnsi="宋体"/>
          <w:b/>
          <w:color w:val="auto"/>
          <w:sz w:val="22"/>
          <w:szCs w:val="22"/>
          <w:highlight w:val="none"/>
        </w:rPr>
      </w:pPr>
      <w:bookmarkStart w:id="92" w:name="_Toc152042308"/>
      <w:bookmarkStart w:id="93" w:name="_Toc20124"/>
      <w:bookmarkStart w:id="94" w:name="_Toc538"/>
      <w:bookmarkStart w:id="95" w:name="_Toc25913"/>
      <w:bookmarkStart w:id="96" w:name="_Toc258411273"/>
      <w:bookmarkStart w:id="97" w:name="_Toc144974500"/>
      <w:bookmarkStart w:id="98" w:name="_Toc152045532"/>
      <w:bookmarkStart w:id="99" w:name="_Toc16996"/>
      <w:bookmarkStart w:id="100" w:name="_Toc23765"/>
      <w:r>
        <w:rPr>
          <w:rFonts w:hint="eastAsia" w:ascii="宋体" w:hAnsi="宋体"/>
          <w:b/>
          <w:color w:val="auto"/>
          <w:sz w:val="22"/>
          <w:szCs w:val="22"/>
          <w:highlight w:val="none"/>
        </w:rPr>
        <w:t>1.3 招标范围、计划工期和质量要求</w:t>
      </w:r>
      <w:bookmarkEnd w:id="92"/>
      <w:bookmarkEnd w:id="93"/>
      <w:bookmarkEnd w:id="94"/>
      <w:bookmarkEnd w:id="95"/>
      <w:bookmarkEnd w:id="96"/>
      <w:bookmarkEnd w:id="97"/>
      <w:bookmarkEnd w:id="98"/>
      <w:bookmarkEnd w:id="99"/>
      <w:bookmarkEnd w:id="100"/>
    </w:p>
    <w:p w14:paraId="608478A1">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1.3.1 本次招标范围：见投标人须知前附表。</w:t>
      </w:r>
    </w:p>
    <w:p w14:paraId="5514A6F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1.3.2 本标段的计划工期：见投标人须知前附表。</w:t>
      </w:r>
    </w:p>
    <w:p w14:paraId="1457727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1.3.3 本标段的质量要求：见投标人须知前附表。</w:t>
      </w:r>
    </w:p>
    <w:p w14:paraId="79CFBD75">
      <w:pPr>
        <w:spacing w:line="360" w:lineRule="auto"/>
        <w:outlineLvl w:val="2"/>
        <w:rPr>
          <w:rFonts w:hint="eastAsia" w:ascii="宋体" w:hAnsi="宋体"/>
          <w:color w:val="auto"/>
          <w:sz w:val="22"/>
          <w:szCs w:val="28"/>
          <w:highlight w:val="none"/>
        </w:rPr>
      </w:pPr>
      <w:bookmarkStart w:id="101" w:name="_Toc152042309"/>
      <w:bookmarkStart w:id="102" w:name="_Toc144974501"/>
      <w:bookmarkStart w:id="103" w:name="_Toc24276"/>
      <w:bookmarkStart w:id="104" w:name="_Toc152045533"/>
      <w:bookmarkStart w:id="105" w:name="_Toc258411274"/>
      <w:bookmarkStart w:id="106" w:name="_Toc30872"/>
      <w:bookmarkStart w:id="107" w:name="_Toc17837"/>
      <w:bookmarkStart w:id="108" w:name="_Toc20568"/>
      <w:bookmarkStart w:id="109" w:name="_Toc2315"/>
      <w:r>
        <w:rPr>
          <w:rFonts w:hint="eastAsia" w:ascii="宋体" w:hAnsi="宋体"/>
          <w:b/>
          <w:color w:val="auto"/>
          <w:sz w:val="22"/>
          <w:szCs w:val="22"/>
          <w:highlight w:val="none"/>
        </w:rPr>
        <w:t>1.4 投标人资格要求</w:t>
      </w:r>
      <w:bookmarkEnd w:id="101"/>
      <w:bookmarkEnd w:id="102"/>
      <w:bookmarkEnd w:id="103"/>
      <w:bookmarkEnd w:id="104"/>
      <w:bookmarkEnd w:id="105"/>
      <w:bookmarkEnd w:id="106"/>
      <w:bookmarkEnd w:id="107"/>
      <w:bookmarkEnd w:id="108"/>
      <w:bookmarkEnd w:id="109"/>
    </w:p>
    <w:p w14:paraId="31A43D79">
      <w:pPr>
        <w:spacing w:line="360" w:lineRule="auto"/>
        <w:rPr>
          <w:rFonts w:hint="eastAsia" w:ascii="宋体" w:hAnsi="宋体"/>
          <w:color w:val="auto"/>
          <w:sz w:val="22"/>
          <w:szCs w:val="28"/>
          <w:highlight w:val="none"/>
        </w:rPr>
      </w:pPr>
      <w:bookmarkStart w:id="110" w:name="_Toc144974503"/>
      <w:bookmarkStart w:id="111" w:name="_Toc152042311"/>
      <w:bookmarkStart w:id="112" w:name="_Toc152045535"/>
      <w:r>
        <w:rPr>
          <w:rFonts w:hint="eastAsia" w:ascii="宋体" w:hAnsi="宋体"/>
          <w:color w:val="auto"/>
          <w:sz w:val="22"/>
          <w:szCs w:val="28"/>
          <w:highlight w:val="none"/>
        </w:rPr>
        <w:t>　　</w:t>
      </w:r>
      <w:r>
        <w:rPr>
          <w:rFonts w:ascii="宋体" w:hAnsi="宋体"/>
          <w:color w:val="auto"/>
          <w:sz w:val="22"/>
          <w:szCs w:val="28"/>
          <w:highlight w:val="none"/>
        </w:rPr>
        <w:t xml:space="preserve">1.4.1 </w:t>
      </w:r>
      <w:r>
        <w:rPr>
          <w:rFonts w:hint="eastAsia" w:ascii="宋体" w:hAnsi="宋体"/>
          <w:color w:val="auto"/>
          <w:sz w:val="22"/>
          <w:szCs w:val="28"/>
          <w:highlight w:val="none"/>
        </w:rPr>
        <w:t>投标人应具备承担本标段施工的资质条件、能力和信誉。</w:t>
      </w:r>
    </w:p>
    <w:p w14:paraId="04D70A2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w:t>
      </w:r>
      <w:r>
        <w:rPr>
          <w:rFonts w:hint="eastAsia" w:ascii="宋体" w:hAnsi="宋体"/>
          <w:color w:val="auto"/>
          <w:sz w:val="22"/>
          <w:szCs w:val="28"/>
          <w:highlight w:val="none"/>
        </w:rPr>
        <w:t>）资质条件：见投标人须知前附表；</w:t>
      </w:r>
    </w:p>
    <w:p w14:paraId="48AC25D2">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2</w:t>
      </w:r>
      <w:r>
        <w:rPr>
          <w:rFonts w:hint="eastAsia" w:ascii="宋体" w:hAnsi="宋体"/>
          <w:color w:val="auto"/>
          <w:sz w:val="22"/>
          <w:szCs w:val="28"/>
          <w:highlight w:val="none"/>
        </w:rPr>
        <w:t>）财务要求：见投标人须知前附表；</w:t>
      </w:r>
    </w:p>
    <w:p w14:paraId="0F33CBF9">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3</w:t>
      </w:r>
      <w:r>
        <w:rPr>
          <w:rFonts w:hint="eastAsia" w:ascii="宋体" w:hAnsi="宋体"/>
          <w:color w:val="auto"/>
          <w:sz w:val="22"/>
          <w:szCs w:val="28"/>
          <w:highlight w:val="none"/>
        </w:rPr>
        <w:t>）业绩要求：见投标人须知前附表；</w:t>
      </w:r>
    </w:p>
    <w:p w14:paraId="5124CB6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4</w:t>
      </w:r>
      <w:r>
        <w:rPr>
          <w:rFonts w:hint="eastAsia" w:ascii="宋体" w:hAnsi="宋体"/>
          <w:color w:val="auto"/>
          <w:sz w:val="22"/>
          <w:szCs w:val="28"/>
          <w:highlight w:val="none"/>
        </w:rPr>
        <w:t>）信誉要求：见投标人须知前附表；</w:t>
      </w:r>
    </w:p>
    <w:p w14:paraId="0B9BEDE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5</w:t>
      </w:r>
      <w:r>
        <w:rPr>
          <w:rFonts w:hint="eastAsia" w:ascii="宋体" w:hAnsi="宋体"/>
          <w:color w:val="auto"/>
          <w:sz w:val="22"/>
          <w:szCs w:val="28"/>
          <w:highlight w:val="none"/>
        </w:rPr>
        <w:t>）项目负责人资格：见投标人须知前附表；</w:t>
      </w:r>
    </w:p>
    <w:p w14:paraId="7801CB2B">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6</w:t>
      </w:r>
      <w:r>
        <w:rPr>
          <w:rFonts w:hint="eastAsia" w:ascii="宋体" w:hAnsi="宋体"/>
          <w:color w:val="auto"/>
          <w:sz w:val="22"/>
          <w:szCs w:val="28"/>
          <w:highlight w:val="none"/>
        </w:rPr>
        <w:t>）其他要求：见投标人须知前附表。</w:t>
      </w:r>
    </w:p>
    <w:p w14:paraId="77DC292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 xml:space="preserve">1.4.2 </w:t>
      </w:r>
      <w:r>
        <w:rPr>
          <w:rFonts w:hint="eastAsia" w:ascii="宋体" w:hAnsi="宋体"/>
          <w:color w:val="auto"/>
          <w:sz w:val="22"/>
          <w:szCs w:val="28"/>
          <w:highlight w:val="none"/>
        </w:rPr>
        <w:t>投标人须知前附表规定接受联合体投标的，除应符合本章第</w:t>
      </w:r>
      <w:r>
        <w:rPr>
          <w:rFonts w:ascii="宋体" w:hAnsi="宋体"/>
          <w:color w:val="auto"/>
          <w:sz w:val="22"/>
          <w:szCs w:val="28"/>
          <w:highlight w:val="none"/>
        </w:rPr>
        <w:t xml:space="preserve">1.4.1 </w:t>
      </w:r>
      <w:r>
        <w:rPr>
          <w:rFonts w:hint="eastAsia" w:ascii="宋体" w:hAnsi="宋体"/>
          <w:color w:val="auto"/>
          <w:sz w:val="22"/>
          <w:szCs w:val="28"/>
          <w:highlight w:val="none"/>
        </w:rPr>
        <w:t>项和投标人须知前附表的要求外，还应遵守以下规定：</w:t>
      </w:r>
    </w:p>
    <w:p w14:paraId="5424AD9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w:t>
      </w:r>
      <w:r>
        <w:rPr>
          <w:rFonts w:hint="eastAsia" w:ascii="宋体" w:hAnsi="宋体"/>
          <w:color w:val="auto"/>
          <w:sz w:val="22"/>
          <w:szCs w:val="28"/>
          <w:highlight w:val="none"/>
        </w:rPr>
        <w:t>）联合体各方应按招标文件提供的格式签订联合体协议书，明确联合体牵头人和各方权利义务；</w:t>
      </w:r>
    </w:p>
    <w:p w14:paraId="1E2458A4">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2</w:t>
      </w:r>
      <w:r>
        <w:rPr>
          <w:rFonts w:hint="eastAsia" w:ascii="宋体" w:hAnsi="宋体"/>
          <w:color w:val="auto"/>
          <w:sz w:val="22"/>
          <w:szCs w:val="28"/>
          <w:highlight w:val="none"/>
        </w:rPr>
        <w:t>）由同一专业的单位组成的联合体，按照资质等级较低的单位确定资质等级；</w:t>
      </w:r>
    </w:p>
    <w:p w14:paraId="73695CC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3</w:t>
      </w:r>
      <w:r>
        <w:rPr>
          <w:rFonts w:hint="eastAsia" w:ascii="宋体" w:hAnsi="宋体"/>
          <w:color w:val="auto"/>
          <w:sz w:val="22"/>
          <w:szCs w:val="28"/>
          <w:highlight w:val="none"/>
        </w:rPr>
        <w:t>）联合体各方不得再以自己名义单独或参加其他联合体在同一标段中投标。</w:t>
      </w:r>
    </w:p>
    <w:p w14:paraId="2C19FA6B">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 xml:space="preserve">1.4.3 </w:t>
      </w:r>
      <w:r>
        <w:rPr>
          <w:rFonts w:hint="eastAsia" w:ascii="宋体" w:hAnsi="宋体"/>
          <w:color w:val="auto"/>
          <w:sz w:val="22"/>
          <w:szCs w:val="28"/>
          <w:highlight w:val="none"/>
        </w:rPr>
        <w:t>投标人不得存在下列情形之一：</w:t>
      </w:r>
    </w:p>
    <w:p w14:paraId="7BA89B8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w:t>
      </w:r>
      <w:r>
        <w:rPr>
          <w:rFonts w:hint="eastAsia" w:ascii="宋体" w:hAnsi="宋体"/>
          <w:color w:val="auto"/>
          <w:sz w:val="22"/>
          <w:szCs w:val="28"/>
          <w:highlight w:val="none"/>
        </w:rPr>
        <w:t>）为招标人不具有独立法 人资格的附属机构（单位）；</w:t>
      </w:r>
    </w:p>
    <w:p w14:paraId="0E63A73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2</w:t>
      </w:r>
      <w:r>
        <w:rPr>
          <w:rFonts w:hint="eastAsia" w:ascii="宋体" w:hAnsi="宋体"/>
          <w:color w:val="auto"/>
          <w:sz w:val="22"/>
          <w:szCs w:val="28"/>
          <w:highlight w:val="none"/>
        </w:rPr>
        <w:t>）为本标段前期准备提供设计或咨询服务的，但设计施工总承包的除外；</w:t>
      </w:r>
    </w:p>
    <w:p w14:paraId="2013D2A9">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3</w:t>
      </w:r>
      <w:r>
        <w:rPr>
          <w:rFonts w:hint="eastAsia" w:ascii="宋体" w:hAnsi="宋体"/>
          <w:color w:val="auto"/>
          <w:sz w:val="22"/>
          <w:szCs w:val="28"/>
          <w:highlight w:val="none"/>
        </w:rPr>
        <w:t>）为本标段的监理人；</w:t>
      </w:r>
    </w:p>
    <w:p w14:paraId="33856EC5">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4</w:t>
      </w:r>
      <w:r>
        <w:rPr>
          <w:rFonts w:hint="eastAsia" w:ascii="宋体" w:hAnsi="宋体"/>
          <w:color w:val="auto"/>
          <w:sz w:val="22"/>
          <w:szCs w:val="28"/>
          <w:highlight w:val="none"/>
        </w:rPr>
        <w:t>）为本标段的代建人；</w:t>
      </w:r>
    </w:p>
    <w:p w14:paraId="20F7391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5</w:t>
      </w:r>
      <w:r>
        <w:rPr>
          <w:rFonts w:hint="eastAsia" w:ascii="宋体" w:hAnsi="宋体"/>
          <w:color w:val="auto"/>
          <w:sz w:val="22"/>
          <w:szCs w:val="28"/>
          <w:highlight w:val="none"/>
        </w:rPr>
        <w:t>）为本标段提供招标代理服务的；</w:t>
      </w:r>
    </w:p>
    <w:p w14:paraId="4755B95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6</w:t>
      </w:r>
      <w:r>
        <w:rPr>
          <w:rFonts w:hint="eastAsia" w:ascii="宋体" w:hAnsi="宋体"/>
          <w:color w:val="auto"/>
          <w:sz w:val="22"/>
          <w:szCs w:val="28"/>
          <w:highlight w:val="none"/>
        </w:rPr>
        <w:t>）与本标段的监理人或代建人或招标代理机构同为一个法定代表人的；</w:t>
      </w:r>
    </w:p>
    <w:p w14:paraId="3EB408D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7</w:t>
      </w:r>
      <w:r>
        <w:rPr>
          <w:rFonts w:hint="eastAsia" w:ascii="宋体" w:hAnsi="宋体"/>
          <w:color w:val="auto"/>
          <w:sz w:val="22"/>
          <w:szCs w:val="28"/>
          <w:highlight w:val="none"/>
        </w:rPr>
        <w:t>）与本标段的监理人或代建人或招标代理机构相互控股或参股的；</w:t>
      </w:r>
    </w:p>
    <w:p w14:paraId="1BC4B9F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8</w:t>
      </w:r>
      <w:r>
        <w:rPr>
          <w:rFonts w:hint="eastAsia" w:ascii="宋体" w:hAnsi="宋体"/>
          <w:color w:val="auto"/>
          <w:sz w:val="22"/>
          <w:szCs w:val="28"/>
          <w:highlight w:val="none"/>
        </w:rPr>
        <w:t>）与本标段的监理人或代建人或招标代理机构相互任职或工作的；</w:t>
      </w:r>
    </w:p>
    <w:p w14:paraId="651FDF1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9</w:t>
      </w:r>
      <w:r>
        <w:rPr>
          <w:rFonts w:hint="eastAsia" w:ascii="宋体" w:hAnsi="宋体"/>
          <w:color w:val="auto"/>
          <w:sz w:val="22"/>
          <w:szCs w:val="28"/>
          <w:highlight w:val="none"/>
        </w:rPr>
        <w:t>）被责令停业的；</w:t>
      </w:r>
    </w:p>
    <w:p w14:paraId="12BF9BA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10</w:t>
      </w:r>
      <w:r>
        <w:rPr>
          <w:rFonts w:hint="eastAsia" w:ascii="宋体" w:hAnsi="宋体"/>
          <w:color w:val="auto"/>
          <w:sz w:val="22"/>
          <w:szCs w:val="28"/>
          <w:highlight w:val="none"/>
        </w:rPr>
        <w:t>）被暂停或取消投标资格的；</w:t>
      </w:r>
    </w:p>
    <w:p w14:paraId="5BC32504">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11</w:t>
      </w:r>
      <w:r>
        <w:rPr>
          <w:rFonts w:hint="eastAsia" w:ascii="宋体" w:hAnsi="宋体"/>
          <w:color w:val="auto"/>
          <w:sz w:val="22"/>
          <w:szCs w:val="28"/>
          <w:highlight w:val="none"/>
        </w:rPr>
        <w:t>）财产被接管或冻结的；</w:t>
      </w:r>
    </w:p>
    <w:p w14:paraId="686FF20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w:t>
      </w:r>
      <w:r>
        <w:rPr>
          <w:rFonts w:ascii="宋体" w:hAnsi="宋体"/>
          <w:color w:val="auto"/>
          <w:sz w:val="22"/>
          <w:szCs w:val="28"/>
          <w:highlight w:val="none"/>
        </w:rPr>
        <w:t>12</w:t>
      </w:r>
      <w:r>
        <w:rPr>
          <w:rFonts w:hint="eastAsia" w:ascii="宋体" w:hAnsi="宋体"/>
          <w:color w:val="auto"/>
          <w:sz w:val="22"/>
          <w:szCs w:val="28"/>
          <w:highlight w:val="none"/>
        </w:rPr>
        <w:t>）在最近三年内有骗取中标或严重违约或重大工程质量问题的。</w:t>
      </w:r>
    </w:p>
    <w:p w14:paraId="29A3EB41">
      <w:pPr>
        <w:spacing w:line="360" w:lineRule="auto"/>
        <w:outlineLvl w:val="2"/>
        <w:rPr>
          <w:rFonts w:hint="eastAsia" w:ascii="宋体" w:hAnsi="宋体"/>
          <w:b/>
          <w:color w:val="auto"/>
          <w:sz w:val="22"/>
          <w:szCs w:val="22"/>
          <w:highlight w:val="none"/>
        </w:rPr>
      </w:pPr>
      <w:bookmarkStart w:id="113" w:name="_Toc32280"/>
      <w:bookmarkStart w:id="114" w:name="_Toc258411275"/>
      <w:bookmarkStart w:id="115" w:name="_Toc24411"/>
      <w:bookmarkStart w:id="116" w:name="_Toc1164"/>
      <w:bookmarkStart w:id="117" w:name="_Toc9485"/>
      <w:bookmarkStart w:id="118" w:name="_Toc5426"/>
      <w:r>
        <w:rPr>
          <w:rFonts w:hint="eastAsia" w:ascii="宋体" w:hAnsi="宋体"/>
          <w:b/>
          <w:color w:val="auto"/>
          <w:sz w:val="22"/>
          <w:szCs w:val="22"/>
          <w:highlight w:val="none"/>
        </w:rPr>
        <w:t>1.5 费用承担</w:t>
      </w:r>
      <w:bookmarkEnd w:id="110"/>
      <w:bookmarkEnd w:id="111"/>
      <w:bookmarkEnd w:id="112"/>
      <w:bookmarkEnd w:id="113"/>
      <w:bookmarkEnd w:id="114"/>
      <w:bookmarkEnd w:id="115"/>
      <w:bookmarkEnd w:id="116"/>
      <w:bookmarkEnd w:id="117"/>
      <w:bookmarkEnd w:id="118"/>
    </w:p>
    <w:p w14:paraId="1084DCC1">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投标人准备和参加投标活动发生的费用自理，招标代理服务费由招标人承担。</w:t>
      </w:r>
    </w:p>
    <w:p w14:paraId="54159E2C">
      <w:pPr>
        <w:spacing w:line="360" w:lineRule="auto"/>
        <w:outlineLvl w:val="2"/>
        <w:rPr>
          <w:rFonts w:hint="eastAsia" w:ascii="宋体" w:hAnsi="宋体"/>
          <w:b/>
          <w:color w:val="auto"/>
          <w:sz w:val="22"/>
          <w:szCs w:val="22"/>
          <w:highlight w:val="none"/>
        </w:rPr>
      </w:pPr>
      <w:bookmarkStart w:id="119" w:name="_Toc21426"/>
      <w:bookmarkStart w:id="120" w:name="_Toc17004"/>
      <w:bookmarkStart w:id="121" w:name="_Toc152045536"/>
      <w:bookmarkStart w:id="122" w:name="_Toc6137"/>
      <w:bookmarkStart w:id="123" w:name="_Toc14762"/>
      <w:bookmarkStart w:id="124" w:name="_Toc144974504"/>
      <w:bookmarkStart w:id="125" w:name="_Toc152042312"/>
      <w:bookmarkStart w:id="126" w:name="_Toc24368"/>
      <w:bookmarkStart w:id="127" w:name="_Toc258411276"/>
      <w:r>
        <w:rPr>
          <w:rFonts w:hint="eastAsia" w:ascii="宋体" w:hAnsi="宋体"/>
          <w:b/>
          <w:color w:val="auto"/>
          <w:sz w:val="22"/>
          <w:szCs w:val="22"/>
          <w:highlight w:val="none"/>
        </w:rPr>
        <w:t>1.6 保密</w:t>
      </w:r>
      <w:bookmarkEnd w:id="119"/>
      <w:bookmarkEnd w:id="120"/>
      <w:bookmarkEnd w:id="121"/>
      <w:bookmarkEnd w:id="122"/>
      <w:bookmarkEnd w:id="123"/>
      <w:bookmarkEnd w:id="124"/>
      <w:bookmarkEnd w:id="125"/>
      <w:bookmarkEnd w:id="126"/>
      <w:bookmarkEnd w:id="127"/>
    </w:p>
    <w:p w14:paraId="5C61D174">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xml:space="preserve">　　参与招标投标活动的各方应对招标文件和投标文件中的商业和技术等秘密保密，违者应对由此造成的后果承担法律责任。 </w:t>
      </w:r>
    </w:p>
    <w:p w14:paraId="2FAD3651">
      <w:pPr>
        <w:spacing w:line="360" w:lineRule="auto"/>
        <w:outlineLvl w:val="2"/>
        <w:rPr>
          <w:rFonts w:hint="eastAsia" w:ascii="宋体" w:hAnsi="宋体"/>
          <w:b/>
          <w:color w:val="auto"/>
          <w:sz w:val="22"/>
          <w:szCs w:val="28"/>
          <w:highlight w:val="none"/>
        </w:rPr>
      </w:pPr>
      <w:bookmarkStart w:id="128" w:name="_Toc144974505"/>
      <w:bookmarkStart w:id="129" w:name="_Toc258411277"/>
      <w:bookmarkStart w:id="130" w:name="_Toc152042313"/>
      <w:bookmarkStart w:id="131" w:name="_Toc15499"/>
      <w:bookmarkStart w:id="132" w:name="_Toc19151"/>
      <w:bookmarkStart w:id="133" w:name="_Toc152045537"/>
      <w:bookmarkStart w:id="134" w:name="_Toc23575"/>
      <w:bookmarkStart w:id="135" w:name="_Toc26078"/>
      <w:bookmarkStart w:id="136" w:name="_Toc27470"/>
      <w:r>
        <w:rPr>
          <w:rFonts w:hint="eastAsia" w:ascii="宋体" w:hAnsi="宋体"/>
          <w:b/>
          <w:color w:val="auto"/>
          <w:sz w:val="22"/>
          <w:szCs w:val="28"/>
          <w:highlight w:val="none"/>
        </w:rPr>
        <w:t>1.7 语言</w:t>
      </w:r>
      <w:bookmarkEnd w:id="128"/>
      <w:r>
        <w:rPr>
          <w:rFonts w:hint="eastAsia" w:ascii="宋体" w:hAnsi="宋体"/>
          <w:b/>
          <w:color w:val="auto"/>
          <w:sz w:val="22"/>
          <w:szCs w:val="28"/>
          <w:highlight w:val="none"/>
        </w:rPr>
        <w:t>文字</w:t>
      </w:r>
      <w:bookmarkEnd w:id="129"/>
      <w:bookmarkEnd w:id="130"/>
      <w:bookmarkEnd w:id="131"/>
      <w:bookmarkEnd w:id="132"/>
      <w:bookmarkEnd w:id="133"/>
      <w:bookmarkEnd w:id="134"/>
      <w:bookmarkEnd w:id="135"/>
      <w:bookmarkEnd w:id="136"/>
    </w:p>
    <w:p w14:paraId="23099FD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除专用术语外，与招标投标有关的语言均使用中文。必要时专用术语应附有中文注释。</w:t>
      </w:r>
    </w:p>
    <w:p w14:paraId="4345A97C">
      <w:pPr>
        <w:spacing w:line="360" w:lineRule="auto"/>
        <w:outlineLvl w:val="2"/>
        <w:rPr>
          <w:rFonts w:hint="eastAsia" w:ascii="宋体" w:hAnsi="宋体"/>
          <w:b/>
          <w:color w:val="auto"/>
          <w:sz w:val="22"/>
          <w:szCs w:val="28"/>
          <w:highlight w:val="none"/>
        </w:rPr>
      </w:pPr>
      <w:bookmarkStart w:id="137" w:name="_Toc25054"/>
      <w:bookmarkStart w:id="138" w:name="_Toc11338"/>
      <w:bookmarkStart w:id="139" w:name="_Toc20700"/>
      <w:bookmarkStart w:id="140" w:name="_Toc27581"/>
      <w:bookmarkStart w:id="141" w:name="_Toc152042314"/>
      <w:bookmarkStart w:id="142" w:name="_Toc258411278"/>
      <w:bookmarkStart w:id="143" w:name="_Toc144974506"/>
      <w:bookmarkStart w:id="144" w:name="_Toc152045538"/>
      <w:bookmarkStart w:id="145" w:name="_Toc5410"/>
      <w:r>
        <w:rPr>
          <w:rFonts w:hint="eastAsia" w:ascii="宋体" w:hAnsi="宋体"/>
          <w:b/>
          <w:color w:val="auto"/>
          <w:sz w:val="22"/>
          <w:szCs w:val="28"/>
          <w:highlight w:val="none"/>
        </w:rPr>
        <w:t>1.8 计量单位</w:t>
      </w:r>
      <w:bookmarkEnd w:id="137"/>
      <w:bookmarkEnd w:id="138"/>
      <w:bookmarkEnd w:id="139"/>
      <w:bookmarkEnd w:id="140"/>
      <w:bookmarkEnd w:id="141"/>
      <w:bookmarkEnd w:id="142"/>
      <w:bookmarkEnd w:id="143"/>
      <w:bookmarkEnd w:id="144"/>
      <w:bookmarkEnd w:id="145"/>
    </w:p>
    <w:p w14:paraId="6283E49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所有计量均采用中华人民共和国法定计量单位。</w:t>
      </w:r>
    </w:p>
    <w:p w14:paraId="78E5804B">
      <w:pPr>
        <w:spacing w:line="360" w:lineRule="auto"/>
        <w:outlineLvl w:val="2"/>
        <w:rPr>
          <w:rFonts w:hint="eastAsia" w:ascii="宋体" w:hAnsi="宋体"/>
          <w:b/>
          <w:color w:val="auto"/>
          <w:sz w:val="22"/>
          <w:szCs w:val="22"/>
          <w:highlight w:val="none"/>
        </w:rPr>
      </w:pPr>
      <w:bookmarkStart w:id="146" w:name="_Toc28606"/>
      <w:bookmarkStart w:id="147" w:name="_Toc10476"/>
      <w:bookmarkStart w:id="148" w:name="_Toc10693"/>
      <w:bookmarkStart w:id="149" w:name="_Toc10356"/>
      <w:bookmarkStart w:id="150" w:name="_Toc9417"/>
      <w:r>
        <w:rPr>
          <w:rFonts w:hint="eastAsia" w:ascii="宋体" w:hAnsi="宋体"/>
          <w:b/>
          <w:color w:val="auto"/>
          <w:sz w:val="22"/>
          <w:szCs w:val="22"/>
          <w:highlight w:val="none"/>
        </w:rPr>
        <w:t>1.9踏勘现场</w:t>
      </w:r>
      <w:bookmarkEnd w:id="146"/>
      <w:bookmarkEnd w:id="147"/>
      <w:bookmarkEnd w:id="148"/>
      <w:bookmarkEnd w:id="149"/>
      <w:bookmarkEnd w:id="150"/>
    </w:p>
    <w:p w14:paraId="1777BEBA">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xml:space="preserve">　　1.9.1 </w:t>
      </w:r>
      <w:bookmarkEnd w:id="91"/>
      <w:r>
        <w:rPr>
          <w:rFonts w:hint="eastAsia" w:ascii="宋体" w:hAnsi="宋体"/>
          <w:color w:val="auto"/>
          <w:sz w:val="22"/>
          <w:szCs w:val="28"/>
          <w:highlight w:val="none"/>
        </w:rPr>
        <w:t>投标人须知前附表规定组织踏勘现场的,招标人按照招标公告(或投标邀请书)规定的时间和地点组织踏勘现场。</w:t>
      </w:r>
    </w:p>
    <w:p w14:paraId="67DC944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1.9.2 投标人踏勘现场发生的费用自理。</w:t>
      </w:r>
    </w:p>
    <w:p w14:paraId="14303B5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1.9.3 除招标人的原因外，投标人自行负责在踏勘现场中所发生的人员伤亡和财产损失。</w:t>
      </w:r>
    </w:p>
    <w:p w14:paraId="19601A4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1.9.4 招标人在踏勘现场中介绍的工程场地和相关的周边环境情况，供投标人在编制投标文件时参考，招标人不对投标人据此作出的判断和决策负责。</w:t>
      </w:r>
    </w:p>
    <w:p w14:paraId="16DD8BDC">
      <w:pPr>
        <w:spacing w:line="360" w:lineRule="auto"/>
        <w:outlineLvl w:val="2"/>
        <w:rPr>
          <w:rFonts w:hint="eastAsia" w:ascii="宋体" w:hAnsi="宋体"/>
          <w:b/>
          <w:color w:val="auto"/>
          <w:sz w:val="22"/>
          <w:szCs w:val="22"/>
          <w:highlight w:val="none"/>
        </w:rPr>
      </w:pPr>
      <w:bookmarkStart w:id="151" w:name="_Toc2018"/>
      <w:bookmarkStart w:id="152" w:name="_Toc24258"/>
      <w:bookmarkStart w:id="153" w:name="_Toc6349"/>
      <w:bookmarkStart w:id="154" w:name="_Toc25047"/>
      <w:bookmarkStart w:id="155" w:name="_Toc26542"/>
      <w:r>
        <w:rPr>
          <w:rFonts w:hint="eastAsia" w:ascii="宋体" w:hAnsi="宋体"/>
          <w:b/>
          <w:color w:val="auto"/>
          <w:sz w:val="22"/>
          <w:szCs w:val="28"/>
          <w:highlight w:val="none"/>
        </w:rPr>
        <w:t>1.</w:t>
      </w:r>
      <w:r>
        <w:rPr>
          <w:rFonts w:hint="eastAsia" w:ascii="宋体" w:hAnsi="宋体"/>
          <w:b/>
          <w:color w:val="auto"/>
          <w:sz w:val="22"/>
          <w:szCs w:val="22"/>
          <w:highlight w:val="none"/>
        </w:rPr>
        <w:t>10投标预备会</w:t>
      </w:r>
      <w:bookmarkEnd w:id="151"/>
      <w:bookmarkEnd w:id="152"/>
      <w:bookmarkEnd w:id="153"/>
      <w:bookmarkEnd w:id="154"/>
      <w:bookmarkEnd w:id="155"/>
    </w:p>
    <w:p w14:paraId="4C4B3DE1">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1.10.1 招标过程通过网络平台发送招标信息，招标人将不再召开投标预备会。投标人如对本项目招标文件存有要求澄清的疑问，须以不署名的电子文档形式通过广州公共资源交易中心网提出。</w:t>
      </w:r>
    </w:p>
    <w:p w14:paraId="7D91BB19">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1.10.2 投标人应在投标人须知前附表规定的时间前，将提出的问题发送到广州公共资源交易中心网，以便招标人作予澄清，并通过网络发出澄清通知。该澄清通知的内容为招标文件的组成部分。</w:t>
      </w:r>
    </w:p>
    <w:p w14:paraId="5AC3B088">
      <w:pPr>
        <w:spacing w:line="360" w:lineRule="auto"/>
        <w:outlineLvl w:val="2"/>
        <w:rPr>
          <w:rFonts w:hint="eastAsia" w:ascii="宋体" w:hAnsi="宋体"/>
          <w:b/>
          <w:color w:val="auto"/>
          <w:sz w:val="22"/>
          <w:szCs w:val="28"/>
          <w:highlight w:val="none"/>
          <w:u w:val="single"/>
        </w:rPr>
      </w:pPr>
      <w:bookmarkStart w:id="156" w:name="_Toc26015"/>
      <w:bookmarkStart w:id="157" w:name="_Toc8528"/>
      <w:bookmarkStart w:id="158" w:name="_Toc31646"/>
      <w:bookmarkStart w:id="159" w:name="_Toc15856"/>
      <w:bookmarkStart w:id="160" w:name="_Toc10843"/>
      <w:r>
        <w:rPr>
          <w:rFonts w:hint="eastAsia" w:ascii="宋体" w:hAnsi="宋体"/>
          <w:b/>
          <w:color w:val="auto"/>
          <w:sz w:val="22"/>
          <w:szCs w:val="28"/>
          <w:highlight w:val="none"/>
        </w:rPr>
        <w:t>1.11分包</w:t>
      </w:r>
      <w:bookmarkEnd w:id="156"/>
      <w:bookmarkEnd w:id="157"/>
      <w:bookmarkEnd w:id="158"/>
      <w:bookmarkEnd w:id="159"/>
      <w:bookmarkEnd w:id="160"/>
    </w:p>
    <w:p w14:paraId="20583464">
      <w:pPr>
        <w:spacing w:line="360" w:lineRule="auto"/>
        <w:ind w:firstLine="420"/>
        <w:rPr>
          <w:rFonts w:hint="eastAsia" w:ascii="宋体" w:hAnsi="宋体"/>
          <w:color w:val="auto"/>
          <w:sz w:val="22"/>
          <w:szCs w:val="28"/>
          <w:highlight w:val="none"/>
        </w:rPr>
      </w:pPr>
      <w:bookmarkStart w:id="161" w:name="_Toc221950130"/>
      <w:r>
        <w:rPr>
          <w:rFonts w:hint="eastAsia" w:ascii="宋体" w:hAnsi="宋体"/>
          <w:color w:val="auto"/>
          <w:sz w:val="22"/>
          <w:szCs w:val="28"/>
          <w:highlight w:val="none"/>
        </w:rPr>
        <w:t>1.11.1 投标人须知前附表规定应当由分包人实施的非主 体、非关键性工作，投标人应当按照招标人要求提供分包人的相应资料。</w:t>
      </w:r>
    </w:p>
    <w:p w14:paraId="72DE91C7">
      <w:pPr>
        <w:spacing w:line="360" w:lineRule="auto"/>
        <w:ind w:firstLine="420"/>
        <w:rPr>
          <w:rFonts w:hint="eastAsia" w:ascii="宋体" w:hAnsi="宋体"/>
          <w:color w:val="auto"/>
          <w:sz w:val="22"/>
          <w:szCs w:val="28"/>
          <w:highlight w:val="none"/>
        </w:rPr>
      </w:pPr>
      <w:r>
        <w:rPr>
          <w:rFonts w:hint="eastAsia" w:ascii="宋体" w:hAnsi="宋体"/>
          <w:color w:val="auto"/>
          <w:sz w:val="22"/>
          <w:szCs w:val="28"/>
          <w:highlight w:val="none"/>
        </w:rPr>
        <w:t>1.11.2 投标人拟在中标后将中标项目的部分非主 体、非关键性工作进行分包的，应符合投标人须知前附表规定的分包内容、分包金额和资质要求等限制性条件。</w:t>
      </w:r>
      <w:bookmarkEnd w:id="161"/>
    </w:p>
    <w:p w14:paraId="5F8B7AFF">
      <w:pPr>
        <w:spacing w:line="360" w:lineRule="auto"/>
        <w:outlineLvl w:val="2"/>
        <w:rPr>
          <w:rFonts w:hint="eastAsia" w:ascii="宋体" w:hAnsi="宋体"/>
          <w:b/>
          <w:color w:val="auto"/>
          <w:sz w:val="22"/>
          <w:szCs w:val="28"/>
          <w:highlight w:val="none"/>
        </w:rPr>
      </w:pPr>
      <w:bookmarkStart w:id="162" w:name="_Toc1158"/>
      <w:bookmarkStart w:id="163" w:name="_Toc6971"/>
      <w:bookmarkStart w:id="164" w:name="_Toc21163"/>
      <w:bookmarkStart w:id="165" w:name="_Toc4919"/>
      <w:bookmarkStart w:id="166" w:name="_Toc24388"/>
      <w:bookmarkStart w:id="167" w:name="_Toc221950134"/>
      <w:bookmarkStart w:id="168" w:name="_Toc179632559"/>
      <w:r>
        <w:rPr>
          <w:rFonts w:hint="eastAsia" w:ascii="宋体" w:hAnsi="宋体"/>
          <w:b/>
          <w:color w:val="auto"/>
          <w:sz w:val="22"/>
          <w:szCs w:val="28"/>
          <w:highlight w:val="none"/>
        </w:rPr>
        <w:t>1.12偏离</w:t>
      </w:r>
      <w:bookmarkEnd w:id="162"/>
      <w:bookmarkEnd w:id="163"/>
      <w:bookmarkEnd w:id="164"/>
      <w:bookmarkEnd w:id="165"/>
      <w:bookmarkEnd w:id="166"/>
    </w:p>
    <w:bookmarkEnd w:id="167"/>
    <w:bookmarkEnd w:id="168"/>
    <w:p w14:paraId="04FA84A6">
      <w:pPr>
        <w:spacing w:line="360" w:lineRule="auto"/>
        <w:ind w:firstLine="420"/>
        <w:rPr>
          <w:rFonts w:hint="eastAsia" w:ascii="宋体" w:hAnsi="宋体"/>
          <w:color w:val="auto"/>
          <w:sz w:val="22"/>
          <w:szCs w:val="28"/>
          <w:highlight w:val="none"/>
        </w:rPr>
      </w:pPr>
      <w:bookmarkStart w:id="169" w:name="_Toc221950135"/>
      <w:r>
        <w:rPr>
          <w:rFonts w:hint="eastAsia" w:ascii="宋体" w:hAnsi="宋体"/>
          <w:color w:val="auto"/>
          <w:sz w:val="22"/>
          <w:szCs w:val="28"/>
          <w:highlight w:val="none"/>
        </w:rPr>
        <w:t>投标文件不允许偏离招标文件的实质性要求和条件</w:t>
      </w:r>
      <w:bookmarkEnd w:id="169"/>
      <w:r>
        <w:rPr>
          <w:rFonts w:hint="eastAsia" w:ascii="宋体" w:hAnsi="宋体"/>
          <w:color w:val="auto"/>
          <w:sz w:val="22"/>
          <w:szCs w:val="28"/>
          <w:highlight w:val="none"/>
        </w:rPr>
        <w:t>。投标文件偏离招标文件的非实质性要求和条件的，其处理方式见投标人 须知前附表。</w:t>
      </w:r>
    </w:p>
    <w:p w14:paraId="19BF7906">
      <w:pPr>
        <w:pStyle w:val="4"/>
        <w:spacing w:line="360" w:lineRule="auto"/>
        <w:rPr>
          <w:rFonts w:hint="eastAsia" w:ascii="宋体" w:hAnsi="宋体" w:eastAsia="宋体"/>
          <w:b/>
          <w:color w:val="auto"/>
          <w:sz w:val="28"/>
          <w:szCs w:val="36"/>
          <w:highlight w:val="none"/>
        </w:rPr>
      </w:pPr>
      <w:bookmarkStart w:id="170" w:name="_Toc39698057"/>
      <w:bookmarkStart w:id="171" w:name="_Toc221950136"/>
      <w:bookmarkStart w:id="172" w:name="_Toc229408464"/>
      <w:bookmarkStart w:id="173" w:name="_Toc222030985"/>
      <w:bookmarkStart w:id="174" w:name="_Toc168476060"/>
      <w:bookmarkStart w:id="175" w:name="_Toc26578"/>
      <w:bookmarkStart w:id="176" w:name="_Toc168475657"/>
      <w:bookmarkStart w:id="177" w:name="_Toc222032652"/>
      <w:bookmarkStart w:id="178" w:name="_Toc6657"/>
      <w:bookmarkStart w:id="179" w:name="_Toc686"/>
      <w:bookmarkStart w:id="180" w:name="_Toc222033834"/>
      <w:bookmarkStart w:id="181" w:name="_Toc229305343"/>
      <w:bookmarkStart w:id="182" w:name="_Toc222029483"/>
      <w:bookmarkStart w:id="183" w:name="_Toc144974510"/>
      <w:bookmarkStart w:id="184" w:name="_Toc26035"/>
      <w:bookmarkStart w:id="185" w:name="_Toc14231"/>
      <w:bookmarkStart w:id="186" w:name="_Toc2573"/>
      <w:r>
        <w:rPr>
          <w:rFonts w:hint="eastAsia" w:ascii="宋体" w:hAnsi="宋体" w:eastAsia="宋体"/>
          <w:b/>
          <w:color w:val="auto"/>
          <w:sz w:val="28"/>
          <w:szCs w:val="36"/>
          <w:highlight w:val="none"/>
        </w:rPr>
        <w:t>2. 招标文件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1928ECE">
      <w:pPr>
        <w:spacing w:line="360" w:lineRule="auto"/>
        <w:outlineLvl w:val="2"/>
        <w:rPr>
          <w:rFonts w:hint="eastAsia" w:ascii="宋体" w:hAnsi="宋体"/>
          <w:b/>
          <w:color w:val="auto"/>
          <w:sz w:val="22"/>
          <w:szCs w:val="28"/>
          <w:highlight w:val="none"/>
        </w:rPr>
      </w:pPr>
      <w:bookmarkStart w:id="187" w:name="_Toc152045543"/>
      <w:bookmarkStart w:id="188" w:name="_Toc32045"/>
      <w:bookmarkStart w:id="189" w:name="_Toc29914"/>
      <w:bookmarkStart w:id="190" w:name="_Toc152042319"/>
      <w:bookmarkStart w:id="191" w:name="_Toc144974511"/>
      <w:bookmarkStart w:id="192" w:name="_Toc6366"/>
      <w:bookmarkStart w:id="193" w:name="_Toc12712"/>
      <w:bookmarkStart w:id="194" w:name="_Toc258411284"/>
      <w:bookmarkStart w:id="195" w:name="_Toc14074"/>
      <w:bookmarkStart w:id="196" w:name="_Toc221950142"/>
      <w:r>
        <w:rPr>
          <w:rFonts w:hint="eastAsia" w:ascii="宋体" w:hAnsi="宋体"/>
          <w:b/>
          <w:color w:val="auto"/>
          <w:sz w:val="22"/>
          <w:szCs w:val="28"/>
          <w:highlight w:val="none"/>
        </w:rPr>
        <w:t>2.1 招标文件的组成</w:t>
      </w:r>
      <w:bookmarkEnd w:id="187"/>
      <w:bookmarkEnd w:id="188"/>
      <w:bookmarkEnd w:id="189"/>
      <w:bookmarkEnd w:id="190"/>
      <w:bookmarkEnd w:id="191"/>
      <w:bookmarkEnd w:id="192"/>
      <w:bookmarkEnd w:id="193"/>
      <w:bookmarkEnd w:id="194"/>
      <w:bookmarkEnd w:id="195"/>
    </w:p>
    <w:p w14:paraId="4E7D5472">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本招标文件包括：</w:t>
      </w:r>
    </w:p>
    <w:p w14:paraId="391D6A90">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（1）招标公告；</w:t>
      </w:r>
    </w:p>
    <w:p w14:paraId="388DE54A">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（2）投标人须知；</w:t>
      </w:r>
    </w:p>
    <w:p w14:paraId="36A20C98">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（3）评标办法；</w:t>
      </w:r>
    </w:p>
    <w:p w14:paraId="01C9EC5A">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（4）合同条款及格式；</w:t>
      </w:r>
    </w:p>
    <w:p w14:paraId="3A7CF6F6">
      <w:pPr>
        <w:spacing w:line="400" w:lineRule="exact"/>
        <w:ind w:firstLine="420"/>
        <w:rPr>
          <w:rFonts w:hint="eastAsia" w:ascii="宋体" w:hAnsi="宋体"/>
          <w:color w:val="auto"/>
          <w:sz w:val="22"/>
          <w:szCs w:val="28"/>
          <w:highlight w:val="none"/>
        </w:rPr>
      </w:pPr>
      <w:r>
        <w:rPr>
          <w:rFonts w:hint="eastAsia" w:ascii="宋体" w:hAnsi="宋体"/>
          <w:color w:val="auto"/>
          <w:sz w:val="22"/>
          <w:szCs w:val="28"/>
          <w:highlight w:val="none"/>
        </w:rPr>
        <w:t>（5）图纸；</w:t>
      </w:r>
    </w:p>
    <w:p w14:paraId="671B1309">
      <w:pPr>
        <w:spacing w:line="400" w:lineRule="exact"/>
        <w:ind w:firstLine="420"/>
        <w:rPr>
          <w:rFonts w:hint="eastAsia" w:ascii="宋体" w:hAnsi="宋体"/>
          <w:color w:val="auto"/>
          <w:sz w:val="22"/>
          <w:szCs w:val="28"/>
          <w:highlight w:val="none"/>
        </w:rPr>
      </w:pPr>
      <w:r>
        <w:rPr>
          <w:rFonts w:hint="eastAsia" w:ascii="宋体" w:hAnsi="宋体"/>
          <w:color w:val="auto"/>
          <w:sz w:val="22"/>
          <w:szCs w:val="28"/>
          <w:highlight w:val="none"/>
        </w:rPr>
        <w:t>（6）工程量清单</w:t>
      </w:r>
    </w:p>
    <w:p w14:paraId="14B61EAF">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（7）技术标准和要求；</w:t>
      </w:r>
    </w:p>
    <w:p w14:paraId="29C3CDF5">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（8）投标文件格式；</w:t>
      </w:r>
    </w:p>
    <w:p w14:paraId="57C0F430">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（9）投标人须知前附表规定的其他材料。</w:t>
      </w:r>
    </w:p>
    <w:p w14:paraId="2064BA85">
      <w:pPr>
        <w:spacing w:line="400" w:lineRule="exact"/>
        <w:rPr>
          <w:rFonts w:hint="eastAsia" w:ascii="宋体" w:hAnsi="宋体"/>
          <w:color w:val="auto"/>
          <w:sz w:val="22"/>
          <w:szCs w:val="28"/>
          <w:highlight w:val="none"/>
        </w:rPr>
      </w:pPr>
      <w:r>
        <w:rPr>
          <w:rFonts w:hint="eastAsia" w:ascii="宋体" w:hAnsi="宋体"/>
          <w:color w:val="auto"/>
          <w:sz w:val="22"/>
          <w:szCs w:val="28"/>
          <w:highlight w:val="none"/>
        </w:rPr>
        <w:t>　　根据本章第1.10款、第2.2款和第2.3款对招标文件所作的澄清、修改，构成招标文件的组成部分。</w:t>
      </w:r>
    </w:p>
    <w:p w14:paraId="53543511">
      <w:pPr>
        <w:spacing w:line="360" w:lineRule="auto"/>
        <w:outlineLvl w:val="2"/>
        <w:rPr>
          <w:rFonts w:hint="eastAsia" w:ascii="宋体" w:hAnsi="宋体"/>
          <w:color w:val="auto"/>
          <w:sz w:val="22"/>
          <w:szCs w:val="28"/>
          <w:highlight w:val="none"/>
        </w:rPr>
      </w:pPr>
      <w:bookmarkStart w:id="197" w:name="_Toc23773"/>
      <w:bookmarkStart w:id="198" w:name="_Toc7667"/>
      <w:bookmarkStart w:id="199" w:name="_Toc21098"/>
      <w:bookmarkStart w:id="200" w:name="_Toc7189"/>
      <w:bookmarkStart w:id="201" w:name="_Toc14746"/>
      <w:r>
        <w:rPr>
          <w:rFonts w:hint="eastAsia" w:ascii="宋体" w:hAnsi="宋体"/>
          <w:b/>
          <w:color w:val="auto"/>
          <w:sz w:val="22"/>
          <w:szCs w:val="28"/>
          <w:highlight w:val="none"/>
        </w:rPr>
        <w:t>2.2招标文件的澄清</w:t>
      </w:r>
      <w:bookmarkEnd w:id="197"/>
      <w:bookmarkEnd w:id="198"/>
      <w:bookmarkEnd w:id="199"/>
      <w:bookmarkEnd w:id="200"/>
      <w:bookmarkEnd w:id="201"/>
    </w:p>
    <w:bookmarkEnd w:id="196"/>
    <w:p w14:paraId="6084A238">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2.2.1 投标人下载招标文件后，应仔细阅读和检查招标文件的全部内容。如发现缺页或附件不全，应及时向招标人提出，以便补齐。如有疑问，应按投标人须知前附表规定的时间和形式提出澄清申请，要求招标人对招标文件予以澄清。</w:t>
      </w:r>
    </w:p>
    <w:p w14:paraId="5B501E67">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2.2.2 招标文件的澄清将在投标截止时间 15 天前，以投标人须知前附表规定的形式通知所有投标人，但不指明澄清问题的来源。如果澄清通知发出的时间距投标截止时间不足 15天，并且澄清内容可能影响投标文件编制的，将相应延长投标截止时间。</w:t>
      </w:r>
    </w:p>
    <w:p w14:paraId="2BAB2A03">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2.2.3 投标人在收到澄清后，应按投标人须知前附表规定的时间和形式通知招标人，确认已收到该澄清。</w:t>
      </w:r>
    </w:p>
    <w:p w14:paraId="607791B3">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2.2.4除非招标人认为确有必要答复，否则，招标人有权拒绝回复投标人在本章第2.2.1项规定的时间后的任何澄清要求。</w:t>
      </w:r>
    </w:p>
    <w:p w14:paraId="661D6D59">
      <w:pPr>
        <w:spacing w:line="360" w:lineRule="auto"/>
        <w:outlineLvl w:val="2"/>
        <w:rPr>
          <w:rFonts w:hint="eastAsia" w:ascii="宋体" w:hAnsi="宋体"/>
          <w:b/>
          <w:color w:val="auto"/>
          <w:sz w:val="22"/>
          <w:szCs w:val="28"/>
          <w:highlight w:val="none"/>
        </w:rPr>
      </w:pPr>
      <w:bookmarkStart w:id="202" w:name="_Toc12850"/>
      <w:bookmarkStart w:id="203" w:name="_Toc7283"/>
      <w:bookmarkStart w:id="204" w:name="_Toc26356"/>
      <w:bookmarkStart w:id="205" w:name="_Toc31147"/>
      <w:bookmarkStart w:id="206" w:name="_Toc5018"/>
      <w:r>
        <w:rPr>
          <w:rFonts w:hint="eastAsia" w:ascii="宋体" w:hAnsi="宋体"/>
          <w:b/>
          <w:color w:val="auto"/>
          <w:sz w:val="22"/>
          <w:szCs w:val="28"/>
          <w:highlight w:val="none"/>
        </w:rPr>
        <w:t>2.3招标文件的修改</w:t>
      </w:r>
      <w:bookmarkEnd w:id="202"/>
      <w:bookmarkEnd w:id="203"/>
      <w:bookmarkEnd w:id="204"/>
      <w:bookmarkEnd w:id="205"/>
      <w:bookmarkEnd w:id="206"/>
    </w:p>
    <w:p w14:paraId="11F8C9B3">
      <w:pPr>
        <w:spacing w:line="360" w:lineRule="auto"/>
        <w:rPr>
          <w:rFonts w:hint="eastAsia" w:ascii="宋体" w:hAnsi="宋体"/>
          <w:color w:val="auto"/>
          <w:sz w:val="22"/>
          <w:szCs w:val="28"/>
          <w:highlight w:val="none"/>
        </w:rPr>
      </w:pPr>
      <w:bookmarkStart w:id="207" w:name="_Toc221950149"/>
      <w:bookmarkStart w:id="208" w:name="_Toc221950151"/>
      <w:bookmarkStart w:id="209" w:name="_Toc144974514"/>
      <w:bookmarkStart w:id="210" w:name="_Toc222032653"/>
      <w:bookmarkStart w:id="211" w:name="_Toc168475661"/>
      <w:bookmarkStart w:id="212" w:name="_Toc229408465"/>
      <w:bookmarkStart w:id="213" w:name="_Toc229305344"/>
      <w:bookmarkStart w:id="214" w:name="_Toc168476064"/>
      <w:bookmarkStart w:id="215" w:name="_Toc222030986"/>
      <w:bookmarkStart w:id="216" w:name="_Toc222029484"/>
      <w:bookmarkStart w:id="217" w:name="_Toc222033835"/>
      <w:r>
        <w:rPr>
          <w:rFonts w:hint="eastAsia" w:ascii="宋体" w:hAnsi="宋体"/>
          <w:color w:val="auto"/>
          <w:sz w:val="22"/>
          <w:szCs w:val="28"/>
          <w:highlight w:val="none"/>
        </w:rPr>
        <w:t>　　2.3.1 在投标截止时间 15 天前，招标人按投标人须知前附表规定的形式修改招标文件,并通知所有投标人。如果修改招标文件的时间距投标截止时间不足15 天，并且修改内容可能影响投标文件编制的，将相应延长投标截止时间。</w:t>
      </w:r>
    </w:p>
    <w:p w14:paraId="105E8DC1">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2.3.2 投标人收到修改通知后，按投标须知前附表规定的时间和形式告知招标人，确认已收到该修改通知。</w:t>
      </w:r>
    </w:p>
    <w:p w14:paraId="1670E1A9">
      <w:pPr>
        <w:spacing w:line="360" w:lineRule="auto"/>
        <w:outlineLvl w:val="2"/>
        <w:rPr>
          <w:rFonts w:hint="eastAsia" w:ascii="宋体" w:hAnsi="宋体"/>
          <w:b/>
          <w:color w:val="auto"/>
          <w:sz w:val="22"/>
          <w:szCs w:val="28"/>
          <w:highlight w:val="none"/>
        </w:rPr>
      </w:pPr>
      <w:r>
        <w:rPr>
          <w:rFonts w:hint="eastAsia" w:ascii="宋体" w:hAnsi="宋体"/>
          <w:b/>
          <w:color w:val="auto"/>
          <w:sz w:val="22"/>
          <w:szCs w:val="28"/>
          <w:highlight w:val="none"/>
        </w:rPr>
        <w:t>2.4招标文件的异议</w:t>
      </w:r>
    </w:p>
    <w:p w14:paraId="038DBAE2">
      <w:pPr>
        <w:pStyle w:val="4"/>
        <w:ind w:firstLine="440" w:firstLineChars="200"/>
        <w:rPr>
          <w:rFonts w:hint="eastAsia" w:ascii="宋体" w:hAnsi="宋体" w:eastAsia="宋体"/>
          <w:bCs w:val="0"/>
          <w:color w:val="auto"/>
          <w:sz w:val="22"/>
          <w:szCs w:val="28"/>
          <w:highlight w:val="none"/>
        </w:rPr>
      </w:pPr>
      <w:r>
        <w:rPr>
          <w:rFonts w:hint="eastAsia" w:ascii="宋体" w:hAnsi="宋体" w:eastAsia="宋体"/>
          <w:bCs w:val="0"/>
          <w:color w:val="auto"/>
          <w:sz w:val="22"/>
          <w:szCs w:val="28"/>
          <w:highlight w:val="none"/>
        </w:rPr>
        <w:t>投标人或者其他利害关系人对招标文件有异议的，应当在投标截止时间10日前以书面形式提出。招标人将在收到异议之日起3日内作出答复；作出答复前，将暂停招标投标活动。</w:t>
      </w:r>
    </w:p>
    <w:bookmarkEnd w:id="207"/>
    <w:p w14:paraId="6F472333">
      <w:pPr>
        <w:pStyle w:val="4"/>
        <w:spacing w:line="360" w:lineRule="auto"/>
        <w:rPr>
          <w:rFonts w:hint="eastAsia" w:ascii="宋体" w:hAnsi="宋体" w:eastAsia="宋体"/>
          <w:b/>
          <w:color w:val="auto"/>
          <w:sz w:val="28"/>
          <w:highlight w:val="none"/>
        </w:rPr>
      </w:pPr>
      <w:bookmarkStart w:id="218" w:name="_Toc5175"/>
      <w:bookmarkStart w:id="219" w:name="_Toc23421"/>
      <w:bookmarkStart w:id="220" w:name="_Toc6612"/>
      <w:bookmarkStart w:id="221" w:name="_Toc4708"/>
      <w:bookmarkStart w:id="222" w:name="_Toc11805"/>
      <w:bookmarkStart w:id="223" w:name="_Toc39698058"/>
      <w:bookmarkStart w:id="224" w:name="_Toc8696"/>
      <w:r>
        <w:rPr>
          <w:rFonts w:hint="eastAsia" w:ascii="宋体" w:hAnsi="宋体" w:eastAsia="宋体"/>
          <w:b/>
          <w:color w:val="auto"/>
          <w:sz w:val="28"/>
          <w:highlight w:val="none"/>
        </w:rPr>
        <w:t>3. 投标文件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71E5716">
      <w:pPr>
        <w:spacing w:line="360" w:lineRule="auto"/>
        <w:outlineLvl w:val="2"/>
        <w:rPr>
          <w:rFonts w:hint="eastAsia" w:ascii="宋体" w:hAnsi="宋体"/>
          <w:b/>
          <w:color w:val="auto"/>
          <w:sz w:val="22"/>
          <w:szCs w:val="28"/>
          <w:highlight w:val="none"/>
        </w:rPr>
      </w:pPr>
      <w:bookmarkStart w:id="225" w:name="_Toc11253"/>
      <w:bookmarkStart w:id="226" w:name="_Toc152042323"/>
      <w:bookmarkStart w:id="227" w:name="_Toc4184"/>
      <w:bookmarkStart w:id="228" w:name="_Toc144974515"/>
      <w:bookmarkStart w:id="229" w:name="_Toc152045547"/>
      <w:bookmarkStart w:id="230" w:name="_Toc258411288"/>
      <w:bookmarkStart w:id="231" w:name="_Toc9554"/>
      <w:bookmarkStart w:id="232" w:name="_Toc17711"/>
      <w:bookmarkStart w:id="233" w:name="_Toc28904"/>
      <w:bookmarkStart w:id="234" w:name="_Toc221950166"/>
      <w:bookmarkStart w:id="235" w:name="_Toc144974520"/>
      <w:bookmarkStart w:id="236" w:name="_Toc168475667"/>
      <w:bookmarkStart w:id="237" w:name="_Toc168476070"/>
      <w:r>
        <w:rPr>
          <w:rFonts w:hint="eastAsia" w:ascii="宋体" w:hAnsi="宋体"/>
          <w:b/>
          <w:color w:val="auto"/>
          <w:sz w:val="22"/>
          <w:szCs w:val="28"/>
          <w:highlight w:val="none"/>
        </w:rPr>
        <w:t>3.1 投标文件的组成</w:t>
      </w:r>
      <w:bookmarkEnd w:id="225"/>
      <w:bookmarkEnd w:id="226"/>
      <w:bookmarkEnd w:id="227"/>
      <w:bookmarkEnd w:id="228"/>
      <w:bookmarkEnd w:id="229"/>
      <w:bookmarkEnd w:id="230"/>
      <w:bookmarkEnd w:id="231"/>
      <w:bookmarkEnd w:id="232"/>
      <w:bookmarkEnd w:id="233"/>
    </w:p>
    <w:p w14:paraId="01FFAEB4">
      <w:pPr>
        <w:spacing w:line="360" w:lineRule="auto"/>
        <w:rPr>
          <w:rFonts w:hint="eastAsia" w:ascii="宋体" w:hAnsi="宋体"/>
          <w:color w:val="auto"/>
          <w:sz w:val="22"/>
          <w:szCs w:val="28"/>
          <w:highlight w:val="none"/>
        </w:rPr>
      </w:pPr>
      <w:bookmarkStart w:id="238" w:name="_Toc144974516"/>
      <w:bookmarkStart w:id="239" w:name="_Toc152045548"/>
      <w:bookmarkStart w:id="240" w:name="_Toc152042324"/>
      <w:r>
        <w:rPr>
          <w:rFonts w:hint="eastAsia" w:ascii="宋体" w:hAnsi="宋体"/>
          <w:color w:val="auto"/>
          <w:sz w:val="22"/>
          <w:szCs w:val="28"/>
          <w:highlight w:val="none"/>
        </w:rPr>
        <w:t>　　3.1.1投标文件应包括下列内容：</w:t>
      </w:r>
    </w:p>
    <w:p w14:paraId="48DDDC59">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（1）投标函及投标函附录；</w:t>
      </w:r>
    </w:p>
    <w:p w14:paraId="025B1B94">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（2）法定代表人身份证明或附有法定代表人身份证明的授权委托书；</w:t>
      </w:r>
    </w:p>
    <w:p w14:paraId="7C3DADB1">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（3）投标保证金；</w:t>
      </w:r>
    </w:p>
    <w:p w14:paraId="653D5098">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（4）资格审查资料；</w:t>
      </w:r>
    </w:p>
    <w:p w14:paraId="7C49BA58">
      <w:pPr>
        <w:spacing w:line="460" w:lineRule="exact"/>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（5）其他材料。</w:t>
      </w:r>
    </w:p>
    <w:p w14:paraId="337ECE16">
      <w:pPr>
        <w:spacing w:line="460" w:lineRule="exact"/>
        <w:rPr>
          <w:rFonts w:hint="eastAsia" w:ascii="宋体" w:hAnsi="宋体"/>
          <w:color w:val="auto"/>
          <w:sz w:val="22"/>
          <w:szCs w:val="28"/>
          <w:highlight w:val="none"/>
        </w:rPr>
      </w:pPr>
      <w:r>
        <w:rPr>
          <w:rFonts w:hint="eastAsia" w:ascii="宋体" w:hAnsi="宋体"/>
          <w:color w:val="auto"/>
          <w:sz w:val="22"/>
          <w:szCs w:val="28"/>
          <w:highlight w:val="none"/>
        </w:rPr>
        <w:t>　　（6）施工组织设计。</w:t>
      </w:r>
    </w:p>
    <w:p w14:paraId="22B4EF3F">
      <w:pPr>
        <w:pStyle w:val="16"/>
        <w:ind w:firstLine="220"/>
        <w:rPr>
          <w:color w:val="auto"/>
          <w:sz w:val="22"/>
          <w:szCs w:val="28"/>
          <w:highlight w:val="none"/>
        </w:rPr>
      </w:pPr>
    </w:p>
    <w:p w14:paraId="124B01C8">
      <w:pPr>
        <w:spacing w:line="360" w:lineRule="auto"/>
        <w:outlineLvl w:val="2"/>
        <w:rPr>
          <w:rFonts w:hint="eastAsia" w:ascii="宋体" w:hAnsi="宋体"/>
          <w:b/>
          <w:color w:val="auto"/>
          <w:sz w:val="22"/>
          <w:szCs w:val="28"/>
          <w:highlight w:val="none"/>
        </w:rPr>
      </w:pPr>
      <w:bookmarkStart w:id="241" w:name="_Toc29575"/>
      <w:bookmarkStart w:id="242" w:name="_Toc6778"/>
      <w:bookmarkStart w:id="243" w:name="_Toc258411289"/>
      <w:bookmarkStart w:id="244" w:name="_Toc6400"/>
      <w:bookmarkStart w:id="245" w:name="_Toc20176"/>
      <w:bookmarkStart w:id="246" w:name="_Toc449"/>
      <w:r>
        <w:rPr>
          <w:rFonts w:hint="eastAsia" w:ascii="宋体" w:hAnsi="宋体"/>
          <w:b/>
          <w:color w:val="auto"/>
          <w:sz w:val="22"/>
          <w:szCs w:val="28"/>
          <w:highlight w:val="none"/>
        </w:rPr>
        <w:t>3.2 投标报价</w:t>
      </w:r>
      <w:bookmarkEnd w:id="238"/>
      <w:bookmarkEnd w:id="239"/>
      <w:bookmarkEnd w:id="240"/>
      <w:bookmarkEnd w:id="241"/>
      <w:bookmarkEnd w:id="242"/>
      <w:bookmarkEnd w:id="243"/>
      <w:bookmarkEnd w:id="244"/>
      <w:bookmarkEnd w:id="245"/>
      <w:bookmarkEnd w:id="246"/>
    </w:p>
    <w:p w14:paraId="62900A7B">
      <w:pPr>
        <w:spacing w:line="360" w:lineRule="auto"/>
        <w:ind w:firstLine="440" w:firstLineChars="200"/>
        <w:rPr>
          <w:rFonts w:hint="eastAsia" w:ascii="宋体" w:hAnsi="宋体"/>
          <w:color w:val="auto"/>
          <w:sz w:val="22"/>
          <w:szCs w:val="28"/>
          <w:highlight w:val="none"/>
        </w:rPr>
      </w:pPr>
      <w:bookmarkStart w:id="247" w:name="_Toc144974517"/>
      <w:bookmarkStart w:id="248" w:name="_Toc152045549"/>
      <w:bookmarkStart w:id="249" w:name="_Toc152042325"/>
      <w:bookmarkStart w:id="250" w:name="_Toc258411290"/>
      <w:r>
        <w:rPr>
          <w:rFonts w:hint="eastAsia" w:ascii="宋体" w:hAnsi="宋体"/>
          <w:color w:val="auto"/>
          <w:sz w:val="22"/>
          <w:szCs w:val="28"/>
          <w:highlight w:val="none"/>
        </w:rPr>
        <w:t>3.2.1 本工程只允许有一个报价下浮率。投标人应按现行水利工程预算定额、编制规定及其调整文件综合考虑成本、利润、风险等因素进行报价，投标报价应包工、包料、包税、包质量、包工期及有关施工规范要求等。投标人的投标报价下浮率必须≥2.00%，下浮率保留两位小数，不在此范围内的投标报价为无效报价，评标委员会作否决投标处理。</w:t>
      </w:r>
    </w:p>
    <w:p w14:paraId="4AEEECB2">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3.2.2 招标人设有最高投标限价的，投标人的投标报价不得超过最高投标限价，最高投标限价或其计算方法在投标须知前附表中载明。</w:t>
      </w:r>
    </w:p>
    <w:p w14:paraId="4AFB449A">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3.2.3 投标报价低于成本的说明：见投标须知前附表。</w:t>
      </w:r>
    </w:p>
    <w:p w14:paraId="24839CEA">
      <w:pPr>
        <w:spacing w:line="360" w:lineRule="auto"/>
        <w:outlineLvl w:val="2"/>
        <w:rPr>
          <w:rFonts w:hint="eastAsia" w:ascii="宋体" w:hAnsi="宋体"/>
          <w:b/>
          <w:color w:val="auto"/>
          <w:sz w:val="22"/>
          <w:szCs w:val="28"/>
          <w:highlight w:val="none"/>
        </w:rPr>
      </w:pPr>
      <w:bookmarkStart w:id="251" w:name="_Toc3848"/>
      <w:bookmarkStart w:id="252" w:name="_Toc25454"/>
      <w:bookmarkStart w:id="253" w:name="_Toc26117"/>
      <w:bookmarkStart w:id="254" w:name="_Toc9720"/>
      <w:bookmarkStart w:id="255" w:name="_Toc4349"/>
      <w:r>
        <w:rPr>
          <w:rFonts w:hint="eastAsia" w:ascii="宋体" w:hAnsi="宋体"/>
          <w:b/>
          <w:color w:val="auto"/>
          <w:sz w:val="22"/>
          <w:szCs w:val="28"/>
          <w:highlight w:val="none"/>
        </w:rPr>
        <w:t>3.3 投标有效期</w:t>
      </w:r>
      <w:bookmarkEnd w:id="247"/>
      <w:bookmarkEnd w:id="248"/>
      <w:bookmarkEnd w:id="249"/>
      <w:bookmarkEnd w:id="250"/>
      <w:bookmarkEnd w:id="251"/>
      <w:bookmarkEnd w:id="252"/>
      <w:bookmarkEnd w:id="253"/>
      <w:bookmarkEnd w:id="254"/>
      <w:bookmarkEnd w:id="255"/>
    </w:p>
    <w:p w14:paraId="68279618">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3.3.1 在投标人须知前附表规定的投标有效期内，投标人不得要求撤销或修改其投标文件。</w:t>
      </w:r>
    </w:p>
    <w:p w14:paraId="51B615C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xml:space="preserve">　　3.3.2出现特殊情况需要延长投标有效期的，招标人以网上形式通知所有投标人延长投标有效期。投标人同意延长的，应相应延长其投标保证金的有效期，但不得要求或被允许修改或撤销其投标文件；投标人拒绝延长的，其投标失效，但投标人有权收回其投标保证金。 </w:t>
      </w:r>
    </w:p>
    <w:p w14:paraId="516F0F58">
      <w:pPr>
        <w:spacing w:line="360" w:lineRule="auto"/>
        <w:outlineLvl w:val="2"/>
        <w:rPr>
          <w:rFonts w:hint="eastAsia" w:ascii="宋体" w:hAnsi="宋体"/>
          <w:b/>
          <w:color w:val="auto"/>
          <w:sz w:val="22"/>
          <w:szCs w:val="28"/>
          <w:highlight w:val="none"/>
        </w:rPr>
      </w:pPr>
      <w:bookmarkStart w:id="256" w:name="_Toc15181"/>
      <w:bookmarkStart w:id="257" w:name="_Toc21767"/>
      <w:bookmarkStart w:id="258" w:name="_Toc144974518"/>
      <w:bookmarkStart w:id="259" w:name="_Toc18494"/>
      <w:bookmarkStart w:id="260" w:name="_Toc152042326"/>
      <w:bookmarkStart w:id="261" w:name="_Toc24681"/>
      <w:bookmarkStart w:id="262" w:name="_Toc152045550"/>
      <w:bookmarkStart w:id="263" w:name="_Toc258411291"/>
      <w:bookmarkStart w:id="264" w:name="_Toc7151"/>
      <w:r>
        <w:rPr>
          <w:rFonts w:hint="eastAsia" w:ascii="宋体" w:hAnsi="宋体"/>
          <w:b/>
          <w:color w:val="auto"/>
          <w:sz w:val="22"/>
          <w:szCs w:val="28"/>
          <w:highlight w:val="none"/>
        </w:rPr>
        <w:t>3.4 投标保证金</w:t>
      </w:r>
      <w:bookmarkEnd w:id="256"/>
      <w:bookmarkEnd w:id="257"/>
      <w:bookmarkEnd w:id="258"/>
      <w:bookmarkEnd w:id="259"/>
      <w:bookmarkEnd w:id="260"/>
      <w:bookmarkEnd w:id="261"/>
      <w:bookmarkEnd w:id="262"/>
      <w:bookmarkEnd w:id="263"/>
      <w:bookmarkEnd w:id="264"/>
    </w:p>
    <w:p w14:paraId="2CAC93D0">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3.4.1 投标人须知前附表规定递交投标保证金的，投标人在递交投标文件的同时，应按投标人须知前附表规定的金额、担保形式和第八章“投标文件格式”规定的或者事先经过招标人认可的投标保证金格式递交投标保证金。</w:t>
      </w:r>
    </w:p>
    <w:p w14:paraId="73AF5B2A">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3.4.2 投标人不按本章第3.4.1项要求提交投标保证金的，评标委员会将否决其投标。</w:t>
      </w:r>
    </w:p>
    <w:p w14:paraId="29495AD6">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3.4.3投标保证金按投标须知前附表3.4.1规定退还。</w:t>
      </w:r>
    </w:p>
    <w:p w14:paraId="7E2E91E4">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3.4.4 有下列情形之一的，投标保证金将不予退还：</w:t>
      </w:r>
    </w:p>
    <w:p w14:paraId="5B9FC2F9">
      <w:pPr>
        <w:spacing w:line="360" w:lineRule="auto"/>
        <w:ind w:firstLine="330" w:firstLineChars="150"/>
        <w:rPr>
          <w:rFonts w:hint="eastAsia" w:ascii="宋体" w:hAnsi="宋体"/>
          <w:color w:val="auto"/>
          <w:sz w:val="22"/>
          <w:szCs w:val="28"/>
          <w:highlight w:val="none"/>
        </w:rPr>
      </w:pPr>
      <w:r>
        <w:rPr>
          <w:rFonts w:hint="eastAsia" w:ascii="宋体" w:hAnsi="宋体"/>
          <w:color w:val="auto"/>
          <w:sz w:val="22"/>
          <w:szCs w:val="28"/>
          <w:highlight w:val="none"/>
        </w:rPr>
        <w:t>（1）投标人在投标有效期内撤回其投标；</w:t>
      </w:r>
    </w:p>
    <w:p w14:paraId="1B07C112">
      <w:pPr>
        <w:spacing w:line="360" w:lineRule="auto"/>
        <w:ind w:firstLine="330" w:firstLineChars="150"/>
        <w:rPr>
          <w:rFonts w:hint="eastAsia" w:ascii="宋体" w:hAnsi="宋体"/>
          <w:color w:val="auto"/>
          <w:sz w:val="22"/>
          <w:szCs w:val="28"/>
          <w:highlight w:val="none"/>
        </w:rPr>
      </w:pPr>
      <w:r>
        <w:rPr>
          <w:rFonts w:hint="eastAsia" w:ascii="宋体" w:hAnsi="宋体"/>
          <w:color w:val="auto"/>
          <w:sz w:val="22"/>
          <w:szCs w:val="28"/>
          <w:highlight w:val="none"/>
        </w:rPr>
        <w:t>（2）中标人未能按招标文件规定的期限内签订合同；</w:t>
      </w:r>
    </w:p>
    <w:p w14:paraId="138697A0">
      <w:pPr>
        <w:spacing w:line="360" w:lineRule="auto"/>
        <w:ind w:firstLine="330" w:firstLineChars="150"/>
        <w:rPr>
          <w:rFonts w:hint="eastAsia" w:ascii="宋体" w:hAnsi="宋体"/>
          <w:color w:val="auto"/>
          <w:sz w:val="22"/>
          <w:szCs w:val="28"/>
          <w:highlight w:val="none"/>
        </w:rPr>
      </w:pPr>
      <w:r>
        <w:rPr>
          <w:rFonts w:hint="eastAsia" w:ascii="宋体" w:hAnsi="宋体"/>
          <w:color w:val="auto"/>
          <w:sz w:val="22"/>
          <w:szCs w:val="28"/>
          <w:highlight w:val="none"/>
        </w:rPr>
        <w:t>（3）中标后未按规定提交履约保证金；</w:t>
      </w:r>
    </w:p>
    <w:p w14:paraId="2D737E90">
      <w:pPr>
        <w:spacing w:line="360" w:lineRule="auto"/>
        <w:ind w:firstLine="330" w:firstLineChars="150"/>
        <w:rPr>
          <w:rFonts w:hint="eastAsia" w:ascii="宋体" w:hAnsi="宋体"/>
          <w:color w:val="auto"/>
          <w:sz w:val="22"/>
          <w:szCs w:val="28"/>
          <w:highlight w:val="none"/>
        </w:rPr>
      </w:pPr>
      <w:r>
        <w:rPr>
          <w:rFonts w:hint="eastAsia" w:ascii="宋体" w:hAnsi="宋体"/>
          <w:color w:val="auto"/>
          <w:sz w:val="22"/>
          <w:szCs w:val="28"/>
          <w:highlight w:val="none"/>
        </w:rPr>
        <w:t>（4）提供虚假投标文件或虚假补充文件的，或经监督管理部门审查认定投标人有违反《中华人民共和国招投标法》等有关法规的行为。</w:t>
      </w:r>
    </w:p>
    <w:p w14:paraId="42CB1EF2">
      <w:pPr>
        <w:spacing w:line="360" w:lineRule="auto"/>
        <w:outlineLvl w:val="2"/>
        <w:rPr>
          <w:rFonts w:hint="eastAsia" w:ascii="宋体" w:hAnsi="宋体"/>
          <w:b/>
          <w:color w:val="auto"/>
          <w:sz w:val="22"/>
          <w:szCs w:val="28"/>
          <w:highlight w:val="none"/>
        </w:rPr>
      </w:pPr>
      <w:bookmarkStart w:id="265" w:name="_Toc22149"/>
      <w:bookmarkStart w:id="266" w:name="_Toc19263"/>
      <w:bookmarkStart w:id="267" w:name="_Toc4668"/>
      <w:bookmarkStart w:id="268" w:name="_Toc5775"/>
      <w:bookmarkStart w:id="269" w:name="_Toc15206"/>
      <w:r>
        <w:rPr>
          <w:rFonts w:hint="eastAsia" w:ascii="宋体" w:hAnsi="宋体"/>
          <w:b/>
          <w:color w:val="auto"/>
          <w:sz w:val="22"/>
          <w:szCs w:val="28"/>
          <w:highlight w:val="none"/>
        </w:rPr>
        <w:t>3.5 资格审查资料</w:t>
      </w:r>
      <w:bookmarkEnd w:id="234"/>
      <w:bookmarkEnd w:id="235"/>
      <w:bookmarkEnd w:id="236"/>
      <w:bookmarkEnd w:id="237"/>
      <w:bookmarkEnd w:id="265"/>
      <w:bookmarkEnd w:id="266"/>
      <w:bookmarkEnd w:id="267"/>
      <w:bookmarkEnd w:id="268"/>
      <w:bookmarkEnd w:id="269"/>
    </w:p>
    <w:p w14:paraId="056F1271">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3.5.1 “投标人基本情况表”应附营业执照副本扫描件、资质证书扫描件、有效的安全生产许可证扫描件。</w:t>
      </w:r>
    </w:p>
    <w:p w14:paraId="11233B71">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3.5.2 “主要人员简历表”中①项目负责人应附建造师注册证书、水行政主管部门颁发的B类安全生产考核合格证扫描件，②技术负责人应附职称证扫描件，③安全员应附水行政主管部门颁发的有效期内的安全生产考核合格证（C类）扫描件，④施工员、质检员、资料员和材料员应附中国水利工程协会或水行政主管部门颁发岗位证的扫描件，⑤安全负责人应附注册安全工程师执业证扫描件及系统查询结果截图；或者水行政主管部门颁发的B类安全生产考核合格证扫描件，⑥造价人员应附注册证书扫描件，⑦财务负责人应附技术资格证书扫描件。上述人员提供身份证扫描件及近三个月（2025年02月至2025年04月）在投标单位（含分支机构）的社保证明。</w:t>
      </w:r>
    </w:p>
    <w:p w14:paraId="0FAC0EFB">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3.5.3“近年完成的类似项目情况表”应附中标通知书、合同关键页及合同工程完工验收鉴定书或竣工验收报告或单位工程验收鉴定书等能证明工程完工的资料或批文扫描件</w:t>
      </w:r>
      <w:r>
        <w:rPr>
          <w:rFonts w:hint="eastAsia" w:ascii="宋体" w:hAnsi="宋体"/>
          <w:color w:val="auto"/>
          <w:sz w:val="22"/>
          <w:szCs w:val="28"/>
          <w:highlight w:val="none"/>
          <w:lang w:eastAsia="zh-CN"/>
        </w:rPr>
        <w:t>（</w:t>
      </w:r>
      <w:r>
        <w:rPr>
          <w:rFonts w:hint="eastAsia" w:ascii="宋体" w:hAnsi="宋体"/>
          <w:color w:val="auto"/>
          <w:sz w:val="22"/>
          <w:szCs w:val="28"/>
          <w:highlight w:val="none"/>
          <w:lang w:val="en-US" w:eastAsia="zh-CN"/>
        </w:rPr>
        <w:t>如有</w:t>
      </w:r>
      <w:r>
        <w:rPr>
          <w:rFonts w:hint="eastAsia" w:ascii="宋体" w:hAnsi="宋体"/>
          <w:color w:val="auto"/>
          <w:sz w:val="22"/>
          <w:szCs w:val="28"/>
          <w:highlight w:val="none"/>
          <w:lang w:eastAsia="zh-CN"/>
        </w:rPr>
        <w:t>）</w:t>
      </w:r>
      <w:r>
        <w:rPr>
          <w:rFonts w:hint="eastAsia" w:ascii="宋体" w:hAnsi="宋体"/>
          <w:color w:val="auto"/>
          <w:sz w:val="22"/>
          <w:szCs w:val="28"/>
          <w:highlight w:val="none"/>
        </w:rPr>
        <w:t>，具体年份要求见投标人须知前附表。</w:t>
      </w:r>
    </w:p>
    <w:p w14:paraId="56C77E1C">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3.5.4 “近年财务状况表”应附经会计师事务所或审计机构审计的财务会计报表，包括资产负债表、现金流量表和利润表的扫描件</w:t>
      </w:r>
      <w:r>
        <w:rPr>
          <w:rFonts w:hint="eastAsia" w:ascii="宋体" w:hAnsi="宋体"/>
          <w:color w:val="auto"/>
          <w:sz w:val="22"/>
          <w:szCs w:val="28"/>
          <w:highlight w:val="none"/>
          <w:lang w:eastAsia="zh-CN"/>
        </w:rPr>
        <w:t>（</w:t>
      </w:r>
      <w:r>
        <w:rPr>
          <w:rFonts w:hint="eastAsia" w:ascii="宋体" w:hAnsi="宋体"/>
          <w:color w:val="auto"/>
          <w:sz w:val="22"/>
          <w:szCs w:val="28"/>
          <w:highlight w:val="none"/>
          <w:lang w:val="en-US" w:eastAsia="zh-CN"/>
        </w:rPr>
        <w:t>如有</w:t>
      </w:r>
      <w:r>
        <w:rPr>
          <w:rFonts w:hint="eastAsia" w:ascii="宋体" w:hAnsi="宋体"/>
          <w:color w:val="auto"/>
          <w:sz w:val="22"/>
          <w:szCs w:val="28"/>
          <w:highlight w:val="none"/>
          <w:lang w:eastAsia="zh-CN"/>
        </w:rPr>
        <w:t>）</w:t>
      </w:r>
      <w:r>
        <w:rPr>
          <w:rFonts w:hint="eastAsia" w:ascii="宋体" w:hAnsi="宋体"/>
          <w:color w:val="auto"/>
          <w:sz w:val="22"/>
          <w:szCs w:val="28"/>
          <w:highlight w:val="none"/>
        </w:rPr>
        <w:t>，具体年份要求见投标人须知前附表。投标人的成立时间少于投标人须知前附表规定年份的，应提供成立以来的财务状况表。</w:t>
      </w:r>
    </w:p>
    <w:p w14:paraId="3E3DEA96">
      <w:pPr>
        <w:wordWrap w:val="0"/>
        <w:topLinePunct/>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3.5.5近3年(2022年05月01日以来)未因安全质量责任事故、弄虚作假或串通投标等不良行为被有关部门以文件的形式发出通报(或批评或通知或行政处罚)。</w:t>
      </w:r>
    </w:p>
    <w:p w14:paraId="685D6457">
      <w:pPr>
        <w:tabs>
          <w:tab w:val="left" w:pos="6090"/>
        </w:tabs>
        <w:spacing w:line="360" w:lineRule="auto"/>
        <w:outlineLvl w:val="2"/>
        <w:rPr>
          <w:rFonts w:hint="eastAsia" w:ascii="宋体" w:hAnsi="宋体"/>
          <w:b/>
          <w:color w:val="auto"/>
          <w:sz w:val="22"/>
          <w:szCs w:val="28"/>
          <w:highlight w:val="none"/>
        </w:rPr>
      </w:pPr>
      <w:bookmarkStart w:id="270" w:name="_Toc24829"/>
      <w:bookmarkStart w:id="271" w:name="_Toc4684"/>
      <w:bookmarkStart w:id="272" w:name="_Toc5628"/>
      <w:bookmarkStart w:id="273" w:name="_Toc6978"/>
      <w:bookmarkStart w:id="274" w:name="_Toc4054"/>
      <w:bookmarkStart w:id="275" w:name="_Toc221950172"/>
      <w:r>
        <w:rPr>
          <w:rFonts w:hint="eastAsia" w:ascii="宋体" w:hAnsi="宋体"/>
          <w:b/>
          <w:color w:val="auto"/>
          <w:sz w:val="22"/>
          <w:szCs w:val="28"/>
          <w:highlight w:val="none"/>
        </w:rPr>
        <w:t>3.6备选投标方案</w:t>
      </w:r>
      <w:bookmarkEnd w:id="270"/>
      <w:bookmarkEnd w:id="271"/>
      <w:bookmarkEnd w:id="272"/>
      <w:bookmarkEnd w:id="273"/>
      <w:bookmarkEnd w:id="274"/>
      <w:r>
        <w:rPr>
          <w:rFonts w:ascii="宋体" w:hAnsi="宋体"/>
          <w:b/>
          <w:color w:val="auto"/>
          <w:sz w:val="22"/>
          <w:szCs w:val="28"/>
          <w:highlight w:val="none"/>
        </w:rPr>
        <w:tab/>
      </w:r>
    </w:p>
    <w:bookmarkEnd w:id="275"/>
    <w:p w14:paraId="61DF545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投标人须知前附表规定允许递交备选投标方案的，投标人可以递交备选投标方案，只有中标人所递交的备选投标方案方可予以考虑。评标委员会认为中标人递交的备选投标方案优于其按照招标文件要求编制的投标方案时，招标人可以接受该备选投标方案。</w:t>
      </w:r>
    </w:p>
    <w:p w14:paraId="4FB4702A">
      <w:pPr>
        <w:spacing w:line="360" w:lineRule="auto"/>
        <w:outlineLvl w:val="2"/>
        <w:rPr>
          <w:rFonts w:hint="eastAsia" w:ascii="宋体" w:hAnsi="宋体"/>
          <w:b/>
          <w:color w:val="auto"/>
          <w:sz w:val="22"/>
          <w:szCs w:val="28"/>
          <w:highlight w:val="none"/>
        </w:rPr>
      </w:pPr>
      <w:bookmarkStart w:id="276" w:name="_Toc30376"/>
      <w:bookmarkStart w:id="277" w:name="_Toc24542"/>
      <w:bookmarkStart w:id="278" w:name="_Toc20135"/>
      <w:bookmarkStart w:id="279" w:name="_Toc18687"/>
      <w:bookmarkStart w:id="280" w:name="_Toc25753"/>
      <w:r>
        <w:rPr>
          <w:rFonts w:hint="eastAsia" w:ascii="宋体" w:hAnsi="宋体"/>
          <w:b/>
          <w:color w:val="auto"/>
          <w:sz w:val="22"/>
          <w:szCs w:val="28"/>
          <w:highlight w:val="none"/>
        </w:rPr>
        <w:t>3.7投标文件的编制</w:t>
      </w:r>
      <w:bookmarkEnd w:id="276"/>
      <w:bookmarkEnd w:id="277"/>
      <w:bookmarkEnd w:id="278"/>
      <w:bookmarkEnd w:id="279"/>
      <w:bookmarkEnd w:id="280"/>
    </w:p>
    <w:p w14:paraId="583FE92D">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26E14F19">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3.7.2 投标文件应当对招标文件有关工期、投标有效期、质量要求、技术标准和要求、招标范围等实质性内容作出响应。</w:t>
      </w:r>
    </w:p>
    <w:p w14:paraId="2CA42D34">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3.7.3投标人应使用广州公共资源交易中心的投标文件管理软件进行投标文件的合成、电子签章及加密打包工作，所有电子投标文件不能进行压缩处理。电子投标文件统一采用网络上传的形式，投标人需登录广州公共资源交易中心网站投标人服务区在递交投标文件截止时间前完整上传至广州公共资源交易中心的信息系统。</w:t>
      </w:r>
    </w:p>
    <w:p w14:paraId="3166E36E">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3.7.4 投标人应使用依法设立的电子认证服务机构签发的电子签名认证证书对电子投标文件进行电子签章。该电子签章与盖单位公章具有同等的法律效力。</w:t>
      </w:r>
    </w:p>
    <w:p w14:paraId="532FCDFF">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3.7.5投标文件全部采用电子文档，投标文件所附证书证件均为原件扫描件或电子证书，按招标文件要求在相应位置盖单位公章或用单位数字证书加盖电子公章。签字或盖章的具体要求见投标人须知前附表。</w:t>
      </w:r>
    </w:p>
    <w:p w14:paraId="6BFEA413">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3.7.6投标文件应按照广州公共资源交易平台关于全流程电子化项目的相关指南进行编制。如因不按上述编排要求编制而所引起系统无法检索、读取相关信息时，其后果将由投标人自行承担。</w:t>
      </w:r>
    </w:p>
    <w:p w14:paraId="22E95115">
      <w:pPr>
        <w:pStyle w:val="4"/>
        <w:spacing w:line="360" w:lineRule="auto"/>
        <w:rPr>
          <w:rFonts w:hint="eastAsia" w:ascii="宋体" w:hAnsi="宋体" w:eastAsia="宋体"/>
          <w:b/>
          <w:color w:val="auto"/>
          <w:sz w:val="28"/>
          <w:szCs w:val="36"/>
          <w:highlight w:val="none"/>
        </w:rPr>
      </w:pPr>
      <w:bookmarkStart w:id="281" w:name="_Toc27112"/>
      <w:bookmarkStart w:id="282" w:name="_Toc39698059"/>
      <w:bookmarkStart w:id="283" w:name="_Toc32450"/>
      <w:bookmarkStart w:id="284" w:name="_Toc21819"/>
      <w:bookmarkStart w:id="285" w:name="_Toc19076"/>
      <w:bookmarkStart w:id="286" w:name="_Toc229408466"/>
      <w:bookmarkStart w:id="287" w:name="_Toc16705"/>
      <w:bookmarkStart w:id="288" w:name="_Toc12584"/>
      <w:r>
        <w:rPr>
          <w:rFonts w:hint="eastAsia" w:ascii="宋体" w:hAnsi="宋体" w:eastAsia="宋体"/>
          <w:b/>
          <w:color w:val="auto"/>
          <w:sz w:val="28"/>
          <w:szCs w:val="36"/>
          <w:highlight w:val="none"/>
        </w:rPr>
        <w:t>4. 投标</w:t>
      </w:r>
      <w:bookmarkEnd w:id="281"/>
      <w:bookmarkEnd w:id="282"/>
      <w:bookmarkEnd w:id="283"/>
      <w:bookmarkEnd w:id="284"/>
      <w:bookmarkEnd w:id="285"/>
      <w:bookmarkEnd w:id="286"/>
      <w:bookmarkEnd w:id="287"/>
      <w:bookmarkEnd w:id="288"/>
    </w:p>
    <w:p w14:paraId="6BD866EC">
      <w:pPr>
        <w:spacing w:line="360" w:lineRule="auto"/>
        <w:outlineLvl w:val="2"/>
        <w:rPr>
          <w:rFonts w:hint="eastAsia" w:ascii="宋体" w:hAnsi="宋体"/>
          <w:b/>
          <w:color w:val="auto"/>
          <w:sz w:val="22"/>
          <w:szCs w:val="28"/>
          <w:highlight w:val="none"/>
        </w:rPr>
      </w:pPr>
      <w:bookmarkStart w:id="289" w:name="_Toc1088"/>
      <w:bookmarkStart w:id="290" w:name="_Toc1534"/>
      <w:bookmarkStart w:id="291" w:name="_Toc20341"/>
      <w:bookmarkStart w:id="292" w:name="_Toc8885"/>
      <w:bookmarkStart w:id="293" w:name="_Toc4509"/>
      <w:r>
        <w:rPr>
          <w:rFonts w:hint="eastAsia" w:ascii="宋体" w:hAnsi="宋体"/>
          <w:b/>
          <w:color w:val="auto"/>
          <w:sz w:val="22"/>
          <w:szCs w:val="28"/>
          <w:highlight w:val="none"/>
        </w:rPr>
        <w:t>4.1投标文件的密封和标识</w:t>
      </w:r>
      <w:bookmarkEnd w:id="289"/>
      <w:bookmarkEnd w:id="290"/>
      <w:bookmarkEnd w:id="291"/>
      <w:bookmarkEnd w:id="292"/>
      <w:bookmarkEnd w:id="293"/>
    </w:p>
    <w:p w14:paraId="67F152D5">
      <w:pPr>
        <w:spacing w:line="360" w:lineRule="auto"/>
        <w:ind w:firstLine="440" w:firstLineChars="200"/>
        <w:rPr>
          <w:rFonts w:hint="eastAsia" w:ascii="宋体" w:hAnsi="宋体"/>
          <w:color w:val="auto"/>
          <w:sz w:val="22"/>
          <w:szCs w:val="28"/>
          <w:highlight w:val="none"/>
        </w:rPr>
      </w:pPr>
      <w:bookmarkStart w:id="294" w:name="_Toc152042333"/>
      <w:bookmarkStart w:id="295" w:name="_Toc144974525"/>
      <w:bookmarkStart w:id="296" w:name="_Toc258411297"/>
      <w:bookmarkStart w:id="297" w:name="_Toc152045557"/>
      <w:r>
        <w:rPr>
          <w:rFonts w:hint="eastAsia" w:ascii="宋体" w:hAnsi="宋体"/>
          <w:color w:val="auto"/>
          <w:sz w:val="22"/>
          <w:szCs w:val="28"/>
          <w:highlight w:val="none"/>
        </w:rPr>
        <w:t>4.1.1 投标人应当按照招标文件和电子招标投标交易平台的要求加密网上递交的电子投标文件，具体要求见投标人须知前附表。</w:t>
      </w:r>
    </w:p>
    <w:p w14:paraId="3003B32F">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 xml:space="preserve">4.1.2 </w:t>
      </w:r>
      <w:r>
        <w:rPr>
          <w:rFonts w:hint="eastAsia" w:ascii="宋体" w:hAnsi="宋体"/>
          <w:b/>
          <w:bCs/>
          <w:color w:val="auto"/>
          <w:sz w:val="22"/>
          <w:szCs w:val="28"/>
          <w:highlight w:val="none"/>
        </w:rPr>
        <w:t>投标文件备用电子光盘包装于一袋（包），并在密封袋封口处由投标单位法定代表人或委托代理人签名并加盖投标单位公章。</w:t>
      </w:r>
    </w:p>
    <w:p w14:paraId="18FDEAF1">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封套上应写明的内容见投标人须知前附表。</w:t>
      </w:r>
    </w:p>
    <w:p w14:paraId="602AE35C">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未按本项要求密封和加写标记的投标文件备用电子光盘，招标人不予受理。</w:t>
      </w:r>
    </w:p>
    <w:p w14:paraId="68612905">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 xml:space="preserve">4.1.3 </w:t>
      </w:r>
      <w:r>
        <w:rPr>
          <w:rFonts w:hint="eastAsia" w:ascii="宋体" w:hAnsi="宋体"/>
          <w:b/>
          <w:bCs/>
          <w:color w:val="auto"/>
          <w:sz w:val="22"/>
          <w:szCs w:val="28"/>
          <w:highlight w:val="none"/>
        </w:rPr>
        <w:t>投标人也可不递交投标文件备用电子光盘，但当因投标人原因解密失败且未递交备用电子光盘或递交的备用电子光盘不能读取或导入的，视为未递交投标文件或撤回投标文件。</w:t>
      </w:r>
    </w:p>
    <w:p w14:paraId="726F9488">
      <w:pPr>
        <w:spacing w:line="360" w:lineRule="auto"/>
        <w:outlineLvl w:val="2"/>
        <w:rPr>
          <w:rFonts w:hint="eastAsia" w:ascii="宋体" w:hAnsi="宋体"/>
          <w:color w:val="auto"/>
          <w:sz w:val="22"/>
          <w:szCs w:val="28"/>
          <w:highlight w:val="none"/>
        </w:rPr>
      </w:pPr>
      <w:bookmarkStart w:id="298" w:name="_Toc16906"/>
      <w:bookmarkStart w:id="299" w:name="_Toc9728"/>
      <w:bookmarkStart w:id="300" w:name="_Toc28986"/>
      <w:bookmarkStart w:id="301" w:name="_Toc1613"/>
      <w:bookmarkStart w:id="302" w:name="_Toc5077"/>
      <w:r>
        <w:rPr>
          <w:rFonts w:hint="eastAsia" w:ascii="宋体" w:hAnsi="宋体"/>
          <w:b/>
          <w:color w:val="auto"/>
          <w:sz w:val="22"/>
          <w:szCs w:val="28"/>
          <w:highlight w:val="none"/>
        </w:rPr>
        <w:t>4.2 投标文件的递交</w:t>
      </w:r>
      <w:bookmarkEnd w:id="294"/>
      <w:bookmarkEnd w:id="295"/>
      <w:bookmarkEnd w:id="296"/>
      <w:bookmarkEnd w:id="297"/>
      <w:bookmarkEnd w:id="298"/>
      <w:bookmarkEnd w:id="299"/>
      <w:bookmarkEnd w:id="300"/>
      <w:bookmarkEnd w:id="301"/>
      <w:bookmarkEnd w:id="302"/>
    </w:p>
    <w:p w14:paraId="3DA21EF1">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4.2.1 投标人应在投标人须知前附表规定的投标截止时间前递交投标文件。</w:t>
      </w:r>
    </w:p>
    <w:p w14:paraId="0F89CF02">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4.2.2 投标人通过下载招标文件的电子招标投标交易平台递交电子投标文件。</w:t>
      </w:r>
    </w:p>
    <w:p w14:paraId="34D72FD5">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4.2.3 除投标人须知前附表另有规定外，投标人所递交的投标文件不予退还。</w:t>
      </w:r>
    </w:p>
    <w:p w14:paraId="3E52C962">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4.2.4 投标人完成电子投标文件上传后，电子招标投标交易平台即时向投标人发出递交回执通知。递交时间以递交回执通知载明的传输完成时间为准。</w:t>
      </w:r>
    </w:p>
    <w:p w14:paraId="090487A0">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4.2.5 逾期送达的投标文件，电子招标投标交易平台将予以拒收。</w:t>
      </w:r>
    </w:p>
    <w:p w14:paraId="0DD3C27F">
      <w:pPr>
        <w:spacing w:line="360" w:lineRule="auto"/>
        <w:outlineLvl w:val="2"/>
        <w:rPr>
          <w:rFonts w:hint="eastAsia" w:ascii="宋体" w:hAnsi="宋体"/>
          <w:b/>
          <w:color w:val="auto"/>
          <w:sz w:val="22"/>
          <w:szCs w:val="28"/>
          <w:highlight w:val="none"/>
        </w:rPr>
      </w:pPr>
      <w:bookmarkStart w:id="303" w:name="_Toc152042334"/>
      <w:bookmarkStart w:id="304" w:name="_Toc26646"/>
      <w:bookmarkStart w:id="305" w:name="_Toc258411298"/>
      <w:bookmarkStart w:id="306" w:name="_Toc152045558"/>
      <w:bookmarkStart w:id="307" w:name="_Toc32586"/>
      <w:bookmarkStart w:id="308" w:name="_Toc15287"/>
      <w:bookmarkStart w:id="309" w:name="_Toc27980"/>
      <w:bookmarkStart w:id="310" w:name="_Toc21199"/>
      <w:bookmarkStart w:id="311" w:name="_Toc144974526"/>
      <w:r>
        <w:rPr>
          <w:rFonts w:hint="eastAsia" w:ascii="宋体" w:hAnsi="宋体"/>
          <w:b/>
          <w:color w:val="auto"/>
          <w:sz w:val="22"/>
          <w:szCs w:val="28"/>
          <w:highlight w:val="none"/>
        </w:rPr>
        <w:t>4.3 投标文件的修改与撤回</w:t>
      </w:r>
      <w:bookmarkEnd w:id="303"/>
      <w:bookmarkEnd w:id="304"/>
      <w:bookmarkEnd w:id="305"/>
      <w:bookmarkEnd w:id="306"/>
      <w:bookmarkEnd w:id="307"/>
      <w:bookmarkEnd w:id="308"/>
      <w:bookmarkEnd w:id="309"/>
      <w:bookmarkEnd w:id="310"/>
      <w:bookmarkEnd w:id="311"/>
    </w:p>
    <w:p w14:paraId="0FD92C8D">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4.3.1在本章第4.2.1项规定的电子投标文件截止时间前，投标人可以修改已递交的电子投标文件。</w:t>
      </w:r>
    </w:p>
    <w:p w14:paraId="198EC95C">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4.3.2 投标人对修改好的电子投标文件必须在本章投标人须知前附表第4.2.1项规定的电子投标文件提交截止时间前重新上传，否则交易平台将予以拒收。</w:t>
      </w:r>
    </w:p>
    <w:p w14:paraId="15CF8160">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4.3.3 在本章投标人须知前附表第4.2.1项规定的电子投标文件提交截止时间后，投标人将不被允许修改其电子投标文件。</w:t>
      </w:r>
    </w:p>
    <w:p w14:paraId="54A30722">
      <w:pPr>
        <w:pStyle w:val="4"/>
        <w:spacing w:line="360" w:lineRule="auto"/>
        <w:rPr>
          <w:rFonts w:hint="eastAsia" w:ascii="宋体" w:hAnsi="宋体" w:eastAsia="宋体"/>
          <w:b/>
          <w:color w:val="auto"/>
          <w:sz w:val="28"/>
          <w:szCs w:val="36"/>
          <w:highlight w:val="none"/>
        </w:rPr>
      </w:pPr>
      <w:bookmarkStart w:id="312" w:name="_Toc39698060"/>
      <w:bookmarkStart w:id="313" w:name="_Toc222033836"/>
      <w:bookmarkStart w:id="314" w:name="_Toc144974527"/>
      <w:bookmarkStart w:id="315" w:name="_Toc222029485"/>
      <w:bookmarkStart w:id="316" w:name="_Toc17281"/>
      <w:bookmarkStart w:id="317" w:name="_Toc229408467"/>
      <w:bookmarkStart w:id="318" w:name="_Toc222030987"/>
      <w:bookmarkStart w:id="319" w:name="_Toc168476077"/>
      <w:bookmarkStart w:id="320" w:name="_Toc229305345"/>
      <w:bookmarkStart w:id="321" w:name="_Toc736"/>
      <w:bookmarkStart w:id="322" w:name="_Toc168475674"/>
      <w:bookmarkStart w:id="323" w:name="_Toc222032654"/>
      <w:bookmarkStart w:id="324" w:name="_Toc10177"/>
      <w:bookmarkStart w:id="325" w:name="_Toc17086"/>
      <w:bookmarkStart w:id="326" w:name="_Toc20466"/>
      <w:bookmarkStart w:id="327" w:name="_Toc25016"/>
      <w:bookmarkStart w:id="328" w:name="_Toc221950189"/>
      <w:r>
        <w:rPr>
          <w:rFonts w:hint="eastAsia" w:ascii="宋体" w:hAnsi="宋体" w:eastAsia="宋体"/>
          <w:b/>
          <w:color w:val="auto"/>
          <w:sz w:val="28"/>
          <w:szCs w:val="36"/>
          <w:highlight w:val="none"/>
        </w:rPr>
        <w:t>5. 开标</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0D55733B">
      <w:pPr>
        <w:spacing w:line="360" w:lineRule="auto"/>
        <w:outlineLvl w:val="2"/>
        <w:rPr>
          <w:rFonts w:hint="eastAsia" w:ascii="宋体" w:hAnsi="宋体"/>
          <w:b/>
          <w:color w:val="auto"/>
          <w:sz w:val="22"/>
          <w:szCs w:val="28"/>
          <w:highlight w:val="none"/>
        </w:rPr>
      </w:pPr>
      <w:bookmarkStart w:id="329" w:name="_Toc10357"/>
      <w:bookmarkStart w:id="330" w:name="_Toc7305"/>
      <w:bookmarkStart w:id="331" w:name="_Toc31254"/>
      <w:bookmarkStart w:id="332" w:name="_Toc30177"/>
      <w:bookmarkStart w:id="333" w:name="_Toc10379"/>
      <w:bookmarkStart w:id="334" w:name="_Toc221950192"/>
      <w:r>
        <w:rPr>
          <w:rFonts w:hint="eastAsia" w:ascii="宋体" w:hAnsi="宋体"/>
          <w:b/>
          <w:color w:val="auto"/>
          <w:sz w:val="22"/>
          <w:szCs w:val="28"/>
          <w:highlight w:val="none"/>
        </w:rPr>
        <w:t>5.1开标时间和地点</w:t>
      </w:r>
      <w:bookmarkEnd w:id="329"/>
      <w:bookmarkEnd w:id="330"/>
      <w:bookmarkEnd w:id="331"/>
      <w:bookmarkEnd w:id="332"/>
      <w:bookmarkEnd w:id="333"/>
    </w:p>
    <w:bookmarkEnd w:id="334"/>
    <w:p w14:paraId="223243AD">
      <w:pPr>
        <w:snapToGrid w:val="0"/>
        <w:spacing w:line="400" w:lineRule="exact"/>
        <w:ind w:firstLine="376" w:firstLineChars="171"/>
        <w:textAlignment w:val="baseline"/>
        <w:rPr>
          <w:color w:val="auto"/>
          <w:sz w:val="22"/>
          <w:szCs w:val="28"/>
          <w:highlight w:val="none"/>
        </w:rPr>
      </w:pPr>
      <w:bookmarkStart w:id="335" w:name="_Toc229305346"/>
      <w:bookmarkStart w:id="336" w:name="_Toc222029486"/>
      <w:bookmarkStart w:id="337" w:name="_Toc144974530"/>
      <w:bookmarkStart w:id="338" w:name="_Toc221950200"/>
      <w:bookmarkStart w:id="339" w:name="_Toc222032655"/>
      <w:bookmarkStart w:id="340" w:name="_Toc168475677"/>
      <w:bookmarkStart w:id="341" w:name="_Toc168476080"/>
      <w:bookmarkStart w:id="342" w:name="_Toc222033837"/>
      <w:bookmarkStart w:id="343" w:name="_Toc229408468"/>
      <w:bookmarkStart w:id="344" w:name="_Toc222030988"/>
      <w:r>
        <w:rPr>
          <w:rFonts w:hint="eastAsia"/>
          <w:color w:val="auto"/>
          <w:sz w:val="22"/>
          <w:szCs w:val="28"/>
          <w:highlight w:val="none"/>
        </w:rPr>
        <w:t>招标人在本章投标人须知前附表第4.2.1项规定的投标截止时间（开标时间）和投标人须知前附表规定的地点公开开标，并邀请所有投标人的法定代表人或其委托代理人准时参加，投标人不参加开标会的视作同意开标结果，若投标人参加开标会的，投标人的法定代表人或其委托代理人必须是各投标人代表，投标人代表凭有效身份证原件准时参加开标会（逾期不予进场）。</w:t>
      </w:r>
    </w:p>
    <w:p w14:paraId="7D5B01E3">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投标人代表不按规定凭有效身份证原件准时出席开标会议并且进行电子签到的视为投标人默认开标结果，同时视作放弃开标异议的权利。</w:t>
      </w:r>
    </w:p>
    <w:p w14:paraId="27644A97">
      <w:pPr>
        <w:pStyle w:val="5"/>
        <w:snapToGrid w:val="0"/>
        <w:jc w:val="both"/>
        <w:textAlignment w:val="baseline"/>
        <w:rPr>
          <w:rFonts w:hint="eastAsia"/>
          <w:color w:val="auto"/>
          <w:sz w:val="32"/>
          <w:szCs w:val="28"/>
          <w:highlight w:val="none"/>
        </w:rPr>
      </w:pPr>
      <w:bookmarkStart w:id="345" w:name="_Toc13609754"/>
      <w:bookmarkStart w:id="346" w:name="_Toc12153"/>
      <w:bookmarkStart w:id="347" w:name="_Toc25029"/>
      <w:bookmarkStart w:id="348" w:name="_Toc9958"/>
      <w:bookmarkStart w:id="349" w:name="_Toc24564"/>
      <w:bookmarkStart w:id="350" w:name="_Toc16112"/>
      <w:bookmarkStart w:id="351" w:name="_Toc21619"/>
      <w:bookmarkStart w:id="352" w:name="_Toc27462"/>
      <w:bookmarkStart w:id="353" w:name="_Toc22955"/>
      <w:bookmarkStart w:id="354" w:name="_Toc24786"/>
      <w:bookmarkStart w:id="355" w:name="_Toc17860"/>
      <w:bookmarkStart w:id="356" w:name="_Toc8050"/>
      <w:r>
        <w:rPr>
          <w:rFonts w:hint="eastAsia"/>
          <w:bCs w:val="0"/>
          <w:color w:val="auto"/>
          <w:sz w:val="22"/>
          <w:szCs w:val="28"/>
          <w:highlight w:val="none"/>
        </w:rPr>
        <w:t>5.2 开标程序</w:t>
      </w:r>
      <w:bookmarkEnd w:id="345"/>
      <w:bookmarkEnd w:id="346"/>
      <w:bookmarkEnd w:id="347"/>
      <w:bookmarkEnd w:id="348"/>
      <w:bookmarkEnd w:id="349"/>
      <w:bookmarkEnd w:id="350"/>
      <w:bookmarkEnd w:id="351"/>
      <w:bookmarkEnd w:id="352"/>
      <w:bookmarkEnd w:id="353"/>
      <w:bookmarkEnd w:id="354"/>
      <w:bookmarkEnd w:id="355"/>
      <w:bookmarkEnd w:id="356"/>
    </w:p>
    <w:p w14:paraId="4D8E56B3">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5.2.1 在投标截止时间后 30 分钟内，投标人通过递交投标文件的交易平台对已递交的电子投标文件进行解密。投标人完成解密后，再由招标人或招标代理机构进行解密。解密完成后，公布招标项目名称、投标人名称等相关信息。未在规定时间内解密的投标文件不参与开标、评标。</w:t>
      </w:r>
    </w:p>
    <w:p w14:paraId="68A0F4AE">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5.2.2 截标后，开标开始时间因故推迟的，相关评标信息仍以原定的开标开始时间的信息为准。</w:t>
      </w:r>
    </w:p>
    <w:p w14:paraId="01D7A762">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5.2.3 投标截止时间前未完成投标文件传输的或因投标人之外的原因造成投标文件未解密且未按要求递交备用电子光盘的，视为投标人撤回投标文件。因投标人原因造成投标文件未解密或未在规定的时间内解密的，视为撤销其投标文件。</w:t>
      </w:r>
      <w:r>
        <w:rPr>
          <w:rFonts w:hint="eastAsia" w:ascii="宋体" w:hAnsi="宋体" w:cs="宋体"/>
          <w:color w:val="auto"/>
          <w:szCs w:val="21"/>
          <w:highlight w:val="none"/>
        </w:rPr>
        <w:t>（递交备用电子光盘的人员必须为投标人的法定代表人或其委托代理人）。</w:t>
      </w:r>
    </w:p>
    <w:p w14:paraId="493D0ADB">
      <w:pPr>
        <w:snapToGrid w:val="0"/>
        <w:spacing w:line="400" w:lineRule="exact"/>
        <w:ind w:firstLine="376" w:firstLineChars="171"/>
        <w:textAlignment w:val="baseline"/>
        <w:rPr>
          <w:color w:val="auto"/>
          <w:sz w:val="22"/>
          <w:szCs w:val="28"/>
          <w:highlight w:val="none"/>
        </w:rPr>
      </w:pPr>
      <w:r>
        <w:rPr>
          <w:rFonts w:hint="eastAsia"/>
          <w:color w:val="auto"/>
          <w:sz w:val="22"/>
          <w:szCs w:val="28"/>
          <w:highlight w:val="none"/>
        </w:rPr>
        <w:t>5.2.4 开标方式采用电子开标和现场开标两种模式，投标人可选择在开标室参与开标或准时在线参加开标，也可不参加开标。参加在线开标的投标人录交易平台实时查看开标、唱标情况。交易平台生成开标记录并向社会公众公布。</w:t>
      </w:r>
    </w:p>
    <w:p w14:paraId="45D64C80">
      <w:pPr>
        <w:snapToGrid w:val="0"/>
        <w:spacing w:line="400" w:lineRule="exact"/>
        <w:ind w:firstLine="376" w:firstLineChars="171"/>
        <w:textAlignment w:val="baseline"/>
        <w:rPr>
          <w:color w:val="auto"/>
          <w:szCs w:val="28"/>
          <w:highlight w:val="none"/>
        </w:rPr>
      </w:pPr>
      <w:r>
        <w:rPr>
          <w:rFonts w:hint="eastAsia"/>
          <w:color w:val="auto"/>
          <w:sz w:val="22"/>
          <w:szCs w:val="28"/>
          <w:highlight w:val="none"/>
        </w:rPr>
        <w:t>5.2.5</w:t>
      </w:r>
      <w:r>
        <w:rPr>
          <w:rFonts w:hint="eastAsia"/>
          <w:b/>
          <w:bCs/>
          <w:color w:val="auto"/>
          <w:sz w:val="22"/>
          <w:szCs w:val="28"/>
          <w:highlight w:val="none"/>
        </w:rPr>
        <w:t>开标时，两个（含两个）以上的投标人加密打包投标文件电脑机器特征码一致的，不参与下一程序，并由评标委员会否决其投标。</w:t>
      </w:r>
    </w:p>
    <w:p w14:paraId="4941AC48">
      <w:pPr>
        <w:pStyle w:val="5"/>
        <w:snapToGrid w:val="0"/>
        <w:jc w:val="left"/>
        <w:textAlignment w:val="baseline"/>
        <w:rPr>
          <w:rFonts w:hint="eastAsia"/>
          <w:color w:val="auto"/>
          <w:sz w:val="32"/>
          <w:szCs w:val="28"/>
          <w:highlight w:val="none"/>
        </w:rPr>
      </w:pPr>
      <w:bookmarkStart w:id="357" w:name="_Toc14478"/>
      <w:bookmarkStart w:id="358" w:name="_Toc24871"/>
      <w:bookmarkStart w:id="359" w:name="_Toc8640"/>
      <w:bookmarkStart w:id="360" w:name="_Toc5702"/>
      <w:bookmarkStart w:id="361" w:name="_Toc24665"/>
      <w:bookmarkStart w:id="362" w:name="_Toc13648"/>
      <w:bookmarkStart w:id="363" w:name="_Toc30668"/>
      <w:bookmarkStart w:id="364" w:name="_Toc16598"/>
      <w:bookmarkStart w:id="365" w:name="_Toc13609755"/>
      <w:bookmarkStart w:id="366" w:name="_Toc16177"/>
      <w:bookmarkStart w:id="367" w:name="_Toc23428"/>
      <w:bookmarkStart w:id="368" w:name="_Toc22566"/>
      <w:r>
        <w:rPr>
          <w:rFonts w:hint="eastAsia"/>
          <w:bCs w:val="0"/>
          <w:color w:val="auto"/>
          <w:sz w:val="22"/>
          <w:szCs w:val="28"/>
          <w:highlight w:val="none"/>
        </w:rPr>
        <w:t>5.3 开标异议</w:t>
      </w:r>
      <w:bookmarkEnd w:id="357"/>
      <w:bookmarkEnd w:id="358"/>
      <w:bookmarkEnd w:id="359"/>
      <w:bookmarkEnd w:id="360"/>
      <w:bookmarkEnd w:id="361"/>
      <w:bookmarkEnd w:id="362"/>
      <w:bookmarkEnd w:id="363"/>
      <w:bookmarkEnd w:id="364"/>
      <w:bookmarkEnd w:id="365"/>
      <w:bookmarkEnd w:id="366"/>
      <w:bookmarkEnd w:id="367"/>
      <w:bookmarkEnd w:id="368"/>
    </w:p>
    <w:p w14:paraId="777B2191">
      <w:pPr>
        <w:spacing w:line="360" w:lineRule="auto"/>
        <w:ind w:firstLine="440" w:firstLineChars="200"/>
        <w:rPr>
          <w:color w:val="auto"/>
          <w:sz w:val="22"/>
          <w:szCs w:val="28"/>
          <w:highlight w:val="none"/>
        </w:rPr>
      </w:pPr>
      <w:r>
        <w:rPr>
          <w:rFonts w:hint="eastAsia"/>
          <w:color w:val="auto"/>
          <w:sz w:val="22"/>
          <w:szCs w:val="28"/>
          <w:highlight w:val="none"/>
        </w:rPr>
        <w:t>5.3.1.参加现场开标的投标人对开标结果有异议的，应当在开标现场提出，招标人应当当场作出答复，并制作记录。</w:t>
      </w:r>
    </w:p>
    <w:p w14:paraId="49C3A898">
      <w:pPr>
        <w:spacing w:line="360" w:lineRule="auto"/>
        <w:ind w:firstLine="440" w:firstLineChars="200"/>
        <w:rPr>
          <w:color w:val="auto"/>
          <w:sz w:val="22"/>
          <w:szCs w:val="28"/>
          <w:highlight w:val="none"/>
        </w:rPr>
      </w:pPr>
      <w:r>
        <w:rPr>
          <w:rFonts w:hint="eastAsia"/>
          <w:color w:val="auto"/>
          <w:sz w:val="22"/>
          <w:szCs w:val="28"/>
          <w:highlight w:val="none"/>
        </w:rPr>
        <w:t>5.3.2.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2279EDD">
      <w:pPr>
        <w:spacing w:line="360" w:lineRule="auto"/>
        <w:ind w:firstLine="440" w:firstLineChars="200"/>
        <w:rPr>
          <w:rFonts w:hint="eastAsia" w:ascii="宋体" w:hAnsi="宋体"/>
          <w:b/>
          <w:color w:val="auto"/>
          <w:sz w:val="22"/>
          <w:szCs w:val="32"/>
          <w:highlight w:val="none"/>
        </w:rPr>
      </w:pPr>
      <w:r>
        <w:rPr>
          <w:rFonts w:hint="eastAsia"/>
          <w:color w:val="auto"/>
          <w:sz w:val="22"/>
          <w:szCs w:val="28"/>
          <w:highlight w:val="none"/>
        </w:rPr>
        <w:t>5.3.3.投标人未参加开标或在规定的时间内未提出异议的，视为对开标无异议。</w:t>
      </w:r>
    </w:p>
    <w:p w14:paraId="750687B5">
      <w:pPr>
        <w:pStyle w:val="4"/>
        <w:spacing w:line="360" w:lineRule="auto"/>
        <w:rPr>
          <w:rFonts w:hint="eastAsia" w:ascii="宋体" w:hAnsi="宋体" w:eastAsia="宋体"/>
          <w:b/>
          <w:color w:val="auto"/>
          <w:sz w:val="28"/>
          <w:szCs w:val="36"/>
          <w:highlight w:val="none"/>
        </w:rPr>
      </w:pPr>
      <w:bookmarkStart w:id="369" w:name="_Toc19433"/>
      <w:bookmarkStart w:id="370" w:name="_Toc5103"/>
      <w:bookmarkStart w:id="371" w:name="_Toc721"/>
      <w:bookmarkStart w:id="372" w:name="_Toc17586"/>
      <w:bookmarkStart w:id="373" w:name="_Toc6402"/>
      <w:r>
        <w:rPr>
          <w:rFonts w:hint="eastAsia" w:ascii="宋体" w:hAnsi="宋体" w:eastAsia="宋体"/>
          <w:b/>
          <w:color w:val="auto"/>
          <w:sz w:val="28"/>
          <w:szCs w:val="36"/>
          <w:highlight w:val="none"/>
        </w:rPr>
        <w:t>6. 评标</w:t>
      </w:r>
      <w:bookmarkEnd w:id="335"/>
      <w:bookmarkEnd w:id="336"/>
      <w:bookmarkEnd w:id="337"/>
      <w:bookmarkEnd w:id="338"/>
      <w:bookmarkEnd w:id="339"/>
      <w:bookmarkEnd w:id="340"/>
      <w:bookmarkEnd w:id="341"/>
      <w:bookmarkEnd w:id="342"/>
      <w:bookmarkEnd w:id="343"/>
      <w:bookmarkEnd w:id="344"/>
      <w:bookmarkEnd w:id="369"/>
      <w:bookmarkEnd w:id="370"/>
      <w:bookmarkEnd w:id="371"/>
      <w:bookmarkEnd w:id="372"/>
      <w:bookmarkEnd w:id="373"/>
    </w:p>
    <w:p w14:paraId="16911BAC">
      <w:pPr>
        <w:spacing w:line="360" w:lineRule="auto"/>
        <w:outlineLvl w:val="2"/>
        <w:rPr>
          <w:rFonts w:hint="eastAsia" w:ascii="宋体" w:hAnsi="宋体"/>
          <w:b/>
          <w:color w:val="auto"/>
          <w:sz w:val="22"/>
          <w:szCs w:val="28"/>
          <w:highlight w:val="none"/>
        </w:rPr>
      </w:pPr>
      <w:bookmarkStart w:id="374" w:name="_Toc152045563"/>
      <w:bookmarkStart w:id="375" w:name="_Toc27356"/>
      <w:bookmarkStart w:id="376" w:name="_Toc144974531"/>
      <w:bookmarkStart w:id="377" w:name="_Toc10361"/>
      <w:bookmarkStart w:id="378" w:name="_Toc29144"/>
      <w:bookmarkStart w:id="379" w:name="_Toc258411303"/>
      <w:bookmarkStart w:id="380" w:name="_Toc942"/>
      <w:bookmarkStart w:id="381" w:name="_Toc152042339"/>
      <w:bookmarkStart w:id="382" w:name="_Toc1635"/>
      <w:bookmarkStart w:id="383" w:name="_Toc222032656"/>
      <w:bookmarkStart w:id="384" w:name="_Toc168476084"/>
      <w:bookmarkStart w:id="385" w:name="_Toc222029487"/>
      <w:bookmarkStart w:id="386" w:name="_Toc229305347"/>
      <w:bookmarkStart w:id="387" w:name="_Toc144974534"/>
      <w:bookmarkStart w:id="388" w:name="_Toc221950208"/>
      <w:bookmarkStart w:id="389" w:name="_Toc222030989"/>
      <w:bookmarkStart w:id="390" w:name="_Toc168475681"/>
      <w:bookmarkStart w:id="391" w:name="_Toc222033838"/>
      <w:bookmarkStart w:id="392" w:name="_Toc229408469"/>
      <w:r>
        <w:rPr>
          <w:rFonts w:hint="eastAsia" w:ascii="宋体" w:hAnsi="宋体"/>
          <w:b/>
          <w:color w:val="auto"/>
          <w:sz w:val="22"/>
          <w:szCs w:val="28"/>
          <w:highlight w:val="none"/>
        </w:rPr>
        <w:t>6.1 评标委员会</w:t>
      </w:r>
      <w:bookmarkEnd w:id="374"/>
      <w:bookmarkEnd w:id="375"/>
      <w:bookmarkEnd w:id="376"/>
      <w:bookmarkEnd w:id="377"/>
      <w:bookmarkEnd w:id="378"/>
      <w:bookmarkEnd w:id="379"/>
      <w:bookmarkEnd w:id="380"/>
      <w:bookmarkEnd w:id="381"/>
      <w:bookmarkEnd w:id="382"/>
    </w:p>
    <w:p w14:paraId="57DF6522">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037A66A">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6.1.2 评标委员会成员有下列情形之一的，应当回避：</w:t>
      </w:r>
    </w:p>
    <w:p w14:paraId="61F7FAE9">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（1）招标人或投标人的主要负责人的近亲属；</w:t>
      </w:r>
    </w:p>
    <w:p w14:paraId="0161A4A6">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（2）项目主管部门或者行政监督部门的人员；</w:t>
      </w:r>
    </w:p>
    <w:p w14:paraId="19F62C4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（3）与投标人有经济利益关系，可能影响对投标公正评审的；</w:t>
      </w:r>
    </w:p>
    <w:p w14:paraId="140D6D93">
      <w:pPr>
        <w:spacing w:line="360" w:lineRule="auto"/>
        <w:ind w:firstLine="440"/>
        <w:rPr>
          <w:rFonts w:hint="eastAsia" w:ascii="宋体" w:hAnsi="宋体"/>
          <w:color w:val="auto"/>
          <w:sz w:val="22"/>
          <w:szCs w:val="28"/>
          <w:highlight w:val="none"/>
        </w:rPr>
      </w:pPr>
      <w:r>
        <w:rPr>
          <w:rFonts w:hint="eastAsia" w:ascii="宋体" w:hAnsi="宋体"/>
          <w:color w:val="auto"/>
          <w:sz w:val="22"/>
          <w:szCs w:val="28"/>
          <w:highlight w:val="none"/>
        </w:rPr>
        <w:t>（4）曾因在招标、评标以及其他与招标投标有关活动中从事违法行为而受过行政处罚或刑事处罚的。</w:t>
      </w:r>
    </w:p>
    <w:p w14:paraId="62314DD8">
      <w:pPr>
        <w:spacing w:line="360" w:lineRule="auto"/>
        <w:ind w:firstLine="440"/>
        <w:rPr>
          <w:rFonts w:hint="eastAsia" w:ascii="宋体" w:hAnsi="宋体"/>
          <w:color w:val="auto"/>
          <w:sz w:val="22"/>
          <w:szCs w:val="28"/>
          <w:highlight w:val="none"/>
        </w:rPr>
      </w:pPr>
      <w:r>
        <w:rPr>
          <w:rFonts w:hint="eastAsia" w:ascii="宋体" w:hAnsi="宋体"/>
          <w:color w:val="auto"/>
          <w:sz w:val="22"/>
          <w:szCs w:val="28"/>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8844AD3">
      <w:pPr>
        <w:pStyle w:val="9"/>
        <w:ind w:firstLine="440"/>
        <w:rPr>
          <w:color w:val="auto"/>
          <w:highlight w:val="none"/>
        </w:rPr>
      </w:pPr>
    </w:p>
    <w:p w14:paraId="2637394D">
      <w:pPr>
        <w:spacing w:line="360" w:lineRule="auto"/>
        <w:outlineLvl w:val="2"/>
        <w:rPr>
          <w:rFonts w:hint="eastAsia" w:ascii="宋体" w:hAnsi="宋体"/>
          <w:color w:val="auto"/>
          <w:sz w:val="22"/>
          <w:szCs w:val="28"/>
          <w:highlight w:val="none"/>
        </w:rPr>
      </w:pPr>
      <w:bookmarkStart w:id="393" w:name="_Toc13395"/>
      <w:bookmarkStart w:id="394" w:name="_Toc258411304"/>
      <w:bookmarkStart w:id="395" w:name="_Toc7"/>
      <w:bookmarkStart w:id="396" w:name="_Toc152045564"/>
      <w:bookmarkStart w:id="397" w:name="_Toc21336"/>
      <w:bookmarkStart w:id="398" w:name="_Toc144974532"/>
      <w:bookmarkStart w:id="399" w:name="_Toc21599"/>
      <w:bookmarkStart w:id="400" w:name="_Toc9352"/>
      <w:bookmarkStart w:id="401" w:name="_Toc152042340"/>
      <w:r>
        <w:rPr>
          <w:rFonts w:hint="eastAsia" w:ascii="宋体" w:hAnsi="宋体"/>
          <w:b/>
          <w:color w:val="auto"/>
          <w:sz w:val="22"/>
          <w:szCs w:val="28"/>
          <w:highlight w:val="none"/>
        </w:rPr>
        <w:t>6.2 评标原则</w:t>
      </w:r>
      <w:bookmarkEnd w:id="393"/>
      <w:bookmarkEnd w:id="394"/>
      <w:bookmarkEnd w:id="395"/>
      <w:bookmarkEnd w:id="396"/>
      <w:bookmarkEnd w:id="397"/>
      <w:bookmarkEnd w:id="398"/>
      <w:bookmarkEnd w:id="399"/>
      <w:bookmarkEnd w:id="400"/>
      <w:bookmarkEnd w:id="401"/>
      <w:r>
        <w:rPr>
          <w:rFonts w:ascii="宋体" w:hAnsi="宋体"/>
          <w:color w:val="auto"/>
          <w:sz w:val="22"/>
          <w:szCs w:val="28"/>
          <w:highlight w:val="none"/>
        </w:rPr>
        <w:tab/>
      </w:r>
    </w:p>
    <w:p w14:paraId="2F9DFEBD">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评标活动遵循公平、公正、科学和择优的原则。</w:t>
      </w:r>
    </w:p>
    <w:p w14:paraId="5B42623D">
      <w:pPr>
        <w:spacing w:line="360" w:lineRule="auto"/>
        <w:outlineLvl w:val="2"/>
        <w:rPr>
          <w:rFonts w:hint="eastAsia" w:ascii="宋体" w:hAnsi="宋体"/>
          <w:b/>
          <w:color w:val="auto"/>
          <w:sz w:val="22"/>
          <w:szCs w:val="28"/>
          <w:highlight w:val="none"/>
        </w:rPr>
      </w:pPr>
      <w:bookmarkStart w:id="402" w:name="_Toc258411305"/>
      <w:bookmarkStart w:id="403" w:name="_Toc7336"/>
      <w:bookmarkStart w:id="404" w:name="_Toc30226"/>
      <w:bookmarkStart w:id="405" w:name="_Toc25995"/>
      <w:bookmarkStart w:id="406" w:name="_Toc27257"/>
      <w:bookmarkStart w:id="407" w:name="_Toc152045565"/>
      <w:bookmarkStart w:id="408" w:name="_Toc144974533"/>
      <w:bookmarkStart w:id="409" w:name="_Toc6350"/>
      <w:bookmarkStart w:id="410" w:name="_Toc152042341"/>
      <w:r>
        <w:rPr>
          <w:rFonts w:hint="eastAsia" w:ascii="宋体" w:hAnsi="宋体"/>
          <w:b/>
          <w:color w:val="auto"/>
          <w:sz w:val="22"/>
          <w:szCs w:val="28"/>
          <w:highlight w:val="none"/>
        </w:rPr>
        <w:t>6.3 评标</w:t>
      </w:r>
      <w:bookmarkEnd w:id="402"/>
      <w:bookmarkEnd w:id="403"/>
      <w:bookmarkEnd w:id="404"/>
      <w:bookmarkEnd w:id="405"/>
      <w:bookmarkEnd w:id="406"/>
      <w:bookmarkEnd w:id="407"/>
      <w:bookmarkEnd w:id="408"/>
      <w:bookmarkEnd w:id="409"/>
      <w:bookmarkEnd w:id="410"/>
    </w:p>
    <w:p w14:paraId="1CBFA63D">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6.3.1评标委员会按照第三章“评标办法”规定的方法、评审因素、标准和程序对投标文件进行评审。第三章“评标办法”没有规定的方法、评审因素和标准，不作为评标依据。</w:t>
      </w:r>
    </w:p>
    <w:p w14:paraId="7F593119">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6.3.2评标完成后，评标委员会应当向招标人提交书面评标报告和中标候选人名单。评标委员会推荐中标候选人的人数见投标人须知前附表。</w:t>
      </w:r>
    </w:p>
    <w:p w14:paraId="1BBD7C1A">
      <w:pPr>
        <w:pStyle w:val="4"/>
        <w:spacing w:line="360" w:lineRule="auto"/>
        <w:rPr>
          <w:rFonts w:hint="eastAsia" w:ascii="宋体" w:hAnsi="宋体" w:eastAsia="宋体"/>
          <w:b/>
          <w:color w:val="auto"/>
          <w:sz w:val="28"/>
          <w:highlight w:val="none"/>
        </w:rPr>
      </w:pPr>
      <w:bookmarkStart w:id="411" w:name="_Toc20984"/>
      <w:bookmarkStart w:id="412" w:name="_Toc5949"/>
      <w:bookmarkStart w:id="413" w:name="_Toc14236"/>
      <w:bookmarkStart w:id="414" w:name="_Toc39698061"/>
      <w:bookmarkStart w:id="415" w:name="_Toc16373"/>
      <w:bookmarkStart w:id="416" w:name="_Toc32700"/>
      <w:bookmarkStart w:id="417" w:name="_Toc10611"/>
      <w:r>
        <w:rPr>
          <w:rFonts w:hint="eastAsia" w:ascii="宋体" w:hAnsi="宋体" w:eastAsia="宋体"/>
          <w:b/>
          <w:color w:val="auto"/>
          <w:sz w:val="28"/>
          <w:szCs w:val="36"/>
          <w:highlight w:val="none"/>
        </w:rPr>
        <w:t>7. 合同授予</w:t>
      </w:r>
      <w:bookmarkEnd w:id="383"/>
      <w:bookmarkEnd w:id="384"/>
      <w:bookmarkEnd w:id="385"/>
      <w:bookmarkEnd w:id="386"/>
      <w:bookmarkEnd w:id="387"/>
      <w:bookmarkEnd w:id="388"/>
      <w:bookmarkEnd w:id="389"/>
      <w:bookmarkEnd w:id="390"/>
      <w:bookmarkEnd w:id="391"/>
      <w:bookmarkEnd w:id="392"/>
      <w:bookmarkEnd w:id="411"/>
      <w:bookmarkEnd w:id="412"/>
      <w:bookmarkEnd w:id="413"/>
      <w:bookmarkEnd w:id="414"/>
      <w:bookmarkEnd w:id="415"/>
      <w:bookmarkEnd w:id="416"/>
      <w:bookmarkEnd w:id="417"/>
      <w:bookmarkStart w:id="418" w:name="_Toc221950211"/>
    </w:p>
    <w:p w14:paraId="4F4EBA33">
      <w:pPr>
        <w:spacing w:line="360" w:lineRule="auto"/>
        <w:outlineLvl w:val="2"/>
        <w:rPr>
          <w:rFonts w:hint="eastAsia" w:ascii="宋体" w:hAnsi="宋体"/>
          <w:b/>
          <w:color w:val="auto"/>
          <w:sz w:val="22"/>
          <w:szCs w:val="28"/>
          <w:highlight w:val="none"/>
        </w:rPr>
      </w:pPr>
      <w:bookmarkStart w:id="419" w:name="_Toc10024"/>
      <w:bookmarkStart w:id="420" w:name="_Toc22121"/>
      <w:bookmarkStart w:id="421" w:name="_Toc2512"/>
      <w:bookmarkStart w:id="422" w:name="_Toc3632"/>
      <w:bookmarkStart w:id="423" w:name="_Toc13694"/>
      <w:r>
        <w:rPr>
          <w:rFonts w:hint="eastAsia" w:ascii="宋体" w:hAnsi="宋体"/>
          <w:b/>
          <w:color w:val="auto"/>
          <w:sz w:val="22"/>
          <w:szCs w:val="28"/>
          <w:highlight w:val="none"/>
        </w:rPr>
        <w:t>7.1定标方式</w:t>
      </w:r>
      <w:bookmarkEnd w:id="419"/>
      <w:bookmarkEnd w:id="420"/>
      <w:bookmarkEnd w:id="421"/>
      <w:bookmarkEnd w:id="422"/>
      <w:bookmarkEnd w:id="423"/>
    </w:p>
    <w:bookmarkEnd w:id="418"/>
    <w:p w14:paraId="1A4A1EAE">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7.1.1除投标人须知前附表规定评标委员会直接确定中标人外，招标人依据评标委员会推荐的中标候选人确定中标人，评标委员会推荐中标候选人的人数见投标人须知前附表。</w:t>
      </w:r>
    </w:p>
    <w:p w14:paraId="2887BF1F">
      <w:pPr>
        <w:spacing w:line="360" w:lineRule="auto"/>
        <w:ind w:firstLine="440" w:firstLineChars="200"/>
        <w:rPr>
          <w:rFonts w:hint="eastAsia" w:ascii="宋体" w:hAnsi="宋体"/>
          <w:color w:val="auto"/>
          <w:sz w:val="22"/>
          <w:szCs w:val="28"/>
          <w:highlight w:val="none"/>
        </w:rPr>
      </w:pPr>
      <w:r>
        <w:rPr>
          <w:rFonts w:hint="eastAsia" w:ascii="宋体" w:hAnsi="宋体"/>
          <w:color w:val="auto"/>
          <w:sz w:val="22"/>
          <w:szCs w:val="28"/>
          <w:highlight w:val="none"/>
        </w:rPr>
        <w:t>7.1.2招标人依据评标委员会推荐的中标候选人确定中标人的方式：招标人确定排名第一的中标候选人为中标人。排名第一的中标候选人放弃中标、因不可抗力不能履行合同，或者被查实存在影响中标结果的违法行为等情形，不符合中标条件的，招标人可以按照评标结果的中标候选人名单排序依次确定其他中标候选人为中标人，也可以重新招标。</w:t>
      </w:r>
    </w:p>
    <w:p w14:paraId="7ABBCDCB">
      <w:pPr>
        <w:spacing w:line="360" w:lineRule="auto"/>
        <w:outlineLvl w:val="2"/>
        <w:rPr>
          <w:rFonts w:hint="eastAsia" w:ascii="宋体" w:hAnsi="宋体"/>
          <w:b/>
          <w:color w:val="auto"/>
          <w:sz w:val="22"/>
          <w:szCs w:val="28"/>
          <w:highlight w:val="none"/>
        </w:rPr>
      </w:pPr>
      <w:bookmarkStart w:id="424" w:name="_Toc152042344"/>
      <w:bookmarkStart w:id="425" w:name="_Toc144974536"/>
      <w:bookmarkStart w:id="426" w:name="_Toc258411308"/>
      <w:bookmarkStart w:id="427" w:name="_Toc152045568"/>
      <w:bookmarkStart w:id="428" w:name="_Toc19510"/>
      <w:bookmarkStart w:id="429" w:name="_Toc3142"/>
      <w:bookmarkStart w:id="430" w:name="_Toc1882"/>
      <w:bookmarkStart w:id="431" w:name="_Toc3006"/>
      <w:bookmarkStart w:id="432" w:name="_Toc5805"/>
      <w:r>
        <w:rPr>
          <w:rFonts w:hint="eastAsia" w:ascii="宋体" w:hAnsi="宋体"/>
          <w:b/>
          <w:color w:val="auto"/>
          <w:sz w:val="22"/>
          <w:szCs w:val="28"/>
          <w:highlight w:val="none"/>
        </w:rPr>
        <w:t xml:space="preserve">7.2 </w:t>
      </w:r>
      <w:bookmarkEnd w:id="424"/>
      <w:bookmarkEnd w:id="425"/>
      <w:bookmarkEnd w:id="426"/>
      <w:bookmarkEnd w:id="427"/>
      <w:r>
        <w:rPr>
          <w:rFonts w:hint="eastAsia" w:ascii="宋体" w:hAnsi="宋体"/>
          <w:b/>
          <w:color w:val="auto"/>
          <w:sz w:val="22"/>
          <w:szCs w:val="28"/>
          <w:highlight w:val="none"/>
        </w:rPr>
        <w:t>中标候选人公示</w:t>
      </w:r>
      <w:bookmarkEnd w:id="428"/>
      <w:bookmarkEnd w:id="429"/>
      <w:bookmarkEnd w:id="430"/>
      <w:bookmarkEnd w:id="431"/>
      <w:bookmarkEnd w:id="432"/>
    </w:p>
    <w:p w14:paraId="11D2D42B">
      <w:pPr>
        <w:snapToGrid w:val="0"/>
        <w:spacing w:line="400" w:lineRule="exact"/>
        <w:ind w:firstLine="440" w:firstLineChars="200"/>
        <w:textAlignment w:val="baseline"/>
        <w:rPr>
          <w:color w:val="auto"/>
          <w:sz w:val="22"/>
          <w:szCs w:val="28"/>
          <w:highlight w:val="none"/>
        </w:rPr>
      </w:pPr>
      <w:r>
        <w:rPr>
          <w:color w:val="auto"/>
          <w:sz w:val="22"/>
          <w:szCs w:val="28"/>
          <w:highlight w:val="none"/>
        </w:rPr>
        <w:t xml:space="preserve">7.2.1 </w:t>
      </w:r>
      <w:r>
        <w:rPr>
          <w:rFonts w:hint="eastAsia"/>
          <w:color w:val="auto"/>
          <w:sz w:val="22"/>
          <w:szCs w:val="28"/>
          <w:highlight w:val="none"/>
        </w:rPr>
        <w:t>招标人在投标人须知前附表规定的媒介公示中标候选人。具体按</w:t>
      </w:r>
      <w:r>
        <w:rPr>
          <w:color w:val="auto"/>
          <w:highlight w:val="none"/>
        </w:rPr>
        <w:fldChar w:fldCharType="begin"/>
      </w:r>
      <w:r>
        <w:rPr>
          <w:color w:val="auto"/>
          <w:highlight w:val="none"/>
        </w:rPr>
        <w:instrText xml:space="preserve"> HYPERLINK "http://www.gdcic.gov.cn/UploadMessageAttachFiles/20181129/20181129052518812.pdf" \t "_blank" </w:instrText>
      </w:r>
      <w:r>
        <w:rPr>
          <w:color w:val="auto"/>
          <w:highlight w:val="none"/>
        </w:rPr>
        <w:fldChar w:fldCharType="separate"/>
      </w:r>
      <w:r>
        <w:rPr>
          <w:rFonts w:hint="eastAsia"/>
          <w:color w:val="auto"/>
          <w:sz w:val="22"/>
          <w:szCs w:val="28"/>
          <w:highlight w:val="none"/>
        </w:rPr>
        <w:t>《关于房屋建筑和市政基础设施工程建设项目招标投标全过程信息公开的管理规定》</w:t>
      </w:r>
      <w:r>
        <w:rPr>
          <w:rFonts w:hint="eastAsia"/>
          <w:color w:val="auto"/>
          <w:sz w:val="22"/>
          <w:szCs w:val="28"/>
          <w:highlight w:val="none"/>
        </w:rPr>
        <w:fldChar w:fldCharType="end"/>
      </w:r>
      <w:r>
        <w:rPr>
          <w:rFonts w:hint="eastAsia"/>
          <w:color w:val="auto"/>
          <w:sz w:val="22"/>
          <w:szCs w:val="28"/>
          <w:highlight w:val="none"/>
        </w:rPr>
        <w:t>、《广东省工程建设项目招标投标信息公开目录》规定执行。</w:t>
      </w:r>
    </w:p>
    <w:p w14:paraId="60222CFE">
      <w:pPr>
        <w:snapToGrid w:val="0"/>
        <w:spacing w:line="400" w:lineRule="exact"/>
        <w:ind w:firstLine="440" w:firstLineChars="200"/>
        <w:textAlignment w:val="baseline"/>
        <w:rPr>
          <w:color w:val="auto"/>
          <w:sz w:val="22"/>
          <w:szCs w:val="28"/>
          <w:highlight w:val="none"/>
        </w:rPr>
      </w:pPr>
      <w:r>
        <w:rPr>
          <w:rFonts w:hint="eastAsia"/>
          <w:color w:val="auto"/>
          <w:sz w:val="22"/>
          <w:szCs w:val="28"/>
          <w:highlight w:val="none"/>
        </w:rPr>
        <w:t>招标人在收到评标报告之日起3日内，按照投标人须知前附表规定的公示媒介和期限公示中标候选人，公示期不得少于3日。</w:t>
      </w:r>
    </w:p>
    <w:p w14:paraId="1A24EF08">
      <w:pPr>
        <w:snapToGrid w:val="0"/>
        <w:spacing w:line="400" w:lineRule="exact"/>
        <w:ind w:firstLine="440" w:firstLineChars="200"/>
        <w:textAlignment w:val="baseline"/>
        <w:rPr>
          <w:color w:val="auto"/>
          <w:sz w:val="22"/>
          <w:szCs w:val="28"/>
          <w:highlight w:val="none"/>
        </w:rPr>
      </w:pPr>
      <w:r>
        <w:rPr>
          <w:color w:val="auto"/>
          <w:sz w:val="22"/>
          <w:szCs w:val="28"/>
          <w:highlight w:val="none"/>
        </w:rPr>
        <w:t xml:space="preserve">7.2.2 </w:t>
      </w:r>
      <w:r>
        <w:rPr>
          <w:rFonts w:hint="eastAsia"/>
          <w:color w:val="auto"/>
          <w:sz w:val="22"/>
          <w:szCs w:val="28"/>
          <w:highlight w:val="none"/>
        </w:rPr>
        <w:t>评标结果异议</w:t>
      </w:r>
    </w:p>
    <w:p w14:paraId="15F2C8D2">
      <w:pPr>
        <w:spacing w:line="360" w:lineRule="auto"/>
        <w:rPr>
          <w:rFonts w:hint="eastAsia" w:ascii="宋体" w:hAnsi="宋体"/>
          <w:color w:val="auto"/>
          <w:sz w:val="22"/>
          <w:szCs w:val="28"/>
          <w:highlight w:val="none"/>
        </w:rPr>
      </w:pPr>
      <w:r>
        <w:rPr>
          <w:rFonts w:hint="eastAsia"/>
          <w:color w:val="auto"/>
          <w:sz w:val="22"/>
          <w:szCs w:val="28"/>
          <w:highlight w:val="none"/>
        </w:rPr>
        <w:t>投标人或者其他利害关系人对评标结果有异议的，应当在评标结果公示期间提出；逾期异议无效，招标人不予受理，视为投标人无异议，并由投标人承担相应的后果。招标人将在收到异议之日起</w:t>
      </w:r>
      <w:r>
        <w:rPr>
          <w:color w:val="auto"/>
          <w:sz w:val="22"/>
          <w:szCs w:val="28"/>
          <w:highlight w:val="none"/>
        </w:rPr>
        <w:t xml:space="preserve"> 3 </w:t>
      </w:r>
      <w:r>
        <w:rPr>
          <w:rFonts w:hint="eastAsia"/>
          <w:color w:val="auto"/>
          <w:sz w:val="22"/>
          <w:szCs w:val="28"/>
          <w:highlight w:val="none"/>
        </w:rPr>
        <w:t>日内作出答复；作出答复前，将暂停招标投标活动。</w:t>
      </w:r>
    </w:p>
    <w:p w14:paraId="1E0EDBA2">
      <w:pPr>
        <w:spacing w:line="360" w:lineRule="auto"/>
        <w:outlineLvl w:val="2"/>
        <w:rPr>
          <w:rFonts w:hint="eastAsia" w:ascii="宋体" w:hAnsi="宋体"/>
          <w:b/>
          <w:color w:val="auto"/>
          <w:sz w:val="22"/>
          <w:szCs w:val="28"/>
          <w:highlight w:val="none"/>
        </w:rPr>
      </w:pPr>
      <w:bookmarkStart w:id="433" w:name="_Toc152042345"/>
      <w:bookmarkStart w:id="434" w:name="_Toc144974537"/>
      <w:bookmarkStart w:id="435" w:name="_Toc152045569"/>
      <w:bookmarkStart w:id="436" w:name="_Toc258411309"/>
      <w:bookmarkStart w:id="437" w:name="_Toc5485"/>
      <w:bookmarkStart w:id="438" w:name="_Toc22459"/>
      <w:bookmarkStart w:id="439" w:name="_Toc3926"/>
      <w:bookmarkStart w:id="440" w:name="_Toc6243"/>
      <w:bookmarkStart w:id="441" w:name="_Toc30605"/>
      <w:r>
        <w:rPr>
          <w:rFonts w:hint="eastAsia" w:ascii="宋体" w:hAnsi="宋体"/>
          <w:b/>
          <w:color w:val="auto"/>
          <w:sz w:val="22"/>
          <w:szCs w:val="28"/>
          <w:highlight w:val="none"/>
        </w:rPr>
        <w:t xml:space="preserve">7.3 </w:t>
      </w:r>
      <w:bookmarkEnd w:id="433"/>
      <w:bookmarkEnd w:id="434"/>
      <w:bookmarkEnd w:id="435"/>
      <w:bookmarkEnd w:id="436"/>
      <w:r>
        <w:rPr>
          <w:rFonts w:hint="eastAsia" w:ascii="宋体" w:hAnsi="宋体"/>
          <w:b/>
          <w:color w:val="auto"/>
          <w:sz w:val="22"/>
          <w:szCs w:val="28"/>
          <w:highlight w:val="none"/>
        </w:rPr>
        <w:t>中标通知</w:t>
      </w:r>
      <w:bookmarkEnd w:id="437"/>
      <w:bookmarkEnd w:id="438"/>
      <w:bookmarkEnd w:id="439"/>
      <w:bookmarkEnd w:id="440"/>
      <w:bookmarkEnd w:id="441"/>
    </w:p>
    <w:p w14:paraId="3B0CAA4C">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招标人在投标人须知前附表规定的媒介公示中标候选人后，按《关于房屋建筑和市政基础设施工程建设项目招标投标全过程信息公开的管理规定》、《广东省工程建设项目招标投标信息公开目录》规定在投标人须知前附表规定的媒介发布中标结果公告。在本章第3.3款规定的投标有效期内，招标人向中标人发出中标通知书，同时将中标结果通知未中标的投标人。</w:t>
      </w:r>
    </w:p>
    <w:p w14:paraId="6FEDF448">
      <w:pPr>
        <w:spacing w:line="360" w:lineRule="auto"/>
        <w:outlineLvl w:val="2"/>
        <w:rPr>
          <w:rFonts w:hint="eastAsia" w:ascii="宋体" w:hAnsi="宋体"/>
          <w:b/>
          <w:color w:val="auto"/>
          <w:sz w:val="22"/>
          <w:szCs w:val="28"/>
          <w:highlight w:val="none"/>
        </w:rPr>
      </w:pPr>
      <w:bookmarkStart w:id="442" w:name="_Toc1363"/>
      <w:bookmarkStart w:id="443" w:name="_Toc25632"/>
      <w:bookmarkStart w:id="444" w:name="_Toc3791"/>
      <w:bookmarkStart w:id="445" w:name="_Toc20156"/>
      <w:bookmarkStart w:id="446" w:name="_Toc11850"/>
      <w:r>
        <w:rPr>
          <w:rFonts w:hint="eastAsia" w:ascii="宋体" w:hAnsi="宋体"/>
          <w:b/>
          <w:color w:val="auto"/>
          <w:sz w:val="22"/>
          <w:szCs w:val="28"/>
          <w:highlight w:val="none"/>
        </w:rPr>
        <w:t>7.4履约担保</w:t>
      </w:r>
      <w:bookmarkEnd w:id="442"/>
      <w:bookmarkEnd w:id="443"/>
      <w:bookmarkEnd w:id="444"/>
      <w:bookmarkEnd w:id="445"/>
      <w:bookmarkEnd w:id="446"/>
    </w:p>
    <w:p w14:paraId="16C163B9">
      <w:pPr>
        <w:pStyle w:val="11"/>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7.4.1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5%。中标人在中标后签订合同后15天内，必须将履约担保（具体数额为中标价的5%）提交于招标人，否则招标人有权取消其中标资格，改为评标第二名的投标人为中标人。若中标人在施工期间违约，给招标人造成损失，中标人应在收到招标人通知后10日内赔偿给招标人，如中标人未能及时支付赔偿，招标人有权凭银行履约保函提取损失部分，若给招标人造成的损失超过保额时，由中标人赔偿招标人超过保额部分的损失。若合同履行期间银行履约保函因中标人违约被提取的，中标人应在收到招标人通知后10日内向招标人补充提交担保金额为被提取金额的银行履约保函。银行履约保函在担保期满后10天内退回中标人。</w:t>
      </w:r>
    </w:p>
    <w:p w14:paraId="141B6389">
      <w:pPr>
        <w:pStyle w:val="11"/>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7.4.2 中标人不能按本章第7.4.1项要求提交履约担保的，视为放弃中标，其投标保证金不予退还，给招标人造成的损失超过投标保证金数额的，中标人还应当对超过部分予以赔偿。</w:t>
      </w:r>
    </w:p>
    <w:p w14:paraId="79C64280">
      <w:pPr>
        <w:spacing w:line="360" w:lineRule="auto"/>
        <w:outlineLvl w:val="2"/>
        <w:rPr>
          <w:rFonts w:hint="eastAsia" w:ascii="宋体" w:hAnsi="宋体"/>
          <w:b/>
          <w:color w:val="auto"/>
          <w:sz w:val="22"/>
          <w:szCs w:val="28"/>
          <w:highlight w:val="none"/>
        </w:rPr>
      </w:pPr>
      <w:bookmarkStart w:id="447" w:name="_Toc4679"/>
      <w:bookmarkStart w:id="448" w:name="_Toc24037"/>
      <w:bookmarkStart w:id="449" w:name="_Toc5393"/>
      <w:bookmarkStart w:id="450" w:name="_Toc20387"/>
      <w:bookmarkStart w:id="451" w:name="_Toc32426"/>
      <w:r>
        <w:rPr>
          <w:rFonts w:hint="eastAsia" w:ascii="宋体" w:hAnsi="宋体"/>
          <w:b/>
          <w:color w:val="auto"/>
          <w:sz w:val="22"/>
          <w:szCs w:val="28"/>
          <w:highlight w:val="none"/>
        </w:rPr>
        <w:t>7.5签订合同</w:t>
      </w:r>
      <w:bookmarkEnd w:id="447"/>
      <w:bookmarkEnd w:id="448"/>
      <w:bookmarkEnd w:id="449"/>
      <w:bookmarkEnd w:id="450"/>
      <w:bookmarkEnd w:id="451"/>
    </w:p>
    <w:p w14:paraId="45F2307F">
      <w:pPr>
        <w:spacing w:line="360" w:lineRule="auto"/>
        <w:rPr>
          <w:rFonts w:hint="eastAsia" w:ascii="宋体" w:hAnsi="宋体"/>
          <w:color w:val="auto"/>
          <w:sz w:val="22"/>
          <w:szCs w:val="28"/>
          <w:highlight w:val="none"/>
        </w:rPr>
      </w:pPr>
      <w:bookmarkStart w:id="452" w:name="_Toc221950219"/>
      <w:r>
        <w:rPr>
          <w:rFonts w:hint="eastAsia" w:ascii="宋体" w:hAnsi="宋体"/>
          <w:color w:val="auto"/>
          <w:sz w:val="22"/>
          <w:szCs w:val="28"/>
          <w:highlight w:val="none"/>
        </w:rPr>
        <w:t xml:space="preserve">　　 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773B45AF">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7.5.2发出中标通知书后，招标人无正当理由拒签合同的，招标人向中标人退还投标保证金，并按投标保证金双倍的金额赔偿投标人损失。</w:t>
      </w:r>
      <w:bookmarkEnd w:id="452"/>
      <w:r>
        <w:rPr>
          <w:rFonts w:hint="eastAsia" w:ascii="宋体" w:hAnsi="宋体"/>
          <w:color w:val="auto"/>
          <w:sz w:val="22"/>
          <w:szCs w:val="28"/>
          <w:highlight w:val="none"/>
        </w:rPr>
        <w:t xml:space="preserve"> </w:t>
      </w:r>
    </w:p>
    <w:p w14:paraId="37ED4AB4">
      <w:pPr>
        <w:pStyle w:val="4"/>
        <w:spacing w:line="360" w:lineRule="auto"/>
        <w:rPr>
          <w:rFonts w:hint="eastAsia" w:ascii="宋体" w:hAnsi="宋体" w:eastAsia="宋体"/>
          <w:b/>
          <w:color w:val="auto"/>
          <w:sz w:val="28"/>
          <w:highlight w:val="none"/>
        </w:rPr>
      </w:pPr>
      <w:bookmarkStart w:id="453" w:name="_Toc21649"/>
      <w:bookmarkStart w:id="454" w:name="_Toc168476092"/>
      <w:bookmarkStart w:id="455" w:name="_Toc144974542"/>
      <w:bookmarkStart w:id="456" w:name="_Toc229305349"/>
      <w:bookmarkStart w:id="457" w:name="_Toc168475689"/>
      <w:bookmarkStart w:id="458" w:name="_Toc22673"/>
      <w:bookmarkStart w:id="459" w:name="_Toc229408471"/>
      <w:bookmarkStart w:id="460" w:name="_Toc221950226"/>
      <w:bookmarkStart w:id="461" w:name="_Toc222030991"/>
      <w:bookmarkStart w:id="462" w:name="_Toc4538"/>
      <w:bookmarkStart w:id="463" w:name="_Toc222032658"/>
      <w:bookmarkStart w:id="464" w:name="_Toc222033840"/>
      <w:bookmarkStart w:id="465" w:name="_Toc222029489"/>
      <w:bookmarkStart w:id="466" w:name="_Toc30961"/>
      <w:bookmarkStart w:id="467" w:name="_Toc18271"/>
      <w:bookmarkStart w:id="468" w:name="_Toc39698063"/>
      <w:bookmarkStart w:id="469" w:name="_Toc7002"/>
      <w:r>
        <w:rPr>
          <w:rFonts w:hint="eastAsia" w:ascii="宋体" w:hAnsi="宋体" w:eastAsia="宋体"/>
          <w:b/>
          <w:color w:val="auto"/>
          <w:sz w:val="28"/>
          <w:highlight w:val="none"/>
        </w:rPr>
        <w:t>8. 纪律和监督</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557A63F">
      <w:pPr>
        <w:spacing w:line="360" w:lineRule="auto"/>
        <w:outlineLvl w:val="2"/>
        <w:rPr>
          <w:rFonts w:hint="eastAsia" w:ascii="宋体" w:hAnsi="宋体"/>
          <w:b/>
          <w:color w:val="auto"/>
          <w:sz w:val="22"/>
          <w:szCs w:val="28"/>
          <w:highlight w:val="none"/>
        </w:rPr>
      </w:pPr>
      <w:bookmarkStart w:id="470" w:name="_Toc11799"/>
      <w:bookmarkStart w:id="471" w:name="_Toc16644"/>
      <w:bookmarkStart w:id="472" w:name="_Toc21369"/>
      <w:bookmarkStart w:id="473" w:name="_Toc16690"/>
      <w:bookmarkStart w:id="474" w:name="_Toc32613"/>
      <w:bookmarkStart w:id="475" w:name="_Toc221950229"/>
      <w:r>
        <w:rPr>
          <w:rFonts w:hint="eastAsia" w:ascii="宋体" w:hAnsi="宋体"/>
          <w:b/>
          <w:color w:val="auto"/>
          <w:sz w:val="22"/>
          <w:szCs w:val="28"/>
          <w:highlight w:val="none"/>
        </w:rPr>
        <w:t>8.1对招标人的纪律要求</w:t>
      </w:r>
      <w:bookmarkEnd w:id="470"/>
      <w:bookmarkEnd w:id="471"/>
      <w:bookmarkEnd w:id="472"/>
      <w:bookmarkEnd w:id="473"/>
      <w:bookmarkEnd w:id="474"/>
    </w:p>
    <w:p w14:paraId="2E9183F9">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招标人不得泄露招标投标活动中应当保密的情况和资料，不得与投标人串通损害国家利益、社会公共利益或者他人合法权益。</w:t>
      </w:r>
    </w:p>
    <w:p w14:paraId="1F80AD11">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下列行为均属招标人与投标人串通投标：</w:t>
      </w:r>
      <w:bookmarkEnd w:id="475"/>
    </w:p>
    <w:p w14:paraId="267C3533">
      <w:pPr>
        <w:spacing w:line="360" w:lineRule="auto"/>
        <w:rPr>
          <w:rFonts w:hint="eastAsia" w:ascii="宋体" w:hAnsi="宋体"/>
          <w:color w:val="auto"/>
          <w:sz w:val="22"/>
          <w:szCs w:val="28"/>
          <w:highlight w:val="none"/>
        </w:rPr>
      </w:pPr>
      <w:bookmarkStart w:id="476" w:name="_Toc221950230"/>
      <w:r>
        <w:rPr>
          <w:rFonts w:hint="eastAsia" w:ascii="宋体" w:hAnsi="宋体"/>
          <w:color w:val="auto"/>
          <w:sz w:val="22"/>
          <w:szCs w:val="28"/>
          <w:highlight w:val="none"/>
        </w:rPr>
        <w:t>　　（1）招标人在开标前开启投标文件，并将投标情况告知其他投标人，或者协助投标人撤换投标文件，更改报价；</w:t>
      </w:r>
      <w:bookmarkEnd w:id="476"/>
    </w:p>
    <w:p w14:paraId="0611BF12">
      <w:pPr>
        <w:spacing w:line="360" w:lineRule="auto"/>
        <w:rPr>
          <w:rFonts w:hint="eastAsia" w:ascii="宋体" w:hAnsi="宋体"/>
          <w:color w:val="auto"/>
          <w:sz w:val="22"/>
          <w:szCs w:val="28"/>
          <w:highlight w:val="none"/>
        </w:rPr>
      </w:pPr>
      <w:bookmarkStart w:id="477" w:name="_Toc221950232"/>
      <w:r>
        <w:rPr>
          <w:rFonts w:hint="eastAsia" w:ascii="宋体" w:hAnsi="宋体"/>
          <w:color w:val="auto"/>
          <w:sz w:val="22"/>
          <w:szCs w:val="28"/>
          <w:highlight w:val="none"/>
        </w:rPr>
        <w:t>　　（2）招标人与投标人商定，投标时压低或抬高标价，中标后再给投标人或招标人额外补偿；</w:t>
      </w:r>
      <w:bookmarkEnd w:id="477"/>
    </w:p>
    <w:p w14:paraId="71DBCB56">
      <w:pPr>
        <w:spacing w:line="360" w:lineRule="auto"/>
        <w:rPr>
          <w:rFonts w:hint="eastAsia" w:ascii="宋体" w:hAnsi="宋体"/>
          <w:color w:val="auto"/>
          <w:sz w:val="22"/>
          <w:szCs w:val="28"/>
          <w:highlight w:val="none"/>
        </w:rPr>
      </w:pPr>
      <w:bookmarkStart w:id="478" w:name="_Toc221950233"/>
      <w:r>
        <w:rPr>
          <w:rFonts w:hint="eastAsia" w:ascii="宋体" w:hAnsi="宋体"/>
          <w:color w:val="auto"/>
          <w:sz w:val="22"/>
          <w:szCs w:val="28"/>
          <w:highlight w:val="none"/>
        </w:rPr>
        <w:t>　　（3）招标人预先内定中标人；</w:t>
      </w:r>
      <w:bookmarkEnd w:id="478"/>
    </w:p>
    <w:p w14:paraId="18148C1E">
      <w:pPr>
        <w:spacing w:line="360" w:lineRule="auto"/>
        <w:rPr>
          <w:rFonts w:hint="eastAsia" w:ascii="宋体" w:hAnsi="宋体"/>
          <w:color w:val="auto"/>
          <w:sz w:val="22"/>
          <w:szCs w:val="28"/>
          <w:highlight w:val="none"/>
        </w:rPr>
      </w:pPr>
      <w:bookmarkStart w:id="479" w:name="_Toc221950234"/>
      <w:r>
        <w:rPr>
          <w:rFonts w:hint="eastAsia" w:ascii="宋体" w:hAnsi="宋体"/>
          <w:color w:val="auto"/>
          <w:sz w:val="22"/>
          <w:szCs w:val="28"/>
          <w:highlight w:val="none"/>
        </w:rPr>
        <w:t>　　（4）其他串通投标行为。</w:t>
      </w:r>
      <w:bookmarkEnd w:id="479"/>
    </w:p>
    <w:p w14:paraId="675027B3">
      <w:pPr>
        <w:spacing w:line="360" w:lineRule="auto"/>
        <w:outlineLvl w:val="2"/>
        <w:rPr>
          <w:rFonts w:hint="eastAsia" w:ascii="宋体" w:hAnsi="宋体"/>
          <w:b/>
          <w:color w:val="auto"/>
          <w:sz w:val="22"/>
          <w:szCs w:val="28"/>
          <w:highlight w:val="none"/>
        </w:rPr>
      </w:pPr>
      <w:bookmarkStart w:id="480" w:name="_Toc23127"/>
      <w:bookmarkStart w:id="481" w:name="_Toc3334"/>
      <w:bookmarkStart w:id="482" w:name="_Toc23191"/>
      <w:bookmarkStart w:id="483" w:name="_Toc30981"/>
      <w:bookmarkStart w:id="484" w:name="_Toc9298"/>
      <w:r>
        <w:rPr>
          <w:rFonts w:hint="eastAsia" w:ascii="宋体" w:hAnsi="宋体"/>
          <w:b/>
          <w:color w:val="auto"/>
          <w:sz w:val="22"/>
          <w:szCs w:val="28"/>
          <w:highlight w:val="none"/>
        </w:rPr>
        <w:t>8.2对投标人的纪律要求</w:t>
      </w:r>
      <w:bookmarkEnd w:id="480"/>
      <w:bookmarkEnd w:id="481"/>
      <w:bookmarkEnd w:id="482"/>
      <w:bookmarkEnd w:id="483"/>
      <w:bookmarkEnd w:id="484"/>
    </w:p>
    <w:p w14:paraId="090FDED7">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投标人不得相互串通投标或者与招标人串通投标，不得向招标人或者评标委员会成员行贿谋取中标，不得以他人名义投标或者以其它方式弄虚作假骗取中标；投标人不得以任何方式干扰、影响评标工作。</w:t>
      </w:r>
    </w:p>
    <w:p w14:paraId="40E4854B">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9.2</w:t>
      </w:r>
      <w:bookmarkStart w:id="485" w:name="_Toc221950237"/>
      <w:r>
        <w:rPr>
          <w:rFonts w:hint="eastAsia" w:ascii="宋体" w:hAnsi="宋体"/>
          <w:color w:val="auto"/>
          <w:sz w:val="22"/>
          <w:szCs w:val="28"/>
          <w:highlight w:val="none"/>
        </w:rPr>
        <w:t>.1下列行为均属以他人名义投标：</w:t>
      </w:r>
    </w:p>
    <w:p w14:paraId="19DA680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（1）投标人挂靠其它施工单位；</w:t>
      </w:r>
    </w:p>
    <w:p w14:paraId="6AD505CB">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（2）投标人从其它施工单位通过转让或租借的方式获取资格或资质证书；</w:t>
      </w:r>
    </w:p>
    <w:p w14:paraId="094C1A43">
      <w:pPr>
        <w:spacing w:line="360" w:lineRule="auto"/>
        <w:rPr>
          <w:rFonts w:hint="eastAsia" w:ascii="宋体" w:hAnsi="宋体"/>
          <w:color w:val="auto"/>
          <w:sz w:val="22"/>
          <w:szCs w:val="28"/>
          <w:highlight w:val="none"/>
        </w:rPr>
      </w:pPr>
      <w:r>
        <w:rPr>
          <w:rFonts w:hint="eastAsia" w:ascii="宋体" w:hAnsi="宋体"/>
          <w:color w:val="auto"/>
          <w:sz w:val="22"/>
          <w:szCs w:val="28"/>
          <w:highlight w:val="none"/>
        </w:rPr>
        <w:t>　　（3）由其它单位及法定代表人在自己编制的投标文件上加盖印章和签字的行为。</w:t>
      </w:r>
      <w:bookmarkEnd w:id="485"/>
    </w:p>
    <w:p w14:paraId="479823D4">
      <w:pPr>
        <w:spacing w:line="360" w:lineRule="auto"/>
        <w:rPr>
          <w:rFonts w:hint="eastAsia" w:ascii="宋体" w:hAnsi="宋体"/>
          <w:color w:val="auto"/>
          <w:sz w:val="22"/>
          <w:szCs w:val="28"/>
          <w:highlight w:val="none"/>
        </w:rPr>
      </w:pPr>
      <w:bookmarkStart w:id="486" w:name="_Toc221950238"/>
      <w:r>
        <w:rPr>
          <w:rFonts w:hint="eastAsia" w:ascii="宋体" w:hAnsi="宋体"/>
          <w:color w:val="auto"/>
          <w:sz w:val="22"/>
          <w:szCs w:val="28"/>
          <w:highlight w:val="none"/>
        </w:rPr>
        <w:t>　　9.2.2下列行为，视为允许他人以本单位名义承揽工程：</w:t>
      </w:r>
      <w:bookmarkEnd w:id="486"/>
    </w:p>
    <w:p w14:paraId="32A34B4A">
      <w:pPr>
        <w:spacing w:line="360" w:lineRule="auto"/>
        <w:rPr>
          <w:rFonts w:hint="eastAsia" w:ascii="宋体" w:hAnsi="宋体"/>
          <w:color w:val="auto"/>
          <w:sz w:val="22"/>
          <w:szCs w:val="28"/>
          <w:highlight w:val="none"/>
        </w:rPr>
      </w:pPr>
      <w:bookmarkStart w:id="487" w:name="_Toc221950239"/>
      <w:r>
        <w:rPr>
          <w:rFonts w:hint="eastAsia" w:ascii="宋体" w:hAnsi="宋体"/>
          <w:color w:val="auto"/>
          <w:sz w:val="22"/>
          <w:szCs w:val="28"/>
          <w:highlight w:val="none"/>
        </w:rPr>
        <w:t>　　（1）投标人的法定代表人的委托代理人不是投标人本单位人员；</w:t>
      </w:r>
      <w:bookmarkEnd w:id="487"/>
    </w:p>
    <w:p w14:paraId="3D8C3677">
      <w:pPr>
        <w:spacing w:line="360" w:lineRule="auto"/>
        <w:rPr>
          <w:rFonts w:hint="eastAsia" w:ascii="宋体" w:hAnsi="宋体"/>
          <w:color w:val="auto"/>
          <w:sz w:val="22"/>
          <w:szCs w:val="28"/>
          <w:highlight w:val="none"/>
        </w:rPr>
      </w:pPr>
      <w:bookmarkStart w:id="488" w:name="_Toc221950240"/>
      <w:r>
        <w:rPr>
          <w:rFonts w:hint="eastAsia" w:ascii="宋体" w:hAnsi="宋体"/>
          <w:color w:val="auto"/>
          <w:sz w:val="22"/>
          <w:szCs w:val="28"/>
          <w:highlight w:val="none"/>
        </w:rPr>
        <w:t>　　（2）投标人拟在施工现场所设项目管理机构的项目负责人、技术负责人、财务负责人、质量管理人员、安全管理人员（专职安全生产管理人员）不是本单位人员。</w:t>
      </w:r>
      <w:bookmarkEnd w:id="488"/>
    </w:p>
    <w:p w14:paraId="4712523D">
      <w:pPr>
        <w:spacing w:line="360" w:lineRule="auto"/>
        <w:rPr>
          <w:rFonts w:hint="eastAsia" w:ascii="宋体" w:hAnsi="宋体"/>
          <w:color w:val="auto"/>
          <w:sz w:val="22"/>
          <w:szCs w:val="28"/>
          <w:highlight w:val="none"/>
        </w:rPr>
      </w:pPr>
      <w:bookmarkStart w:id="489" w:name="_Toc221950241"/>
      <w:r>
        <w:rPr>
          <w:rFonts w:hint="eastAsia" w:ascii="宋体" w:hAnsi="宋体"/>
          <w:color w:val="auto"/>
          <w:sz w:val="22"/>
          <w:szCs w:val="28"/>
          <w:highlight w:val="none"/>
        </w:rPr>
        <w:t>　　投标人本单位人员，必须同时满足以下条件：</w:t>
      </w:r>
      <w:bookmarkEnd w:id="489"/>
    </w:p>
    <w:p w14:paraId="24E9D44A">
      <w:pPr>
        <w:spacing w:line="360" w:lineRule="auto"/>
        <w:rPr>
          <w:rFonts w:hint="eastAsia" w:ascii="宋体" w:hAnsi="宋体"/>
          <w:color w:val="auto"/>
          <w:sz w:val="22"/>
          <w:szCs w:val="28"/>
          <w:highlight w:val="none"/>
        </w:rPr>
      </w:pPr>
      <w:bookmarkStart w:id="490" w:name="_Toc221950242"/>
      <w:r>
        <w:rPr>
          <w:rFonts w:hint="eastAsia" w:ascii="宋体" w:hAnsi="宋体"/>
          <w:color w:val="auto"/>
          <w:sz w:val="22"/>
          <w:szCs w:val="28"/>
          <w:highlight w:val="none"/>
        </w:rPr>
        <w:t>　　（1）聘任合同必须由投标人单位与之签订；</w:t>
      </w:r>
      <w:bookmarkEnd w:id="490"/>
    </w:p>
    <w:p w14:paraId="3981E477">
      <w:pPr>
        <w:spacing w:line="360" w:lineRule="auto"/>
        <w:rPr>
          <w:rFonts w:hint="eastAsia" w:ascii="宋体" w:hAnsi="宋体"/>
          <w:color w:val="auto"/>
          <w:sz w:val="22"/>
          <w:szCs w:val="28"/>
          <w:highlight w:val="none"/>
        </w:rPr>
      </w:pPr>
      <w:bookmarkStart w:id="491" w:name="_Toc221950243"/>
      <w:r>
        <w:rPr>
          <w:rFonts w:hint="eastAsia" w:ascii="宋体" w:hAnsi="宋体"/>
          <w:color w:val="auto"/>
          <w:sz w:val="22"/>
          <w:szCs w:val="28"/>
          <w:highlight w:val="none"/>
        </w:rPr>
        <w:t>　　（2）与投标人单位有合法的工资关系；</w:t>
      </w:r>
      <w:bookmarkEnd w:id="491"/>
    </w:p>
    <w:p w14:paraId="47266AF1">
      <w:pPr>
        <w:spacing w:line="360" w:lineRule="auto"/>
        <w:rPr>
          <w:rFonts w:hint="eastAsia" w:ascii="宋体" w:hAnsi="宋体"/>
          <w:color w:val="auto"/>
          <w:sz w:val="22"/>
          <w:szCs w:val="28"/>
          <w:highlight w:val="none"/>
        </w:rPr>
      </w:pPr>
      <w:bookmarkStart w:id="492" w:name="_Toc221950244"/>
      <w:r>
        <w:rPr>
          <w:rFonts w:hint="eastAsia" w:ascii="宋体" w:hAnsi="宋体"/>
          <w:color w:val="auto"/>
          <w:sz w:val="22"/>
          <w:szCs w:val="28"/>
          <w:highlight w:val="none"/>
        </w:rPr>
        <w:t>　　（3）投标人单位为其办理社会保险关系，或具有其他有效证明其为本单位人员身份的文件。</w:t>
      </w:r>
      <w:bookmarkEnd w:id="492"/>
    </w:p>
    <w:p w14:paraId="27E184DB">
      <w:pPr>
        <w:spacing w:line="360" w:lineRule="auto"/>
        <w:rPr>
          <w:rFonts w:hint="eastAsia" w:ascii="宋体" w:hAnsi="宋体"/>
          <w:color w:val="auto"/>
          <w:sz w:val="22"/>
          <w:szCs w:val="28"/>
          <w:highlight w:val="none"/>
        </w:rPr>
      </w:pPr>
      <w:bookmarkStart w:id="493" w:name="_Toc221950245"/>
      <w:r>
        <w:rPr>
          <w:rFonts w:hint="eastAsia" w:ascii="宋体" w:hAnsi="宋体"/>
          <w:color w:val="auto"/>
          <w:sz w:val="22"/>
          <w:szCs w:val="28"/>
          <w:highlight w:val="none"/>
        </w:rPr>
        <w:t>　　9.2.3下列行为均属投标人串通投标报价：</w:t>
      </w:r>
      <w:bookmarkEnd w:id="493"/>
    </w:p>
    <w:p w14:paraId="11B28F37">
      <w:pPr>
        <w:spacing w:line="348" w:lineRule="auto"/>
        <w:rPr>
          <w:rFonts w:hint="eastAsia" w:ascii="宋体" w:hAnsi="宋体"/>
          <w:color w:val="auto"/>
          <w:sz w:val="22"/>
          <w:szCs w:val="28"/>
          <w:highlight w:val="none"/>
        </w:rPr>
      </w:pPr>
      <w:bookmarkStart w:id="494" w:name="_Toc221950246"/>
      <w:r>
        <w:rPr>
          <w:rFonts w:hint="eastAsia" w:ascii="宋体" w:hAnsi="宋体"/>
          <w:color w:val="auto"/>
          <w:sz w:val="22"/>
          <w:szCs w:val="28"/>
          <w:highlight w:val="none"/>
        </w:rPr>
        <w:t>　　（1）投标人之间相互约定抬高或压低投标报价；</w:t>
      </w:r>
      <w:bookmarkEnd w:id="494"/>
    </w:p>
    <w:p w14:paraId="0A2CF9AA">
      <w:pPr>
        <w:spacing w:line="348" w:lineRule="auto"/>
        <w:rPr>
          <w:rFonts w:hint="eastAsia" w:ascii="宋体" w:hAnsi="宋体"/>
          <w:color w:val="auto"/>
          <w:sz w:val="22"/>
          <w:szCs w:val="28"/>
          <w:highlight w:val="none"/>
        </w:rPr>
      </w:pPr>
      <w:bookmarkStart w:id="495" w:name="_Toc221950247"/>
      <w:r>
        <w:rPr>
          <w:rFonts w:hint="eastAsia" w:ascii="宋体" w:hAnsi="宋体"/>
          <w:color w:val="auto"/>
          <w:sz w:val="22"/>
          <w:szCs w:val="28"/>
          <w:highlight w:val="none"/>
        </w:rPr>
        <w:t>　　（2）投标人之间相互约定，在招标项目中分别以高、中、低价位报价；</w:t>
      </w:r>
      <w:bookmarkEnd w:id="495"/>
    </w:p>
    <w:p w14:paraId="7A72A993">
      <w:pPr>
        <w:spacing w:line="348" w:lineRule="auto"/>
        <w:rPr>
          <w:rFonts w:hint="eastAsia" w:ascii="宋体" w:hAnsi="宋体"/>
          <w:color w:val="auto"/>
          <w:sz w:val="22"/>
          <w:szCs w:val="28"/>
          <w:highlight w:val="none"/>
        </w:rPr>
      </w:pPr>
      <w:bookmarkStart w:id="496" w:name="_Toc221950248"/>
      <w:r>
        <w:rPr>
          <w:rFonts w:hint="eastAsia" w:ascii="宋体" w:hAnsi="宋体"/>
          <w:color w:val="auto"/>
          <w:sz w:val="22"/>
          <w:szCs w:val="28"/>
          <w:highlight w:val="none"/>
        </w:rPr>
        <w:t>　　（3）投标人之间先进行内部总价，内定中标人，然后再参加投标；</w:t>
      </w:r>
      <w:bookmarkEnd w:id="496"/>
    </w:p>
    <w:p w14:paraId="1BE05CCC">
      <w:pPr>
        <w:spacing w:line="348" w:lineRule="auto"/>
        <w:rPr>
          <w:rFonts w:hint="eastAsia" w:ascii="宋体" w:hAnsi="宋体"/>
          <w:color w:val="auto"/>
          <w:sz w:val="22"/>
          <w:szCs w:val="28"/>
          <w:highlight w:val="none"/>
        </w:rPr>
      </w:pPr>
      <w:bookmarkStart w:id="497" w:name="_Toc221950249"/>
      <w:r>
        <w:rPr>
          <w:rFonts w:hint="eastAsia" w:ascii="宋体" w:hAnsi="宋体"/>
          <w:color w:val="auto"/>
          <w:sz w:val="22"/>
          <w:szCs w:val="28"/>
          <w:highlight w:val="none"/>
        </w:rPr>
        <w:t>　　（4）投标人之间其他串通投标报价的行为</w:t>
      </w:r>
      <w:bookmarkEnd w:id="497"/>
      <w:r>
        <w:rPr>
          <w:rFonts w:hint="eastAsia" w:ascii="宋体" w:hAnsi="宋体"/>
          <w:color w:val="auto"/>
          <w:sz w:val="22"/>
          <w:szCs w:val="28"/>
          <w:highlight w:val="none"/>
        </w:rPr>
        <w:t>。</w:t>
      </w:r>
    </w:p>
    <w:p w14:paraId="0954C346">
      <w:pPr>
        <w:spacing w:line="348" w:lineRule="auto"/>
        <w:outlineLvl w:val="2"/>
        <w:rPr>
          <w:rFonts w:hint="eastAsia" w:ascii="宋体" w:hAnsi="宋体"/>
          <w:b/>
          <w:color w:val="auto"/>
          <w:sz w:val="22"/>
          <w:szCs w:val="28"/>
          <w:highlight w:val="none"/>
        </w:rPr>
      </w:pPr>
      <w:bookmarkStart w:id="498" w:name="_Toc21484"/>
      <w:bookmarkStart w:id="499" w:name="_Toc5578"/>
      <w:bookmarkStart w:id="500" w:name="_Toc32353"/>
      <w:bookmarkStart w:id="501" w:name="_Toc144974545"/>
      <w:bookmarkStart w:id="502" w:name="_Toc152045577"/>
      <w:bookmarkStart w:id="503" w:name="_Toc24712"/>
      <w:bookmarkStart w:id="504" w:name="_Toc258411317"/>
      <w:bookmarkStart w:id="505" w:name="_Toc21025"/>
      <w:bookmarkStart w:id="506" w:name="_Toc152042353"/>
      <w:r>
        <w:rPr>
          <w:rFonts w:hint="eastAsia" w:ascii="宋体" w:hAnsi="宋体"/>
          <w:b/>
          <w:color w:val="auto"/>
          <w:sz w:val="22"/>
          <w:szCs w:val="28"/>
          <w:highlight w:val="none"/>
        </w:rPr>
        <w:t>8.3 对评标委员会成员的纪律要求</w:t>
      </w:r>
      <w:bookmarkEnd w:id="498"/>
      <w:bookmarkEnd w:id="499"/>
      <w:bookmarkEnd w:id="500"/>
      <w:bookmarkEnd w:id="501"/>
      <w:bookmarkEnd w:id="502"/>
      <w:bookmarkEnd w:id="503"/>
      <w:bookmarkEnd w:id="504"/>
      <w:bookmarkEnd w:id="505"/>
      <w:bookmarkEnd w:id="506"/>
    </w:p>
    <w:p w14:paraId="13D3FAA5">
      <w:pPr>
        <w:spacing w:line="348" w:lineRule="auto"/>
        <w:rPr>
          <w:rFonts w:hint="eastAsia" w:ascii="宋体" w:hAnsi="宋体"/>
          <w:color w:val="auto"/>
          <w:sz w:val="22"/>
          <w:szCs w:val="28"/>
          <w:highlight w:val="none"/>
        </w:rPr>
      </w:pPr>
      <w:r>
        <w:rPr>
          <w:rFonts w:hint="eastAsia" w:ascii="宋体" w:hAnsi="宋体"/>
          <w:color w:val="auto"/>
          <w:sz w:val="22"/>
          <w:szCs w:val="28"/>
          <w:highlight w:val="none"/>
        </w:rPr>
        <w:t>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64357D8">
      <w:pPr>
        <w:spacing w:line="348" w:lineRule="auto"/>
        <w:outlineLvl w:val="2"/>
        <w:rPr>
          <w:rFonts w:hint="eastAsia" w:ascii="宋体" w:hAnsi="宋体"/>
          <w:b/>
          <w:color w:val="auto"/>
          <w:sz w:val="22"/>
          <w:szCs w:val="28"/>
          <w:highlight w:val="none"/>
        </w:rPr>
      </w:pPr>
      <w:bookmarkStart w:id="507" w:name="_Toc16009"/>
      <w:bookmarkStart w:id="508" w:name="_Toc258411318"/>
      <w:bookmarkStart w:id="509" w:name="_Toc14815"/>
      <w:bookmarkStart w:id="510" w:name="_Toc152045578"/>
      <w:bookmarkStart w:id="511" w:name="_Toc152042354"/>
      <w:bookmarkStart w:id="512" w:name="_Toc3221"/>
      <w:bookmarkStart w:id="513" w:name="_Toc22349"/>
      <w:bookmarkStart w:id="514" w:name="_Toc20486"/>
      <w:bookmarkStart w:id="515" w:name="_Toc144974546"/>
      <w:r>
        <w:rPr>
          <w:rFonts w:hint="eastAsia" w:ascii="宋体" w:hAnsi="宋体"/>
          <w:b/>
          <w:color w:val="auto"/>
          <w:sz w:val="22"/>
          <w:szCs w:val="28"/>
          <w:highlight w:val="none"/>
        </w:rPr>
        <w:t>8.4 对与评标活动有关的工作人员的纪律要求</w:t>
      </w:r>
      <w:bookmarkEnd w:id="507"/>
      <w:bookmarkEnd w:id="508"/>
      <w:bookmarkEnd w:id="509"/>
      <w:bookmarkEnd w:id="510"/>
      <w:bookmarkEnd w:id="511"/>
      <w:bookmarkEnd w:id="512"/>
      <w:bookmarkEnd w:id="513"/>
      <w:bookmarkEnd w:id="514"/>
    </w:p>
    <w:p w14:paraId="208DD363">
      <w:pPr>
        <w:spacing w:line="348" w:lineRule="auto"/>
        <w:rPr>
          <w:rFonts w:hint="eastAsia" w:ascii="宋体" w:hAnsi="宋体"/>
          <w:color w:val="auto"/>
          <w:sz w:val="22"/>
          <w:szCs w:val="28"/>
          <w:highlight w:val="none"/>
        </w:rPr>
      </w:pPr>
      <w:bookmarkStart w:id="516" w:name="_Toc152042355"/>
      <w:r>
        <w:rPr>
          <w:rFonts w:hint="eastAsia" w:ascii="宋体" w:hAnsi="宋体"/>
          <w:color w:val="auto"/>
          <w:sz w:val="22"/>
          <w:szCs w:val="28"/>
          <w:highlight w:val="none"/>
        </w:rPr>
        <w:t>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16"/>
    </w:p>
    <w:p w14:paraId="7BF32F3D">
      <w:pPr>
        <w:spacing w:line="348" w:lineRule="auto"/>
        <w:outlineLvl w:val="2"/>
        <w:rPr>
          <w:rFonts w:hint="eastAsia" w:ascii="宋体" w:hAnsi="宋体"/>
          <w:b/>
          <w:color w:val="auto"/>
          <w:sz w:val="22"/>
          <w:szCs w:val="28"/>
          <w:highlight w:val="none"/>
        </w:rPr>
      </w:pPr>
      <w:bookmarkStart w:id="517" w:name="_Toc26908"/>
      <w:bookmarkStart w:id="518" w:name="_Toc152045579"/>
      <w:bookmarkStart w:id="519" w:name="_Toc29201"/>
      <w:bookmarkStart w:id="520" w:name="_Toc8184"/>
      <w:bookmarkStart w:id="521" w:name="_Toc27047"/>
      <w:bookmarkStart w:id="522" w:name="_Toc258411319"/>
      <w:bookmarkStart w:id="523" w:name="_Toc27837"/>
      <w:bookmarkStart w:id="524" w:name="_Toc152042356"/>
      <w:r>
        <w:rPr>
          <w:rFonts w:hint="eastAsia" w:ascii="宋体" w:hAnsi="宋体"/>
          <w:b/>
          <w:color w:val="auto"/>
          <w:sz w:val="22"/>
          <w:szCs w:val="28"/>
          <w:highlight w:val="none"/>
        </w:rPr>
        <w:t>8.5 投诉</w:t>
      </w:r>
      <w:bookmarkEnd w:id="515"/>
      <w:bookmarkEnd w:id="517"/>
      <w:bookmarkEnd w:id="518"/>
      <w:bookmarkEnd w:id="519"/>
      <w:bookmarkEnd w:id="520"/>
      <w:bookmarkEnd w:id="521"/>
      <w:bookmarkEnd w:id="522"/>
      <w:bookmarkEnd w:id="523"/>
      <w:bookmarkEnd w:id="524"/>
    </w:p>
    <w:p w14:paraId="3B6832CB">
      <w:pPr>
        <w:spacing w:line="348" w:lineRule="auto"/>
        <w:rPr>
          <w:rFonts w:hint="eastAsia" w:ascii="宋体" w:hAnsi="宋体"/>
          <w:color w:val="auto"/>
          <w:sz w:val="22"/>
          <w:szCs w:val="28"/>
          <w:highlight w:val="none"/>
        </w:rPr>
      </w:pPr>
      <w:r>
        <w:rPr>
          <w:rFonts w:hint="eastAsia" w:ascii="宋体" w:hAnsi="宋体"/>
          <w:color w:val="auto"/>
          <w:sz w:val="22"/>
          <w:szCs w:val="28"/>
          <w:highlight w:val="none"/>
        </w:rPr>
        <w:t>　　投标人和其他利害关系人认为本次招标活动违反法律、法规和规章规定的，有权向有关行政监督部门投诉。</w:t>
      </w:r>
    </w:p>
    <w:p w14:paraId="2771647F">
      <w:pPr>
        <w:pStyle w:val="4"/>
        <w:spacing w:line="360" w:lineRule="auto"/>
        <w:rPr>
          <w:rFonts w:hint="eastAsia" w:ascii="宋体" w:hAnsi="宋体" w:eastAsia="宋体"/>
          <w:b/>
          <w:color w:val="auto"/>
          <w:sz w:val="28"/>
          <w:highlight w:val="none"/>
        </w:rPr>
      </w:pPr>
      <w:bookmarkStart w:id="525" w:name="_Toc16569"/>
      <w:bookmarkStart w:id="526" w:name="_Toc8612"/>
      <w:bookmarkStart w:id="527" w:name="_Toc7242"/>
      <w:bookmarkStart w:id="528" w:name="_Toc17840"/>
      <w:bookmarkStart w:id="529" w:name="_Toc25044"/>
      <w:bookmarkStart w:id="530" w:name="_Toc9472"/>
      <w:bookmarkStart w:id="531" w:name="_Toc39698064"/>
      <w:r>
        <w:rPr>
          <w:rFonts w:hint="eastAsia" w:ascii="宋体" w:hAnsi="宋体" w:eastAsia="宋体"/>
          <w:b/>
          <w:color w:val="auto"/>
          <w:sz w:val="28"/>
          <w:highlight w:val="none"/>
        </w:rPr>
        <w:t>9.电子招标投标</w:t>
      </w:r>
      <w:bookmarkEnd w:id="525"/>
      <w:bookmarkEnd w:id="526"/>
      <w:bookmarkEnd w:id="527"/>
      <w:bookmarkEnd w:id="528"/>
      <w:bookmarkEnd w:id="529"/>
      <w:bookmarkEnd w:id="530"/>
    </w:p>
    <w:p w14:paraId="4429324E">
      <w:pPr>
        <w:spacing w:line="360" w:lineRule="auto"/>
        <w:ind w:firstLine="440" w:firstLineChars="200"/>
        <w:rPr>
          <w:color w:val="auto"/>
          <w:sz w:val="22"/>
          <w:szCs w:val="28"/>
          <w:highlight w:val="none"/>
        </w:rPr>
      </w:pPr>
      <w:r>
        <w:rPr>
          <w:color w:val="auto"/>
          <w:sz w:val="22"/>
          <w:szCs w:val="28"/>
          <w:highlight w:val="none"/>
        </w:rPr>
        <w:t>本招标项目是否采用电子招标投标方式，见投标人须知前附表。</w:t>
      </w:r>
    </w:p>
    <w:p w14:paraId="7B7BAFD3">
      <w:pPr>
        <w:pStyle w:val="4"/>
        <w:spacing w:line="360" w:lineRule="auto"/>
        <w:rPr>
          <w:rFonts w:hint="eastAsia" w:ascii="宋体" w:hAnsi="宋体" w:eastAsia="宋体"/>
          <w:b/>
          <w:color w:val="auto"/>
          <w:sz w:val="28"/>
          <w:highlight w:val="none"/>
        </w:rPr>
      </w:pPr>
      <w:bookmarkStart w:id="532" w:name="_Toc23553"/>
      <w:bookmarkStart w:id="533" w:name="_Toc8370"/>
      <w:bookmarkStart w:id="534" w:name="_Toc24301"/>
      <w:bookmarkStart w:id="535" w:name="_Toc9339"/>
      <w:bookmarkStart w:id="536" w:name="_Toc28840"/>
      <w:bookmarkStart w:id="537" w:name="_Toc15921"/>
      <w:r>
        <w:rPr>
          <w:rFonts w:hint="eastAsia" w:ascii="宋体" w:hAnsi="宋体" w:eastAsia="宋体"/>
          <w:b/>
          <w:color w:val="auto"/>
          <w:sz w:val="28"/>
          <w:highlight w:val="none"/>
        </w:rPr>
        <w:t>10.需要补充的其他内容</w:t>
      </w:r>
      <w:bookmarkEnd w:id="531"/>
      <w:bookmarkEnd w:id="532"/>
      <w:bookmarkEnd w:id="533"/>
      <w:bookmarkEnd w:id="534"/>
      <w:bookmarkEnd w:id="535"/>
      <w:bookmarkEnd w:id="536"/>
      <w:bookmarkEnd w:id="537"/>
    </w:p>
    <w:p w14:paraId="53153B85">
      <w:pPr>
        <w:spacing w:line="348" w:lineRule="auto"/>
        <w:rPr>
          <w:rFonts w:hint="eastAsia" w:ascii="宋体" w:hAnsi="宋体"/>
          <w:color w:val="auto"/>
          <w:highlight w:val="none"/>
        </w:rPr>
      </w:pPr>
      <w:r>
        <w:rPr>
          <w:rFonts w:hint="eastAsia" w:ascii="宋体" w:hAnsi="宋体"/>
          <w:color w:val="auto"/>
          <w:sz w:val="22"/>
          <w:szCs w:val="28"/>
          <w:highlight w:val="none"/>
        </w:rPr>
        <w:t xml:space="preserve">    需要补充的其他内容：见投标人须知前附表。</w:t>
      </w:r>
    </w:p>
    <w:p w14:paraId="70993F8B">
      <w:pPr>
        <w:pStyle w:val="3"/>
        <w:jc w:val="center"/>
        <w:rPr>
          <w:rFonts w:hint="eastAsia" w:ascii="宋体" w:hAnsi="宋体" w:eastAsia="宋体"/>
          <w:color w:val="auto"/>
          <w:highlight w:val="none"/>
        </w:rPr>
        <w:sectPr>
          <w:headerReference r:id="rId5" w:type="default"/>
          <w:footerReference r:id="rId6" w:type="default"/>
          <w:pgSz w:w="11907" w:h="16840"/>
          <w:pgMar w:top="1440" w:right="1797" w:bottom="1440" w:left="1797" w:header="851" w:footer="992" w:gutter="0"/>
          <w:pgNumType w:fmt="numberInDash"/>
          <w:cols w:space="720" w:num="1"/>
          <w:docGrid w:type="linesAndChars" w:linePitch="326" w:charSpace="0"/>
        </w:sectPr>
      </w:pPr>
      <w:bookmarkStart w:id="538" w:name="_Toc144974554"/>
      <w:bookmarkStart w:id="539" w:name="_Toc221950356"/>
      <w:bookmarkStart w:id="540" w:name="_Toc222033841"/>
      <w:bookmarkStart w:id="541" w:name="_Toc168475702"/>
      <w:bookmarkStart w:id="542" w:name="_Toc229408480"/>
      <w:bookmarkStart w:id="543" w:name="_Toc222032659"/>
      <w:bookmarkStart w:id="544" w:name="_Toc222029490"/>
      <w:bookmarkStart w:id="545" w:name="_Toc168476105"/>
      <w:bookmarkStart w:id="546" w:name="_Toc229305350"/>
      <w:bookmarkStart w:id="547" w:name="_Toc222030992"/>
    </w:p>
    <w:p w14:paraId="4227BCB8">
      <w:pPr>
        <w:pStyle w:val="3"/>
        <w:spacing w:before="0" w:after="0"/>
        <w:jc w:val="center"/>
        <w:rPr>
          <w:rFonts w:hint="eastAsia" w:ascii="宋体" w:hAnsi="宋体" w:eastAsia="宋体"/>
          <w:color w:val="auto"/>
          <w:highlight w:val="none"/>
        </w:rPr>
      </w:pPr>
      <w:bookmarkStart w:id="548" w:name="_Toc39698065"/>
      <w:bookmarkStart w:id="549" w:name="_Toc1528"/>
      <w:bookmarkStart w:id="550" w:name="_Toc21618"/>
      <w:bookmarkStart w:id="551" w:name="_Toc22040"/>
      <w:bookmarkStart w:id="552" w:name="_Toc18414"/>
      <w:bookmarkStart w:id="553" w:name="_Toc21842"/>
      <w:bookmarkStart w:id="554" w:name="_Toc10443"/>
      <w:r>
        <w:rPr>
          <w:rFonts w:hint="eastAsia" w:ascii="宋体" w:hAnsi="宋体" w:eastAsia="宋体"/>
          <w:color w:val="auto"/>
          <w:highlight w:val="none"/>
        </w:rPr>
        <w:t>第三章 评标办法</w:t>
      </w:r>
      <w:bookmarkEnd w:id="538"/>
      <w:bookmarkEnd w:id="539"/>
      <w:bookmarkEnd w:id="540"/>
      <w:bookmarkEnd w:id="541"/>
      <w:bookmarkEnd w:id="542"/>
      <w:bookmarkEnd w:id="543"/>
      <w:bookmarkEnd w:id="544"/>
      <w:bookmarkEnd w:id="545"/>
      <w:bookmarkEnd w:id="546"/>
      <w:bookmarkEnd w:id="547"/>
      <w:bookmarkEnd w:id="548"/>
      <w:r>
        <w:rPr>
          <w:rFonts w:hint="eastAsia" w:ascii="宋体" w:hAnsi="宋体" w:eastAsia="宋体"/>
          <w:color w:val="auto"/>
          <w:highlight w:val="none"/>
        </w:rPr>
        <w:t>（综合评估法）</w:t>
      </w:r>
      <w:bookmarkEnd w:id="549"/>
      <w:bookmarkEnd w:id="550"/>
      <w:bookmarkEnd w:id="551"/>
      <w:bookmarkEnd w:id="552"/>
      <w:bookmarkEnd w:id="553"/>
      <w:bookmarkEnd w:id="554"/>
    </w:p>
    <w:p w14:paraId="097FB730">
      <w:pPr>
        <w:pStyle w:val="4"/>
        <w:spacing w:before="0" w:after="0" w:line="415" w:lineRule="auto"/>
        <w:jc w:val="center"/>
        <w:rPr>
          <w:rFonts w:hint="eastAsia" w:ascii="宋体" w:hAnsi="宋体" w:eastAsia="宋体"/>
          <w:b/>
          <w:color w:val="auto"/>
          <w:sz w:val="30"/>
          <w:szCs w:val="30"/>
          <w:highlight w:val="none"/>
        </w:rPr>
      </w:pPr>
      <w:bookmarkStart w:id="555" w:name="_Toc4091"/>
      <w:bookmarkStart w:id="556" w:name="_Toc14416"/>
      <w:bookmarkStart w:id="557" w:name="_Toc7933"/>
      <w:bookmarkStart w:id="558" w:name="_Toc296602487"/>
      <w:bookmarkStart w:id="559" w:name="_Toc27406"/>
      <w:bookmarkStart w:id="560" w:name="_Toc28228"/>
      <w:bookmarkStart w:id="561" w:name="_Toc39698066"/>
      <w:bookmarkStart w:id="562" w:name="_Toc22711"/>
      <w:r>
        <w:rPr>
          <w:rFonts w:hint="eastAsia" w:ascii="宋体" w:hAnsi="宋体" w:eastAsia="宋体"/>
          <w:b/>
          <w:color w:val="auto"/>
          <w:sz w:val="30"/>
          <w:szCs w:val="30"/>
          <w:highlight w:val="none"/>
        </w:rPr>
        <w:t>评标办法前附表</w:t>
      </w:r>
      <w:bookmarkEnd w:id="555"/>
      <w:bookmarkEnd w:id="556"/>
      <w:bookmarkEnd w:id="557"/>
      <w:bookmarkEnd w:id="558"/>
      <w:bookmarkEnd w:id="559"/>
      <w:bookmarkEnd w:id="560"/>
      <w:bookmarkEnd w:id="561"/>
      <w:bookmarkEnd w:id="562"/>
    </w:p>
    <w:tbl>
      <w:tblPr>
        <w:tblStyle w:val="17"/>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7"/>
        <w:gridCol w:w="1095"/>
        <w:gridCol w:w="2044"/>
        <w:gridCol w:w="5771"/>
      </w:tblGrid>
      <w:tr w14:paraId="15B7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2" w:type="dxa"/>
            <w:gridSpan w:val="3"/>
            <w:tcBorders>
              <w:tl2br w:val="nil"/>
              <w:tr2bl w:val="nil"/>
            </w:tcBorders>
            <w:shd w:val="clear" w:color="auto" w:fill="FEFEFE"/>
            <w:vAlign w:val="center"/>
          </w:tcPr>
          <w:p w14:paraId="03A365D6">
            <w:pPr>
              <w:wordWrap w:val="0"/>
              <w:topLinePunct/>
              <w:spacing w:before="62" w:beforeLines="20" w:after="62" w:afterLines="20"/>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2044" w:type="dxa"/>
            <w:tcBorders>
              <w:tl2br w:val="nil"/>
              <w:tr2bl w:val="nil"/>
            </w:tcBorders>
            <w:shd w:val="clear" w:color="auto" w:fill="FEFEFE"/>
            <w:vAlign w:val="center"/>
          </w:tcPr>
          <w:p w14:paraId="2E867B77">
            <w:pPr>
              <w:wordWrap w:val="0"/>
              <w:topLinePunct/>
              <w:spacing w:before="62" w:beforeLines="20" w:after="62" w:afterLines="20"/>
              <w:jc w:val="center"/>
              <w:rPr>
                <w:rFonts w:hint="eastAsia" w:ascii="宋体" w:hAnsi="宋体"/>
                <w:b/>
                <w:color w:val="auto"/>
                <w:szCs w:val="21"/>
                <w:highlight w:val="none"/>
              </w:rPr>
            </w:pPr>
            <w:r>
              <w:rPr>
                <w:rFonts w:hint="eastAsia" w:ascii="宋体" w:hAnsi="宋体"/>
                <w:b/>
                <w:color w:val="auto"/>
                <w:szCs w:val="21"/>
                <w:highlight w:val="none"/>
              </w:rPr>
              <w:t>评审因素</w:t>
            </w:r>
          </w:p>
        </w:tc>
        <w:tc>
          <w:tcPr>
            <w:tcW w:w="5771" w:type="dxa"/>
            <w:tcBorders>
              <w:tl2br w:val="nil"/>
              <w:tr2bl w:val="nil"/>
            </w:tcBorders>
            <w:shd w:val="clear" w:color="auto" w:fill="FEFEFE"/>
            <w:vAlign w:val="center"/>
          </w:tcPr>
          <w:p w14:paraId="783B4AF6">
            <w:pPr>
              <w:wordWrap w:val="0"/>
              <w:topLinePunct/>
              <w:spacing w:before="62" w:beforeLines="20" w:after="62" w:afterLines="20"/>
              <w:jc w:val="center"/>
              <w:rPr>
                <w:rFonts w:hint="eastAsia" w:ascii="宋体" w:hAnsi="宋体"/>
                <w:b/>
                <w:color w:val="auto"/>
                <w:szCs w:val="21"/>
                <w:highlight w:val="none"/>
              </w:rPr>
            </w:pPr>
            <w:r>
              <w:rPr>
                <w:rFonts w:hint="eastAsia" w:ascii="宋体" w:hAnsi="宋体"/>
                <w:b/>
                <w:color w:val="auto"/>
                <w:szCs w:val="21"/>
                <w:highlight w:val="none"/>
              </w:rPr>
              <w:t>评审标准</w:t>
            </w:r>
          </w:p>
        </w:tc>
      </w:tr>
      <w:tr w14:paraId="4A5D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l2br w:val="nil"/>
              <w:tr2bl w:val="nil"/>
            </w:tcBorders>
            <w:shd w:val="clear" w:color="auto" w:fill="FEFEFE"/>
            <w:vAlign w:val="center"/>
          </w:tcPr>
          <w:p w14:paraId="422F38F6">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2.1.1</w:t>
            </w:r>
          </w:p>
        </w:tc>
        <w:tc>
          <w:tcPr>
            <w:tcW w:w="1402" w:type="dxa"/>
            <w:gridSpan w:val="2"/>
            <w:vMerge w:val="restart"/>
            <w:tcBorders>
              <w:tl2br w:val="nil"/>
              <w:tr2bl w:val="nil"/>
            </w:tcBorders>
            <w:shd w:val="clear" w:color="auto" w:fill="FEFEFE"/>
            <w:vAlign w:val="center"/>
          </w:tcPr>
          <w:p w14:paraId="28A91E1E">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形式评审标准</w:t>
            </w:r>
          </w:p>
        </w:tc>
        <w:tc>
          <w:tcPr>
            <w:tcW w:w="2044" w:type="dxa"/>
            <w:tcBorders>
              <w:tl2br w:val="nil"/>
              <w:tr2bl w:val="nil"/>
            </w:tcBorders>
            <w:shd w:val="clear" w:color="auto" w:fill="FEFEFE"/>
            <w:vAlign w:val="center"/>
          </w:tcPr>
          <w:p w14:paraId="7AF53C30">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5771" w:type="dxa"/>
            <w:tcBorders>
              <w:tl2br w:val="nil"/>
              <w:tr2bl w:val="nil"/>
            </w:tcBorders>
            <w:shd w:val="clear" w:color="auto" w:fill="FEFEFE"/>
            <w:vAlign w:val="center"/>
          </w:tcPr>
          <w:p w14:paraId="2D12EEBB">
            <w:pPr>
              <w:wordWrap w:val="0"/>
              <w:topLinePunct/>
              <w:spacing w:before="62" w:beforeLines="20" w:after="62" w:afterLines="20"/>
              <w:rPr>
                <w:rFonts w:hint="eastAsia" w:ascii="宋体" w:hAnsi="宋体"/>
                <w:color w:val="auto"/>
                <w:szCs w:val="21"/>
                <w:highlight w:val="none"/>
              </w:rPr>
            </w:pPr>
            <w:r>
              <w:rPr>
                <w:rFonts w:hint="eastAsia" w:ascii="宋体" w:hAnsi="宋体"/>
                <w:color w:val="auto"/>
                <w:szCs w:val="21"/>
                <w:highlight w:val="none"/>
              </w:rPr>
              <w:t>与营业执照、资质证书、安全生产许可证一致</w:t>
            </w:r>
          </w:p>
        </w:tc>
      </w:tr>
      <w:tr w14:paraId="381C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779F7665">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B8DF774">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505AF33C">
            <w:pPr>
              <w:wordWrap w:val="0"/>
              <w:topLinePunct/>
              <w:adjustRightInd w:val="0"/>
              <w:spacing w:before="62" w:beforeLines="20" w:after="62" w:afterLines="20"/>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投标文件签字盖章</w:t>
            </w:r>
          </w:p>
        </w:tc>
        <w:tc>
          <w:tcPr>
            <w:tcW w:w="5771" w:type="dxa"/>
            <w:tcBorders>
              <w:tl2br w:val="nil"/>
              <w:tr2bl w:val="nil"/>
            </w:tcBorders>
            <w:shd w:val="clear" w:color="auto" w:fill="FEFEFE"/>
            <w:vAlign w:val="center"/>
          </w:tcPr>
          <w:p w14:paraId="4C321352">
            <w:pPr>
              <w:wordWrap w:val="0"/>
              <w:topLinePunct/>
              <w:adjustRightInd w:val="0"/>
              <w:spacing w:before="62" w:beforeLines="20" w:after="62" w:afterLines="20"/>
              <w:textAlignment w:val="baseline"/>
              <w:rPr>
                <w:rFonts w:hint="eastAsia" w:ascii="宋体" w:hAnsi="宋体"/>
                <w:color w:val="auto"/>
                <w:szCs w:val="21"/>
                <w:highlight w:val="none"/>
              </w:rPr>
            </w:pPr>
            <w:r>
              <w:rPr>
                <w:rFonts w:hint="eastAsia" w:ascii="宋体" w:hAnsi="宋体"/>
                <w:color w:val="auto"/>
                <w:szCs w:val="21"/>
                <w:highlight w:val="none"/>
              </w:rPr>
              <w:t>符合第二章“投标人须知”3.7.5要求</w:t>
            </w:r>
          </w:p>
        </w:tc>
      </w:tr>
      <w:tr w14:paraId="0B0E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28E17C5E">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6D6CDE2A">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0493DE0F">
            <w:pPr>
              <w:wordWrap w:val="0"/>
              <w:topLinePunct/>
              <w:adjustRightInd w:val="0"/>
              <w:spacing w:before="62" w:beforeLines="20" w:after="62" w:afterLines="20"/>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投标文件电脑机器特征码</w:t>
            </w:r>
          </w:p>
        </w:tc>
        <w:tc>
          <w:tcPr>
            <w:tcW w:w="5771" w:type="dxa"/>
            <w:tcBorders>
              <w:tl2br w:val="nil"/>
              <w:tr2bl w:val="nil"/>
            </w:tcBorders>
            <w:shd w:val="clear" w:color="auto" w:fill="FEFEFE"/>
            <w:vAlign w:val="center"/>
          </w:tcPr>
          <w:p w14:paraId="37BA8F09">
            <w:pPr>
              <w:wordWrap w:val="0"/>
              <w:topLinePunct/>
              <w:adjustRightInd w:val="0"/>
              <w:spacing w:before="62" w:beforeLines="20" w:after="62" w:afterLines="20"/>
              <w:jc w:val="left"/>
              <w:textAlignment w:val="baseline"/>
              <w:rPr>
                <w:rFonts w:hint="eastAsia" w:ascii="宋体" w:hAnsi="宋体"/>
                <w:color w:val="auto"/>
                <w:szCs w:val="21"/>
                <w:highlight w:val="none"/>
              </w:rPr>
            </w:pPr>
            <w:r>
              <w:rPr>
                <w:rFonts w:hint="eastAsia" w:ascii="宋体" w:hAnsi="宋体"/>
                <w:color w:val="auto"/>
                <w:szCs w:val="21"/>
                <w:highlight w:val="none"/>
              </w:rPr>
              <w:t>投标人与其他投标人加密打包投标文件电脑机器特征码一致的（以广州公共资源交易中心电子交易平台评标系统的检索信息为准），投标文件被否决。</w:t>
            </w:r>
          </w:p>
        </w:tc>
      </w:tr>
      <w:tr w14:paraId="11BA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37C1FE64">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28490577">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1463767B">
            <w:pPr>
              <w:wordWrap w:val="0"/>
              <w:topLinePunct/>
              <w:adjustRightInd w:val="0"/>
              <w:spacing w:before="62" w:beforeLines="20" w:after="62" w:afterLines="20"/>
              <w:jc w:val="center"/>
              <w:textAlignment w:val="baseline"/>
              <w:rPr>
                <w:rFonts w:hint="eastAsia" w:ascii="宋体" w:hAnsi="宋体"/>
                <w:color w:val="auto"/>
                <w:szCs w:val="21"/>
                <w:highlight w:val="none"/>
              </w:rPr>
            </w:pPr>
            <w:r>
              <w:rPr>
                <w:rFonts w:hint="eastAsia" w:ascii="宋体" w:hAnsi="宋体"/>
                <w:color w:val="auto"/>
                <w:szCs w:val="21"/>
                <w:highlight w:val="none"/>
              </w:rPr>
              <w:t>投标文件格式</w:t>
            </w:r>
          </w:p>
        </w:tc>
        <w:tc>
          <w:tcPr>
            <w:tcW w:w="5771" w:type="dxa"/>
            <w:tcBorders>
              <w:tl2br w:val="nil"/>
              <w:tr2bl w:val="nil"/>
            </w:tcBorders>
            <w:shd w:val="clear" w:color="auto" w:fill="FEFEFE"/>
            <w:vAlign w:val="center"/>
          </w:tcPr>
          <w:p w14:paraId="46C514C4">
            <w:pPr>
              <w:wordWrap w:val="0"/>
              <w:topLinePunct/>
              <w:adjustRightInd w:val="0"/>
              <w:spacing w:before="62" w:beforeLines="20" w:after="62" w:afterLines="20"/>
              <w:textAlignment w:val="baseline"/>
              <w:rPr>
                <w:rFonts w:hint="eastAsia" w:ascii="宋体" w:hAnsi="宋体"/>
                <w:color w:val="auto"/>
                <w:szCs w:val="21"/>
                <w:highlight w:val="none"/>
              </w:rPr>
            </w:pPr>
            <w:r>
              <w:rPr>
                <w:rFonts w:hint="eastAsia" w:ascii="宋体" w:hAnsi="宋体"/>
                <w:color w:val="auto"/>
                <w:szCs w:val="21"/>
                <w:highlight w:val="none"/>
              </w:rPr>
              <w:t>符合第八章“投标文件格式”的要求</w:t>
            </w:r>
          </w:p>
        </w:tc>
      </w:tr>
      <w:tr w14:paraId="1DC8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900" w:type="dxa"/>
            <w:vMerge w:val="continue"/>
            <w:tcBorders>
              <w:tl2br w:val="nil"/>
              <w:tr2bl w:val="nil"/>
            </w:tcBorders>
            <w:shd w:val="clear" w:color="auto" w:fill="FEFEFE"/>
            <w:vAlign w:val="center"/>
          </w:tcPr>
          <w:p w14:paraId="38DAB200">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8EB6C2A">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3AA149A5">
            <w:pPr>
              <w:wordWrap w:val="0"/>
              <w:topLinePunct/>
              <w:adjustRightInd w:val="0"/>
              <w:spacing w:before="62" w:beforeLines="20" w:after="62" w:afterLines="20"/>
              <w:jc w:val="center"/>
              <w:textAlignment w:val="baseline"/>
              <w:rPr>
                <w:rFonts w:hint="eastAsia" w:ascii="宋体" w:hAnsi="宋体"/>
                <w:color w:val="auto"/>
                <w:szCs w:val="21"/>
                <w:highlight w:val="none"/>
              </w:rPr>
            </w:pPr>
            <w:r>
              <w:rPr>
                <w:rFonts w:hint="eastAsia" w:ascii="宋体" w:hAnsi="宋体"/>
                <w:color w:val="auto"/>
                <w:szCs w:val="21"/>
                <w:highlight w:val="none"/>
              </w:rPr>
              <w:t>报价唯一</w:t>
            </w:r>
          </w:p>
        </w:tc>
        <w:tc>
          <w:tcPr>
            <w:tcW w:w="5771" w:type="dxa"/>
            <w:tcBorders>
              <w:tl2br w:val="nil"/>
              <w:tr2bl w:val="nil"/>
            </w:tcBorders>
            <w:shd w:val="clear" w:color="auto" w:fill="FEFEFE"/>
            <w:vAlign w:val="center"/>
          </w:tcPr>
          <w:p w14:paraId="5893163B">
            <w:pPr>
              <w:wordWrap w:val="0"/>
              <w:topLinePunct/>
              <w:adjustRightInd w:val="0"/>
              <w:spacing w:before="62" w:beforeLines="20" w:after="62" w:afterLines="20"/>
              <w:textAlignment w:val="baseline"/>
              <w:rPr>
                <w:rFonts w:hint="eastAsia" w:ascii="宋体" w:hAnsi="宋体"/>
                <w:color w:val="auto"/>
                <w:szCs w:val="21"/>
                <w:highlight w:val="none"/>
              </w:rPr>
            </w:pPr>
            <w:r>
              <w:rPr>
                <w:rFonts w:hint="eastAsia" w:ascii="宋体" w:hAnsi="宋体"/>
                <w:color w:val="auto"/>
                <w:szCs w:val="21"/>
                <w:highlight w:val="none"/>
              </w:rPr>
              <w:t>只能有一个有效报价。</w:t>
            </w:r>
          </w:p>
        </w:tc>
      </w:tr>
      <w:tr w14:paraId="3D79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l2br w:val="nil"/>
              <w:tr2bl w:val="nil"/>
            </w:tcBorders>
            <w:shd w:val="clear" w:color="auto" w:fill="FEFEFE"/>
            <w:vAlign w:val="center"/>
          </w:tcPr>
          <w:p w14:paraId="3A7C99A0">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2.1.2</w:t>
            </w:r>
          </w:p>
        </w:tc>
        <w:tc>
          <w:tcPr>
            <w:tcW w:w="1402" w:type="dxa"/>
            <w:gridSpan w:val="2"/>
            <w:vMerge w:val="restart"/>
            <w:tcBorders>
              <w:tl2br w:val="nil"/>
              <w:tr2bl w:val="nil"/>
            </w:tcBorders>
            <w:shd w:val="clear" w:color="auto" w:fill="FEFEFE"/>
            <w:vAlign w:val="center"/>
          </w:tcPr>
          <w:p w14:paraId="591E509C">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资格评审标准</w:t>
            </w:r>
          </w:p>
        </w:tc>
        <w:tc>
          <w:tcPr>
            <w:tcW w:w="2044" w:type="dxa"/>
            <w:tcBorders>
              <w:tl2br w:val="nil"/>
              <w:tr2bl w:val="nil"/>
            </w:tcBorders>
            <w:shd w:val="clear" w:color="auto" w:fill="FEFEFE"/>
            <w:vAlign w:val="center"/>
          </w:tcPr>
          <w:p w14:paraId="7B07676E">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营业执照</w:t>
            </w:r>
          </w:p>
        </w:tc>
        <w:tc>
          <w:tcPr>
            <w:tcW w:w="5771" w:type="dxa"/>
            <w:tcBorders>
              <w:tl2br w:val="nil"/>
              <w:tr2bl w:val="nil"/>
            </w:tcBorders>
            <w:shd w:val="clear" w:color="auto" w:fill="FEFEFE"/>
            <w:vAlign w:val="center"/>
          </w:tcPr>
          <w:p w14:paraId="6617E357">
            <w:pPr>
              <w:wordWrap w:val="0"/>
              <w:topLinePunct/>
              <w:spacing w:before="62" w:beforeLines="20" w:after="62" w:afterLines="20"/>
              <w:rPr>
                <w:rFonts w:hint="eastAsia" w:ascii="宋体" w:hAnsi="宋体"/>
                <w:color w:val="auto"/>
                <w:szCs w:val="21"/>
                <w:highlight w:val="none"/>
              </w:rPr>
            </w:pPr>
            <w:r>
              <w:rPr>
                <w:rFonts w:hint="eastAsia" w:ascii="宋体" w:hAnsi="宋体"/>
                <w:color w:val="auto"/>
                <w:szCs w:val="21"/>
                <w:highlight w:val="none"/>
              </w:rPr>
              <w:t>具备有效的营业执照</w:t>
            </w:r>
          </w:p>
        </w:tc>
      </w:tr>
      <w:tr w14:paraId="09F0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7691F66C">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58A79514">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tcPr>
          <w:p w14:paraId="300F063F">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安全生产许可证</w:t>
            </w:r>
          </w:p>
        </w:tc>
        <w:tc>
          <w:tcPr>
            <w:tcW w:w="5771" w:type="dxa"/>
            <w:tcBorders>
              <w:tl2br w:val="nil"/>
              <w:tr2bl w:val="nil"/>
            </w:tcBorders>
            <w:shd w:val="clear" w:color="auto" w:fill="FEFEFE"/>
          </w:tcPr>
          <w:p w14:paraId="4B6F5A87">
            <w:pPr>
              <w:wordWrap w:val="0"/>
              <w:topLinePunct/>
              <w:spacing w:before="62" w:beforeLines="20" w:after="62" w:afterLines="20"/>
              <w:rPr>
                <w:rFonts w:hint="eastAsia" w:ascii="宋体" w:hAnsi="宋体"/>
                <w:color w:val="auto"/>
                <w:szCs w:val="21"/>
                <w:highlight w:val="none"/>
              </w:rPr>
            </w:pPr>
            <w:r>
              <w:rPr>
                <w:rFonts w:hint="eastAsia" w:ascii="宋体" w:hAnsi="宋体"/>
                <w:color w:val="auto"/>
                <w:szCs w:val="21"/>
                <w:highlight w:val="none"/>
              </w:rPr>
              <w:t>具备有效的安全生产许可证</w:t>
            </w:r>
          </w:p>
        </w:tc>
      </w:tr>
      <w:tr w14:paraId="390D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7868F6F9">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6DD7A584">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04F5AAEC">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5771" w:type="dxa"/>
            <w:tcBorders>
              <w:tl2br w:val="nil"/>
              <w:tr2bl w:val="nil"/>
            </w:tcBorders>
            <w:shd w:val="clear" w:color="auto" w:fill="FEFEFE"/>
            <w:vAlign w:val="center"/>
          </w:tcPr>
          <w:p w14:paraId="5FAADDD9">
            <w:pPr>
              <w:wordWrap w:val="0"/>
              <w:topLinePunct/>
              <w:spacing w:before="62" w:beforeLines="20" w:after="62" w:afterLines="20"/>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57AE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5F3BFCBF">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1B5C0873">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34BCEE2F">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业绩要求</w:t>
            </w:r>
          </w:p>
        </w:tc>
        <w:tc>
          <w:tcPr>
            <w:tcW w:w="5771" w:type="dxa"/>
            <w:tcBorders>
              <w:tl2br w:val="nil"/>
              <w:tr2bl w:val="nil"/>
            </w:tcBorders>
            <w:shd w:val="clear" w:color="auto" w:fill="FEFEFE"/>
            <w:vAlign w:val="center"/>
          </w:tcPr>
          <w:p w14:paraId="4F0A42B6">
            <w:pPr>
              <w:wordWrap w:val="0"/>
              <w:topLinePunct/>
              <w:adjustRightInd w:val="0"/>
              <w:spacing w:before="62" w:beforeLines="20" w:after="62" w:afterLines="20"/>
              <w:textAlignment w:val="baseline"/>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3617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4DD315EA">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5FCA0AE">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37ACF18D">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信誉要求</w:t>
            </w:r>
          </w:p>
        </w:tc>
        <w:tc>
          <w:tcPr>
            <w:tcW w:w="5771" w:type="dxa"/>
            <w:tcBorders>
              <w:tl2br w:val="nil"/>
              <w:tr2bl w:val="nil"/>
            </w:tcBorders>
            <w:shd w:val="clear" w:color="auto" w:fill="FEFEFE"/>
            <w:vAlign w:val="center"/>
          </w:tcPr>
          <w:p w14:paraId="00BB8CDC">
            <w:pPr>
              <w:wordWrap w:val="0"/>
              <w:topLinePunct/>
              <w:adjustRightInd w:val="0"/>
              <w:spacing w:before="62" w:beforeLines="20" w:after="62" w:afterLines="20"/>
              <w:textAlignment w:val="baseline"/>
              <w:rPr>
                <w:rFonts w:hint="eastAsia" w:ascii="宋体" w:hAnsi="宋体"/>
                <w:color w:val="auto"/>
                <w:highlight w:val="none"/>
              </w:rPr>
            </w:pPr>
            <w:r>
              <w:rPr>
                <w:rFonts w:hint="eastAsia" w:ascii="宋体" w:hAnsi="宋体"/>
                <w:color w:val="auto"/>
                <w:szCs w:val="21"/>
                <w:highlight w:val="none"/>
              </w:rPr>
              <w:t>符合第二章“投标人须知”第1.4.1项规定</w:t>
            </w:r>
          </w:p>
        </w:tc>
      </w:tr>
      <w:tr w14:paraId="4ACC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4210AA71">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14677C5B">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611A7796">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财务要求</w:t>
            </w:r>
          </w:p>
        </w:tc>
        <w:tc>
          <w:tcPr>
            <w:tcW w:w="5771" w:type="dxa"/>
            <w:tcBorders>
              <w:tl2br w:val="nil"/>
              <w:tr2bl w:val="nil"/>
            </w:tcBorders>
            <w:shd w:val="clear" w:color="auto" w:fill="FEFEFE"/>
            <w:vAlign w:val="center"/>
          </w:tcPr>
          <w:p w14:paraId="4F6AAF1A">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0F37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1A5B3942">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8B0463C">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5D833A8C">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5771" w:type="dxa"/>
            <w:tcBorders>
              <w:tl2br w:val="nil"/>
              <w:tr2bl w:val="nil"/>
            </w:tcBorders>
            <w:shd w:val="clear" w:color="auto" w:fill="FEFEFE"/>
            <w:vAlign w:val="center"/>
          </w:tcPr>
          <w:p w14:paraId="0E69E308">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0FA2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595F91C6">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42683B29">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33B272C1">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5771" w:type="dxa"/>
            <w:tcBorders>
              <w:tl2br w:val="nil"/>
              <w:tr2bl w:val="nil"/>
            </w:tcBorders>
            <w:shd w:val="clear" w:color="auto" w:fill="FEFEFE"/>
            <w:vAlign w:val="center"/>
          </w:tcPr>
          <w:p w14:paraId="5FE92E4D">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符合第二章“投标人须知”第1.4.1项规定</w:t>
            </w:r>
          </w:p>
        </w:tc>
      </w:tr>
      <w:tr w14:paraId="468A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5D513DDB">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10BEE6E8">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06AD1EC9">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不存在禁止投标的情形</w:t>
            </w:r>
          </w:p>
        </w:tc>
        <w:tc>
          <w:tcPr>
            <w:tcW w:w="5771" w:type="dxa"/>
            <w:tcBorders>
              <w:tl2br w:val="nil"/>
              <w:tr2bl w:val="nil"/>
            </w:tcBorders>
            <w:shd w:val="clear" w:color="auto" w:fill="FEFEFE"/>
            <w:vAlign w:val="center"/>
          </w:tcPr>
          <w:p w14:paraId="3A82C9F4">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不存在第二章“投标人须知”第1.4.3项规定的任何一种情形</w:t>
            </w:r>
          </w:p>
        </w:tc>
      </w:tr>
      <w:tr w14:paraId="37A0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tcBorders>
              <w:tl2br w:val="nil"/>
              <w:tr2bl w:val="nil"/>
            </w:tcBorders>
            <w:shd w:val="clear" w:color="auto" w:fill="FEFEFE"/>
            <w:vAlign w:val="center"/>
          </w:tcPr>
          <w:p w14:paraId="48848C1D">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2.1.3</w:t>
            </w:r>
          </w:p>
        </w:tc>
        <w:tc>
          <w:tcPr>
            <w:tcW w:w="1402" w:type="dxa"/>
            <w:gridSpan w:val="2"/>
            <w:vMerge w:val="restart"/>
            <w:tcBorders>
              <w:tl2br w:val="nil"/>
              <w:tr2bl w:val="nil"/>
            </w:tcBorders>
            <w:shd w:val="clear" w:color="auto" w:fill="FEFEFE"/>
            <w:vAlign w:val="center"/>
          </w:tcPr>
          <w:p w14:paraId="20000D54">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响应性</w:t>
            </w:r>
          </w:p>
          <w:p w14:paraId="3D0C0C5C">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评审</w:t>
            </w:r>
          </w:p>
          <w:p w14:paraId="1242EBC8">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标准</w:t>
            </w:r>
          </w:p>
        </w:tc>
        <w:tc>
          <w:tcPr>
            <w:tcW w:w="2044" w:type="dxa"/>
            <w:tcBorders>
              <w:tl2br w:val="nil"/>
              <w:tr2bl w:val="nil"/>
            </w:tcBorders>
            <w:shd w:val="clear" w:color="auto" w:fill="FEFEFE"/>
            <w:vAlign w:val="center"/>
          </w:tcPr>
          <w:p w14:paraId="2C5C20A3">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投标报价</w:t>
            </w:r>
          </w:p>
        </w:tc>
        <w:tc>
          <w:tcPr>
            <w:tcW w:w="5771" w:type="dxa"/>
            <w:tcBorders>
              <w:tl2br w:val="nil"/>
              <w:tr2bl w:val="nil"/>
            </w:tcBorders>
            <w:shd w:val="clear" w:color="auto" w:fill="FEFEFE"/>
            <w:vAlign w:val="center"/>
          </w:tcPr>
          <w:p w14:paraId="655CE3E8">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符合第二章“投标人须知”第3.2款规定</w:t>
            </w:r>
          </w:p>
        </w:tc>
      </w:tr>
      <w:tr w14:paraId="0E8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143FED76">
            <w:pPr>
              <w:wordWrap w:val="0"/>
              <w:topLinePunct/>
              <w:spacing w:before="62" w:beforeLines="20" w:after="62" w:afterLines="20"/>
              <w:jc w:val="center"/>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7385865B">
            <w:pPr>
              <w:wordWrap w:val="0"/>
              <w:topLinePunct/>
              <w:spacing w:before="62" w:beforeLines="20" w:after="62" w:afterLines="20"/>
              <w:jc w:val="center"/>
              <w:rPr>
                <w:rFonts w:hint="eastAsia" w:ascii="宋体" w:hAnsi="宋体"/>
                <w:color w:val="auto"/>
                <w:szCs w:val="21"/>
                <w:highlight w:val="none"/>
              </w:rPr>
            </w:pPr>
          </w:p>
        </w:tc>
        <w:tc>
          <w:tcPr>
            <w:tcW w:w="2044" w:type="dxa"/>
            <w:tcBorders>
              <w:tl2br w:val="nil"/>
              <w:tr2bl w:val="nil"/>
            </w:tcBorders>
            <w:shd w:val="clear" w:color="auto" w:fill="FEFEFE"/>
            <w:vAlign w:val="center"/>
          </w:tcPr>
          <w:p w14:paraId="64803DA1">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lang w:val="en-US" w:eastAsia="zh-CN"/>
              </w:rPr>
              <w:t>招</w:t>
            </w:r>
            <w:r>
              <w:rPr>
                <w:rFonts w:hint="eastAsia" w:ascii="宋体" w:hAnsi="宋体"/>
                <w:color w:val="auto"/>
                <w:highlight w:val="none"/>
              </w:rPr>
              <w:t>标范围</w:t>
            </w:r>
          </w:p>
        </w:tc>
        <w:tc>
          <w:tcPr>
            <w:tcW w:w="5771" w:type="dxa"/>
            <w:tcBorders>
              <w:tl2br w:val="nil"/>
              <w:tr2bl w:val="nil"/>
            </w:tcBorders>
            <w:shd w:val="clear" w:color="auto" w:fill="FEFEFE"/>
            <w:vAlign w:val="center"/>
          </w:tcPr>
          <w:p w14:paraId="26C92AF9">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符合第二章“投标人须知”第1.3.1项规定</w:t>
            </w:r>
          </w:p>
        </w:tc>
      </w:tr>
      <w:tr w14:paraId="3714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38907EAD">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1A5880ED">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5056C1EA">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工期</w:t>
            </w:r>
          </w:p>
        </w:tc>
        <w:tc>
          <w:tcPr>
            <w:tcW w:w="5771" w:type="dxa"/>
            <w:tcBorders>
              <w:tl2br w:val="nil"/>
              <w:tr2bl w:val="nil"/>
            </w:tcBorders>
            <w:shd w:val="clear" w:color="auto" w:fill="FEFEFE"/>
            <w:vAlign w:val="center"/>
          </w:tcPr>
          <w:p w14:paraId="2B5A023B">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符合第二章“投标人须知”第1.3.2项规定</w:t>
            </w:r>
          </w:p>
        </w:tc>
      </w:tr>
      <w:tr w14:paraId="7EA6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2095E575">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31906BA2">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0C7DED30">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工程质量</w:t>
            </w:r>
          </w:p>
        </w:tc>
        <w:tc>
          <w:tcPr>
            <w:tcW w:w="5771" w:type="dxa"/>
            <w:tcBorders>
              <w:tl2br w:val="nil"/>
              <w:tr2bl w:val="nil"/>
            </w:tcBorders>
            <w:shd w:val="clear" w:color="auto" w:fill="FEFEFE"/>
            <w:vAlign w:val="center"/>
          </w:tcPr>
          <w:p w14:paraId="5600FAEA">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符合第二章“投标人须知”第1.3.3项规定</w:t>
            </w:r>
          </w:p>
        </w:tc>
      </w:tr>
      <w:tr w14:paraId="0ADA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60A71FF9">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06827923">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566DF9D9">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投标有效期</w:t>
            </w:r>
          </w:p>
        </w:tc>
        <w:tc>
          <w:tcPr>
            <w:tcW w:w="5771" w:type="dxa"/>
            <w:tcBorders>
              <w:tl2br w:val="nil"/>
              <w:tr2bl w:val="nil"/>
            </w:tcBorders>
            <w:shd w:val="clear" w:color="auto" w:fill="FEFEFE"/>
            <w:vAlign w:val="center"/>
          </w:tcPr>
          <w:p w14:paraId="5416D445">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符合第二章“投标人须知”第3.3.1项规定</w:t>
            </w:r>
          </w:p>
        </w:tc>
      </w:tr>
      <w:tr w14:paraId="4F0E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Borders>
              <w:tl2br w:val="nil"/>
              <w:tr2bl w:val="nil"/>
            </w:tcBorders>
            <w:shd w:val="clear" w:color="auto" w:fill="FEFEFE"/>
            <w:vAlign w:val="center"/>
          </w:tcPr>
          <w:p w14:paraId="718E0A0B">
            <w:pPr>
              <w:widowControl/>
              <w:wordWrap w:val="0"/>
              <w:topLinePunct/>
              <w:spacing w:before="62" w:beforeLines="20" w:after="62" w:afterLines="20"/>
              <w:jc w:val="left"/>
              <w:rPr>
                <w:rFonts w:hint="eastAsia" w:ascii="宋体" w:hAnsi="宋体"/>
                <w:color w:val="auto"/>
                <w:szCs w:val="21"/>
                <w:highlight w:val="none"/>
              </w:rPr>
            </w:pPr>
          </w:p>
        </w:tc>
        <w:tc>
          <w:tcPr>
            <w:tcW w:w="1402" w:type="dxa"/>
            <w:gridSpan w:val="2"/>
            <w:vMerge w:val="continue"/>
            <w:tcBorders>
              <w:tl2br w:val="nil"/>
              <w:tr2bl w:val="nil"/>
            </w:tcBorders>
            <w:shd w:val="clear" w:color="auto" w:fill="FEFEFE"/>
            <w:vAlign w:val="center"/>
          </w:tcPr>
          <w:p w14:paraId="71243F94">
            <w:pPr>
              <w:widowControl/>
              <w:wordWrap w:val="0"/>
              <w:topLinePunct/>
              <w:spacing w:before="62" w:beforeLines="20" w:after="62" w:afterLines="20"/>
              <w:jc w:val="left"/>
              <w:rPr>
                <w:rFonts w:hint="eastAsia" w:ascii="宋体" w:hAnsi="宋体"/>
                <w:color w:val="auto"/>
                <w:szCs w:val="21"/>
                <w:highlight w:val="none"/>
              </w:rPr>
            </w:pPr>
          </w:p>
        </w:tc>
        <w:tc>
          <w:tcPr>
            <w:tcW w:w="2044" w:type="dxa"/>
            <w:tcBorders>
              <w:tl2br w:val="nil"/>
              <w:tr2bl w:val="nil"/>
            </w:tcBorders>
            <w:shd w:val="clear" w:color="auto" w:fill="FEFEFE"/>
            <w:vAlign w:val="center"/>
          </w:tcPr>
          <w:p w14:paraId="16A80D13">
            <w:pPr>
              <w:wordWrap w:val="0"/>
              <w:topLinePunct/>
              <w:adjustRightInd w:val="0"/>
              <w:spacing w:before="62" w:beforeLines="20" w:after="62" w:afterLines="20"/>
              <w:jc w:val="center"/>
              <w:textAlignment w:val="baseline"/>
              <w:rPr>
                <w:rFonts w:hint="eastAsia" w:ascii="宋体" w:hAnsi="宋体"/>
                <w:color w:val="auto"/>
                <w:highlight w:val="none"/>
              </w:rPr>
            </w:pPr>
            <w:r>
              <w:rPr>
                <w:rFonts w:hint="eastAsia" w:ascii="宋体" w:hAnsi="宋体"/>
                <w:color w:val="auto"/>
                <w:highlight w:val="none"/>
              </w:rPr>
              <w:t>投标保证金</w:t>
            </w:r>
          </w:p>
        </w:tc>
        <w:tc>
          <w:tcPr>
            <w:tcW w:w="5771" w:type="dxa"/>
            <w:tcBorders>
              <w:tl2br w:val="nil"/>
              <w:tr2bl w:val="nil"/>
            </w:tcBorders>
            <w:shd w:val="clear" w:color="auto" w:fill="FEFEFE"/>
            <w:vAlign w:val="center"/>
          </w:tcPr>
          <w:p w14:paraId="480A5291">
            <w:pPr>
              <w:wordWrap w:val="0"/>
              <w:topLinePunct/>
              <w:adjustRightInd w:val="0"/>
              <w:spacing w:before="62" w:beforeLines="20" w:after="62" w:afterLines="20"/>
              <w:jc w:val="left"/>
              <w:textAlignment w:val="baseline"/>
              <w:rPr>
                <w:rFonts w:hint="eastAsia" w:ascii="宋体" w:hAnsi="宋体"/>
                <w:color w:val="auto"/>
                <w:highlight w:val="none"/>
              </w:rPr>
            </w:pPr>
            <w:r>
              <w:rPr>
                <w:rFonts w:hint="eastAsia" w:ascii="宋体" w:hAnsi="宋体"/>
                <w:color w:val="auto"/>
                <w:highlight w:val="none"/>
              </w:rPr>
              <w:t>符合第二章“投标人须知”第3.4.1项规定</w:t>
            </w:r>
          </w:p>
        </w:tc>
      </w:tr>
      <w:tr w14:paraId="290D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302" w:type="dxa"/>
            <w:gridSpan w:val="3"/>
            <w:tcBorders>
              <w:tl2br w:val="nil"/>
              <w:tr2bl w:val="nil"/>
            </w:tcBorders>
            <w:shd w:val="clear" w:color="auto" w:fill="FEFEFE"/>
            <w:vAlign w:val="center"/>
          </w:tcPr>
          <w:p w14:paraId="73E56FCA">
            <w:pPr>
              <w:wordWrap w:val="0"/>
              <w:topLinePunct/>
              <w:adjustRightInd w:val="0"/>
              <w:snapToGrid w:val="0"/>
              <w:spacing w:before="62" w:beforeLines="20" w:after="62" w:afterLines="20"/>
              <w:jc w:val="center"/>
              <w:rPr>
                <w:rFonts w:hint="eastAsia" w:ascii="宋体" w:hAnsi="宋体"/>
                <w:b/>
                <w:color w:val="auto"/>
                <w:highlight w:val="none"/>
              </w:rPr>
            </w:pPr>
            <w:r>
              <w:rPr>
                <w:rFonts w:hint="eastAsia" w:ascii="宋体" w:hAnsi="宋体"/>
                <w:b/>
                <w:color w:val="auto"/>
                <w:highlight w:val="none"/>
              </w:rPr>
              <w:t>条款号</w:t>
            </w:r>
          </w:p>
        </w:tc>
        <w:tc>
          <w:tcPr>
            <w:tcW w:w="2044" w:type="dxa"/>
            <w:tcBorders>
              <w:tl2br w:val="nil"/>
              <w:tr2bl w:val="nil"/>
            </w:tcBorders>
            <w:shd w:val="clear" w:color="auto" w:fill="FEFEFE"/>
            <w:vAlign w:val="center"/>
          </w:tcPr>
          <w:p w14:paraId="43FE822F">
            <w:pPr>
              <w:wordWrap w:val="0"/>
              <w:topLinePunct/>
              <w:adjustRightInd w:val="0"/>
              <w:snapToGrid w:val="0"/>
              <w:spacing w:before="62" w:beforeLines="20" w:after="62" w:afterLines="20"/>
              <w:jc w:val="center"/>
              <w:rPr>
                <w:rFonts w:hint="eastAsia" w:ascii="宋体" w:hAnsi="宋体"/>
                <w:b/>
                <w:color w:val="auto"/>
                <w:highlight w:val="none"/>
              </w:rPr>
            </w:pPr>
            <w:r>
              <w:rPr>
                <w:rFonts w:hint="eastAsia" w:ascii="宋体" w:hAnsi="宋体"/>
                <w:b/>
                <w:color w:val="auto"/>
                <w:highlight w:val="none"/>
              </w:rPr>
              <w:t>量化因素</w:t>
            </w:r>
          </w:p>
        </w:tc>
        <w:tc>
          <w:tcPr>
            <w:tcW w:w="5771" w:type="dxa"/>
            <w:tcBorders>
              <w:tl2br w:val="nil"/>
              <w:tr2bl w:val="nil"/>
            </w:tcBorders>
            <w:shd w:val="clear" w:color="auto" w:fill="FEFEFE"/>
            <w:vAlign w:val="center"/>
          </w:tcPr>
          <w:p w14:paraId="15D50AD6">
            <w:pPr>
              <w:wordWrap w:val="0"/>
              <w:topLinePunct/>
              <w:adjustRightInd w:val="0"/>
              <w:snapToGrid w:val="0"/>
              <w:spacing w:before="62" w:beforeLines="20" w:after="62" w:afterLines="20"/>
              <w:jc w:val="center"/>
              <w:rPr>
                <w:rFonts w:hint="eastAsia" w:ascii="宋体" w:hAnsi="宋体"/>
                <w:b/>
                <w:color w:val="auto"/>
                <w:highlight w:val="none"/>
              </w:rPr>
            </w:pPr>
            <w:r>
              <w:rPr>
                <w:rFonts w:hint="eastAsia" w:ascii="宋体" w:hAnsi="宋体"/>
                <w:b/>
                <w:color w:val="auto"/>
                <w:highlight w:val="none"/>
              </w:rPr>
              <w:t>量化</w:t>
            </w:r>
            <w:r>
              <w:rPr>
                <w:rFonts w:hint="eastAsia" w:ascii="宋体" w:hAnsi="宋体" w:cs="宋体"/>
                <w:b/>
                <w:color w:val="auto"/>
                <w:highlight w:val="none"/>
              </w:rPr>
              <w:t>标</w:t>
            </w:r>
            <w:r>
              <w:rPr>
                <w:rFonts w:hint="eastAsia" w:ascii="宋体" w:hAnsi="宋体"/>
                <w:b/>
                <w:color w:val="auto"/>
                <w:highlight w:val="none"/>
              </w:rPr>
              <w:t>准</w:t>
            </w:r>
          </w:p>
        </w:tc>
      </w:tr>
      <w:tr w14:paraId="67DF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2302" w:type="dxa"/>
            <w:gridSpan w:val="3"/>
            <w:tcBorders>
              <w:tl2br w:val="nil"/>
              <w:tr2bl w:val="nil"/>
            </w:tcBorders>
            <w:shd w:val="clear" w:color="auto" w:fill="FEFEFE"/>
            <w:vAlign w:val="center"/>
          </w:tcPr>
          <w:p w14:paraId="02DBB9E8">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2.2.1</w:t>
            </w:r>
          </w:p>
        </w:tc>
        <w:tc>
          <w:tcPr>
            <w:tcW w:w="2044" w:type="dxa"/>
            <w:tcBorders>
              <w:tl2br w:val="nil"/>
              <w:tr2bl w:val="nil"/>
            </w:tcBorders>
            <w:shd w:val="clear" w:color="auto" w:fill="FEFEFE"/>
            <w:vAlign w:val="center"/>
          </w:tcPr>
          <w:p w14:paraId="4277AFD4">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分值构成</w:t>
            </w:r>
          </w:p>
          <w:p w14:paraId="04A13ADA">
            <w:pPr>
              <w:wordWrap w:val="0"/>
              <w:topLinePunct/>
              <w:spacing w:before="62" w:beforeLines="20" w:after="62" w:afterLines="20"/>
              <w:jc w:val="center"/>
              <w:rPr>
                <w:rFonts w:hint="eastAsia" w:ascii="宋体" w:hAnsi="宋体"/>
                <w:color w:val="auto"/>
                <w:szCs w:val="21"/>
                <w:highlight w:val="none"/>
              </w:rPr>
            </w:pPr>
            <w:r>
              <w:rPr>
                <w:rFonts w:hint="eastAsia" w:ascii="宋体" w:hAnsi="宋体"/>
                <w:color w:val="auto"/>
                <w:szCs w:val="21"/>
                <w:highlight w:val="none"/>
              </w:rPr>
              <w:t>(总分100分)</w:t>
            </w:r>
          </w:p>
        </w:tc>
        <w:tc>
          <w:tcPr>
            <w:tcW w:w="5771" w:type="dxa"/>
            <w:tcBorders>
              <w:tl2br w:val="nil"/>
              <w:tr2bl w:val="nil"/>
            </w:tcBorders>
            <w:shd w:val="clear" w:color="auto" w:fill="FEFEFE"/>
            <w:vAlign w:val="center"/>
          </w:tcPr>
          <w:p w14:paraId="385B77B7">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u w:val="single"/>
              </w:rPr>
              <w:t>20</w:t>
            </w:r>
            <w:r>
              <w:rPr>
                <w:rFonts w:hint="eastAsia" w:ascii="宋体" w:hAnsi="宋体"/>
                <w:color w:val="auto"/>
                <w:szCs w:val="21"/>
                <w:highlight w:val="none"/>
              </w:rPr>
              <w:t>分；</w:t>
            </w:r>
          </w:p>
          <w:p w14:paraId="280C7C00">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u w:val="single"/>
              </w:rPr>
              <w:t>40</w:t>
            </w:r>
            <w:r>
              <w:rPr>
                <w:rFonts w:hint="eastAsia" w:ascii="宋体" w:hAnsi="宋体"/>
                <w:color w:val="auto"/>
                <w:szCs w:val="21"/>
                <w:highlight w:val="none"/>
              </w:rPr>
              <w:t>分；</w:t>
            </w:r>
          </w:p>
          <w:p w14:paraId="01FDE1A6">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资信业绩：</w:t>
            </w:r>
            <w:r>
              <w:rPr>
                <w:rFonts w:hint="eastAsia" w:ascii="宋体" w:hAnsi="宋体"/>
                <w:color w:val="auto"/>
                <w:szCs w:val="21"/>
                <w:highlight w:val="none"/>
                <w:u w:val="single"/>
              </w:rPr>
              <w:t>30</w:t>
            </w:r>
            <w:r>
              <w:rPr>
                <w:rFonts w:hint="eastAsia" w:ascii="宋体" w:hAnsi="宋体"/>
                <w:color w:val="auto"/>
                <w:szCs w:val="21"/>
                <w:highlight w:val="none"/>
              </w:rPr>
              <w:t>分；</w:t>
            </w:r>
          </w:p>
          <w:p w14:paraId="03C64206">
            <w:pPr>
              <w:wordWrap w:val="0"/>
              <w:topLinePunct/>
              <w:spacing w:before="62" w:beforeLines="20" w:after="62" w:afterLines="20"/>
              <w:jc w:val="left"/>
              <w:rPr>
                <w:rFonts w:hint="eastAsia" w:ascii="宋体" w:hAnsi="宋体"/>
                <w:color w:val="auto"/>
                <w:szCs w:val="21"/>
                <w:highlight w:val="none"/>
              </w:rPr>
            </w:pPr>
            <w:r>
              <w:rPr>
                <w:rFonts w:hint="eastAsia" w:ascii="宋体" w:hAnsi="宋体"/>
                <w:color w:val="auto"/>
                <w:szCs w:val="21"/>
                <w:highlight w:val="none"/>
              </w:rPr>
              <w:t>信用得分：</w:t>
            </w:r>
            <w:r>
              <w:rPr>
                <w:rFonts w:hint="eastAsia" w:ascii="宋体" w:hAnsi="宋体"/>
                <w:color w:val="auto"/>
                <w:szCs w:val="21"/>
                <w:highlight w:val="none"/>
                <w:u w:val="single"/>
              </w:rPr>
              <w:t>10</w:t>
            </w:r>
            <w:r>
              <w:rPr>
                <w:rFonts w:hint="eastAsia" w:ascii="宋体" w:hAnsi="宋体"/>
                <w:color w:val="auto"/>
                <w:szCs w:val="21"/>
                <w:highlight w:val="none"/>
              </w:rPr>
              <w:t>分。</w:t>
            </w:r>
          </w:p>
        </w:tc>
      </w:tr>
      <w:tr w14:paraId="47A8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8" w:hRule="atLeast"/>
          <w:jc w:val="center"/>
        </w:trPr>
        <w:tc>
          <w:tcPr>
            <w:tcW w:w="2302" w:type="dxa"/>
            <w:gridSpan w:val="3"/>
            <w:tcBorders>
              <w:tl2br w:val="nil"/>
              <w:tr2bl w:val="nil"/>
            </w:tcBorders>
            <w:shd w:val="clear" w:color="auto" w:fill="FEFEFE"/>
            <w:vAlign w:val="center"/>
          </w:tcPr>
          <w:p w14:paraId="07363C71">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2.2.2（1）</w:t>
            </w:r>
          </w:p>
        </w:tc>
        <w:tc>
          <w:tcPr>
            <w:tcW w:w="2044" w:type="dxa"/>
            <w:tcBorders>
              <w:tl2br w:val="nil"/>
              <w:tr2bl w:val="nil"/>
            </w:tcBorders>
            <w:shd w:val="clear" w:color="auto" w:fill="FEFEFE"/>
            <w:vAlign w:val="center"/>
          </w:tcPr>
          <w:p w14:paraId="46B973D9">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投标报价(20分)</w:t>
            </w:r>
          </w:p>
        </w:tc>
        <w:tc>
          <w:tcPr>
            <w:tcW w:w="5771" w:type="dxa"/>
            <w:tcBorders>
              <w:tl2br w:val="nil"/>
              <w:tr2bl w:val="nil"/>
            </w:tcBorders>
            <w:shd w:val="clear" w:color="auto" w:fill="FEFEFE"/>
            <w:vAlign w:val="center"/>
          </w:tcPr>
          <w:p w14:paraId="539E1988">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1、有效投标报价范围：</w:t>
            </w:r>
          </w:p>
          <w:p w14:paraId="73465E1B">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投标人按工程情况各自填报各投标报价下浮率，投标报价下浮率必须≥2.00%。</w:t>
            </w:r>
          </w:p>
          <w:p w14:paraId="6D951AA1">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2、确定评标基准价：</w:t>
            </w:r>
          </w:p>
          <w:p w14:paraId="0C2B9731">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评标基准价为所有合格投标人的投标报价的算术平均值。当合格投标人的个数≥5个时去掉一个最高值和一个最低值后再计算算术平均值。投标报价以报价下浮率参与计算，下同。</w:t>
            </w:r>
          </w:p>
          <w:p w14:paraId="7F53DA49">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3、确定偏差率：</w:t>
            </w:r>
          </w:p>
          <w:p w14:paraId="4EEA1828">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偏差率=100%×（投标人报价−评标基准价）/评标基准价</w:t>
            </w:r>
          </w:p>
          <w:p w14:paraId="05AD9744">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4、投标人的报价得分：</w:t>
            </w:r>
          </w:p>
          <w:p w14:paraId="6F90D248">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偏差率大于0时，报价得分F=20－10*偏差率；</w:t>
            </w:r>
          </w:p>
          <w:p w14:paraId="21E01868">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偏差率不大于0时，报价得分F=20+20*偏差率，</w:t>
            </w:r>
          </w:p>
          <w:p w14:paraId="2D151830">
            <w:pPr>
              <w:wordWrap w:val="0"/>
              <w:topLinePunct/>
              <w:adjustRightInd w:val="0"/>
              <w:snapToGrid w:val="0"/>
              <w:spacing w:before="62" w:beforeLines="20" w:after="62" w:afterLines="20"/>
              <w:rPr>
                <w:rFonts w:hint="eastAsia" w:ascii="宋体" w:hAnsi="宋体" w:cs="宋体"/>
                <w:bCs/>
                <w:color w:val="auto"/>
                <w:szCs w:val="21"/>
                <w:highlight w:val="none"/>
              </w:rPr>
            </w:pPr>
            <w:r>
              <w:rPr>
                <w:rFonts w:hint="eastAsia" w:ascii="宋体" w:hAnsi="宋体" w:cs="宋体"/>
                <w:bCs/>
                <w:color w:val="auto"/>
                <w:szCs w:val="21"/>
                <w:highlight w:val="none"/>
              </w:rPr>
              <w:t>得分最低得0分，最高得20分。</w:t>
            </w:r>
          </w:p>
          <w:p w14:paraId="1D4DAB14">
            <w:pPr>
              <w:wordWrap w:val="0"/>
              <w:topLinePunct/>
              <w:spacing w:before="62" w:beforeLines="20" w:after="62" w:afterLines="20"/>
              <w:rPr>
                <w:rFonts w:hint="eastAsia" w:ascii="宋体" w:hAnsi="宋体" w:cs="宋体"/>
                <w:color w:val="auto"/>
                <w:szCs w:val="21"/>
                <w:highlight w:val="none"/>
              </w:rPr>
            </w:pPr>
            <w:r>
              <w:rPr>
                <w:rFonts w:hint="eastAsia" w:ascii="宋体" w:hAnsi="宋体" w:cs="宋体"/>
                <w:bCs/>
                <w:color w:val="auto"/>
                <w:szCs w:val="21"/>
                <w:highlight w:val="none"/>
              </w:rPr>
              <w:t>注：以上全部计算结果精确到小数点后两位。</w:t>
            </w:r>
          </w:p>
        </w:tc>
      </w:tr>
      <w:tr w14:paraId="1642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restart"/>
            <w:tcBorders>
              <w:tl2br w:val="nil"/>
              <w:tr2bl w:val="nil"/>
            </w:tcBorders>
            <w:shd w:val="clear" w:color="auto" w:fill="FEFEFE"/>
            <w:vAlign w:val="center"/>
          </w:tcPr>
          <w:p w14:paraId="332FAFF0">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2.2.3</w:t>
            </w:r>
          </w:p>
          <w:p w14:paraId="477D527E">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95" w:type="dxa"/>
            <w:vMerge w:val="restart"/>
            <w:tcBorders>
              <w:tl2br w:val="nil"/>
              <w:tr2bl w:val="nil"/>
            </w:tcBorders>
            <w:shd w:val="clear" w:color="auto" w:fill="FEFEFE"/>
            <w:vAlign w:val="center"/>
          </w:tcPr>
          <w:p w14:paraId="2DD2907A">
            <w:pPr>
              <w:wordWrap w:val="0"/>
              <w:topLinePunct/>
              <w:spacing w:before="62" w:beforeLines="20" w:after="62" w:afterLines="20"/>
              <w:jc w:val="center"/>
              <w:rPr>
                <w:rFonts w:hint="eastAsia" w:ascii="宋体" w:hAnsi="宋体" w:cs="宋体"/>
                <w:color w:val="auto"/>
                <w:szCs w:val="21"/>
                <w:highlight w:val="none"/>
              </w:rPr>
            </w:pPr>
          </w:p>
          <w:p w14:paraId="01FD76F5">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施工组织设计评分标准</w:t>
            </w:r>
          </w:p>
          <w:p w14:paraId="73C95849">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（40分）</w:t>
            </w:r>
          </w:p>
        </w:tc>
        <w:tc>
          <w:tcPr>
            <w:tcW w:w="2044" w:type="dxa"/>
            <w:tcBorders>
              <w:tl2br w:val="nil"/>
              <w:tr2bl w:val="nil"/>
            </w:tcBorders>
            <w:shd w:val="clear" w:color="auto" w:fill="FEFEFE"/>
            <w:vAlign w:val="center"/>
          </w:tcPr>
          <w:p w14:paraId="0E4CED13">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总体概述：施工程序总体设想及施工段划分（4分）</w:t>
            </w:r>
          </w:p>
        </w:tc>
        <w:tc>
          <w:tcPr>
            <w:tcW w:w="5771" w:type="dxa"/>
            <w:tcBorders>
              <w:tl2br w:val="nil"/>
              <w:tr2bl w:val="nil"/>
            </w:tcBorders>
            <w:shd w:val="clear" w:color="auto" w:fill="FEFEFE"/>
            <w:vAlign w:val="center"/>
          </w:tcPr>
          <w:p w14:paraId="382FA262">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优：对项目总体有深刻认识，表述清晰、完整、严谨、合理，措施先进、具体、有效、成熟，采用了新技术、新工艺、新材料、新设备；施工段划分呼应总体表述，划分清晰、合理，符合规范要求。</w:t>
            </w:r>
          </w:p>
          <w:p w14:paraId="16755116">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良：对项目总体有一定认识，表述清晰、完整，措施具体有效；施工段划分呼应总体表述，划分清晰，符合规范要求。</w:t>
            </w:r>
          </w:p>
          <w:p w14:paraId="2DB47769">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一般：对项目总体有认识，有一定的措施但部分不具体；施工段划分较合理，符合规范要求。</w:t>
            </w:r>
          </w:p>
          <w:p w14:paraId="7F55B661">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优得4分、良得3分、一般得2分。无提供不得分。</w:t>
            </w:r>
          </w:p>
        </w:tc>
      </w:tr>
      <w:tr w14:paraId="01FD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17DED7A0">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5B02D869">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17351255">
            <w:pPr>
              <w:jc w:val="center"/>
              <w:rPr>
                <w:rFonts w:hint="eastAsia" w:ascii="宋体" w:hAnsi="宋体" w:cs="宋体"/>
                <w:color w:val="auto"/>
                <w:szCs w:val="21"/>
                <w:highlight w:val="none"/>
              </w:rPr>
            </w:pPr>
            <w:r>
              <w:rPr>
                <w:rFonts w:hint="eastAsia" w:ascii="宋体" w:hAnsi="宋体" w:cs="宋体"/>
                <w:color w:val="auto"/>
                <w:szCs w:val="21"/>
                <w:highlight w:val="none"/>
              </w:rPr>
              <w:t>施工进度计划和各阶段进度的保证措施及违约责任承诺</w:t>
            </w:r>
          </w:p>
          <w:p w14:paraId="6A0D06B7">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10C79165">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优：关键线路清晰、准确、完整，计划编制合理、可行。关键节点的控制措施有力、合理、可行。</w:t>
            </w:r>
          </w:p>
          <w:p w14:paraId="53218D48">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良：关键线路清晰、准确、完整，计划编制可行。关键节点的控制措施合理、可行。</w:t>
            </w:r>
          </w:p>
          <w:p w14:paraId="4935E8D5">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一般：关键线路基本准确，计划编制基本合理。关键节点的控制措施基本可行。</w:t>
            </w:r>
          </w:p>
          <w:p w14:paraId="34321FE0">
            <w:pPr>
              <w:spacing w:line="324" w:lineRule="auto"/>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63CA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7C28449D">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2FDD4030">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55F4334C">
            <w:pPr>
              <w:jc w:val="center"/>
              <w:rPr>
                <w:rFonts w:hint="eastAsia" w:ascii="宋体" w:hAnsi="宋体" w:cs="宋体"/>
                <w:color w:val="auto"/>
                <w:szCs w:val="21"/>
                <w:highlight w:val="none"/>
              </w:rPr>
            </w:pPr>
            <w:r>
              <w:rPr>
                <w:rFonts w:hint="eastAsia" w:ascii="宋体" w:hAnsi="宋体" w:cs="宋体"/>
                <w:color w:val="auto"/>
                <w:szCs w:val="21"/>
                <w:highlight w:val="none"/>
              </w:rPr>
              <w:t>劳动力和材料投入计划及其保证措施</w:t>
            </w:r>
          </w:p>
          <w:p w14:paraId="1460DDDA">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632BB59B">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优：投入计划与进度计划呼应，较好满足施工需要，调配投入计划合理、准确。</w:t>
            </w:r>
          </w:p>
          <w:p w14:paraId="1EE2EB1B">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良：投入计划与进度计划呼应，基本满足施工需要，调配投入计划基本合理、准确。</w:t>
            </w:r>
          </w:p>
          <w:p w14:paraId="02621E97">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一般：投入计划与进度计划呼应，基本满足施工需要，调配投入计划基本合理。</w:t>
            </w:r>
          </w:p>
          <w:p w14:paraId="093C27AE">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03A0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791D32D4">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7033E10E">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114DC19C">
            <w:pPr>
              <w:jc w:val="center"/>
              <w:rPr>
                <w:rFonts w:hint="eastAsia" w:ascii="宋体" w:hAnsi="宋体" w:cs="宋体"/>
                <w:color w:val="auto"/>
                <w:szCs w:val="21"/>
                <w:highlight w:val="none"/>
              </w:rPr>
            </w:pPr>
            <w:r>
              <w:rPr>
                <w:rFonts w:hint="eastAsia" w:ascii="宋体" w:hAnsi="宋体" w:cs="宋体"/>
                <w:color w:val="auto"/>
                <w:szCs w:val="21"/>
                <w:highlight w:val="none"/>
              </w:rPr>
              <w:t>机械设备投入计划及检测设备</w:t>
            </w:r>
          </w:p>
          <w:p w14:paraId="6F094A52">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52752506">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优：投入计划与进度计划呼应，较好满足施工需要，采用先进机械设备。</w:t>
            </w:r>
          </w:p>
          <w:p w14:paraId="731A2D1F">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良：投入计划与进度计划呼应，满足施工需要。</w:t>
            </w:r>
          </w:p>
          <w:p w14:paraId="4E41E536">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一般：投入计划与进度计划呼应，基本满足施工需要。</w:t>
            </w:r>
          </w:p>
          <w:p w14:paraId="510338A2">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1BB2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41706B60">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10D40BE8">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31D98871">
            <w:pPr>
              <w:jc w:val="center"/>
              <w:rPr>
                <w:rFonts w:hint="eastAsia" w:ascii="宋体" w:hAnsi="宋体" w:cs="宋体"/>
                <w:color w:val="auto"/>
                <w:szCs w:val="21"/>
                <w:highlight w:val="none"/>
              </w:rPr>
            </w:pPr>
            <w:r>
              <w:rPr>
                <w:rFonts w:hint="eastAsia" w:ascii="宋体" w:hAnsi="宋体" w:cs="宋体"/>
                <w:color w:val="auto"/>
                <w:szCs w:val="21"/>
                <w:highlight w:val="none"/>
              </w:rPr>
              <w:t>施工平面布置和临时设施布置</w:t>
            </w:r>
          </w:p>
          <w:p w14:paraId="015423A2">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13E7A365">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优：总体布置有针对性、合理，较好满足施工需要，符合安全、文明生产要求。</w:t>
            </w:r>
          </w:p>
          <w:p w14:paraId="38740D3E">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良：总体布置合理，能满足施工需要，基本符合安全、文明生产要求。</w:t>
            </w:r>
          </w:p>
          <w:p w14:paraId="572CE7AA">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一般：总体布置基本合理，基本满足施工需要。</w:t>
            </w:r>
          </w:p>
          <w:p w14:paraId="70C048B6">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7272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207" w:type="dxa"/>
            <w:gridSpan w:val="2"/>
            <w:vMerge w:val="continue"/>
            <w:tcBorders>
              <w:tl2br w:val="nil"/>
              <w:tr2bl w:val="nil"/>
            </w:tcBorders>
            <w:shd w:val="clear" w:color="auto" w:fill="FEFEFE"/>
            <w:vAlign w:val="center"/>
          </w:tcPr>
          <w:p w14:paraId="23457F52">
            <w:pPr>
              <w:wordWrap w:val="0"/>
              <w:topLinePunct/>
              <w:spacing w:before="62" w:beforeLines="20" w:after="62" w:afterLines="20"/>
              <w:jc w:val="center"/>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3C3227D5">
            <w:pPr>
              <w:wordWrap w:val="0"/>
              <w:topLinePunct/>
              <w:spacing w:before="62" w:beforeLines="20" w:after="62" w:afterLines="20"/>
              <w:jc w:val="center"/>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6B2EF550">
            <w:pPr>
              <w:jc w:val="center"/>
              <w:rPr>
                <w:rFonts w:hint="eastAsia" w:ascii="宋体" w:hAnsi="宋体" w:cs="宋体"/>
                <w:color w:val="auto"/>
                <w:szCs w:val="21"/>
                <w:highlight w:val="none"/>
              </w:rPr>
            </w:pPr>
            <w:r>
              <w:rPr>
                <w:rFonts w:hint="eastAsia" w:ascii="宋体" w:hAnsi="宋体" w:cs="宋体"/>
                <w:color w:val="auto"/>
                <w:szCs w:val="21"/>
                <w:highlight w:val="none"/>
              </w:rPr>
              <w:t>关键施工技术、工艺及工程项目实施的重点、难点和解决方案</w:t>
            </w:r>
          </w:p>
          <w:p w14:paraId="0385DD3A">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（4分）</w:t>
            </w:r>
          </w:p>
        </w:tc>
        <w:tc>
          <w:tcPr>
            <w:tcW w:w="5771" w:type="dxa"/>
            <w:tcBorders>
              <w:tl2br w:val="nil"/>
              <w:tr2bl w:val="nil"/>
            </w:tcBorders>
            <w:shd w:val="clear" w:color="auto" w:fill="FEFEFE"/>
            <w:vAlign w:val="center"/>
          </w:tcPr>
          <w:p w14:paraId="4184A18F">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优：对项目关键技术、工艺有深入的表述，对重点、难点有先进、合理的建议，解决方案完整、经济、安全、切实可行，措施得力，类似项目施工经验丰富。</w:t>
            </w:r>
          </w:p>
          <w:p w14:paraId="1836BA3A">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良：对项目关键技术、工艺有深入的表述，对重点、难点有合理的建议，解决方案经济、安全、基本可行，具备类似项目施工经验。</w:t>
            </w:r>
          </w:p>
          <w:p w14:paraId="0692FD4B">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一般：对项目关键技术有一定了解，对重点、难点有建议，解决方案基本可行。</w:t>
            </w:r>
          </w:p>
          <w:p w14:paraId="500BDEE4">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优得</w:t>
            </w:r>
            <w:r>
              <w:rPr>
                <w:rFonts w:ascii="宋体" w:hAnsi="宋体" w:cs="宋体"/>
                <w:color w:val="auto"/>
                <w:szCs w:val="21"/>
                <w:highlight w:val="none"/>
              </w:rPr>
              <w:t>4</w:t>
            </w:r>
            <w:r>
              <w:rPr>
                <w:rFonts w:hint="eastAsia" w:ascii="宋体" w:hAnsi="宋体" w:cs="宋体"/>
                <w:color w:val="auto"/>
                <w:szCs w:val="21"/>
                <w:highlight w:val="none"/>
              </w:rPr>
              <w:t>分、良得3分、一般得2分。无提供不得分。</w:t>
            </w:r>
          </w:p>
        </w:tc>
      </w:tr>
      <w:tr w14:paraId="0BAE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207" w:type="dxa"/>
            <w:gridSpan w:val="2"/>
            <w:vMerge w:val="continue"/>
            <w:tcBorders>
              <w:tl2br w:val="nil"/>
              <w:tr2bl w:val="nil"/>
            </w:tcBorders>
            <w:shd w:val="clear" w:color="auto" w:fill="FEFEFE"/>
            <w:vAlign w:val="center"/>
          </w:tcPr>
          <w:p w14:paraId="35E19E96">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2B8DA25B">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739A49EF">
            <w:pPr>
              <w:jc w:val="center"/>
              <w:rPr>
                <w:rFonts w:hint="eastAsia" w:ascii="宋体" w:hAnsi="宋体" w:cs="宋体"/>
                <w:color w:val="auto"/>
                <w:szCs w:val="21"/>
                <w:highlight w:val="none"/>
              </w:rPr>
            </w:pPr>
            <w:r>
              <w:rPr>
                <w:rFonts w:hint="eastAsia" w:ascii="宋体" w:hAnsi="宋体" w:cs="宋体"/>
                <w:color w:val="auto"/>
                <w:szCs w:val="21"/>
                <w:highlight w:val="none"/>
              </w:rPr>
              <w:t>安全文明措施</w:t>
            </w:r>
          </w:p>
          <w:p w14:paraId="01133D9B">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5A2F0673">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优：具备完善的安全管理体系，针对项目实际情况，有先进、具体、完整、可行的实施措施，采用规范正确、清晰。</w:t>
            </w:r>
          </w:p>
          <w:p w14:paraId="59174AE2">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良：针对项目实际情况，有合理的措施且具体、完整，采用规范正确。</w:t>
            </w:r>
          </w:p>
          <w:p w14:paraId="6DA0B4FD">
            <w:pPr>
              <w:spacing w:line="330" w:lineRule="exact"/>
              <w:rPr>
                <w:rFonts w:hint="eastAsia" w:ascii="宋体" w:hAnsi="宋体" w:cs="宋体"/>
                <w:color w:val="auto"/>
                <w:szCs w:val="21"/>
                <w:highlight w:val="none"/>
              </w:rPr>
            </w:pPr>
            <w:r>
              <w:rPr>
                <w:rFonts w:hint="eastAsia" w:ascii="宋体" w:hAnsi="宋体" w:cs="宋体"/>
                <w:color w:val="auto"/>
                <w:szCs w:val="21"/>
                <w:highlight w:val="none"/>
              </w:rPr>
              <w:t>一般：有基本合理的措施，采用规范正确。</w:t>
            </w:r>
          </w:p>
          <w:p w14:paraId="494C3589">
            <w:pPr>
              <w:spacing w:line="33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优得3分、良得2分、一般得1分。无提供不得分。</w:t>
            </w:r>
          </w:p>
        </w:tc>
      </w:tr>
      <w:tr w14:paraId="67FC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7" w:type="dxa"/>
            <w:gridSpan w:val="2"/>
            <w:vMerge w:val="continue"/>
            <w:tcBorders>
              <w:tl2br w:val="nil"/>
              <w:tr2bl w:val="nil"/>
            </w:tcBorders>
            <w:shd w:val="clear" w:color="auto" w:fill="FEFEFE"/>
            <w:vAlign w:val="center"/>
          </w:tcPr>
          <w:p w14:paraId="46D77E60">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5418118D">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3A661E8C">
            <w:pPr>
              <w:jc w:val="center"/>
              <w:rPr>
                <w:rFonts w:hint="eastAsia" w:ascii="宋体" w:hAnsi="宋体" w:cs="宋体"/>
                <w:color w:val="auto"/>
                <w:szCs w:val="21"/>
                <w:highlight w:val="none"/>
              </w:rPr>
            </w:pPr>
            <w:r>
              <w:rPr>
                <w:rFonts w:hint="eastAsia" w:ascii="宋体" w:hAnsi="宋体" w:cs="宋体"/>
                <w:color w:val="auto"/>
                <w:szCs w:val="21"/>
                <w:highlight w:val="none"/>
              </w:rPr>
              <w:t>质量保证与承诺</w:t>
            </w:r>
          </w:p>
          <w:p w14:paraId="7AAEAFE8">
            <w:pPr>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1A9F4953">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优：具备完善的质量管理体系，应用新技术、新工艺、新材料、新设备，针对项目实际提出先进、可行、具体的保证措施。超过招标文件的质量要求。</w:t>
            </w:r>
          </w:p>
          <w:p w14:paraId="6BCCBA4F">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良：针对项目实际提出先进、可行、具体的保证措施。满足招标文件的质量要求。</w:t>
            </w:r>
          </w:p>
          <w:p w14:paraId="28145BA4">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一般：具体措施可行。满足招标文件的质量要求。</w:t>
            </w:r>
          </w:p>
          <w:p w14:paraId="300C6EA2">
            <w:pPr>
              <w:spacing w:line="320" w:lineRule="exact"/>
              <w:rPr>
                <w:rFonts w:hint="eastAsia" w:ascii="宋体" w:hAnsi="宋体" w:cs="宋体"/>
                <w:b/>
                <w:color w:val="auto"/>
                <w:szCs w:val="21"/>
                <w:highlight w:val="none"/>
              </w:rPr>
            </w:pPr>
            <w:r>
              <w:rPr>
                <w:rFonts w:hint="eastAsia" w:ascii="宋体" w:hAnsi="宋体" w:cs="宋体"/>
                <w:color w:val="auto"/>
                <w:szCs w:val="21"/>
                <w:highlight w:val="none"/>
              </w:rPr>
              <w:t>优得3分、良得2分、一般得1分。无提供不得分。</w:t>
            </w:r>
          </w:p>
        </w:tc>
      </w:tr>
      <w:tr w14:paraId="1B7B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1207" w:type="dxa"/>
            <w:gridSpan w:val="2"/>
            <w:vMerge w:val="continue"/>
            <w:tcBorders>
              <w:tl2br w:val="nil"/>
              <w:tr2bl w:val="nil"/>
            </w:tcBorders>
            <w:shd w:val="clear" w:color="auto" w:fill="FEFEFE"/>
            <w:vAlign w:val="center"/>
          </w:tcPr>
          <w:p w14:paraId="6FB62000">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38F69C62">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67DA2328">
            <w:pPr>
              <w:jc w:val="center"/>
              <w:rPr>
                <w:rFonts w:hint="eastAsia" w:ascii="宋体" w:hAnsi="宋体" w:cs="宋体"/>
                <w:color w:val="auto"/>
                <w:szCs w:val="21"/>
                <w:highlight w:val="none"/>
              </w:rPr>
            </w:pPr>
            <w:r>
              <w:rPr>
                <w:rFonts w:hint="eastAsia" w:ascii="宋体" w:hAnsi="宋体" w:cs="宋体"/>
                <w:color w:val="auto"/>
                <w:szCs w:val="21"/>
                <w:highlight w:val="none"/>
              </w:rPr>
              <w:t>扬尘污染防治方案</w:t>
            </w:r>
          </w:p>
          <w:p w14:paraId="3683A147">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72CF0246">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优：具备完善的环境管理体系，针对项目实际情况，有先进、具体、完整、可行的实扬尘污染防治方案科学、系统，可操作性强，保障措施得力。                           </w:t>
            </w:r>
          </w:p>
          <w:p w14:paraId="0A971D56">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良：扬尘污染防治方案比较科学、系统，可操作性比较强，保障措施比较得力。                </w:t>
            </w:r>
          </w:p>
          <w:p w14:paraId="624D20EA">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一般：扬尘污染防治方案基本科学、系统，具有可操作性，保障措施基本正确。                         </w:t>
            </w:r>
          </w:p>
          <w:p w14:paraId="43F4A572">
            <w:pPr>
              <w:spacing w:line="320" w:lineRule="exact"/>
              <w:rPr>
                <w:rFonts w:hint="eastAsia" w:ascii="宋体" w:hAnsi="宋体" w:cs="宋体"/>
                <w:b/>
                <w:bCs/>
                <w:color w:val="auto"/>
                <w:szCs w:val="21"/>
                <w:highlight w:val="none"/>
              </w:rPr>
            </w:pPr>
            <w:r>
              <w:rPr>
                <w:rFonts w:hint="eastAsia" w:ascii="宋体" w:hAnsi="宋体" w:cs="宋体"/>
                <w:color w:val="auto"/>
                <w:szCs w:val="21"/>
                <w:highlight w:val="none"/>
              </w:rPr>
              <w:t>优得3分、良得2分、一般得1分。无提供不得分。</w:t>
            </w:r>
          </w:p>
        </w:tc>
      </w:tr>
      <w:tr w14:paraId="42DD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1207" w:type="dxa"/>
            <w:gridSpan w:val="2"/>
            <w:vMerge w:val="continue"/>
            <w:tcBorders>
              <w:tl2br w:val="nil"/>
              <w:tr2bl w:val="nil"/>
            </w:tcBorders>
            <w:shd w:val="clear" w:color="auto" w:fill="FEFEFE"/>
            <w:vAlign w:val="center"/>
          </w:tcPr>
          <w:p w14:paraId="7BE39D6F">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661BB1D2">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4F81A0ED">
            <w:pPr>
              <w:jc w:val="center"/>
              <w:rPr>
                <w:rFonts w:hint="eastAsia" w:ascii="宋体" w:hAnsi="宋体" w:cs="宋体"/>
                <w:color w:val="auto"/>
                <w:szCs w:val="21"/>
                <w:highlight w:val="none"/>
              </w:rPr>
            </w:pPr>
            <w:r>
              <w:rPr>
                <w:rFonts w:hint="eastAsia" w:ascii="宋体" w:hAnsi="宋体" w:cs="宋体"/>
                <w:color w:val="auto"/>
                <w:szCs w:val="21"/>
                <w:highlight w:val="none"/>
              </w:rPr>
              <w:t>用工实名管理方案</w:t>
            </w:r>
          </w:p>
          <w:p w14:paraId="3B07838F">
            <w:pPr>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5771" w:type="dxa"/>
            <w:tcBorders>
              <w:tl2br w:val="nil"/>
              <w:tr2bl w:val="nil"/>
            </w:tcBorders>
            <w:shd w:val="clear" w:color="auto" w:fill="FEFEFE"/>
            <w:vAlign w:val="center"/>
          </w:tcPr>
          <w:p w14:paraId="2A4EC829">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优：用工实名管理方案科学、系统，可操作性强，保障措施得力。</w:t>
            </w:r>
          </w:p>
          <w:p w14:paraId="2B61A41D">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良：用工实名管理方案比较科学、系统，可操作性比较强，保障措施比较得力。</w:t>
            </w:r>
          </w:p>
          <w:p w14:paraId="5BE1B07E">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一般：用工实名管理方案基本科学、系统，具有可操作性，保障措施基本正确。</w:t>
            </w:r>
          </w:p>
          <w:p w14:paraId="7C3CC84F">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优得3分、良得2分、一般得1分。无提供不得分。</w:t>
            </w:r>
          </w:p>
        </w:tc>
      </w:tr>
      <w:tr w14:paraId="5908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1207" w:type="dxa"/>
            <w:gridSpan w:val="2"/>
            <w:vMerge w:val="continue"/>
            <w:tcBorders>
              <w:tl2br w:val="nil"/>
              <w:tr2bl w:val="nil"/>
            </w:tcBorders>
            <w:shd w:val="clear" w:color="auto" w:fill="FEFEFE"/>
            <w:vAlign w:val="center"/>
          </w:tcPr>
          <w:p w14:paraId="42A5A058">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67051B32">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49F13517">
            <w:pPr>
              <w:jc w:val="center"/>
              <w:rPr>
                <w:rFonts w:hint="eastAsia" w:ascii="宋体" w:hAnsi="宋体" w:cs="宋体"/>
                <w:color w:val="auto"/>
                <w:szCs w:val="21"/>
                <w:highlight w:val="none"/>
              </w:rPr>
            </w:pPr>
            <w:r>
              <w:rPr>
                <w:rFonts w:hint="eastAsia" w:ascii="宋体" w:hAnsi="宋体" w:cs="宋体"/>
                <w:color w:val="auto"/>
                <w:szCs w:val="21"/>
                <w:highlight w:val="none"/>
              </w:rPr>
              <w:t>服务方案</w:t>
            </w:r>
          </w:p>
          <w:p w14:paraId="458E8AB9">
            <w:pPr>
              <w:jc w:val="center"/>
              <w:rPr>
                <w:rFonts w:hint="eastAsia" w:ascii="宋体" w:hAnsi="宋体" w:cs="宋体"/>
                <w:color w:val="auto"/>
                <w:szCs w:val="21"/>
                <w:highlight w:val="none"/>
              </w:rPr>
            </w:pPr>
            <w:r>
              <w:rPr>
                <w:rFonts w:hint="eastAsia" w:ascii="宋体" w:hAnsi="宋体" w:cs="宋体"/>
                <w:color w:val="auto"/>
                <w:highlight w:val="none"/>
              </w:rPr>
              <w:t>（8分）</w:t>
            </w:r>
          </w:p>
        </w:tc>
        <w:tc>
          <w:tcPr>
            <w:tcW w:w="5771" w:type="dxa"/>
            <w:tcBorders>
              <w:tl2br w:val="nil"/>
              <w:tr2bl w:val="nil"/>
            </w:tcBorders>
            <w:shd w:val="clear" w:color="auto" w:fill="FEFEFE"/>
            <w:vAlign w:val="center"/>
          </w:tcPr>
          <w:p w14:paraId="086CAD1B">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对投标人自中标到竣工验收以及保修期各关键节点的服务承 </w:t>
            </w:r>
          </w:p>
          <w:p w14:paraId="4C39ACBD">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诺以及服务便利性进行评比。</w:t>
            </w:r>
          </w:p>
          <w:p w14:paraId="5BA4B6E2">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优得8分、良得5分、一般得3分。无提供不得分。</w:t>
            </w:r>
          </w:p>
        </w:tc>
      </w:tr>
      <w:tr w14:paraId="0586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207" w:type="dxa"/>
            <w:gridSpan w:val="2"/>
            <w:vMerge w:val="restart"/>
            <w:tcBorders>
              <w:tl2br w:val="nil"/>
              <w:tr2bl w:val="nil"/>
            </w:tcBorders>
            <w:shd w:val="clear" w:color="auto" w:fill="FEFEFE"/>
            <w:vAlign w:val="center"/>
          </w:tcPr>
          <w:p w14:paraId="46D2C462">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2.2.3（2）</w:t>
            </w:r>
          </w:p>
        </w:tc>
        <w:tc>
          <w:tcPr>
            <w:tcW w:w="1095" w:type="dxa"/>
            <w:vMerge w:val="restart"/>
            <w:tcBorders>
              <w:tl2br w:val="nil"/>
              <w:tr2bl w:val="nil"/>
            </w:tcBorders>
            <w:shd w:val="clear" w:color="auto" w:fill="FEFEFE"/>
            <w:vAlign w:val="center"/>
          </w:tcPr>
          <w:p w14:paraId="1EC4AD09">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资信业绩评分标准</w:t>
            </w:r>
          </w:p>
          <w:p w14:paraId="7A2EE60B">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2044" w:type="dxa"/>
            <w:tcBorders>
              <w:tl2br w:val="nil"/>
              <w:tr2bl w:val="nil"/>
            </w:tcBorders>
            <w:shd w:val="clear" w:color="auto" w:fill="FEFEFE"/>
            <w:vAlign w:val="center"/>
          </w:tcPr>
          <w:p w14:paraId="743C218A">
            <w:pPr>
              <w:wordWrap w:val="0"/>
              <w:topLinePunct/>
              <w:adjustRightInd w:val="0"/>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组织机构及主要管理人员</w:t>
            </w:r>
          </w:p>
          <w:p w14:paraId="41DF9A8D">
            <w:pPr>
              <w:wordWrap w:val="0"/>
              <w:topLinePunct/>
              <w:adjustRightInd w:val="0"/>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（8分）</w:t>
            </w:r>
          </w:p>
        </w:tc>
        <w:tc>
          <w:tcPr>
            <w:tcW w:w="5771" w:type="dxa"/>
            <w:tcBorders>
              <w:tl2br w:val="nil"/>
              <w:tr2bl w:val="nil"/>
            </w:tcBorders>
            <w:shd w:val="clear" w:color="auto" w:fill="FEFEFE"/>
            <w:vAlign w:val="center"/>
          </w:tcPr>
          <w:p w14:paraId="3A38F0F5">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1、项目负责人：</w:t>
            </w:r>
          </w:p>
          <w:p w14:paraId="3580C9C3">
            <w:pPr>
              <w:rPr>
                <w:color w:val="auto"/>
                <w:highlight w:val="none"/>
              </w:rPr>
            </w:pPr>
            <w:r>
              <w:rPr>
                <w:rFonts w:hint="eastAsia"/>
                <w:color w:val="auto"/>
                <w:highlight w:val="none"/>
              </w:rPr>
              <w:t>拟派项目负责人具有水利类高级或以上职称的，得3分；具有水利类中级职称的，得1分；</w:t>
            </w:r>
          </w:p>
          <w:p w14:paraId="28C900C1">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2、技术负责人：</w:t>
            </w:r>
          </w:p>
          <w:p w14:paraId="422EA775">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拟派技术负责人具有水利类高级或以上职称的得3分。</w:t>
            </w:r>
          </w:p>
          <w:p w14:paraId="12DB07F4">
            <w:pPr>
              <w:pStyle w:val="24"/>
              <w:wordWrap w:val="0"/>
              <w:topLinePunct/>
              <w:snapToGrid w:val="0"/>
              <w:spacing w:before="62" w:beforeLines="20" w:after="62" w:afterLines="20"/>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拟派的项目管理班子人员（项目负责人、技术负责人除外）具有水利类高级或以上职称的每个得1分，水利类中级职称的每个得0.5分；</w:t>
            </w:r>
            <w:r>
              <w:rPr>
                <w:rFonts w:hint="eastAsia" w:ascii="宋体" w:hAnsi="宋体" w:cs="宋体"/>
                <w:color w:val="auto"/>
                <w:szCs w:val="21"/>
                <w:highlight w:val="none"/>
              </w:rPr>
              <w:t>本小项最高得2分。</w:t>
            </w:r>
          </w:p>
          <w:p w14:paraId="77CCC3F3">
            <w:pPr>
              <w:wordWrap w:val="0"/>
              <w:topLinePunct/>
              <w:spacing w:before="62" w:beforeLines="20" w:after="62" w:afterLines="20"/>
              <w:jc w:val="left"/>
              <w:rPr>
                <w:rFonts w:hint="eastAsia" w:ascii="宋体" w:hAnsi="宋体" w:cs="宋体"/>
                <w:color w:val="auto"/>
                <w:szCs w:val="21"/>
                <w:highlight w:val="none"/>
              </w:rPr>
            </w:pPr>
            <w:r>
              <w:rPr>
                <w:rFonts w:hint="eastAsia" w:ascii="宋体" w:hAnsi="宋体" w:cs="宋体"/>
                <w:b/>
                <w:bCs/>
                <w:color w:val="auto"/>
                <w:szCs w:val="21"/>
                <w:highlight w:val="none"/>
              </w:rPr>
              <w:t>注：本项最高得8分</w:t>
            </w:r>
            <w:r>
              <w:rPr>
                <w:rFonts w:hint="eastAsia" w:ascii="宋体" w:hAnsi="宋体" w:cs="宋体"/>
                <w:color w:val="auto"/>
                <w:szCs w:val="21"/>
                <w:highlight w:val="none"/>
              </w:rPr>
              <w:t>，</w:t>
            </w:r>
            <w:r>
              <w:rPr>
                <w:rFonts w:hint="eastAsia" w:ascii="宋体" w:hAnsi="宋体" w:cs="宋体"/>
                <w:b/>
                <w:bCs/>
                <w:color w:val="auto"/>
                <w:szCs w:val="21"/>
                <w:highlight w:val="none"/>
              </w:rPr>
              <w:t>同一人员具备不同职称证书或注册证按最高计一次分，须提供相关证书的扫描件及上述人员近三个月（2025年02月至2025年04月）在投标单位（含分支机构）的社保证明</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业绩须提供中标通知书、合同关键页及合同工程完工验收鉴定书或竣工验收报告或单位工程验收鉴定书等能证明工程完工的资料或批文扫描件等，否则不得分。</w:t>
            </w:r>
          </w:p>
        </w:tc>
      </w:tr>
      <w:tr w14:paraId="050E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207" w:type="dxa"/>
            <w:gridSpan w:val="2"/>
            <w:vMerge w:val="continue"/>
            <w:tcBorders>
              <w:tl2br w:val="nil"/>
              <w:tr2bl w:val="nil"/>
            </w:tcBorders>
            <w:shd w:val="clear" w:color="auto" w:fill="FEFEFE"/>
            <w:vAlign w:val="center"/>
          </w:tcPr>
          <w:p w14:paraId="08F2AFCC">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614EE8D8">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2B47881A">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类似工程经历</w:t>
            </w:r>
          </w:p>
          <w:p w14:paraId="723D1AEB">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（12分）</w:t>
            </w:r>
          </w:p>
        </w:tc>
        <w:tc>
          <w:tcPr>
            <w:tcW w:w="5771" w:type="dxa"/>
            <w:tcBorders>
              <w:tl2br w:val="nil"/>
              <w:tr2bl w:val="nil"/>
            </w:tcBorders>
            <w:shd w:val="clear" w:color="auto" w:fill="FEFEFE"/>
          </w:tcPr>
          <w:p w14:paraId="2D3EA288">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投标人2020年05月01日至今（时间以验收日期为准）承接且完成的类似工程项目(河道整治)施工业绩，单项合同金额6000万元以上（含6000万元）每项得3分，单项合同金额合同额3000万元以上（含3000万元）至6000万元（不含6000万元）每项得1.5分；本项最高得12分。</w:t>
            </w:r>
          </w:p>
          <w:p w14:paraId="56EE0A4E">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b/>
                <w:bCs/>
                <w:color w:val="auto"/>
                <w:szCs w:val="21"/>
                <w:highlight w:val="none"/>
              </w:rPr>
              <w:t>注：业绩须提供中标通知书、合同关键页及合同工程完工验收鉴定书或竣工验收报告或单位工程验收鉴定书等能证明工程完工的资料或批文扫描件等，否则不得分。</w:t>
            </w:r>
          </w:p>
        </w:tc>
      </w:tr>
      <w:tr w14:paraId="4D94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3" w:hRule="atLeast"/>
          <w:jc w:val="center"/>
        </w:trPr>
        <w:tc>
          <w:tcPr>
            <w:tcW w:w="1207" w:type="dxa"/>
            <w:gridSpan w:val="2"/>
            <w:vMerge w:val="continue"/>
            <w:tcBorders>
              <w:tl2br w:val="nil"/>
              <w:tr2bl w:val="nil"/>
            </w:tcBorders>
            <w:shd w:val="clear" w:color="auto" w:fill="FEFEFE"/>
            <w:vAlign w:val="center"/>
          </w:tcPr>
          <w:p w14:paraId="0D4B5A4E">
            <w:pPr>
              <w:widowControl/>
              <w:wordWrap w:val="0"/>
              <w:topLinePunct/>
              <w:spacing w:before="62" w:beforeLines="20" w:after="62" w:afterLines="20"/>
              <w:jc w:val="left"/>
              <w:rPr>
                <w:rFonts w:hint="eastAsia" w:ascii="宋体" w:hAnsi="宋体" w:cs="宋体"/>
                <w:color w:val="auto"/>
                <w:szCs w:val="21"/>
                <w:highlight w:val="none"/>
              </w:rPr>
            </w:pPr>
          </w:p>
        </w:tc>
        <w:tc>
          <w:tcPr>
            <w:tcW w:w="1095" w:type="dxa"/>
            <w:vMerge w:val="continue"/>
            <w:tcBorders>
              <w:tl2br w:val="nil"/>
              <w:tr2bl w:val="nil"/>
            </w:tcBorders>
            <w:shd w:val="clear" w:color="auto" w:fill="FEFEFE"/>
            <w:vAlign w:val="center"/>
          </w:tcPr>
          <w:p w14:paraId="1ED4203B">
            <w:pPr>
              <w:widowControl/>
              <w:wordWrap w:val="0"/>
              <w:topLinePunct/>
              <w:spacing w:before="62" w:beforeLines="20" w:after="62" w:afterLines="20"/>
              <w:jc w:val="left"/>
              <w:rPr>
                <w:rFonts w:hint="eastAsia" w:ascii="宋体" w:hAnsi="宋体" w:cs="宋体"/>
                <w:color w:val="auto"/>
                <w:szCs w:val="21"/>
                <w:highlight w:val="none"/>
              </w:rPr>
            </w:pPr>
          </w:p>
        </w:tc>
        <w:tc>
          <w:tcPr>
            <w:tcW w:w="2044" w:type="dxa"/>
            <w:tcBorders>
              <w:tl2br w:val="nil"/>
              <w:tr2bl w:val="nil"/>
            </w:tcBorders>
            <w:shd w:val="clear" w:color="auto" w:fill="FEFEFE"/>
            <w:vAlign w:val="center"/>
          </w:tcPr>
          <w:p w14:paraId="4AE52C42">
            <w:pPr>
              <w:wordWrap w:val="0"/>
              <w:topLinePunct/>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企业资信</w:t>
            </w:r>
          </w:p>
          <w:p w14:paraId="54DFBBFD">
            <w:pPr>
              <w:wordWrap w:val="0"/>
              <w:topLinePunct/>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5771" w:type="dxa"/>
            <w:tcBorders>
              <w:tl2br w:val="nil"/>
              <w:tr2bl w:val="nil"/>
            </w:tcBorders>
            <w:shd w:val="clear" w:color="auto" w:fill="FEFEFE"/>
            <w:vAlign w:val="center"/>
          </w:tcPr>
          <w:p w14:paraId="263BB4D9">
            <w:pPr>
              <w:numPr>
                <w:ilvl w:val="0"/>
                <w:numId w:val="1"/>
              </w:num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投标人2020年05月01日至今（以证书颁发时间为准）承接的水利水电工程项目获得过由行业主管部门或行业协会颁发的奖项（或荣誉），省级或以上的每项得2分；市级的每项得1分，本项最高得6分。</w:t>
            </w:r>
          </w:p>
          <w:p w14:paraId="5B95BDCD">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b/>
                <w:bCs/>
                <w:color w:val="auto"/>
                <w:szCs w:val="21"/>
                <w:highlight w:val="none"/>
              </w:rPr>
              <w:t>注：提供有效证明资料的扫描件，否则不得分。</w:t>
            </w:r>
          </w:p>
          <w:p w14:paraId="1A9F3A91">
            <w:pPr>
              <w:numPr>
                <w:ilvl w:val="0"/>
                <w:numId w:val="1"/>
              </w:num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color w:val="auto"/>
                <w:szCs w:val="21"/>
                <w:highlight w:val="none"/>
              </w:rPr>
              <w:t>投标人2020年05月01日至今（以证书颁发时间为准）获得过省级或以上相关部门或行业协会颁发的水利工程类工法证书的每项得2分，本项最高得4分。</w:t>
            </w:r>
          </w:p>
          <w:p w14:paraId="69967F06">
            <w:pPr>
              <w:wordWrap w:val="0"/>
              <w:topLinePunct/>
              <w:snapToGrid w:val="0"/>
              <w:spacing w:before="62" w:beforeLines="20" w:after="62" w:afterLines="20"/>
              <w:jc w:val="left"/>
              <w:rPr>
                <w:rFonts w:hint="eastAsia" w:ascii="宋体" w:hAnsi="宋体" w:cs="宋体"/>
                <w:color w:val="auto"/>
                <w:szCs w:val="21"/>
                <w:highlight w:val="none"/>
              </w:rPr>
            </w:pPr>
            <w:r>
              <w:rPr>
                <w:rFonts w:hint="eastAsia" w:ascii="宋体" w:hAnsi="宋体" w:cs="宋体"/>
                <w:b/>
                <w:bCs/>
                <w:color w:val="auto"/>
                <w:szCs w:val="21"/>
                <w:highlight w:val="none"/>
              </w:rPr>
              <w:t>注：提供有效证明资料的扫描件，否则不得分。</w:t>
            </w:r>
          </w:p>
        </w:tc>
      </w:tr>
      <w:tr w14:paraId="39DE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1207" w:type="dxa"/>
            <w:gridSpan w:val="2"/>
            <w:tcBorders>
              <w:tl2br w:val="nil"/>
              <w:tr2bl w:val="nil"/>
            </w:tcBorders>
            <w:shd w:val="clear" w:color="auto" w:fill="FEFEFE"/>
            <w:vAlign w:val="center"/>
          </w:tcPr>
          <w:p w14:paraId="4394C223">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2.2.3</w:t>
            </w:r>
          </w:p>
          <w:p w14:paraId="3CE88152">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95" w:type="dxa"/>
            <w:tcBorders>
              <w:tl2br w:val="nil"/>
              <w:tr2bl w:val="nil"/>
            </w:tcBorders>
            <w:shd w:val="clear" w:color="auto" w:fill="FEFEFE"/>
            <w:vAlign w:val="center"/>
          </w:tcPr>
          <w:p w14:paraId="3EB60101">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信用得分</w:t>
            </w:r>
          </w:p>
          <w:p w14:paraId="67515183">
            <w:pPr>
              <w:wordWrap w:val="0"/>
              <w:topLinePunct/>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(10分)</w:t>
            </w:r>
          </w:p>
        </w:tc>
        <w:tc>
          <w:tcPr>
            <w:tcW w:w="2044" w:type="dxa"/>
            <w:tcBorders>
              <w:tl2br w:val="nil"/>
              <w:tr2bl w:val="nil"/>
            </w:tcBorders>
            <w:shd w:val="clear" w:color="auto" w:fill="FEFEFE"/>
            <w:vAlign w:val="center"/>
          </w:tcPr>
          <w:p w14:paraId="35B0F9BD">
            <w:pPr>
              <w:wordWrap w:val="0"/>
              <w:topLinePunct/>
              <w:adjustRightInd w:val="0"/>
              <w:snapToGrid w:val="0"/>
              <w:spacing w:before="62" w:beforeLines="20" w:after="62" w:afterLines="20"/>
              <w:jc w:val="center"/>
              <w:rPr>
                <w:rFonts w:hint="eastAsia" w:ascii="宋体" w:hAnsi="宋体" w:cs="宋体"/>
                <w:color w:val="auto"/>
                <w:szCs w:val="21"/>
                <w:highlight w:val="none"/>
              </w:rPr>
            </w:pPr>
            <w:r>
              <w:rPr>
                <w:rFonts w:hint="eastAsia" w:ascii="宋体" w:hAnsi="宋体" w:cs="宋体"/>
                <w:color w:val="auto"/>
                <w:szCs w:val="21"/>
                <w:highlight w:val="none"/>
              </w:rPr>
              <w:t>信用得分</w:t>
            </w:r>
          </w:p>
        </w:tc>
        <w:tc>
          <w:tcPr>
            <w:tcW w:w="5771" w:type="dxa"/>
            <w:tcBorders>
              <w:tl2br w:val="nil"/>
              <w:tr2bl w:val="nil"/>
            </w:tcBorders>
            <w:shd w:val="clear" w:color="auto" w:fill="FEFEFE"/>
            <w:vAlign w:val="center"/>
          </w:tcPr>
          <w:p w14:paraId="616997C2">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color w:val="auto"/>
                <w:szCs w:val="21"/>
                <w:highlight w:val="none"/>
              </w:rPr>
              <w:t>最终信用得分=信用分值×10%。</w:t>
            </w:r>
          </w:p>
          <w:p w14:paraId="2AEFCDFC">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color w:val="auto"/>
                <w:szCs w:val="21"/>
                <w:highlight w:val="none"/>
              </w:rPr>
              <w:t>注：1.最终信用得分精确到小数点后两位。</w:t>
            </w:r>
          </w:p>
          <w:p w14:paraId="4CBE1496">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color w:val="auto"/>
                <w:szCs w:val="21"/>
                <w:highlight w:val="none"/>
              </w:rPr>
              <w:t>2.投标人的信用分值取自广东省水利建设市场信用信息平台公开的水利建设市场主体“信用信息公开”栏中“信用分数”的数值，依法已建立信用档案的投标人信用分值按照开标时信用信息平台公开的信用分数进行计算（超100分的按100分计算），未依法建立信用档案的投标人按照初始信用分数为零进行计算。</w:t>
            </w:r>
          </w:p>
          <w:p w14:paraId="3328A8BE">
            <w:pPr>
              <w:wordWrap w:val="0"/>
              <w:topLinePunct/>
              <w:adjustRightInd w:val="0"/>
              <w:snapToGrid w:val="0"/>
              <w:spacing w:before="62" w:beforeLines="20" w:after="62" w:afterLines="20"/>
              <w:rPr>
                <w:rFonts w:hint="eastAsia" w:ascii="宋体" w:hAnsi="宋体" w:cs="宋体"/>
                <w:color w:val="auto"/>
                <w:szCs w:val="21"/>
                <w:highlight w:val="none"/>
              </w:rPr>
            </w:pPr>
            <w:r>
              <w:rPr>
                <w:rFonts w:hint="eastAsia" w:ascii="宋体" w:hAnsi="宋体" w:cs="宋体"/>
                <w:color w:val="auto"/>
                <w:szCs w:val="21"/>
                <w:highlight w:val="none"/>
              </w:rPr>
              <w:t>注：提供相关网页截图，无提供不得分。</w:t>
            </w:r>
          </w:p>
        </w:tc>
      </w:tr>
    </w:tbl>
    <w:p w14:paraId="1FD27EAB">
      <w:pPr>
        <w:adjustRightInd w:val="0"/>
        <w:snapToGrid w:val="0"/>
        <w:spacing w:line="360" w:lineRule="exact"/>
        <w:rPr>
          <w:rFonts w:hint="eastAsia" w:ascii="宋体" w:hAnsi="宋体" w:cs="宋体"/>
          <w:color w:val="auto"/>
          <w:szCs w:val="21"/>
          <w:highlight w:val="none"/>
        </w:rPr>
      </w:pPr>
    </w:p>
    <w:p w14:paraId="695239AA">
      <w:pPr>
        <w:rPr>
          <w:color w:val="auto"/>
          <w:highlight w:val="none"/>
        </w:rPr>
      </w:pPr>
      <w:r>
        <w:rPr>
          <w:rFonts w:hint="eastAsia"/>
          <w:color w:val="auto"/>
          <w:highlight w:val="none"/>
        </w:rPr>
        <w:br w:type="page"/>
      </w:r>
    </w:p>
    <w:p w14:paraId="127B1CE8">
      <w:pPr>
        <w:numPr>
          <w:ilvl w:val="0"/>
          <w:numId w:val="2"/>
        </w:numPr>
        <w:spacing w:line="360" w:lineRule="auto"/>
        <w:outlineLvl w:val="1"/>
        <w:rPr>
          <w:rFonts w:hint="eastAsia" w:ascii="宋体" w:hAnsi="宋体"/>
          <w:b/>
          <w:color w:val="auto"/>
          <w:highlight w:val="none"/>
        </w:rPr>
      </w:pPr>
      <w:bookmarkStart w:id="563" w:name="_Toc246996986"/>
      <w:bookmarkStart w:id="564" w:name="_Toc296602488"/>
      <w:bookmarkStart w:id="565" w:name="_Toc9753"/>
      <w:bookmarkStart w:id="566" w:name="_Toc16147"/>
      <w:bookmarkStart w:id="567" w:name="_Toc17628"/>
      <w:bookmarkStart w:id="568" w:name="_Toc18115"/>
      <w:bookmarkStart w:id="569" w:name="_Toc152042377"/>
      <w:bookmarkStart w:id="570" w:name="_Toc246996243"/>
      <w:bookmarkStart w:id="571" w:name="_Toc152045600"/>
      <w:bookmarkStart w:id="572" w:name="_Toc247085758"/>
      <w:bookmarkStart w:id="573" w:name="_Toc16737"/>
      <w:bookmarkStart w:id="574" w:name="_Toc144974567"/>
      <w:bookmarkStart w:id="575" w:name="_Toc179632618"/>
      <w:r>
        <w:rPr>
          <w:rFonts w:hint="eastAsia" w:ascii="宋体" w:hAnsi="宋体"/>
          <w:b/>
          <w:color w:val="auto"/>
          <w:highlight w:val="none"/>
        </w:rPr>
        <w:t>评标方法</w:t>
      </w:r>
      <w:bookmarkEnd w:id="563"/>
      <w:bookmarkEnd w:id="564"/>
      <w:bookmarkEnd w:id="565"/>
      <w:bookmarkEnd w:id="566"/>
      <w:bookmarkEnd w:id="567"/>
      <w:bookmarkEnd w:id="568"/>
      <w:bookmarkEnd w:id="569"/>
      <w:bookmarkEnd w:id="570"/>
      <w:bookmarkEnd w:id="571"/>
      <w:bookmarkEnd w:id="572"/>
      <w:bookmarkEnd w:id="573"/>
      <w:bookmarkEnd w:id="574"/>
      <w:bookmarkEnd w:id="575"/>
    </w:p>
    <w:p w14:paraId="1810A436">
      <w:pPr>
        <w:spacing w:line="360" w:lineRule="auto"/>
        <w:ind w:firstLine="420" w:firstLineChars="200"/>
        <w:rPr>
          <w:rFonts w:hint="eastAsia" w:ascii="宋体" w:hAnsi="宋体"/>
          <w:b/>
          <w:color w:val="auto"/>
          <w:highlight w:val="none"/>
        </w:rPr>
      </w:pPr>
      <w:r>
        <w:rPr>
          <w:rFonts w:hint="eastAsia"/>
          <w:color w:val="auto"/>
          <w:highlight w:val="none"/>
        </w:rPr>
        <w:t>本次评标采用综合评估法。评标委员会对满足招标文件实质性要求的投标文件，按照本章第</w:t>
      </w:r>
      <w:r>
        <w:rPr>
          <w:color w:val="auto"/>
          <w:highlight w:val="none"/>
        </w:rPr>
        <w:t>2.2</w:t>
      </w:r>
      <w:r>
        <w:rPr>
          <w:rFonts w:hint="eastAsia"/>
          <w:color w:val="auto"/>
          <w:highlight w:val="none"/>
        </w:rPr>
        <w:t>款规定的评分标准进行打分，并按得分由高到低顺序推荐中标候选人，但投标报价低于其成本的除外。综合评分相等时，以投标报价低的优先；投标报价也相等的，以</w:t>
      </w:r>
      <w:r>
        <w:rPr>
          <w:rFonts w:hint="eastAsia" w:ascii="宋体" w:hAnsi="宋体" w:cs="宋体"/>
          <w:color w:val="auto"/>
          <w:highlight w:val="none"/>
        </w:rPr>
        <w:t>施工组织设计</w:t>
      </w:r>
      <w:r>
        <w:rPr>
          <w:rFonts w:hint="eastAsia"/>
          <w:color w:val="auto"/>
          <w:highlight w:val="none"/>
        </w:rPr>
        <w:t>部分高的优先，</w:t>
      </w:r>
      <w:r>
        <w:rPr>
          <w:rFonts w:hint="eastAsia" w:ascii="宋体" w:hAnsi="宋体" w:cs="宋体"/>
          <w:color w:val="auto"/>
          <w:highlight w:val="none"/>
        </w:rPr>
        <w:t>施工组织设计</w:t>
      </w:r>
      <w:r>
        <w:rPr>
          <w:rFonts w:hint="eastAsia"/>
          <w:color w:val="auto"/>
          <w:highlight w:val="none"/>
        </w:rPr>
        <w:t>部分分数相同的，以资信业</w:t>
      </w:r>
      <w:r>
        <w:rPr>
          <w:color w:val="auto"/>
          <w:highlight w:val="none"/>
        </w:rPr>
        <w:t>绩</w:t>
      </w:r>
      <w:r>
        <w:rPr>
          <w:rFonts w:hint="eastAsia"/>
          <w:color w:val="auto"/>
          <w:highlight w:val="none"/>
        </w:rPr>
        <w:t>部分高的优先，资信业</w:t>
      </w:r>
      <w:r>
        <w:rPr>
          <w:color w:val="auto"/>
          <w:highlight w:val="none"/>
        </w:rPr>
        <w:t>绩</w:t>
      </w:r>
      <w:r>
        <w:rPr>
          <w:rFonts w:hint="eastAsia"/>
          <w:color w:val="auto"/>
          <w:highlight w:val="none"/>
        </w:rPr>
        <w:t>部分分数相同的，信用得分分数高的优先。</w:t>
      </w:r>
    </w:p>
    <w:p w14:paraId="51785A5F">
      <w:pPr>
        <w:numPr>
          <w:ilvl w:val="0"/>
          <w:numId w:val="2"/>
        </w:numPr>
        <w:spacing w:line="360" w:lineRule="auto"/>
        <w:outlineLvl w:val="1"/>
        <w:rPr>
          <w:rFonts w:hint="eastAsia" w:ascii="宋体" w:hAnsi="宋体"/>
          <w:b/>
          <w:color w:val="auto"/>
          <w:highlight w:val="none"/>
        </w:rPr>
      </w:pPr>
      <w:bookmarkStart w:id="576" w:name="_Toc247085759"/>
      <w:bookmarkStart w:id="577" w:name="_Toc4039"/>
      <w:bookmarkStart w:id="578" w:name="_Toc152042378"/>
      <w:bookmarkStart w:id="579" w:name="_Toc246996987"/>
      <w:bookmarkStart w:id="580" w:name="_Toc296602489"/>
      <w:bookmarkStart w:id="581" w:name="_Toc152045601"/>
      <w:bookmarkStart w:id="582" w:name="_Toc179632619"/>
      <w:bookmarkStart w:id="583" w:name="_Toc4163"/>
      <w:bookmarkStart w:id="584" w:name="_Toc144974568"/>
      <w:bookmarkStart w:id="585" w:name="_Toc32444"/>
      <w:bookmarkStart w:id="586" w:name="_Toc32070"/>
      <w:bookmarkStart w:id="587" w:name="_Toc246996244"/>
      <w:r>
        <w:rPr>
          <w:rFonts w:hint="eastAsia" w:ascii="宋体" w:hAnsi="宋体"/>
          <w:b/>
          <w:color w:val="auto"/>
          <w:highlight w:val="none"/>
        </w:rPr>
        <w:t>评审标准</w:t>
      </w:r>
      <w:bookmarkEnd w:id="576"/>
      <w:bookmarkEnd w:id="577"/>
      <w:bookmarkEnd w:id="578"/>
      <w:bookmarkEnd w:id="579"/>
      <w:bookmarkEnd w:id="580"/>
      <w:bookmarkEnd w:id="581"/>
      <w:bookmarkEnd w:id="582"/>
      <w:bookmarkEnd w:id="583"/>
      <w:bookmarkEnd w:id="584"/>
      <w:bookmarkEnd w:id="585"/>
      <w:bookmarkEnd w:id="586"/>
      <w:bookmarkEnd w:id="587"/>
    </w:p>
    <w:p w14:paraId="112FD58B">
      <w:pPr>
        <w:spacing w:line="360" w:lineRule="auto"/>
        <w:outlineLvl w:val="2"/>
        <w:rPr>
          <w:rFonts w:hint="eastAsia" w:ascii="宋体" w:hAnsi="宋体"/>
          <w:b/>
          <w:color w:val="auto"/>
          <w:highlight w:val="none"/>
        </w:rPr>
      </w:pPr>
      <w:bookmarkStart w:id="588" w:name="_Toc22715"/>
      <w:bookmarkStart w:id="589" w:name="_Toc22568"/>
      <w:bookmarkStart w:id="590" w:name="_Toc8288"/>
      <w:bookmarkStart w:id="591" w:name="_Toc15763"/>
      <w:bookmarkStart w:id="592" w:name="_Toc31880"/>
      <w:r>
        <w:rPr>
          <w:rFonts w:hint="eastAsia" w:ascii="宋体" w:hAnsi="宋体"/>
          <w:b/>
          <w:color w:val="auto"/>
          <w:highlight w:val="none"/>
        </w:rPr>
        <w:t>2.1初步</w:t>
      </w:r>
      <w:r>
        <w:rPr>
          <w:rFonts w:hint="eastAsia" w:ascii="宋体" w:hAnsi="宋体" w:cs="宋体"/>
          <w:b/>
          <w:color w:val="auto"/>
          <w:highlight w:val="none"/>
        </w:rPr>
        <w:t>评审标</w:t>
      </w:r>
      <w:r>
        <w:rPr>
          <w:rFonts w:hint="eastAsia" w:ascii="宋体" w:hAnsi="宋体"/>
          <w:b/>
          <w:color w:val="auto"/>
          <w:highlight w:val="none"/>
        </w:rPr>
        <w:t>准</w:t>
      </w:r>
      <w:bookmarkEnd w:id="588"/>
      <w:bookmarkEnd w:id="589"/>
      <w:bookmarkEnd w:id="590"/>
      <w:bookmarkEnd w:id="591"/>
      <w:bookmarkEnd w:id="592"/>
    </w:p>
    <w:p w14:paraId="731FDF9A">
      <w:pPr>
        <w:spacing w:line="360" w:lineRule="auto"/>
        <w:rPr>
          <w:rFonts w:hint="eastAsia" w:ascii="宋体" w:hAnsi="宋体"/>
          <w:color w:val="auto"/>
          <w:highlight w:val="none"/>
        </w:rPr>
      </w:pPr>
      <w:r>
        <w:rPr>
          <w:rFonts w:hint="eastAsia" w:ascii="宋体" w:hAnsi="宋体"/>
          <w:color w:val="auto"/>
          <w:highlight w:val="none"/>
        </w:rPr>
        <w:t>　　2.1.1 形式</w:t>
      </w:r>
      <w:r>
        <w:rPr>
          <w:rFonts w:hint="eastAsia" w:ascii="宋体" w:hAnsi="宋体" w:cs="宋体"/>
          <w:color w:val="auto"/>
          <w:highlight w:val="none"/>
        </w:rPr>
        <w:t>评审标</w:t>
      </w:r>
      <w:r>
        <w:rPr>
          <w:rFonts w:hint="eastAsia" w:ascii="宋体" w:hAnsi="宋体"/>
          <w:color w:val="auto"/>
          <w:highlight w:val="none"/>
        </w:rPr>
        <w:t>准：</w:t>
      </w:r>
      <w:r>
        <w:rPr>
          <w:rFonts w:hint="eastAsia" w:ascii="宋体" w:hAnsi="宋体" w:cs="宋体"/>
          <w:color w:val="auto"/>
          <w:highlight w:val="none"/>
        </w:rPr>
        <w:t>见评标办</w:t>
      </w:r>
      <w:r>
        <w:rPr>
          <w:rFonts w:hint="eastAsia" w:ascii="宋体" w:hAnsi="宋体"/>
          <w:color w:val="auto"/>
          <w:highlight w:val="none"/>
        </w:rPr>
        <w:t>法前附表。</w:t>
      </w:r>
    </w:p>
    <w:p w14:paraId="28D21A4C">
      <w:pPr>
        <w:spacing w:line="360" w:lineRule="auto"/>
        <w:rPr>
          <w:rFonts w:hint="eastAsia" w:ascii="宋体" w:hAnsi="宋体"/>
          <w:color w:val="auto"/>
          <w:highlight w:val="none"/>
        </w:rPr>
      </w:pPr>
      <w:r>
        <w:rPr>
          <w:rFonts w:hint="eastAsia" w:ascii="宋体" w:hAnsi="宋体"/>
          <w:color w:val="auto"/>
          <w:highlight w:val="none"/>
        </w:rPr>
        <w:t>　　2.1.2</w:t>
      </w:r>
      <w:r>
        <w:rPr>
          <w:rFonts w:hint="eastAsia" w:ascii="宋体" w:hAnsi="宋体" w:cs="宋体"/>
          <w:color w:val="auto"/>
          <w:highlight w:val="none"/>
        </w:rPr>
        <w:t>资</w:t>
      </w:r>
      <w:r>
        <w:rPr>
          <w:rFonts w:hint="eastAsia" w:ascii="宋体" w:hAnsi="宋体"/>
          <w:color w:val="auto"/>
          <w:highlight w:val="none"/>
        </w:rPr>
        <w:t>格</w:t>
      </w:r>
      <w:r>
        <w:rPr>
          <w:rFonts w:hint="eastAsia" w:ascii="宋体" w:hAnsi="宋体" w:cs="宋体"/>
          <w:color w:val="auto"/>
          <w:highlight w:val="none"/>
        </w:rPr>
        <w:t>评审标</w:t>
      </w:r>
      <w:r>
        <w:rPr>
          <w:rFonts w:hint="eastAsia" w:ascii="宋体" w:hAnsi="宋体"/>
          <w:color w:val="auto"/>
          <w:highlight w:val="none"/>
        </w:rPr>
        <w:t>准：</w:t>
      </w:r>
      <w:r>
        <w:rPr>
          <w:rFonts w:hint="eastAsia" w:ascii="宋体" w:hAnsi="宋体" w:cs="宋体"/>
          <w:color w:val="auto"/>
          <w:highlight w:val="none"/>
        </w:rPr>
        <w:t>见评标办</w:t>
      </w:r>
      <w:r>
        <w:rPr>
          <w:rFonts w:hint="eastAsia" w:ascii="宋体" w:hAnsi="宋体"/>
          <w:color w:val="auto"/>
          <w:highlight w:val="none"/>
        </w:rPr>
        <w:t>法前附表。</w:t>
      </w:r>
    </w:p>
    <w:p w14:paraId="1F47991F">
      <w:pPr>
        <w:spacing w:line="360" w:lineRule="auto"/>
        <w:rPr>
          <w:rFonts w:hint="eastAsia" w:ascii="宋体" w:hAnsi="宋体"/>
          <w:color w:val="auto"/>
          <w:highlight w:val="none"/>
        </w:rPr>
      </w:pPr>
      <w:r>
        <w:rPr>
          <w:rFonts w:hint="eastAsia" w:ascii="宋体" w:hAnsi="宋体"/>
          <w:color w:val="auto"/>
          <w:highlight w:val="none"/>
        </w:rPr>
        <w:t>　　2.1.3响</w:t>
      </w:r>
      <w:r>
        <w:rPr>
          <w:rFonts w:hint="eastAsia" w:ascii="宋体" w:hAnsi="宋体" w:cs="宋体"/>
          <w:color w:val="auto"/>
          <w:highlight w:val="none"/>
        </w:rPr>
        <w:t>应</w:t>
      </w:r>
      <w:r>
        <w:rPr>
          <w:rFonts w:hint="eastAsia" w:ascii="宋体" w:hAnsi="宋体"/>
          <w:color w:val="auto"/>
          <w:highlight w:val="none"/>
        </w:rPr>
        <w:t>性</w:t>
      </w:r>
      <w:r>
        <w:rPr>
          <w:rFonts w:hint="eastAsia" w:ascii="宋体" w:hAnsi="宋体" w:cs="宋体"/>
          <w:color w:val="auto"/>
          <w:highlight w:val="none"/>
        </w:rPr>
        <w:t>评审标</w:t>
      </w:r>
      <w:r>
        <w:rPr>
          <w:rFonts w:hint="eastAsia" w:ascii="宋体" w:hAnsi="宋体"/>
          <w:color w:val="auto"/>
          <w:highlight w:val="none"/>
        </w:rPr>
        <w:t>准：</w:t>
      </w:r>
      <w:r>
        <w:rPr>
          <w:rFonts w:hint="eastAsia" w:ascii="宋体" w:hAnsi="宋体" w:cs="宋体"/>
          <w:color w:val="auto"/>
          <w:highlight w:val="none"/>
        </w:rPr>
        <w:t>见评标办</w:t>
      </w:r>
      <w:r>
        <w:rPr>
          <w:rFonts w:hint="eastAsia" w:ascii="宋体" w:hAnsi="宋体"/>
          <w:color w:val="auto"/>
          <w:highlight w:val="none"/>
        </w:rPr>
        <w:t>法前附表。</w:t>
      </w:r>
    </w:p>
    <w:p w14:paraId="18CA06FE">
      <w:pPr>
        <w:spacing w:line="360" w:lineRule="auto"/>
        <w:outlineLvl w:val="2"/>
        <w:rPr>
          <w:rFonts w:hint="eastAsia" w:ascii="宋体" w:hAnsi="宋体"/>
          <w:b/>
          <w:color w:val="auto"/>
          <w:highlight w:val="none"/>
        </w:rPr>
      </w:pPr>
      <w:bookmarkStart w:id="593" w:name="_Toc17836"/>
      <w:bookmarkStart w:id="594" w:name="_Toc6589"/>
      <w:bookmarkStart w:id="595" w:name="_Toc2986"/>
      <w:bookmarkStart w:id="596" w:name="_Toc26662"/>
      <w:bookmarkStart w:id="597" w:name="_Toc6687"/>
      <w:r>
        <w:rPr>
          <w:rFonts w:hint="eastAsia" w:ascii="宋体" w:hAnsi="宋体"/>
          <w:b/>
          <w:color w:val="auto"/>
          <w:highlight w:val="none"/>
        </w:rPr>
        <w:t>2.2详细评审标准</w:t>
      </w:r>
      <w:bookmarkEnd w:id="593"/>
      <w:bookmarkEnd w:id="594"/>
      <w:bookmarkEnd w:id="595"/>
      <w:bookmarkEnd w:id="596"/>
      <w:bookmarkEnd w:id="597"/>
    </w:p>
    <w:p w14:paraId="197AF1C0">
      <w:pPr>
        <w:adjustRightInd w:val="0"/>
        <w:snapToGrid w:val="0"/>
        <w:spacing w:line="400" w:lineRule="exact"/>
        <w:rPr>
          <w:rFonts w:hint="eastAsia" w:ascii="宋体" w:hAnsi="宋体"/>
          <w:color w:val="auto"/>
          <w:highlight w:val="none"/>
        </w:rPr>
      </w:pPr>
      <w:r>
        <w:rPr>
          <w:rFonts w:hint="eastAsia" w:ascii="宋体" w:hAnsi="宋体"/>
          <w:color w:val="auto"/>
          <w:highlight w:val="none"/>
        </w:rPr>
        <w:t>　　详细评审标准：</w:t>
      </w:r>
      <w:r>
        <w:rPr>
          <w:rFonts w:hint="eastAsia" w:ascii="宋体" w:hAnsi="宋体" w:cs="宋体"/>
          <w:color w:val="auto"/>
          <w:highlight w:val="none"/>
        </w:rPr>
        <w:t>见评标办</w:t>
      </w:r>
      <w:r>
        <w:rPr>
          <w:rFonts w:hint="eastAsia" w:ascii="宋体" w:hAnsi="宋体"/>
          <w:color w:val="auto"/>
          <w:highlight w:val="none"/>
        </w:rPr>
        <w:t>法前附表。</w:t>
      </w:r>
    </w:p>
    <w:p w14:paraId="1C99246D">
      <w:pPr>
        <w:adjustRightInd w:val="0"/>
        <w:snapToGrid w:val="0"/>
        <w:spacing w:line="400" w:lineRule="exact"/>
        <w:rPr>
          <w:rFonts w:hint="eastAsia" w:ascii="宋体" w:hAnsi="宋体"/>
          <w:color w:val="auto"/>
          <w:highlight w:val="none"/>
        </w:rPr>
      </w:pPr>
      <w:r>
        <w:rPr>
          <w:rFonts w:hint="eastAsia" w:ascii="宋体" w:hAnsi="宋体"/>
          <w:color w:val="auto"/>
          <w:highlight w:val="none"/>
        </w:rPr>
        <w:t>2.2.1 分值构成</w:t>
      </w:r>
    </w:p>
    <w:p w14:paraId="3A171CA0">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（1）投标报价：见评标办法前附表；</w:t>
      </w:r>
    </w:p>
    <w:p w14:paraId="23B1F45A">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（2）</w:t>
      </w:r>
      <w:r>
        <w:rPr>
          <w:rFonts w:hint="eastAsia" w:ascii="宋体" w:hAnsi="宋体" w:cs="宋体"/>
          <w:color w:val="auto"/>
          <w:szCs w:val="21"/>
          <w:highlight w:val="none"/>
        </w:rPr>
        <w:t>施工组织设计</w:t>
      </w:r>
      <w:r>
        <w:rPr>
          <w:rFonts w:hint="eastAsia" w:ascii="宋体" w:hAnsi="宋体"/>
          <w:color w:val="auto"/>
          <w:highlight w:val="none"/>
        </w:rPr>
        <w:t>部分：见评标办法前附表；</w:t>
      </w:r>
    </w:p>
    <w:p w14:paraId="7CF7EC72">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（3）</w:t>
      </w:r>
      <w:r>
        <w:rPr>
          <w:rFonts w:hint="eastAsia"/>
          <w:color w:val="auto"/>
          <w:highlight w:val="none"/>
        </w:rPr>
        <w:t>资信业</w:t>
      </w:r>
      <w:r>
        <w:rPr>
          <w:color w:val="auto"/>
          <w:highlight w:val="none"/>
        </w:rPr>
        <w:t>绩</w:t>
      </w:r>
      <w:r>
        <w:rPr>
          <w:rFonts w:hint="eastAsia" w:ascii="宋体" w:hAnsi="宋体"/>
          <w:color w:val="auto"/>
          <w:highlight w:val="none"/>
        </w:rPr>
        <w:t>部分：见评标办法前附表；</w:t>
      </w:r>
    </w:p>
    <w:p w14:paraId="4E36C3C1">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（4）信用得分：见评标办法前附表。</w:t>
      </w:r>
    </w:p>
    <w:p w14:paraId="2600A426">
      <w:pPr>
        <w:adjustRightInd w:val="0"/>
        <w:snapToGrid w:val="0"/>
        <w:spacing w:line="400" w:lineRule="exact"/>
        <w:rPr>
          <w:rFonts w:hint="eastAsia" w:ascii="宋体" w:hAnsi="宋体"/>
          <w:color w:val="auto"/>
          <w:highlight w:val="none"/>
        </w:rPr>
      </w:pPr>
      <w:r>
        <w:rPr>
          <w:rFonts w:ascii="宋体" w:hAnsi="宋体"/>
          <w:color w:val="auto"/>
          <w:highlight w:val="none"/>
        </w:rPr>
        <w:t xml:space="preserve">2.2.2 </w:t>
      </w:r>
      <w:r>
        <w:rPr>
          <w:rFonts w:hint="eastAsia" w:ascii="宋体" w:hAnsi="宋体" w:cs="宋体"/>
          <w:color w:val="auto"/>
          <w:highlight w:val="none"/>
        </w:rPr>
        <w:t>评</w:t>
      </w:r>
      <w:r>
        <w:rPr>
          <w:rFonts w:hint="eastAsia" w:ascii="宋体" w:hAnsi="宋体"/>
          <w:color w:val="auto"/>
          <w:highlight w:val="none"/>
        </w:rPr>
        <w:t>分</w:t>
      </w:r>
      <w:r>
        <w:rPr>
          <w:rFonts w:hint="eastAsia" w:ascii="宋体" w:hAnsi="宋体" w:cs="宋体"/>
          <w:color w:val="auto"/>
          <w:highlight w:val="none"/>
        </w:rPr>
        <w:t>标</w:t>
      </w:r>
      <w:r>
        <w:rPr>
          <w:rFonts w:hint="eastAsia" w:ascii="宋体" w:hAnsi="宋体"/>
          <w:color w:val="auto"/>
          <w:highlight w:val="none"/>
        </w:rPr>
        <w:t>准</w:t>
      </w:r>
    </w:p>
    <w:p w14:paraId="01A601E7">
      <w:pPr>
        <w:spacing w:line="360" w:lineRule="auto"/>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见评标办</w:t>
      </w:r>
      <w:r>
        <w:rPr>
          <w:rFonts w:hint="eastAsia" w:ascii="宋体" w:hAnsi="宋体"/>
          <w:color w:val="auto"/>
          <w:highlight w:val="none"/>
        </w:rPr>
        <w:t>法前附表；</w:t>
      </w:r>
    </w:p>
    <w:p w14:paraId="58A3A1F4">
      <w:pPr>
        <w:adjustRightInd w:val="0"/>
        <w:snapToGrid w:val="0"/>
        <w:spacing w:line="400" w:lineRule="exact"/>
        <w:outlineLvl w:val="1"/>
        <w:rPr>
          <w:rFonts w:hint="eastAsia" w:ascii="宋体" w:hAnsi="宋体"/>
          <w:b/>
          <w:color w:val="auto"/>
          <w:highlight w:val="none"/>
        </w:rPr>
      </w:pPr>
      <w:bookmarkStart w:id="598" w:name="_Toc10366"/>
      <w:bookmarkStart w:id="599" w:name="_Toc168475708"/>
      <w:bookmarkStart w:id="600" w:name="_Toc222029494"/>
      <w:bookmarkStart w:id="601" w:name="_Toc222033845"/>
      <w:bookmarkStart w:id="602" w:name="_Toc229408484"/>
      <w:bookmarkStart w:id="603" w:name="_Toc404880851"/>
      <w:bookmarkStart w:id="604" w:name="_Toc25675"/>
      <w:bookmarkStart w:id="605" w:name="_Toc168476111"/>
      <w:bookmarkStart w:id="606" w:name="_Toc8800"/>
      <w:bookmarkStart w:id="607" w:name="_Toc10404"/>
      <w:bookmarkStart w:id="608" w:name="_Toc222032663"/>
      <w:bookmarkStart w:id="609" w:name="_Toc229305354"/>
      <w:bookmarkStart w:id="610" w:name="_Toc221950432"/>
      <w:bookmarkStart w:id="611" w:name="_Toc12639"/>
      <w:bookmarkStart w:id="612" w:name="_Toc222030996"/>
      <w:bookmarkStart w:id="613" w:name="_Toc144974560"/>
      <w:bookmarkStart w:id="614" w:name="_Toc144974573"/>
      <w:bookmarkStart w:id="615" w:name="_Toc179632624"/>
      <w:bookmarkStart w:id="616" w:name="_Toc246996992"/>
      <w:bookmarkStart w:id="617" w:name="_Toc247085764"/>
      <w:bookmarkStart w:id="618" w:name="_Toc152045606"/>
      <w:bookmarkStart w:id="619" w:name="_Toc296602494"/>
      <w:bookmarkStart w:id="620" w:name="_Toc246996249"/>
      <w:bookmarkStart w:id="621" w:name="_Toc152042384"/>
      <w:r>
        <w:rPr>
          <w:rFonts w:hint="eastAsia" w:ascii="宋体" w:hAnsi="宋体"/>
          <w:b/>
          <w:color w:val="auto"/>
          <w:highlight w:val="none"/>
        </w:rPr>
        <w:t>3. 评标程序</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888FFD6">
      <w:pPr>
        <w:spacing w:line="360" w:lineRule="auto"/>
        <w:outlineLvl w:val="2"/>
        <w:rPr>
          <w:rFonts w:hint="eastAsia" w:ascii="宋体" w:hAnsi="宋体"/>
          <w:b/>
          <w:color w:val="auto"/>
          <w:highlight w:val="none"/>
        </w:rPr>
      </w:pPr>
      <w:bookmarkStart w:id="622" w:name="_Toc152042371"/>
      <w:bookmarkStart w:id="623" w:name="_Toc17742"/>
      <w:bookmarkStart w:id="624" w:name="_Toc152045594"/>
      <w:bookmarkStart w:id="625" w:name="_Toc258411328"/>
      <w:bookmarkStart w:id="626" w:name="_Toc144974561"/>
      <w:bookmarkStart w:id="627" w:name="_Toc330"/>
      <w:bookmarkStart w:id="628" w:name="_Toc23788"/>
      <w:bookmarkStart w:id="629" w:name="_Toc250901559"/>
      <w:bookmarkStart w:id="630" w:name="_Toc15240"/>
      <w:bookmarkStart w:id="631" w:name="_Toc8784"/>
      <w:bookmarkStart w:id="632" w:name="_Toc179632612"/>
      <w:r>
        <w:rPr>
          <w:rFonts w:hint="eastAsia" w:ascii="宋体" w:hAnsi="宋体"/>
          <w:b/>
          <w:color w:val="auto"/>
          <w:highlight w:val="none"/>
        </w:rPr>
        <w:t>3.1 初步评审</w:t>
      </w:r>
      <w:bookmarkEnd w:id="622"/>
      <w:bookmarkEnd w:id="623"/>
      <w:bookmarkEnd w:id="624"/>
      <w:bookmarkEnd w:id="625"/>
      <w:bookmarkEnd w:id="626"/>
      <w:bookmarkEnd w:id="627"/>
      <w:bookmarkEnd w:id="628"/>
      <w:bookmarkEnd w:id="629"/>
      <w:bookmarkEnd w:id="630"/>
      <w:bookmarkEnd w:id="631"/>
      <w:bookmarkEnd w:id="632"/>
    </w:p>
    <w:p w14:paraId="5ACB6CCA">
      <w:pPr>
        <w:spacing w:line="360" w:lineRule="auto"/>
        <w:rPr>
          <w:rFonts w:hint="eastAsia" w:ascii="宋体" w:hAnsi="宋体"/>
          <w:color w:val="auto"/>
          <w:highlight w:val="none"/>
        </w:rPr>
      </w:pPr>
      <w:r>
        <w:rPr>
          <w:rFonts w:hint="eastAsia" w:ascii="宋体" w:hAnsi="宋体"/>
          <w:color w:val="auto"/>
          <w:highlight w:val="none"/>
        </w:rPr>
        <w:t>　　3.1.1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14:paraId="49195620">
      <w:pPr>
        <w:spacing w:line="360" w:lineRule="auto"/>
        <w:rPr>
          <w:rFonts w:hint="eastAsia" w:ascii="宋体" w:hAnsi="宋体"/>
          <w:color w:val="auto"/>
          <w:highlight w:val="none"/>
        </w:rPr>
      </w:pPr>
      <w:r>
        <w:rPr>
          <w:rFonts w:hint="eastAsia" w:ascii="宋体" w:hAnsi="宋体"/>
          <w:color w:val="auto"/>
          <w:highlight w:val="none"/>
        </w:rPr>
        <w:t>　　3.1.2 投标人有以下情形之一的，其投标作废标处理：</w:t>
      </w:r>
    </w:p>
    <w:p w14:paraId="6C09F42C">
      <w:pPr>
        <w:spacing w:line="360" w:lineRule="auto"/>
        <w:rPr>
          <w:rFonts w:hint="eastAsia" w:ascii="宋体" w:hAnsi="宋体"/>
          <w:color w:val="auto"/>
          <w:highlight w:val="none"/>
        </w:rPr>
      </w:pPr>
      <w:r>
        <w:rPr>
          <w:rFonts w:hint="eastAsia" w:ascii="宋体" w:hAnsi="宋体"/>
          <w:color w:val="auto"/>
          <w:highlight w:val="none"/>
        </w:rPr>
        <w:t>　　（1）第二章“投标人须知”第1.4.3项规定的任何一种情形的；</w:t>
      </w:r>
    </w:p>
    <w:p w14:paraId="54E92110">
      <w:pPr>
        <w:spacing w:line="360" w:lineRule="auto"/>
        <w:rPr>
          <w:rFonts w:hint="eastAsia" w:ascii="宋体" w:hAnsi="宋体"/>
          <w:color w:val="auto"/>
          <w:highlight w:val="none"/>
        </w:rPr>
      </w:pPr>
      <w:r>
        <w:rPr>
          <w:rFonts w:hint="eastAsia" w:ascii="宋体" w:hAnsi="宋体"/>
          <w:color w:val="auto"/>
          <w:highlight w:val="none"/>
        </w:rPr>
        <w:t>　　（2）串通投标或弄虚作假或有其他违法行为的；</w:t>
      </w:r>
    </w:p>
    <w:p w14:paraId="0EA63E01">
      <w:pPr>
        <w:spacing w:line="360" w:lineRule="auto"/>
        <w:rPr>
          <w:rFonts w:hint="eastAsia" w:ascii="宋体" w:hAnsi="宋体"/>
          <w:color w:val="auto"/>
          <w:highlight w:val="none"/>
        </w:rPr>
      </w:pPr>
      <w:r>
        <w:rPr>
          <w:rFonts w:hint="eastAsia" w:ascii="宋体" w:hAnsi="宋体"/>
          <w:color w:val="auto"/>
          <w:highlight w:val="none"/>
        </w:rPr>
        <w:t>　　（3）不按评标委员会要求澄清、说明或补正的。</w:t>
      </w:r>
    </w:p>
    <w:p w14:paraId="1AA56204">
      <w:pPr>
        <w:spacing w:line="360" w:lineRule="auto"/>
        <w:rPr>
          <w:rFonts w:hint="eastAsia" w:ascii="宋体" w:hAnsi="宋体"/>
          <w:color w:val="auto"/>
          <w:highlight w:val="none"/>
        </w:rPr>
      </w:pPr>
      <w:r>
        <w:rPr>
          <w:rFonts w:hint="eastAsia" w:ascii="宋体" w:hAnsi="宋体"/>
          <w:color w:val="auto"/>
          <w:highlight w:val="none"/>
        </w:rPr>
        <w:t>　　3.1.3投标报价有算术错误的，评标委员会按以下原则对投标报价进行修正，修正的价格经投标人书面确认后具有约束力。投标人不接受修正价格的，其投标作废标处理。</w:t>
      </w:r>
    </w:p>
    <w:p w14:paraId="55ADE907">
      <w:pPr>
        <w:spacing w:line="360" w:lineRule="auto"/>
        <w:rPr>
          <w:rFonts w:hint="eastAsia" w:ascii="宋体" w:hAnsi="宋体"/>
          <w:color w:val="auto"/>
          <w:highlight w:val="none"/>
        </w:rPr>
      </w:pPr>
      <w:r>
        <w:rPr>
          <w:rFonts w:hint="eastAsia" w:ascii="宋体" w:hAnsi="宋体"/>
          <w:color w:val="auto"/>
          <w:highlight w:val="none"/>
        </w:rPr>
        <w:t>　　（1）投标文件中的大写金额与小写金额不一致的，以大写金额为准；</w:t>
      </w:r>
    </w:p>
    <w:p w14:paraId="0BD18684">
      <w:pPr>
        <w:spacing w:line="360" w:lineRule="auto"/>
        <w:rPr>
          <w:rFonts w:hint="eastAsia" w:ascii="宋体" w:hAnsi="宋体"/>
          <w:color w:val="auto"/>
          <w:highlight w:val="none"/>
        </w:rPr>
      </w:pPr>
      <w:r>
        <w:rPr>
          <w:rFonts w:hint="eastAsia" w:ascii="宋体" w:hAnsi="宋体"/>
          <w:color w:val="auto"/>
          <w:highlight w:val="none"/>
        </w:rPr>
        <w:t>　　（2）总价金额与依据单价计算出的结果不一致的，以单价金额为准修正总价，但单价金额小数点有明显错误的除外。</w:t>
      </w:r>
    </w:p>
    <w:bookmarkEnd w:id="614"/>
    <w:bookmarkEnd w:id="615"/>
    <w:bookmarkEnd w:id="616"/>
    <w:bookmarkEnd w:id="617"/>
    <w:bookmarkEnd w:id="618"/>
    <w:bookmarkEnd w:id="619"/>
    <w:bookmarkEnd w:id="620"/>
    <w:bookmarkEnd w:id="621"/>
    <w:p w14:paraId="002228AF">
      <w:pPr>
        <w:spacing w:line="360" w:lineRule="auto"/>
        <w:outlineLvl w:val="2"/>
        <w:rPr>
          <w:rFonts w:hint="eastAsia" w:ascii="宋体" w:hAnsi="宋体"/>
          <w:b/>
          <w:color w:val="auto"/>
          <w:highlight w:val="none"/>
        </w:rPr>
      </w:pPr>
      <w:bookmarkStart w:id="633" w:name="_Toc11776"/>
      <w:bookmarkStart w:id="634" w:name="_Toc179632613"/>
      <w:bookmarkStart w:id="635" w:name="_Toc19125"/>
      <w:bookmarkStart w:id="636" w:name="_Toc152045595"/>
      <w:bookmarkStart w:id="637" w:name="_Toc5728"/>
      <w:bookmarkStart w:id="638" w:name="_Toc258411329"/>
      <w:bookmarkStart w:id="639" w:name="_Toc152042372"/>
      <w:bookmarkStart w:id="640" w:name="_Toc23407"/>
      <w:bookmarkStart w:id="641" w:name="_Toc30606"/>
      <w:bookmarkStart w:id="642" w:name="_Toc144974562"/>
      <w:bookmarkStart w:id="643" w:name="_Toc250901560"/>
      <w:r>
        <w:rPr>
          <w:rFonts w:hint="eastAsia" w:ascii="宋体" w:hAnsi="宋体"/>
          <w:b/>
          <w:color w:val="auto"/>
          <w:highlight w:val="none"/>
        </w:rPr>
        <w:t>3.2 详细评审</w:t>
      </w:r>
      <w:bookmarkEnd w:id="633"/>
      <w:bookmarkEnd w:id="634"/>
      <w:bookmarkEnd w:id="635"/>
      <w:bookmarkEnd w:id="636"/>
      <w:bookmarkEnd w:id="637"/>
      <w:bookmarkEnd w:id="638"/>
      <w:bookmarkEnd w:id="639"/>
      <w:bookmarkEnd w:id="640"/>
      <w:bookmarkEnd w:id="641"/>
      <w:bookmarkEnd w:id="642"/>
      <w:bookmarkEnd w:id="643"/>
    </w:p>
    <w:p w14:paraId="397F73ED">
      <w:pPr>
        <w:spacing w:line="360" w:lineRule="auto"/>
        <w:rPr>
          <w:rFonts w:hint="eastAsia" w:ascii="宋体" w:hAnsi="宋体"/>
          <w:color w:val="auto"/>
          <w:highlight w:val="none"/>
        </w:rPr>
      </w:pPr>
      <w:r>
        <w:rPr>
          <w:rFonts w:hint="eastAsia" w:ascii="宋体" w:hAnsi="宋体"/>
          <w:color w:val="auto"/>
          <w:highlight w:val="none"/>
        </w:rPr>
        <w:t>3.2.1 评标委员会按本章第2.2款规定的量化因素和分值进行打分，并进行评比。</w:t>
      </w:r>
    </w:p>
    <w:p w14:paraId="698F2755">
      <w:pPr>
        <w:spacing w:line="360" w:lineRule="auto"/>
        <w:rPr>
          <w:rFonts w:hint="eastAsia" w:ascii="宋体" w:hAnsi="宋体"/>
          <w:color w:val="auto"/>
          <w:highlight w:val="none"/>
        </w:rPr>
      </w:pPr>
      <w:r>
        <w:rPr>
          <w:rFonts w:hint="eastAsia" w:ascii="宋体" w:hAnsi="宋体"/>
          <w:color w:val="auto"/>
          <w:highlight w:val="none"/>
        </w:rPr>
        <w:t>（1）按本章第2.2.2（1）目规定的评审因素和分值对投标报价计算出得分A；</w:t>
      </w:r>
    </w:p>
    <w:p w14:paraId="33E4E71C">
      <w:pPr>
        <w:spacing w:line="360" w:lineRule="auto"/>
        <w:rPr>
          <w:rFonts w:hint="eastAsia" w:ascii="宋体" w:hAnsi="宋体"/>
          <w:color w:val="auto"/>
          <w:highlight w:val="none"/>
        </w:rPr>
      </w:pPr>
      <w:r>
        <w:rPr>
          <w:rFonts w:hint="eastAsia" w:ascii="宋体" w:hAnsi="宋体"/>
          <w:color w:val="auto"/>
          <w:highlight w:val="none"/>
        </w:rPr>
        <w:t>（2）按本章第2.2.3（1）目规定的评审因素和分值对</w:t>
      </w:r>
      <w:r>
        <w:rPr>
          <w:rFonts w:hint="eastAsia" w:ascii="宋体" w:hAnsi="宋体" w:cs="宋体"/>
          <w:color w:val="auto"/>
          <w:szCs w:val="21"/>
          <w:highlight w:val="none"/>
        </w:rPr>
        <w:t>施工组织设计</w:t>
      </w:r>
      <w:r>
        <w:rPr>
          <w:rFonts w:hint="eastAsia" w:ascii="宋体" w:hAnsi="宋体"/>
          <w:color w:val="auto"/>
          <w:highlight w:val="none"/>
        </w:rPr>
        <w:t>计算出得分B；</w:t>
      </w:r>
    </w:p>
    <w:p w14:paraId="6F82E0FB">
      <w:pPr>
        <w:spacing w:line="360" w:lineRule="auto"/>
        <w:rPr>
          <w:rFonts w:hint="eastAsia" w:ascii="宋体" w:hAnsi="宋体"/>
          <w:color w:val="auto"/>
          <w:highlight w:val="none"/>
        </w:rPr>
      </w:pPr>
      <w:r>
        <w:rPr>
          <w:rFonts w:hint="eastAsia" w:ascii="宋体" w:hAnsi="宋体"/>
          <w:color w:val="auto"/>
          <w:highlight w:val="none"/>
        </w:rPr>
        <w:t>（3）按本章第2.2.3（2）目规定的评审因素和分值对</w:t>
      </w:r>
      <w:r>
        <w:rPr>
          <w:rFonts w:hint="eastAsia"/>
          <w:color w:val="auto"/>
          <w:highlight w:val="none"/>
        </w:rPr>
        <w:t>资信业</w:t>
      </w:r>
      <w:r>
        <w:rPr>
          <w:color w:val="auto"/>
          <w:highlight w:val="none"/>
        </w:rPr>
        <w:t>绩</w:t>
      </w:r>
      <w:r>
        <w:rPr>
          <w:rFonts w:hint="eastAsia" w:ascii="宋体" w:hAnsi="宋体"/>
          <w:color w:val="auto"/>
          <w:highlight w:val="none"/>
        </w:rPr>
        <w:t>计算出得分C；</w:t>
      </w:r>
    </w:p>
    <w:p w14:paraId="0AFDE5C9">
      <w:pPr>
        <w:spacing w:line="360" w:lineRule="auto"/>
        <w:rPr>
          <w:rFonts w:hint="eastAsia" w:ascii="宋体" w:hAnsi="宋体"/>
          <w:color w:val="auto"/>
          <w:highlight w:val="none"/>
        </w:rPr>
      </w:pPr>
      <w:r>
        <w:rPr>
          <w:rFonts w:hint="eastAsia" w:ascii="宋体" w:hAnsi="宋体"/>
          <w:color w:val="auto"/>
          <w:highlight w:val="none"/>
        </w:rPr>
        <w:t>（4）按本章第2.2.3（3）目规定的评审因素和分值对信用得分计算出得分D。</w:t>
      </w:r>
    </w:p>
    <w:p w14:paraId="49651960">
      <w:pPr>
        <w:spacing w:line="360" w:lineRule="auto"/>
        <w:rPr>
          <w:rFonts w:hint="eastAsia" w:ascii="宋体" w:hAnsi="宋体"/>
          <w:color w:val="auto"/>
          <w:highlight w:val="none"/>
        </w:rPr>
      </w:pPr>
      <w:r>
        <w:rPr>
          <w:rFonts w:hint="eastAsia" w:ascii="宋体" w:hAnsi="宋体"/>
          <w:color w:val="auto"/>
          <w:highlight w:val="none"/>
        </w:rPr>
        <w:t>3.2.2 B、C、D为各评委评分去掉最高分和最低分的算术平均值，评分分值计算保留小数点后两位，小数点后第三位“四舍五入”。</w:t>
      </w:r>
    </w:p>
    <w:p w14:paraId="468B4B0C">
      <w:pPr>
        <w:spacing w:line="360" w:lineRule="auto"/>
        <w:rPr>
          <w:rFonts w:hint="eastAsia" w:ascii="宋体" w:hAnsi="宋体"/>
          <w:color w:val="auto"/>
          <w:highlight w:val="none"/>
        </w:rPr>
      </w:pPr>
      <w:r>
        <w:rPr>
          <w:rFonts w:hint="eastAsia" w:ascii="宋体" w:hAnsi="宋体"/>
          <w:color w:val="auto"/>
          <w:highlight w:val="none"/>
        </w:rPr>
        <w:t>3.2.3 投标人得分=A+B+C+D。</w:t>
      </w:r>
    </w:p>
    <w:p w14:paraId="68CAD6A9">
      <w:pPr>
        <w:spacing w:line="360" w:lineRule="auto"/>
        <w:rPr>
          <w:rFonts w:hint="eastAsia" w:ascii="宋体" w:hAnsi="宋体"/>
          <w:color w:val="auto"/>
          <w:highlight w:val="none"/>
        </w:rPr>
      </w:pPr>
      <w:r>
        <w:rPr>
          <w:rFonts w:hint="eastAsia" w:ascii="宋体" w:hAnsi="宋体"/>
          <w:color w:val="auto"/>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投标处理。</w:t>
      </w:r>
    </w:p>
    <w:p w14:paraId="489A004A">
      <w:pPr>
        <w:spacing w:line="360" w:lineRule="auto"/>
        <w:outlineLvl w:val="2"/>
        <w:rPr>
          <w:rFonts w:hint="eastAsia" w:ascii="宋体" w:hAnsi="宋体"/>
          <w:b/>
          <w:color w:val="auto"/>
          <w:highlight w:val="none"/>
        </w:rPr>
      </w:pPr>
      <w:bookmarkStart w:id="644" w:name="_Toc2798"/>
      <w:bookmarkStart w:id="645" w:name="_Toc31875"/>
      <w:bookmarkStart w:id="646" w:name="_Toc7473"/>
      <w:bookmarkStart w:id="647" w:name="_Toc20270"/>
      <w:bookmarkStart w:id="648" w:name="_Toc11111"/>
      <w:r>
        <w:rPr>
          <w:rFonts w:hint="eastAsia" w:ascii="宋体" w:hAnsi="宋体"/>
          <w:b/>
          <w:color w:val="auto"/>
          <w:highlight w:val="none"/>
        </w:rPr>
        <w:t>3.3投标文件的澄清和补正</w:t>
      </w:r>
      <w:bookmarkEnd w:id="644"/>
      <w:bookmarkEnd w:id="645"/>
      <w:bookmarkEnd w:id="646"/>
      <w:bookmarkEnd w:id="647"/>
      <w:bookmarkEnd w:id="648"/>
    </w:p>
    <w:p w14:paraId="5709EA21">
      <w:pPr>
        <w:spacing w:line="360" w:lineRule="auto"/>
        <w:rPr>
          <w:rFonts w:hint="eastAsia" w:ascii="宋体" w:hAnsi="宋体"/>
          <w:color w:val="auto"/>
          <w:highlight w:val="none"/>
        </w:rPr>
      </w:pPr>
      <w:r>
        <w:rPr>
          <w:rFonts w:hint="eastAsia" w:ascii="宋体" w:hAnsi="宋体"/>
          <w:color w:val="auto"/>
          <w:highlight w:val="none"/>
        </w:rPr>
        <w:t>　　3.3.1在评标过程中，评标委员会可以书面形式要求投标人对所提交的投标文件中不明确的内容进行书面澄清和说明，或者对细微偏差进行补正。</w:t>
      </w:r>
    </w:p>
    <w:p w14:paraId="3267C643">
      <w:pPr>
        <w:spacing w:line="360" w:lineRule="auto"/>
        <w:rPr>
          <w:rFonts w:hint="eastAsia" w:ascii="宋体" w:hAnsi="宋体"/>
          <w:color w:val="auto"/>
          <w:highlight w:val="none"/>
        </w:rPr>
      </w:pPr>
      <w:r>
        <w:rPr>
          <w:rFonts w:hint="eastAsia" w:ascii="宋体" w:hAnsi="宋体"/>
          <w:color w:val="auto"/>
          <w:highlight w:val="none"/>
        </w:rPr>
        <w:t>　　3.3.2澄清、说明和补正不得改变投标文件的实质性内容（算术性错误修正的除外）。投标人的书面澄清、说明和补正属于投标文件的组成部分。</w:t>
      </w:r>
    </w:p>
    <w:p w14:paraId="522DBCC0">
      <w:pPr>
        <w:spacing w:line="360" w:lineRule="auto"/>
        <w:rPr>
          <w:rFonts w:hint="eastAsia" w:ascii="宋体" w:hAnsi="宋体"/>
          <w:color w:val="auto"/>
          <w:highlight w:val="none"/>
        </w:rPr>
      </w:pPr>
      <w:r>
        <w:rPr>
          <w:rFonts w:hint="eastAsia" w:ascii="宋体" w:hAnsi="宋体"/>
          <w:color w:val="auto"/>
          <w:highlight w:val="none"/>
        </w:rPr>
        <w:t>　　3.3.3评标委员会对投标人提交的澄清、说明或补正有疑问的，可以要求投标人进一步澄清、说明和补正，直至满足评标委员会的要求。</w:t>
      </w:r>
    </w:p>
    <w:p w14:paraId="3FAEE55F">
      <w:pPr>
        <w:spacing w:line="360" w:lineRule="auto"/>
        <w:outlineLvl w:val="2"/>
        <w:rPr>
          <w:rFonts w:hint="eastAsia" w:ascii="宋体" w:hAnsi="宋体"/>
          <w:b/>
          <w:color w:val="auto"/>
          <w:highlight w:val="none"/>
        </w:rPr>
      </w:pPr>
      <w:bookmarkStart w:id="649" w:name="_Toc6599"/>
      <w:bookmarkStart w:id="650" w:name="_Toc11771"/>
      <w:bookmarkStart w:id="651" w:name="_Toc19223"/>
      <w:bookmarkStart w:id="652" w:name="_Toc13927"/>
      <w:bookmarkStart w:id="653" w:name="_Toc8356"/>
      <w:r>
        <w:rPr>
          <w:rFonts w:hint="eastAsia" w:ascii="宋体" w:hAnsi="宋体"/>
          <w:b/>
          <w:color w:val="auto"/>
          <w:highlight w:val="none"/>
        </w:rPr>
        <w:t>3.4</w:t>
      </w:r>
      <w:r>
        <w:rPr>
          <w:rFonts w:hint="eastAsia" w:ascii="宋体" w:hAnsi="宋体" w:cs="宋体"/>
          <w:b/>
          <w:color w:val="auto"/>
          <w:highlight w:val="none"/>
        </w:rPr>
        <w:t>评标结</w:t>
      </w:r>
      <w:r>
        <w:rPr>
          <w:rFonts w:hint="eastAsia" w:ascii="宋体" w:hAnsi="宋体"/>
          <w:b/>
          <w:color w:val="auto"/>
          <w:highlight w:val="none"/>
        </w:rPr>
        <w:t>果</w:t>
      </w:r>
      <w:bookmarkEnd w:id="649"/>
      <w:bookmarkEnd w:id="650"/>
      <w:bookmarkEnd w:id="651"/>
      <w:bookmarkEnd w:id="652"/>
      <w:bookmarkEnd w:id="653"/>
    </w:p>
    <w:p w14:paraId="33A23C43">
      <w:pPr>
        <w:spacing w:line="360" w:lineRule="auto"/>
        <w:rPr>
          <w:rFonts w:hint="eastAsia" w:ascii="宋体" w:hAnsi="宋体"/>
          <w:color w:val="auto"/>
          <w:highlight w:val="none"/>
        </w:rPr>
      </w:pPr>
      <w:r>
        <w:rPr>
          <w:rFonts w:hint="eastAsia" w:ascii="宋体" w:hAnsi="宋体"/>
          <w:color w:val="auto"/>
          <w:highlight w:val="none"/>
        </w:rPr>
        <w:t>　　3.4.1</w:t>
      </w:r>
      <w:r>
        <w:rPr>
          <w:rFonts w:hint="eastAsia" w:ascii="宋体" w:hAnsi="宋体" w:cs="宋体"/>
          <w:color w:val="auto"/>
          <w:highlight w:val="none"/>
        </w:rPr>
        <w:t>除第二章“投标人须知”前附表授权直接确定中标人外，评标委员会按照前附表所列定标原则推荐中标候选人</w:t>
      </w:r>
      <w:r>
        <w:rPr>
          <w:rFonts w:hint="eastAsia" w:ascii="宋体" w:hAnsi="宋体"/>
          <w:color w:val="auto"/>
          <w:highlight w:val="none"/>
        </w:rPr>
        <w:t>。</w:t>
      </w:r>
    </w:p>
    <w:p w14:paraId="71EEAC81">
      <w:pPr>
        <w:spacing w:line="360" w:lineRule="auto"/>
        <w:rPr>
          <w:rFonts w:hint="eastAsia" w:ascii="宋体" w:hAnsi="宋体"/>
          <w:color w:val="auto"/>
          <w:highlight w:val="none"/>
        </w:rPr>
      </w:pPr>
      <w:r>
        <w:rPr>
          <w:rFonts w:hint="eastAsia" w:ascii="宋体" w:hAnsi="宋体"/>
          <w:color w:val="auto"/>
          <w:highlight w:val="none"/>
        </w:rPr>
        <w:t>　　3.4.2评标委员会完成评标后，应当向招标人提交书面评标报告。</w:t>
      </w:r>
    </w:p>
    <w:p w14:paraId="6C5CCCB8">
      <w:pPr>
        <w:rPr>
          <w:color w:val="auto"/>
          <w:highlight w:val="none"/>
        </w:rPr>
      </w:pPr>
      <w:r>
        <w:rPr>
          <w:color w:val="auto"/>
          <w:highlight w:val="none"/>
        </w:rPr>
        <w:br w:type="page"/>
      </w:r>
    </w:p>
    <w:p w14:paraId="3F26926D">
      <w:pPr>
        <w:pStyle w:val="3"/>
        <w:spacing w:before="0" w:after="0"/>
        <w:jc w:val="center"/>
        <w:rPr>
          <w:rFonts w:hint="eastAsia" w:ascii="宋体" w:hAnsi="宋体" w:eastAsia="宋体"/>
          <w:color w:val="auto"/>
          <w:highlight w:val="none"/>
        </w:rPr>
      </w:pPr>
      <w:bookmarkStart w:id="654" w:name="_Toc39698067"/>
      <w:bookmarkStart w:id="655" w:name="_Toc860"/>
      <w:bookmarkStart w:id="656" w:name="_Toc307387431"/>
      <w:bookmarkStart w:id="657" w:name="_Toc404880852"/>
      <w:bookmarkStart w:id="658" w:name="_Toc6935"/>
      <w:bookmarkStart w:id="659" w:name="_Toc15731"/>
      <w:bookmarkStart w:id="660" w:name="_Toc10576"/>
      <w:bookmarkStart w:id="661" w:name="_Toc17828"/>
      <w:bookmarkStart w:id="662" w:name="_Toc3997"/>
      <w:r>
        <w:rPr>
          <w:rFonts w:hint="eastAsia" w:ascii="宋体" w:hAnsi="宋体" w:eastAsia="宋体"/>
          <w:color w:val="auto"/>
          <w:highlight w:val="none"/>
        </w:rPr>
        <w:t>第四章 合同条款及格式</w:t>
      </w:r>
      <w:bookmarkEnd w:id="654"/>
      <w:bookmarkEnd w:id="655"/>
      <w:bookmarkEnd w:id="656"/>
      <w:bookmarkEnd w:id="657"/>
      <w:bookmarkEnd w:id="658"/>
      <w:bookmarkEnd w:id="659"/>
      <w:bookmarkEnd w:id="660"/>
      <w:bookmarkEnd w:id="661"/>
      <w:bookmarkEnd w:id="662"/>
    </w:p>
    <w:p w14:paraId="45CC2282">
      <w:pPr>
        <w:pStyle w:val="11"/>
        <w:rPr>
          <w:color w:val="auto"/>
          <w:highlight w:val="none"/>
        </w:rPr>
      </w:pPr>
    </w:p>
    <w:p w14:paraId="4354B6EF">
      <w:pPr>
        <w:pStyle w:val="4"/>
        <w:jc w:val="center"/>
        <w:rPr>
          <w:rFonts w:ascii="Times New Roman" w:eastAsia="宋体"/>
          <w:b/>
          <w:color w:val="auto"/>
          <w:sz w:val="32"/>
          <w:highlight w:val="none"/>
        </w:rPr>
      </w:pPr>
      <w:bookmarkStart w:id="663" w:name="_Toc207791242"/>
      <w:bookmarkStart w:id="664" w:name="_Toc13871"/>
      <w:bookmarkStart w:id="665" w:name="_Toc199294284"/>
      <w:bookmarkStart w:id="666" w:name="_Toc199156294"/>
      <w:bookmarkStart w:id="667" w:name="_Toc217971026"/>
      <w:bookmarkStart w:id="668" w:name="_Toc199215094"/>
      <w:bookmarkStart w:id="669" w:name="_Toc200968255"/>
      <w:bookmarkStart w:id="670" w:name="_Toc199155718"/>
      <w:bookmarkStart w:id="671" w:name="_Toc9441"/>
      <w:bookmarkStart w:id="672" w:name="_Toc199319976"/>
      <w:bookmarkStart w:id="673" w:name="_Toc199319919"/>
      <w:bookmarkStart w:id="674" w:name="_Toc200536576"/>
      <w:bookmarkStart w:id="675" w:name="_Toc200536532"/>
      <w:bookmarkStart w:id="676" w:name="_Toc200167741"/>
      <w:r>
        <w:rPr>
          <w:rFonts w:ascii="Times New Roman" w:eastAsia="宋体"/>
          <w:b/>
          <w:color w:val="auto"/>
          <w:sz w:val="32"/>
          <w:highlight w:val="none"/>
        </w:rPr>
        <w:t>第一节 通用合同条款</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3FAC345">
      <w:pPr>
        <w:snapToGrid w:val="0"/>
        <w:ind w:firstLine="420"/>
        <w:rPr>
          <w:color w:val="auto"/>
          <w:sz w:val="24"/>
          <w:highlight w:val="none"/>
        </w:rPr>
      </w:pPr>
    </w:p>
    <w:p w14:paraId="6621FCBD">
      <w:pPr>
        <w:pStyle w:val="25"/>
        <w:spacing w:after="0" w:line="360" w:lineRule="auto"/>
        <w:ind w:firstLine="420" w:firstLineChars="200"/>
        <w:rPr>
          <w:rFonts w:ascii="Times New Roman" w:cs="Times New Roman"/>
          <w:color w:val="auto"/>
          <w:sz w:val="21"/>
          <w:szCs w:val="21"/>
          <w:highlight w:val="none"/>
        </w:rPr>
      </w:pPr>
      <w:r>
        <w:rPr>
          <w:rFonts w:ascii="Times New Roman" w:cs="Times New Roman"/>
          <w:color w:val="auto"/>
          <w:sz w:val="21"/>
          <w:szCs w:val="21"/>
          <w:highlight w:val="none"/>
        </w:rPr>
        <w:t>本通用合同条款采用《水利水电工程标准施工招标文件》（2009年版）通用条款，如发现印刷上的错漏，以原文版本为准。</w:t>
      </w:r>
    </w:p>
    <w:p w14:paraId="40E9D439">
      <w:pPr>
        <w:pStyle w:val="5"/>
        <w:spacing w:line="360" w:lineRule="auto"/>
        <w:rPr>
          <w:rFonts w:hint="eastAsia" w:ascii="Times New Roman"/>
          <w:color w:val="auto"/>
          <w:sz w:val="21"/>
          <w:szCs w:val="21"/>
          <w:highlight w:val="none"/>
        </w:rPr>
      </w:pPr>
      <w:bookmarkStart w:id="677" w:name="_Toc200536577"/>
      <w:bookmarkStart w:id="678" w:name="_Toc199294285"/>
      <w:bookmarkStart w:id="679" w:name="_Toc204076337"/>
      <w:bookmarkStart w:id="680" w:name="_Toc217971027"/>
      <w:bookmarkStart w:id="681" w:name="_Toc200167742"/>
      <w:bookmarkStart w:id="682" w:name="_Toc199319977"/>
      <w:bookmarkStart w:id="683" w:name="_Toc199155719"/>
      <w:bookmarkStart w:id="684" w:name="_Toc11248"/>
      <w:bookmarkStart w:id="685" w:name="_Toc199215095"/>
      <w:bookmarkStart w:id="686" w:name="_Toc28153"/>
      <w:r>
        <w:rPr>
          <w:rFonts w:ascii="Times New Roman"/>
          <w:color w:val="auto"/>
          <w:sz w:val="21"/>
          <w:szCs w:val="21"/>
          <w:highlight w:val="none"/>
        </w:rPr>
        <w:t>1. 一般约定</w:t>
      </w:r>
      <w:bookmarkEnd w:id="677"/>
      <w:bookmarkEnd w:id="678"/>
      <w:bookmarkEnd w:id="679"/>
      <w:bookmarkEnd w:id="680"/>
      <w:bookmarkEnd w:id="681"/>
      <w:bookmarkEnd w:id="682"/>
      <w:bookmarkEnd w:id="683"/>
      <w:bookmarkEnd w:id="684"/>
      <w:bookmarkEnd w:id="685"/>
      <w:bookmarkEnd w:id="686"/>
    </w:p>
    <w:p w14:paraId="657F6852">
      <w:pPr>
        <w:pStyle w:val="5"/>
        <w:spacing w:line="360" w:lineRule="auto"/>
        <w:jc w:val="left"/>
        <w:rPr>
          <w:rFonts w:ascii="Times New Roman" w:hAnsi="Times New Roman"/>
          <w:color w:val="auto"/>
          <w:sz w:val="21"/>
          <w:szCs w:val="21"/>
          <w:highlight w:val="none"/>
        </w:rPr>
      </w:pPr>
      <w:bookmarkStart w:id="687" w:name="_Toc10679"/>
      <w:bookmarkStart w:id="688" w:name="_Toc199155720"/>
      <w:bookmarkStart w:id="689" w:name="_Toc18737"/>
      <w:r>
        <w:rPr>
          <w:rFonts w:ascii="Times New Roman"/>
          <w:color w:val="auto"/>
          <w:sz w:val="21"/>
          <w:szCs w:val="21"/>
          <w:highlight w:val="none"/>
        </w:rPr>
        <w:t>1.1 词语定义</w:t>
      </w:r>
      <w:bookmarkEnd w:id="687"/>
      <w:bookmarkEnd w:id="688"/>
      <w:bookmarkEnd w:id="689"/>
    </w:p>
    <w:p w14:paraId="63D1F4EB">
      <w:pPr>
        <w:snapToGrid w:val="0"/>
        <w:spacing w:line="360" w:lineRule="auto"/>
        <w:ind w:firstLine="420"/>
        <w:rPr>
          <w:color w:val="auto"/>
          <w:sz w:val="21"/>
          <w:szCs w:val="21"/>
          <w:highlight w:val="none"/>
        </w:rPr>
      </w:pPr>
      <w:r>
        <w:rPr>
          <w:color w:val="auto"/>
          <w:sz w:val="21"/>
          <w:szCs w:val="21"/>
          <w:highlight w:val="none"/>
        </w:rPr>
        <w:t>通用合同条款、专用合同条款中的下列词语应具有本款所赋予的含义。</w:t>
      </w:r>
    </w:p>
    <w:p w14:paraId="08ADC121">
      <w:pPr>
        <w:snapToGrid w:val="0"/>
        <w:spacing w:line="360" w:lineRule="auto"/>
        <w:ind w:firstLine="420"/>
        <w:rPr>
          <w:color w:val="auto"/>
          <w:sz w:val="21"/>
          <w:szCs w:val="21"/>
          <w:highlight w:val="none"/>
        </w:rPr>
      </w:pPr>
      <w:r>
        <w:rPr>
          <w:color w:val="auto"/>
          <w:sz w:val="21"/>
          <w:szCs w:val="21"/>
          <w:highlight w:val="none"/>
        </w:rPr>
        <w:t>1.1.1 合同</w:t>
      </w:r>
    </w:p>
    <w:p w14:paraId="0CD6B5BB">
      <w:pPr>
        <w:snapToGrid w:val="0"/>
        <w:spacing w:line="360" w:lineRule="auto"/>
        <w:ind w:firstLine="420"/>
        <w:rPr>
          <w:color w:val="auto"/>
          <w:sz w:val="21"/>
          <w:szCs w:val="21"/>
          <w:highlight w:val="none"/>
        </w:rPr>
      </w:pPr>
      <w:r>
        <w:rPr>
          <w:color w:val="auto"/>
          <w:sz w:val="21"/>
          <w:szCs w:val="21"/>
          <w:highlight w:val="none"/>
        </w:rPr>
        <w:t>1.1.1.1 合同文件（或称合同）：指合同协议书、中标通知书、投标函及投标函附录、专用合同条款、通用合同条款、技术标准和要求、图纸、工程量清单，以及其他合同文件。</w:t>
      </w:r>
    </w:p>
    <w:p w14:paraId="240676E4">
      <w:pPr>
        <w:snapToGrid w:val="0"/>
        <w:spacing w:line="360" w:lineRule="auto"/>
        <w:ind w:firstLine="420"/>
        <w:rPr>
          <w:color w:val="auto"/>
          <w:sz w:val="21"/>
          <w:szCs w:val="21"/>
          <w:highlight w:val="none"/>
        </w:rPr>
      </w:pPr>
      <w:r>
        <w:rPr>
          <w:color w:val="auto"/>
          <w:sz w:val="21"/>
          <w:szCs w:val="21"/>
          <w:highlight w:val="none"/>
        </w:rPr>
        <w:t>1.1.1.2 合同协议书：指第1.5 款所指的合同协议书。</w:t>
      </w:r>
    </w:p>
    <w:p w14:paraId="270BC5E6">
      <w:pPr>
        <w:snapToGrid w:val="0"/>
        <w:spacing w:line="360" w:lineRule="auto"/>
        <w:ind w:firstLine="420"/>
        <w:rPr>
          <w:color w:val="auto"/>
          <w:sz w:val="21"/>
          <w:szCs w:val="21"/>
          <w:highlight w:val="none"/>
        </w:rPr>
      </w:pPr>
      <w:r>
        <w:rPr>
          <w:color w:val="auto"/>
          <w:sz w:val="21"/>
          <w:szCs w:val="21"/>
          <w:highlight w:val="none"/>
        </w:rPr>
        <w:t>1.1.1.3 中标通知书：指发包人通知承包人中标的函件。</w:t>
      </w:r>
    </w:p>
    <w:p w14:paraId="09B3BD75">
      <w:pPr>
        <w:snapToGrid w:val="0"/>
        <w:spacing w:line="360" w:lineRule="auto"/>
        <w:ind w:firstLine="420"/>
        <w:rPr>
          <w:color w:val="auto"/>
          <w:sz w:val="21"/>
          <w:szCs w:val="21"/>
          <w:highlight w:val="none"/>
        </w:rPr>
      </w:pPr>
      <w:r>
        <w:rPr>
          <w:color w:val="auto"/>
          <w:sz w:val="21"/>
          <w:szCs w:val="21"/>
          <w:highlight w:val="none"/>
        </w:rPr>
        <w:t>1.1.1.4 投标函：指构成合同文件组成部分的由承包人填写并签署的投标函。</w:t>
      </w:r>
    </w:p>
    <w:p w14:paraId="4F77EE1F">
      <w:pPr>
        <w:snapToGrid w:val="0"/>
        <w:spacing w:line="360" w:lineRule="auto"/>
        <w:ind w:firstLine="420"/>
        <w:rPr>
          <w:color w:val="auto"/>
          <w:sz w:val="21"/>
          <w:szCs w:val="21"/>
          <w:highlight w:val="none"/>
        </w:rPr>
      </w:pPr>
      <w:r>
        <w:rPr>
          <w:color w:val="auto"/>
          <w:sz w:val="21"/>
          <w:szCs w:val="21"/>
          <w:highlight w:val="none"/>
        </w:rPr>
        <w:t>1.1.1.5 投标函附录：指附在投标函后构成合同文件的投标函附录。</w:t>
      </w:r>
    </w:p>
    <w:p w14:paraId="46F6F314">
      <w:pPr>
        <w:snapToGrid w:val="0"/>
        <w:spacing w:line="360" w:lineRule="auto"/>
        <w:ind w:firstLine="420"/>
        <w:rPr>
          <w:color w:val="auto"/>
          <w:sz w:val="21"/>
          <w:szCs w:val="21"/>
          <w:highlight w:val="none"/>
        </w:rPr>
      </w:pPr>
      <w:r>
        <w:rPr>
          <w:color w:val="auto"/>
          <w:sz w:val="21"/>
          <w:szCs w:val="21"/>
          <w:highlight w:val="none"/>
        </w:rPr>
        <w:t>1.1.1.6 技术标准和要求：指构成合同文件组成部分的名为技术标准和要求（合同技术条款）的文件，包括合同双方当事人约定对其所作的修改或补充。</w:t>
      </w:r>
    </w:p>
    <w:p w14:paraId="0AD81B9D">
      <w:pPr>
        <w:snapToGrid w:val="0"/>
        <w:spacing w:line="360" w:lineRule="auto"/>
        <w:ind w:firstLine="420"/>
        <w:rPr>
          <w:color w:val="auto"/>
          <w:sz w:val="21"/>
          <w:szCs w:val="21"/>
          <w:highlight w:val="none"/>
        </w:rPr>
      </w:pPr>
      <w:r>
        <w:rPr>
          <w:color w:val="auto"/>
          <w:sz w:val="21"/>
          <w:szCs w:val="21"/>
          <w:highlight w:val="none"/>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检验承包人是否按其投标时承诺的条件进行施工的依据，亦不能直接用于施工。</w:t>
      </w:r>
    </w:p>
    <w:p w14:paraId="1FA8053E">
      <w:pPr>
        <w:snapToGrid w:val="0"/>
        <w:spacing w:line="360" w:lineRule="auto"/>
        <w:ind w:firstLine="420"/>
        <w:rPr>
          <w:color w:val="auto"/>
          <w:sz w:val="21"/>
          <w:szCs w:val="21"/>
          <w:highlight w:val="none"/>
        </w:rPr>
      </w:pPr>
      <w:r>
        <w:rPr>
          <w:color w:val="auto"/>
          <w:sz w:val="21"/>
          <w:szCs w:val="21"/>
          <w:highlight w:val="none"/>
        </w:rPr>
        <w:t>1.1.1.8 已标价工程量清单：指招标文件中由招标人提供的标明价格的工程量清单。</w:t>
      </w:r>
    </w:p>
    <w:p w14:paraId="0BDDDFA3">
      <w:pPr>
        <w:snapToGrid w:val="0"/>
        <w:spacing w:line="360" w:lineRule="auto"/>
        <w:ind w:firstLine="420"/>
        <w:rPr>
          <w:color w:val="auto"/>
          <w:sz w:val="21"/>
          <w:szCs w:val="21"/>
          <w:highlight w:val="none"/>
        </w:rPr>
      </w:pPr>
      <w:r>
        <w:rPr>
          <w:color w:val="auto"/>
          <w:sz w:val="21"/>
          <w:szCs w:val="21"/>
          <w:highlight w:val="none"/>
        </w:rPr>
        <w:t>1.1.1.9 其他合同文件：指经合同双方当事人确认构成合同文件的其他文件。</w:t>
      </w:r>
    </w:p>
    <w:p w14:paraId="59D927F6">
      <w:pPr>
        <w:snapToGrid w:val="0"/>
        <w:spacing w:line="360" w:lineRule="auto"/>
        <w:ind w:firstLine="420"/>
        <w:rPr>
          <w:color w:val="auto"/>
          <w:sz w:val="21"/>
          <w:szCs w:val="21"/>
          <w:highlight w:val="none"/>
        </w:rPr>
      </w:pPr>
      <w:r>
        <w:rPr>
          <w:color w:val="auto"/>
          <w:sz w:val="21"/>
          <w:szCs w:val="21"/>
          <w:highlight w:val="none"/>
        </w:rPr>
        <w:t>1.1.2 合同当事人和人员</w:t>
      </w:r>
    </w:p>
    <w:p w14:paraId="7ADEE799">
      <w:pPr>
        <w:snapToGrid w:val="0"/>
        <w:spacing w:line="360" w:lineRule="auto"/>
        <w:ind w:firstLine="420"/>
        <w:rPr>
          <w:color w:val="auto"/>
          <w:sz w:val="21"/>
          <w:szCs w:val="21"/>
          <w:highlight w:val="none"/>
        </w:rPr>
      </w:pPr>
      <w:r>
        <w:rPr>
          <w:color w:val="auto"/>
          <w:sz w:val="21"/>
          <w:szCs w:val="21"/>
          <w:highlight w:val="none"/>
        </w:rPr>
        <w:t>1.1.2.1 合同当事人:指发包人和（或）承包人。</w:t>
      </w:r>
    </w:p>
    <w:p w14:paraId="5467D39D">
      <w:pPr>
        <w:snapToGrid w:val="0"/>
        <w:spacing w:line="360" w:lineRule="auto"/>
        <w:ind w:firstLine="420"/>
        <w:rPr>
          <w:color w:val="auto"/>
          <w:sz w:val="21"/>
          <w:szCs w:val="21"/>
          <w:highlight w:val="none"/>
        </w:rPr>
      </w:pPr>
      <w:r>
        <w:rPr>
          <w:color w:val="auto"/>
          <w:sz w:val="21"/>
          <w:szCs w:val="21"/>
          <w:highlight w:val="none"/>
        </w:rPr>
        <w:t>1.1.2.2 发包人：指专用合同条款中指明并与承包人在合同协议书中签字的当事人。</w:t>
      </w:r>
    </w:p>
    <w:p w14:paraId="2E2E11C4">
      <w:pPr>
        <w:snapToGrid w:val="0"/>
        <w:spacing w:line="360" w:lineRule="auto"/>
        <w:ind w:firstLine="420"/>
        <w:rPr>
          <w:color w:val="auto"/>
          <w:sz w:val="21"/>
          <w:szCs w:val="21"/>
          <w:highlight w:val="none"/>
        </w:rPr>
      </w:pPr>
      <w:r>
        <w:rPr>
          <w:color w:val="auto"/>
          <w:sz w:val="21"/>
          <w:szCs w:val="21"/>
          <w:highlight w:val="none"/>
        </w:rPr>
        <w:t>1.1.2.3 承包人：指专用合同条款中指明并与发包人在合同协议书中签字的当事人。</w:t>
      </w:r>
    </w:p>
    <w:p w14:paraId="386C5CFA">
      <w:pPr>
        <w:snapToGrid w:val="0"/>
        <w:spacing w:line="360" w:lineRule="auto"/>
        <w:ind w:firstLine="420"/>
        <w:rPr>
          <w:color w:val="auto"/>
          <w:sz w:val="21"/>
          <w:szCs w:val="21"/>
          <w:highlight w:val="none"/>
        </w:rPr>
      </w:pPr>
      <w:r>
        <w:rPr>
          <w:color w:val="auto"/>
          <w:sz w:val="21"/>
          <w:szCs w:val="21"/>
          <w:highlight w:val="none"/>
        </w:rPr>
        <w:t>1.1.2.4 承包人项目负责人：指承包人派驻施工场地的全权负责人。</w:t>
      </w:r>
    </w:p>
    <w:p w14:paraId="3037B551">
      <w:pPr>
        <w:snapToGrid w:val="0"/>
        <w:spacing w:line="360" w:lineRule="auto"/>
        <w:ind w:firstLine="420"/>
        <w:rPr>
          <w:color w:val="auto"/>
          <w:sz w:val="21"/>
          <w:szCs w:val="21"/>
          <w:highlight w:val="none"/>
        </w:rPr>
      </w:pPr>
      <w:r>
        <w:rPr>
          <w:color w:val="auto"/>
          <w:sz w:val="21"/>
          <w:szCs w:val="21"/>
          <w:highlight w:val="none"/>
        </w:rPr>
        <w:t>1.1.2.5 分包人：指专用合同条款中指明的，从承包人处分包合同中某一部分工程，并与其签订分包合同的分包人。</w:t>
      </w:r>
    </w:p>
    <w:p w14:paraId="6433BDBD">
      <w:pPr>
        <w:snapToGrid w:val="0"/>
        <w:spacing w:line="360" w:lineRule="auto"/>
        <w:ind w:firstLine="420"/>
        <w:rPr>
          <w:color w:val="auto"/>
          <w:sz w:val="21"/>
          <w:szCs w:val="21"/>
          <w:highlight w:val="none"/>
        </w:rPr>
      </w:pPr>
      <w:r>
        <w:rPr>
          <w:color w:val="auto"/>
          <w:sz w:val="21"/>
          <w:szCs w:val="21"/>
          <w:highlight w:val="none"/>
        </w:rPr>
        <w:t>1.1.2.6 监理人：指在专用合同条款中指明的，受发包人委托对合同履行实施管理的法人或其他组织。</w:t>
      </w:r>
    </w:p>
    <w:p w14:paraId="3002E948">
      <w:pPr>
        <w:snapToGrid w:val="0"/>
        <w:spacing w:line="360" w:lineRule="auto"/>
        <w:ind w:firstLine="420"/>
        <w:rPr>
          <w:color w:val="auto"/>
          <w:sz w:val="21"/>
          <w:szCs w:val="21"/>
          <w:highlight w:val="none"/>
        </w:rPr>
      </w:pPr>
      <w:r>
        <w:rPr>
          <w:color w:val="auto"/>
          <w:sz w:val="21"/>
          <w:szCs w:val="21"/>
          <w:highlight w:val="none"/>
        </w:rPr>
        <w:t>1.1.2.7 总监理工程师（总监）：指由监理人委派常驻施工场地对合同履行实施管理的全权负责人。</w:t>
      </w:r>
    </w:p>
    <w:p w14:paraId="7ABC3F07">
      <w:pPr>
        <w:snapToGrid w:val="0"/>
        <w:spacing w:line="360" w:lineRule="auto"/>
        <w:ind w:firstLine="420"/>
        <w:rPr>
          <w:color w:val="auto"/>
          <w:sz w:val="21"/>
          <w:szCs w:val="21"/>
          <w:highlight w:val="none"/>
        </w:rPr>
      </w:pPr>
      <w:r>
        <w:rPr>
          <w:color w:val="auto"/>
          <w:sz w:val="21"/>
          <w:szCs w:val="21"/>
          <w:highlight w:val="none"/>
        </w:rPr>
        <w:t>1.1.3 工程和设备</w:t>
      </w:r>
    </w:p>
    <w:p w14:paraId="22CAE183">
      <w:pPr>
        <w:snapToGrid w:val="0"/>
        <w:spacing w:line="360" w:lineRule="auto"/>
        <w:ind w:firstLine="420"/>
        <w:rPr>
          <w:color w:val="auto"/>
          <w:sz w:val="21"/>
          <w:szCs w:val="21"/>
          <w:highlight w:val="none"/>
        </w:rPr>
      </w:pPr>
      <w:r>
        <w:rPr>
          <w:color w:val="auto"/>
          <w:sz w:val="21"/>
          <w:szCs w:val="21"/>
          <w:highlight w:val="none"/>
        </w:rPr>
        <w:t>1.1.3.1 工程：指永久工程和（或）临时工程。</w:t>
      </w:r>
    </w:p>
    <w:p w14:paraId="5C3A1CB4">
      <w:pPr>
        <w:snapToGrid w:val="0"/>
        <w:spacing w:line="360" w:lineRule="auto"/>
        <w:ind w:firstLine="420"/>
        <w:rPr>
          <w:color w:val="auto"/>
          <w:sz w:val="21"/>
          <w:szCs w:val="21"/>
          <w:highlight w:val="none"/>
        </w:rPr>
      </w:pPr>
      <w:r>
        <w:rPr>
          <w:color w:val="auto"/>
          <w:sz w:val="21"/>
          <w:szCs w:val="21"/>
          <w:highlight w:val="none"/>
        </w:rPr>
        <w:t>1.1.3.2 永久工程：指按合同约定建造并移交给发包人的工程，包括工程设备。</w:t>
      </w:r>
    </w:p>
    <w:p w14:paraId="3C6C157C">
      <w:pPr>
        <w:snapToGrid w:val="0"/>
        <w:spacing w:line="360" w:lineRule="auto"/>
        <w:ind w:firstLine="420"/>
        <w:rPr>
          <w:color w:val="auto"/>
          <w:sz w:val="21"/>
          <w:szCs w:val="21"/>
          <w:highlight w:val="none"/>
        </w:rPr>
      </w:pPr>
      <w:r>
        <w:rPr>
          <w:color w:val="auto"/>
          <w:sz w:val="21"/>
          <w:szCs w:val="21"/>
          <w:highlight w:val="none"/>
        </w:rPr>
        <w:t>1.1.3.3 临时工程：指为完成合同约定的永久工程所修建的各类临时性工程，不包括施工设备。</w:t>
      </w:r>
    </w:p>
    <w:p w14:paraId="198105B3">
      <w:pPr>
        <w:snapToGrid w:val="0"/>
        <w:spacing w:line="360" w:lineRule="auto"/>
        <w:ind w:firstLine="420"/>
        <w:rPr>
          <w:color w:val="auto"/>
          <w:sz w:val="21"/>
          <w:szCs w:val="21"/>
          <w:highlight w:val="none"/>
        </w:rPr>
      </w:pPr>
      <w:r>
        <w:rPr>
          <w:color w:val="auto"/>
          <w:sz w:val="21"/>
          <w:szCs w:val="21"/>
          <w:highlight w:val="none"/>
        </w:rPr>
        <w:t>1.1.3.4 单位工程：指专用合同条款中指明特定范围的永久工程。</w:t>
      </w:r>
    </w:p>
    <w:p w14:paraId="05C45ABB">
      <w:pPr>
        <w:snapToGrid w:val="0"/>
        <w:spacing w:line="360" w:lineRule="auto"/>
        <w:ind w:firstLine="420"/>
        <w:rPr>
          <w:color w:val="auto"/>
          <w:sz w:val="21"/>
          <w:szCs w:val="21"/>
          <w:highlight w:val="none"/>
        </w:rPr>
      </w:pPr>
      <w:r>
        <w:rPr>
          <w:color w:val="auto"/>
          <w:sz w:val="21"/>
          <w:szCs w:val="21"/>
          <w:highlight w:val="none"/>
        </w:rPr>
        <w:t>1.1.3.5 工程设备：指构成或计划构成永久工程一部分的机电设备、金属结构设备、仪器装置及其他类似的设备和装置。</w:t>
      </w:r>
    </w:p>
    <w:p w14:paraId="58D95BF9">
      <w:pPr>
        <w:snapToGrid w:val="0"/>
        <w:spacing w:line="360" w:lineRule="auto"/>
        <w:ind w:firstLine="420"/>
        <w:rPr>
          <w:color w:val="auto"/>
          <w:sz w:val="21"/>
          <w:szCs w:val="21"/>
          <w:highlight w:val="none"/>
        </w:rPr>
      </w:pPr>
      <w:r>
        <w:rPr>
          <w:color w:val="auto"/>
          <w:sz w:val="21"/>
          <w:szCs w:val="21"/>
          <w:highlight w:val="none"/>
        </w:rPr>
        <w:t>1.1.3.6 施工设备：指为完成合同约定的各项工作所需的设备、器具和其他物品，不包括临时工程和材料。</w:t>
      </w:r>
    </w:p>
    <w:p w14:paraId="25AA4776">
      <w:pPr>
        <w:snapToGrid w:val="0"/>
        <w:spacing w:line="360" w:lineRule="auto"/>
        <w:ind w:firstLine="420"/>
        <w:rPr>
          <w:color w:val="auto"/>
          <w:sz w:val="21"/>
          <w:szCs w:val="21"/>
          <w:highlight w:val="none"/>
        </w:rPr>
      </w:pPr>
      <w:r>
        <w:rPr>
          <w:color w:val="auto"/>
          <w:sz w:val="21"/>
          <w:szCs w:val="21"/>
          <w:highlight w:val="none"/>
        </w:rPr>
        <w:t>1.1.3.7 临时设施：指为完成合同约定的各项工作所服务的临时性生产和生活设施。</w:t>
      </w:r>
    </w:p>
    <w:p w14:paraId="108431D8">
      <w:pPr>
        <w:snapToGrid w:val="0"/>
        <w:spacing w:line="360" w:lineRule="auto"/>
        <w:ind w:firstLine="420"/>
        <w:rPr>
          <w:color w:val="auto"/>
          <w:sz w:val="21"/>
          <w:szCs w:val="21"/>
          <w:highlight w:val="none"/>
        </w:rPr>
      </w:pPr>
      <w:r>
        <w:rPr>
          <w:color w:val="auto"/>
          <w:sz w:val="21"/>
          <w:szCs w:val="21"/>
          <w:highlight w:val="none"/>
        </w:rPr>
        <w:t>1.1.3.8 承包人设备：指承包人自带的施工设备。</w:t>
      </w:r>
    </w:p>
    <w:p w14:paraId="3A78D2E2">
      <w:pPr>
        <w:snapToGrid w:val="0"/>
        <w:spacing w:line="360" w:lineRule="auto"/>
        <w:ind w:firstLine="420"/>
        <w:rPr>
          <w:color w:val="auto"/>
          <w:sz w:val="21"/>
          <w:szCs w:val="21"/>
          <w:highlight w:val="none"/>
        </w:rPr>
      </w:pPr>
      <w:r>
        <w:rPr>
          <w:color w:val="auto"/>
          <w:sz w:val="21"/>
          <w:szCs w:val="21"/>
          <w:highlight w:val="none"/>
        </w:rPr>
        <w:t>1.1.3.9 施工场地（或称工地、现场）：指用于合同工程施工的场所，以及在合同中指定作为施工场地组成部分的其他场所，包括永久占地和临时占地。</w:t>
      </w:r>
    </w:p>
    <w:p w14:paraId="483EF068">
      <w:pPr>
        <w:snapToGrid w:val="0"/>
        <w:spacing w:line="360" w:lineRule="auto"/>
        <w:ind w:firstLine="420"/>
        <w:rPr>
          <w:color w:val="auto"/>
          <w:sz w:val="21"/>
          <w:szCs w:val="21"/>
          <w:highlight w:val="none"/>
        </w:rPr>
      </w:pPr>
      <w:r>
        <w:rPr>
          <w:color w:val="auto"/>
          <w:sz w:val="21"/>
          <w:szCs w:val="21"/>
          <w:highlight w:val="none"/>
        </w:rPr>
        <w:t>1.1.3.10永久占地：指发包人为建设本合同工程永久征用的场地。</w:t>
      </w:r>
    </w:p>
    <w:p w14:paraId="3199AA7C">
      <w:pPr>
        <w:snapToGrid w:val="0"/>
        <w:spacing w:line="360" w:lineRule="auto"/>
        <w:ind w:firstLine="420"/>
        <w:rPr>
          <w:color w:val="auto"/>
          <w:sz w:val="21"/>
          <w:szCs w:val="21"/>
          <w:highlight w:val="none"/>
        </w:rPr>
      </w:pPr>
      <w:r>
        <w:rPr>
          <w:color w:val="auto"/>
          <w:sz w:val="21"/>
          <w:szCs w:val="21"/>
          <w:highlight w:val="none"/>
        </w:rPr>
        <w:t>1.1.3.11临时占地：指发包人为建设本合同工程临时征用，承包人在完工后须按合同要求退还的场地。</w:t>
      </w:r>
    </w:p>
    <w:p w14:paraId="6F2E35AE">
      <w:pPr>
        <w:snapToGrid w:val="0"/>
        <w:spacing w:line="360" w:lineRule="auto"/>
        <w:ind w:firstLine="420"/>
        <w:rPr>
          <w:color w:val="auto"/>
          <w:sz w:val="21"/>
          <w:szCs w:val="21"/>
          <w:highlight w:val="none"/>
        </w:rPr>
      </w:pPr>
      <w:r>
        <w:rPr>
          <w:color w:val="auto"/>
          <w:sz w:val="21"/>
          <w:szCs w:val="21"/>
          <w:highlight w:val="none"/>
        </w:rPr>
        <w:t>1.1.4 日期</w:t>
      </w:r>
    </w:p>
    <w:p w14:paraId="5ACE3DDC">
      <w:pPr>
        <w:snapToGrid w:val="0"/>
        <w:spacing w:line="360" w:lineRule="auto"/>
        <w:ind w:firstLine="420"/>
        <w:rPr>
          <w:color w:val="auto"/>
          <w:sz w:val="21"/>
          <w:szCs w:val="21"/>
          <w:highlight w:val="none"/>
        </w:rPr>
      </w:pPr>
      <w:r>
        <w:rPr>
          <w:color w:val="auto"/>
          <w:sz w:val="21"/>
          <w:szCs w:val="21"/>
          <w:highlight w:val="none"/>
        </w:rPr>
        <w:t>1.1.4.1开工通知：指监理人按第11.1 款通知承包人开工的函件。</w:t>
      </w:r>
    </w:p>
    <w:p w14:paraId="3527FF42">
      <w:pPr>
        <w:snapToGrid w:val="0"/>
        <w:spacing w:line="360" w:lineRule="auto"/>
        <w:ind w:firstLine="420"/>
        <w:rPr>
          <w:color w:val="auto"/>
          <w:sz w:val="21"/>
          <w:szCs w:val="21"/>
          <w:highlight w:val="none"/>
        </w:rPr>
      </w:pPr>
      <w:r>
        <w:rPr>
          <w:color w:val="auto"/>
          <w:sz w:val="21"/>
          <w:szCs w:val="21"/>
          <w:highlight w:val="none"/>
        </w:rPr>
        <w:t>1.1.4.2开工日期：指监理人按第11.1 款发出的开工通知中写明的开工日期。</w:t>
      </w:r>
    </w:p>
    <w:p w14:paraId="5A7854C0">
      <w:pPr>
        <w:snapToGrid w:val="0"/>
        <w:spacing w:line="360" w:lineRule="auto"/>
        <w:ind w:firstLine="420"/>
        <w:rPr>
          <w:color w:val="auto"/>
          <w:sz w:val="21"/>
          <w:szCs w:val="21"/>
          <w:highlight w:val="none"/>
        </w:rPr>
      </w:pPr>
      <w:r>
        <w:rPr>
          <w:color w:val="auto"/>
          <w:sz w:val="21"/>
          <w:szCs w:val="21"/>
          <w:highlight w:val="none"/>
        </w:rPr>
        <w:t>1.1.4.3工期：指承包人在投标函中承诺的完成合同工程所需的期限，包括按第11.3 款、第11.4款和第11.6款约定所作的变更。</w:t>
      </w:r>
    </w:p>
    <w:p w14:paraId="5558386B">
      <w:pPr>
        <w:snapToGrid w:val="0"/>
        <w:spacing w:line="360" w:lineRule="auto"/>
        <w:ind w:firstLine="420"/>
        <w:rPr>
          <w:color w:val="auto"/>
          <w:sz w:val="21"/>
          <w:szCs w:val="21"/>
          <w:highlight w:val="none"/>
        </w:rPr>
      </w:pPr>
      <w:r>
        <w:rPr>
          <w:color w:val="auto"/>
          <w:sz w:val="21"/>
          <w:szCs w:val="21"/>
          <w:highlight w:val="none"/>
        </w:rPr>
        <w:t>1.1.4.4竣工日期：即合同工程完工日期，指第1.1.4.3目约定工期届满时的日期。实际完工日期以合同工程完工证书中写明的日期为准。</w:t>
      </w:r>
    </w:p>
    <w:p w14:paraId="34794593">
      <w:pPr>
        <w:snapToGrid w:val="0"/>
        <w:spacing w:line="360" w:lineRule="auto"/>
        <w:ind w:firstLine="420"/>
        <w:rPr>
          <w:color w:val="auto"/>
          <w:sz w:val="21"/>
          <w:szCs w:val="21"/>
          <w:highlight w:val="none"/>
        </w:rPr>
      </w:pPr>
      <w:bookmarkStart w:id="690" w:name="_Toc199294286"/>
      <w:r>
        <w:rPr>
          <w:color w:val="auto"/>
          <w:sz w:val="21"/>
          <w:szCs w:val="21"/>
          <w:highlight w:val="none"/>
        </w:rPr>
        <w:t>1.1.4.5 缺陷责任期：即工程质量保修期，指履行第19.2 款约定的缺陷责任的期限，包括根据第19.3款约定所作的延长</w:t>
      </w:r>
      <w:bookmarkEnd w:id="690"/>
      <w:r>
        <w:rPr>
          <w:color w:val="auto"/>
          <w:sz w:val="21"/>
          <w:szCs w:val="21"/>
          <w:highlight w:val="none"/>
        </w:rPr>
        <w:t>，具体期限由专用合同条款约定。</w:t>
      </w:r>
    </w:p>
    <w:p w14:paraId="2B6EF70A">
      <w:pPr>
        <w:snapToGrid w:val="0"/>
        <w:spacing w:line="360" w:lineRule="auto"/>
        <w:ind w:firstLine="420"/>
        <w:rPr>
          <w:color w:val="auto"/>
          <w:sz w:val="21"/>
          <w:szCs w:val="21"/>
          <w:highlight w:val="none"/>
        </w:rPr>
      </w:pPr>
      <w:bookmarkStart w:id="691" w:name="_Toc199294287"/>
      <w:r>
        <w:rPr>
          <w:color w:val="auto"/>
          <w:sz w:val="21"/>
          <w:szCs w:val="21"/>
          <w:highlight w:val="none"/>
        </w:rPr>
        <w:t>1.1.4.6 基准日期：指投标截止时间前28 天的日期。</w:t>
      </w:r>
      <w:bookmarkEnd w:id="691"/>
    </w:p>
    <w:p w14:paraId="5B07FDEB">
      <w:pPr>
        <w:snapToGrid w:val="0"/>
        <w:spacing w:line="360" w:lineRule="auto"/>
        <w:ind w:firstLine="420"/>
        <w:rPr>
          <w:color w:val="auto"/>
          <w:sz w:val="21"/>
          <w:szCs w:val="21"/>
          <w:highlight w:val="none"/>
        </w:rPr>
      </w:pPr>
      <w:bookmarkStart w:id="692" w:name="_Toc199294288"/>
      <w:r>
        <w:rPr>
          <w:color w:val="auto"/>
          <w:sz w:val="21"/>
          <w:szCs w:val="21"/>
          <w:highlight w:val="none"/>
        </w:rPr>
        <w:t>1.1.4.7 天：除特别指明外，指日历天。合同中按天计算时间的，开始当天不计入，从次日开始计算。期限最后一天的截止时间为当天24:00 。</w:t>
      </w:r>
      <w:bookmarkEnd w:id="692"/>
    </w:p>
    <w:p w14:paraId="5CA4FE8E">
      <w:pPr>
        <w:snapToGrid w:val="0"/>
        <w:spacing w:line="360" w:lineRule="auto"/>
        <w:ind w:firstLine="420"/>
        <w:rPr>
          <w:color w:val="auto"/>
          <w:sz w:val="21"/>
          <w:szCs w:val="21"/>
          <w:highlight w:val="none"/>
        </w:rPr>
      </w:pPr>
      <w:r>
        <w:rPr>
          <w:color w:val="auto"/>
          <w:sz w:val="21"/>
          <w:szCs w:val="21"/>
          <w:highlight w:val="none"/>
        </w:rPr>
        <w:t>1.1.5 合同价格和费用</w:t>
      </w:r>
    </w:p>
    <w:p w14:paraId="40C673CA">
      <w:pPr>
        <w:snapToGrid w:val="0"/>
        <w:spacing w:line="360" w:lineRule="auto"/>
        <w:ind w:firstLine="420"/>
        <w:rPr>
          <w:color w:val="auto"/>
          <w:sz w:val="21"/>
          <w:szCs w:val="21"/>
          <w:highlight w:val="none"/>
        </w:rPr>
      </w:pPr>
      <w:r>
        <w:rPr>
          <w:color w:val="auto"/>
          <w:sz w:val="21"/>
          <w:szCs w:val="21"/>
          <w:highlight w:val="none"/>
        </w:rPr>
        <w:t>1.1.5.1签约合同价：指签定合同时合同协议书中写明的，包括了暂列金额、暂估价的合同总金额。</w:t>
      </w:r>
    </w:p>
    <w:p w14:paraId="1854DCEF">
      <w:pPr>
        <w:snapToGrid w:val="0"/>
        <w:spacing w:line="360" w:lineRule="auto"/>
        <w:ind w:firstLine="420"/>
        <w:rPr>
          <w:color w:val="auto"/>
          <w:sz w:val="21"/>
          <w:szCs w:val="21"/>
          <w:highlight w:val="none"/>
        </w:rPr>
      </w:pPr>
      <w:r>
        <w:rPr>
          <w:color w:val="auto"/>
          <w:sz w:val="21"/>
          <w:szCs w:val="21"/>
          <w:highlight w:val="none"/>
        </w:rPr>
        <w:t>1.1.5.2合同价格：指承包人按合同约定完成了包括缺陷责任期内的全部承包工作后，发包人应付给承包人的金额，包括在履行合同过程中按合同约定进行的变更和调整。</w:t>
      </w:r>
    </w:p>
    <w:p w14:paraId="0AAC7A6B">
      <w:pPr>
        <w:snapToGrid w:val="0"/>
        <w:spacing w:line="360" w:lineRule="auto"/>
        <w:ind w:firstLine="420"/>
        <w:rPr>
          <w:color w:val="auto"/>
          <w:sz w:val="21"/>
          <w:szCs w:val="21"/>
          <w:highlight w:val="none"/>
        </w:rPr>
      </w:pPr>
      <w:r>
        <w:rPr>
          <w:color w:val="auto"/>
          <w:sz w:val="21"/>
          <w:szCs w:val="21"/>
          <w:highlight w:val="none"/>
        </w:rPr>
        <w:t>1.1.5.3费用：指为履行合同所发生的或将要发生的所有合理开支，包括管理费和应分摊的其他费用，但不包括利润。</w:t>
      </w:r>
    </w:p>
    <w:p w14:paraId="15E11A30">
      <w:pPr>
        <w:snapToGrid w:val="0"/>
        <w:spacing w:line="360" w:lineRule="auto"/>
        <w:ind w:firstLine="420"/>
        <w:rPr>
          <w:color w:val="auto"/>
          <w:sz w:val="21"/>
          <w:szCs w:val="21"/>
          <w:highlight w:val="none"/>
        </w:rPr>
      </w:pPr>
      <w:r>
        <w:rPr>
          <w:color w:val="auto"/>
          <w:sz w:val="21"/>
          <w:szCs w:val="21"/>
          <w:highlight w:val="none"/>
        </w:rPr>
        <w:t>1.1.5.4 暂列金额：指工程量清单中所列的暂列金额，用于在签订协议书时尚未确定或不可预见变更的施工及其所需材料、工程设备、服务等的金额，包括以计日工方式支付的金额。</w:t>
      </w:r>
    </w:p>
    <w:p w14:paraId="77B66991">
      <w:pPr>
        <w:snapToGrid w:val="0"/>
        <w:spacing w:line="360" w:lineRule="auto"/>
        <w:ind w:firstLine="420"/>
        <w:rPr>
          <w:color w:val="auto"/>
          <w:sz w:val="21"/>
          <w:szCs w:val="21"/>
          <w:highlight w:val="none"/>
        </w:rPr>
      </w:pPr>
      <w:r>
        <w:rPr>
          <w:color w:val="auto"/>
          <w:sz w:val="21"/>
          <w:szCs w:val="21"/>
          <w:highlight w:val="none"/>
        </w:rPr>
        <w:t>1.1.5.5暂估价：指发包人在工程量清单中给定的用于支付必然发生但暂时不能确定价格的材料、工程设备以及专业工程的金额。</w:t>
      </w:r>
    </w:p>
    <w:p w14:paraId="2BFCE07B">
      <w:pPr>
        <w:snapToGrid w:val="0"/>
        <w:spacing w:line="360" w:lineRule="auto"/>
        <w:ind w:firstLine="420"/>
        <w:rPr>
          <w:color w:val="auto"/>
          <w:sz w:val="21"/>
          <w:szCs w:val="21"/>
          <w:highlight w:val="none"/>
        </w:rPr>
      </w:pPr>
      <w:r>
        <w:rPr>
          <w:color w:val="auto"/>
          <w:sz w:val="21"/>
          <w:szCs w:val="21"/>
          <w:highlight w:val="none"/>
        </w:rPr>
        <w:t>1.1.5.6计日工：指对零星工作采取的一种计价方式，按合同中的计日工子目及其单价计价付款。</w:t>
      </w:r>
    </w:p>
    <w:p w14:paraId="1F3C8B74">
      <w:pPr>
        <w:snapToGrid w:val="0"/>
        <w:spacing w:line="360" w:lineRule="auto"/>
        <w:ind w:firstLine="420"/>
        <w:rPr>
          <w:color w:val="auto"/>
          <w:sz w:val="21"/>
          <w:szCs w:val="21"/>
          <w:highlight w:val="none"/>
        </w:rPr>
      </w:pPr>
      <w:bookmarkStart w:id="693" w:name="_Toc199294289"/>
      <w:r>
        <w:rPr>
          <w:color w:val="auto"/>
          <w:sz w:val="21"/>
          <w:szCs w:val="21"/>
          <w:highlight w:val="none"/>
        </w:rPr>
        <w:t>1.1.5.7 质量保证金（或称保留金）：指按第17.4.1 项约定用于保证在缺陷责任期内履行缺陷修复义务的金额。</w:t>
      </w:r>
      <w:bookmarkEnd w:id="693"/>
    </w:p>
    <w:p w14:paraId="70BEA087">
      <w:pPr>
        <w:snapToGrid w:val="0"/>
        <w:spacing w:line="360" w:lineRule="auto"/>
        <w:ind w:firstLine="420"/>
        <w:rPr>
          <w:color w:val="auto"/>
          <w:sz w:val="21"/>
          <w:szCs w:val="21"/>
          <w:highlight w:val="none"/>
        </w:rPr>
      </w:pPr>
      <w:r>
        <w:rPr>
          <w:color w:val="auto"/>
          <w:sz w:val="21"/>
          <w:szCs w:val="21"/>
          <w:highlight w:val="none"/>
        </w:rPr>
        <w:t>1.1.6 其他</w:t>
      </w:r>
    </w:p>
    <w:p w14:paraId="5C214E82">
      <w:pPr>
        <w:snapToGrid w:val="0"/>
        <w:spacing w:line="360" w:lineRule="auto"/>
        <w:ind w:firstLine="420"/>
        <w:rPr>
          <w:color w:val="auto"/>
          <w:sz w:val="21"/>
          <w:szCs w:val="21"/>
          <w:highlight w:val="none"/>
        </w:rPr>
      </w:pPr>
      <w:r>
        <w:rPr>
          <w:color w:val="auto"/>
          <w:sz w:val="21"/>
          <w:szCs w:val="21"/>
          <w:highlight w:val="none"/>
        </w:rPr>
        <w:t>1.1.6.1书面形式：指合同文件、信函、电报、传真等可以有形地表现所载内容的形式。</w:t>
      </w:r>
    </w:p>
    <w:p w14:paraId="04CDA79F">
      <w:pPr>
        <w:pStyle w:val="5"/>
        <w:spacing w:line="360" w:lineRule="auto"/>
        <w:jc w:val="left"/>
        <w:rPr>
          <w:rFonts w:ascii="Times New Roman" w:hAnsi="Times New Roman"/>
          <w:color w:val="auto"/>
          <w:sz w:val="21"/>
          <w:szCs w:val="21"/>
          <w:highlight w:val="none"/>
        </w:rPr>
      </w:pPr>
      <w:bookmarkStart w:id="694" w:name="_Toc14924"/>
      <w:bookmarkStart w:id="695" w:name="_Toc12766"/>
      <w:bookmarkStart w:id="696" w:name="_Toc199155721"/>
      <w:r>
        <w:rPr>
          <w:rFonts w:ascii="Times New Roman"/>
          <w:color w:val="auto"/>
          <w:sz w:val="21"/>
          <w:szCs w:val="21"/>
          <w:highlight w:val="none"/>
        </w:rPr>
        <w:t>1.2 语言文字</w:t>
      </w:r>
      <w:bookmarkEnd w:id="694"/>
      <w:bookmarkEnd w:id="695"/>
      <w:bookmarkEnd w:id="696"/>
    </w:p>
    <w:p w14:paraId="60A442CC">
      <w:pPr>
        <w:snapToGrid w:val="0"/>
        <w:spacing w:line="360" w:lineRule="auto"/>
        <w:ind w:firstLine="420"/>
        <w:rPr>
          <w:color w:val="auto"/>
          <w:sz w:val="21"/>
          <w:szCs w:val="21"/>
          <w:highlight w:val="none"/>
        </w:rPr>
      </w:pPr>
      <w:r>
        <w:rPr>
          <w:color w:val="auto"/>
          <w:sz w:val="21"/>
          <w:szCs w:val="21"/>
          <w:highlight w:val="none"/>
        </w:rPr>
        <w:t>除专用术语外，合同使用的语言文字为中文。必要时专用术语应附有中文注释。</w:t>
      </w:r>
    </w:p>
    <w:p w14:paraId="18A36341">
      <w:pPr>
        <w:pStyle w:val="6"/>
        <w:spacing w:line="360" w:lineRule="auto"/>
        <w:rPr>
          <w:rFonts w:ascii="Times New Roman" w:hAnsi="Times New Roman"/>
          <w:color w:val="auto"/>
          <w:sz w:val="21"/>
          <w:szCs w:val="21"/>
          <w:highlight w:val="none"/>
        </w:rPr>
      </w:pPr>
      <w:bookmarkStart w:id="697" w:name="_Toc199155722"/>
      <w:r>
        <w:rPr>
          <w:rFonts w:ascii="Times New Roman" w:hAnsi="宋体" w:eastAsia="宋体"/>
          <w:color w:val="auto"/>
          <w:sz w:val="21"/>
          <w:szCs w:val="21"/>
          <w:highlight w:val="none"/>
        </w:rPr>
        <w:t>1.3 法律</w:t>
      </w:r>
      <w:bookmarkEnd w:id="697"/>
    </w:p>
    <w:p w14:paraId="4F23719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适用于合同的法律包括中华人民共和国法律、行政法规、部门规章，以及工程所在地的地方法规、自治条例、单行条例和地方政府规章。</w:t>
      </w:r>
    </w:p>
    <w:p w14:paraId="1DCA1B9B">
      <w:pPr>
        <w:pStyle w:val="6"/>
        <w:spacing w:line="360" w:lineRule="auto"/>
        <w:rPr>
          <w:rFonts w:hint="eastAsia" w:ascii="宋体" w:hAnsi="宋体" w:eastAsia="宋体" w:cs="宋体"/>
          <w:color w:val="auto"/>
          <w:sz w:val="21"/>
          <w:szCs w:val="21"/>
          <w:highlight w:val="none"/>
        </w:rPr>
      </w:pPr>
      <w:bookmarkStart w:id="698" w:name="_Toc199155723"/>
      <w:r>
        <w:rPr>
          <w:rFonts w:hint="eastAsia" w:ascii="宋体" w:hAnsi="宋体" w:eastAsia="宋体" w:cs="宋体"/>
          <w:color w:val="auto"/>
          <w:sz w:val="21"/>
          <w:szCs w:val="21"/>
          <w:highlight w:val="none"/>
        </w:rPr>
        <w:t>1.4 合同文件的优先顺序</w:t>
      </w:r>
      <w:bookmarkEnd w:id="698"/>
    </w:p>
    <w:p w14:paraId="6D91CA0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组成合同的各项文件应互相解释，互为说明。除专用合同条款另有约定外，解释合同文件的优先顺序如下：</w:t>
      </w:r>
    </w:p>
    <w:p w14:paraId="0D0105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（1）合同协议书；</w:t>
      </w:r>
    </w:p>
    <w:p w14:paraId="7B48626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（2）中标通知书；</w:t>
      </w:r>
    </w:p>
    <w:p w14:paraId="22F4474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（3）投标函及投标函附录；</w:t>
      </w:r>
    </w:p>
    <w:p w14:paraId="105FA02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（4）专用合同条款；</w:t>
      </w:r>
    </w:p>
    <w:p w14:paraId="3F8FA9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（5）通用合同条款；</w:t>
      </w:r>
    </w:p>
    <w:p w14:paraId="05654E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（6）技术标准和要求；</w:t>
      </w:r>
    </w:p>
    <w:p w14:paraId="1A7C23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276E67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（8）已标价工程量清单；</w:t>
      </w:r>
    </w:p>
    <w:p w14:paraId="51966DB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（9）其他合同文件。</w:t>
      </w:r>
    </w:p>
    <w:p w14:paraId="12FB747A">
      <w:pPr>
        <w:pStyle w:val="6"/>
        <w:spacing w:line="360" w:lineRule="auto"/>
        <w:rPr>
          <w:rFonts w:hint="eastAsia" w:ascii="宋体" w:hAnsi="宋体" w:eastAsia="宋体" w:cs="宋体"/>
          <w:color w:val="auto"/>
          <w:sz w:val="21"/>
          <w:szCs w:val="21"/>
          <w:highlight w:val="none"/>
        </w:rPr>
      </w:pPr>
      <w:bookmarkStart w:id="699" w:name="_Toc199155724"/>
      <w:r>
        <w:rPr>
          <w:rFonts w:hint="eastAsia" w:ascii="宋体" w:hAnsi="宋体" w:eastAsia="宋体" w:cs="宋体"/>
          <w:color w:val="auto"/>
          <w:sz w:val="21"/>
          <w:szCs w:val="21"/>
          <w:highlight w:val="none"/>
        </w:rPr>
        <w:t>1.5 合同协议书</w:t>
      </w:r>
      <w:bookmarkEnd w:id="699"/>
    </w:p>
    <w:p w14:paraId="53B016E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256A962C">
      <w:pPr>
        <w:pStyle w:val="6"/>
        <w:spacing w:line="360" w:lineRule="auto"/>
        <w:rPr>
          <w:rFonts w:hint="eastAsia" w:ascii="宋体" w:hAnsi="宋体" w:eastAsia="宋体" w:cs="宋体"/>
          <w:color w:val="auto"/>
          <w:sz w:val="21"/>
          <w:szCs w:val="21"/>
          <w:highlight w:val="none"/>
        </w:rPr>
      </w:pPr>
      <w:bookmarkStart w:id="700" w:name="_Toc199155725"/>
      <w:r>
        <w:rPr>
          <w:rFonts w:hint="eastAsia" w:ascii="宋体" w:hAnsi="宋体" w:eastAsia="宋体" w:cs="宋体"/>
          <w:color w:val="auto"/>
          <w:sz w:val="21"/>
          <w:szCs w:val="21"/>
          <w:highlight w:val="none"/>
        </w:rPr>
        <w:t>1.6 图纸和承包人文件</w:t>
      </w:r>
      <w:bookmarkEnd w:id="700"/>
    </w:p>
    <w:p w14:paraId="050FE7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 图纸的提供</w:t>
      </w:r>
    </w:p>
    <w:p w14:paraId="4E1FF27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发包人应按技术标准和要求（合同技术条款）约定的期限和数量将施工图纸以及其他图纸（包括配套说明和有关资料）提供给承包人。由于发包人未按时提供图纸造成工期延误的，按第11.3 款的约定办理。</w:t>
      </w:r>
    </w:p>
    <w:p w14:paraId="3AA53B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1.6.2 承包人提供的文件</w:t>
      </w:r>
    </w:p>
    <w:p w14:paraId="6FE21A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承包人提供的文件应按技术标准和要求（合同技术条款）约定的期限和数量将提供给监理人。监理人应按技术标准和要求（合同技术条款）约定的期限批复承包人。</w:t>
      </w:r>
    </w:p>
    <w:p w14:paraId="503290C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1.6.3 图纸的修改</w:t>
      </w:r>
    </w:p>
    <w:p w14:paraId="3EE95B7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1965D18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1.6.4 图纸的错误</w:t>
      </w:r>
    </w:p>
    <w:p w14:paraId="7223C2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承包人发现发包人提供的图纸存在明显错误或疏忽，应及时通知监理人。</w:t>
      </w:r>
    </w:p>
    <w:p w14:paraId="60E93A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1.6.5 图纸和承包人文件的保管</w:t>
      </w:r>
    </w:p>
    <w:p w14:paraId="6E69F1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监理人和承包人均应在施工场地各保存一套完整的包含第1.6.1 项、第1.6.2 项、第1.6.3 项约定内容的图纸和承包人文件。</w:t>
      </w:r>
    </w:p>
    <w:p w14:paraId="716EC979">
      <w:pPr>
        <w:pStyle w:val="6"/>
        <w:spacing w:line="360" w:lineRule="auto"/>
        <w:rPr>
          <w:rFonts w:hint="eastAsia" w:ascii="宋体" w:hAnsi="宋体" w:eastAsia="宋体" w:cs="宋体"/>
          <w:color w:val="auto"/>
          <w:sz w:val="21"/>
          <w:szCs w:val="21"/>
          <w:highlight w:val="none"/>
        </w:rPr>
      </w:pPr>
      <w:bookmarkStart w:id="701" w:name="_Toc199155726"/>
      <w:r>
        <w:rPr>
          <w:rFonts w:hint="eastAsia" w:ascii="宋体" w:hAnsi="宋体" w:eastAsia="宋体" w:cs="宋体"/>
          <w:color w:val="auto"/>
          <w:sz w:val="21"/>
          <w:szCs w:val="21"/>
          <w:highlight w:val="none"/>
        </w:rPr>
        <w:t>1.7 联络</w:t>
      </w:r>
      <w:bookmarkEnd w:id="701"/>
    </w:p>
    <w:p w14:paraId="42340C2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1.7.1与合同有关的通知、批准、证明、证书、指示、要求、请求、同意、意见、确定和决定等，均应采用书面形式。</w:t>
      </w:r>
    </w:p>
    <w:p w14:paraId="61C450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4345884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1.7.3来往函件均应按合同约定的期限及时发出和答复，不得无故扣押和拖延，亦不得拒收。否则，由此造成的后果由责任方负责。</w:t>
      </w:r>
    </w:p>
    <w:p w14:paraId="5D8AA84B">
      <w:pPr>
        <w:pStyle w:val="6"/>
        <w:spacing w:line="360" w:lineRule="auto"/>
        <w:rPr>
          <w:rFonts w:hint="eastAsia" w:ascii="宋体" w:hAnsi="宋体" w:eastAsia="宋体" w:cs="宋体"/>
          <w:color w:val="auto"/>
          <w:sz w:val="21"/>
          <w:szCs w:val="21"/>
          <w:highlight w:val="none"/>
        </w:rPr>
      </w:pPr>
      <w:bookmarkStart w:id="702" w:name="_Toc199155727"/>
      <w:r>
        <w:rPr>
          <w:rFonts w:hint="eastAsia" w:ascii="宋体" w:hAnsi="宋体" w:eastAsia="宋体" w:cs="宋体"/>
          <w:color w:val="auto"/>
          <w:sz w:val="21"/>
          <w:szCs w:val="21"/>
          <w:highlight w:val="none"/>
        </w:rPr>
        <w:t>1.8 转让</w:t>
      </w:r>
      <w:bookmarkEnd w:id="702"/>
    </w:p>
    <w:p w14:paraId="2B67398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除合同另有约定外，未经对方当事人同意，一方当事人不得将合同权利全部或部分转让给第三人，也不得全部或部分转移合同义务。</w:t>
      </w:r>
    </w:p>
    <w:p w14:paraId="32171303">
      <w:pPr>
        <w:pStyle w:val="6"/>
        <w:spacing w:line="360" w:lineRule="auto"/>
        <w:rPr>
          <w:rFonts w:hint="eastAsia" w:ascii="宋体" w:hAnsi="宋体" w:eastAsia="宋体" w:cs="宋体"/>
          <w:color w:val="auto"/>
          <w:sz w:val="21"/>
          <w:szCs w:val="21"/>
          <w:highlight w:val="none"/>
        </w:rPr>
      </w:pPr>
      <w:bookmarkStart w:id="703" w:name="_Toc199155728"/>
      <w:r>
        <w:rPr>
          <w:rFonts w:hint="eastAsia" w:ascii="宋体" w:hAnsi="宋体" w:eastAsia="宋体" w:cs="宋体"/>
          <w:color w:val="auto"/>
          <w:sz w:val="21"/>
          <w:szCs w:val="21"/>
          <w:highlight w:val="none"/>
        </w:rPr>
        <w:t>1.9 严禁贿赂</w:t>
      </w:r>
      <w:bookmarkEnd w:id="703"/>
    </w:p>
    <w:p w14:paraId="3A4136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合同双方当事人不得以贿赂或变相贿赂的方式，谋取不当利益或损害对方权益。因贿赂造成对方损失的，行为人应赔偿损失，并承担相应的法律责任。</w:t>
      </w:r>
    </w:p>
    <w:p w14:paraId="72D69E9B">
      <w:pPr>
        <w:pStyle w:val="6"/>
        <w:spacing w:line="360" w:lineRule="auto"/>
        <w:rPr>
          <w:rFonts w:hint="eastAsia" w:ascii="宋体" w:hAnsi="宋体" w:eastAsia="宋体" w:cs="宋体"/>
          <w:color w:val="auto"/>
          <w:sz w:val="21"/>
          <w:szCs w:val="21"/>
          <w:highlight w:val="none"/>
        </w:rPr>
      </w:pPr>
      <w:bookmarkStart w:id="704" w:name="_Toc199155729"/>
      <w:r>
        <w:rPr>
          <w:rFonts w:hint="eastAsia" w:ascii="宋体" w:hAnsi="宋体" w:eastAsia="宋体" w:cs="宋体"/>
          <w:color w:val="auto"/>
          <w:sz w:val="21"/>
          <w:szCs w:val="21"/>
          <w:highlight w:val="none"/>
        </w:rPr>
        <w:t>1.10 化石、文物</w:t>
      </w:r>
      <w:bookmarkEnd w:id="704"/>
    </w:p>
    <w:p w14:paraId="2E8F82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29E26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1.10.2承包人发现文物后不及时报告或隐瞒不报，致使文物丢失或损坏的，应赔偿损失，并承担相应的法律责任。</w:t>
      </w:r>
    </w:p>
    <w:p w14:paraId="1831E7EC">
      <w:pPr>
        <w:pStyle w:val="6"/>
        <w:spacing w:line="360" w:lineRule="auto"/>
        <w:rPr>
          <w:rFonts w:hint="eastAsia" w:ascii="宋体" w:hAnsi="宋体" w:eastAsia="宋体" w:cs="宋体"/>
          <w:color w:val="auto"/>
          <w:sz w:val="21"/>
          <w:szCs w:val="21"/>
          <w:highlight w:val="none"/>
        </w:rPr>
      </w:pPr>
      <w:bookmarkStart w:id="705" w:name="_Toc199155730"/>
      <w:r>
        <w:rPr>
          <w:rFonts w:hint="eastAsia" w:ascii="宋体" w:hAnsi="宋体" w:eastAsia="宋体" w:cs="宋体"/>
          <w:color w:val="auto"/>
          <w:sz w:val="21"/>
          <w:szCs w:val="21"/>
          <w:highlight w:val="none"/>
        </w:rPr>
        <w:t>1.11 专利技术</w:t>
      </w:r>
      <w:bookmarkEnd w:id="705"/>
    </w:p>
    <w:p w14:paraId="4D9AF61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4CDEBF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1.11.2 承包人在投标文件中采用专利技术的，专利技术的使用费包含在投标报价内。</w:t>
      </w:r>
    </w:p>
    <w:p w14:paraId="1874863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1.11.3承包人的技术秘密和声明需要保密的资料和信息，发包人和监理人不得为合同以外的目的泄露给他人。</w:t>
      </w:r>
    </w:p>
    <w:p w14:paraId="494EA8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1.11.4合同实施过程中，发包人要求承包人采用专利技术的，发包人应办理相应的使用手续，承包人应按发包人约定的条件使用，并承担使用专利技术的相关试验工作，所需费用由发包人承当。</w:t>
      </w:r>
    </w:p>
    <w:p w14:paraId="6990F486">
      <w:pPr>
        <w:pStyle w:val="6"/>
        <w:spacing w:line="360" w:lineRule="auto"/>
        <w:rPr>
          <w:rFonts w:hint="eastAsia" w:ascii="宋体" w:hAnsi="宋体" w:eastAsia="宋体" w:cs="宋体"/>
          <w:color w:val="auto"/>
          <w:sz w:val="21"/>
          <w:szCs w:val="21"/>
          <w:highlight w:val="none"/>
        </w:rPr>
      </w:pPr>
      <w:bookmarkStart w:id="706" w:name="_Toc199155731"/>
      <w:r>
        <w:rPr>
          <w:rFonts w:hint="eastAsia" w:ascii="宋体" w:hAnsi="宋体" w:eastAsia="宋体" w:cs="宋体"/>
          <w:color w:val="auto"/>
          <w:sz w:val="21"/>
          <w:szCs w:val="21"/>
          <w:highlight w:val="none"/>
        </w:rPr>
        <w:t>1.12 图纸和文件的保密</w:t>
      </w:r>
      <w:bookmarkEnd w:id="706"/>
    </w:p>
    <w:p w14:paraId="7901AC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1.12.1发包人提供的图纸和文件，未经发包人同意，承包人不得为合同以外的目的泄露给他人或公开发表与引用。</w:t>
      </w:r>
    </w:p>
    <w:p w14:paraId="5049FCD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1.12.2承包人提供的文件，未经承包人同意，发包人和监理人不得为合同以外的目的泄露给他人或公开发表与引用。</w:t>
      </w:r>
    </w:p>
    <w:p w14:paraId="41762437">
      <w:pPr>
        <w:pStyle w:val="5"/>
        <w:spacing w:line="360" w:lineRule="auto"/>
        <w:rPr>
          <w:rFonts w:hint="eastAsia" w:cs="宋体"/>
          <w:color w:val="auto"/>
          <w:sz w:val="21"/>
          <w:szCs w:val="21"/>
          <w:highlight w:val="none"/>
        </w:rPr>
      </w:pPr>
      <w:bookmarkStart w:id="707" w:name="_Toc200167743"/>
      <w:bookmarkStart w:id="708" w:name="_Toc32534"/>
      <w:bookmarkStart w:id="709" w:name="_Toc199155732"/>
      <w:bookmarkStart w:id="710" w:name="_Toc9721"/>
      <w:bookmarkStart w:id="711" w:name="_Toc217971028"/>
      <w:bookmarkStart w:id="712" w:name="_Toc199319978"/>
      <w:bookmarkStart w:id="713" w:name="_Toc199294290"/>
      <w:bookmarkStart w:id="714" w:name="_Toc199215096"/>
      <w:bookmarkStart w:id="715" w:name="_Toc200536578"/>
      <w:bookmarkStart w:id="716" w:name="_Toc204076338"/>
      <w:r>
        <w:rPr>
          <w:rFonts w:hint="eastAsia" w:cs="宋体"/>
          <w:color w:val="auto"/>
          <w:sz w:val="21"/>
          <w:szCs w:val="21"/>
          <w:highlight w:val="none"/>
        </w:rPr>
        <w:t>2. 发包人义务</w:t>
      </w:r>
      <w:bookmarkEnd w:id="707"/>
      <w:bookmarkEnd w:id="708"/>
      <w:bookmarkEnd w:id="709"/>
      <w:bookmarkEnd w:id="710"/>
      <w:bookmarkEnd w:id="711"/>
      <w:bookmarkEnd w:id="712"/>
      <w:bookmarkEnd w:id="713"/>
      <w:bookmarkEnd w:id="714"/>
      <w:bookmarkEnd w:id="715"/>
      <w:bookmarkEnd w:id="716"/>
    </w:p>
    <w:p w14:paraId="6C5836D5">
      <w:pPr>
        <w:pStyle w:val="6"/>
        <w:spacing w:line="360" w:lineRule="auto"/>
        <w:rPr>
          <w:rFonts w:hint="eastAsia" w:ascii="宋体" w:hAnsi="宋体" w:eastAsia="宋体" w:cs="宋体"/>
          <w:color w:val="auto"/>
          <w:sz w:val="21"/>
          <w:szCs w:val="21"/>
          <w:highlight w:val="none"/>
        </w:rPr>
      </w:pPr>
      <w:bookmarkStart w:id="717" w:name="_Toc199155733"/>
      <w:r>
        <w:rPr>
          <w:rFonts w:hint="eastAsia" w:ascii="宋体" w:hAnsi="宋体" w:eastAsia="宋体" w:cs="宋体"/>
          <w:color w:val="auto"/>
          <w:sz w:val="21"/>
          <w:szCs w:val="21"/>
          <w:highlight w:val="none"/>
        </w:rPr>
        <w:t>2.1 遵守法律</w:t>
      </w:r>
      <w:bookmarkEnd w:id="717"/>
    </w:p>
    <w:p w14:paraId="0F3C75F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发包人在履行合同过程中应遵守法律，并保证承包人免于承担因发包人违反法律而引起的任何责任。</w:t>
      </w:r>
    </w:p>
    <w:p w14:paraId="1D85CCC3">
      <w:pPr>
        <w:pStyle w:val="6"/>
        <w:spacing w:line="360" w:lineRule="auto"/>
        <w:rPr>
          <w:rFonts w:hint="eastAsia" w:ascii="宋体" w:hAnsi="宋体" w:eastAsia="宋体" w:cs="宋体"/>
          <w:color w:val="auto"/>
          <w:sz w:val="21"/>
          <w:szCs w:val="21"/>
          <w:highlight w:val="none"/>
        </w:rPr>
      </w:pPr>
      <w:bookmarkStart w:id="718" w:name="_Toc199155734"/>
      <w:r>
        <w:rPr>
          <w:rFonts w:hint="eastAsia" w:ascii="宋体" w:hAnsi="宋体" w:eastAsia="宋体" w:cs="宋体"/>
          <w:color w:val="auto"/>
          <w:sz w:val="21"/>
          <w:szCs w:val="21"/>
          <w:highlight w:val="none"/>
        </w:rPr>
        <w:t>2.2 发出开工通知</w:t>
      </w:r>
      <w:bookmarkEnd w:id="718"/>
    </w:p>
    <w:p w14:paraId="310D14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发包人应委托监理人按第11.1 款的约定向承包人发出开工通知。</w:t>
      </w:r>
    </w:p>
    <w:p w14:paraId="5DD3A846">
      <w:pPr>
        <w:pStyle w:val="6"/>
        <w:spacing w:line="360" w:lineRule="auto"/>
        <w:rPr>
          <w:rFonts w:hint="eastAsia" w:ascii="宋体" w:hAnsi="宋体" w:eastAsia="宋体" w:cs="宋体"/>
          <w:color w:val="auto"/>
          <w:sz w:val="21"/>
          <w:szCs w:val="21"/>
          <w:highlight w:val="none"/>
        </w:rPr>
      </w:pPr>
      <w:bookmarkStart w:id="719" w:name="_Toc199155735"/>
      <w:r>
        <w:rPr>
          <w:rFonts w:hint="eastAsia" w:ascii="宋体" w:hAnsi="宋体" w:eastAsia="宋体" w:cs="宋体"/>
          <w:color w:val="auto"/>
          <w:sz w:val="21"/>
          <w:szCs w:val="21"/>
          <w:highlight w:val="none"/>
        </w:rPr>
        <w:t>2.3 提供施工场地</w:t>
      </w:r>
      <w:bookmarkEnd w:id="719"/>
    </w:p>
    <w:p w14:paraId="1BEB79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2.3.1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界限及有关资料。</w:t>
      </w:r>
    </w:p>
    <w:p w14:paraId="33AF1D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2.3.2 发包人提供的施工用地范围在专用合同条款中约定。</w:t>
      </w:r>
    </w:p>
    <w:p w14:paraId="6018223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18E637EF">
      <w:pPr>
        <w:pStyle w:val="6"/>
        <w:spacing w:line="360" w:lineRule="auto"/>
        <w:rPr>
          <w:rFonts w:hint="eastAsia" w:ascii="宋体" w:hAnsi="宋体" w:eastAsia="宋体" w:cs="宋体"/>
          <w:color w:val="auto"/>
          <w:sz w:val="21"/>
          <w:szCs w:val="21"/>
          <w:highlight w:val="none"/>
        </w:rPr>
      </w:pPr>
      <w:bookmarkStart w:id="720" w:name="_Toc199155736"/>
      <w:r>
        <w:rPr>
          <w:rFonts w:hint="eastAsia" w:ascii="宋体" w:hAnsi="宋体" w:eastAsia="宋体" w:cs="宋体"/>
          <w:color w:val="auto"/>
          <w:sz w:val="21"/>
          <w:szCs w:val="21"/>
          <w:highlight w:val="none"/>
        </w:rPr>
        <w:t>2.4 协助承包人办理证件和批件</w:t>
      </w:r>
      <w:bookmarkEnd w:id="720"/>
    </w:p>
    <w:p w14:paraId="52FC81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发包人应协助承包人办理法律规定的有关施工证件和批件。</w:t>
      </w:r>
    </w:p>
    <w:p w14:paraId="3BEE9BAC">
      <w:pPr>
        <w:pStyle w:val="6"/>
        <w:spacing w:line="360" w:lineRule="auto"/>
        <w:rPr>
          <w:rFonts w:hint="eastAsia" w:ascii="宋体" w:hAnsi="宋体" w:eastAsia="宋体" w:cs="宋体"/>
          <w:color w:val="auto"/>
          <w:sz w:val="21"/>
          <w:szCs w:val="21"/>
          <w:highlight w:val="none"/>
        </w:rPr>
      </w:pPr>
      <w:bookmarkStart w:id="721" w:name="_Toc199155737"/>
      <w:r>
        <w:rPr>
          <w:rFonts w:hint="eastAsia" w:ascii="宋体" w:hAnsi="宋体" w:eastAsia="宋体" w:cs="宋体"/>
          <w:color w:val="auto"/>
          <w:sz w:val="21"/>
          <w:szCs w:val="21"/>
          <w:highlight w:val="none"/>
        </w:rPr>
        <w:t>2.5 组织设计交底</w:t>
      </w:r>
      <w:bookmarkEnd w:id="721"/>
    </w:p>
    <w:p w14:paraId="4BD6DC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发包人应根据合同进度计划，组织设计单位向承包人进行设计交底。</w:t>
      </w:r>
    </w:p>
    <w:p w14:paraId="0CE214C5">
      <w:pPr>
        <w:pStyle w:val="6"/>
        <w:spacing w:line="360" w:lineRule="auto"/>
        <w:rPr>
          <w:rFonts w:hint="eastAsia" w:ascii="宋体" w:hAnsi="宋体" w:eastAsia="宋体" w:cs="宋体"/>
          <w:color w:val="auto"/>
          <w:sz w:val="21"/>
          <w:szCs w:val="21"/>
          <w:highlight w:val="none"/>
        </w:rPr>
      </w:pPr>
      <w:bookmarkStart w:id="722" w:name="_Toc199155738"/>
      <w:r>
        <w:rPr>
          <w:rFonts w:hint="eastAsia" w:ascii="宋体" w:hAnsi="宋体" w:eastAsia="宋体" w:cs="宋体"/>
          <w:color w:val="auto"/>
          <w:sz w:val="21"/>
          <w:szCs w:val="21"/>
          <w:highlight w:val="none"/>
        </w:rPr>
        <w:t>2.6 支付合同价款</w:t>
      </w:r>
      <w:bookmarkEnd w:id="722"/>
    </w:p>
    <w:p w14:paraId="5843910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发包人应按合同约定向承包人及时支付合同价款。</w:t>
      </w:r>
    </w:p>
    <w:p w14:paraId="33205E24">
      <w:pPr>
        <w:pStyle w:val="6"/>
        <w:spacing w:line="360" w:lineRule="auto"/>
        <w:rPr>
          <w:rFonts w:hint="eastAsia" w:ascii="宋体" w:hAnsi="宋体" w:eastAsia="宋体" w:cs="宋体"/>
          <w:color w:val="auto"/>
          <w:sz w:val="21"/>
          <w:szCs w:val="21"/>
          <w:highlight w:val="none"/>
        </w:rPr>
      </w:pPr>
      <w:bookmarkStart w:id="723" w:name="_Toc199155739"/>
      <w:r>
        <w:rPr>
          <w:rFonts w:hint="eastAsia" w:ascii="宋体" w:hAnsi="宋体" w:eastAsia="宋体" w:cs="宋体"/>
          <w:color w:val="auto"/>
          <w:sz w:val="21"/>
          <w:szCs w:val="21"/>
          <w:highlight w:val="none"/>
        </w:rPr>
        <w:t>2.7 组织竣工验收</w:t>
      </w:r>
      <w:bookmarkEnd w:id="723"/>
      <w:r>
        <w:rPr>
          <w:rFonts w:hint="eastAsia" w:ascii="宋体" w:hAnsi="宋体" w:eastAsia="宋体" w:cs="宋体"/>
          <w:color w:val="auto"/>
          <w:sz w:val="21"/>
          <w:szCs w:val="21"/>
          <w:highlight w:val="none"/>
        </w:rPr>
        <w:t>（组织法人验收）</w:t>
      </w:r>
    </w:p>
    <w:p w14:paraId="7BC84A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发包人应按合同约定及时组织法人验收。</w:t>
      </w:r>
    </w:p>
    <w:p w14:paraId="4DD7EAF4">
      <w:pPr>
        <w:pStyle w:val="6"/>
        <w:spacing w:line="360" w:lineRule="auto"/>
        <w:rPr>
          <w:rFonts w:hint="eastAsia" w:ascii="宋体" w:hAnsi="宋体" w:eastAsia="宋体" w:cs="宋体"/>
          <w:color w:val="auto"/>
          <w:sz w:val="21"/>
          <w:szCs w:val="21"/>
          <w:highlight w:val="none"/>
        </w:rPr>
      </w:pPr>
      <w:bookmarkStart w:id="724" w:name="_Toc199155740"/>
      <w:r>
        <w:rPr>
          <w:rFonts w:hint="eastAsia" w:ascii="宋体" w:hAnsi="宋体" w:eastAsia="宋体" w:cs="宋体"/>
          <w:color w:val="auto"/>
          <w:sz w:val="21"/>
          <w:szCs w:val="21"/>
          <w:highlight w:val="none"/>
        </w:rPr>
        <w:t>2.8 其他义务</w:t>
      </w:r>
      <w:bookmarkEnd w:id="724"/>
    </w:p>
    <w:p w14:paraId="6F5D7146">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其它义务在专用合同条款中补充约定。</w:t>
      </w:r>
    </w:p>
    <w:p w14:paraId="6ECF7413">
      <w:pPr>
        <w:pStyle w:val="5"/>
        <w:spacing w:line="360" w:lineRule="auto"/>
        <w:rPr>
          <w:rFonts w:hint="eastAsia" w:cs="宋体"/>
          <w:color w:val="auto"/>
          <w:sz w:val="21"/>
          <w:szCs w:val="21"/>
          <w:highlight w:val="none"/>
        </w:rPr>
      </w:pPr>
      <w:bookmarkStart w:id="725" w:name="_Toc10215"/>
      <w:bookmarkStart w:id="726" w:name="_Toc200167744"/>
      <w:bookmarkStart w:id="727" w:name="_Toc204076339"/>
      <w:bookmarkStart w:id="728" w:name="_Toc199294291"/>
      <w:bookmarkStart w:id="729" w:name="_Toc20572"/>
      <w:bookmarkStart w:id="730" w:name="_Toc199215097"/>
      <w:bookmarkStart w:id="731" w:name="_Toc200536579"/>
      <w:bookmarkStart w:id="732" w:name="_Toc199155741"/>
      <w:bookmarkStart w:id="733" w:name="_Toc199319979"/>
      <w:bookmarkStart w:id="734" w:name="_Toc217971029"/>
      <w:r>
        <w:rPr>
          <w:rFonts w:hint="eastAsia" w:cs="宋体"/>
          <w:color w:val="auto"/>
          <w:sz w:val="21"/>
          <w:szCs w:val="21"/>
          <w:highlight w:val="none"/>
        </w:rPr>
        <w:t>3. 监理人</w:t>
      </w:r>
      <w:bookmarkEnd w:id="725"/>
      <w:bookmarkEnd w:id="726"/>
      <w:bookmarkEnd w:id="727"/>
      <w:bookmarkEnd w:id="728"/>
      <w:bookmarkEnd w:id="729"/>
      <w:bookmarkEnd w:id="730"/>
      <w:bookmarkEnd w:id="731"/>
      <w:bookmarkEnd w:id="732"/>
      <w:bookmarkEnd w:id="733"/>
      <w:bookmarkEnd w:id="734"/>
    </w:p>
    <w:p w14:paraId="27A5019A">
      <w:pPr>
        <w:pStyle w:val="6"/>
        <w:spacing w:line="360" w:lineRule="auto"/>
        <w:rPr>
          <w:rFonts w:hint="eastAsia" w:ascii="宋体" w:hAnsi="宋体" w:eastAsia="宋体" w:cs="宋体"/>
          <w:color w:val="auto"/>
          <w:sz w:val="21"/>
          <w:szCs w:val="21"/>
          <w:highlight w:val="none"/>
        </w:rPr>
      </w:pPr>
      <w:bookmarkStart w:id="735" w:name="_Toc199155742"/>
      <w:r>
        <w:rPr>
          <w:rFonts w:hint="eastAsia" w:ascii="宋体" w:hAnsi="宋体" w:eastAsia="宋体" w:cs="宋体"/>
          <w:color w:val="auto"/>
          <w:sz w:val="21"/>
          <w:szCs w:val="21"/>
          <w:highlight w:val="none"/>
        </w:rPr>
        <w:t>3.1 监理人的职责和权力</w:t>
      </w:r>
      <w:bookmarkEnd w:id="735"/>
    </w:p>
    <w:p w14:paraId="003B3E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3.1.1 监理人受发包人委托，享有合同约定的权力。监理人的权利范围在专用合同条款中明确。当监理人任务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7BE4E7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3.1.2监理人发出的任何指示应视为已得到发包人的批准，但监理人无权免除或变更合同约定的发包人和承包人的权利、义务和责任。</w:t>
      </w:r>
    </w:p>
    <w:p w14:paraId="178D7B3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3.1.3合同约定应由承包人承担的义务和责任，不因监理人对承包人提交文件的审查或批准，对工程、材料和设备的检查和检验，以及为实施监理作出的指示等职务行为而减轻或解除。</w:t>
      </w:r>
    </w:p>
    <w:p w14:paraId="29BBA78C">
      <w:pPr>
        <w:pStyle w:val="6"/>
        <w:spacing w:line="360" w:lineRule="auto"/>
        <w:rPr>
          <w:rFonts w:hint="eastAsia" w:ascii="宋体" w:hAnsi="宋体" w:eastAsia="宋体" w:cs="宋体"/>
          <w:color w:val="auto"/>
          <w:sz w:val="21"/>
          <w:szCs w:val="21"/>
          <w:highlight w:val="none"/>
        </w:rPr>
      </w:pPr>
      <w:bookmarkStart w:id="736" w:name="_Toc199155743"/>
      <w:r>
        <w:rPr>
          <w:rFonts w:hint="eastAsia" w:ascii="宋体" w:hAnsi="宋体" w:eastAsia="宋体" w:cs="宋体"/>
          <w:color w:val="auto"/>
          <w:sz w:val="21"/>
          <w:szCs w:val="21"/>
          <w:highlight w:val="none"/>
        </w:rPr>
        <w:t>3.2 总监理工程师</w:t>
      </w:r>
      <w:bookmarkEnd w:id="736"/>
    </w:p>
    <w:p w14:paraId="1F1767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5FF5D0F4">
      <w:pPr>
        <w:pStyle w:val="6"/>
        <w:spacing w:line="360" w:lineRule="auto"/>
        <w:rPr>
          <w:rFonts w:hint="eastAsia" w:ascii="宋体" w:hAnsi="宋体" w:eastAsia="宋体" w:cs="宋体"/>
          <w:color w:val="auto"/>
          <w:sz w:val="21"/>
          <w:szCs w:val="21"/>
          <w:highlight w:val="none"/>
        </w:rPr>
      </w:pPr>
      <w:bookmarkStart w:id="737" w:name="_Toc199155744"/>
      <w:r>
        <w:rPr>
          <w:rFonts w:hint="eastAsia" w:ascii="宋体" w:hAnsi="宋体" w:eastAsia="宋体" w:cs="宋体"/>
          <w:color w:val="auto"/>
          <w:sz w:val="21"/>
          <w:szCs w:val="21"/>
          <w:highlight w:val="none"/>
        </w:rPr>
        <w:t>3.3 监理人员</w:t>
      </w:r>
      <w:bookmarkEnd w:id="737"/>
    </w:p>
    <w:p w14:paraId="745E04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5D7A16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3.3.2监理人员对承包人的任何工作、工程或其采用的材料和工程设备未在约定的或合理的期限内提出否定意见的，视为已获批准，但不影响监理人在以后拒绝该项工作、工程、材料或工程设备的权利。</w:t>
      </w:r>
    </w:p>
    <w:p w14:paraId="4C58363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3.3.3承包人对总监理工程师授权的监理人员发出的指示有疑问的，可向总监理工程师提出书面异议，总监理工程师应在48 小时内对该指示予以确认、更改或撤销。</w:t>
      </w:r>
    </w:p>
    <w:p w14:paraId="6F2422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3.3.4除专用合同条款另有约定外，总监理工程师不应将第3.5 款约定应由总监理工程师作出确定的权力授权或委托给其他监理人员。</w:t>
      </w:r>
    </w:p>
    <w:p w14:paraId="5849E958">
      <w:pPr>
        <w:pStyle w:val="6"/>
        <w:spacing w:line="360" w:lineRule="auto"/>
        <w:rPr>
          <w:rFonts w:hint="eastAsia" w:ascii="宋体" w:hAnsi="宋体" w:eastAsia="宋体" w:cs="宋体"/>
          <w:color w:val="auto"/>
          <w:sz w:val="21"/>
          <w:szCs w:val="21"/>
          <w:highlight w:val="none"/>
        </w:rPr>
      </w:pPr>
      <w:bookmarkStart w:id="738" w:name="_Toc199155745"/>
      <w:r>
        <w:rPr>
          <w:rFonts w:hint="eastAsia" w:ascii="宋体" w:hAnsi="宋体" w:eastAsia="宋体" w:cs="宋体"/>
          <w:color w:val="auto"/>
          <w:sz w:val="21"/>
          <w:szCs w:val="21"/>
          <w:highlight w:val="none"/>
        </w:rPr>
        <w:t>3.4 监理人的指示</w:t>
      </w:r>
      <w:bookmarkEnd w:id="738"/>
    </w:p>
    <w:p w14:paraId="2689B9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3.4.1监理人应按第3.1 款的约定向承包人发出指示，监理人的指示应盖有监理人授权的施工场地机构章，并由总监理工程师或总监理工程师按第3.3.1 项约定授权的监理人员签字。</w:t>
      </w:r>
    </w:p>
    <w:p w14:paraId="0CAD79B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3.4.2承包人收到监理人按第3.4.1 项作出的指示后应遵照执行。指示构成变更的，应按第15 条处理。</w:t>
      </w:r>
    </w:p>
    <w:p w14:paraId="7623D83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3.4.3在紧急情况下，总监理工程师或被授权的监理人员可以当场签发临时书面指示，承包人应遵照执行。承包人应在收到上述临时书面指示后24 小时内，向监理人发出书面确认函。监理人在收到书面确认函后24 小时内未予答复的，该书面确认函应被视为监理人的正式指示。</w:t>
      </w:r>
    </w:p>
    <w:p w14:paraId="582ABB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3.4.4除合同另有约定外，承包人只从总监理工程师或按第3.3.1 项被授权的监理人员处取得指示。</w:t>
      </w:r>
    </w:p>
    <w:p w14:paraId="7A6DD14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3.4.5由于监理人未能按合同约定发出指示、指示延误或指示错误而导致承包人费用增加和（或）工期延误的，由发包人承担赔偿责任。</w:t>
      </w:r>
    </w:p>
    <w:p w14:paraId="62037CCB">
      <w:pPr>
        <w:pStyle w:val="6"/>
        <w:spacing w:line="360" w:lineRule="auto"/>
        <w:rPr>
          <w:rFonts w:hint="eastAsia" w:ascii="宋体" w:hAnsi="宋体" w:eastAsia="宋体" w:cs="宋体"/>
          <w:color w:val="auto"/>
          <w:sz w:val="21"/>
          <w:szCs w:val="21"/>
          <w:highlight w:val="none"/>
        </w:rPr>
      </w:pPr>
      <w:bookmarkStart w:id="739" w:name="_Toc199155746"/>
      <w:r>
        <w:rPr>
          <w:rFonts w:hint="eastAsia" w:ascii="宋体" w:hAnsi="宋体" w:eastAsia="宋体" w:cs="宋体"/>
          <w:color w:val="auto"/>
          <w:sz w:val="21"/>
          <w:szCs w:val="21"/>
          <w:highlight w:val="none"/>
        </w:rPr>
        <w:t>3.5 商定或确定</w:t>
      </w:r>
      <w:bookmarkEnd w:id="739"/>
    </w:p>
    <w:p w14:paraId="3AD761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3.5.1合同约定总监理工程师应按照本款对任何事项进行商定或确定时，总监理工程师应与合同当事人协商，尽量达成一致。不能达成一致的，总监理工程师应认真研究后审慎确定。</w:t>
      </w:r>
    </w:p>
    <w:p w14:paraId="73C31DB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3.5.2总监理工程师应将商定或确定的事项通知合同当事人，并附详细依据。对总监理工程师的确定有异议的，构成争议，按照第24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1F590A78">
      <w:pPr>
        <w:snapToGrid w:val="0"/>
        <w:spacing w:line="360" w:lineRule="auto"/>
        <w:ind w:firstLine="420"/>
        <w:rPr>
          <w:rFonts w:hint="eastAsia" w:ascii="宋体" w:hAnsi="宋体" w:cs="宋体"/>
          <w:color w:val="auto"/>
          <w:sz w:val="21"/>
          <w:szCs w:val="21"/>
          <w:highlight w:val="none"/>
        </w:rPr>
      </w:pPr>
    </w:p>
    <w:p w14:paraId="35F36E98">
      <w:pPr>
        <w:pStyle w:val="5"/>
        <w:spacing w:line="360" w:lineRule="auto"/>
        <w:rPr>
          <w:rFonts w:hint="eastAsia" w:cs="宋体"/>
          <w:color w:val="auto"/>
          <w:sz w:val="21"/>
          <w:szCs w:val="21"/>
          <w:highlight w:val="none"/>
        </w:rPr>
      </w:pPr>
      <w:bookmarkStart w:id="740" w:name="_Toc200167745"/>
      <w:bookmarkStart w:id="741" w:name="_Toc199215098"/>
      <w:bookmarkStart w:id="742" w:name="_Toc199155747"/>
      <w:bookmarkStart w:id="743" w:name="_Toc217971030"/>
      <w:bookmarkStart w:id="744" w:name="_Toc200536580"/>
      <w:bookmarkStart w:id="745" w:name="_Toc199319980"/>
      <w:bookmarkStart w:id="746" w:name="_Toc204076340"/>
      <w:bookmarkStart w:id="747" w:name="_Toc15247"/>
      <w:bookmarkStart w:id="748" w:name="_Toc1485"/>
      <w:bookmarkStart w:id="749" w:name="_Toc199294292"/>
      <w:r>
        <w:rPr>
          <w:rFonts w:hint="eastAsia" w:cs="宋体"/>
          <w:color w:val="auto"/>
          <w:sz w:val="21"/>
          <w:szCs w:val="21"/>
          <w:highlight w:val="none"/>
        </w:rPr>
        <w:t>4. 承包人</w:t>
      </w:r>
      <w:bookmarkEnd w:id="740"/>
      <w:bookmarkEnd w:id="741"/>
      <w:bookmarkEnd w:id="742"/>
      <w:bookmarkEnd w:id="743"/>
      <w:bookmarkEnd w:id="744"/>
      <w:bookmarkEnd w:id="745"/>
      <w:bookmarkEnd w:id="746"/>
      <w:bookmarkEnd w:id="747"/>
      <w:bookmarkEnd w:id="748"/>
      <w:bookmarkEnd w:id="749"/>
    </w:p>
    <w:p w14:paraId="56E67E41">
      <w:pPr>
        <w:pStyle w:val="6"/>
        <w:spacing w:line="360" w:lineRule="auto"/>
        <w:rPr>
          <w:rFonts w:hint="eastAsia" w:ascii="宋体" w:hAnsi="宋体" w:eastAsia="宋体" w:cs="宋体"/>
          <w:color w:val="auto"/>
          <w:sz w:val="21"/>
          <w:szCs w:val="21"/>
          <w:highlight w:val="none"/>
        </w:rPr>
      </w:pPr>
      <w:bookmarkStart w:id="750" w:name="_Toc199155748"/>
      <w:r>
        <w:rPr>
          <w:rFonts w:hint="eastAsia" w:ascii="宋体" w:hAnsi="宋体" w:eastAsia="宋体" w:cs="宋体"/>
          <w:color w:val="auto"/>
          <w:sz w:val="21"/>
          <w:szCs w:val="21"/>
          <w:highlight w:val="none"/>
        </w:rPr>
        <w:t>4.1 承包人的一般义务</w:t>
      </w:r>
      <w:bookmarkEnd w:id="750"/>
    </w:p>
    <w:p w14:paraId="638676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 遵守法律</w:t>
      </w:r>
    </w:p>
    <w:p w14:paraId="388D50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承包人在履行合同过程中应遵守法律，并保证发包人免于承担因承包人违反法律而引起的任何责任。</w:t>
      </w:r>
    </w:p>
    <w:p w14:paraId="206333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4.1.2 依法纳税</w:t>
      </w:r>
    </w:p>
    <w:p w14:paraId="18C633C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承包人应按有关法律规定纳税，应缴纳的税金包括在合同价格内。</w:t>
      </w:r>
    </w:p>
    <w:p w14:paraId="06BE4F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4.1.3 完成各项承包工作</w:t>
      </w:r>
    </w:p>
    <w:p w14:paraId="4E0A85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承包人应按合同约定以及监理人根据第3.4 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14:paraId="04B39D1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4.1.4 对施工作业和施工方法的完备性负责</w:t>
      </w:r>
    </w:p>
    <w:p w14:paraId="799E4D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承包人应按合同约定的工作内容和施工进度要求，编制施工组织设计和施工措施计划，并对所有施工作业和施工方法的完备性和安全可靠性负责。</w:t>
      </w:r>
    </w:p>
    <w:p w14:paraId="491A9DA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4.1.5 保证工程施工和人员的安全</w:t>
      </w:r>
    </w:p>
    <w:p w14:paraId="1D1E680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承包人应按第9.2 款约定采取施工安全措施，确保工程及其人员、材料、设备和设施的安全，防止因工程施工造成的人身伤害和财产损失。</w:t>
      </w:r>
    </w:p>
    <w:p w14:paraId="3289D16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4.1.6负责施工场地及其周边环境与生态的保护工作</w:t>
      </w:r>
    </w:p>
    <w:p w14:paraId="6C321A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承包人应按照第9.4 款约定负责施工场地及其周边环境与生态的保护工作。</w:t>
      </w:r>
    </w:p>
    <w:p w14:paraId="593DFCC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4.1.7避免施工对公众与他人的利益造成损害</w:t>
      </w:r>
    </w:p>
    <w:p w14:paraId="3A1682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C8DFC08">
      <w:pPr>
        <w:snapToGrid w:val="0"/>
        <w:spacing w:line="360" w:lineRule="auto"/>
        <w:ind w:firstLine="420"/>
        <w:rPr>
          <w:rFonts w:hint="eastAsia" w:ascii="宋体" w:hAnsi="宋体" w:cs="宋体"/>
          <w:color w:val="auto"/>
          <w:sz w:val="21"/>
          <w:szCs w:val="21"/>
          <w:highlight w:val="none"/>
        </w:rPr>
      </w:pPr>
      <w:bookmarkStart w:id="751" w:name="_Toc199294293"/>
      <w:r>
        <w:rPr>
          <w:rFonts w:hint="eastAsia" w:ascii="宋体" w:hAnsi="宋体" w:cs="宋体"/>
          <w:color w:val="auto"/>
          <w:sz w:val="21"/>
          <w:szCs w:val="21"/>
          <w:highlight w:val="none"/>
        </w:rPr>
        <w:t>4.1.8 为他人提供方便</w:t>
      </w:r>
      <w:bookmarkEnd w:id="751"/>
    </w:p>
    <w:p w14:paraId="3E0A6B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30B937F3">
      <w:pPr>
        <w:snapToGrid w:val="0"/>
        <w:spacing w:line="360" w:lineRule="auto"/>
        <w:ind w:firstLine="420"/>
        <w:rPr>
          <w:rFonts w:hint="eastAsia" w:ascii="宋体" w:hAnsi="宋体" w:cs="宋体"/>
          <w:color w:val="auto"/>
          <w:sz w:val="21"/>
          <w:szCs w:val="21"/>
          <w:highlight w:val="none"/>
        </w:rPr>
      </w:pPr>
      <w:bookmarkStart w:id="752" w:name="_Toc199294294"/>
      <w:r>
        <w:rPr>
          <w:rFonts w:hint="eastAsia" w:ascii="宋体" w:hAnsi="宋体" w:cs="宋体"/>
          <w:color w:val="auto"/>
          <w:sz w:val="21"/>
          <w:szCs w:val="21"/>
          <w:highlight w:val="none"/>
        </w:rPr>
        <w:t>4.1.9 工程的维护和照管</w:t>
      </w:r>
      <w:bookmarkEnd w:id="752"/>
    </w:p>
    <w:p w14:paraId="4CA42C8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14D53A4">
      <w:pPr>
        <w:snapToGrid w:val="0"/>
        <w:spacing w:line="360" w:lineRule="auto"/>
        <w:ind w:firstLine="420"/>
        <w:rPr>
          <w:rFonts w:hint="eastAsia" w:ascii="宋体" w:hAnsi="宋体" w:cs="宋体"/>
          <w:color w:val="auto"/>
          <w:sz w:val="21"/>
          <w:szCs w:val="21"/>
          <w:highlight w:val="none"/>
        </w:rPr>
      </w:pPr>
      <w:bookmarkStart w:id="753" w:name="_Toc199294295"/>
      <w:r>
        <w:rPr>
          <w:rFonts w:hint="eastAsia" w:ascii="宋体" w:hAnsi="宋体" w:cs="宋体"/>
          <w:color w:val="auto"/>
          <w:sz w:val="21"/>
          <w:szCs w:val="21"/>
          <w:highlight w:val="none"/>
        </w:rPr>
        <w:t>4.1.10 其他义务</w:t>
      </w:r>
      <w:bookmarkEnd w:id="753"/>
    </w:p>
    <w:p w14:paraId="1E8EAC8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其它义务在专用合同条款中补充约定。</w:t>
      </w:r>
    </w:p>
    <w:p w14:paraId="627E34E6">
      <w:pPr>
        <w:pStyle w:val="6"/>
        <w:spacing w:line="360" w:lineRule="auto"/>
        <w:rPr>
          <w:rFonts w:hint="eastAsia" w:ascii="宋体" w:hAnsi="宋体" w:eastAsia="宋体" w:cs="宋体"/>
          <w:color w:val="auto"/>
          <w:sz w:val="21"/>
          <w:szCs w:val="21"/>
          <w:highlight w:val="none"/>
        </w:rPr>
      </w:pPr>
      <w:bookmarkStart w:id="754" w:name="_Toc199155749"/>
      <w:r>
        <w:rPr>
          <w:rFonts w:hint="eastAsia" w:ascii="宋体" w:hAnsi="宋体" w:eastAsia="宋体" w:cs="宋体"/>
          <w:color w:val="auto"/>
          <w:sz w:val="21"/>
          <w:szCs w:val="21"/>
          <w:highlight w:val="none"/>
        </w:rPr>
        <w:t>4.2 履约担保</w:t>
      </w:r>
      <w:bookmarkEnd w:id="754"/>
    </w:p>
    <w:p w14:paraId="1EC044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承包人应保证其履约担保在发包人颁发合同工程完工证书前一直有效。发包人应在合同工程完工证书颁发后28 天内把履约担保退还给承包人。</w:t>
      </w:r>
    </w:p>
    <w:p w14:paraId="51179AFB">
      <w:pPr>
        <w:pStyle w:val="6"/>
        <w:spacing w:line="360" w:lineRule="auto"/>
        <w:rPr>
          <w:rFonts w:hint="eastAsia" w:ascii="宋体" w:hAnsi="宋体" w:eastAsia="宋体" w:cs="宋体"/>
          <w:color w:val="auto"/>
          <w:sz w:val="21"/>
          <w:szCs w:val="21"/>
          <w:highlight w:val="none"/>
        </w:rPr>
      </w:pPr>
      <w:bookmarkStart w:id="755" w:name="_Toc199155750"/>
      <w:r>
        <w:rPr>
          <w:rFonts w:hint="eastAsia" w:ascii="宋体" w:hAnsi="宋体" w:eastAsia="宋体" w:cs="宋体"/>
          <w:color w:val="auto"/>
          <w:sz w:val="21"/>
          <w:szCs w:val="21"/>
          <w:highlight w:val="none"/>
        </w:rPr>
        <w:t>4.3 分包</w:t>
      </w:r>
      <w:bookmarkEnd w:id="755"/>
    </w:p>
    <w:p w14:paraId="11A16B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4.3.1承包人不得将其承包的全部工程转包给第三人，或将其承包的全部工程肢解后以分包的名义转包给第三人。</w:t>
      </w:r>
    </w:p>
    <w:p w14:paraId="78B417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4.3.2 承包人不得将工程主体、关键性工作分包给第三人。除专用合同条款另有约定外，未经发包人同意，承包人不得将工程的其他部分或工作分包给第三人。</w:t>
      </w:r>
    </w:p>
    <w:p w14:paraId="300728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4.3.3分包人的资格能力应与其分包工程的标准和规模相适应。</w:t>
      </w:r>
    </w:p>
    <w:p w14:paraId="1DA6E0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4.3.4按投标函附录约定分包工程的，承包人应向发包人和监理人提交分包合同副本。</w:t>
      </w:r>
    </w:p>
    <w:p w14:paraId="25FF4E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4.3.5承包人应与分包人就分包工程向发包人承担连带责任。</w:t>
      </w:r>
    </w:p>
    <w:p w14:paraId="4E72EF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4.3.6分包分为工程分包和劳务作业分包。工程分包应遵循合同约定或者经发包人书面认可。禁止承包人将本合同工程进行违法分包。分包人应具备与分包工程规模和标准相适 应的资质和业绩，在人力、设备、资金等方面具有承担分包工程施工的能力。分包人应自行 完成所承包的任务。</w:t>
      </w:r>
    </w:p>
    <w:p w14:paraId="2A69FFE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 </w:t>
      </w:r>
    </w:p>
    <w:p w14:paraId="3F8B27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由指定分包人造成的与其分包工作有关的一切索赔、诉讼和损失赔偿由指定分包人直接对发包人负责，承包人不对此承担责任。</w:t>
      </w:r>
    </w:p>
    <w:p w14:paraId="5871406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4.3.8承包人和分包人应当签订分包合同，并履行合同约定的义务。分包合同必须遵循承包合同的各项原则，满足承包合同中相应条款的要求。发包人可以对分包合同实施情况 进行监督检查。承包人应将分包合同副本提交发包人和监理人。</w:t>
      </w:r>
    </w:p>
    <w:p w14:paraId="0BC146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4.3.9除第4.3.7项规定的指定分包外，承包人对其分包项目的实施以及分包人的行为向发包人负全部责任。承包人应对分包项目的工程进度、质量、安全、计量和验收等实施监督和管理。</w:t>
      </w:r>
    </w:p>
    <w:p w14:paraId="10C6F37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4.3.10分包人应按专用合同条款的约定设立项目管理机构组织管理分包工程的施工活动。</w:t>
      </w:r>
    </w:p>
    <w:p w14:paraId="3B768B13">
      <w:pPr>
        <w:pStyle w:val="6"/>
        <w:spacing w:line="360" w:lineRule="auto"/>
        <w:rPr>
          <w:rFonts w:hint="eastAsia" w:ascii="宋体" w:hAnsi="宋体" w:eastAsia="宋体" w:cs="宋体"/>
          <w:color w:val="auto"/>
          <w:sz w:val="21"/>
          <w:szCs w:val="21"/>
          <w:highlight w:val="none"/>
        </w:rPr>
      </w:pPr>
      <w:bookmarkStart w:id="756" w:name="_Toc199155751"/>
      <w:r>
        <w:rPr>
          <w:rFonts w:hint="eastAsia" w:ascii="宋体" w:hAnsi="宋体" w:eastAsia="宋体" w:cs="宋体"/>
          <w:color w:val="auto"/>
          <w:sz w:val="21"/>
          <w:szCs w:val="21"/>
          <w:highlight w:val="none"/>
        </w:rPr>
        <w:t>4.4 联合体</w:t>
      </w:r>
      <w:bookmarkEnd w:id="756"/>
    </w:p>
    <w:p w14:paraId="4DC21A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4.4.1联合体各成员应共同与发包人签订合同协议书。联合体各成员应为履行合同承担连带责任。</w:t>
      </w:r>
    </w:p>
    <w:p w14:paraId="2A8E5F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4.4.2联合体协议经发包人确认后作为合同附件。在履行合同过程中，未经发包人同意，不得修改联合体协议。</w:t>
      </w:r>
    </w:p>
    <w:p w14:paraId="32E4B8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4.4.3联合体牵头人负责与发包人和监理人联系，并接受指示，负责组织联合体各成员全面履行合同。</w:t>
      </w:r>
    </w:p>
    <w:p w14:paraId="0B831679">
      <w:pPr>
        <w:pStyle w:val="6"/>
        <w:spacing w:line="360" w:lineRule="auto"/>
        <w:rPr>
          <w:rFonts w:hint="eastAsia" w:ascii="宋体" w:hAnsi="宋体" w:eastAsia="宋体" w:cs="宋体"/>
          <w:color w:val="auto"/>
          <w:sz w:val="21"/>
          <w:szCs w:val="21"/>
          <w:highlight w:val="none"/>
        </w:rPr>
      </w:pPr>
      <w:bookmarkStart w:id="757" w:name="_Toc199155752"/>
      <w:r>
        <w:rPr>
          <w:rFonts w:hint="eastAsia" w:ascii="宋体" w:hAnsi="宋体" w:eastAsia="宋体" w:cs="宋体"/>
          <w:color w:val="auto"/>
          <w:sz w:val="21"/>
          <w:szCs w:val="21"/>
          <w:highlight w:val="none"/>
        </w:rPr>
        <w:t>4.5 承包人项目负责人</w:t>
      </w:r>
      <w:bookmarkEnd w:id="757"/>
    </w:p>
    <w:p w14:paraId="3F01C54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4.5.1承包人应按合同约定指派项目负责人，并在约定的期限内到职。承包人更换项目负责人应事先征得发包人同意，并应在更换14 天前通知发包人和监理人。承包人项目负责人短期离开施工场地，应事先征得监理人同意，并委派代表代行其职责。</w:t>
      </w:r>
    </w:p>
    <w:p w14:paraId="41F9D3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4.5.2 承包人项目负责人应按合同约定以及监理人按第3.4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14:paraId="283154B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4.5.3承包人为履行合同发出的一切函件均应盖有承包人授权的施工场地管理机构章，并由承包人项目负责人或其授权代表签字。</w:t>
      </w:r>
    </w:p>
    <w:p w14:paraId="078ADE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4.5.4承包人项目负责人可以授权其下属人员履行其某项职责，但事先应将这些人员的姓名和授权范围通知监理人。</w:t>
      </w:r>
    </w:p>
    <w:p w14:paraId="75849493">
      <w:pPr>
        <w:pStyle w:val="6"/>
        <w:spacing w:line="360" w:lineRule="auto"/>
        <w:rPr>
          <w:rFonts w:hint="eastAsia" w:ascii="宋体" w:hAnsi="宋体" w:eastAsia="宋体" w:cs="宋体"/>
          <w:color w:val="auto"/>
          <w:sz w:val="21"/>
          <w:szCs w:val="21"/>
          <w:highlight w:val="none"/>
        </w:rPr>
      </w:pPr>
      <w:bookmarkStart w:id="758" w:name="_Toc199155753"/>
      <w:r>
        <w:rPr>
          <w:rFonts w:hint="eastAsia" w:ascii="宋体" w:hAnsi="宋体" w:eastAsia="宋体" w:cs="宋体"/>
          <w:color w:val="auto"/>
          <w:sz w:val="21"/>
          <w:szCs w:val="21"/>
          <w:highlight w:val="none"/>
        </w:rPr>
        <w:t>4.6 承包人人员的管理</w:t>
      </w:r>
      <w:bookmarkEnd w:id="758"/>
    </w:p>
    <w:p w14:paraId="7A44D1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4.6.1承包人应在接到开工通知后28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D2400F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4.6.2 为完成合同约定的各项工作，承包人应向施工场地派遣或雇佣足够数量的下列人员：</w:t>
      </w:r>
    </w:p>
    <w:p w14:paraId="2945FB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（1）具有相应资格的专业技工和合格的普工；</w:t>
      </w:r>
    </w:p>
    <w:p w14:paraId="7CE107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（2）具有相应施工经验的技术人员；</w:t>
      </w:r>
    </w:p>
    <w:p w14:paraId="5FDE3E1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（3）具有相应岗位资格的各级管理人员。</w:t>
      </w:r>
    </w:p>
    <w:p w14:paraId="6C01D1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4.6.3承包人安排在施工场地的主要管理人员和技术骨干应相对稳定。承包人更换主要管理人员和技术骨干时，应取得监理人的同意。</w:t>
      </w:r>
    </w:p>
    <w:p w14:paraId="1CDC609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4.6.4特殊岗位的工作人员均应持有相应的资格证明，监理人有权随时检查。监理人认为有必要时，可进行现场考核。</w:t>
      </w:r>
    </w:p>
    <w:p w14:paraId="4D71D339">
      <w:pPr>
        <w:pStyle w:val="6"/>
        <w:spacing w:line="360" w:lineRule="auto"/>
        <w:rPr>
          <w:rFonts w:hint="eastAsia" w:ascii="宋体" w:hAnsi="宋体" w:eastAsia="宋体" w:cs="宋体"/>
          <w:color w:val="auto"/>
          <w:sz w:val="21"/>
          <w:szCs w:val="21"/>
          <w:highlight w:val="none"/>
        </w:rPr>
      </w:pPr>
      <w:bookmarkStart w:id="759" w:name="_Toc199155754"/>
      <w:r>
        <w:rPr>
          <w:rFonts w:hint="eastAsia" w:ascii="宋体" w:hAnsi="宋体" w:eastAsia="宋体" w:cs="宋体"/>
          <w:color w:val="auto"/>
          <w:sz w:val="21"/>
          <w:szCs w:val="21"/>
          <w:highlight w:val="none"/>
        </w:rPr>
        <w:t>4.7 撤换承包人项目负责人和其他人员</w:t>
      </w:r>
      <w:bookmarkEnd w:id="759"/>
    </w:p>
    <w:p w14:paraId="22C11A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承包人应对其项目负责人和其他人员进行有效管理。监理人要求撤换不能胜任本职工作、行为不端或玩忽职守的承包人项目负责人和其他人员的，承包人应予以撤换。</w:t>
      </w:r>
    </w:p>
    <w:p w14:paraId="65155250">
      <w:pPr>
        <w:pStyle w:val="6"/>
        <w:spacing w:line="360" w:lineRule="auto"/>
        <w:rPr>
          <w:rFonts w:hint="eastAsia" w:ascii="宋体" w:hAnsi="宋体" w:eastAsia="宋体" w:cs="宋体"/>
          <w:color w:val="auto"/>
          <w:sz w:val="21"/>
          <w:szCs w:val="21"/>
          <w:highlight w:val="none"/>
        </w:rPr>
      </w:pPr>
      <w:bookmarkStart w:id="760" w:name="_Toc199155755"/>
      <w:r>
        <w:rPr>
          <w:rFonts w:hint="eastAsia" w:ascii="宋体" w:hAnsi="宋体" w:eastAsia="宋体" w:cs="宋体"/>
          <w:color w:val="auto"/>
          <w:sz w:val="21"/>
          <w:szCs w:val="21"/>
          <w:highlight w:val="none"/>
        </w:rPr>
        <w:t>4.8 保障承包人人员的合法权益</w:t>
      </w:r>
      <w:bookmarkEnd w:id="760"/>
    </w:p>
    <w:p w14:paraId="7E03A2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4.8.1 承包人应与其雇佣的人员签订劳动合同，并按时发放工资。</w:t>
      </w:r>
    </w:p>
    <w:p w14:paraId="6C7CEC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4.8.2承包人应按劳动法的规定安排工作时间，保证其雇佣人员享有休息和休假的权利。因工程施工的特殊需要占用休假日或延长工作时间的，应不超过法律规定的限度，并按法律规定给予补休或付酬。</w:t>
      </w:r>
    </w:p>
    <w:p w14:paraId="0F981D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4.8.3承包人应为其雇佣人员提供必要的食宿条件，以及符合环境保护和卫生要求的生活环境，在远离城镇的施工场地，还应配备必要的伤病防治和急救的医务人员与医疗设施。</w:t>
      </w:r>
    </w:p>
    <w:p w14:paraId="599E4C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8E290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4.8.5承包人应按有关法律规定和合同约定，为其雇佣人员办理保险。</w:t>
      </w:r>
    </w:p>
    <w:p w14:paraId="16D9C5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4.8.6承包人应负责处理其雇佣人员因工伤亡事故的善后事宜。</w:t>
      </w:r>
    </w:p>
    <w:p w14:paraId="3B8D599F">
      <w:pPr>
        <w:pStyle w:val="6"/>
        <w:spacing w:line="360" w:lineRule="auto"/>
        <w:rPr>
          <w:rFonts w:hint="eastAsia" w:ascii="宋体" w:hAnsi="宋体" w:eastAsia="宋体" w:cs="宋体"/>
          <w:color w:val="auto"/>
          <w:sz w:val="21"/>
          <w:szCs w:val="21"/>
          <w:highlight w:val="none"/>
        </w:rPr>
      </w:pPr>
      <w:bookmarkStart w:id="761" w:name="_Toc199155756"/>
      <w:r>
        <w:rPr>
          <w:rFonts w:hint="eastAsia" w:ascii="宋体" w:hAnsi="宋体" w:eastAsia="宋体" w:cs="宋体"/>
          <w:color w:val="auto"/>
          <w:sz w:val="21"/>
          <w:szCs w:val="21"/>
          <w:highlight w:val="none"/>
        </w:rPr>
        <w:t>4.9 工程价款应专款专用</w:t>
      </w:r>
      <w:bookmarkEnd w:id="761"/>
    </w:p>
    <w:p w14:paraId="38B3F3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发包人按合同约定支付给承包人的各项价款应专用于合同工程。</w:t>
      </w:r>
    </w:p>
    <w:p w14:paraId="6A7EBA84">
      <w:pPr>
        <w:pStyle w:val="6"/>
        <w:spacing w:line="360" w:lineRule="auto"/>
        <w:rPr>
          <w:rFonts w:hint="eastAsia" w:ascii="宋体" w:hAnsi="宋体" w:eastAsia="宋体" w:cs="宋体"/>
          <w:color w:val="auto"/>
          <w:sz w:val="21"/>
          <w:szCs w:val="21"/>
          <w:highlight w:val="none"/>
        </w:rPr>
      </w:pPr>
      <w:bookmarkStart w:id="762" w:name="_Toc199155757"/>
      <w:r>
        <w:rPr>
          <w:rFonts w:hint="eastAsia" w:ascii="宋体" w:hAnsi="宋体" w:eastAsia="宋体" w:cs="宋体"/>
          <w:color w:val="auto"/>
          <w:sz w:val="21"/>
          <w:szCs w:val="21"/>
          <w:highlight w:val="none"/>
        </w:rPr>
        <w:t>4.10 承包人现场查勘</w:t>
      </w:r>
      <w:bookmarkEnd w:id="762"/>
    </w:p>
    <w:p w14:paraId="1AC640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4.10.1发包人应将其持有的现场地质勘探资料、水文气象资料提供给承包人，并对其准确性负责。但承包人应对其阅读上述有关资料后所作出的解释和推断负责。</w:t>
      </w:r>
    </w:p>
    <w:p w14:paraId="42A66E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5E767AD">
      <w:pPr>
        <w:pStyle w:val="6"/>
        <w:spacing w:line="360" w:lineRule="auto"/>
        <w:rPr>
          <w:rFonts w:hint="eastAsia" w:ascii="宋体" w:hAnsi="宋体" w:eastAsia="宋体" w:cs="宋体"/>
          <w:color w:val="auto"/>
          <w:sz w:val="21"/>
          <w:szCs w:val="21"/>
          <w:highlight w:val="none"/>
        </w:rPr>
      </w:pPr>
      <w:bookmarkStart w:id="763" w:name="_Toc199155758"/>
      <w:r>
        <w:rPr>
          <w:rFonts w:hint="eastAsia" w:ascii="宋体" w:hAnsi="宋体" w:eastAsia="宋体" w:cs="宋体"/>
          <w:color w:val="auto"/>
          <w:sz w:val="21"/>
          <w:szCs w:val="21"/>
          <w:highlight w:val="none"/>
        </w:rPr>
        <w:t>4.11 不利物质条件</w:t>
      </w:r>
      <w:bookmarkEnd w:id="763"/>
    </w:p>
    <w:p w14:paraId="198119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4.11.1不除专用合同条款另有约定外，不利物质条件是指在施工中遭遇不可预见的外界障碍或自然条件造成施工受阻。</w:t>
      </w:r>
    </w:p>
    <w:p w14:paraId="08AA49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4.11.2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7C56A09">
      <w:pPr>
        <w:pStyle w:val="5"/>
        <w:spacing w:line="360" w:lineRule="auto"/>
        <w:rPr>
          <w:rFonts w:hint="eastAsia" w:cs="宋体"/>
          <w:color w:val="auto"/>
          <w:sz w:val="21"/>
          <w:szCs w:val="21"/>
          <w:highlight w:val="none"/>
        </w:rPr>
      </w:pPr>
      <w:bookmarkStart w:id="764" w:name="_Toc204076341"/>
      <w:bookmarkStart w:id="765" w:name="_Toc199319981"/>
      <w:bookmarkStart w:id="766" w:name="_Toc217971031"/>
      <w:bookmarkStart w:id="767" w:name="_Toc200536581"/>
      <w:bookmarkStart w:id="768" w:name="_Toc200167746"/>
      <w:bookmarkStart w:id="769" w:name="_Toc199294296"/>
      <w:bookmarkStart w:id="770" w:name="_Toc199215099"/>
      <w:bookmarkStart w:id="771" w:name="_Toc4383"/>
      <w:bookmarkStart w:id="772" w:name="_Toc199155759"/>
      <w:bookmarkStart w:id="773" w:name="_Toc22449"/>
      <w:r>
        <w:rPr>
          <w:rFonts w:hint="eastAsia" w:cs="宋体"/>
          <w:color w:val="auto"/>
          <w:sz w:val="21"/>
          <w:szCs w:val="21"/>
          <w:highlight w:val="none"/>
        </w:rPr>
        <w:t>5. 材料和工程设备</w:t>
      </w:r>
      <w:bookmarkEnd w:id="764"/>
      <w:bookmarkEnd w:id="765"/>
      <w:bookmarkEnd w:id="766"/>
      <w:bookmarkEnd w:id="767"/>
      <w:bookmarkEnd w:id="768"/>
      <w:bookmarkEnd w:id="769"/>
      <w:bookmarkEnd w:id="770"/>
      <w:bookmarkEnd w:id="771"/>
      <w:bookmarkEnd w:id="772"/>
      <w:bookmarkEnd w:id="773"/>
    </w:p>
    <w:p w14:paraId="3B81A154">
      <w:pPr>
        <w:pStyle w:val="6"/>
        <w:spacing w:line="360" w:lineRule="auto"/>
        <w:rPr>
          <w:rFonts w:hint="eastAsia" w:ascii="宋体" w:hAnsi="宋体" w:eastAsia="宋体" w:cs="宋体"/>
          <w:color w:val="auto"/>
          <w:sz w:val="21"/>
          <w:szCs w:val="21"/>
          <w:highlight w:val="none"/>
        </w:rPr>
      </w:pPr>
      <w:bookmarkStart w:id="774" w:name="_Toc199155760"/>
      <w:r>
        <w:rPr>
          <w:rFonts w:hint="eastAsia" w:ascii="宋体" w:hAnsi="宋体" w:eastAsia="宋体" w:cs="宋体"/>
          <w:color w:val="auto"/>
          <w:sz w:val="21"/>
          <w:szCs w:val="21"/>
          <w:highlight w:val="none"/>
        </w:rPr>
        <w:t>5.1承包人提供的材料和工程设备</w:t>
      </w:r>
      <w:bookmarkEnd w:id="774"/>
    </w:p>
    <w:p w14:paraId="7716E6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5.1.1除第5.2款约定由发包人提供的材料和工程设备外，承包人负责采购、运输和保管完成本合同工作所需的材料和工程设备。承包人应对其采购的材料和工程设备负责。</w:t>
      </w:r>
    </w:p>
    <w:p w14:paraId="44A838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494EFB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0BC3503">
      <w:pPr>
        <w:pStyle w:val="6"/>
        <w:spacing w:line="360" w:lineRule="auto"/>
        <w:rPr>
          <w:rFonts w:hint="eastAsia" w:ascii="宋体" w:hAnsi="宋体" w:eastAsia="宋体" w:cs="宋体"/>
          <w:color w:val="auto"/>
          <w:sz w:val="21"/>
          <w:szCs w:val="21"/>
          <w:highlight w:val="none"/>
        </w:rPr>
      </w:pPr>
      <w:bookmarkStart w:id="775" w:name="_Toc199155761"/>
      <w:r>
        <w:rPr>
          <w:rFonts w:hint="eastAsia" w:ascii="宋体" w:hAnsi="宋体" w:eastAsia="宋体" w:cs="宋体"/>
          <w:color w:val="auto"/>
          <w:sz w:val="21"/>
          <w:szCs w:val="21"/>
          <w:highlight w:val="none"/>
        </w:rPr>
        <w:t>5.2 发包人提供的材料和工程设备</w:t>
      </w:r>
      <w:bookmarkEnd w:id="775"/>
    </w:p>
    <w:p w14:paraId="2F4A9A8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5.2.1发包人提供的材料和工程设备，应在专用合同条款中写明材料和工程设备的名称、规格、数量、价格、交货方式、交货地点和计划交货日期等。</w:t>
      </w:r>
    </w:p>
    <w:p w14:paraId="5C169F6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5.2.2承包人应根据合同进度计划的安排，向监理人报送要求发包人交货的日期计划。发包人应按照监理人与合同双方当事人商定的交货日期，向承包人提交材料和工程设备。</w:t>
      </w:r>
    </w:p>
    <w:p w14:paraId="6AEE30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5.2.3发包人应在材料和工程设备到货7 天前通知承包人，承包人应会同监理人在约定的时间内，赴交货地点共同进行验收。发包人提供的材料和工程设备运至交货地点验收后，由承包人负责接收、卸货、运输和保管。</w:t>
      </w:r>
    </w:p>
    <w:p w14:paraId="4EC293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5.2.4 发包人要求向承包人提前交货的，承包人不得拒绝，但发包人应承担承包人由此增加的费用。</w:t>
      </w:r>
    </w:p>
    <w:p w14:paraId="199A45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5.2.5承包人要求更改交货日期或地点的，应事先报请监理人批准。由于承包人要求更改交货时间或地点所增加的费用和（或）工期延误由承包人承担。</w:t>
      </w:r>
    </w:p>
    <w:p w14:paraId="4E7C0A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5.2.6发包人提供的材料和工程设备的规格、数量或质量不符合合同要求，或由于发包人原因发生交货日期延误及交货地点变更等情况的，发包人应承担由此增加的费用和（或）工期延误，并向承包人支付合理利润。</w:t>
      </w:r>
    </w:p>
    <w:p w14:paraId="07B05E71">
      <w:pPr>
        <w:pStyle w:val="6"/>
        <w:spacing w:line="360" w:lineRule="auto"/>
        <w:rPr>
          <w:rFonts w:hint="eastAsia" w:ascii="宋体" w:hAnsi="宋体" w:eastAsia="宋体" w:cs="宋体"/>
          <w:color w:val="auto"/>
          <w:sz w:val="21"/>
          <w:szCs w:val="21"/>
          <w:highlight w:val="none"/>
        </w:rPr>
      </w:pPr>
      <w:bookmarkStart w:id="776" w:name="_Toc199155762"/>
      <w:r>
        <w:rPr>
          <w:rFonts w:hint="eastAsia" w:ascii="宋体" w:hAnsi="宋体" w:eastAsia="宋体" w:cs="宋体"/>
          <w:color w:val="auto"/>
          <w:sz w:val="21"/>
          <w:szCs w:val="21"/>
          <w:highlight w:val="none"/>
        </w:rPr>
        <w:t>5.3 材料和工程设备专用于合同工程</w:t>
      </w:r>
      <w:bookmarkEnd w:id="776"/>
    </w:p>
    <w:p w14:paraId="1423BF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5.3.1运入施工场地的材料、工程设备，包括备品备件、安装专用工器具与随机资料，必须专用于合同工程，未经监理人同意，承包人不得运出施工场地或挪作他用。</w:t>
      </w:r>
    </w:p>
    <w:p w14:paraId="3A63A5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BC321C2">
      <w:pPr>
        <w:pStyle w:val="6"/>
        <w:spacing w:line="360" w:lineRule="auto"/>
        <w:rPr>
          <w:rFonts w:hint="eastAsia" w:ascii="宋体" w:hAnsi="宋体" w:eastAsia="宋体" w:cs="宋体"/>
          <w:color w:val="auto"/>
          <w:sz w:val="21"/>
          <w:szCs w:val="21"/>
          <w:highlight w:val="none"/>
        </w:rPr>
      </w:pPr>
      <w:bookmarkStart w:id="777" w:name="_Toc199155763"/>
      <w:r>
        <w:rPr>
          <w:rFonts w:hint="eastAsia" w:ascii="宋体" w:hAnsi="宋体" w:eastAsia="宋体" w:cs="宋体"/>
          <w:color w:val="auto"/>
          <w:sz w:val="21"/>
          <w:szCs w:val="21"/>
          <w:highlight w:val="none"/>
        </w:rPr>
        <w:t>5.4 禁止使用不合格的材料和工程设备</w:t>
      </w:r>
      <w:bookmarkEnd w:id="777"/>
    </w:p>
    <w:p w14:paraId="27F2D4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5.4.1监理人有权拒绝承包人提供的不合格材料或工程设备，并要求承包人立即进行更换。监理人应在更换后再次进行检查和检验，由此增加的费用和（或）工期延误由承包人承担。</w:t>
      </w:r>
    </w:p>
    <w:p w14:paraId="29CE7E0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5.4.2监理人发现承包人使用了不合格的材料和工程设备，应即时发出指示要求承包人立即改正，并禁止在工程中继续使用不合格的材料和工程设备。</w:t>
      </w:r>
    </w:p>
    <w:p w14:paraId="71C68C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5.4.3发包人提供的材料或工程设备不符合合同要求的，承包人有权拒绝，并可要求发包人更换，由此增加的费用和（或）工期延误由发包人承担。</w:t>
      </w:r>
    </w:p>
    <w:p w14:paraId="6916F9D0">
      <w:pPr>
        <w:pStyle w:val="5"/>
        <w:spacing w:line="360" w:lineRule="auto"/>
        <w:rPr>
          <w:rFonts w:hint="eastAsia" w:cs="宋体"/>
          <w:color w:val="auto"/>
          <w:sz w:val="21"/>
          <w:szCs w:val="21"/>
          <w:highlight w:val="none"/>
        </w:rPr>
      </w:pPr>
      <w:bookmarkStart w:id="778" w:name="_Toc217971032"/>
      <w:bookmarkStart w:id="779" w:name="_Toc21421"/>
      <w:bookmarkStart w:id="780" w:name="_Toc204076342"/>
      <w:bookmarkStart w:id="781" w:name="_Toc13797"/>
      <w:bookmarkStart w:id="782" w:name="_Toc199319982"/>
      <w:bookmarkStart w:id="783" w:name="_Toc199155764"/>
      <w:bookmarkStart w:id="784" w:name="_Toc200167747"/>
      <w:bookmarkStart w:id="785" w:name="_Toc199215100"/>
      <w:bookmarkStart w:id="786" w:name="_Toc199294297"/>
      <w:bookmarkStart w:id="787" w:name="_Toc200536582"/>
      <w:r>
        <w:rPr>
          <w:rFonts w:hint="eastAsia" w:cs="宋体"/>
          <w:color w:val="auto"/>
          <w:sz w:val="21"/>
          <w:szCs w:val="21"/>
          <w:highlight w:val="none"/>
        </w:rPr>
        <w:t>6. 施工设备和临时设施</w:t>
      </w:r>
      <w:bookmarkEnd w:id="778"/>
      <w:bookmarkEnd w:id="779"/>
      <w:bookmarkEnd w:id="780"/>
      <w:bookmarkEnd w:id="781"/>
      <w:bookmarkEnd w:id="782"/>
      <w:bookmarkEnd w:id="783"/>
      <w:bookmarkEnd w:id="784"/>
      <w:bookmarkEnd w:id="785"/>
      <w:bookmarkEnd w:id="786"/>
      <w:bookmarkEnd w:id="787"/>
    </w:p>
    <w:p w14:paraId="317A8066">
      <w:pPr>
        <w:pStyle w:val="6"/>
        <w:spacing w:line="360" w:lineRule="auto"/>
        <w:rPr>
          <w:rFonts w:hint="eastAsia" w:ascii="宋体" w:hAnsi="宋体" w:eastAsia="宋体" w:cs="宋体"/>
          <w:color w:val="auto"/>
          <w:sz w:val="21"/>
          <w:szCs w:val="21"/>
          <w:highlight w:val="none"/>
        </w:rPr>
      </w:pPr>
      <w:bookmarkStart w:id="788" w:name="_Toc199155765"/>
      <w:r>
        <w:rPr>
          <w:rFonts w:hint="eastAsia" w:ascii="宋体" w:hAnsi="宋体" w:eastAsia="宋体" w:cs="宋体"/>
          <w:color w:val="auto"/>
          <w:sz w:val="21"/>
          <w:szCs w:val="21"/>
          <w:highlight w:val="none"/>
        </w:rPr>
        <w:t>6.1承包人提供的施工设备和临时设施</w:t>
      </w:r>
      <w:bookmarkEnd w:id="788"/>
    </w:p>
    <w:p w14:paraId="439C88B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6.1.1承包人应按合同进度计划的要求，及时配置施工设备和修建临时设施。进入施工场地的承包人设备需经监理人核查后才能投入使用。承包人更换合同约定的承包人设备的，应报监理人批准。</w:t>
      </w:r>
    </w:p>
    <w:p w14:paraId="6736C9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6.1.2除专用合同条款另有约定外，承包人应自行承担修建临时设施的费用，需要临时占地的，应由发包人办理申请手续并承担相应费用。</w:t>
      </w:r>
    </w:p>
    <w:p w14:paraId="3BF027D5">
      <w:pPr>
        <w:pStyle w:val="6"/>
        <w:spacing w:line="360" w:lineRule="auto"/>
        <w:rPr>
          <w:rFonts w:hint="eastAsia" w:ascii="宋体" w:hAnsi="宋体" w:eastAsia="宋体" w:cs="宋体"/>
          <w:color w:val="auto"/>
          <w:sz w:val="21"/>
          <w:szCs w:val="21"/>
          <w:highlight w:val="none"/>
        </w:rPr>
      </w:pPr>
      <w:bookmarkStart w:id="789" w:name="_Toc199155766"/>
      <w:r>
        <w:rPr>
          <w:rFonts w:hint="eastAsia" w:ascii="宋体" w:hAnsi="宋体" w:eastAsia="宋体" w:cs="宋体"/>
          <w:color w:val="auto"/>
          <w:sz w:val="21"/>
          <w:szCs w:val="21"/>
          <w:highlight w:val="none"/>
        </w:rPr>
        <w:t>6.2 发包人提供的施工设备和临时设施</w:t>
      </w:r>
      <w:bookmarkEnd w:id="789"/>
    </w:p>
    <w:p w14:paraId="0734FB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发包人提供的施工设备或临时设施在专用合同条款中约定。</w:t>
      </w:r>
    </w:p>
    <w:p w14:paraId="1699D2E1">
      <w:pPr>
        <w:pStyle w:val="6"/>
        <w:spacing w:line="360" w:lineRule="auto"/>
        <w:rPr>
          <w:rFonts w:hint="eastAsia" w:ascii="宋体" w:hAnsi="宋体" w:eastAsia="宋体" w:cs="宋体"/>
          <w:color w:val="auto"/>
          <w:sz w:val="21"/>
          <w:szCs w:val="21"/>
          <w:highlight w:val="none"/>
        </w:rPr>
      </w:pPr>
      <w:bookmarkStart w:id="790" w:name="_Toc199155767"/>
      <w:r>
        <w:rPr>
          <w:rFonts w:hint="eastAsia" w:ascii="宋体" w:hAnsi="宋体" w:eastAsia="宋体" w:cs="宋体"/>
          <w:color w:val="auto"/>
          <w:sz w:val="21"/>
          <w:szCs w:val="21"/>
          <w:highlight w:val="none"/>
        </w:rPr>
        <w:t>6.3 要求承包人增加或更换施工设备</w:t>
      </w:r>
      <w:bookmarkEnd w:id="790"/>
    </w:p>
    <w:p w14:paraId="263BB8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5C280AB4">
      <w:pPr>
        <w:pStyle w:val="6"/>
        <w:spacing w:line="360" w:lineRule="auto"/>
        <w:rPr>
          <w:rFonts w:hint="eastAsia" w:ascii="宋体" w:hAnsi="宋体" w:eastAsia="宋体" w:cs="宋体"/>
          <w:color w:val="auto"/>
          <w:sz w:val="21"/>
          <w:szCs w:val="21"/>
          <w:highlight w:val="none"/>
        </w:rPr>
      </w:pPr>
      <w:bookmarkStart w:id="791" w:name="_Toc199155768"/>
      <w:r>
        <w:rPr>
          <w:rFonts w:hint="eastAsia" w:ascii="宋体" w:hAnsi="宋体" w:eastAsia="宋体" w:cs="宋体"/>
          <w:color w:val="auto"/>
          <w:sz w:val="21"/>
          <w:szCs w:val="21"/>
          <w:highlight w:val="none"/>
        </w:rPr>
        <w:t>6.4 施工设备和临时设施专用于合同工程</w:t>
      </w:r>
      <w:bookmarkEnd w:id="791"/>
    </w:p>
    <w:p w14:paraId="072F770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42F6270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6.4.2 经监理人同意，承包人可根据合同进度计划撤走闲置的施工设备。</w:t>
      </w:r>
    </w:p>
    <w:p w14:paraId="78431492">
      <w:pPr>
        <w:pStyle w:val="5"/>
        <w:spacing w:line="360" w:lineRule="auto"/>
        <w:rPr>
          <w:rFonts w:hint="eastAsia" w:cs="宋体"/>
          <w:color w:val="auto"/>
          <w:sz w:val="21"/>
          <w:szCs w:val="21"/>
          <w:highlight w:val="none"/>
        </w:rPr>
      </w:pPr>
      <w:bookmarkStart w:id="792" w:name="_Toc204076343"/>
      <w:bookmarkStart w:id="793" w:name="_Toc199294298"/>
      <w:bookmarkStart w:id="794" w:name="_Toc200167748"/>
      <w:bookmarkStart w:id="795" w:name="_Toc199215101"/>
      <w:bookmarkStart w:id="796" w:name="_Toc199319983"/>
      <w:bookmarkStart w:id="797" w:name="_Toc217971033"/>
      <w:bookmarkStart w:id="798" w:name="_Toc11648"/>
      <w:bookmarkStart w:id="799" w:name="_Toc199155769"/>
      <w:bookmarkStart w:id="800" w:name="_Toc200536583"/>
      <w:bookmarkStart w:id="801" w:name="_Toc22096"/>
      <w:r>
        <w:rPr>
          <w:rFonts w:hint="eastAsia" w:cs="宋体"/>
          <w:color w:val="auto"/>
          <w:sz w:val="21"/>
          <w:szCs w:val="21"/>
          <w:highlight w:val="none"/>
        </w:rPr>
        <w:t>7. 交通运输</w:t>
      </w:r>
      <w:bookmarkEnd w:id="792"/>
      <w:bookmarkEnd w:id="793"/>
      <w:bookmarkEnd w:id="794"/>
      <w:bookmarkEnd w:id="795"/>
      <w:bookmarkEnd w:id="796"/>
      <w:bookmarkEnd w:id="797"/>
      <w:bookmarkEnd w:id="798"/>
      <w:bookmarkEnd w:id="799"/>
      <w:bookmarkEnd w:id="800"/>
      <w:bookmarkEnd w:id="801"/>
    </w:p>
    <w:p w14:paraId="4079229F">
      <w:pPr>
        <w:pStyle w:val="6"/>
        <w:spacing w:line="360" w:lineRule="auto"/>
        <w:rPr>
          <w:rFonts w:hint="eastAsia" w:ascii="宋体" w:hAnsi="宋体" w:eastAsia="宋体" w:cs="宋体"/>
          <w:color w:val="auto"/>
          <w:sz w:val="21"/>
          <w:szCs w:val="21"/>
          <w:highlight w:val="none"/>
        </w:rPr>
      </w:pPr>
      <w:bookmarkStart w:id="802" w:name="_Toc199155770"/>
      <w:r>
        <w:rPr>
          <w:rFonts w:hint="eastAsia" w:ascii="宋体" w:hAnsi="宋体" w:eastAsia="宋体" w:cs="宋体"/>
          <w:color w:val="auto"/>
          <w:sz w:val="21"/>
          <w:szCs w:val="21"/>
          <w:highlight w:val="none"/>
        </w:rPr>
        <w:t>7.1道路通行权和场外设施</w:t>
      </w:r>
      <w:bookmarkEnd w:id="802"/>
    </w:p>
    <w:p w14:paraId="0231F1B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根据合同工程的施工需要，负责办理取得出入施工场地的专用和临时道路的通行权，以及取得为工程建设所需修建场外设施的权利，并承担有关费用。发包人应协助承包人办理上述手续。</w:t>
      </w:r>
    </w:p>
    <w:p w14:paraId="51131661">
      <w:pPr>
        <w:pStyle w:val="6"/>
        <w:spacing w:line="360" w:lineRule="auto"/>
        <w:rPr>
          <w:rFonts w:hint="eastAsia" w:ascii="宋体" w:hAnsi="宋体" w:eastAsia="宋体" w:cs="宋体"/>
          <w:color w:val="auto"/>
          <w:sz w:val="21"/>
          <w:szCs w:val="21"/>
          <w:highlight w:val="none"/>
        </w:rPr>
      </w:pPr>
      <w:bookmarkStart w:id="803" w:name="_Toc199155771"/>
      <w:r>
        <w:rPr>
          <w:rFonts w:hint="eastAsia" w:ascii="宋体" w:hAnsi="宋体" w:eastAsia="宋体" w:cs="宋体"/>
          <w:color w:val="auto"/>
          <w:sz w:val="21"/>
          <w:szCs w:val="21"/>
          <w:highlight w:val="none"/>
        </w:rPr>
        <w:t>7.2 场内施工道路</w:t>
      </w:r>
      <w:bookmarkEnd w:id="803"/>
    </w:p>
    <w:p w14:paraId="644E6EB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7.2.1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2FFA4D6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7.2.2承包人修建的临时道路和交通设施，应免费提供发包人、监理人以及与本合同有关的其他承包人使用。</w:t>
      </w:r>
    </w:p>
    <w:p w14:paraId="307849FA">
      <w:pPr>
        <w:pStyle w:val="6"/>
        <w:spacing w:line="360" w:lineRule="auto"/>
        <w:rPr>
          <w:rFonts w:hint="eastAsia" w:ascii="宋体" w:hAnsi="宋体" w:eastAsia="宋体" w:cs="宋体"/>
          <w:color w:val="auto"/>
          <w:sz w:val="21"/>
          <w:szCs w:val="21"/>
          <w:highlight w:val="none"/>
        </w:rPr>
      </w:pPr>
      <w:bookmarkStart w:id="804" w:name="_Toc199155772"/>
      <w:r>
        <w:rPr>
          <w:rFonts w:hint="eastAsia" w:ascii="宋体" w:hAnsi="宋体" w:eastAsia="宋体" w:cs="宋体"/>
          <w:color w:val="auto"/>
          <w:sz w:val="21"/>
          <w:szCs w:val="21"/>
          <w:highlight w:val="none"/>
        </w:rPr>
        <w:t>7.3 场外交通</w:t>
      </w:r>
      <w:bookmarkEnd w:id="804"/>
    </w:p>
    <w:p w14:paraId="11BAC25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7.3.1承包人车辆外出行驶所需的场外公共道路的通行费、养路费和税款等由承包人承担。</w:t>
      </w:r>
    </w:p>
    <w:p w14:paraId="44BDE7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7.3.2承包人应遵守有关交通法规，严格按照道路和桥梁的限制荷重安全行驶，并服从交通管理部门的检查和监督。</w:t>
      </w:r>
    </w:p>
    <w:p w14:paraId="44645BC6">
      <w:pPr>
        <w:pStyle w:val="6"/>
        <w:spacing w:line="360" w:lineRule="auto"/>
        <w:rPr>
          <w:rFonts w:hint="eastAsia" w:ascii="宋体" w:hAnsi="宋体" w:eastAsia="宋体" w:cs="宋体"/>
          <w:color w:val="auto"/>
          <w:sz w:val="21"/>
          <w:szCs w:val="21"/>
          <w:highlight w:val="none"/>
        </w:rPr>
      </w:pPr>
      <w:bookmarkStart w:id="805" w:name="_Toc199155773"/>
      <w:r>
        <w:rPr>
          <w:rFonts w:hint="eastAsia" w:ascii="宋体" w:hAnsi="宋体" w:eastAsia="宋体" w:cs="宋体"/>
          <w:color w:val="auto"/>
          <w:sz w:val="21"/>
          <w:szCs w:val="21"/>
          <w:highlight w:val="none"/>
        </w:rPr>
        <w:t>7.4 超大件和超重件的运输</w:t>
      </w:r>
      <w:bookmarkEnd w:id="805"/>
    </w:p>
    <w:p w14:paraId="59219B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95AAF77">
      <w:pPr>
        <w:pStyle w:val="6"/>
        <w:spacing w:line="360" w:lineRule="auto"/>
        <w:rPr>
          <w:rFonts w:hint="eastAsia" w:ascii="宋体" w:hAnsi="宋体" w:eastAsia="宋体" w:cs="宋体"/>
          <w:color w:val="auto"/>
          <w:sz w:val="21"/>
          <w:szCs w:val="21"/>
          <w:highlight w:val="none"/>
        </w:rPr>
      </w:pPr>
      <w:bookmarkStart w:id="806" w:name="_Toc199155774"/>
      <w:r>
        <w:rPr>
          <w:rFonts w:hint="eastAsia" w:ascii="宋体" w:hAnsi="宋体" w:eastAsia="宋体" w:cs="宋体"/>
          <w:color w:val="auto"/>
          <w:sz w:val="21"/>
          <w:szCs w:val="21"/>
          <w:highlight w:val="none"/>
        </w:rPr>
        <w:t>7.5 道路和桥梁的损坏责任</w:t>
      </w:r>
      <w:bookmarkEnd w:id="806"/>
    </w:p>
    <w:p w14:paraId="270A70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因承包人运输造成施工场地内外公共道路和桥梁损坏的，由承包人承担修复损坏的全部费用和可能引起的赔偿。</w:t>
      </w:r>
    </w:p>
    <w:p w14:paraId="568E8DE6">
      <w:pPr>
        <w:pStyle w:val="6"/>
        <w:spacing w:line="360" w:lineRule="auto"/>
        <w:rPr>
          <w:rFonts w:hint="eastAsia" w:ascii="宋体" w:hAnsi="宋体" w:eastAsia="宋体" w:cs="宋体"/>
          <w:color w:val="auto"/>
          <w:sz w:val="21"/>
          <w:szCs w:val="21"/>
          <w:highlight w:val="none"/>
        </w:rPr>
      </w:pPr>
      <w:bookmarkStart w:id="807" w:name="_Toc199155775"/>
      <w:r>
        <w:rPr>
          <w:rFonts w:hint="eastAsia" w:ascii="宋体" w:hAnsi="宋体" w:eastAsia="宋体" w:cs="宋体"/>
          <w:color w:val="auto"/>
          <w:sz w:val="21"/>
          <w:szCs w:val="21"/>
          <w:highlight w:val="none"/>
        </w:rPr>
        <w:t>7.6 水路和航空运输</w:t>
      </w:r>
      <w:bookmarkEnd w:id="807"/>
    </w:p>
    <w:p w14:paraId="35E695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69F323DE">
      <w:pPr>
        <w:pStyle w:val="5"/>
        <w:spacing w:line="360" w:lineRule="auto"/>
        <w:rPr>
          <w:rFonts w:hint="eastAsia" w:cs="宋体"/>
          <w:color w:val="auto"/>
          <w:sz w:val="21"/>
          <w:szCs w:val="21"/>
          <w:highlight w:val="none"/>
        </w:rPr>
      </w:pPr>
      <w:bookmarkStart w:id="808" w:name="_Toc217971034"/>
      <w:bookmarkStart w:id="809" w:name="_Toc204076344"/>
      <w:bookmarkStart w:id="810" w:name="_Toc199155776"/>
      <w:bookmarkStart w:id="811" w:name="_Toc199215102"/>
      <w:bookmarkStart w:id="812" w:name="_Toc199294299"/>
      <w:bookmarkStart w:id="813" w:name="_Toc14816"/>
      <w:bookmarkStart w:id="814" w:name="_Toc199319984"/>
      <w:bookmarkStart w:id="815" w:name="_Toc200536584"/>
      <w:bookmarkStart w:id="816" w:name="_Toc200167749"/>
      <w:bookmarkStart w:id="817" w:name="_Toc24586"/>
      <w:r>
        <w:rPr>
          <w:rFonts w:hint="eastAsia" w:cs="宋体"/>
          <w:color w:val="auto"/>
          <w:sz w:val="21"/>
          <w:szCs w:val="21"/>
          <w:highlight w:val="none"/>
        </w:rPr>
        <w:t>8. 测量放线</w:t>
      </w:r>
      <w:bookmarkEnd w:id="808"/>
      <w:bookmarkEnd w:id="809"/>
      <w:bookmarkEnd w:id="810"/>
      <w:bookmarkEnd w:id="811"/>
      <w:bookmarkEnd w:id="812"/>
      <w:bookmarkEnd w:id="813"/>
      <w:bookmarkEnd w:id="814"/>
      <w:bookmarkEnd w:id="815"/>
      <w:bookmarkEnd w:id="816"/>
      <w:bookmarkEnd w:id="817"/>
    </w:p>
    <w:p w14:paraId="2FB3ED8A">
      <w:pPr>
        <w:pStyle w:val="6"/>
        <w:spacing w:line="360" w:lineRule="auto"/>
        <w:rPr>
          <w:rFonts w:hint="eastAsia" w:ascii="宋体" w:hAnsi="宋体" w:eastAsia="宋体" w:cs="宋体"/>
          <w:color w:val="auto"/>
          <w:sz w:val="21"/>
          <w:szCs w:val="21"/>
          <w:highlight w:val="none"/>
        </w:rPr>
      </w:pPr>
      <w:bookmarkStart w:id="818" w:name="_Toc199155777"/>
      <w:r>
        <w:rPr>
          <w:rFonts w:hint="eastAsia" w:ascii="宋体" w:hAnsi="宋体" w:eastAsia="宋体" w:cs="宋体"/>
          <w:color w:val="auto"/>
          <w:sz w:val="21"/>
          <w:szCs w:val="21"/>
          <w:highlight w:val="none"/>
        </w:rPr>
        <w:t>8.1施工控制网</w:t>
      </w:r>
      <w:bookmarkEnd w:id="818"/>
    </w:p>
    <w:p w14:paraId="24ACA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8.1.1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0E323B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8.1.2承包人应负责管理施工控制网点。施工控制网点丢失或损坏的，承包人应及时修复。承包人应承担施工控制网点的管理与修复费用，并在工程竣工后将施工控制网点移交发包人。</w:t>
      </w:r>
    </w:p>
    <w:p w14:paraId="3831A021">
      <w:pPr>
        <w:pStyle w:val="6"/>
        <w:spacing w:line="360" w:lineRule="auto"/>
        <w:rPr>
          <w:rFonts w:hint="eastAsia" w:ascii="宋体" w:hAnsi="宋体" w:eastAsia="宋体" w:cs="宋体"/>
          <w:color w:val="auto"/>
          <w:sz w:val="21"/>
          <w:szCs w:val="21"/>
          <w:highlight w:val="none"/>
        </w:rPr>
      </w:pPr>
      <w:bookmarkStart w:id="819" w:name="_Toc199155778"/>
      <w:r>
        <w:rPr>
          <w:rFonts w:hint="eastAsia" w:ascii="宋体" w:hAnsi="宋体" w:eastAsia="宋体" w:cs="宋体"/>
          <w:color w:val="auto"/>
          <w:sz w:val="21"/>
          <w:szCs w:val="21"/>
          <w:highlight w:val="none"/>
        </w:rPr>
        <w:t>8.2 施工测量</w:t>
      </w:r>
      <w:bookmarkEnd w:id="819"/>
    </w:p>
    <w:p w14:paraId="62D8F2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8.2.1承包人应负责施工过程中的全部施工测量放线工作，并配置合格的人员、仪器、设备和其他物品。</w:t>
      </w:r>
    </w:p>
    <w:p w14:paraId="37D04AB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8.2.2监理人可以指示承包人进行抽样复测，当复测中发现错误或出现超过合同约定的误差时，承包人应按监理人指示进行修正或补测，并承担相应的复测费用。</w:t>
      </w:r>
    </w:p>
    <w:p w14:paraId="4CCE6308">
      <w:pPr>
        <w:pStyle w:val="6"/>
        <w:spacing w:line="360" w:lineRule="auto"/>
        <w:rPr>
          <w:rFonts w:hint="eastAsia" w:ascii="宋体" w:hAnsi="宋体" w:eastAsia="宋体" w:cs="宋体"/>
          <w:color w:val="auto"/>
          <w:sz w:val="21"/>
          <w:szCs w:val="21"/>
          <w:highlight w:val="none"/>
        </w:rPr>
      </w:pPr>
      <w:bookmarkStart w:id="820" w:name="_Toc199155779"/>
      <w:r>
        <w:rPr>
          <w:rFonts w:hint="eastAsia" w:ascii="宋体" w:hAnsi="宋体" w:eastAsia="宋体" w:cs="宋体"/>
          <w:color w:val="auto"/>
          <w:sz w:val="21"/>
          <w:szCs w:val="21"/>
          <w:highlight w:val="none"/>
        </w:rPr>
        <w:t>8.3 基准资料错误的责任</w:t>
      </w:r>
      <w:bookmarkEnd w:id="820"/>
    </w:p>
    <w:p w14:paraId="24BA17F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236A525">
      <w:pPr>
        <w:pStyle w:val="6"/>
        <w:spacing w:line="360" w:lineRule="auto"/>
        <w:rPr>
          <w:rFonts w:hint="eastAsia" w:ascii="宋体" w:hAnsi="宋体" w:eastAsia="宋体" w:cs="宋体"/>
          <w:color w:val="auto"/>
          <w:sz w:val="21"/>
          <w:szCs w:val="21"/>
          <w:highlight w:val="none"/>
        </w:rPr>
      </w:pPr>
      <w:bookmarkStart w:id="821" w:name="_Toc199155780"/>
      <w:r>
        <w:rPr>
          <w:rFonts w:hint="eastAsia" w:ascii="宋体" w:hAnsi="宋体" w:eastAsia="宋体" w:cs="宋体"/>
          <w:color w:val="auto"/>
          <w:sz w:val="21"/>
          <w:szCs w:val="21"/>
          <w:highlight w:val="none"/>
        </w:rPr>
        <w:t>8.4 监理人使用施工控制网</w:t>
      </w:r>
      <w:bookmarkEnd w:id="821"/>
    </w:p>
    <w:p w14:paraId="556A2F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监理人需要使用施工控制网的，承包人应提供必要的协助，发包人不再为此支付费用。</w:t>
      </w:r>
    </w:p>
    <w:p w14:paraId="65A61D13">
      <w:pPr>
        <w:pStyle w:val="6"/>
        <w:spacing w:line="360" w:lineRule="auto"/>
        <w:rPr>
          <w:rFonts w:hint="eastAsia" w:ascii="宋体" w:hAnsi="宋体" w:eastAsia="宋体" w:cs="宋体"/>
          <w:color w:val="auto"/>
          <w:sz w:val="21"/>
          <w:szCs w:val="21"/>
          <w:highlight w:val="none"/>
        </w:rPr>
      </w:pPr>
      <w:bookmarkStart w:id="822" w:name="_Toc199319985"/>
      <w:bookmarkStart w:id="823" w:name="_Toc204076345"/>
      <w:bookmarkStart w:id="824" w:name="_Toc199215103"/>
      <w:bookmarkStart w:id="825" w:name="_Toc200167750"/>
      <w:bookmarkStart w:id="826" w:name="_Toc199294300"/>
      <w:bookmarkStart w:id="827" w:name="_Toc217971035"/>
      <w:bookmarkStart w:id="828" w:name="_Toc200536585"/>
      <w:bookmarkStart w:id="829" w:name="_Toc199155781"/>
      <w:r>
        <w:rPr>
          <w:rFonts w:hint="eastAsia" w:ascii="宋体" w:hAnsi="宋体" w:eastAsia="宋体" w:cs="宋体"/>
          <w:color w:val="auto"/>
          <w:sz w:val="21"/>
          <w:szCs w:val="21"/>
          <w:highlight w:val="none"/>
        </w:rPr>
        <w:t>8.5补充地质勘探</w:t>
      </w:r>
    </w:p>
    <w:p w14:paraId="30B65C4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在合同实施期间，监理人可以指示承包人进行必要的补充地质勘探并提供有关资料。承包人为本合同永久工程施工的需要进行补充地质勘探时，须经监理人批准，并应向监理人提 交有关资料，上述补充勘探的费用由发包人承担。承包人为其临时工程设计及施工的需要进 行的补充地质勘探，其费用由承包人承担。</w:t>
      </w:r>
    </w:p>
    <w:p w14:paraId="5EFE4191">
      <w:pPr>
        <w:pStyle w:val="5"/>
        <w:spacing w:line="360" w:lineRule="auto"/>
        <w:rPr>
          <w:rFonts w:hint="eastAsia" w:cs="宋体"/>
          <w:color w:val="auto"/>
          <w:sz w:val="21"/>
          <w:szCs w:val="21"/>
          <w:highlight w:val="none"/>
        </w:rPr>
      </w:pPr>
      <w:bookmarkStart w:id="830" w:name="_Toc31834"/>
      <w:bookmarkStart w:id="831" w:name="_Toc32160"/>
      <w:r>
        <w:rPr>
          <w:rFonts w:hint="eastAsia" w:cs="宋体"/>
          <w:color w:val="auto"/>
          <w:sz w:val="21"/>
          <w:szCs w:val="21"/>
          <w:highlight w:val="none"/>
        </w:rPr>
        <w:t>9. 施工安全、治安保卫和环境保护</w:t>
      </w:r>
      <w:bookmarkEnd w:id="822"/>
      <w:bookmarkEnd w:id="823"/>
      <w:bookmarkEnd w:id="824"/>
      <w:bookmarkEnd w:id="825"/>
      <w:bookmarkEnd w:id="826"/>
      <w:bookmarkEnd w:id="827"/>
      <w:bookmarkEnd w:id="828"/>
      <w:bookmarkEnd w:id="829"/>
      <w:bookmarkEnd w:id="830"/>
      <w:bookmarkEnd w:id="831"/>
    </w:p>
    <w:p w14:paraId="5B263F9A">
      <w:pPr>
        <w:pStyle w:val="6"/>
        <w:spacing w:line="360" w:lineRule="auto"/>
        <w:rPr>
          <w:rFonts w:hint="eastAsia" w:ascii="宋体" w:hAnsi="宋体" w:eastAsia="宋体" w:cs="宋体"/>
          <w:color w:val="auto"/>
          <w:sz w:val="21"/>
          <w:szCs w:val="21"/>
          <w:highlight w:val="none"/>
        </w:rPr>
      </w:pPr>
      <w:bookmarkStart w:id="832" w:name="_Toc199155782"/>
      <w:r>
        <w:rPr>
          <w:rFonts w:hint="eastAsia" w:ascii="宋体" w:hAnsi="宋体" w:eastAsia="宋体" w:cs="宋体"/>
          <w:color w:val="auto"/>
          <w:sz w:val="21"/>
          <w:szCs w:val="21"/>
          <w:highlight w:val="none"/>
        </w:rPr>
        <w:t>9.1发包人的施工安全责任</w:t>
      </w:r>
      <w:bookmarkEnd w:id="832"/>
    </w:p>
    <w:p w14:paraId="6562CE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9.1.1发包人应按合同约定履行安全职责。发包人委托监理人根据国家有关安全的法律、法规、强制性标准以及部门规章，对承包人的安全责任履行情况进行监督和检查。监理 人的监督检查不减轻承包人应负的安全责任。</w:t>
      </w:r>
    </w:p>
    <w:p w14:paraId="1A91A4F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9.1.2发包人应对其现场机构雇佣的全部人员的工伤事故承担责任，但由于承包人原因造成发包人人员工伤的，应由承包人承担责任。</w:t>
      </w:r>
    </w:p>
    <w:p w14:paraId="6072394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9.1.3 发包人应负责赔偿以下各种情况造成的第三者人身伤亡和财产损失：</w:t>
      </w:r>
    </w:p>
    <w:p w14:paraId="190D00D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 工程或工程的任何部分对土地的占用所造成的第三者财产损失；</w:t>
      </w:r>
    </w:p>
    <w:p w14:paraId="22E5DE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 由于发包人原因在施工场地及其毗邻地带造成的第三者人身伤亡和财产损失。</w:t>
      </w:r>
    </w:p>
    <w:p w14:paraId="679A3B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9.1.4除专用合同条款另有约定外，发包人负责向承包人提供施工现场及施工可能影响的毗邻区域内供水、排水、供电、供气、供热、通信、广播电视等地下管线资料，气象和 水文观测资料，拟建工程可能影响的相邻建筑物地下工程的有关资料，并保证有关资料的真实、准确、完整，满足有关技术规程的要求。</w:t>
      </w:r>
    </w:p>
    <w:p w14:paraId="22DCF6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9.1.5发包人按照工程量清单所列金额和合同约定的计量支付规定，支付安全作业环境及安全施工措施所需费用。</w:t>
      </w:r>
    </w:p>
    <w:p w14:paraId="11F40A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9.1.6发包人负责组织工程参建单位编制保证安全生产的措施方案。工程开工前，就落实保证安全生产的措施进行全面系统的布置，进一步明确承包人的安全生产责任。</w:t>
      </w:r>
    </w:p>
    <w:p w14:paraId="5A410B8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9.1.7发包人负责在拆除工程和爆破工程施工14天前向有关部门或机构报送相关备案资料。</w:t>
      </w:r>
    </w:p>
    <w:p w14:paraId="0C634323">
      <w:pPr>
        <w:pStyle w:val="6"/>
        <w:spacing w:line="360" w:lineRule="auto"/>
        <w:rPr>
          <w:rFonts w:hint="eastAsia" w:ascii="宋体" w:hAnsi="宋体" w:eastAsia="宋体" w:cs="宋体"/>
          <w:color w:val="auto"/>
          <w:sz w:val="21"/>
          <w:szCs w:val="21"/>
          <w:highlight w:val="none"/>
        </w:rPr>
      </w:pPr>
      <w:bookmarkStart w:id="833" w:name="_Toc199155783"/>
      <w:r>
        <w:rPr>
          <w:rFonts w:hint="eastAsia" w:ascii="宋体" w:hAnsi="宋体" w:eastAsia="宋体" w:cs="宋体"/>
          <w:color w:val="auto"/>
          <w:sz w:val="21"/>
          <w:szCs w:val="21"/>
          <w:highlight w:val="none"/>
        </w:rPr>
        <w:t>9.2 承包人的施工安全责任</w:t>
      </w:r>
      <w:bookmarkEnd w:id="833"/>
    </w:p>
    <w:p w14:paraId="57133F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8679F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9.2.2 承包人应加强施工作业安全管理，特别应加强易燃、易爆材料、火工器材、有毒与腐蚀性材料和其他危险品的管理，以及对爆破作业和地下工程施工等危险作业的管理。</w:t>
      </w:r>
    </w:p>
    <w:p w14:paraId="5A6F5A1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9.2.3承包人应严格按照国家安全标准制定施工安全操作规程，配备必要的安全生产和劳动保护设施，加强对承包人人员的安全教育，并发放安全工作手册和劳动保护用具。</w:t>
      </w:r>
    </w:p>
    <w:p w14:paraId="7CE0A6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9.2.4承包人应按监理人的指示制定应对灾害的紧急预案，报送监理人审批。承包人还应按预案做好安全检查，配置必要的救助物资和器材，切实保护好有关人员的人身和财产安全。</w:t>
      </w:r>
    </w:p>
    <w:p w14:paraId="515433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9.2.5合同约定的安全作业环境及安全施工措施所需费用应遵守有关规定，并包括在相关工作的合同价格中。因采取合同未约定的安全作业环境及安全施工措施增加的费用，由监理人按第3.5 款商定或确定。</w:t>
      </w:r>
    </w:p>
    <w:p w14:paraId="26576B0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9.2.6承包人应对其履行合同所雇佣的全部人员，包括分包人人员的工伤事故承担责任，但由于发包人原因造成承包人人员工伤事故的，应由发包人承担责任。</w:t>
      </w:r>
    </w:p>
    <w:p w14:paraId="02B0A92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9.2.7由于承包人原因在施工场地内及其毗邻地带造成的第三者人员伤亡和财产损失，由承包人负责赔偿。</w:t>
      </w:r>
    </w:p>
    <w:p w14:paraId="4E571C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9.2.8承包人工程量清单应包含工程安全作业环境及安全施工措施所需费用。</w:t>
      </w:r>
    </w:p>
    <w:p w14:paraId="7EF8F5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2FF06C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9.2.10承包人应设立安全生产管理机构，施工现场应有专职安全生产管理人员。</w:t>
      </w:r>
    </w:p>
    <w:p w14:paraId="357C5B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9.2.11承包人应负责对特种作业人员进行专门的安全作业培训，并保证特种作业人员持证上岗。</w:t>
      </w:r>
    </w:p>
    <w:p w14:paraId="7ED114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3616E6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9.2.13承包人在使用施工起重机械和整体提升脚手架、模板等自升式架设设施前，应组织有关单位进行验收。</w:t>
      </w:r>
    </w:p>
    <w:p w14:paraId="27A869E1">
      <w:pPr>
        <w:pStyle w:val="6"/>
        <w:spacing w:line="360" w:lineRule="auto"/>
        <w:rPr>
          <w:rFonts w:hint="eastAsia" w:ascii="宋体" w:hAnsi="宋体" w:eastAsia="宋体" w:cs="宋体"/>
          <w:color w:val="auto"/>
          <w:sz w:val="21"/>
          <w:szCs w:val="21"/>
          <w:highlight w:val="none"/>
        </w:rPr>
      </w:pPr>
      <w:bookmarkStart w:id="834" w:name="_Toc199155784"/>
      <w:r>
        <w:rPr>
          <w:rFonts w:hint="eastAsia" w:ascii="宋体" w:hAnsi="宋体" w:eastAsia="宋体" w:cs="宋体"/>
          <w:color w:val="auto"/>
          <w:sz w:val="21"/>
          <w:szCs w:val="21"/>
          <w:highlight w:val="none"/>
        </w:rPr>
        <w:t>9.3 治安保卫</w:t>
      </w:r>
      <w:bookmarkEnd w:id="834"/>
    </w:p>
    <w:p w14:paraId="02F29A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9.3.1除合同另有约定外，发包人应与当地公安部门协商，在现场建立治安管理机构或联防组织，统一管理施工场地的治安保卫事项，履行合同工程的治安保卫职责。</w:t>
      </w:r>
    </w:p>
    <w:p w14:paraId="3028AD6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9.3.2发包人和承包人除应协助现场治安管理机构或联防组织维护施工场地的社会治安外，还应做好包括生活区在内的各自管辖区的治安保卫工作。</w:t>
      </w:r>
    </w:p>
    <w:p w14:paraId="2391B5A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7F24845">
      <w:pPr>
        <w:pStyle w:val="6"/>
        <w:spacing w:line="360" w:lineRule="auto"/>
        <w:rPr>
          <w:rFonts w:hint="eastAsia" w:ascii="宋体" w:hAnsi="宋体" w:eastAsia="宋体" w:cs="宋体"/>
          <w:color w:val="auto"/>
          <w:sz w:val="21"/>
          <w:szCs w:val="21"/>
          <w:highlight w:val="none"/>
        </w:rPr>
      </w:pPr>
      <w:bookmarkStart w:id="835" w:name="_Toc199155785"/>
      <w:r>
        <w:rPr>
          <w:rFonts w:hint="eastAsia" w:ascii="宋体" w:hAnsi="宋体" w:eastAsia="宋体" w:cs="宋体"/>
          <w:color w:val="auto"/>
          <w:sz w:val="21"/>
          <w:szCs w:val="21"/>
          <w:highlight w:val="none"/>
        </w:rPr>
        <w:t>9.4 环境保护</w:t>
      </w:r>
      <w:bookmarkEnd w:id="835"/>
    </w:p>
    <w:p w14:paraId="14CB43E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9.4.1 承包人在施工过程中，应遵守有关环境保护的法律，履行合同约定的环境保护义务，并对违反法律和合同约定义务所造成的环境破坏、人身伤害和财产损失负责。</w:t>
      </w:r>
    </w:p>
    <w:p w14:paraId="54F9B2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9.4.2 承包人应按合同约定的环保工作内容，编制施工环保措施计划，报送监理人审批。</w:t>
      </w:r>
    </w:p>
    <w:p w14:paraId="0A34D1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75B7F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9.4.4承包人应按合同约定采取有效措施，对施工开挖的边坡及时进行支护，维护排水设施，并进行水土保护，避免因施工造成的地质灾害。</w:t>
      </w:r>
    </w:p>
    <w:p w14:paraId="7C31AC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9.4.5 承包人应按国家饮用水管理标准定期对饮用水源进行监测，防止施工活动污染饮用水源。</w:t>
      </w:r>
    </w:p>
    <w:p w14:paraId="18BE75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9.4.6 承包人应按合同约定，加强对噪声、粉尘、废气、废水和废油的控制，努力降低噪声，控制粉尘和废气浓度，做好废水和废油的治理和排放。</w:t>
      </w:r>
    </w:p>
    <w:p w14:paraId="5DC10BCD">
      <w:pPr>
        <w:pStyle w:val="6"/>
        <w:spacing w:line="360" w:lineRule="auto"/>
        <w:rPr>
          <w:rFonts w:hint="eastAsia" w:ascii="宋体" w:hAnsi="宋体" w:eastAsia="宋体" w:cs="宋体"/>
          <w:color w:val="auto"/>
          <w:sz w:val="21"/>
          <w:szCs w:val="21"/>
          <w:highlight w:val="none"/>
        </w:rPr>
      </w:pPr>
      <w:bookmarkStart w:id="836" w:name="_Toc199155786"/>
      <w:r>
        <w:rPr>
          <w:rFonts w:hint="eastAsia" w:ascii="宋体" w:hAnsi="宋体" w:eastAsia="宋体" w:cs="宋体"/>
          <w:color w:val="auto"/>
          <w:sz w:val="21"/>
          <w:szCs w:val="21"/>
          <w:highlight w:val="none"/>
        </w:rPr>
        <w:t>9.5 事故处理</w:t>
      </w:r>
      <w:bookmarkEnd w:id="836"/>
    </w:p>
    <w:p w14:paraId="51EEAD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9.5.1发包人负责组织参建单位制定本工程的质量与安全事故应急预案，建立质量与安全事故应急处置指挥部。</w:t>
      </w:r>
    </w:p>
    <w:p w14:paraId="4C8AEAB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9.5.2承包人应对施工现场易发生重大事故的部位、 环节进行监控， 配备救援器材、设备，并定期组织演练。</w:t>
      </w:r>
    </w:p>
    <w:p w14:paraId="085B794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9.5.3工程开工前，承包人应根据本工程的特点制定施工现场施工质量与安全事故应急预案，并报发包人备案。</w:t>
      </w:r>
    </w:p>
    <w:p w14:paraId="38474F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9.5.4施工过程中发生事故时，发包人、承包人应立即启动应急预案。</w:t>
      </w:r>
    </w:p>
    <w:p w14:paraId="22AEF9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9.5.5事故调查处理由发包人按相关规定履行手续，承包人应配合。</w:t>
      </w:r>
    </w:p>
    <w:p w14:paraId="2DB4499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9.6水土保持</w:t>
      </w:r>
    </w:p>
    <w:p w14:paraId="7878B3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9.6.1发包人应及时向承包人提供水土保持方案。</w:t>
      </w:r>
    </w:p>
    <w:p w14:paraId="498ECA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9.6.2承包人在施工过程中，应遵守有关水土保持的法律法规和规章，履行合同约定的水土保持义务，并对其违反法律和合同约定义务所造成的水土流失灾害、人身伤害和财产损失负责。</w:t>
      </w:r>
    </w:p>
    <w:p w14:paraId="0607DD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9.6.3承包人的水土保持措施计划，应满足技术标准和要求（合同技术条款）约定的要求。</w:t>
      </w:r>
    </w:p>
    <w:p w14:paraId="76BD60C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9.7文明工地</w:t>
      </w:r>
    </w:p>
    <w:p w14:paraId="5A3703D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9.7.1发包人应按专用合同条款的约定，负责建立创建文明建设工地的组织机构，制定创建文明建设工地的规划和办法。</w:t>
      </w:r>
    </w:p>
    <w:p w14:paraId="0B9C37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9.7.2承包人应按创建文明建设工地的规划和办法，履行职责，承担相应责任。所需费用应含在工程量清单中。</w:t>
      </w:r>
    </w:p>
    <w:p w14:paraId="03078AB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9.8防汛度汛</w:t>
      </w:r>
    </w:p>
    <w:p w14:paraId="536196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9.8.1发包人负责组织工程参建单位编制本工程的度汛方案和措施。</w:t>
      </w:r>
    </w:p>
    <w:p w14:paraId="61CB14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9.8.2承包人应根据发包人编制的本工程度汛方案和措施，制定相应的度汛方案，报发包人批准后实施。</w:t>
      </w:r>
    </w:p>
    <w:p w14:paraId="46D73B58">
      <w:pPr>
        <w:pStyle w:val="5"/>
        <w:spacing w:line="360" w:lineRule="auto"/>
        <w:rPr>
          <w:rFonts w:hint="eastAsia" w:cs="宋体"/>
          <w:color w:val="auto"/>
          <w:sz w:val="21"/>
          <w:szCs w:val="21"/>
          <w:highlight w:val="none"/>
        </w:rPr>
      </w:pPr>
      <w:bookmarkStart w:id="837" w:name="_Toc200167751"/>
      <w:bookmarkStart w:id="838" w:name="_Toc199215104"/>
      <w:bookmarkStart w:id="839" w:name="_Toc199319986"/>
      <w:bookmarkStart w:id="840" w:name="_Toc5235"/>
      <w:bookmarkStart w:id="841" w:name="_Toc19365"/>
      <w:bookmarkStart w:id="842" w:name="_Toc199294301"/>
      <w:bookmarkStart w:id="843" w:name="_Toc204076346"/>
      <w:bookmarkStart w:id="844" w:name="_Toc217971036"/>
      <w:bookmarkStart w:id="845" w:name="_Toc200536586"/>
      <w:bookmarkStart w:id="846" w:name="_Toc199155787"/>
      <w:r>
        <w:rPr>
          <w:rFonts w:hint="eastAsia" w:cs="宋体"/>
          <w:color w:val="auto"/>
          <w:sz w:val="21"/>
          <w:szCs w:val="21"/>
          <w:highlight w:val="none"/>
        </w:rPr>
        <w:t>10. 进度计划</w:t>
      </w:r>
      <w:bookmarkEnd w:id="837"/>
      <w:bookmarkEnd w:id="838"/>
      <w:bookmarkEnd w:id="839"/>
      <w:bookmarkEnd w:id="840"/>
      <w:bookmarkEnd w:id="841"/>
      <w:bookmarkEnd w:id="842"/>
      <w:bookmarkEnd w:id="843"/>
      <w:bookmarkEnd w:id="844"/>
      <w:bookmarkEnd w:id="845"/>
      <w:bookmarkEnd w:id="846"/>
    </w:p>
    <w:p w14:paraId="4A0C8997">
      <w:pPr>
        <w:pStyle w:val="6"/>
        <w:spacing w:line="360" w:lineRule="auto"/>
        <w:rPr>
          <w:rFonts w:hint="eastAsia" w:ascii="宋体" w:hAnsi="宋体" w:eastAsia="宋体" w:cs="宋体"/>
          <w:color w:val="auto"/>
          <w:sz w:val="21"/>
          <w:szCs w:val="21"/>
          <w:highlight w:val="none"/>
        </w:rPr>
      </w:pPr>
      <w:bookmarkStart w:id="847" w:name="_Toc199155788"/>
      <w:r>
        <w:rPr>
          <w:rFonts w:hint="eastAsia" w:ascii="宋体" w:hAnsi="宋体" w:eastAsia="宋体" w:cs="宋体"/>
          <w:color w:val="auto"/>
          <w:sz w:val="21"/>
          <w:szCs w:val="21"/>
          <w:highlight w:val="none"/>
        </w:rPr>
        <w:t>10.1 合同进度计划</w:t>
      </w:r>
      <w:bookmarkEnd w:id="847"/>
    </w:p>
    <w:p w14:paraId="5E0751E7">
      <w:pPr>
        <w:snapToGrid w:val="0"/>
        <w:spacing w:line="360" w:lineRule="auto"/>
        <w:ind w:firstLine="420"/>
        <w:rPr>
          <w:rFonts w:hint="eastAsia" w:ascii="宋体" w:hAnsi="宋体" w:cs="宋体"/>
          <w:color w:val="auto"/>
          <w:sz w:val="21"/>
          <w:szCs w:val="21"/>
          <w:highlight w:val="none"/>
        </w:rPr>
      </w:pPr>
      <w:bookmarkStart w:id="848" w:name="_Toc199155789"/>
      <w:r>
        <w:rPr>
          <w:rFonts w:hint="eastAsia" w:ascii="宋体" w:hAnsi="宋体" w:cs="宋体"/>
          <w:color w:val="auto"/>
          <w:sz w:val="21"/>
          <w:szCs w:val="21"/>
          <w:highlight w:val="none"/>
        </w:rPr>
        <w:t xml:space="preserve">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 度计划称为合同进度计划，是控制合同工程进度的依据。承包人还应根据合同进度计划，编制更为详细的分阶段或单位工程或分部工程进度计划，报监理人审批。 </w:t>
      </w:r>
    </w:p>
    <w:p w14:paraId="59DDE1E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bookmarkEnd w:id="848"/>
    </w:p>
    <w:p w14:paraId="30307D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 </w:t>
      </w:r>
    </w:p>
    <w:p w14:paraId="4F3AAB5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18CC5BB0">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10.3单位工程进度计划</w:t>
      </w:r>
    </w:p>
    <w:p w14:paraId="72E6270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监理人认为有必要时，承包人应按监理人指示的内容和期限，并根据合同进度计划的进度控制要求，编制单位工程进度计划，提交监理人审批。</w:t>
      </w:r>
    </w:p>
    <w:p w14:paraId="0275462A">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10.4提交资金流估算表</w:t>
      </w:r>
    </w:p>
    <w:p w14:paraId="6811795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承包人应在按第10.1款约定向监理人提交施工总进度计划的同时，按下表约定的格式，向监理人提交按月的资金流估算表。 估算表应包括承包人计划可从发包人处得到的全部款额，以供发包人参考。此后，当监理人提出要求时，承包人应在监理人指定的期限内提交修订的资金流估算表。</w:t>
      </w:r>
    </w:p>
    <w:tbl>
      <w:tblPr>
        <w:tblStyle w:val="1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06"/>
        <w:gridCol w:w="1080"/>
        <w:gridCol w:w="1080"/>
        <w:gridCol w:w="1080"/>
        <w:gridCol w:w="1080"/>
        <w:gridCol w:w="1080"/>
        <w:gridCol w:w="661"/>
        <w:gridCol w:w="929"/>
        <w:gridCol w:w="929"/>
      </w:tblGrid>
      <w:tr w14:paraId="60FA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91" w:type="dxa"/>
            <w:vAlign w:val="center"/>
          </w:tcPr>
          <w:p w14:paraId="0168244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w:t>
            </w:r>
          </w:p>
        </w:tc>
        <w:tc>
          <w:tcPr>
            <w:tcW w:w="406" w:type="dxa"/>
            <w:vAlign w:val="center"/>
          </w:tcPr>
          <w:p w14:paraId="13434D1F">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月</w:t>
            </w:r>
          </w:p>
        </w:tc>
        <w:tc>
          <w:tcPr>
            <w:tcW w:w="1080" w:type="dxa"/>
            <w:vAlign w:val="center"/>
          </w:tcPr>
          <w:p w14:paraId="17F255A3">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工程预</w:t>
            </w:r>
          </w:p>
          <w:p w14:paraId="46CC161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付款</w:t>
            </w:r>
          </w:p>
        </w:tc>
        <w:tc>
          <w:tcPr>
            <w:tcW w:w="1080" w:type="dxa"/>
            <w:vAlign w:val="center"/>
          </w:tcPr>
          <w:p w14:paraId="1E7901B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完成工作量付款</w:t>
            </w:r>
          </w:p>
        </w:tc>
        <w:tc>
          <w:tcPr>
            <w:tcW w:w="1080" w:type="dxa"/>
            <w:vAlign w:val="center"/>
          </w:tcPr>
          <w:p w14:paraId="23444517">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质量保证金扣留</w:t>
            </w:r>
          </w:p>
        </w:tc>
        <w:tc>
          <w:tcPr>
            <w:tcW w:w="1080" w:type="dxa"/>
            <w:vAlign w:val="center"/>
          </w:tcPr>
          <w:p w14:paraId="0D1B5B4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材料款</w:t>
            </w:r>
          </w:p>
          <w:p w14:paraId="6D885C32">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扣除</w:t>
            </w:r>
          </w:p>
        </w:tc>
        <w:tc>
          <w:tcPr>
            <w:tcW w:w="1080" w:type="dxa"/>
            <w:vAlign w:val="center"/>
          </w:tcPr>
          <w:p w14:paraId="2345E1FA">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预付款</w:t>
            </w:r>
          </w:p>
          <w:p w14:paraId="4AFAF861">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扣还</w:t>
            </w:r>
          </w:p>
        </w:tc>
        <w:tc>
          <w:tcPr>
            <w:tcW w:w="661" w:type="dxa"/>
            <w:vAlign w:val="center"/>
          </w:tcPr>
          <w:p w14:paraId="191782C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929" w:type="dxa"/>
            <w:vAlign w:val="center"/>
          </w:tcPr>
          <w:p w14:paraId="3601929E">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应收款</w:t>
            </w:r>
          </w:p>
        </w:tc>
        <w:tc>
          <w:tcPr>
            <w:tcW w:w="929" w:type="dxa"/>
            <w:vAlign w:val="center"/>
          </w:tcPr>
          <w:p w14:paraId="75628E5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累计应收款</w:t>
            </w:r>
          </w:p>
        </w:tc>
      </w:tr>
      <w:tr w14:paraId="7458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91" w:type="dxa"/>
          </w:tcPr>
          <w:p w14:paraId="063B7D1C">
            <w:pPr>
              <w:snapToGrid w:val="0"/>
              <w:spacing w:line="240" w:lineRule="auto"/>
              <w:rPr>
                <w:rFonts w:hint="eastAsia" w:ascii="宋体" w:hAnsi="宋体" w:cs="宋体"/>
                <w:color w:val="auto"/>
                <w:sz w:val="21"/>
                <w:szCs w:val="21"/>
                <w:highlight w:val="none"/>
              </w:rPr>
            </w:pPr>
          </w:p>
        </w:tc>
        <w:tc>
          <w:tcPr>
            <w:tcW w:w="406" w:type="dxa"/>
          </w:tcPr>
          <w:p w14:paraId="333B61C1">
            <w:pPr>
              <w:snapToGrid w:val="0"/>
              <w:spacing w:line="240" w:lineRule="auto"/>
              <w:rPr>
                <w:rFonts w:hint="eastAsia" w:ascii="宋体" w:hAnsi="宋体" w:cs="宋体"/>
                <w:color w:val="auto"/>
                <w:sz w:val="21"/>
                <w:szCs w:val="21"/>
                <w:highlight w:val="none"/>
              </w:rPr>
            </w:pPr>
          </w:p>
        </w:tc>
        <w:tc>
          <w:tcPr>
            <w:tcW w:w="1080" w:type="dxa"/>
          </w:tcPr>
          <w:p w14:paraId="08220701">
            <w:pPr>
              <w:snapToGrid w:val="0"/>
              <w:spacing w:line="240" w:lineRule="auto"/>
              <w:rPr>
                <w:rFonts w:hint="eastAsia" w:ascii="宋体" w:hAnsi="宋体" w:cs="宋体"/>
                <w:color w:val="auto"/>
                <w:sz w:val="21"/>
                <w:szCs w:val="21"/>
                <w:highlight w:val="none"/>
              </w:rPr>
            </w:pPr>
          </w:p>
        </w:tc>
        <w:tc>
          <w:tcPr>
            <w:tcW w:w="1080" w:type="dxa"/>
          </w:tcPr>
          <w:p w14:paraId="1C735555">
            <w:pPr>
              <w:snapToGrid w:val="0"/>
              <w:spacing w:line="240" w:lineRule="auto"/>
              <w:rPr>
                <w:rFonts w:hint="eastAsia" w:ascii="宋体" w:hAnsi="宋体" w:cs="宋体"/>
                <w:color w:val="auto"/>
                <w:sz w:val="21"/>
                <w:szCs w:val="21"/>
                <w:highlight w:val="none"/>
              </w:rPr>
            </w:pPr>
          </w:p>
        </w:tc>
        <w:tc>
          <w:tcPr>
            <w:tcW w:w="1080" w:type="dxa"/>
          </w:tcPr>
          <w:p w14:paraId="0F9D588D">
            <w:pPr>
              <w:snapToGrid w:val="0"/>
              <w:spacing w:line="240" w:lineRule="auto"/>
              <w:rPr>
                <w:rFonts w:hint="eastAsia" w:ascii="宋体" w:hAnsi="宋体" w:cs="宋体"/>
                <w:color w:val="auto"/>
                <w:sz w:val="21"/>
                <w:szCs w:val="21"/>
                <w:highlight w:val="none"/>
              </w:rPr>
            </w:pPr>
          </w:p>
        </w:tc>
        <w:tc>
          <w:tcPr>
            <w:tcW w:w="1080" w:type="dxa"/>
          </w:tcPr>
          <w:p w14:paraId="225AD551">
            <w:pPr>
              <w:snapToGrid w:val="0"/>
              <w:spacing w:line="240" w:lineRule="auto"/>
              <w:rPr>
                <w:rFonts w:hint="eastAsia" w:ascii="宋体" w:hAnsi="宋体" w:cs="宋体"/>
                <w:color w:val="auto"/>
                <w:sz w:val="21"/>
                <w:szCs w:val="21"/>
                <w:highlight w:val="none"/>
              </w:rPr>
            </w:pPr>
          </w:p>
        </w:tc>
        <w:tc>
          <w:tcPr>
            <w:tcW w:w="1080" w:type="dxa"/>
          </w:tcPr>
          <w:p w14:paraId="11B651D4">
            <w:pPr>
              <w:snapToGrid w:val="0"/>
              <w:spacing w:line="240" w:lineRule="auto"/>
              <w:rPr>
                <w:rFonts w:hint="eastAsia" w:ascii="宋体" w:hAnsi="宋体" w:cs="宋体"/>
                <w:color w:val="auto"/>
                <w:sz w:val="21"/>
                <w:szCs w:val="21"/>
                <w:highlight w:val="none"/>
              </w:rPr>
            </w:pPr>
          </w:p>
        </w:tc>
        <w:tc>
          <w:tcPr>
            <w:tcW w:w="661" w:type="dxa"/>
          </w:tcPr>
          <w:p w14:paraId="1A6DFDD8">
            <w:pPr>
              <w:snapToGrid w:val="0"/>
              <w:spacing w:line="240" w:lineRule="auto"/>
              <w:rPr>
                <w:rFonts w:hint="eastAsia" w:ascii="宋体" w:hAnsi="宋体" w:cs="宋体"/>
                <w:color w:val="auto"/>
                <w:sz w:val="21"/>
                <w:szCs w:val="21"/>
                <w:highlight w:val="none"/>
              </w:rPr>
            </w:pPr>
          </w:p>
        </w:tc>
        <w:tc>
          <w:tcPr>
            <w:tcW w:w="929" w:type="dxa"/>
          </w:tcPr>
          <w:p w14:paraId="08B01A6B">
            <w:pPr>
              <w:snapToGrid w:val="0"/>
              <w:spacing w:line="240" w:lineRule="auto"/>
              <w:rPr>
                <w:rFonts w:hint="eastAsia" w:ascii="宋体" w:hAnsi="宋体" w:cs="宋体"/>
                <w:color w:val="auto"/>
                <w:sz w:val="21"/>
                <w:szCs w:val="21"/>
                <w:highlight w:val="none"/>
              </w:rPr>
            </w:pPr>
          </w:p>
        </w:tc>
        <w:tc>
          <w:tcPr>
            <w:tcW w:w="929" w:type="dxa"/>
          </w:tcPr>
          <w:p w14:paraId="66F23144">
            <w:pPr>
              <w:snapToGrid w:val="0"/>
              <w:spacing w:line="240" w:lineRule="auto"/>
              <w:rPr>
                <w:rFonts w:hint="eastAsia" w:ascii="宋体" w:hAnsi="宋体" w:cs="宋体"/>
                <w:color w:val="auto"/>
                <w:sz w:val="21"/>
                <w:szCs w:val="21"/>
                <w:highlight w:val="none"/>
              </w:rPr>
            </w:pPr>
          </w:p>
        </w:tc>
      </w:tr>
    </w:tbl>
    <w:p w14:paraId="3A8365DA">
      <w:pPr>
        <w:pStyle w:val="5"/>
        <w:spacing w:line="360" w:lineRule="auto"/>
        <w:rPr>
          <w:rFonts w:hint="eastAsia" w:cs="宋体"/>
          <w:color w:val="auto"/>
          <w:sz w:val="21"/>
          <w:szCs w:val="21"/>
          <w:highlight w:val="none"/>
        </w:rPr>
      </w:pPr>
      <w:bookmarkStart w:id="849" w:name="_Toc199294302"/>
      <w:bookmarkStart w:id="850" w:name="_Toc217971037"/>
      <w:bookmarkStart w:id="851" w:name="_Toc199319987"/>
      <w:bookmarkStart w:id="852" w:name="_Toc204076347"/>
      <w:bookmarkStart w:id="853" w:name="_Toc200536587"/>
      <w:bookmarkStart w:id="854" w:name="_Toc200167752"/>
      <w:bookmarkStart w:id="855" w:name="_Toc199215105"/>
      <w:bookmarkStart w:id="856" w:name="_Toc199155790"/>
      <w:bookmarkStart w:id="857" w:name="_Toc5044"/>
      <w:bookmarkStart w:id="858" w:name="_Toc16132"/>
      <w:r>
        <w:rPr>
          <w:rFonts w:hint="eastAsia" w:cs="宋体"/>
          <w:color w:val="auto"/>
          <w:sz w:val="21"/>
          <w:szCs w:val="21"/>
          <w:highlight w:val="none"/>
        </w:rPr>
        <w:t>11. 开工和竣工</w:t>
      </w:r>
      <w:bookmarkEnd w:id="849"/>
      <w:bookmarkEnd w:id="850"/>
      <w:bookmarkEnd w:id="851"/>
      <w:bookmarkEnd w:id="852"/>
      <w:bookmarkEnd w:id="853"/>
      <w:bookmarkEnd w:id="854"/>
      <w:bookmarkEnd w:id="855"/>
      <w:bookmarkEnd w:id="856"/>
      <w:r>
        <w:rPr>
          <w:rFonts w:hint="eastAsia" w:cs="宋体"/>
          <w:color w:val="auto"/>
          <w:sz w:val="21"/>
          <w:szCs w:val="21"/>
          <w:highlight w:val="none"/>
        </w:rPr>
        <w:t>（完工）</w:t>
      </w:r>
      <w:bookmarkEnd w:id="857"/>
      <w:bookmarkEnd w:id="858"/>
    </w:p>
    <w:p w14:paraId="5DE7300A">
      <w:pPr>
        <w:pStyle w:val="6"/>
        <w:spacing w:line="360" w:lineRule="auto"/>
        <w:rPr>
          <w:rFonts w:hint="eastAsia" w:ascii="宋体" w:hAnsi="宋体" w:eastAsia="宋体" w:cs="宋体"/>
          <w:color w:val="auto"/>
          <w:sz w:val="21"/>
          <w:szCs w:val="21"/>
          <w:highlight w:val="none"/>
        </w:rPr>
      </w:pPr>
      <w:bookmarkStart w:id="859" w:name="_Toc199155791"/>
      <w:r>
        <w:rPr>
          <w:rFonts w:hint="eastAsia" w:ascii="宋体" w:hAnsi="宋体" w:eastAsia="宋体" w:cs="宋体"/>
          <w:color w:val="auto"/>
          <w:sz w:val="21"/>
          <w:szCs w:val="21"/>
          <w:highlight w:val="none"/>
        </w:rPr>
        <w:t>11.1 开工</w:t>
      </w:r>
      <w:bookmarkEnd w:id="859"/>
    </w:p>
    <w:p w14:paraId="092AD3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11.1.1监理人应在开工日期7 天前向承包人发出开工通知。监理人在发出开工通知前应获得发包人同意。工期自监理人发出的开工通知中载明的开工日期起计算。承包人应在开工日期后尽快施工。</w:t>
      </w:r>
    </w:p>
    <w:p w14:paraId="4AF887B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11.1.2承包人应按第10.1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B7A41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11.1.3若发包人未能按合同约定向承包人提供开工的必要条件，承包人有权要求延长工期。监理人应在收到承包人的书面要求后，按第3.5款的约定，与合同双方商定或确定增加的费用和延长的工期。</w:t>
      </w:r>
    </w:p>
    <w:p w14:paraId="5C31BD8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11.1.4承包人在接到开工通知后14天内未按进度计划要求及时进场组织施工，监理人可通知承包人在接到通知后 ７天内提交一份说明其进场延误的书面报告，报送监理人。书面报告应说明不能及时进场的原因和补救措施， 由此增加的费用和工期延误责任由承包人承担。</w:t>
      </w:r>
    </w:p>
    <w:p w14:paraId="7B40AED1">
      <w:pPr>
        <w:pStyle w:val="6"/>
        <w:spacing w:line="360" w:lineRule="auto"/>
        <w:rPr>
          <w:rFonts w:hint="eastAsia" w:ascii="宋体" w:hAnsi="宋体" w:eastAsia="宋体" w:cs="宋体"/>
          <w:color w:val="auto"/>
          <w:sz w:val="21"/>
          <w:szCs w:val="21"/>
          <w:highlight w:val="none"/>
        </w:rPr>
      </w:pPr>
      <w:bookmarkStart w:id="860" w:name="_Toc199155792"/>
      <w:r>
        <w:rPr>
          <w:rFonts w:hint="eastAsia" w:ascii="宋体" w:hAnsi="宋体" w:eastAsia="宋体" w:cs="宋体"/>
          <w:color w:val="auto"/>
          <w:sz w:val="21"/>
          <w:szCs w:val="21"/>
          <w:highlight w:val="none"/>
        </w:rPr>
        <w:t>11.2竣工</w:t>
      </w:r>
      <w:bookmarkEnd w:id="860"/>
      <w:r>
        <w:rPr>
          <w:rFonts w:hint="eastAsia" w:ascii="宋体" w:hAnsi="宋体" w:eastAsia="宋体" w:cs="宋体"/>
          <w:color w:val="auto"/>
          <w:sz w:val="21"/>
          <w:szCs w:val="21"/>
          <w:highlight w:val="none"/>
        </w:rPr>
        <w:t>（完工）</w:t>
      </w:r>
    </w:p>
    <w:p w14:paraId="7B7F92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承包人应在第1.1.4.3目约定的期限内完成合同工程。合同工程实际完工日期在合同工程完工证书中明确。</w:t>
      </w:r>
    </w:p>
    <w:p w14:paraId="682E595E">
      <w:pPr>
        <w:pStyle w:val="6"/>
        <w:spacing w:line="360" w:lineRule="auto"/>
        <w:rPr>
          <w:rFonts w:hint="eastAsia" w:ascii="宋体" w:hAnsi="宋体" w:eastAsia="宋体" w:cs="宋体"/>
          <w:color w:val="auto"/>
          <w:sz w:val="21"/>
          <w:szCs w:val="21"/>
          <w:highlight w:val="none"/>
        </w:rPr>
      </w:pPr>
      <w:bookmarkStart w:id="861" w:name="_Toc199155793"/>
      <w:r>
        <w:rPr>
          <w:rFonts w:hint="eastAsia" w:ascii="宋体" w:hAnsi="宋体" w:eastAsia="宋体" w:cs="宋体"/>
          <w:color w:val="auto"/>
          <w:sz w:val="21"/>
          <w:szCs w:val="21"/>
          <w:highlight w:val="none"/>
        </w:rPr>
        <w:t>11.3 发包人的工期延误</w:t>
      </w:r>
      <w:bookmarkEnd w:id="861"/>
    </w:p>
    <w:p w14:paraId="55276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在履行合同过程中，由于发包人的下列原因造成工期延误的，承包人有权要求发包人延长工期和（或）增加费用，并支付合理利润。需要修订合同进度计划的，按照第10.2 款的约定办理。</w:t>
      </w:r>
    </w:p>
    <w:p w14:paraId="63D572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（1）增加合同工作内容；</w:t>
      </w:r>
    </w:p>
    <w:p w14:paraId="0EA1E92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（2）改变合同中任何一项工作的质量要求或其他特性；</w:t>
      </w:r>
    </w:p>
    <w:p w14:paraId="74797B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（3）发包人迟延提供材料、工程设备或变更交货地点的；</w:t>
      </w:r>
    </w:p>
    <w:p w14:paraId="7390D3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（4）因发包人原因导致的暂停施工；</w:t>
      </w:r>
    </w:p>
    <w:p w14:paraId="1615755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（5）提供图纸延误；</w:t>
      </w:r>
    </w:p>
    <w:p w14:paraId="5042FD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（6）未按合同约定及时支付预付款、进度款；</w:t>
      </w:r>
    </w:p>
    <w:p w14:paraId="3503AC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（7）发包人造成工期延误的其他原因。</w:t>
      </w:r>
    </w:p>
    <w:p w14:paraId="69083E9C">
      <w:pPr>
        <w:pStyle w:val="6"/>
        <w:spacing w:line="360" w:lineRule="auto"/>
        <w:rPr>
          <w:rFonts w:hint="eastAsia" w:ascii="宋体" w:hAnsi="宋体" w:eastAsia="宋体" w:cs="宋体"/>
          <w:color w:val="auto"/>
          <w:sz w:val="21"/>
          <w:szCs w:val="21"/>
          <w:highlight w:val="none"/>
        </w:rPr>
      </w:pPr>
      <w:bookmarkStart w:id="862" w:name="_Toc199155794"/>
      <w:r>
        <w:rPr>
          <w:rFonts w:hint="eastAsia" w:ascii="宋体" w:hAnsi="宋体" w:eastAsia="宋体" w:cs="宋体"/>
          <w:color w:val="auto"/>
          <w:sz w:val="21"/>
          <w:szCs w:val="21"/>
          <w:highlight w:val="none"/>
        </w:rPr>
        <w:t>11.4 异常恶劣的气候条件</w:t>
      </w:r>
      <w:bookmarkEnd w:id="862"/>
    </w:p>
    <w:p w14:paraId="7C56CB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28BF40C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11.4.2异常恶劣气候条件造成的工期延误和工程损坏，应由发包人与承包人参照本合同通用合同条款第21.3款的约定协商处理。</w:t>
      </w:r>
    </w:p>
    <w:p w14:paraId="4C24912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11.4.3本合同工程界定异常恶劣气候条件的范围在专用合同条款中约定。</w:t>
      </w:r>
    </w:p>
    <w:p w14:paraId="31E20307">
      <w:pPr>
        <w:pStyle w:val="6"/>
        <w:spacing w:line="360" w:lineRule="auto"/>
        <w:rPr>
          <w:rFonts w:hint="eastAsia" w:ascii="宋体" w:hAnsi="宋体" w:eastAsia="宋体" w:cs="宋体"/>
          <w:color w:val="auto"/>
          <w:sz w:val="21"/>
          <w:szCs w:val="21"/>
          <w:highlight w:val="none"/>
        </w:rPr>
      </w:pPr>
      <w:bookmarkStart w:id="863" w:name="_Toc199155795"/>
      <w:r>
        <w:rPr>
          <w:rFonts w:hint="eastAsia" w:ascii="宋体" w:hAnsi="宋体" w:eastAsia="宋体" w:cs="宋体"/>
          <w:color w:val="auto"/>
          <w:sz w:val="21"/>
          <w:szCs w:val="21"/>
          <w:highlight w:val="none"/>
        </w:rPr>
        <w:t>11.5 承包人的工期延误</w:t>
      </w:r>
      <w:bookmarkEnd w:id="863"/>
    </w:p>
    <w:p w14:paraId="469AE64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F82121B">
      <w:pPr>
        <w:pStyle w:val="6"/>
        <w:spacing w:line="360" w:lineRule="auto"/>
        <w:rPr>
          <w:rFonts w:hint="eastAsia" w:ascii="宋体" w:hAnsi="宋体" w:eastAsia="宋体" w:cs="宋体"/>
          <w:color w:val="auto"/>
          <w:sz w:val="21"/>
          <w:szCs w:val="21"/>
          <w:highlight w:val="none"/>
        </w:rPr>
      </w:pPr>
      <w:bookmarkStart w:id="864" w:name="_Toc199155796"/>
      <w:r>
        <w:rPr>
          <w:rFonts w:hint="eastAsia" w:ascii="宋体" w:hAnsi="宋体" w:eastAsia="宋体" w:cs="宋体"/>
          <w:color w:val="auto"/>
          <w:sz w:val="21"/>
          <w:szCs w:val="21"/>
          <w:highlight w:val="none"/>
        </w:rPr>
        <w:t>11.6 工期提前</w:t>
      </w:r>
      <w:bookmarkEnd w:id="864"/>
    </w:p>
    <w:p w14:paraId="7BFD72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发包人要求承包人提前完工，或承包人提出提前完工的建议能够给发包人带来效益的， 应由监理人与承包人共同协商采取加快工程进度的措施和修订合同进度计划。发包人应承担 承包人由此增加的费用，并向承包人支付专用合同条款约定的相应奖金。 </w:t>
      </w:r>
    </w:p>
    <w:p w14:paraId="451E40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发包人要求提前完工的，双方协商一致后应签订提前完工协议，协议内容包括：</w:t>
      </w:r>
    </w:p>
    <w:p w14:paraId="348C7C0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（1）提前的时间和修订后的进度计划； </w:t>
      </w:r>
    </w:p>
    <w:p w14:paraId="0C8001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（2）承包人的赶工措施；</w:t>
      </w:r>
    </w:p>
    <w:p w14:paraId="25C8373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（3）发包人为赶工提供的条件；</w:t>
      </w:r>
    </w:p>
    <w:p w14:paraId="0CFC282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（4）赶工费用（包括利润和奖金）。</w:t>
      </w:r>
    </w:p>
    <w:p w14:paraId="409C5553">
      <w:pPr>
        <w:pStyle w:val="5"/>
        <w:spacing w:line="360" w:lineRule="auto"/>
        <w:rPr>
          <w:rFonts w:hint="eastAsia" w:cs="宋体"/>
          <w:color w:val="auto"/>
          <w:sz w:val="21"/>
          <w:szCs w:val="21"/>
          <w:highlight w:val="none"/>
        </w:rPr>
      </w:pPr>
      <w:bookmarkStart w:id="865" w:name="_Toc199155797"/>
      <w:bookmarkStart w:id="866" w:name="_Toc199215106"/>
      <w:bookmarkStart w:id="867" w:name="_Toc217971038"/>
      <w:bookmarkStart w:id="868" w:name="_Toc19697"/>
      <w:bookmarkStart w:id="869" w:name="_Toc200536588"/>
      <w:bookmarkStart w:id="870" w:name="_Toc199294303"/>
      <w:bookmarkStart w:id="871" w:name="_Toc5975"/>
      <w:bookmarkStart w:id="872" w:name="_Toc200167753"/>
      <w:bookmarkStart w:id="873" w:name="_Toc199319988"/>
      <w:bookmarkStart w:id="874" w:name="_Toc204076348"/>
      <w:r>
        <w:rPr>
          <w:rFonts w:hint="eastAsia" w:cs="宋体"/>
          <w:color w:val="auto"/>
          <w:sz w:val="21"/>
          <w:szCs w:val="21"/>
          <w:highlight w:val="none"/>
        </w:rPr>
        <w:t>12. 暂停施工</w:t>
      </w:r>
      <w:bookmarkEnd w:id="865"/>
      <w:bookmarkEnd w:id="866"/>
      <w:bookmarkEnd w:id="867"/>
      <w:bookmarkEnd w:id="868"/>
      <w:bookmarkEnd w:id="869"/>
      <w:bookmarkEnd w:id="870"/>
      <w:bookmarkEnd w:id="871"/>
      <w:bookmarkEnd w:id="872"/>
      <w:bookmarkEnd w:id="873"/>
      <w:bookmarkEnd w:id="874"/>
    </w:p>
    <w:p w14:paraId="48823B1A">
      <w:pPr>
        <w:pStyle w:val="6"/>
        <w:spacing w:line="360" w:lineRule="auto"/>
        <w:rPr>
          <w:rFonts w:hint="eastAsia" w:ascii="宋体" w:hAnsi="宋体" w:eastAsia="宋体" w:cs="宋体"/>
          <w:color w:val="auto"/>
          <w:sz w:val="21"/>
          <w:szCs w:val="21"/>
          <w:highlight w:val="none"/>
        </w:rPr>
      </w:pPr>
      <w:bookmarkStart w:id="875" w:name="_Toc199155798"/>
      <w:r>
        <w:rPr>
          <w:rFonts w:hint="eastAsia" w:ascii="宋体" w:hAnsi="宋体" w:eastAsia="宋体" w:cs="宋体"/>
          <w:color w:val="auto"/>
          <w:sz w:val="21"/>
          <w:szCs w:val="21"/>
          <w:highlight w:val="none"/>
        </w:rPr>
        <w:t>12.1 承包人暂停施工的责任</w:t>
      </w:r>
      <w:bookmarkEnd w:id="875"/>
    </w:p>
    <w:p w14:paraId="472228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因下列暂停施工增加的费用和（或）工期延误由承包人承担：</w:t>
      </w:r>
    </w:p>
    <w:p w14:paraId="046AC2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（1）承包人违约引起的暂停施工；</w:t>
      </w:r>
    </w:p>
    <w:p w14:paraId="0EBFDE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（2）由于承包人原因为工程合理施工和安全保障所必需的暂停施工；</w:t>
      </w:r>
    </w:p>
    <w:p w14:paraId="71BA7A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（3）承包人擅自暂停施工；</w:t>
      </w:r>
    </w:p>
    <w:p w14:paraId="19F67B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（4）承包人其他原因引起的暂停施工；</w:t>
      </w:r>
    </w:p>
    <w:p w14:paraId="1FDAFC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（5）专用合同条款约定由承包人承担的其他暂停施工。</w:t>
      </w:r>
    </w:p>
    <w:p w14:paraId="2F0F3095">
      <w:pPr>
        <w:pStyle w:val="6"/>
        <w:spacing w:line="360" w:lineRule="auto"/>
        <w:rPr>
          <w:rFonts w:hint="eastAsia" w:ascii="宋体" w:hAnsi="宋体" w:eastAsia="宋体" w:cs="宋体"/>
          <w:color w:val="auto"/>
          <w:sz w:val="21"/>
          <w:szCs w:val="21"/>
          <w:highlight w:val="none"/>
        </w:rPr>
      </w:pPr>
      <w:bookmarkStart w:id="876" w:name="_Toc199155799"/>
      <w:r>
        <w:rPr>
          <w:rFonts w:hint="eastAsia" w:ascii="宋体" w:hAnsi="宋体" w:eastAsia="宋体" w:cs="宋体"/>
          <w:color w:val="auto"/>
          <w:sz w:val="21"/>
          <w:szCs w:val="21"/>
          <w:highlight w:val="none"/>
        </w:rPr>
        <w:t>12.2 发包人暂停施工的责任</w:t>
      </w:r>
      <w:bookmarkEnd w:id="876"/>
    </w:p>
    <w:p w14:paraId="74C786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由于发包人原因引起的暂停施工造成工期延误的，承包人有权要求发包人延长工期和（或）增加费用，并支付合理利润。 </w:t>
      </w:r>
    </w:p>
    <w:p w14:paraId="25832D1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属于下列任何一种情况引起的暂停施工，均为发包人的责任： </w:t>
      </w:r>
    </w:p>
    <w:p w14:paraId="34669E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（1）由于发包人违约引起的暂停施工； </w:t>
      </w:r>
    </w:p>
    <w:p w14:paraId="5FE911E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（2）由于不可抗力的自然或社会因素引起的暂停施工； </w:t>
      </w:r>
    </w:p>
    <w:p w14:paraId="0B6166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（3）专用合同条款中约定的其它由于发包人原因引起的暂停施工。</w:t>
      </w:r>
    </w:p>
    <w:p w14:paraId="32B26932">
      <w:pPr>
        <w:pStyle w:val="6"/>
        <w:spacing w:line="360" w:lineRule="auto"/>
        <w:rPr>
          <w:rFonts w:hint="eastAsia" w:ascii="宋体" w:hAnsi="宋体" w:eastAsia="宋体" w:cs="宋体"/>
          <w:color w:val="auto"/>
          <w:sz w:val="21"/>
          <w:szCs w:val="21"/>
          <w:highlight w:val="none"/>
        </w:rPr>
      </w:pPr>
      <w:bookmarkStart w:id="877" w:name="_Toc199155800"/>
      <w:r>
        <w:rPr>
          <w:rFonts w:hint="eastAsia" w:ascii="宋体" w:hAnsi="宋体" w:eastAsia="宋体" w:cs="宋体"/>
          <w:color w:val="auto"/>
          <w:sz w:val="21"/>
          <w:szCs w:val="21"/>
          <w:highlight w:val="none"/>
        </w:rPr>
        <w:t>12.3 监理人暂停施工指示</w:t>
      </w:r>
      <w:bookmarkEnd w:id="877"/>
    </w:p>
    <w:p w14:paraId="017A74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51C170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12.3.2由于发包人的原因发生暂停施工的紧急情况，且监理人未及时下达暂停施工指示的，承包人可先暂停施工，并及时向监理人提出暂停施工的书面请求。监理人应在接到书面请求后的24 小时内予以答复，逾期未答复的，视为同意承包人的暂停施工请求。</w:t>
      </w:r>
    </w:p>
    <w:p w14:paraId="0507CCC9">
      <w:pPr>
        <w:pStyle w:val="6"/>
        <w:spacing w:line="360" w:lineRule="auto"/>
        <w:rPr>
          <w:rFonts w:hint="eastAsia" w:ascii="宋体" w:hAnsi="宋体" w:eastAsia="宋体" w:cs="宋体"/>
          <w:color w:val="auto"/>
          <w:sz w:val="21"/>
          <w:szCs w:val="21"/>
          <w:highlight w:val="none"/>
        </w:rPr>
      </w:pPr>
      <w:bookmarkStart w:id="878" w:name="_Toc199155801"/>
      <w:r>
        <w:rPr>
          <w:rFonts w:hint="eastAsia" w:ascii="宋体" w:hAnsi="宋体" w:eastAsia="宋体" w:cs="宋体"/>
          <w:color w:val="auto"/>
          <w:sz w:val="21"/>
          <w:szCs w:val="21"/>
          <w:highlight w:val="none"/>
        </w:rPr>
        <w:t>12.4 暂停施工后的复工</w:t>
      </w:r>
      <w:bookmarkEnd w:id="878"/>
    </w:p>
    <w:p w14:paraId="1747E7C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3C929B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12.4.2承包人无故拖延和拒绝复工的，由此增加的费用和工期延误由承包人承担；因发包人原因无法按时复工的，承包人有权要求发包人延长工期和（或）增加费用，并支付合理利润。</w:t>
      </w:r>
    </w:p>
    <w:p w14:paraId="5F62576D">
      <w:pPr>
        <w:pStyle w:val="6"/>
        <w:spacing w:line="360" w:lineRule="auto"/>
        <w:rPr>
          <w:rFonts w:hint="eastAsia" w:ascii="宋体" w:hAnsi="宋体" w:eastAsia="宋体" w:cs="宋体"/>
          <w:color w:val="auto"/>
          <w:sz w:val="21"/>
          <w:szCs w:val="21"/>
          <w:highlight w:val="none"/>
        </w:rPr>
      </w:pPr>
      <w:bookmarkStart w:id="879" w:name="_Toc199155802"/>
      <w:r>
        <w:rPr>
          <w:rFonts w:hint="eastAsia" w:ascii="宋体" w:hAnsi="宋体" w:eastAsia="宋体" w:cs="宋体"/>
          <w:color w:val="auto"/>
          <w:sz w:val="21"/>
          <w:szCs w:val="21"/>
          <w:highlight w:val="none"/>
        </w:rPr>
        <w:t>12.5 暂停施工持续56天以上</w:t>
      </w:r>
      <w:bookmarkEnd w:id="879"/>
    </w:p>
    <w:p w14:paraId="5AC0E9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12.5.1监理人发出暂停施工指示后56 天内未向承包人发出复工通知，除了该项停工属于第12.1 款的情况外，承包人可向监理人提交书面通知，要求监理人在收到书面通知后28 天内准许已暂停施工的工程或其中一部分工程继续施工。如监理人逾期不予批准，则承包人可以通知监理人，将工程受影响的部分视为按第15.1（1）项的可取消工作。如暂停施工影响到整个工程，可视为发包人违约，应按第22.2 款的规定办理。</w:t>
      </w:r>
    </w:p>
    <w:p w14:paraId="35D766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12.5.2由于承包人责任引起的暂停施工，如承包人在收到监理人暂停施工指示后56 天内不认真采取有效的复工措施，造成工期延误，可视为承包人违约，应按第22.1 款的规定办理。</w:t>
      </w:r>
    </w:p>
    <w:p w14:paraId="23777F00">
      <w:pPr>
        <w:pStyle w:val="5"/>
        <w:spacing w:line="360" w:lineRule="auto"/>
        <w:rPr>
          <w:rFonts w:hint="eastAsia" w:cs="宋体"/>
          <w:color w:val="auto"/>
          <w:sz w:val="21"/>
          <w:szCs w:val="21"/>
          <w:highlight w:val="none"/>
        </w:rPr>
      </w:pPr>
      <w:bookmarkStart w:id="880" w:name="_Toc200536589"/>
      <w:bookmarkStart w:id="881" w:name="_Toc13741"/>
      <w:bookmarkStart w:id="882" w:name="_Toc199294304"/>
      <w:bookmarkStart w:id="883" w:name="_Toc199319989"/>
      <w:bookmarkStart w:id="884" w:name="_Toc204076349"/>
      <w:bookmarkStart w:id="885" w:name="_Toc199215107"/>
      <w:bookmarkStart w:id="886" w:name="_Toc217971039"/>
      <w:bookmarkStart w:id="887" w:name="_Toc199155803"/>
      <w:bookmarkStart w:id="888" w:name="_Toc13437"/>
      <w:bookmarkStart w:id="889" w:name="_Toc200167754"/>
      <w:r>
        <w:rPr>
          <w:rFonts w:hint="eastAsia" w:cs="宋体"/>
          <w:color w:val="auto"/>
          <w:sz w:val="21"/>
          <w:szCs w:val="21"/>
          <w:highlight w:val="none"/>
        </w:rPr>
        <w:t>13. 工程质量</w:t>
      </w:r>
      <w:bookmarkEnd w:id="880"/>
      <w:bookmarkEnd w:id="881"/>
      <w:bookmarkEnd w:id="882"/>
      <w:bookmarkEnd w:id="883"/>
      <w:bookmarkEnd w:id="884"/>
      <w:bookmarkEnd w:id="885"/>
      <w:bookmarkEnd w:id="886"/>
      <w:bookmarkEnd w:id="887"/>
      <w:bookmarkEnd w:id="888"/>
      <w:bookmarkEnd w:id="889"/>
    </w:p>
    <w:p w14:paraId="3A4FF4BF">
      <w:pPr>
        <w:pStyle w:val="6"/>
        <w:spacing w:line="360" w:lineRule="auto"/>
        <w:rPr>
          <w:rFonts w:hint="eastAsia" w:ascii="宋体" w:hAnsi="宋体" w:eastAsia="宋体" w:cs="宋体"/>
          <w:color w:val="auto"/>
          <w:sz w:val="21"/>
          <w:szCs w:val="21"/>
          <w:highlight w:val="none"/>
        </w:rPr>
      </w:pPr>
      <w:bookmarkStart w:id="890" w:name="_Toc199155804"/>
      <w:r>
        <w:rPr>
          <w:rFonts w:hint="eastAsia" w:ascii="宋体" w:hAnsi="宋体" w:eastAsia="宋体" w:cs="宋体"/>
          <w:color w:val="auto"/>
          <w:sz w:val="21"/>
          <w:szCs w:val="21"/>
          <w:highlight w:val="none"/>
        </w:rPr>
        <w:t>13.1 工程质量要求</w:t>
      </w:r>
      <w:bookmarkEnd w:id="890"/>
    </w:p>
    <w:p w14:paraId="286D23B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13.1.1 工程质量验收按合同约定验收标准执行。</w:t>
      </w:r>
    </w:p>
    <w:p w14:paraId="7E0120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13.1.2因承包人原因造成工程质量达不到合同约定验收标准的，监理人有权要求承包人返工直至符合合同要求为止，由此造成的费用增加和（或）工期延误由承包人承担。</w:t>
      </w:r>
    </w:p>
    <w:p w14:paraId="0C484DE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13.1.3因发包人原因造成工程质量达不到合同约定验收标准的，发包人应承担由于承包人返工造成的费用增加和（或）工期延误，并支付承包人合理利润。</w:t>
      </w:r>
    </w:p>
    <w:p w14:paraId="4CE15F60">
      <w:pPr>
        <w:pStyle w:val="6"/>
        <w:spacing w:line="360" w:lineRule="auto"/>
        <w:rPr>
          <w:rFonts w:hint="eastAsia" w:ascii="宋体" w:hAnsi="宋体" w:eastAsia="宋体" w:cs="宋体"/>
          <w:color w:val="auto"/>
          <w:sz w:val="21"/>
          <w:szCs w:val="21"/>
          <w:highlight w:val="none"/>
        </w:rPr>
      </w:pPr>
      <w:bookmarkStart w:id="891" w:name="_Toc199155805"/>
      <w:r>
        <w:rPr>
          <w:rFonts w:hint="eastAsia" w:ascii="宋体" w:hAnsi="宋体" w:eastAsia="宋体" w:cs="宋体"/>
          <w:color w:val="auto"/>
          <w:sz w:val="21"/>
          <w:szCs w:val="21"/>
          <w:highlight w:val="none"/>
        </w:rPr>
        <w:t>13.2 承包人的质量管理</w:t>
      </w:r>
      <w:bookmarkEnd w:id="891"/>
    </w:p>
    <w:p w14:paraId="7D14B2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13.2.1完善的质量检查制度。承包人应按技术标准和要求   （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1E03589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13.2.2承包人应加强对施工人员的质量教育和技术培训，定期考核施工人员的劳动技能，严格执行规范和操作规程。</w:t>
      </w:r>
    </w:p>
    <w:p w14:paraId="0169506D">
      <w:pPr>
        <w:pStyle w:val="6"/>
        <w:spacing w:line="360" w:lineRule="auto"/>
        <w:rPr>
          <w:rFonts w:hint="eastAsia" w:ascii="宋体" w:hAnsi="宋体" w:eastAsia="宋体" w:cs="宋体"/>
          <w:color w:val="auto"/>
          <w:sz w:val="21"/>
          <w:szCs w:val="21"/>
          <w:highlight w:val="none"/>
        </w:rPr>
      </w:pPr>
      <w:bookmarkStart w:id="892" w:name="_Toc199155806"/>
      <w:r>
        <w:rPr>
          <w:rFonts w:hint="eastAsia" w:ascii="宋体" w:hAnsi="宋体" w:eastAsia="宋体" w:cs="宋体"/>
          <w:color w:val="auto"/>
          <w:sz w:val="21"/>
          <w:szCs w:val="21"/>
          <w:highlight w:val="none"/>
        </w:rPr>
        <w:t>13.3 承包人的质量检查</w:t>
      </w:r>
      <w:bookmarkEnd w:id="892"/>
    </w:p>
    <w:p w14:paraId="403F1D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承包人应按合同约定对材料、工程设备以及工程的所有部位及其施工工艺进行全过程的质量检查和检验，并作详细记录，编制工程质量报表，报送监理人审查。</w:t>
      </w:r>
    </w:p>
    <w:p w14:paraId="50559834">
      <w:pPr>
        <w:pStyle w:val="6"/>
        <w:spacing w:line="360" w:lineRule="auto"/>
        <w:rPr>
          <w:rFonts w:hint="eastAsia" w:ascii="宋体" w:hAnsi="宋体" w:eastAsia="宋体" w:cs="宋体"/>
          <w:color w:val="auto"/>
          <w:sz w:val="21"/>
          <w:szCs w:val="21"/>
          <w:highlight w:val="none"/>
        </w:rPr>
      </w:pPr>
      <w:bookmarkStart w:id="893" w:name="_Toc199155807"/>
      <w:r>
        <w:rPr>
          <w:rFonts w:hint="eastAsia" w:ascii="宋体" w:hAnsi="宋体" w:eastAsia="宋体" w:cs="宋体"/>
          <w:color w:val="auto"/>
          <w:sz w:val="21"/>
          <w:szCs w:val="21"/>
          <w:highlight w:val="none"/>
        </w:rPr>
        <w:t>13.4 监理人的质量检查</w:t>
      </w:r>
      <w:bookmarkEnd w:id="893"/>
    </w:p>
    <w:p w14:paraId="7EBCE305">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监理人有权对工程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2F5E38BE">
      <w:pPr>
        <w:pStyle w:val="6"/>
        <w:spacing w:line="360" w:lineRule="auto"/>
        <w:rPr>
          <w:rFonts w:hint="eastAsia" w:ascii="宋体" w:hAnsi="宋体" w:eastAsia="宋体" w:cs="宋体"/>
          <w:color w:val="auto"/>
          <w:sz w:val="21"/>
          <w:szCs w:val="21"/>
          <w:highlight w:val="none"/>
        </w:rPr>
      </w:pPr>
      <w:bookmarkStart w:id="894" w:name="_Toc199155808"/>
      <w:r>
        <w:rPr>
          <w:rFonts w:hint="eastAsia" w:ascii="宋体" w:hAnsi="宋体" w:eastAsia="宋体" w:cs="宋体"/>
          <w:color w:val="auto"/>
          <w:sz w:val="21"/>
          <w:szCs w:val="21"/>
          <w:highlight w:val="none"/>
        </w:rPr>
        <w:t>13.5 工程隐蔽部位覆盖前的检查</w:t>
      </w:r>
      <w:bookmarkEnd w:id="894"/>
    </w:p>
    <w:p w14:paraId="4CB3A9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13.5.1 通知监理人检查</w:t>
      </w:r>
    </w:p>
    <w:p w14:paraId="2380B4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B873F2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13.5.2 监理人未到场检查</w:t>
      </w:r>
    </w:p>
    <w:p w14:paraId="2E8E36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监理人未按第13.5.1 项约定的时间进行检查的，除监理人另有指示外，承包人可自行完成覆盖工作，并作相应记录报送监理人，监理人应签字确认。监理人事后对检查记录有疑问的，可按第13.5.3 项的约定重新检查。</w:t>
      </w:r>
    </w:p>
    <w:p w14:paraId="20D442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13.5.3 监理人重新检查</w:t>
      </w:r>
    </w:p>
    <w:p w14:paraId="09FD411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3B7455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13.5.4 承包人私自覆盖</w:t>
      </w:r>
    </w:p>
    <w:p w14:paraId="38EC95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承包人未通知监理人到场检查，私自将工程隐蔽部位覆盖的，监理人有权指示承包人钻孔探测或揭开检查，由此增加的费用和（或）工期延误由承包人承担。</w:t>
      </w:r>
    </w:p>
    <w:p w14:paraId="673A54A5">
      <w:pPr>
        <w:pStyle w:val="6"/>
        <w:spacing w:line="360" w:lineRule="auto"/>
        <w:rPr>
          <w:rFonts w:hint="eastAsia" w:ascii="宋体" w:hAnsi="宋体" w:eastAsia="宋体" w:cs="宋体"/>
          <w:color w:val="auto"/>
          <w:sz w:val="21"/>
          <w:szCs w:val="21"/>
          <w:highlight w:val="none"/>
        </w:rPr>
      </w:pPr>
      <w:bookmarkStart w:id="895" w:name="_Toc199155809"/>
      <w:r>
        <w:rPr>
          <w:rFonts w:hint="eastAsia" w:ascii="宋体" w:hAnsi="宋体" w:eastAsia="宋体" w:cs="宋体"/>
          <w:color w:val="auto"/>
          <w:sz w:val="21"/>
          <w:szCs w:val="21"/>
          <w:highlight w:val="none"/>
        </w:rPr>
        <w:t>13.6 清除不合格工程</w:t>
      </w:r>
      <w:bookmarkEnd w:id="895"/>
    </w:p>
    <w:p w14:paraId="43CE32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886966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13.6.2由于发包人提供的材料或工程设备不合格造成的工程不合格，需要承包人采取措施补救的，发包人应承担由此增加的费用和（或）工期延误，并支付承包人合理利润。</w:t>
      </w:r>
    </w:p>
    <w:p w14:paraId="3E44073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 质量评定</w:t>
      </w:r>
    </w:p>
    <w:p w14:paraId="52D5AC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13.7.1发包人应组织承包人进行工程项目划分，并确定单位工程、主要分部工程、重要隐蔽单元工程和关键部位单元工程。</w:t>
      </w:r>
    </w:p>
    <w:p w14:paraId="6A3893E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13.7.2工程实施过程中，单位工程、主要分部工程、重要隐蔽单元工程和关键部位单元工程的项目划分需要调整时，承包人应报发包人确认。</w:t>
      </w:r>
    </w:p>
    <w:p w14:paraId="178FB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13.7.3承包人应在单元（工序）工程质量自评合格后，报监理人核定质量等级并签证认可。</w:t>
      </w:r>
    </w:p>
    <w:p w14:paraId="7F9A52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13.7.4除专用合同条款另有约定外，承包人应在重要隐蔽单元工程和关键部位单元工程质量自评合格以及监理人抽检后，由监理人组织承包人等单位组成的联合小组，共同检查核定其质量等级并填写签证表。 发包人按有关规定完成质量结论报工程质量监督机构核备手续。</w:t>
      </w:r>
    </w:p>
    <w:p w14:paraId="5E690B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13.7.5承包人应在分部工程质量自评合格后，报监理人复核和发包人认定。发包人负责按有关规定完成分部工程质量结论报工程质量监督机构核备（核定）手续。</w:t>
      </w:r>
    </w:p>
    <w:p w14:paraId="7EFA51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13.7.6承包人应在单位工程质量自评合格后，报监理人复核和发包人认定。发包人负责按有关规定完成单位工程质量结论报工程质量监督机构核定手续。</w:t>
      </w:r>
    </w:p>
    <w:p w14:paraId="642481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13.7.7除专用合同条款另有约定外，工程质量等级分为合格和优良，应分别达到约定的标准。</w:t>
      </w:r>
    </w:p>
    <w:p w14:paraId="6793832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 质量事故处理</w:t>
      </w:r>
    </w:p>
    <w:p w14:paraId="211AB9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13.8.1发生质量事故时，承包人应及时向发包人和监理人报告。</w:t>
      </w:r>
    </w:p>
    <w:p w14:paraId="19463B5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13.8.2质量事故调查处理由发包人按相关规定履行手续，承包人应配合。</w:t>
      </w:r>
    </w:p>
    <w:p w14:paraId="365E690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13.8.3承包人应对质量缺陷进行备案。发包人委托监理人对质量缺陷备案情况进行监督检查并履行相关手续。</w:t>
      </w:r>
    </w:p>
    <w:p w14:paraId="5EF0A3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13.8.4除专用合同条款另有约定外，工程竣工验收时，发包人负责向竣工验收委员会汇报并提交历次质量缺陷处理的备案资料。</w:t>
      </w:r>
    </w:p>
    <w:p w14:paraId="50CDF8F7">
      <w:pPr>
        <w:pStyle w:val="5"/>
        <w:spacing w:line="360" w:lineRule="auto"/>
        <w:rPr>
          <w:rFonts w:hint="eastAsia" w:cs="宋体"/>
          <w:color w:val="auto"/>
          <w:sz w:val="21"/>
          <w:szCs w:val="21"/>
          <w:highlight w:val="none"/>
        </w:rPr>
      </w:pPr>
      <w:bookmarkStart w:id="896" w:name="_Toc199294305"/>
      <w:bookmarkStart w:id="897" w:name="_Toc199319990"/>
      <w:bookmarkStart w:id="898" w:name="_Toc204076350"/>
      <w:bookmarkStart w:id="899" w:name="_Toc200167755"/>
      <w:bookmarkStart w:id="900" w:name="_Toc200536590"/>
      <w:bookmarkStart w:id="901" w:name="_Toc217971040"/>
      <w:bookmarkStart w:id="902" w:name="_Toc199155810"/>
      <w:bookmarkStart w:id="903" w:name="_Toc199215108"/>
      <w:bookmarkStart w:id="904" w:name="_Toc20948"/>
      <w:bookmarkStart w:id="905" w:name="_Toc29280"/>
      <w:r>
        <w:rPr>
          <w:rFonts w:hint="eastAsia" w:cs="宋体"/>
          <w:color w:val="auto"/>
          <w:sz w:val="21"/>
          <w:szCs w:val="21"/>
          <w:highlight w:val="none"/>
        </w:rPr>
        <w:t>14. 试验和检验</w:t>
      </w:r>
      <w:bookmarkEnd w:id="896"/>
      <w:bookmarkEnd w:id="897"/>
      <w:bookmarkEnd w:id="898"/>
      <w:bookmarkEnd w:id="899"/>
      <w:bookmarkEnd w:id="900"/>
      <w:bookmarkEnd w:id="901"/>
      <w:bookmarkEnd w:id="902"/>
      <w:bookmarkEnd w:id="903"/>
      <w:bookmarkEnd w:id="904"/>
      <w:bookmarkEnd w:id="905"/>
    </w:p>
    <w:p w14:paraId="08D50037">
      <w:pPr>
        <w:pStyle w:val="6"/>
        <w:spacing w:line="360" w:lineRule="auto"/>
        <w:rPr>
          <w:rFonts w:hint="eastAsia" w:ascii="宋体" w:hAnsi="宋体" w:eastAsia="宋体" w:cs="宋体"/>
          <w:color w:val="auto"/>
          <w:sz w:val="21"/>
          <w:szCs w:val="21"/>
          <w:highlight w:val="none"/>
        </w:rPr>
      </w:pPr>
      <w:bookmarkStart w:id="906" w:name="_Toc199155811"/>
      <w:r>
        <w:rPr>
          <w:rFonts w:hint="eastAsia" w:ascii="宋体" w:hAnsi="宋体" w:eastAsia="宋体" w:cs="宋体"/>
          <w:color w:val="auto"/>
          <w:sz w:val="21"/>
          <w:szCs w:val="21"/>
          <w:highlight w:val="none"/>
        </w:rPr>
        <w:t>14.1 材料、工程设备和工程的试验和检验</w:t>
      </w:r>
      <w:bookmarkEnd w:id="906"/>
    </w:p>
    <w:p w14:paraId="6E75E1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B52E2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14.1.2监理人未按合同约定派员参加试验和检验的，除监理人另有指示外，承包人可自行试验和检验，并应立即将试验和检验结果报送监理人，监理人应签字确认。</w:t>
      </w:r>
    </w:p>
    <w:p w14:paraId="75DA94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D78DF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14.1.4承包人应按相关规定和标准对水泥、钢材等原材料与中间产品质量进行检验，并报监理人复核。</w:t>
      </w:r>
    </w:p>
    <w:p w14:paraId="01160BE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5D449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14.1.6对专用合同条款约定的试块、试件及有关材料，监理人实行见证取样。见证取样资料由承包人制备，记录应真实齐全，监理人、承包人等参与见证取样人员均应在相关文件上签字。</w:t>
      </w:r>
    </w:p>
    <w:p w14:paraId="7C0FF69C">
      <w:pPr>
        <w:pStyle w:val="6"/>
        <w:spacing w:line="360" w:lineRule="auto"/>
        <w:rPr>
          <w:rFonts w:hint="eastAsia" w:ascii="宋体" w:hAnsi="宋体" w:eastAsia="宋体" w:cs="宋体"/>
          <w:color w:val="auto"/>
          <w:sz w:val="21"/>
          <w:szCs w:val="21"/>
          <w:highlight w:val="none"/>
        </w:rPr>
      </w:pPr>
      <w:bookmarkStart w:id="907" w:name="_Toc199155812"/>
      <w:r>
        <w:rPr>
          <w:rFonts w:hint="eastAsia" w:ascii="宋体" w:hAnsi="宋体" w:eastAsia="宋体" w:cs="宋体"/>
          <w:color w:val="auto"/>
          <w:sz w:val="21"/>
          <w:szCs w:val="21"/>
          <w:highlight w:val="none"/>
        </w:rPr>
        <w:t>14.2 现场材料试验</w:t>
      </w:r>
      <w:bookmarkEnd w:id="907"/>
    </w:p>
    <w:p w14:paraId="0B74CB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14.2.1承包人根据合同约定或监理人指示进行的现场材料试验，应由承包人提供试验场所、试验人员、试验设备器材以及其他必要的试验条件。</w:t>
      </w:r>
    </w:p>
    <w:p w14:paraId="1AA893A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14.2.2监理人在必要时可以使用承包人的试验场所、试验设备器材以及其他试验条件，进行以工程质量检查为目的的复核性材料试验，承包人应予以协助。</w:t>
      </w:r>
    </w:p>
    <w:p w14:paraId="50355478">
      <w:pPr>
        <w:pStyle w:val="6"/>
        <w:spacing w:line="360" w:lineRule="auto"/>
        <w:rPr>
          <w:rFonts w:hint="eastAsia" w:ascii="宋体" w:hAnsi="宋体" w:eastAsia="宋体" w:cs="宋体"/>
          <w:color w:val="auto"/>
          <w:sz w:val="21"/>
          <w:szCs w:val="21"/>
          <w:highlight w:val="none"/>
        </w:rPr>
      </w:pPr>
      <w:bookmarkStart w:id="908" w:name="_Toc199155813"/>
      <w:r>
        <w:rPr>
          <w:rFonts w:hint="eastAsia" w:ascii="宋体" w:hAnsi="宋体" w:eastAsia="宋体" w:cs="宋体"/>
          <w:color w:val="auto"/>
          <w:sz w:val="21"/>
          <w:szCs w:val="21"/>
          <w:highlight w:val="none"/>
        </w:rPr>
        <w:t>14.3 现场工艺试验</w:t>
      </w:r>
      <w:bookmarkEnd w:id="908"/>
    </w:p>
    <w:p w14:paraId="28F6618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0F083B08">
      <w:pPr>
        <w:pStyle w:val="5"/>
        <w:spacing w:line="360" w:lineRule="auto"/>
        <w:rPr>
          <w:rFonts w:hint="eastAsia" w:cs="宋体"/>
          <w:color w:val="auto"/>
          <w:sz w:val="21"/>
          <w:szCs w:val="21"/>
          <w:highlight w:val="none"/>
        </w:rPr>
      </w:pPr>
      <w:bookmarkStart w:id="909" w:name="_Toc199294306"/>
      <w:bookmarkStart w:id="910" w:name="_Toc217971041"/>
      <w:bookmarkStart w:id="911" w:name="_Toc32570"/>
      <w:bookmarkStart w:id="912" w:name="_Toc199215109"/>
      <w:bookmarkStart w:id="913" w:name="_Toc199319991"/>
      <w:bookmarkStart w:id="914" w:name="_Toc200167756"/>
      <w:bookmarkStart w:id="915" w:name="_Toc204076351"/>
      <w:bookmarkStart w:id="916" w:name="_Toc199155814"/>
      <w:bookmarkStart w:id="917" w:name="_Toc200536591"/>
      <w:bookmarkStart w:id="918" w:name="_Toc8613"/>
      <w:r>
        <w:rPr>
          <w:rFonts w:hint="eastAsia" w:cs="宋体"/>
          <w:color w:val="auto"/>
          <w:sz w:val="21"/>
          <w:szCs w:val="21"/>
          <w:highlight w:val="none"/>
        </w:rPr>
        <w:t>15. 变更</w:t>
      </w:r>
      <w:bookmarkEnd w:id="909"/>
      <w:bookmarkEnd w:id="910"/>
      <w:bookmarkEnd w:id="911"/>
      <w:bookmarkEnd w:id="912"/>
      <w:bookmarkEnd w:id="913"/>
      <w:bookmarkEnd w:id="914"/>
      <w:bookmarkEnd w:id="915"/>
      <w:bookmarkEnd w:id="916"/>
      <w:bookmarkEnd w:id="917"/>
      <w:bookmarkEnd w:id="918"/>
    </w:p>
    <w:p w14:paraId="49CD6438">
      <w:pPr>
        <w:pStyle w:val="6"/>
        <w:spacing w:line="360" w:lineRule="auto"/>
        <w:rPr>
          <w:rFonts w:hint="eastAsia" w:ascii="宋体" w:hAnsi="宋体" w:eastAsia="宋体" w:cs="宋体"/>
          <w:color w:val="auto"/>
          <w:sz w:val="21"/>
          <w:szCs w:val="21"/>
          <w:highlight w:val="none"/>
        </w:rPr>
      </w:pPr>
      <w:bookmarkStart w:id="919" w:name="_Toc199155815"/>
      <w:r>
        <w:rPr>
          <w:rFonts w:hint="eastAsia" w:ascii="宋体" w:hAnsi="宋体" w:eastAsia="宋体" w:cs="宋体"/>
          <w:color w:val="auto"/>
          <w:sz w:val="21"/>
          <w:szCs w:val="21"/>
          <w:highlight w:val="none"/>
        </w:rPr>
        <w:t>15.1 变更的范围和内容</w:t>
      </w:r>
      <w:bookmarkEnd w:id="919"/>
    </w:p>
    <w:p w14:paraId="678A88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在履行合同中发生以下情形之一，应按照本款规定进行变更。</w:t>
      </w:r>
    </w:p>
    <w:p w14:paraId="48A9D7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（1）取消合同中任何一项工作，但被取消的工作不能转由发包人或其他人实施；</w:t>
      </w:r>
    </w:p>
    <w:p w14:paraId="36B07E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（2）改变合同中任何一项工作的质量或其他特性；</w:t>
      </w:r>
    </w:p>
    <w:p w14:paraId="2BF804C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（3）改变合同工程的基线、标高、位置或尺寸；</w:t>
      </w:r>
    </w:p>
    <w:p w14:paraId="64DBB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（4）改变合同中任何一项工作的施工时间或改变已批准的施工工艺或顺序；</w:t>
      </w:r>
    </w:p>
    <w:p w14:paraId="5C369D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（5）为完成工程需要追加的额外工作。</w:t>
      </w:r>
    </w:p>
    <w:p w14:paraId="36412B3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（6）增加或减少专用合同条款中约定的关键项目工程量超过其工程总量的一定数量百分比。</w:t>
      </w:r>
    </w:p>
    <w:p w14:paraId="7D23E3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上述第（1）</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（6）目的变更内容引起工程施工组织和进度计划发生实质性变动和影响其原定的价格时，才予调整该项目的单价。第（6）目情形下单价调整方式在专用合同条款中约定。</w:t>
      </w:r>
    </w:p>
    <w:p w14:paraId="64C95BA8">
      <w:pPr>
        <w:pStyle w:val="6"/>
        <w:spacing w:line="360" w:lineRule="auto"/>
        <w:rPr>
          <w:rFonts w:hint="eastAsia" w:ascii="宋体" w:hAnsi="宋体" w:eastAsia="宋体" w:cs="宋体"/>
          <w:color w:val="auto"/>
          <w:sz w:val="21"/>
          <w:szCs w:val="21"/>
          <w:highlight w:val="none"/>
        </w:rPr>
      </w:pPr>
      <w:bookmarkStart w:id="920" w:name="_Toc199155816"/>
      <w:r>
        <w:rPr>
          <w:rFonts w:hint="eastAsia" w:ascii="宋体" w:hAnsi="宋体" w:eastAsia="宋体" w:cs="宋体"/>
          <w:color w:val="auto"/>
          <w:sz w:val="21"/>
          <w:szCs w:val="21"/>
          <w:highlight w:val="none"/>
        </w:rPr>
        <w:t>15.2 变更权</w:t>
      </w:r>
      <w:bookmarkEnd w:id="920"/>
    </w:p>
    <w:p w14:paraId="1BCE2D4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在履行合同过程中，经发包人同意，监理人可按第15.3 款约定的变更程序向承包人作出变更指示，承包人应遵照执行。没有监理人的变更指示，承包人不得擅自变更。</w:t>
      </w:r>
    </w:p>
    <w:p w14:paraId="4FAAB555">
      <w:pPr>
        <w:pStyle w:val="6"/>
        <w:spacing w:line="360" w:lineRule="auto"/>
        <w:rPr>
          <w:rFonts w:hint="eastAsia" w:ascii="宋体" w:hAnsi="宋体" w:eastAsia="宋体" w:cs="宋体"/>
          <w:color w:val="auto"/>
          <w:sz w:val="21"/>
          <w:szCs w:val="21"/>
          <w:highlight w:val="none"/>
        </w:rPr>
      </w:pPr>
      <w:bookmarkStart w:id="921" w:name="_Toc199155817"/>
      <w:r>
        <w:rPr>
          <w:rFonts w:hint="eastAsia" w:ascii="宋体" w:hAnsi="宋体" w:eastAsia="宋体" w:cs="宋体"/>
          <w:color w:val="auto"/>
          <w:sz w:val="21"/>
          <w:szCs w:val="21"/>
          <w:highlight w:val="none"/>
        </w:rPr>
        <w:t>15.3 变更程序</w:t>
      </w:r>
      <w:bookmarkEnd w:id="921"/>
    </w:p>
    <w:p w14:paraId="62FB69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15.3.1 变更的提出</w:t>
      </w:r>
    </w:p>
    <w:p w14:paraId="6218A03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5C75DE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（2）在合同履行过程中，发生第15.1 款约定情形的，监理人应按照第15.3.3 项约定向承包人发出变更指示。</w:t>
      </w:r>
    </w:p>
    <w:p w14:paraId="2C69834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66DD8B3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（4）若承包人收到监理人的变更意向书后认为难以实施此项变更，应立即通知监理人，说明原因并附详细依据。监理人与承包人和发包人协商后确定撤销、改变或不改变原变更意向书。</w:t>
      </w:r>
    </w:p>
    <w:p w14:paraId="5C3289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15.3.2 变更估价</w:t>
      </w:r>
    </w:p>
    <w:p w14:paraId="19D9BE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51719E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（2）变更工作影响工期的，承包人应提出调整工期的具体细节。监理人认为有必要时，可要求承包人提交要求提前或延长工期的施工进度计划及相应施工措施等详细资料。</w:t>
      </w:r>
    </w:p>
    <w:p w14:paraId="0EE96A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（3）除专用合同条款对期限另有约定外，监理人收到承包人变更报价书后的14 天内，根据第15.4 款约定的估价原则，按照第3.5 款商定或确定变更价格。</w:t>
      </w:r>
    </w:p>
    <w:p w14:paraId="2B9CB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15.3.3 变更指示</w:t>
      </w:r>
    </w:p>
    <w:p w14:paraId="35C810C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（1）变更指示只能由监理人发出。</w:t>
      </w:r>
    </w:p>
    <w:p w14:paraId="573907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（2）变更指示应说明变更的目的、范围、变更内容以及变更的工程量及其进度和技术要求，并附有关图纸和文件。承包人收到变更指示后，应按变更指示进行变更工作。</w:t>
      </w:r>
    </w:p>
    <w:p w14:paraId="41EA2517">
      <w:pPr>
        <w:pStyle w:val="6"/>
        <w:spacing w:line="360" w:lineRule="auto"/>
        <w:rPr>
          <w:rFonts w:hint="eastAsia" w:ascii="宋体" w:hAnsi="宋体" w:eastAsia="宋体" w:cs="宋体"/>
          <w:color w:val="auto"/>
          <w:sz w:val="21"/>
          <w:szCs w:val="21"/>
          <w:highlight w:val="none"/>
        </w:rPr>
      </w:pPr>
      <w:bookmarkStart w:id="922" w:name="_Toc199155818"/>
      <w:r>
        <w:rPr>
          <w:rFonts w:hint="eastAsia" w:ascii="宋体" w:hAnsi="宋体" w:eastAsia="宋体" w:cs="宋体"/>
          <w:color w:val="auto"/>
          <w:sz w:val="21"/>
          <w:szCs w:val="21"/>
          <w:highlight w:val="none"/>
        </w:rPr>
        <w:t>15.4 变更的估价原则</w:t>
      </w:r>
      <w:bookmarkEnd w:id="922"/>
    </w:p>
    <w:p w14:paraId="4E9DB7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除专用合同条款另有约定外，因变更引起的价格调整按照本款约定处理。</w:t>
      </w:r>
    </w:p>
    <w:p w14:paraId="13A3E20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15.4.1 工程量清单中有适用于变更工作的子目的，采用该子目的单价。</w:t>
      </w:r>
    </w:p>
    <w:p w14:paraId="1122A4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15.4.2工程量清单中无适用于变更工作的子目，但有类似子目的，可在合理范围内参照类似子目的单价，由监理人按第3.5 款商定或确定变更工作的单价。</w:t>
      </w:r>
    </w:p>
    <w:p w14:paraId="791CBF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15.4.3工程量清单中无适用或类似子目的单价，可按照成本加利润的原则，由监理人按第3.5 款商定或确定变更工作的单价。</w:t>
      </w:r>
    </w:p>
    <w:p w14:paraId="5EDF2751">
      <w:pPr>
        <w:pStyle w:val="6"/>
        <w:spacing w:line="360" w:lineRule="auto"/>
        <w:rPr>
          <w:rFonts w:hint="eastAsia" w:ascii="宋体" w:hAnsi="宋体" w:eastAsia="宋体" w:cs="宋体"/>
          <w:color w:val="auto"/>
          <w:sz w:val="21"/>
          <w:szCs w:val="21"/>
          <w:highlight w:val="none"/>
        </w:rPr>
      </w:pPr>
      <w:bookmarkStart w:id="923" w:name="_Toc199155819"/>
      <w:r>
        <w:rPr>
          <w:rFonts w:hint="eastAsia" w:ascii="宋体" w:hAnsi="宋体" w:eastAsia="宋体" w:cs="宋体"/>
          <w:color w:val="auto"/>
          <w:sz w:val="21"/>
          <w:szCs w:val="21"/>
          <w:highlight w:val="none"/>
        </w:rPr>
        <w:t>15.5 承包人的合理化建议</w:t>
      </w:r>
      <w:bookmarkEnd w:id="923"/>
    </w:p>
    <w:p w14:paraId="31F445F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 项约定向承包人发出变更指示。</w:t>
      </w:r>
    </w:p>
    <w:p w14:paraId="032BD7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15.5.2承包人提出的合理化建议降低了合同价格、缩短了工期或者提高了工程经济效益的，发包人可按国家有关规定在专用合同条款中约定给予奖励。</w:t>
      </w:r>
    </w:p>
    <w:p w14:paraId="43EA2AF8">
      <w:pPr>
        <w:pStyle w:val="6"/>
        <w:spacing w:line="360" w:lineRule="auto"/>
        <w:rPr>
          <w:rFonts w:hint="eastAsia" w:ascii="宋体" w:hAnsi="宋体" w:eastAsia="宋体" w:cs="宋体"/>
          <w:color w:val="auto"/>
          <w:sz w:val="21"/>
          <w:szCs w:val="21"/>
          <w:highlight w:val="none"/>
        </w:rPr>
      </w:pPr>
      <w:bookmarkStart w:id="924" w:name="_Toc199155820"/>
      <w:r>
        <w:rPr>
          <w:rFonts w:hint="eastAsia" w:ascii="宋体" w:hAnsi="宋体" w:eastAsia="宋体" w:cs="宋体"/>
          <w:color w:val="auto"/>
          <w:sz w:val="21"/>
          <w:szCs w:val="21"/>
          <w:highlight w:val="none"/>
        </w:rPr>
        <w:t>15.6 暂列金额</w:t>
      </w:r>
      <w:bookmarkEnd w:id="924"/>
    </w:p>
    <w:p w14:paraId="097F353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暂列金额只能按照监理人的指示使用，并对合同价格进行相应调整。</w:t>
      </w:r>
    </w:p>
    <w:p w14:paraId="7029C756">
      <w:pPr>
        <w:pStyle w:val="6"/>
        <w:spacing w:line="360" w:lineRule="auto"/>
        <w:rPr>
          <w:rFonts w:hint="eastAsia" w:ascii="宋体" w:hAnsi="宋体" w:eastAsia="宋体" w:cs="宋体"/>
          <w:color w:val="auto"/>
          <w:sz w:val="21"/>
          <w:szCs w:val="21"/>
          <w:highlight w:val="none"/>
        </w:rPr>
      </w:pPr>
      <w:bookmarkStart w:id="925" w:name="_Toc199155821"/>
      <w:r>
        <w:rPr>
          <w:rFonts w:hint="eastAsia" w:ascii="宋体" w:hAnsi="宋体" w:eastAsia="宋体" w:cs="宋体"/>
          <w:color w:val="auto"/>
          <w:sz w:val="21"/>
          <w:szCs w:val="21"/>
          <w:highlight w:val="none"/>
        </w:rPr>
        <w:t>15.7 计日工</w:t>
      </w:r>
      <w:bookmarkEnd w:id="925"/>
    </w:p>
    <w:p w14:paraId="0DD123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15.7.1发包人认为有必要时，由监理人通知承包人以计日工方式实施变更的零星工作。其价款按列入工程量清单中的计日工计价子目及其单价进行计算。</w:t>
      </w:r>
    </w:p>
    <w:p w14:paraId="2B40709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15.7.2 采用计日工计价的任何一项变更工作，应从暂列金额中支付，承包人应在该项变更的实施过程中，每天提交以下报表和有关凭证报送监理人审批：</w:t>
      </w:r>
    </w:p>
    <w:p w14:paraId="622B02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（1）工作名称、内容和数量；</w:t>
      </w:r>
    </w:p>
    <w:p w14:paraId="27119F4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（2）投入该工作所有人员的姓名、工种、级别和耗用工时；</w:t>
      </w:r>
    </w:p>
    <w:p w14:paraId="6A1936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（3）投入该工作的材料类别和数量；</w:t>
      </w:r>
    </w:p>
    <w:p w14:paraId="64514F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（4）投入该工作的施工设备型号、台数和耗用台时；</w:t>
      </w:r>
    </w:p>
    <w:p w14:paraId="1E74DD1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（5）监理人要求提交的其他资料和凭证。</w:t>
      </w:r>
    </w:p>
    <w:p w14:paraId="045398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15.7.3计日工由承包人汇总后，按第17.3.2 项的约定列入进度付款申请单，由监理人复核并经发包人同意后列入进度付款。</w:t>
      </w:r>
    </w:p>
    <w:p w14:paraId="160C315F">
      <w:pPr>
        <w:pStyle w:val="6"/>
        <w:spacing w:line="360" w:lineRule="auto"/>
        <w:rPr>
          <w:rFonts w:hint="eastAsia" w:ascii="宋体" w:hAnsi="宋体" w:eastAsia="宋体" w:cs="宋体"/>
          <w:color w:val="auto"/>
          <w:sz w:val="21"/>
          <w:szCs w:val="21"/>
          <w:highlight w:val="none"/>
        </w:rPr>
      </w:pPr>
      <w:bookmarkStart w:id="926" w:name="_Toc199155822"/>
      <w:r>
        <w:rPr>
          <w:rFonts w:hint="eastAsia" w:ascii="宋体" w:hAnsi="宋体" w:eastAsia="宋体" w:cs="宋体"/>
          <w:color w:val="auto"/>
          <w:sz w:val="21"/>
          <w:szCs w:val="21"/>
          <w:highlight w:val="none"/>
        </w:rPr>
        <w:t>15.8 暂估价</w:t>
      </w:r>
      <w:bookmarkEnd w:id="926"/>
    </w:p>
    <w:p w14:paraId="6CCEC8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 必须招标的暂估价项目招标组织形式、发包人和承包人组织招标时双方的权利义务关系在专用合同条款中约定。</w:t>
      </w:r>
    </w:p>
    <w:p w14:paraId="53FB33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15.8.2发包人在工程量清单中给定暂估价的材料和工程设备不属于依法必须招标的范围或未达到规定的规模标准的，应由承包人按第5.1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66E6133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237D1495">
      <w:pPr>
        <w:pStyle w:val="5"/>
        <w:spacing w:line="360" w:lineRule="auto"/>
        <w:rPr>
          <w:rFonts w:hint="eastAsia" w:cs="宋体"/>
          <w:color w:val="auto"/>
          <w:sz w:val="21"/>
          <w:szCs w:val="21"/>
          <w:highlight w:val="none"/>
        </w:rPr>
      </w:pPr>
      <w:bookmarkStart w:id="927" w:name="_Toc200536592"/>
      <w:bookmarkStart w:id="928" w:name="_Toc199215110"/>
      <w:bookmarkStart w:id="929" w:name="_Toc204076352"/>
      <w:bookmarkStart w:id="930" w:name="_Toc199294307"/>
      <w:bookmarkStart w:id="931" w:name="_Toc8872"/>
      <w:bookmarkStart w:id="932" w:name="_Toc199319992"/>
      <w:bookmarkStart w:id="933" w:name="_Toc7735"/>
      <w:bookmarkStart w:id="934" w:name="_Toc217971042"/>
      <w:bookmarkStart w:id="935" w:name="_Toc199155823"/>
      <w:bookmarkStart w:id="936" w:name="_Toc200167757"/>
      <w:r>
        <w:rPr>
          <w:rFonts w:hint="eastAsia" w:cs="宋体"/>
          <w:color w:val="auto"/>
          <w:sz w:val="21"/>
          <w:szCs w:val="21"/>
          <w:highlight w:val="none"/>
        </w:rPr>
        <w:t>16. 价格调整</w:t>
      </w:r>
      <w:bookmarkEnd w:id="927"/>
      <w:bookmarkEnd w:id="928"/>
      <w:bookmarkEnd w:id="929"/>
      <w:bookmarkEnd w:id="930"/>
      <w:bookmarkEnd w:id="931"/>
      <w:bookmarkEnd w:id="932"/>
      <w:bookmarkEnd w:id="933"/>
      <w:bookmarkEnd w:id="934"/>
      <w:bookmarkEnd w:id="935"/>
      <w:bookmarkEnd w:id="936"/>
    </w:p>
    <w:p w14:paraId="108B508E">
      <w:pPr>
        <w:pStyle w:val="6"/>
        <w:spacing w:line="360" w:lineRule="auto"/>
        <w:rPr>
          <w:rFonts w:hint="eastAsia" w:ascii="宋体" w:hAnsi="宋体" w:eastAsia="宋体" w:cs="宋体"/>
          <w:color w:val="auto"/>
          <w:sz w:val="21"/>
          <w:szCs w:val="21"/>
          <w:highlight w:val="none"/>
        </w:rPr>
      </w:pPr>
      <w:bookmarkStart w:id="937" w:name="_Toc199155824"/>
      <w:r>
        <w:rPr>
          <w:rFonts w:hint="eastAsia" w:ascii="宋体" w:hAnsi="宋体" w:eastAsia="宋体" w:cs="宋体"/>
          <w:color w:val="auto"/>
          <w:sz w:val="21"/>
          <w:szCs w:val="21"/>
          <w:highlight w:val="none"/>
        </w:rPr>
        <w:t>16.1 物价波动引起的价格调整</w:t>
      </w:r>
      <w:bookmarkEnd w:id="937"/>
    </w:p>
    <w:p w14:paraId="4B9E02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由于物价波动原因引起合同价格需要调整的，其价格调整方式在专用合同条款中约定。</w:t>
      </w:r>
    </w:p>
    <w:p w14:paraId="07D0A5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16.1.1采用价格指数调整价格差额</w:t>
      </w:r>
    </w:p>
    <w:p w14:paraId="6A647B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16.1.1.1价格调整公式</w:t>
      </w:r>
    </w:p>
    <w:p w14:paraId="2BCFEB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因人工、材料和设备等价格波动影响合同价格时，根据投标函附录中的价格指数和权重表约定的数据，按以下公式计算差额并调整合同价格。</w:t>
      </w:r>
    </w:p>
    <w:p w14:paraId="628E075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ΔP = P0{A+[ B1×Ft1/Fo1+ B2×Ft2/Fo2+ B3×Ft3/Fo3+…+ Bn×Ftn/Fon]-1}</w:t>
      </w:r>
    </w:p>
    <w:p w14:paraId="7DBBE4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式中：△P --需调整的价格差额；</w:t>
      </w:r>
    </w:p>
    <w:p w14:paraId="2C3CCB0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P0 --第17.3.3 项、第17.5.2 项和第17.6.2 项约定的付款证书中承包人应得到的已完成工程量的金额。此项金额应不包括价格调整、不计质量保证金的扣留和支付、预付款的支付和扣回。第15 条约定的变更及其他金额已按现行价格计价的，也不计在内；</w:t>
      </w:r>
    </w:p>
    <w:p w14:paraId="334657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A --定值权重（即不调部分的权重）； </w:t>
      </w:r>
    </w:p>
    <w:p w14:paraId="2C9FBE7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B1; B2 ;B3·</w:t>
      </w:r>
      <w:r>
        <w:rPr>
          <w:rFonts w:hint="eastAsia" w:ascii="宋体" w:hAnsi="宋体" w:cs="宋体"/>
          <w:color w:val="auto"/>
          <w:sz w:val="21"/>
          <w:szCs w:val="21"/>
          <w:highlight w:val="none"/>
        </w:rPr>
        <w:drawing>
          <wp:inline distT="0" distB="0" distL="114300" distR="114300">
            <wp:extent cx="266700" cy="95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266700" cy="9525"/>
                    </a:xfrm>
                    <a:prstGeom prst="rect">
                      <a:avLst/>
                    </a:prstGeom>
                    <a:noFill/>
                    <a:ln>
                      <a:noFill/>
                    </a:ln>
                  </pic:spPr>
                </pic:pic>
              </a:graphicData>
            </a:graphic>
          </wp:inline>
        </w:drawing>
      </w:r>
      <w:r>
        <w:rPr>
          <w:rFonts w:hint="eastAsia" w:ascii="宋体" w:hAnsi="宋体" w:cs="宋体"/>
          <w:color w:val="auto"/>
          <w:sz w:val="21"/>
          <w:szCs w:val="21"/>
          <w:highlight w:val="none"/>
        </w:rPr>
        <w:t xml:space="preserve">Bn --各可调因子的变值权重（即可调部分的权重）为各调因子在投标函投标总报价中所占的比例； </w:t>
      </w:r>
    </w:p>
    <w:p w14:paraId="075B34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Ft1 ;Ft2 ;Ft3·</w:t>
      </w:r>
      <w:r>
        <w:rPr>
          <w:rFonts w:hint="eastAsia" w:ascii="宋体" w:hAnsi="宋体" w:cs="宋体"/>
          <w:color w:val="auto"/>
          <w:sz w:val="21"/>
          <w:szCs w:val="21"/>
          <w:highlight w:val="none"/>
        </w:rPr>
        <w:drawing>
          <wp:inline distT="0" distB="0" distL="114300" distR="114300">
            <wp:extent cx="257175" cy="952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57175" cy="9525"/>
                    </a:xfrm>
                    <a:prstGeom prst="rect">
                      <a:avLst/>
                    </a:prstGeom>
                    <a:noFill/>
                    <a:ln>
                      <a:noFill/>
                    </a:ln>
                  </pic:spPr>
                </pic:pic>
              </a:graphicData>
            </a:graphic>
          </wp:inline>
        </w:drawing>
      </w:r>
      <w:r>
        <w:rPr>
          <w:rFonts w:hint="eastAsia" w:ascii="宋体" w:hAnsi="宋体" w:cs="宋体"/>
          <w:color w:val="auto"/>
          <w:sz w:val="21"/>
          <w:szCs w:val="21"/>
          <w:highlight w:val="none"/>
        </w:rPr>
        <w:t xml:space="preserve">Ftn --各可调因子的现行价格指数，指第17.3.3 项、17.5.2 项和第17.6.2 项约定的付款证书相关周期最后一天的前42 天的各可调因子的价格指数； </w:t>
      </w:r>
    </w:p>
    <w:p w14:paraId="50FDA91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Fo1; Fo2; Fo3</w:t>
      </w:r>
      <w:r>
        <w:rPr>
          <w:rFonts w:hint="eastAsia" w:ascii="宋体" w:hAnsi="宋体" w:cs="宋体"/>
          <w:color w:val="auto"/>
          <w:sz w:val="21"/>
          <w:szCs w:val="21"/>
          <w:highlight w:val="none"/>
        </w:rPr>
        <w:drawing>
          <wp:inline distT="0" distB="0" distL="114300" distR="114300">
            <wp:extent cx="257175" cy="9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257175" cy="9525"/>
                    </a:xfrm>
                    <a:prstGeom prst="rect">
                      <a:avLst/>
                    </a:prstGeom>
                    <a:noFill/>
                    <a:ln>
                      <a:noFill/>
                    </a:ln>
                  </pic:spPr>
                </pic:pic>
              </a:graphicData>
            </a:graphic>
          </wp:inline>
        </w:drawing>
      </w:r>
      <w:r>
        <w:rPr>
          <w:rFonts w:hint="eastAsia" w:ascii="宋体" w:hAnsi="宋体" w:cs="宋体"/>
          <w:color w:val="auto"/>
          <w:sz w:val="21"/>
          <w:szCs w:val="21"/>
          <w:highlight w:val="none"/>
        </w:rPr>
        <w:t>·Fon --各可调因子的基本价格指数，指基准日期的各可调因子的价格指数。</w:t>
      </w:r>
    </w:p>
    <w:p w14:paraId="2E4D03E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B9C0E0F">
      <w:pPr>
        <w:snapToGrid w:val="0"/>
        <w:spacing w:line="360" w:lineRule="auto"/>
        <w:ind w:firstLine="420"/>
        <w:rPr>
          <w:rFonts w:hint="eastAsia" w:ascii="宋体" w:hAnsi="宋体" w:cs="宋体"/>
          <w:color w:val="auto"/>
          <w:sz w:val="21"/>
          <w:szCs w:val="21"/>
          <w:highlight w:val="none"/>
        </w:rPr>
      </w:pPr>
      <w:bookmarkStart w:id="938" w:name="_Toc199215111"/>
      <w:r>
        <w:rPr>
          <w:rFonts w:hint="eastAsia" w:ascii="宋体" w:hAnsi="宋体" w:cs="宋体"/>
          <w:color w:val="auto"/>
          <w:sz w:val="21"/>
          <w:szCs w:val="21"/>
          <w:highlight w:val="none"/>
        </w:rPr>
        <w:t xml:space="preserve">16.1.1.2采用造价信息调整价格差额 </w:t>
      </w:r>
    </w:p>
    <w:p w14:paraId="0CD43E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施工期内，因人工、材料、设备和机械台班价格波动影响合同价格时，人工、机械使用费按照国家或省   （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 </w:t>
      </w:r>
    </w:p>
    <w:p w14:paraId="456BA1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工程造价信息的来源以及价格调整的项目和系数在专用合同条款中约定。 </w:t>
      </w:r>
      <w:bookmarkEnd w:id="938"/>
      <w:bookmarkStart w:id="939" w:name="_Toc199215112"/>
    </w:p>
    <w:p w14:paraId="4D1CDD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16.1.1.3 权重的调整</w:t>
      </w:r>
      <w:bookmarkEnd w:id="939"/>
    </w:p>
    <w:p w14:paraId="6779410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按第15.1 款约定的变更导致原定合同中的权重不合理时，由监理人与承包人和发包人协商后进行调整。</w:t>
      </w:r>
    </w:p>
    <w:p w14:paraId="31BFA0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16.1.1.4 承包人工期延误后的价格调整</w:t>
      </w:r>
    </w:p>
    <w:p w14:paraId="1F82DF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由于承包人原因未在约定的工期内竣工的，则对原约定竣工日期后继续施工的工程，在使用第16.1.1.1 目价格调整公式时，应采用原约定竣工日期与实际竣工日期的两个价格指数中较低的一个作为现行价格指数。</w:t>
      </w:r>
    </w:p>
    <w:p w14:paraId="7AC965A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16.1.2 采用造价信息调整价格差额 </w:t>
      </w:r>
    </w:p>
    <w:p w14:paraId="1B4E56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76A454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工程造价信息的来源以及价格调整的项目和系数在专用合同条款中约定。</w:t>
      </w:r>
    </w:p>
    <w:p w14:paraId="32F07396">
      <w:pPr>
        <w:pStyle w:val="6"/>
        <w:spacing w:line="360" w:lineRule="auto"/>
        <w:rPr>
          <w:rFonts w:hint="eastAsia" w:ascii="宋体" w:hAnsi="宋体" w:eastAsia="宋体" w:cs="宋体"/>
          <w:color w:val="auto"/>
          <w:sz w:val="21"/>
          <w:szCs w:val="21"/>
          <w:highlight w:val="none"/>
        </w:rPr>
      </w:pPr>
      <w:bookmarkStart w:id="940" w:name="_Toc199155825"/>
      <w:r>
        <w:rPr>
          <w:rFonts w:hint="eastAsia" w:ascii="宋体" w:hAnsi="宋体" w:eastAsia="宋体" w:cs="宋体"/>
          <w:color w:val="auto"/>
          <w:sz w:val="21"/>
          <w:szCs w:val="21"/>
          <w:highlight w:val="none"/>
        </w:rPr>
        <w:t>16.2 法律变化引起的价格调整</w:t>
      </w:r>
      <w:bookmarkEnd w:id="940"/>
    </w:p>
    <w:p w14:paraId="4D8EFD3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在基准日后，因法律变化导致承包人在合同履行中所需要的工程费用发生除第16.1 款约定以外的增减时，监理人应根据法律、国家或省、自治区、直辖市有关部门的规定，按第3.5款商定或确定需调整的合同价款。</w:t>
      </w:r>
    </w:p>
    <w:p w14:paraId="0194D18B">
      <w:pPr>
        <w:pStyle w:val="5"/>
        <w:spacing w:line="360" w:lineRule="auto"/>
        <w:rPr>
          <w:rFonts w:hint="eastAsia" w:cs="宋体"/>
          <w:color w:val="auto"/>
          <w:sz w:val="21"/>
          <w:szCs w:val="21"/>
          <w:highlight w:val="none"/>
        </w:rPr>
      </w:pPr>
      <w:bookmarkStart w:id="941" w:name="_Toc199294308"/>
      <w:bookmarkStart w:id="942" w:name="_Toc199215113"/>
      <w:bookmarkStart w:id="943" w:name="_Toc200536593"/>
      <w:bookmarkStart w:id="944" w:name="_Toc200167758"/>
      <w:bookmarkStart w:id="945" w:name="_Toc199319993"/>
      <w:bookmarkStart w:id="946" w:name="_Toc199155826"/>
      <w:bookmarkStart w:id="947" w:name="_Toc25070"/>
      <w:bookmarkStart w:id="948" w:name="_Toc217971043"/>
      <w:bookmarkStart w:id="949" w:name="_Toc204076353"/>
      <w:bookmarkStart w:id="950" w:name="_Toc31181"/>
      <w:r>
        <w:rPr>
          <w:rFonts w:hint="eastAsia" w:cs="宋体"/>
          <w:color w:val="auto"/>
          <w:sz w:val="21"/>
          <w:szCs w:val="21"/>
          <w:highlight w:val="none"/>
        </w:rPr>
        <w:t>17. 计量与支付</w:t>
      </w:r>
      <w:bookmarkEnd w:id="941"/>
      <w:bookmarkEnd w:id="942"/>
      <w:bookmarkEnd w:id="943"/>
      <w:bookmarkEnd w:id="944"/>
      <w:bookmarkEnd w:id="945"/>
      <w:bookmarkEnd w:id="946"/>
      <w:bookmarkEnd w:id="947"/>
      <w:bookmarkEnd w:id="948"/>
      <w:bookmarkEnd w:id="949"/>
      <w:bookmarkEnd w:id="950"/>
    </w:p>
    <w:p w14:paraId="45377B91">
      <w:pPr>
        <w:pStyle w:val="6"/>
        <w:spacing w:line="360" w:lineRule="auto"/>
        <w:rPr>
          <w:rFonts w:hint="eastAsia" w:ascii="宋体" w:hAnsi="宋体" w:eastAsia="宋体" w:cs="宋体"/>
          <w:color w:val="auto"/>
          <w:sz w:val="21"/>
          <w:szCs w:val="21"/>
          <w:highlight w:val="none"/>
        </w:rPr>
      </w:pPr>
      <w:bookmarkStart w:id="951" w:name="_Toc199155827"/>
      <w:r>
        <w:rPr>
          <w:rFonts w:hint="eastAsia" w:ascii="宋体" w:hAnsi="宋体" w:eastAsia="宋体" w:cs="宋体"/>
          <w:color w:val="auto"/>
          <w:sz w:val="21"/>
          <w:szCs w:val="21"/>
          <w:highlight w:val="none"/>
        </w:rPr>
        <w:t>17.1 计量</w:t>
      </w:r>
      <w:bookmarkEnd w:id="951"/>
    </w:p>
    <w:p w14:paraId="7C8C3ABF">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17.1.1 计量单位</w:t>
      </w:r>
    </w:p>
    <w:p w14:paraId="2AB6AB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计量采用国家法定的计量单位。</w:t>
      </w:r>
    </w:p>
    <w:p w14:paraId="3CD36A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17.1.2 计量方法</w:t>
      </w:r>
    </w:p>
    <w:p w14:paraId="15B00E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结算工程量应按工程量清单中约定的方法计量。</w:t>
      </w:r>
    </w:p>
    <w:p w14:paraId="1E27DE1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17.1.3 计量周期</w:t>
      </w:r>
    </w:p>
    <w:p w14:paraId="7A802A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除专用合同条款另有约定外，单价子目已完成工程量按月计量，总价子目的计量周期按批准的支付分解报告确定。</w:t>
      </w:r>
    </w:p>
    <w:p w14:paraId="21D8B9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17.1.4 单价子目的计量</w:t>
      </w:r>
    </w:p>
    <w:p w14:paraId="1250C8C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（1）工程量清单中的单价子目工程量为估算工程量。结算工程量是承包人实际完成的，并按合同约定的计量方法进行计量的工程量。</w:t>
      </w:r>
    </w:p>
    <w:p w14:paraId="40324D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（2）承包人对已完成的工程进行计量，向监理人提交进度付款申请单、已完成工程量报表和有关计量资料。</w:t>
      </w:r>
    </w:p>
    <w:p w14:paraId="64D453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408CEA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（4）监理人认为有必要时，可通知承包人共同进行联合测量、计量，承包人应遵照执行。</w:t>
      </w:r>
    </w:p>
    <w:p w14:paraId="7918599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630F8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14:paraId="0FABC58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17.1.5 总价子目的计量 </w:t>
      </w:r>
    </w:p>
    <w:p w14:paraId="4BC6C1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总价子目的分解和计量按照下述约定进行。 </w:t>
      </w:r>
    </w:p>
    <w:p w14:paraId="230AD6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（1）总价子目的计量和支付应以总价为基础，不因第 16.1款中的因素而进行调整。承包人实际完成的工程量，是进行工程目标管理和控制进度支付的依据。 </w:t>
      </w:r>
    </w:p>
    <w:p w14:paraId="71D3BCD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（2）承包人应按工程量清单的要求对总价子目进行分解，并在签订协议书后的 28 天内项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2FFB9B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（3）监理人对承包人提交的上述资料进行复核，以确定分阶段实际完成的工程量和工程形象目标。对其有异议的，可要求承包人按第8.2款约定进行共同复核和抽样复测。</w:t>
      </w:r>
    </w:p>
    <w:p w14:paraId="0783FA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（4）除按照第15条约定的变更外，总价子目的工程量是承包人用于结算的最终工程量。</w:t>
      </w:r>
    </w:p>
    <w:p w14:paraId="6D20296B">
      <w:pPr>
        <w:pStyle w:val="6"/>
        <w:spacing w:line="360" w:lineRule="auto"/>
        <w:rPr>
          <w:rFonts w:hint="eastAsia" w:ascii="宋体" w:hAnsi="宋体" w:eastAsia="宋体" w:cs="宋体"/>
          <w:color w:val="auto"/>
          <w:sz w:val="21"/>
          <w:szCs w:val="21"/>
          <w:highlight w:val="none"/>
        </w:rPr>
      </w:pPr>
      <w:bookmarkStart w:id="952" w:name="_Toc199155828"/>
      <w:r>
        <w:rPr>
          <w:rFonts w:hint="eastAsia" w:ascii="宋体" w:hAnsi="宋体" w:eastAsia="宋体" w:cs="宋体"/>
          <w:color w:val="auto"/>
          <w:sz w:val="21"/>
          <w:szCs w:val="21"/>
          <w:highlight w:val="none"/>
        </w:rPr>
        <w:t>17.2 预付款</w:t>
      </w:r>
      <w:bookmarkEnd w:id="952"/>
    </w:p>
    <w:p w14:paraId="05E1CEC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17.2.1 预付款</w:t>
      </w:r>
    </w:p>
    <w:p w14:paraId="42C596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1337A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17.2.2 预付款保函（担保）</w:t>
      </w:r>
    </w:p>
    <w:p w14:paraId="1EEA2F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（1）承包人应在收到第一次工程预付款的同时向发包人提交工程预付款担保，担保金额应与第一次工程预付款金额相同，工程预付款担保在第一次工程预付款被发包人扣回前一直有效。 </w:t>
      </w:r>
    </w:p>
    <w:p w14:paraId="191DF9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（2）工程材料预付款的担保在专用合同条款中约定。 </w:t>
      </w:r>
    </w:p>
    <w:p w14:paraId="2DECE9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（3）预付款担保的担保金额可根据预付款扣回的金额相应递减。</w:t>
      </w:r>
    </w:p>
    <w:p w14:paraId="74B63A7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17.2.3 预付款的扣回与还清</w:t>
      </w:r>
    </w:p>
    <w:p w14:paraId="0DECF84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6FCFBE1">
      <w:pPr>
        <w:pStyle w:val="6"/>
        <w:spacing w:line="360" w:lineRule="auto"/>
        <w:rPr>
          <w:rFonts w:hint="eastAsia" w:ascii="宋体" w:hAnsi="宋体" w:eastAsia="宋体" w:cs="宋体"/>
          <w:color w:val="auto"/>
          <w:sz w:val="21"/>
          <w:szCs w:val="21"/>
          <w:highlight w:val="none"/>
        </w:rPr>
      </w:pPr>
      <w:bookmarkStart w:id="953" w:name="_Toc199155829"/>
      <w:r>
        <w:rPr>
          <w:rFonts w:hint="eastAsia" w:ascii="宋体" w:hAnsi="宋体" w:eastAsia="宋体" w:cs="宋体"/>
          <w:color w:val="auto"/>
          <w:sz w:val="21"/>
          <w:szCs w:val="21"/>
          <w:highlight w:val="none"/>
        </w:rPr>
        <w:t>17.3 工程进度付款</w:t>
      </w:r>
      <w:bookmarkEnd w:id="953"/>
    </w:p>
    <w:p w14:paraId="4257C2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17.3.1付款周期</w:t>
      </w:r>
    </w:p>
    <w:p w14:paraId="3BDCDB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付款周期同计量周期。</w:t>
      </w:r>
    </w:p>
    <w:p w14:paraId="22DAD7B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17.3.2进度付款申请单</w:t>
      </w:r>
    </w:p>
    <w:p w14:paraId="409154C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226E27F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（1）截至本次付款周期末已实施工程的价款；</w:t>
      </w:r>
    </w:p>
    <w:p w14:paraId="7700081E">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（2）根据第15 条应增加和扣减的变更金额；</w:t>
      </w:r>
    </w:p>
    <w:p w14:paraId="57445B7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（3）根据第23 条应增加和扣减的索赔金额；</w:t>
      </w:r>
    </w:p>
    <w:p w14:paraId="747696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（4）根据第17.2 款约定应支付的预付款和扣减的返还预付款；</w:t>
      </w:r>
    </w:p>
    <w:p w14:paraId="046B95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（5）根据第17.4.1 项约定应扣减的质量保证金；</w:t>
      </w:r>
    </w:p>
    <w:p w14:paraId="2E48FF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（6）根据合同应增加和扣减的其他金额。</w:t>
      </w:r>
    </w:p>
    <w:p w14:paraId="418B4A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17.3.3 进度付款证书和支付时间</w:t>
      </w:r>
    </w:p>
    <w:p w14:paraId="17B4D1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ED0824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（2）发包人应在监理人收到进度付款申请单后的28 天内，将进度应付款支付给承包人。发包人不按期支付的，按专用合同条款的约定支付逾期付款违约金。</w:t>
      </w:r>
    </w:p>
    <w:p w14:paraId="7021A4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（3）监理人出具进度付款证书，不应视为监理人已同意、批准或接受了承包人完成的该部分工作。</w:t>
      </w:r>
    </w:p>
    <w:p w14:paraId="55A4EE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（4）进度付款涉及政府投资资金的，按照国库集中支付等国家相关规定和专用合同条款的约定办理。</w:t>
      </w:r>
    </w:p>
    <w:p w14:paraId="336ECF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17.3.4 工程进度付款的修正</w:t>
      </w:r>
    </w:p>
    <w:p w14:paraId="3D0D782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8C6AB4F">
      <w:pPr>
        <w:pStyle w:val="6"/>
        <w:spacing w:line="360" w:lineRule="auto"/>
        <w:rPr>
          <w:rFonts w:hint="eastAsia" w:ascii="宋体" w:hAnsi="宋体" w:eastAsia="宋体" w:cs="宋体"/>
          <w:color w:val="auto"/>
          <w:sz w:val="21"/>
          <w:szCs w:val="21"/>
          <w:highlight w:val="none"/>
        </w:rPr>
      </w:pPr>
      <w:bookmarkStart w:id="954" w:name="_Toc199155830"/>
      <w:r>
        <w:rPr>
          <w:rFonts w:hint="eastAsia" w:ascii="宋体" w:hAnsi="宋体" w:eastAsia="宋体" w:cs="宋体"/>
          <w:color w:val="auto"/>
          <w:sz w:val="21"/>
          <w:szCs w:val="21"/>
          <w:highlight w:val="none"/>
        </w:rPr>
        <w:t>17.4 质量保证金</w:t>
      </w:r>
      <w:bookmarkEnd w:id="954"/>
    </w:p>
    <w:p w14:paraId="08A6D2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02DF0E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4229B0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17.4.3在第1.1.4.5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5458B0CD">
      <w:pPr>
        <w:pStyle w:val="6"/>
        <w:spacing w:line="360" w:lineRule="auto"/>
        <w:rPr>
          <w:rFonts w:hint="eastAsia" w:ascii="宋体" w:hAnsi="宋体" w:eastAsia="宋体" w:cs="宋体"/>
          <w:color w:val="auto"/>
          <w:sz w:val="21"/>
          <w:szCs w:val="21"/>
          <w:highlight w:val="none"/>
        </w:rPr>
      </w:pPr>
      <w:bookmarkStart w:id="955" w:name="_Toc199155831"/>
      <w:r>
        <w:rPr>
          <w:rFonts w:hint="eastAsia" w:ascii="宋体" w:hAnsi="宋体" w:eastAsia="宋体" w:cs="宋体"/>
          <w:color w:val="auto"/>
          <w:sz w:val="21"/>
          <w:szCs w:val="21"/>
          <w:highlight w:val="none"/>
        </w:rPr>
        <w:t>17.5 竣工结算</w:t>
      </w:r>
      <w:bookmarkEnd w:id="955"/>
      <w:r>
        <w:rPr>
          <w:rFonts w:hint="eastAsia" w:ascii="宋体" w:hAnsi="宋体" w:eastAsia="宋体" w:cs="宋体"/>
          <w:color w:val="auto"/>
          <w:sz w:val="21"/>
          <w:szCs w:val="21"/>
          <w:highlight w:val="none"/>
        </w:rPr>
        <w:t>（完工结算）</w:t>
      </w:r>
    </w:p>
    <w:p w14:paraId="69837C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17.5.1 竣工（完工）付款申请单</w:t>
      </w:r>
    </w:p>
    <w:p w14:paraId="743993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（1）承包人应在合同工程完工证书颁发后 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FE02ED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（2）监理人对完工付款申请单有异议的，有权要求承包人进行修正和提供补充资料。经监理人和承包人协商后，由承包人向监理人提交修正后的完工付款申请单。</w:t>
      </w:r>
    </w:p>
    <w:p w14:paraId="3672F6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17.5.2 竣工（完工）付款证书及支付时间</w:t>
      </w:r>
    </w:p>
    <w:p w14:paraId="735C16E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2EE6CE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（2）发包人应在监理人出具完工付款证书后的14 天内，将应支付款支付给承包人。发包人不按期支付的，按第17.3.3.2目的约定，将逾期付款违约金支付给承包人。</w:t>
      </w:r>
    </w:p>
    <w:p w14:paraId="679905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（3）承包人对发包人签认的竣工付款证书有异议的，发包人可出具完工付款申请单中承包人已同意部分的临时付款证书。存在争议的部分，按第24条的约定办理。</w:t>
      </w:r>
    </w:p>
    <w:p w14:paraId="746F87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（4）完工付款涉及政府投资资金的，按第17.3.3（4）目的约定办理。</w:t>
      </w:r>
    </w:p>
    <w:p w14:paraId="75B47E83">
      <w:pPr>
        <w:pStyle w:val="6"/>
        <w:spacing w:line="360" w:lineRule="auto"/>
        <w:rPr>
          <w:rFonts w:hint="eastAsia" w:ascii="宋体" w:hAnsi="宋体" w:eastAsia="宋体" w:cs="宋体"/>
          <w:color w:val="auto"/>
          <w:sz w:val="21"/>
          <w:szCs w:val="21"/>
          <w:highlight w:val="none"/>
        </w:rPr>
      </w:pPr>
      <w:bookmarkStart w:id="956" w:name="_Toc199155832"/>
      <w:r>
        <w:rPr>
          <w:rFonts w:hint="eastAsia" w:ascii="宋体" w:hAnsi="宋体" w:eastAsia="宋体" w:cs="宋体"/>
          <w:color w:val="auto"/>
          <w:sz w:val="21"/>
          <w:szCs w:val="21"/>
          <w:highlight w:val="none"/>
        </w:rPr>
        <w:t>17.6 最终结清</w:t>
      </w:r>
      <w:bookmarkEnd w:id="956"/>
    </w:p>
    <w:p w14:paraId="28666E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17.6.1 最终结清申请单</w:t>
      </w:r>
    </w:p>
    <w:p w14:paraId="7C9FDD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（1）工程质量保修责任终止证书签发后，承包人应按监理人批准的格式提交最终结清申请单。提交最终结清申请单的份数在专用合同条款中约定。</w:t>
      </w:r>
    </w:p>
    <w:p w14:paraId="1BFC5CB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（2）发包人对最终结清申请单内容有异议的，有权要求承包人进行修正和提供补充资料，由承包人向监理人提交修正后的最终结清申请单。</w:t>
      </w:r>
    </w:p>
    <w:p w14:paraId="3B7E35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17.6.2 最终结清证书和支付时间</w:t>
      </w:r>
    </w:p>
    <w:p w14:paraId="73E6625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85871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（2）发包人应在监理人出具最终结清证书后的14 天内，将应支付款支付给承包人。发包人不按期支付的，按第17.3.3（2）目的约定，将逾期付款违约金支付给承包人。</w:t>
      </w:r>
    </w:p>
    <w:p w14:paraId="23FDEB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（3）承包人对发包人签认的最终结清证书有异议的，按第24 条的约定办理。</w:t>
      </w:r>
    </w:p>
    <w:p w14:paraId="5F3A0D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（4）最终结清付款涉及政府投资资金的，按第17.3.3（4）目的约定办理。</w:t>
      </w:r>
    </w:p>
    <w:p w14:paraId="51239C85">
      <w:pPr>
        <w:pStyle w:val="6"/>
        <w:spacing w:line="360" w:lineRule="auto"/>
        <w:rPr>
          <w:rFonts w:hint="eastAsia" w:ascii="宋体" w:hAnsi="宋体" w:eastAsia="宋体" w:cs="宋体"/>
          <w:color w:val="auto"/>
          <w:sz w:val="21"/>
          <w:szCs w:val="21"/>
          <w:highlight w:val="none"/>
        </w:rPr>
      </w:pPr>
      <w:bookmarkStart w:id="957" w:name="_Toc200167759"/>
      <w:bookmarkStart w:id="958" w:name="_Toc199294309"/>
      <w:bookmarkStart w:id="959" w:name="_Toc200536594"/>
      <w:bookmarkStart w:id="960" w:name="_Toc204076354"/>
      <w:bookmarkStart w:id="961" w:name="_Toc199319994"/>
      <w:bookmarkStart w:id="962" w:name="_Toc199155833"/>
      <w:bookmarkStart w:id="963" w:name="_Toc199215114"/>
      <w:bookmarkStart w:id="964" w:name="_Toc217971044"/>
      <w:r>
        <w:rPr>
          <w:rFonts w:hint="eastAsia" w:ascii="宋体" w:hAnsi="宋体" w:eastAsia="宋体" w:cs="宋体"/>
          <w:color w:val="auto"/>
          <w:sz w:val="21"/>
          <w:szCs w:val="21"/>
          <w:highlight w:val="none"/>
        </w:rPr>
        <w:t>17.7 竣工财务决算</w:t>
      </w:r>
    </w:p>
    <w:p w14:paraId="5E3871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发包人负责编制本工程项目竣工财务决算，承包人应按专用条款的约定提供竣工财务决算编制所需的相关材料。</w:t>
      </w:r>
    </w:p>
    <w:p w14:paraId="366E187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 竣工审计</w:t>
      </w:r>
    </w:p>
    <w:p w14:paraId="38ADA1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发包人负责完成本工程竣工审计手续，承包人应完成相关配合工作。</w:t>
      </w:r>
    </w:p>
    <w:p w14:paraId="782869B0">
      <w:pPr>
        <w:pStyle w:val="5"/>
        <w:spacing w:line="360" w:lineRule="auto"/>
        <w:rPr>
          <w:rFonts w:hint="eastAsia" w:cs="宋体"/>
          <w:color w:val="auto"/>
          <w:sz w:val="21"/>
          <w:szCs w:val="21"/>
          <w:highlight w:val="none"/>
        </w:rPr>
      </w:pPr>
      <w:bookmarkStart w:id="965" w:name="_Toc25049"/>
      <w:bookmarkStart w:id="966" w:name="_Toc25117"/>
      <w:r>
        <w:rPr>
          <w:rFonts w:hint="eastAsia" w:cs="宋体"/>
          <w:color w:val="auto"/>
          <w:sz w:val="21"/>
          <w:szCs w:val="21"/>
          <w:highlight w:val="none"/>
        </w:rPr>
        <w:t>18. 竣工验收</w:t>
      </w:r>
      <w:bookmarkEnd w:id="957"/>
      <w:bookmarkEnd w:id="958"/>
      <w:bookmarkEnd w:id="959"/>
      <w:bookmarkEnd w:id="960"/>
      <w:bookmarkEnd w:id="961"/>
      <w:bookmarkEnd w:id="962"/>
      <w:bookmarkEnd w:id="963"/>
      <w:bookmarkEnd w:id="964"/>
      <w:r>
        <w:rPr>
          <w:rFonts w:hint="eastAsia" w:cs="宋体"/>
          <w:color w:val="auto"/>
          <w:sz w:val="21"/>
          <w:szCs w:val="21"/>
          <w:highlight w:val="none"/>
        </w:rPr>
        <w:t>（验收）</w:t>
      </w:r>
      <w:bookmarkEnd w:id="965"/>
      <w:bookmarkEnd w:id="966"/>
    </w:p>
    <w:p w14:paraId="416B782D">
      <w:pPr>
        <w:pStyle w:val="6"/>
        <w:spacing w:line="360" w:lineRule="auto"/>
        <w:rPr>
          <w:rFonts w:hint="eastAsia" w:ascii="宋体" w:hAnsi="宋体" w:eastAsia="宋体" w:cs="宋体"/>
          <w:color w:val="auto"/>
          <w:sz w:val="21"/>
          <w:szCs w:val="21"/>
          <w:highlight w:val="none"/>
        </w:rPr>
      </w:pPr>
      <w:bookmarkStart w:id="967" w:name="_Toc199155834"/>
      <w:r>
        <w:rPr>
          <w:rFonts w:hint="eastAsia" w:ascii="宋体" w:hAnsi="宋体" w:eastAsia="宋体" w:cs="宋体"/>
          <w:color w:val="auto"/>
          <w:sz w:val="21"/>
          <w:szCs w:val="21"/>
          <w:highlight w:val="none"/>
        </w:rPr>
        <w:t>18.1 验收工作分类</w:t>
      </w:r>
      <w:bookmarkEnd w:id="967"/>
    </w:p>
    <w:p w14:paraId="52EE3E46">
      <w:pPr>
        <w:snapToGrid w:val="0"/>
        <w:spacing w:line="360" w:lineRule="auto"/>
        <w:ind w:firstLine="420"/>
        <w:rPr>
          <w:rFonts w:hint="eastAsia" w:ascii="宋体" w:hAnsi="宋体" w:cs="宋体"/>
          <w:color w:val="auto"/>
          <w:sz w:val="21"/>
          <w:szCs w:val="21"/>
          <w:highlight w:val="none"/>
        </w:rPr>
      </w:pPr>
      <w:bookmarkStart w:id="968" w:name="_Toc199155835"/>
      <w:r>
        <w:rPr>
          <w:rFonts w:hint="eastAsia" w:ascii="宋体" w:hAnsi="宋体" w:cs="宋体"/>
          <w:color w:val="auto"/>
          <w:sz w:val="21"/>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工程量清单中。</w:t>
      </w:r>
    </w:p>
    <w:p w14:paraId="18D7DAC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bookmarkEnd w:id="968"/>
      <w:r>
        <w:rPr>
          <w:rFonts w:hint="eastAsia" w:ascii="宋体" w:hAnsi="宋体" w:eastAsia="宋体" w:cs="宋体"/>
          <w:color w:val="auto"/>
          <w:sz w:val="21"/>
          <w:szCs w:val="21"/>
          <w:highlight w:val="none"/>
        </w:rPr>
        <w:t xml:space="preserve"> 分部工程验收</w:t>
      </w:r>
    </w:p>
    <w:p w14:paraId="2BF196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18.2.1分部工程具备验收条件时，承包人应向发包人提交验收申请报告，发包人应在收到验收申请报告之日起10个工作日内决定是否同意进行验收。</w:t>
      </w:r>
    </w:p>
    <w:p w14:paraId="6E1492A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18.2.2除专用合同条款另有约定外，监理人主持分部工程验收，承包人应派符合条件的代表参加验收工作组。</w:t>
      </w:r>
    </w:p>
    <w:p w14:paraId="264B1F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18.2.3分部工程验收通过后，发包人向承包人发送分部工程验收鉴定书。承包人应及时完成分部工程验收鉴定书载明应由承包人处理的遗留问题。</w:t>
      </w:r>
    </w:p>
    <w:p w14:paraId="2AFAF3EE">
      <w:pPr>
        <w:pStyle w:val="6"/>
        <w:spacing w:line="360" w:lineRule="auto"/>
        <w:rPr>
          <w:rFonts w:hint="eastAsia" w:ascii="宋体" w:hAnsi="宋体" w:eastAsia="宋体" w:cs="宋体"/>
          <w:color w:val="auto"/>
          <w:sz w:val="21"/>
          <w:szCs w:val="21"/>
          <w:highlight w:val="none"/>
        </w:rPr>
      </w:pPr>
      <w:bookmarkStart w:id="969" w:name="_Toc199155836"/>
      <w:r>
        <w:rPr>
          <w:rFonts w:hint="eastAsia" w:ascii="宋体" w:hAnsi="宋体" w:eastAsia="宋体" w:cs="宋体"/>
          <w:color w:val="auto"/>
          <w:sz w:val="21"/>
          <w:szCs w:val="21"/>
          <w:highlight w:val="none"/>
        </w:rPr>
        <w:t>18.3</w:t>
      </w:r>
      <w:bookmarkEnd w:id="969"/>
      <w:r>
        <w:rPr>
          <w:rFonts w:hint="eastAsia" w:ascii="宋体" w:hAnsi="宋体" w:eastAsia="宋体" w:cs="宋体"/>
          <w:color w:val="auto"/>
          <w:sz w:val="21"/>
          <w:szCs w:val="21"/>
          <w:highlight w:val="none"/>
        </w:rPr>
        <w:t xml:space="preserve"> 单位工程验收</w:t>
      </w:r>
    </w:p>
    <w:p w14:paraId="786CB9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18.3.1单位工程具备验收条件时，承包人应向发包人提交验收申请报告，发包人应在收到验收申请报告之日起10个工作日内决定是否同意进行验收。</w:t>
      </w:r>
    </w:p>
    <w:p w14:paraId="7E2258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18.3.2发包人主持单位工程验收，承包人应派符合条件的代表参加验收工作组。</w:t>
      </w:r>
    </w:p>
    <w:p w14:paraId="06B4A4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18.3.3单位工程验收通过后，发包人向承包人发送单位工程验收鉴定书。承包人应及时完成单位工程验收鉴定书载明应由承包人处理的遗留问题。</w:t>
      </w:r>
    </w:p>
    <w:p w14:paraId="5B263C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18.3.4需提前投入使用的单位工程在专用合同条款中明确。</w:t>
      </w:r>
    </w:p>
    <w:p w14:paraId="64F78858">
      <w:pPr>
        <w:pStyle w:val="6"/>
        <w:spacing w:line="360" w:lineRule="auto"/>
        <w:rPr>
          <w:rFonts w:hint="eastAsia" w:ascii="宋体" w:hAnsi="宋体" w:eastAsia="宋体" w:cs="宋体"/>
          <w:color w:val="auto"/>
          <w:sz w:val="21"/>
          <w:szCs w:val="21"/>
          <w:highlight w:val="none"/>
        </w:rPr>
      </w:pPr>
      <w:bookmarkStart w:id="970" w:name="_Toc199155837"/>
      <w:r>
        <w:rPr>
          <w:rFonts w:hint="eastAsia" w:ascii="宋体" w:hAnsi="宋体" w:eastAsia="宋体" w:cs="宋体"/>
          <w:color w:val="auto"/>
          <w:sz w:val="21"/>
          <w:szCs w:val="21"/>
          <w:highlight w:val="none"/>
        </w:rPr>
        <w:t>18.4 合同工程完工验收</w:t>
      </w:r>
      <w:bookmarkEnd w:id="970"/>
    </w:p>
    <w:p w14:paraId="07368C3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18.4.1合同工程具备验收条件时，承包人应向发包人提交验收申请报告，发包人应在收到验收申请报告之日起20个工作日内决定是否同意进行验收。 </w:t>
      </w:r>
    </w:p>
    <w:p w14:paraId="52ACB65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18.4.2发包人主持合同工程完工验收，承包人应派代表参加验收工作组。</w:t>
      </w:r>
    </w:p>
    <w:p w14:paraId="46DC54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18.4.3合同工程完工验收通过后，发包人向承包人发送合同工程完工验收鉴定书。承包人应及时完成合同工程完工验收鉴定书载明应由承包人处理的遗留问题。</w:t>
      </w:r>
    </w:p>
    <w:p w14:paraId="0DB2740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18.4.4合同工程完工验收通过后，发包人与承包人应在 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 个工作日内向承包人颁发合同工程完工证书。</w:t>
      </w:r>
    </w:p>
    <w:p w14:paraId="1219A395">
      <w:pPr>
        <w:pStyle w:val="6"/>
        <w:spacing w:line="360" w:lineRule="auto"/>
        <w:rPr>
          <w:rFonts w:hint="eastAsia" w:ascii="宋体" w:hAnsi="宋体" w:eastAsia="宋体" w:cs="宋体"/>
          <w:color w:val="auto"/>
          <w:sz w:val="21"/>
          <w:szCs w:val="21"/>
          <w:highlight w:val="none"/>
        </w:rPr>
      </w:pPr>
      <w:bookmarkStart w:id="971" w:name="_Toc199155838"/>
      <w:r>
        <w:rPr>
          <w:rFonts w:hint="eastAsia" w:ascii="宋体" w:hAnsi="宋体" w:eastAsia="宋体" w:cs="宋体"/>
          <w:color w:val="auto"/>
          <w:sz w:val="21"/>
          <w:szCs w:val="21"/>
          <w:highlight w:val="none"/>
        </w:rPr>
        <w:t xml:space="preserve">18.5 </w:t>
      </w:r>
      <w:bookmarkEnd w:id="971"/>
      <w:r>
        <w:rPr>
          <w:rFonts w:hint="eastAsia" w:ascii="宋体" w:hAnsi="宋体" w:eastAsia="宋体" w:cs="宋体"/>
          <w:color w:val="auto"/>
          <w:sz w:val="21"/>
          <w:szCs w:val="21"/>
          <w:highlight w:val="none"/>
        </w:rPr>
        <w:t>阶段验收</w:t>
      </w:r>
    </w:p>
    <w:p w14:paraId="7CA554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18.5.1工程建设具备阶段验收条件时，发包人负责提出阶段验收申请报告。承包人应派代表参加阶段验收，并作为被验收单位在验收鉴定书上签字。阶段验收的具体类别在专用合同条款中约定。 </w:t>
      </w:r>
    </w:p>
    <w:p w14:paraId="6DAF8B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18.5.2</w:t>
      </w:r>
      <w:bookmarkStart w:id="972" w:name="_Toc199155839"/>
      <w:r>
        <w:rPr>
          <w:rFonts w:hint="eastAsia" w:ascii="宋体" w:hAnsi="宋体" w:cs="宋体"/>
          <w:color w:val="auto"/>
          <w:sz w:val="21"/>
          <w:szCs w:val="21"/>
          <w:highlight w:val="none"/>
        </w:rPr>
        <w:t>承包人应及时完成阶段验收鉴定书载明应由承包人处理的遗留问题。</w:t>
      </w:r>
    </w:p>
    <w:p w14:paraId="0294296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专项验收</w:t>
      </w:r>
      <w:bookmarkEnd w:id="972"/>
    </w:p>
    <w:p w14:paraId="0904D8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18.6.1发包人负责提出专项验收申请报告。承包人应按专项验收的相关规定参加专项验收。专项验收的具体类别在专用合同条款中约定。</w:t>
      </w:r>
    </w:p>
    <w:p w14:paraId="19EE3FD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18.6.2承包人应及时完成专项验收成果性文件载明应由承包人处理的遗留问题。</w:t>
      </w:r>
    </w:p>
    <w:p w14:paraId="6414A8FC">
      <w:pPr>
        <w:pStyle w:val="6"/>
        <w:spacing w:line="360" w:lineRule="auto"/>
        <w:rPr>
          <w:rFonts w:hint="eastAsia" w:ascii="宋体" w:hAnsi="宋体" w:eastAsia="宋体" w:cs="宋体"/>
          <w:color w:val="auto"/>
          <w:sz w:val="21"/>
          <w:szCs w:val="21"/>
          <w:highlight w:val="none"/>
        </w:rPr>
      </w:pPr>
      <w:bookmarkStart w:id="973" w:name="_Toc199155840"/>
      <w:r>
        <w:rPr>
          <w:rFonts w:hint="eastAsia" w:ascii="宋体" w:hAnsi="宋体" w:eastAsia="宋体" w:cs="宋体"/>
          <w:color w:val="auto"/>
          <w:sz w:val="21"/>
          <w:szCs w:val="21"/>
          <w:highlight w:val="none"/>
        </w:rPr>
        <w:t>18.7 竣工</w:t>
      </w:r>
      <w:bookmarkEnd w:id="973"/>
      <w:r>
        <w:rPr>
          <w:rFonts w:hint="eastAsia" w:ascii="宋体" w:hAnsi="宋体" w:eastAsia="宋体" w:cs="宋体"/>
          <w:color w:val="auto"/>
          <w:sz w:val="21"/>
          <w:szCs w:val="21"/>
          <w:highlight w:val="none"/>
        </w:rPr>
        <w:t>验收</w:t>
      </w:r>
    </w:p>
    <w:p w14:paraId="07A3C6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18.7.1申请竣工验收前，发包人组织竣工验收自查，承包人应派代表参加。</w:t>
      </w:r>
    </w:p>
    <w:p w14:paraId="31100E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18.7.2竣工验收分为竣工技术预验收和竣工验收两个阶段。发包人应通知承包人派代表参加技术预验收和竣工验收。</w:t>
      </w:r>
    </w:p>
    <w:p w14:paraId="5016BE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18.7.3专用合同条款约定工程需要进行技术鉴定的，承包人应提交有关资料并完成配合工作。</w:t>
      </w:r>
    </w:p>
    <w:p w14:paraId="13A47C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18.7.4竣工验收需要进行质量检测的，所需费用由发包人承担，但因承包人原因造成质量不合格的除外。</w:t>
      </w:r>
    </w:p>
    <w:p w14:paraId="283AA3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18.7.5工程质量保修期满以及竣工验收遗留问题和尾工处理完成并通过验收后，发包人负责将处理情况和验收成果报送竣工验收主持单位，申请领取工程竣工证书，并发送承包人。</w:t>
      </w:r>
    </w:p>
    <w:p w14:paraId="6CA60BB2">
      <w:pPr>
        <w:pStyle w:val="6"/>
        <w:spacing w:line="360" w:lineRule="auto"/>
        <w:rPr>
          <w:rFonts w:hint="eastAsia" w:ascii="宋体" w:hAnsi="宋体" w:eastAsia="宋体" w:cs="宋体"/>
          <w:color w:val="auto"/>
          <w:sz w:val="21"/>
          <w:szCs w:val="21"/>
          <w:highlight w:val="none"/>
        </w:rPr>
      </w:pPr>
      <w:bookmarkStart w:id="974" w:name="_Toc199155841"/>
      <w:r>
        <w:rPr>
          <w:rFonts w:hint="eastAsia" w:ascii="宋体" w:hAnsi="宋体" w:eastAsia="宋体" w:cs="宋体"/>
          <w:color w:val="auto"/>
          <w:sz w:val="21"/>
          <w:szCs w:val="21"/>
          <w:highlight w:val="none"/>
        </w:rPr>
        <w:t>18.8 施工期运行</w:t>
      </w:r>
      <w:bookmarkEnd w:id="974"/>
    </w:p>
    <w:p w14:paraId="391BA2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743305B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18.8.2在施工期运行中发现工程或工程设备损坏或存在缺陷的， 由承包人按第 19.2款约定进行修复。</w:t>
      </w:r>
    </w:p>
    <w:p w14:paraId="646E25D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试运行</w:t>
      </w:r>
    </w:p>
    <w:p w14:paraId="70ADF74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18.9.1除专用合同条款另有约定外，承包人应按规定进行工程及工程设备试运行，负责提供试运行所需的人员、器材和必要的条件，并承担全部试运行费用。</w:t>
      </w:r>
    </w:p>
    <w:p w14:paraId="5CF440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16102D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18.10 竣工（完工）清场</w:t>
      </w:r>
    </w:p>
    <w:p w14:paraId="21B6A01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18.10.1工程项目竣工（完工）清场的工作范围和内容在技术标准和要求（合同技术条款）中约定。</w:t>
      </w:r>
    </w:p>
    <w:p w14:paraId="762940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18.10.2承包人未按监理人的要求恢复临时占地， 或者场地清理未达到合同约定的，发包人有权委托其它人恢复或清理，所发生的金额从拟支付给承包人的款项中扣除。 </w:t>
      </w:r>
    </w:p>
    <w:p w14:paraId="27925DD8">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18.11 施工队伍的撤离</w:t>
      </w:r>
    </w:p>
    <w:p w14:paraId="352700B6">
      <w:pPr>
        <w:snapToGrid w:val="0"/>
        <w:spacing w:line="360" w:lineRule="auto"/>
        <w:ind w:firstLine="420"/>
        <w:rPr>
          <w:rFonts w:hint="eastAsia" w:ascii="宋体" w:hAnsi="宋体" w:cs="宋体"/>
          <w:color w:val="auto"/>
          <w:sz w:val="21"/>
          <w:szCs w:val="21"/>
          <w:highlight w:val="none"/>
        </w:rPr>
      </w:pPr>
      <w:bookmarkStart w:id="975" w:name="_Toc199155842"/>
      <w:bookmarkStart w:id="976" w:name="_Toc204076355"/>
      <w:bookmarkStart w:id="977" w:name="_Toc200167760"/>
      <w:bookmarkStart w:id="978" w:name="_Toc217971045"/>
      <w:bookmarkStart w:id="979" w:name="_Toc199215115"/>
      <w:bookmarkStart w:id="980" w:name="_Toc200536595"/>
      <w:bookmarkStart w:id="981" w:name="_Toc199319995"/>
      <w:bookmarkStart w:id="982" w:name="_Toc199294310"/>
      <w:r>
        <w:rPr>
          <w:rFonts w:hint="eastAsia" w:ascii="宋体" w:hAnsi="宋体" w:cs="宋体"/>
          <w:color w:val="auto"/>
          <w:sz w:val="21"/>
          <w:szCs w:val="21"/>
          <w:highlight w:val="none"/>
        </w:rPr>
        <w:t xml:space="preserve">合同工程完工证书颁发后的56天内，除了经监理人同意需在缺陷责任期 （工程质量保修期）内继续工作和使用的人员、施工设备和临时工程外，其余的人员、施工设备和临时工程均应撤离施工场地或拆除。除合同另有约定外，缺陷责任期 （工程质量保修期）满时，承包人的人员和施工设备应全部撤离施工场地。 </w:t>
      </w:r>
    </w:p>
    <w:p w14:paraId="34530668">
      <w:pPr>
        <w:pStyle w:val="5"/>
        <w:spacing w:line="360" w:lineRule="auto"/>
        <w:rPr>
          <w:rFonts w:hint="eastAsia" w:cs="宋体"/>
          <w:color w:val="auto"/>
          <w:sz w:val="21"/>
          <w:szCs w:val="21"/>
          <w:highlight w:val="none"/>
        </w:rPr>
      </w:pPr>
      <w:bookmarkStart w:id="983" w:name="_Toc11584"/>
      <w:bookmarkStart w:id="984" w:name="_Toc14199"/>
      <w:r>
        <w:rPr>
          <w:rFonts w:hint="eastAsia" w:cs="宋体"/>
          <w:color w:val="auto"/>
          <w:sz w:val="21"/>
          <w:szCs w:val="21"/>
          <w:highlight w:val="none"/>
        </w:rPr>
        <w:t>19. 缺陷责任与保修责任</w:t>
      </w:r>
      <w:bookmarkEnd w:id="975"/>
      <w:bookmarkEnd w:id="976"/>
      <w:bookmarkEnd w:id="977"/>
      <w:bookmarkEnd w:id="978"/>
      <w:bookmarkEnd w:id="979"/>
      <w:bookmarkEnd w:id="980"/>
      <w:bookmarkEnd w:id="981"/>
      <w:bookmarkEnd w:id="982"/>
      <w:bookmarkEnd w:id="983"/>
      <w:bookmarkEnd w:id="984"/>
    </w:p>
    <w:p w14:paraId="702997C6">
      <w:pPr>
        <w:pStyle w:val="6"/>
        <w:spacing w:line="360" w:lineRule="auto"/>
        <w:rPr>
          <w:rFonts w:hint="eastAsia" w:ascii="宋体" w:hAnsi="宋体" w:eastAsia="宋体" w:cs="宋体"/>
          <w:color w:val="auto"/>
          <w:sz w:val="21"/>
          <w:szCs w:val="21"/>
          <w:highlight w:val="none"/>
        </w:rPr>
      </w:pPr>
      <w:bookmarkStart w:id="985" w:name="_Toc199155843"/>
      <w:r>
        <w:rPr>
          <w:rFonts w:hint="eastAsia" w:ascii="宋体" w:hAnsi="宋体" w:eastAsia="宋体" w:cs="宋体"/>
          <w:color w:val="auto"/>
          <w:sz w:val="21"/>
          <w:szCs w:val="21"/>
          <w:highlight w:val="none"/>
        </w:rPr>
        <w:t>19.1</w:t>
      </w:r>
      <w:bookmarkEnd w:id="985"/>
      <w:r>
        <w:rPr>
          <w:rFonts w:hint="eastAsia" w:ascii="宋体" w:hAnsi="宋体" w:eastAsia="宋体" w:cs="宋体"/>
          <w:color w:val="auto"/>
          <w:sz w:val="21"/>
          <w:szCs w:val="21"/>
          <w:highlight w:val="none"/>
        </w:rPr>
        <w:t xml:space="preserve"> 缺陷责任期（工程质量保修期）的起算时间</w:t>
      </w:r>
    </w:p>
    <w:p w14:paraId="06B07886">
      <w:pPr>
        <w:snapToGrid w:val="0"/>
        <w:spacing w:line="360" w:lineRule="auto"/>
        <w:ind w:firstLine="420"/>
        <w:rPr>
          <w:rFonts w:hint="eastAsia" w:ascii="宋体" w:hAnsi="宋体" w:cs="宋体"/>
          <w:color w:val="auto"/>
          <w:sz w:val="21"/>
          <w:szCs w:val="21"/>
          <w:highlight w:val="none"/>
        </w:rPr>
      </w:pPr>
      <w:bookmarkStart w:id="986" w:name="_Toc199155844"/>
      <w:r>
        <w:rPr>
          <w:rFonts w:hint="eastAsia" w:ascii="宋体" w:hAnsi="宋体" w:cs="宋体"/>
          <w:color w:val="auto"/>
          <w:sz w:val="21"/>
          <w:szCs w:val="21"/>
          <w:highlight w:val="none"/>
        </w:rPr>
        <w:t xml:space="preserve">除专用合同条款另有约定外，缺陷责任期（工程质量保修期）从工程通过合同工程完工验收后开始计算。在合同工程完工验收前，已经发包人提前验收的单位工程或部分工程，若未投入使用，其缺陷责任期（工程质量保修期） 亦从工程通过合同工程完工验收后开始计算；若已投入使用，其缺陷责任期（工程质量保修期）从通过单位工程或部分工程投入使用验收后开始计算。缺陷责任期（工程质量保修期）的期限在专用合同条款中约定。 </w:t>
      </w:r>
    </w:p>
    <w:p w14:paraId="3B0C6E3E">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bookmarkEnd w:id="986"/>
    </w:p>
    <w:p w14:paraId="66EE17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19.2.1 承包人应在缺陷责任期内对已交付使用的工程承担缺陷责任。</w:t>
      </w:r>
    </w:p>
    <w:p w14:paraId="571757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19.2.2缺陷责任期内，发包人对已接收使用的工程负责日常维护工作。发包人在使用过程中，发现已接收的工程存在新的缺陷或已修复的缺陷部位或部件又遭损坏的，承包人应负责修复，直至检验合格为止。</w:t>
      </w:r>
    </w:p>
    <w:p w14:paraId="358D428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073D10B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19.2.4承包人不能在合理时间内修复缺陷的，发包人可自行修复或委托其他人修复，所需费用和利润的承担，按第19.2.3 项约定办理。</w:t>
      </w:r>
    </w:p>
    <w:p w14:paraId="4CB77C72">
      <w:pPr>
        <w:pStyle w:val="6"/>
        <w:spacing w:line="360" w:lineRule="auto"/>
        <w:rPr>
          <w:rFonts w:hint="eastAsia" w:ascii="宋体" w:hAnsi="宋体" w:eastAsia="宋体" w:cs="宋体"/>
          <w:color w:val="auto"/>
          <w:sz w:val="21"/>
          <w:szCs w:val="21"/>
          <w:highlight w:val="none"/>
        </w:rPr>
      </w:pPr>
      <w:bookmarkStart w:id="987" w:name="_Toc199155845"/>
      <w:r>
        <w:rPr>
          <w:rFonts w:hint="eastAsia" w:ascii="宋体" w:hAnsi="宋体" w:eastAsia="宋体" w:cs="宋体"/>
          <w:color w:val="auto"/>
          <w:sz w:val="21"/>
          <w:szCs w:val="21"/>
          <w:highlight w:val="none"/>
        </w:rPr>
        <w:t>19.3 缺陷责任期的延长</w:t>
      </w:r>
      <w:bookmarkEnd w:id="987"/>
    </w:p>
    <w:p w14:paraId="362E09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由于承包人原因造成某项缺陷或损坏使某项工程或工程设备不能按原定目标使用而需要再次检查、检验和修复的，发包人有权要求承包人相应延长缺陷责任期，但缺陷责任期最长不超过2 年。</w:t>
      </w:r>
    </w:p>
    <w:p w14:paraId="1F23663C">
      <w:pPr>
        <w:pStyle w:val="6"/>
        <w:spacing w:line="360" w:lineRule="auto"/>
        <w:rPr>
          <w:rFonts w:hint="eastAsia" w:ascii="宋体" w:hAnsi="宋体" w:eastAsia="宋体" w:cs="宋体"/>
          <w:color w:val="auto"/>
          <w:sz w:val="21"/>
          <w:szCs w:val="21"/>
          <w:highlight w:val="none"/>
        </w:rPr>
      </w:pPr>
      <w:bookmarkStart w:id="988" w:name="_Toc199155846"/>
      <w:r>
        <w:rPr>
          <w:rFonts w:hint="eastAsia" w:ascii="宋体" w:hAnsi="宋体" w:eastAsia="宋体" w:cs="宋体"/>
          <w:color w:val="auto"/>
          <w:sz w:val="21"/>
          <w:szCs w:val="21"/>
          <w:highlight w:val="none"/>
        </w:rPr>
        <w:t>19.4 进一步试验和试运行</w:t>
      </w:r>
      <w:bookmarkEnd w:id="988"/>
    </w:p>
    <w:p w14:paraId="2C15BF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任何一项缺陷或损坏修复后，经检查证明其影响了工程或工程设备的使用性能，承包人应重新进行合同约定的试验和试运行，试验和试运行的全部费用应由责任方承担。</w:t>
      </w:r>
    </w:p>
    <w:p w14:paraId="59633195">
      <w:pPr>
        <w:pStyle w:val="6"/>
        <w:spacing w:line="360" w:lineRule="auto"/>
        <w:rPr>
          <w:rFonts w:hint="eastAsia" w:ascii="宋体" w:hAnsi="宋体" w:eastAsia="宋体" w:cs="宋体"/>
          <w:color w:val="auto"/>
          <w:sz w:val="21"/>
          <w:szCs w:val="21"/>
          <w:highlight w:val="none"/>
        </w:rPr>
      </w:pPr>
      <w:bookmarkStart w:id="989" w:name="_Toc199155847"/>
      <w:r>
        <w:rPr>
          <w:rFonts w:hint="eastAsia" w:ascii="宋体" w:hAnsi="宋体" w:eastAsia="宋体" w:cs="宋体"/>
          <w:color w:val="auto"/>
          <w:sz w:val="21"/>
          <w:szCs w:val="21"/>
          <w:highlight w:val="none"/>
        </w:rPr>
        <w:t>19.5 承包人的进入权</w:t>
      </w:r>
      <w:bookmarkEnd w:id="989"/>
    </w:p>
    <w:p w14:paraId="4D7210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缺陷责任期内承包人为缺陷修复工作需要，有权进入工程现场，但应遵守发包人的保安和保密规定。</w:t>
      </w:r>
    </w:p>
    <w:p w14:paraId="2BEBE8C8">
      <w:pPr>
        <w:pStyle w:val="6"/>
        <w:spacing w:line="360" w:lineRule="auto"/>
        <w:rPr>
          <w:rFonts w:hint="eastAsia" w:ascii="宋体" w:hAnsi="宋体" w:eastAsia="宋体" w:cs="宋体"/>
          <w:color w:val="auto"/>
          <w:sz w:val="21"/>
          <w:szCs w:val="21"/>
          <w:highlight w:val="none"/>
        </w:rPr>
      </w:pPr>
      <w:bookmarkStart w:id="990" w:name="_Toc199155848"/>
      <w:r>
        <w:rPr>
          <w:rFonts w:hint="eastAsia" w:ascii="宋体" w:hAnsi="宋体" w:eastAsia="宋体" w:cs="宋体"/>
          <w:color w:val="auto"/>
          <w:sz w:val="21"/>
          <w:szCs w:val="21"/>
          <w:highlight w:val="none"/>
        </w:rPr>
        <w:t>19.6 缺陷责任期终止证书</w:t>
      </w:r>
      <w:bookmarkEnd w:id="990"/>
      <w:r>
        <w:rPr>
          <w:rFonts w:hint="eastAsia" w:ascii="宋体" w:hAnsi="宋体" w:eastAsia="宋体" w:cs="宋体"/>
          <w:color w:val="auto"/>
          <w:sz w:val="21"/>
          <w:szCs w:val="21"/>
          <w:highlight w:val="none"/>
        </w:rPr>
        <w:t>（工程质量保修终止证书）</w:t>
      </w:r>
    </w:p>
    <w:p w14:paraId="144DFE53">
      <w:pPr>
        <w:snapToGrid w:val="0"/>
        <w:spacing w:line="360" w:lineRule="auto"/>
        <w:ind w:firstLine="420"/>
        <w:rPr>
          <w:rFonts w:hint="eastAsia" w:ascii="宋体" w:hAnsi="宋体" w:cs="宋体"/>
          <w:color w:val="auto"/>
          <w:sz w:val="21"/>
          <w:szCs w:val="21"/>
          <w:highlight w:val="none"/>
        </w:rPr>
      </w:pPr>
      <w:bookmarkStart w:id="991" w:name="_Toc199155849"/>
      <w:r>
        <w:rPr>
          <w:rFonts w:hint="eastAsia" w:ascii="宋体" w:hAnsi="宋体" w:cs="宋体"/>
          <w:color w:val="auto"/>
          <w:sz w:val="21"/>
          <w:szCs w:val="21"/>
          <w:highlight w:val="none"/>
        </w:rPr>
        <w:t>合同工程完工验收或投入使用验收后，发包人与承包人应办理工程交接手续，承包人应 向发包人递交工程质量保修书。</w:t>
      </w:r>
    </w:p>
    <w:p w14:paraId="0F227C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缺陷责任期（工程质量保修期）满后30个工作日内，发包人应向承包人颁发工程质量保修责任终止证书，并退还剩余的质量保证金，但保修责任范围内的质量缺陷未处理完成的应除外。</w:t>
      </w:r>
    </w:p>
    <w:p w14:paraId="390C96B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bookmarkEnd w:id="991"/>
    </w:p>
    <w:p w14:paraId="32FE2B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BE4B6A3">
      <w:pPr>
        <w:pStyle w:val="5"/>
        <w:spacing w:line="360" w:lineRule="auto"/>
        <w:rPr>
          <w:rFonts w:hint="eastAsia" w:cs="宋体"/>
          <w:color w:val="auto"/>
          <w:sz w:val="21"/>
          <w:szCs w:val="21"/>
          <w:highlight w:val="none"/>
        </w:rPr>
      </w:pPr>
      <w:bookmarkStart w:id="992" w:name="_Toc200536596"/>
      <w:bookmarkStart w:id="993" w:name="_Toc199319996"/>
      <w:bookmarkStart w:id="994" w:name="_Toc17894"/>
      <w:bookmarkStart w:id="995" w:name="_Toc199215116"/>
      <w:bookmarkStart w:id="996" w:name="_Toc217971046"/>
      <w:bookmarkStart w:id="997" w:name="_Toc204076356"/>
      <w:bookmarkStart w:id="998" w:name="_Toc199294311"/>
      <w:bookmarkStart w:id="999" w:name="_Toc9368"/>
      <w:bookmarkStart w:id="1000" w:name="_Toc200167761"/>
      <w:bookmarkStart w:id="1001" w:name="_Toc199155850"/>
      <w:r>
        <w:rPr>
          <w:rFonts w:hint="eastAsia" w:cs="宋体"/>
          <w:color w:val="auto"/>
          <w:sz w:val="21"/>
          <w:szCs w:val="21"/>
          <w:highlight w:val="none"/>
        </w:rPr>
        <w:t>20. 保险</w:t>
      </w:r>
      <w:bookmarkEnd w:id="992"/>
      <w:bookmarkEnd w:id="993"/>
      <w:bookmarkEnd w:id="994"/>
      <w:bookmarkEnd w:id="995"/>
      <w:bookmarkEnd w:id="996"/>
      <w:bookmarkEnd w:id="997"/>
      <w:bookmarkEnd w:id="998"/>
      <w:bookmarkEnd w:id="999"/>
      <w:bookmarkEnd w:id="1000"/>
      <w:bookmarkEnd w:id="1001"/>
    </w:p>
    <w:p w14:paraId="703F7BC1">
      <w:pPr>
        <w:pStyle w:val="6"/>
        <w:spacing w:line="360" w:lineRule="auto"/>
        <w:rPr>
          <w:rFonts w:hint="eastAsia" w:ascii="宋体" w:hAnsi="宋体" w:eastAsia="宋体" w:cs="宋体"/>
          <w:color w:val="auto"/>
          <w:sz w:val="21"/>
          <w:szCs w:val="21"/>
          <w:highlight w:val="none"/>
        </w:rPr>
      </w:pPr>
      <w:bookmarkStart w:id="1002" w:name="_Toc199155851"/>
      <w:r>
        <w:rPr>
          <w:rFonts w:hint="eastAsia" w:ascii="宋体" w:hAnsi="宋体" w:eastAsia="宋体" w:cs="宋体"/>
          <w:color w:val="auto"/>
          <w:sz w:val="21"/>
          <w:szCs w:val="21"/>
          <w:highlight w:val="none"/>
        </w:rPr>
        <w:t>20.1 工程保险</w:t>
      </w:r>
      <w:bookmarkEnd w:id="1002"/>
    </w:p>
    <w:p w14:paraId="4E7B9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FF8FCF">
      <w:pPr>
        <w:pStyle w:val="6"/>
        <w:spacing w:line="360" w:lineRule="auto"/>
        <w:rPr>
          <w:rFonts w:hint="eastAsia" w:ascii="宋体" w:hAnsi="宋体" w:eastAsia="宋体" w:cs="宋体"/>
          <w:color w:val="auto"/>
          <w:sz w:val="21"/>
          <w:szCs w:val="21"/>
          <w:highlight w:val="none"/>
        </w:rPr>
      </w:pPr>
      <w:bookmarkStart w:id="1003" w:name="_Toc199155852"/>
      <w:r>
        <w:rPr>
          <w:rFonts w:hint="eastAsia" w:ascii="宋体" w:hAnsi="宋体" w:eastAsia="宋体" w:cs="宋体"/>
          <w:color w:val="auto"/>
          <w:sz w:val="21"/>
          <w:szCs w:val="21"/>
          <w:highlight w:val="none"/>
        </w:rPr>
        <w:t>20.2 人员工伤事故的保险</w:t>
      </w:r>
      <w:bookmarkEnd w:id="1003"/>
    </w:p>
    <w:p w14:paraId="683CF22E">
      <w:pPr>
        <w:snapToGrid w:val="0"/>
        <w:spacing w:line="360" w:lineRule="auto"/>
        <w:ind w:firstLine="420"/>
        <w:rPr>
          <w:rFonts w:hint="eastAsia" w:ascii="宋体" w:hAnsi="宋体" w:cs="宋体"/>
          <w:color w:val="auto"/>
          <w:sz w:val="21"/>
          <w:szCs w:val="21"/>
          <w:highlight w:val="none"/>
        </w:rPr>
      </w:pPr>
      <w:bookmarkStart w:id="1004" w:name="_Toc199215117"/>
      <w:bookmarkStart w:id="1005" w:name="_Toc199155853"/>
      <w:bookmarkStart w:id="1006" w:name="_Toc199294312"/>
      <w:r>
        <w:rPr>
          <w:rFonts w:hint="eastAsia" w:ascii="宋体" w:hAnsi="宋体" w:cs="宋体"/>
          <w:color w:val="auto"/>
          <w:sz w:val="21"/>
          <w:szCs w:val="21"/>
          <w:highlight w:val="none"/>
        </w:rPr>
        <w:t>20.2.1 承包人员工伤事故的保险</w:t>
      </w:r>
      <w:bookmarkEnd w:id="1004"/>
      <w:bookmarkEnd w:id="1005"/>
      <w:bookmarkEnd w:id="1006"/>
      <w:r>
        <w:rPr>
          <w:rFonts w:hint="eastAsia" w:ascii="宋体" w:hAnsi="宋体" w:cs="宋体"/>
          <w:color w:val="auto"/>
          <w:sz w:val="21"/>
          <w:szCs w:val="21"/>
          <w:highlight w:val="none"/>
        </w:rPr>
        <w:t xml:space="preserve"> </w:t>
      </w:r>
    </w:p>
    <w:p w14:paraId="0523C3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承包人应依照有关法律规定参加工伤保险，为其履行合同所雇佣的全部人员，缴纳工伤保险费，并要求其分包人也进行此项保险。</w:t>
      </w:r>
    </w:p>
    <w:p w14:paraId="481C4BD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20.2.2 发包人员工伤事故的保险 </w:t>
      </w:r>
    </w:p>
    <w:p w14:paraId="00958CC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发包人应依照有关法律规定参加工伤保险，为其现场机构雇佣的全部人员，缴纳工伤保险费，并要求其监理人也进行此项保险。</w:t>
      </w:r>
    </w:p>
    <w:p w14:paraId="0446B82A">
      <w:pPr>
        <w:pStyle w:val="6"/>
        <w:spacing w:line="360" w:lineRule="auto"/>
        <w:rPr>
          <w:rFonts w:hint="eastAsia" w:ascii="宋体" w:hAnsi="宋体" w:eastAsia="宋体" w:cs="宋体"/>
          <w:color w:val="auto"/>
          <w:sz w:val="21"/>
          <w:szCs w:val="21"/>
          <w:highlight w:val="none"/>
        </w:rPr>
      </w:pPr>
      <w:bookmarkStart w:id="1007" w:name="_Toc199155854"/>
      <w:r>
        <w:rPr>
          <w:rFonts w:hint="eastAsia" w:ascii="宋体" w:hAnsi="宋体" w:eastAsia="宋体" w:cs="宋体"/>
          <w:color w:val="auto"/>
          <w:sz w:val="21"/>
          <w:szCs w:val="21"/>
          <w:highlight w:val="none"/>
        </w:rPr>
        <w:t>20.3 人身意外伤害险</w:t>
      </w:r>
      <w:bookmarkEnd w:id="1007"/>
    </w:p>
    <w:p w14:paraId="2813DF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20.3.1发包人应在整个施工期间为其现场机构雇用的全部人员，投保人身意外伤害险，缴纳保险费，并要求其监理人也进行此项保险。</w:t>
      </w:r>
    </w:p>
    <w:p w14:paraId="1D63B8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20.3.2承包人应在整个施工期间为其现场机构雇用的全部人员，投保人身意外伤害险，缴纳保险费，并要求其分包人也进行此项保险。</w:t>
      </w:r>
    </w:p>
    <w:p w14:paraId="15BC5462">
      <w:pPr>
        <w:pStyle w:val="6"/>
        <w:spacing w:line="360" w:lineRule="auto"/>
        <w:rPr>
          <w:rFonts w:hint="eastAsia" w:ascii="宋体" w:hAnsi="宋体" w:eastAsia="宋体" w:cs="宋体"/>
          <w:color w:val="auto"/>
          <w:sz w:val="21"/>
          <w:szCs w:val="21"/>
          <w:highlight w:val="none"/>
        </w:rPr>
      </w:pPr>
      <w:bookmarkStart w:id="1008" w:name="_Toc199155855"/>
      <w:r>
        <w:rPr>
          <w:rFonts w:hint="eastAsia" w:ascii="宋体" w:hAnsi="宋体" w:eastAsia="宋体" w:cs="宋体"/>
          <w:color w:val="auto"/>
          <w:sz w:val="21"/>
          <w:szCs w:val="21"/>
          <w:highlight w:val="none"/>
        </w:rPr>
        <w:t>20.4 第三者责任险</w:t>
      </w:r>
      <w:bookmarkEnd w:id="1008"/>
    </w:p>
    <w:p w14:paraId="74FDF1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D2A99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20.4.2 在缺陷责任期终止证书颁发前，承包人应以承包人和发包人的共同名义，投保第20.4.1项约定的第三者责任险，其保险费率、保险金额等有关内容在专用合同条款中约定。</w:t>
      </w:r>
    </w:p>
    <w:p w14:paraId="7659DD53">
      <w:pPr>
        <w:pStyle w:val="6"/>
        <w:spacing w:line="360" w:lineRule="auto"/>
        <w:rPr>
          <w:rFonts w:hint="eastAsia" w:ascii="宋体" w:hAnsi="宋体" w:eastAsia="宋体" w:cs="宋体"/>
          <w:color w:val="auto"/>
          <w:sz w:val="21"/>
          <w:szCs w:val="21"/>
          <w:highlight w:val="none"/>
        </w:rPr>
      </w:pPr>
      <w:bookmarkStart w:id="1009" w:name="_Toc199155856"/>
      <w:r>
        <w:rPr>
          <w:rFonts w:hint="eastAsia" w:ascii="宋体" w:hAnsi="宋体" w:eastAsia="宋体" w:cs="宋体"/>
          <w:color w:val="auto"/>
          <w:sz w:val="21"/>
          <w:szCs w:val="21"/>
          <w:highlight w:val="none"/>
        </w:rPr>
        <w:t>20.5 其他保险</w:t>
      </w:r>
      <w:bookmarkEnd w:id="1009"/>
    </w:p>
    <w:p w14:paraId="708CB348">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除专用合同条款另有约定外，承包人应为其施工设备、进场的材料和工程设备等办理保险。</w:t>
      </w:r>
    </w:p>
    <w:p w14:paraId="60C6D45B">
      <w:pPr>
        <w:pStyle w:val="6"/>
        <w:spacing w:line="360" w:lineRule="auto"/>
        <w:rPr>
          <w:rFonts w:hint="eastAsia" w:ascii="宋体" w:hAnsi="宋体" w:eastAsia="宋体" w:cs="宋体"/>
          <w:color w:val="auto"/>
          <w:sz w:val="21"/>
          <w:szCs w:val="21"/>
          <w:highlight w:val="none"/>
        </w:rPr>
      </w:pPr>
      <w:bookmarkStart w:id="1010" w:name="_Toc199155857"/>
      <w:r>
        <w:rPr>
          <w:rFonts w:hint="eastAsia" w:ascii="宋体" w:hAnsi="宋体" w:eastAsia="宋体" w:cs="宋体"/>
          <w:color w:val="auto"/>
          <w:sz w:val="21"/>
          <w:szCs w:val="21"/>
          <w:highlight w:val="none"/>
        </w:rPr>
        <w:t>20.6 对各项保险的一般要求</w:t>
      </w:r>
      <w:bookmarkEnd w:id="1010"/>
    </w:p>
    <w:p w14:paraId="46CD82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20.6.1 保险凭证</w:t>
      </w:r>
    </w:p>
    <w:p w14:paraId="5527459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承包人应在专用合同条款约定的期限内向发包人提交各项保险生效的证据和保险单副本，保险单必须与专用合同条款约定的条件保持一致。</w:t>
      </w:r>
    </w:p>
    <w:p w14:paraId="5EA624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20.6.2 保险合同条款的变动</w:t>
      </w:r>
    </w:p>
    <w:p w14:paraId="26CF35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承包人需要变动保险合同条款时，应事先征得发包人同意，并通知监理人。保险人作出变动的，承包人应在收到保险人通知后立即通知发包人和监理人。</w:t>
      </w:r>
    </w:p>
    <w:p w14:paraId="764EA2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20.6.3 持续保险</w:t>
      </w:r>
    </w:p>
    <w:p w14:paraId="41C883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承包人应与保险人保持联系，使保险人能够随时了解工程实施中的变动，并确保按保险合同条款要求持续保险。</w:t>
      </w:r>
    </w:p>
    <w:p w14:paraId="446283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20.6.4 保险金不足以补偿损失时，应由承包人和发包人各自负责补偿的范围和金额在专用合同条款中约定。 </w:t>
      </w:r>
    </w:p>
    <w:p w14:paraId="124F63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20.6.5 未按约定投保的补救 </w:t>
      </w:r>
    </w:p>
    <w:p w14:paraId="0AB6DB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（1）由于负有投保义务的一方当事人未按合同约定办理保险，或未能使保险持续有效的，另一方当事人可代为办理，所需费用由对方当事人承担。</w:t>
      </w:r>
    </w:p>
    <w:p w14:paraId="2403D2B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（2）由于负有投保义务的一方当事人未按合同约定办理某项保险，导致受益人未能得到保险人的赔偿，原应从该项保险得到的保险金应由负有投保义务的一方当事人支付。</w:t>
      </w:r>
    </w:p>
    <w:p w14:paraId="41B6E61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20.6.6 报告义务 </w:t>
      </w:r>
    </w:p>
    <w:p w14:paraId="20A591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当保险事故发生时，投保人应按照保险单规定的条件和期限及时向保险人报告。</w:t>
      </w:r>
    </w:p>
    <w:p w14:paraId="0AC39FAC">
      <w:pPr>
        <w:snapToGrid w:val="0"/>
        <w:spacing w:line="360" w:lineRule="auto"/>
        <w:ind w:firstLine="420"/>
        <w:outlineLvl w:val="2"/>
        <w:rPr>
          <w:rFonts w:hint="eastAsia" w:ascii="宋体" w:hAnsi="宋体" w:cs="宋体"/>
          <w:color w:val="auto"/>
          <w:sz w:val="21"/>
          <w:szCs w:val="21"/>
          <w:highlight w:val="none"/>
        </w:rPr>
      </w:pPr>
      <w:bookmarkStart w:id="1011" w:name="_Toc32401"/>
      <w:bookmarkStart w:id="1012" w:name="_Toc17750"/>
      <w:r>
        <w:rPr>
          <w:rFonts w:hint="eastAsia" w:ascii="宋体" w:hAnsi="宋体" w:cs="宋体"/>
          <w:color w:val="auto"/>
          <w:sz w:val="21"/>
          <w:szCs w:val="21"/>
          <w:highlight w:val="none"/>
        </w:rPr>
        <w:t>20.7 风险责任的转移</w:t>
      </w:r>
      <w:bookmarkEnd w:id="1011"/>
      <w:bookmarkEnd w:id="1012"/>
      <w:r>
        <w:rPr>
          <w:rFonts w:hint="eastAsia" w:ascii="宋体" w:hAnsi="宋体" w:cs="宋体"/>
          <w:color w:val="auto"/>
          <w:sz w:val="21"/>
          <w:szCs w:val="21"/>
          <w:highlight w:val="none"/>
        </w:rPr>
        <w:t xml:space="preserve"> </w:t>
      </w:r>
    </w:p>
    <w:p w14:paraId="0DD1508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p>
    <w:p w14:paraId="320AB949">
      <w:pPr>
        <w:pStyle w:val="5"/>
        <w:spacing w:line="360" w:lineRule="auto"/>
        <w:rPr>
          <w:rFonts w:hint="eastAsia" w:cs="宋体"/>
          <w:color w:val="auto"/>
          <w:sz w:val="21"/>
          <w:szCs w:val="21"/>
          <w:highlight w:val="none"/>
        </w:rPr>
      </w:pPr>
      <w:bookmarkStart w:id="1013" w:name="_Toc199155858"/>
      <w:bookmarkStart w:id="1014" w:name="_Toc199215118"/>
      <w:bookmarkStart w:id="1015" w:name="_Toc217971047"/>
      <w:bookmarkStart w:id="1016" w:name="_Toc204076357"/>
      <w:bookmarkStart w:id="1017" w:name="_Toc14936"/>
      <w:bookmarkStart w:id="1018" w:name="_Toc199294313"/>
      <w:bookmarkStart w:id="1019" w:name="_Toc200536597"/>
      <w:bookmarkStart w:id="1020" w:name="_Toc21626"/>
      <w:bookmarkStart w:id="1021" w:name="_Toc199319997"/>
      <w:bookmarkStart w:id="1022" w:name="_Toc200167762"/>
      <w:r>
        <w:rPr>
          <w:rFonts w:hint="eastAsia" w:cs="宋体"/>
          <w:color w:val="auto"/>
          <w:sz w:val="21"/>
          <w:szCs w:val="21"/>
          <w:highlight w:val="none"/>
        </w:rPr>
        <w:t>21. 不可抗力</w:t>
      </w:r>
      <w:bookmarkEnd w:id="1013"/>
      <w:bookmarkEnd w:id="1014"/>
      <w:bookmarkEnd w:id="1015"/>
      <w:bookmarkEnd w:id="1016"/>
      <w:bookmarkEnd w:id="1017"/>
      <w:bookmarkEnd w:id="1018"/>
      <w:bookmarkEnd w:id="1019"/>
      <w:bookmarkEnd w:id="1020"/>
      <w:bookmarkEnd w:id="1021"/>
      <w:bookmarkEnd w:id="1022"/>
    </w:p>
    <w:p w14:paraId="6072FD7C">
      <w:pPr>
        <w:pStyle w:val="6"/>
        <w:spacing w:line="360" w:lineRule="auto"/>
        <w:rPr>
          <w:rFonts w:hint="eastAsia" w:ascii="宋体" w:hAnsi="宋体" w:eastAsia="宋体" w:cs="宋体"/>
          <w:color w:val="auto"/>
          <w:sz w:val="21"/>
          <w:szCs w:val="21"/>
          <w:highlight w:val="none"/>
        </w:rPr>
      </w:pPr>
      <w:bookmarkStart w:id="1023" w:name="_Toc199155859"/>
      <w:r>
        <w:rPr>
          <w:rFonts w:hint="eastAsia" w:ascii="宋体" w:hAnsi="宋体" w:eastAsia="宋体" w:cs="宋体"/>
          <w:color w:val="auto"/>
          <w:sz w:val="21"/>
          <w:szCs w:val="21"/>
          <w:highlight w:val="none"/>
        </w:rPr>
        <w:t>21.1 不可抗力的确认</w:t>
      </w:r>
      <w:bookmarkEnd w:id="1023"/>
    </w:p>
    <w:p w14:paraId="3673615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21.1.1不可抗力是指承包人和发包人在订立合同时不可预见，在工程施工过程中不可避免发生并不能克服的自然灾害和社会性突发事件，如地震、海啸、瘟疫、水灾、骚乱、暴动、战争和专用合同条款约定的其他情形。</w:t>
      </w:r>
    </w:p>
    <w:p w14:paraId="0369A0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064C4355">
      <w:pPr>
        <w:pStyle w:val="6"/>
        <w:spacing w:line="360" w:lineRule="auto"/>
        <w:rPr>
          <w:rFonts w:hint="eastAsia" w:ascii="宋体" w:hAnsi="宋体" w:eastAsia="宋体" w:cs="宋体"/>
          <w:color w:val="auto"/>
          <w:sz w:val="21"/>
          <w:szCs w:val="21"/>
          <w:highlight w:val="none"/>
        </w:rPr>
      </w:pPr>
      <w:bookmarkStart w:id="1024" w:name="_Toc199155860"/>
      <w:r>
        <w:rPr>
          <w:rFonts w:hint="eastAsia" w:ascii="宋体" w:hAnsi="宋体" w:eastAsia="宋体" w:cs="宋体"/>
          <w:color w:val="auto"/>
          <w:sz w:val="21"/>
          <w:szCs w:val="21"/>
          <w:highlight w:val="none"/>
        </w:rPr>
        <w:t>21.2 不可抗力的通知</w:t>
      </w:r>
      <w:bookmarkEnd w:id="1024"/>
    </w:p>
    <w:p w14:paraId="36BFC49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21.2.1合同一方当事人遇到不可抗力事件，使其履行合同义务受到阻碍时，应立即通知合同另一方当事人和监理人，书面说明不可抗力和受阻碍的详细情况，并提供必要的证明。</w:t>
      </w:r>
    </w:p>
    <w:p w14:paraId="75E5648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21.2.2如不可抗力持续发生，合同一方当事人应及时向合同另一方当事人和监理人提交中间报告，说明不可抗力和履行合同受阻的情况，并于不可抗力事件结束后28 天内提交最终报告及有关资料。</w:t>
      </w:r>
    </w:p>
    <w:p w14:paraId="7C4DF45D">
      <w:pPr>
        <w:pStyle w:val="6"/>
        <w:spacing w:line="360" w:lineRule="auto"/>
        <w:rPr>
          <w:rFonts w:hint="eastAsia" w:ascii="宋体" w:hAnsi="宋体" w:eastAsia="宋体" w:cs="宋体"/>
          <w:color w:val="auto"/>
          <w:sz w:val="21"/>
          <w:szCs w:val="21"/>
          <w:highlight w:val="none"/>
        </w:rPr>
      </w:pPr>
      <w:bookmarkStart w:id="1025" w:name="_Toc199155861"/>
      <w:r>
        <w:rPr>
          <w:rFonts w:hint="eastAsia" w:ascii="宋体" w:hAnsi="宋体" w:eastAsia="宋体" w:cs="宋体"/>
          <w:color w:val="auto"/>
          <w:sz w:val="21"/>
          <w:szCs w:val="21"/>
          <w:highlight w:val="none"/>
        </w:rPr>
        <w:t>21.3 不可抗力后果及其处理</w:t>
      </w:r>
      <w:bookmarkEnd w:id="1025"/>
    </w:p>
    <w:p w14:paraId="55A4A0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21.3.1 不可抗力造成损害的责任</w:t>
      </w:r>
    </w:p>
    <w:p w14:paraId="27BC8C6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除专用合同条款另有约定外，不可抗力导致的人员伤亡、财产损失、费用增加和（或）工期延误等后果，由合同双方按以下原则承担：</w:t>
      </w:r>
    </w:p>
    <w:p w14:paraId="07638C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（1）永久工程，包括已运至施工场地的材料和工程设备的损害，以及因工程损害造成的第三者人员伤亡和财产损失由发包人承担；</w:t>
      </w:r>
    </w:p>
    <w:p w14:paraId="111514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（2）承包人设备的损坏由承包人承担；</w:t>
      </w:r>
    </w:p>
    <w:p w14:paraId="70B8EE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（3）发包人和承包人各自承担其人员伤亡和其他财产损失及其相关费用；</w:t>
      </w:r>
    </w:p>
    <w:p w14:paraId="01B28D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（4）承包人的停工损失由承包人承担，但停工期间应监理人要求照管工程和清理、修复工程的金额由发包人承担；</w:t>
      </w:r>
    </w:p>
    <w:p w14:paraId="39EB69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（5）不能按期竣工的，应合理延长工期，承包人不需支付逾期竣工违约金。发包人要求赶工的，承包人应采取赶工措施，赶工费用由发包人承担。</w:t>
      </w:r>
    </w:p>
    <w:p w14:paraId="173B32F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21.3.2 延迟履行期间发生的不可抗力</w:t>
      </w:r>
    </w:p>
    <w:p w14:paraId="551EE19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合同一方当事人延迟履行，在延迟履行期间发生不可抗力的，不免除其责任。</w:t>
      </w:r>
    </w:p>
    <w:p w14:paraId="1CC0DF4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21.3.3 避免和减少不可抗力损失</w:t>
      </w:r>
    </w:p>
    <w:p w14:paraId="2E4291F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不可抗力发生后，发包人和承包人均应采取措施尽量避免和减少损失的扩大，任何一方没有采取有效措施导致损失扩大的，应对扩大的损失承担责任。</w:t>
      </w:r>
    </w:p>
    <w:p w14:paraId="4AE59A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21.3.4 因不可抗力解除合同</w:t>
      </w:r>
    </w:p>
    <w:p w14:paraId="656AB2C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495AAD9A">
      <w:pPr>
        <w:pStyle w:val="5"/>
        <w:spacing w:line="360" w:lineRule="auto"/>
        <w:rPr>
          <w:rFonts w:hint="eastAsia" w:cs="宋体"/>
          <w:color w:val="auto"/>
          <w:sz w:val="21"/>
          <w:szCs w:val="21"/>
          <w:highlight w:val="none"/>
        </w:rPr>
      </w:pPr>
      <w:bookmarkStart w:id="1026" w:name="_Toc24737"/>
      <w:bookmarkStart w:id="1027" w:name="_Toc200536598"/>
      <w:bookmarkStart w:id="1028" w:name="_Toc482"/>
      <w:bookmarkStart w:id="1029" w:name="_Toc200167763"/>
      <w:bookmarkStart w:id="1030" w:name="_Toc217971048"/>
      <w:bookmarkStart w:id="1031" w:name="_Toc199215119"/>
      <w:bookmarkStart w:id="1032" w:name="_Toc199294314"/>
      <w:bookmarkStart w:id="1033" w:name="_Toc199319998"/>
      <w:bookmarkStart w:id="1034" w:name="_Toc204076358"/>
      <w:bookmarkStart w:id="1035" w:name="_Toc199155862"/>
      <w:r>
        <w:rPr>
          <w:rFonts w:hint="eastAsia" w:cs="宋体"/>
          <w:color w:val="auto"/>
          <w:sz w:val="21"/>
          <w:szCs w:val="21"/>
          <w:highlight w:val="none"/>
        </w:rPr>
        <w:t>22. 违约</w:t>
      </w:r>
      <w:bookmarkEnd w:id="1026"/>
      <w:bookmarkEnd w:id="1027"/>
      <w:bookmarkEnd w:id="1028"/>
      <w:bookmarkEnd w:id="1029"/>
      <w:bookmarkEnd w:id="1030"/>
      <w:bookmarkEnd w:id="1031"/>
      <w:bookmarkEnd w:id="1032"/>
      <w:bookmarkEnd w:id="1033"/>
      <w:bookmarkEnd w:id="1034"/>
      <w:bookmarkEnd w:id="1035"/>
    </w:p>
    <w:p w14:paraId="36C2D732">
      <w:pPr>
        <w:pStyle w:val="6"/>
        <w:spacing w:line="360" w:lineRule="auto"/>
        <w:rPr>
          <w:rFonts w:hint="eastAsia" w:ascii="宋体" w:hAnsi="宋体" w:eastAsia="宋体" w:cs="宋体"/>
          <w:color w:val="auto"/>
          <w:sz w:val="21"/>
          <w:szCs w:val="21"/>
          <w:highlight w:val="none"/>
        </w:rPr>
      </w:pPr>
      <w:bookmarkStart w:id="1036" w:name="_Toc199155863"/>
      <w:r>
        <w:rPr>
          <w:rFonts w:hint="eastAsia" w:ascii="宋体" w:hAnsi="宋体" w:eastAsia="宋体" w:cs="宋体"/>
          <w:color w:val="auto"/>
          <w:sz w:val="21"/>
          <w:szCs w:val="21"/>
          <w:highlight w:val="none"/>
        </w:rPr>
        <w:t>22.1承包人违约</w:t>
      </w:r>
      <w:bookmarkEnd w:id="1036"/>
    </w:p>
    <w:p w14:paraId="6BC662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22.1.1 承包人违约的情形</w:t>
      </w:r>
    </w:p>
    <w:p w14:paraId="34B89BB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在履行合同过程中发生的下列情况属承包人违约： </w:t>
      </w:r>
    </w:p>
    <w:p w14:paraId="293BC1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（1）承包人违反第1.8款或第4.3款的约定，私自将合同的全部或部分权利转让给其他人，或私自将合同的全部或部分义务转移给其他人； </w:t>
      </w:r>
    </w:p>
    <w:p w14:paraId="748BB5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（2）承包人违反第5.3款或第6.4款的约定，未经监理人批准，私自将已按合同约定进入施工场地的施工设备、临时设施或材料撤离施工场地； </w:t>
      </w:r>
    </w:p>
    <w:p w14:paraId="2EC2D5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（3）承包人违反第5.4款的约定使用了不合格材料或工程设备，工程质量达不到标准要求，又拒绝清除不合格工程； </w:t>
      </w:r>
    </w:p>
    <w:p w14:paraId="038923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（4）承包人未能按合同进度计划及时完成合同约定的工作，已造成或预期造成工期延误； </w:t>
      </w:r>
    </w:p>
    <w:p w14:paraId="3F2E50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（5）承包人在缺陷责任期（工程质量保修期）内，未能对合同工程完工验收鉴定书所列的缺陷清单的内容或缺陷责任期（工程质量保修期）内发生的缺陷进行修复，而又拒绝按监理人指示再进行修补；</w:t>
      </w:r>
    </w:p>
    <w:p w14:paraId="6EE360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（6）承包人无法继续履行或明确表示不履行或实质上已停止履行合同；</w:t>
      </w:r>
    </w:p>
    <w:p w14:paraId="23F7F9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（7）承包人不按合同约定履行义务的其它情况。</w:t>
      </w:r>
    </w:p>
    <w:p w14:paraId="7B1D9A2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22.1.2 对承包人违约的处理 </w:t>
      </w:r>
    </w:p>
    <w:p w14:paraId="39AF3C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（1）承包人发生第22.1.1（6）目约定的违约情况时，发包人可通知承包人立即解除合同，并按有关法律处理。</w:t>
      </w:r>
    </w:p>
    <w:p w14:paraId="12B205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（2）承包人发生除第22.1.1（6）目约定以外的其他违约情况时，监理人可向承包人发出整改通知，要求其在指定的期限内改正。承包人应承担其违约所引起的费用增加和（或）工期延误。</w:t>
      </w:r>
    </w:p>
    <w:p w14:paraId="527C51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（3）经检查证明承包人已采取了有效措施纠正违约行为，具备复工条件的，可由监理人签发复工通知复工。</w:t>
      </w:r>
    </w:p>
    <w:p w14:paraId="06432B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22.1.3 承包人违约解除合同 </w:t>
      </w:r>
    </w:p>
    <w:p w14:paraId="59E4D22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A5F03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22.1.4 合同解除后的估价、付款和结清 </w:t>
      </w:r>
    </w:p>
    <w:p w14:paraId="6A219C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（1）合同解除后，监理人按第3.5 款商定或确定承包人实际完成工作的价值，以及承包人已提供的材料、施工设备、工程设备和临时工程等的价值。</w:t>
      </w:r>
    </w:p>
    <w:p w14:paraId="268EE9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（2）合同解除后，发包人应暂停对承包人的一切付款，查清各项付款和已扣款金额，包括承包人应支付的违约金。</w:t>
      </w:r>
    </w:p>
    <w:p w14:paraId="53904CB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（3）合同解除后，发包人应按第23.4 款的约定向承包人索赔由于解除合同给发包人造成的损失。</w:t>
      </w:r>
    </w:p>
    <w:p w14:paraId="61DC58B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（4）合同双方确认上述往来款项后，出具最终结清付款证书，结清全部合同款项。</w:t>
      </w:r>
    </w:p>
    <w:p w14:paraId="5D43E9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（5）发包人和承包人未能就解除合同后的结清达成一致而形成争议的，按第24 条的约定办理。</w:t>
      </w:r>
    </w:p>
    <w:p w14:paraId="115354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22.1.5 协议利益的转让 </w:t>
      </w:r>
    </w:p>
    <w:p w14:paraId="44DDB7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因承包人违约解除合同的，发包人有权要求承包人将其为实施合同而签订的材料和设备的订货协议或任何服务协议利益转让给发包人，并在解除合同后的14 天内，依法办理转让手续。</w:t>
      </w:r>
    </w:p>
    <w:p w14:paraId="08D84CA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22.1.6 紧急情况下无能力或不愿进行抢救 </w:t>
      </w:r>
    </w:p>
    <w:p w14:paraId="6D01A31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2DAB64B">
      <w:pPr>
        <w:pStyle w:val="6"/>
        <w:spacing w:line="360" w:lineRule="auto"/>
        <w:rPr>
          <w:rFonts w:hint="eastAsia" w:ascii="宋体" w:hAnsi="宋体" w:eastAsia="宋体" w:cs="宋体"/>
          <w:color w:val="auto"/>
          <w:sz w:val="21"/>
          <w:szCs w:val="21"/>
          <w:highlight w:val="none"/>
        </w:rPr>
      </w:pPr>
      <w:bookmarkStart w:id="1037" w:name="_Toc199155864"/>
      <w:r>
        <w:rPr>
          <w:rFonts w:hint="eastAsia" w:ascii="宋体" w:hAnsi="宋体" w:eastAsia="宋体" w:cs="宋体"/>
          <w:color w:val="auto"/>
          <w:sz w:val="21"/>
          <w:szCs w:val="21"/>
          <w:highlight w:val="none"/>
        </w:rPr>
        <w:t>22.2 发包人违约</w:t>
      </w:r>
      <w:bookmarkEnd w:id="1037"/>
    </w:p>
    <w:p w14:paraId="4B904E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22.2.1 发包人违约的情形 </w:t>
      </w:r>
    </w:p>
    <w:p w14:paraId="7A2872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在履行合同过程中发生的下列情形，属发包人违约：</w:t>
      </w:r>
    </w:p>
    <w:p w14:paraId="7CBDCF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（1）发包人未能按合同约定支付预付款或合同价款，或拖延、拒绝批准付款申请和支付凭证，导致付款延误的；</w:t>
      </w:r>
    </w:p>
    <w:p w14:paraId="18D3044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（2）发包人原因造成停工的；</w:t>
      </w:r>
    </w:p>
    <w:p w14:paraId="725788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（3）监理人无正当理由没有在约定期限内发出复工指示，导致承包人无法复工的；</w:t>
      </w:r>
    </w:p>
    <w:p w14:paraId="230E5B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（4）发包人无法继续履行或明确表示不履行或实质上已停止履行合同的；</w:t>
      </w:r>
    </w:p>
    <w:p w14:paraId="78DD79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（5）发包人不履行合同约定其他义务的。</w:t>
      </w:r>
    </w:p>
    <w:p w14:paraId="637E26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22.2.2 承包人有权暂停施工</w:t>
      </w:r>
    </w:p>
    <w:p w14:paraId="79850E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14:paraId="008403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22.2.3 发包人违约解除合同</w:t>
      </w:r>
    </w:p>
    <w:p w14:paraId="6394EA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（1）发生第22.2.1（4）目的违约情况时，承包人可书面通知发包人解除合同。</w:t>
      </w:r>
    </w:p>
    <w:p w14:paraId="62EBCF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（2）承包人按22.2.2 项暂停施工28 天后，发包人仍不纠正违约行为的，承包人可向发包人发出解除合同通知。但承包人的这一行动不免除发包人承担的违约责任，也不影响承包人根据合同约定享有的索赔权利。</w:t>
      </w:r>
    </w:p>
    <w:p w14:paraId="0B94964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22.2.4 解除合同后的付款 </w:t>
      </w:r>
    </w:p>
    <w:p w14:paraId="5E552FA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因发包人违约解除合同的，发包人应在解除合同后28 天内向承包人支付下列金额，承包人应在此期限内及时向发包人提交要求支付下列金额的有关资料和凭证：</w:t>
      </w:r>
    </w:p>
    <w:p w14:paraId="0512E7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（1）合同解除日以前所完成工作的价款；</w:t>
      </w:r>
    </w:p>
    <w:p w14:paraId="4149CEA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（2）承包人为该工程施工订购并已付款的材料、工程设备和其他物品的金额。发包人付还后，该材料、工程设备和其他物品归发包人所有；</w:t>
      </w:r>
    </w:p>
    <w:p w14:paraId="478AED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（3）承包人为完成工程所发生的，而发包人未支付的金额；</w:t>
      </w:r>
    </w:p>
    <w:p w14:paraId="37D2F1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（4）承包人撤离施工场地以及遣散承包人人员的金额；</w:t>
      </w:r>
    </w:p>
    <w:p w14:paraId="32897A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（5）由于解除合同应赔偿的承包人损失；</w:t>
      </w:r>
    </w:p>
    <w:p w14:paraId="5F3316A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（6）按合同约定在合同解除日前应支付给承包人的其他金额。</w:t>
      </w:r>
    </w:p>
    <w:p w14:paraId="45F827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发包人应按本项约定支付上述金额并退还质量保证金和履约担保，但有权要求承包人支付应偿还给发包人的各项金额。</w:t>
      </w:r>
    </w:p>
    <w:p w14:paraId="5BFD4F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22.2.5 解除合同后的承包人撤离 </w:t>
      </w:r>
    </w:p>
    <w:p w14:paraId="1FE43C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11F9E391">
      <w:pPr>
        <w:pStyle w:val="6"/>
        <w:spacing w:line="360" w:lineRule="auto"/>
        <w:rPr>
          <w:rFonts w:hint="eastAsia" w:ascii="宋体" w:hAnsi="宋体" w:eastAsia="宋体" w:cs="宋体"/>
          <w:color w:val="auto"/>
          <w:sz w:val="21"/>
          <w:szCs w:val="21"/>
          <w:highlight w:val="none"/>
        </w:rPr>
      </w:pPr>
      <w:bookmarkStart w:id="1038" w:name="_Toc199155865"/>
      <w:r>
        <w:rPr>
          <w:rFonts w:hint="eastAsia" w:ascii="宋体" w:hAnsi="宋体" w:eastAsia="宋体" w:cs="宋体"/>
          <w:color w:val="auto"/>
          <w:sz w:val="21"/>
          <w:szCs w:val="21"/>
          <w:highlight w:val="none"/>
        </w:rPr>
        <w:t>22.3 第三人造成的违约</w:t>
      </w:r>
      <w:bookmarkEnd w:id="1038"/>
    </w:p>
    <w:p w14:paraId="3A9BF6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14:paraId="0C3F5D7C">
      <w:pPr>
        <w:pStyle w:val="5"/>
        <w:spacing w:line="360" w:lineRule="auto"/>
        <w:rPr>
          <w:rFonts w:hint="eastAsia" w:cs="宋体"/>
          <w:color w:val="auto"/>
          <w:sz w:val="21"/>
          <w:szCs w:val="21"/>
          <w:highlight w:val="none"/>
        </w:rPr>
      </w:pPr>
      <w:bookmarkStart w:id="1039" w:name="_Toc7265"/>
      <w:bookmarkStart w:id="1040" w:name="_Toc200167764"/>
      <w:bookmarkStart w:id="1041" w:name="_Toc204076359"/>
      <w:bookmarkStart w:id="1042" w:name="_Toc199319999"/>
      <w:bookmarkStart w:id="1043" w:name="_Toc217971049"/>
      <w:bookmarkStart w:id="1044" w:name="_Toc27"/>
      <w:bookmarkStart w:id="1045" w:name="_Toc199155866"/>
      <w:bookmarkStart w:id="1046" w:name="_Toc200536599"/>
      <w:bookmarkStart w:id="1047" w:name="_Toc199294315"/>
      <w:bookmarkStart w:id="1048" w:name="_Toc199215120"/>
      <w:r>
        <w:rPr>
          <w:rFonts w:hint="eastAsia" w:cs="宋体"/>
          <w:color w:val="auto"/>
          <w:sz w:val="21"/>
          <w:szCs w:val="21"/>
          <w:highlight w:val="none"/>
        </w:rPr>
        <w:t>23. 索赔</w:t>
      </w:r>
      <w:bookmarkEnd w:id="1039"/>
      <w:bookmarkEnd w:id="1040"/>
      <w:bookmarkEnd w:id="1041"/>
      <w:bookmarkEnd w:id="1042"/>
      <w:bookmarkEnd w:id="1043"/>
      <w:bookmarkEnd w:id="1044"/>
      <w:bookmarkEnd w:id="1045"/>
      <w:bookmarkEnd w:id="1046"/>
      <w:bookmarkEnd w:id="1047"/>
      <w:bookmarkEnd w:id="1048"/>
    </w:p>
    <w:p w14:paraId="75F228AC">
      <w:pPr>
        <w:pStyle w:val="6"/>
        <w:spacing w:line="360" w:lineRule="auto"/>
        <w:rPr>
          <w:rFonts w:hint="eastAsia" w:ascii="宋体" w:hAnsi="宋体" w:eastAsia="宋体" w:cs="宋体"/>
          <w:color w:val="auto"/>
          <w:sz w:val="21"/>
          <w:szCs w:val="21"/>
          <w:highlight w:val="none"/>
        </w:rPr>
      </w:pPr>
      <w:bookmarkStart w:id="1049" w:name="_Toc199155867"/>
      <w:r>
        <w:rPr>
          <w:rFonts w:hint="eastAsia" w:ascii="宋体" w:hAnsi="宋体" w:eastAsia="宋体" w:cs="宋体"/>
          <w:color w:val="auto"/>
          <w:sz w:val="21"/>
          <w:szCs w:val="21"/>
          <w:highlight w:val="none"/>
        </w:rPr>
        <w:t>23.1 承包人索赔的提出</w:t>
      </w:r>
      <w:bookmarkEnd w:id="1049"/>
    </w:p>
    <w:p w14:paraId="660F4B6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根据合同约定，承包人认为有权得到追加付款和（或）延长工期的，应按以下程序向发包人提出索赔：</w:t>
      </w:r>
    </w:p>
    <w:p w14:paraId="73CC0D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（1）承包人应在知道或应当知道索赔事件发生后28 天内，向监理人递交索赔意向通知书，并说明发生索赔事件的事由。承包人未在前述28 天内发出索赔意向通知书的，丧失要求追加付款和（或）延长工期的权利；</w:t>
      </w:r>
    </w:p>
    <w:p w14:paraId="7629F1B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（2）承包人应在发出索赔意向通知书后28 天内，向监理人正式递交索赔通知书。索赔通知书应详细说明索赔理由以及要求追加的付款金额和（或）延长的工期，并附必要的记录和证明材料；</w:t>
      </w:r>
    </w:p>
    <w:p w14:paraId="422BE62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（3）索赔事件具有连续影响的，承包人应按合理时间间隔继续递交延续索赔通知，说明连续影响的实际情况和记录，列出累计的追加付款金额和（或）工期延长天数；</w:t>
      </w:r>
    </w:p>
    <w:p w14:paraId="292968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（4）在索赔事件影响结束后的28 天内，承包人应向监理人递交最终索赔通知书，说明最终要求索赔的追加付款金额和延长的工期，并附必要的记录和证明材料。</w:t>
      </w:r>
    </w:p>
    <w:p w14:paraId="348E1915">
      <w:pPr>
        <w:pStyle w:val="6"/>
        <w:spacing w:line="360" w:lineRule="auto"/>
        <w:rPr>
          <w:rFonts w:hint="eastAsia" w:ascii="宋体" w:hAnsi="宋体" w:eastAsia="宋体" w:cs="宋体"/>
          <w:color w:val="auto"/>
          <w:sz w:val="21"/>
          <w:szCs w:val="21"/>
          <w:highlight w:val="none"/>
        </w:rPr>
      </w:pPr>
      <w:bookmarkStart w:id="1050" w:name="_Toc199155868"/>
      <w:r>
        <w:rPr>
          <w:rFonts w:hint="eastAsia" w:ascii="宋体" w:hAnsi="宋体" w:eastAsia="宋体" w:cs="宋体"/>
          <w:color w:val="auto"/>
          <w:sz w:val="21"/>
          <w:szCs w:val="21"/>
          <w:highlight w:val="none"/>
        </w:rPr>
        <w:t>23.2 承包人索赔处理程序</w:t>
      </w:r>
      <w:bookmarkEnd w:id="1050"/>
    </w:p>
    <w:p w14:paraId="4A64FD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（1）监理人收到承包人提交的索赔通知书后，应及时审查索赔通知书的内容、查验承包人的记录和证明材料，必要时监理人可要求承包人提交全部原始记录副本。</w:t>
      </w:r>
    </w:p>
    <w:p w14:paraId="1F6AF85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（2）监理人应按第3.5 款商定或确定追加的付款和（或）延长的工期，并在收到上述索赔通知书或有关索赔的进一步证明材料后的42 天内，将索赔处理结果答复承包人。</w:t>
      </w:r>
    </w:p>
    <w:p w14:paraId="65C54C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（3）承包人接受索赔处理结果的，发包人应在作出索赔处理结果答复后28 天内完成赔付。承包人不接受索赔处理结果的，按第24 条的约定办理。</w:t>
      </w:r>
    </w:p>
    <w:p w14:paraId="5D05C4B5">
      <w:pPr>
        <w:pStyle w:val="6"/>
        <w:spacing w:line="360" w:lineRule="auto"/>
        <w:rPr>
          <w:rFonts w:hint="eastAsia" w:ascii="宋体" w:hAnsi="宋体" w:eastAsia="宋体" w:cs="宋体"/>
          <w:color w:val="auto"/>
          <w:sz w:val="21"/>
          <w:szCs w:val="21"/>
          <w:highlight w:val="none"/>
        </w:rPr>
      </w:pPr>
      <w:bookmarkStart w:id="1051" w:name="_Toc199155869"/>
      <w:r>
        <w:rPr>
          <w:rFonts w:hint="eastAsia" w:ascii="宋体" w:hAnsi="宋体" w:eastAsia="宋体" w:cs="宋体"/>
          <w:color w:val="auto"/>
          <w:sz w:val="21"/>
          <w:szCs w:val="21"/>
          <w:highlight w:val="none"/>
        </w:rPr>
        <w:t>23.3 承包人提出索赔的期限</w:t>
      </w:r>
      <w:bookmarkEnd w:id="1051"/>
    </w:p>
    <w:p w14:paraId="41583B3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23.3.1承包人按第17.5款的约定接受了完工付款证书后，应被认为已无权再提出在合同工程完工证书颁发前所发生的任何索赔。</w:t>
      </w:r>
    </w:p>
    <w:p w14:paraId="70E51A5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23.3.2承包人按第17.6款的约定提交的最终结清申请单中，只限于提出合同工程完工证书颁发后发生的索赔。提出索赔的期限自接受最终结清证书时终止。</w:t>
      </w:r>
    </w:p>
    <w:p w14:paraId="2030D952">
      <w:pPr>
        <w:pStyle w:val="6"/>
        <w:spacing w:line="360" w:lineRule="auto"/>
        <w:rPr>
          <w:rFonts w:hint="eastAsia" w:ascii="宋体" w:hAnsi="宋体" w:eastAsia="宋体" w:cs="宋体"/>
          <w:color w:val="auto"/>
          <w:sz w:val="21"/>
          <w:szCs w:val="21"/>
          <w:highlight w:val="none"/>
        </w:rPr>
      </w:pPr>
      <w:bookmarkStart w:id="1052" w:name="_Toc199155870"/>
      <w:r>
        <w:rPr>
          <w:rFonts w:hint="eastAsia" w:ascii="宋体" w:hAnsi="宋体" w:eastAsia="宋体" w:cs="宋体"/>
          <w:color w:val="auto"/>
          <w:sz w:val="21"/>
          <w:szCs w:val="21"/>
          <w:highlight w:val="none"/>
        </w:rPr>
        <w:t>23.4 发包人的索赔</w:t>
      </w:r>
      <w:bookmarkEnd w:id="1052"/>
    </w:p>
    <w:p w14:paraId="0D0DE4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23.4.1发生索赔事件后，监理人应及时书面通知承包人，详细说明发包人有权得到的索赔金额和（或）延长缺陷责任期的细节和依据。发包人提出索赔的期限和要求与第23.3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6905AC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23.4.2监理人按第3.5 款商定或确定发包人从承包人处得到赔付的金额和（或）缺陷责任期的延长期。承包人应付给发包人的金额可从拟支付给承包人的合同价款中扣除，或由承包人以其他方式支付给发包人。</w:t>
      </w:r>
    </w:p>
    <w:p w14:paraId="19C3C597">
      <w:pPr>
        <w:snapToGrid w:val="0"/>
        <w:spacing w:line="360" w:lineRule="auto"/>
        <w:ind w:firstLine="420"/>
        <w:rPr>
          <w:rFonts w:hint="eastAsia" w:ascii="宋体" w:hAnsi="宋体" w:cs="宋体"/>
          <w:color w:val="auto"/>
          <w:sz w:val="21"/>
          <w:szCs w:val="21"/>
          <w:highlight w:val="none"/>
        </w:rPr>
      </w:pPr>
      <w:bookmarkStart w:id="1053" w:name="_Toc199215121"/>
      <w:bookmarkStart w:id="1054" w:name="_Toc204076360"/>
      <w:bookmarkStart w:id="1055" w:name="_Toc199155871"/>
      <w:bookmarkStart w:id="1056" w:name="_Toc199320000"/>
      <w:bookmarkStart w:id="1057" w:name="_Toc200167765"/>
      <w:bookmarkStart w:id="1058" w:name="_Toc217971050"/>
      <w:bookmarkStart w:id="1059" w:name="_Toc199294316"/>
      <w:bookmarkStart w:id="1060" w:name="_Toc200536600"/>
      <w:r>
        <w:rPr>
          <w:rFonts w:hint="eastAsia" w:ascii="宋体" w:hAnsi="宋体" w:cs="宋体"/>
          <w:color w:val="auto"/>
          <w:sz w:val="21"/>
          <w:szCs w:val="21"/>
          <w:highlight w:val="none"/>
        </w:rPr>
        <w:t>23.4.3承包人对监理人按 第 23.4.1项发出的索赔书面通知内容持异议时，应在收到书面通知后的14天内，将持有异议的书面报告及其证明材料提交监理人。监理应在收到承包人书面报告后的 14天内 ，将异议的处理意见通知承包人，并按第23.4.2项的约定执行赔付。若承包人不接受监理 人的索赔处理意见，可按本合同第24条的规定办理 。</w:t>
      </w:r>
    </w:p>
    <w:p w14:paraId="067FE868">
      <w:pPr>
        <w:pStyle w:val="5"/>
        <w:spacing w:line="360" w:lineRule="auto"/>
        <w:rPr>
          <w:rFonts w:hint="eastAsia" w:cs="宋体"/>
          <w:color w:val="auto"/>
          <w:sz w:val="21"/>
          <w:szCs w:val="21"/>
          <w:highlight w:val="none"/>
        </w:rPr>
      </w:pPr>
      <w:bookmarkStart w:id="1061" w:name="_Toc19741"/>
      <w:bookmarkStart w:id="1062" w:name="_Toc2865"/>
      <w:r>
        <w:rPr>
          <w:rFonts w:hint="eastAsia" w:cs="宋体"/>
          <w:color w:val="auto"/>
          <w:sz w:val="21"/>
          <w:szCs w:val="21"/>
          <w:highlight w:val="none"/>
        </w:rPr>
        <w:t>24. 争议的解决</w:t>
      </w:r>
      <w:bookmarkEnd w:id="1053"/>
      <w:bookmarkEnd w:id="1054"/>
      <w:bookmarkEnd w:id="1055"/>
      <w:bookmarkEnd w:id="1056"/>
      <w:bookmarkEnd w:id="1057"/>
      <w:bookmarkEnd w:id="1058"/>
      <w:bookmarkEnd w:id="1059"/>
      <w:bookmarkEnd w:id="1060"/>
      <w:bookmarkEnd w:id="1061"/>
      <w:bookmarkEnd w:id="1062"/>
    </w:p>
    <w:p w14:paraId="74039A3F">
      <w:pPr>
        <w:pStyle w:val="6"/>
        <w:spacing w:line="360" w:lineRule="auto"/>
        <w:rPr>
          <w:rFonts w:hint="eastAsia" w:ascii="宋体" w:hAnsi="宋体" w:eastAsia="宋体" w:cs="宋体"/>
          <w:color w:val="auto"/>
          <w:sz w:val="21"/>
          <w:szCs w:val="21"/>
          <w:highlight w:val="none"/>
        </w:rPr>
      </w:pPr>
      <w:bookmarkStart w:id="1063" w:name="_Toc199155872"/>
      <w:r>
        <w:rPr>
          <w:rFonts w:hint="eastAsia" w:ascii="宋体" w:hAnsi="宋体" w:eastAsia="宋体" w:cs="宋体"/>
          <w:color w:val="auto"/>
          <w:sz w:val="21"/>
          <w:szCs w:val="21"/>
          <w:highlight w:val="none"/>
        </w:rPr>
        <w:t>24.1 争议的解决方式</w:t>
      </w:r>
      <w:bookmarkEnd w:id="1063"/>
    </w:p>
    <w:p w14:paraId="494153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A1EF6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（1）向约定的仲裁委员会申请仲裁；</w:t>
      </w:r>
    </w:p>
    <w:p w14:paraId="40EBF9F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（2）向有管辖权的人民法院提起诉讼。</w:t>
      </w:r>
    </w:p>
    <w:p w14:paraId="37E13BA4">
      <w:pPr>
        <w:pStyle w:val="6"/>
        <w:spacing w:line="360" w:lineRule="auto"/>
        <w:rPr>
          <w:rFonts w:hint="eastAsia" w:ascii="宋体" w:hAnsi="宋体" w:eastAsia="宋体" w:cs="宋体"/>
          <w:color w:val="auto"/>
          <w:sz w:val="21"/>
          <w:szCs w:val="21"/>
          <w:highlight w:val="none"/>
        </w:rPr>
      </w:pPr>
      <w:bookmarkStart w:id="1064" w:name="_Toc199155873"/>
      <w:r>
        <w:rPr>
          <w:rFonts w:hint="eastAsia" w:ascii="宋体" w:hAnsi="宋体" w:eastAsia="宋体" w:cs="宋体"/>
          <w:color w:val="auto"/>
          <w:sz w:val="21"/>
          <w:szCs w:val="21"/>
          <w:highlight w:val="none"/>
        </w:rPr>
        <w:t>24.2 友好解决</w:t>
      </w:r>
      <w:bookmarkEnd w:id="1064"/>
    </w:p>
    <w:p w14:paraId="56B9E44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在提请争议评审、仲裁或者诉讼前，以及在争议评审、仲裁或诉讼过程中，发包人和承包人均可共同努力友好协商解决争议。</w:t>
      </w:r>
    </w:p>
    <w:p w14:paraId="347798F7">
      <w:pPr>
        <w:pStyle w:val="6"/>
        <w:spacing w:line="360" w:lineRule="auto"/>
        <w:rPr>
          <w:rFonts w:hint="eastAsia" w:ascii="宋体" w:hAnsi="宋体" w:eastAsia="宋体" w:cs="宋体"/>
          <w:color w:val="auto"/>
          <w:sz w:val="21"/>
          <w:szCs w:val="21"/>
          <w:highlight w:val="none"/>
        </w:rPr>
      </w:pPr>
      <w:bookmarkStart w:id="1065" w:name="_Toc199155874"/>
      <w:r>
        <w:rPr>
          <w:rFonts w:hint="eastAsia" w:ascii="宋体" w:hAnsi="宋体" w:eastAsia="宋体" w:cs="宋体"/>
          <w:color w:val="auto"/>
          <w:sz w:val="21"/>
          <w:szCs w:val="21"/>
          <w:highlight w:val="none"/>
        </w:rPr>
        <w:t>24.3 争议评审</w:t>
      </w:r>
      <w:bookmarkEnd w:id="1065"/>
    </w:p>
    <w:p w14:paraId="6B340A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24.3.1采用争议评审的，发包人和承包人应在开工日后的28 天内或在争议发生后，协商成立争议评审组。争议评审组由有合同管理和工程实践经验的专家组成。</w:t>
      </w:r>
    </w:p>
    <w:p w14:paraId="468006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24.3.2合同双方的争议，应首先由申请人向争议评审组提交一份详细的评审申请报告，并附必要的文件、图纸和证明材料，申请人还应将上述报告的副本同时提交给被申请人和监理人。</w:t>
      </w:r>
    </w:p>
    <w:p w14:paraId="3898A4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24.3.3被申请人在收到申请人评审申请报告副本后的28 天内，向争议评审组提交一份答辩报告，并附证明材料。被申请人应将答辩报告的副本同时提交给申请人和监理人。</w:t>
      </w:r>
    </w:p>
    <w:p w14:paraId="52F9E9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24.3.4除专用合同条款另有约定外，争议评审组在收到合同双方报告后的14 天内，邀请双方代表和有关人员举行调查会，向双方调查争议细节；必要时争议评审组可要求双方进一步提供补充材料。</w:t>
      </w:r>
    </w:p>
    <w:p w14:paraId="5870B8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24.3.5除专用合同条款另有约定外，在调查会结束后的14 天内，争议评审组应在不受任何干扰的情况下进行独立、公正的评审，作出书面评审意见，并说明理由。在争议评审期间，争议双方暂按总监理工程师的确定执行。</w:t>
      </w:r>
    </w:p>
    <w:p w14:paraId="776E84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24.3.6发包人和承包人接受评审意见的，由监理人根据评审意见拟定执行协议，经争议双方签字后作为合同的补充文件，并遵照执行。</w:t>
      </w:r>
    </w:p>
    <w:p w14:paraId="65D6C3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24.3.7发包人或承包人不接受评审意见，并要求提交仲裁或提起诉讼的，应在收到评审意见后的14 天内将仲裁或起诉意向书面通知另一方，并抄送监理人，但在仲裁或诉讼结束前应暂按总监理工程师的确定执行。</w:t>
      </w:r>
    </w:p>
    <w:p w14:paraId="7B249DD1">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仲裁</w:t>
      </w:r>
    </w:p>
    <w:p w14:paraId="46C765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24.4.1若合同双方商定直接向仲裁机构申请仲裁，应签订仲裁协议并约定仲裁机构。</w:t>
      </w:r>
    </w:p>
    <w:p w14:paraId="6A89A0F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24.4.2若合同双方未能达成仲裁协议，则本合同的仲裁条款无效，任一方均有权向人民法院提起诉讼。 </w:t>
      </w:r>
      <w:r>
        <w:rPr>
          <w:rFonts w:hint="eastAsia" w:ascii="宋体" w:hAnsi="宋体" w:cs="宋体"/>
          <w:color w:val="auto"/>
          <w:sz w:val="21"/>
          <w:szCs w:val="21"/>
          <w:highlight w:val="none"/>
        </w:rPr>
        <w:br w:type="page"/>
      </w:r>
      <w:bookmarkStart w:id="1066" w:name="_Toc199320001"/>
      <w:bookmarkStart w:id="1067" w:name="_Toc217971051"/>
      <w:bookmarkStart w:id="1068" w:name="_Toc199215122"/>
      <w:bookmarkStart w:id="1069" w:name="_Toc199156295"/>
      <w:bookmarkStart w:id="1070" w:name="_Toc200167766"/>
      <w:bookmarkStart w:id="1071" w:name="_Toc199294317"/>
      <w:bookmarkStart w:id="1072" w:name="_Toc200536601"/>
      <w:bookmarkStart w:id="1073" w:name="_Toc199155875"/>
      <w:bookmarkStart w:id="1074" w:name="_Toc200968280"/>
      <w:bookmarkStart w:id="1075" w:name="_Toc200536533"/>
      <w:bookmarkStart w:id="1076" w:name="_Toc207791267"/>
      <w:bookmarkStart w:id="1077" w:name="_Toc199319920"/>
    </w:p>
    <w:p w14:paraId="3CF021CE">
      <w:pPr>
        <w:pStyle w:val="4"/>
        <w:jc w:val="center"/>
        <w:rPr>
          <w:rFonts w:ascii="Times New Roman" w:eastAsia="宋体"/>
          <w:b/>
          <w:color w:val="auto"/>
          <w:sz w:val="28"/>
          <w:szCs w:val="28"/>
          <w:highlight w:val="none"/>
        </w:rPr>
      </w:pPr>
      <w:bookmarkStart w:id="1078" w:name="_Toc20622"/>
      <w:bookmarkStart w:id="1079" w:name="_Toc31866"/>
      <w:r>
        <w:rPr>
          <w:rFonts w:ascii="Times New Roman" w:eastAsia="宋体"/>
          <w:b/>
          <w:color w:val="auto"/>
          <w:sz w:val="28"/>
          <w:szCs w:val="28"/>
          <w:highlight w:val="none"/>
        </w:rPr>
        <w:t>第二节 专用合同条款</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37733D31">
      <w:pPr>
        <w:snapToGrid w:val="0"/>
        <w:spacing w:line="360" w:lineRule="auto"/>
        <w:jc w:val="center"/>
        <w:outlineLvl w:val="1"/>
        <w:rPr>
          <w:b/>
          <w:color w:val="auto"/>
          <w:sz w:val="28"/>
          <w:szCs w:val="28"/>
          <w:highlight w:val="none"/>
        </w:rPr>
      </w:pPr>
      <w:bookmarkStart w:id="1080" w:name="_Toc9470"/>
      <w:bookmarkStart w:id="1081" w:name="_Toc193"/>
      <w:bookmarkStart w:id="1082" w:name="_Toc8484"/>
      <w:r>
        <w:rPr>
          <w:b/>
          <w:color w:val="auto"/>
          <w:sz w:val="28"/>
          <w:szCs w:val="28"/>
          <w:highlight w:val="none"/>
        </w:rPr>
        <w:t>专用合同条款</w:t>
      </w:r>
      <w:bookmarkEnd w:id="1080"/>
      <w:bookmarkEnd w:id="1081"/>
      <w:bookmarkEnd w:id="1082"/>
    </w:p>
    <w:p w14:paraId="5AFF5CBD">
      <w:pPr>
        <w:snapToGrid w:val="0"/>
        <w:spacing w:line="360" w:lineRule="auto"/>
        <w:rPr>
          <w:b/>
          <w:bCs/>
          <w:color w:val="auto"/>
          <w:sz w:val="21"/>
          <w:szCs w:val="21"/>
          <w:highlight w:val="none"/>
        </w:rPr>
      </w:pPr>
      <w:r>
        <w:rPr>
          <w:b/>
          <w:bCs/>
          <w:color w:val="auto"/>
          <w:sz w:val="21"/>
          <w:szCs w:val="21"/>
          <w:highlight w:val="none"/>
        </w:rPr>
        <w:t>前言</w:t>
      </w:r>
    </w:p>
    <w:p w14:paraId="119593A2">
      <w:pPr>
        <w:snapToGrid w:val="0"/>
        <w:spacing w:line="360" w:lineRule="auto"/>
        <w:ind w:firstLine="420"/>
        <w:rPr>
          <w:color w:val="auto"/>
          <w:sz w:val="21"/>
          <w:szCs w:val="21"/>
          <w:highlight w:val="none"/>
        </w:rPr>
      </w:pPr>
      <w:r>
        <w:rPr>
          <w:color w:val="auto"/>
          <w:sz w:val="21"/>
          <w:szCs w:val="21"/>
          <w:highlight w:val="none"/>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14:paraId="324D6094">
      <w:pPr>
        <w:snapToGrid w:val="0"/>
        <w:spacing w:line="360" w:lineRule="auto"/>
        <w:ind w:firstLine="420"/>
        <w:rPr>
          <w:color w:val="auto"/>
          <w:sz w:val="21"/>
          <w:szCs w:val="21"/>
          <w:highlight w:val="none"/>
        </w:rPr>
      </w:pPr>
    </w:p>
    <w:p w14:paraId="5D7EE67B">
      <w:pPr>
        <w:snapToGrid w:val="0"/>
        <w:spacing w:line="360" w:lineRule="auto"/>
        <w:outlineLvl w:val="1"/>
        <w:rPr>
          <w:b/>
          <w:bCs/>
          <w:color w:val="auto"/>
          <w:sz w:val="21"/>
          <w:szCs w:val="21"/>
          <w:highlight w:val="none"/>
        </w:rPr>
      </w:pPr>
      <w:bookmarkStart w:id="1083" w:name="_Toc30993"/>
      <w:bookmarkStart w:id="1084" w:name="_Toc199320002"/>
      <w:bookmarkStart w:id="1085" w:name="_Toc199155876"/>
      <w:bookmarkStart w:id="1086" w:name="_Toc27722"/>
      <w:bookmarkStart w:id="1087" w:name="_Toc207791268"/>
      <w:bookmarkStart w:id="1088" w:name="_Toc23885"/>
      <w:bookmarkStart w:id="1089" w:name="_Toc217971052"/>
      <w:bookmarkStart w:id="1090" w:name="_Toc200536602"/>
      <w:bookmarkStart w:id="1091" w:name="_Toc199215123"/>
      <w:bookmarkStart w:id="1092" w:name="_Toc198115336"/>
      <w:bookmarkStart w:id="1093" w:name="_Toc199294318"/>
      <w:bookmarkStart w:id="1094" w:name="_Toc200968281"/>
      <w:bookmarkStart w:id="1095" w:name="_Toc200167767"/>
      <w:r>
        <w:rPr>
          <w:b/>
          <w:bCs/>
          <w:color w:val="auto"/>
          <w:sz w:val="21"/>
          <w:szCs w:val="21"/>
          <w:highlight w:val="none"/>
        </w:rPr>
        <w:t>1. 一般约定</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685CD8EB">
      <w:pPr>
        <w:snapToGrid w:val="0"/>
        <w:spacing w:line="360" w:lineRule="auto"/>
        <w:outlineLvl w:val="2"/>
        <w:rPr>
          <w:b/>
          <w:bCs/>
          <w:color w:val="auto"/>
          <w:sz w:val="21"/>
          <w:szCs w:val="21"/>
          <w:highlight w:val="none"/>
        </w:rPr>
      </w:pPr>
      <w:bookmarkStart w:id="1096" w:name="_Toc17658"/>
      <w:bookmarkStart w:id="1097" w:name="_Toc29187"/>
      <w:bookmarkStart w:id="1098" w:name="_Toc199155877"/>
      <w:r>
        <w:rPr>
          <w:b/>
          <w:bCs/>
          <w:color w:val="auto"/>
          <w:sz w:val="21"/>
          <w:szCs w:val="21"/>
          <w:highlight w:val="none"/>
        </w:rPr>
        <w:t>1.1 词语定义</w:t>
      </w:r>
      <w:bookmarkEnd w:id="1096"/>
      <w:bookmarkEnd w:id="1097"/>
      <w:bookmarkEnd w:id="1098"/>
    </w:p>
    <w:p w14:paraId="4CFAA036">
      <w:pPr>
        <w:snapToGrid w:val="0"/>
        <w:spacing w:line="360" w:lineRule="auto"/>
        <w:ind w:firstLine="420" w:firstLineChars="200"/>
        <w:rPr>
          <w:color w:val="auto"/>
          <w:sz w:val="21"/>
          <w:szCs w:val="21"/>
          <w:highlight w:val="none"/>
        </w:rPr>
      </w:pPr>
      <w:bookmarkStart w:id="1099" w:name="_Toc199155878"/>
      <w:r>
        <w:rPr>
          <w:color w:val="auto"/>
          <w:sz w:val="21"/>
          <w:szCs w:val="21"/>
          <w:highlight w:val="none"/>
        </w:rPr>
        <w:t>1.1.2 合同当事人和人员</w:t>
      </w:r>
      <w:bookmarkEnd w:id="1099"/>
    </w:p>
    <w:p w14:paraId="45E12696">
      <w:pPr>
        <w:tabs>
          <w:tab w:val="left" w:pos="1055"/>
        </w:tabs>
        <w:spacing w:line="360" w:lineRule="auto"/>
        <w:ind w:firstLine="420" w:firstLineChars="200"/>
        <w:rPr>
          <w:color w:val="auto"/>
          <w:sz w:val="21"/>
          <w:szCs w:val="21"/>
          <w:highlight w:val="none"/>
        </w:rPr>
      </w:pPr>
      <w:r>
        <w:rPr>
          <w:color w:val="auto"/>
          <w:sz w:val="21"/>
          <w:szCs w:val="21"/>
          <w:highlight w:val="none"/>
        </w:rPr>
        <w:t>1.1.2.2发包人：</w:t>
      </w:r>
      <w:r>
        <w:rPr>
          <w:color w:val="auto"/>
          <w:sz w:val="21"/>
          <w:szCs w:val="21"/>
          <w:highlight w:val="none"/>
          <w:u w:val="single"/>
        </w:rPr>
        <w:t xml:space="preserve">   （填入发包人的名称）     </w:t>
      </w:r>
      <w:r>
        <w:rPr>
          <w:color w:val="auto"/>
          <w:sz w:val="21"/>
          <w:szCs w:val="21"/>
          <w:highlight w:val="none"/>
        </w:rPr>
        <w:t>。</w:t>
      </w:r>
    </w:p>
    <w:p w14:paraId="699222B4">
      <w:pPr>
        <w:tabs>
          <w:tab w:val="left" w:pos="1055"/>
        </w:tabs>
        <w:spacing w:line="360" w:lineRule="auto"/>
        <w:ind w:firstLine="420" w:firstLineChars="200"/>
        <w:rPr>
          <w:color w:val="auto"/>
          <w:sz w:val="21"/>
          <w:szCs w:val="21"/>
          <w:highlight w:val="none"/>
        </w:rPr>
      </w:pPr>
      <w:r>
        <w:rPr>
          <w:color w:val="auto"/>
          <w:sz w:val="21"/>
          <w:szCs w:val="21"/>
          <w:highlight w:val="none"/>
        </w:rPr>
        <w:t>1.1.2.3承包人：</w:t>
      </w:r>
      <w:r>
        <w:rPr>
          <w:color w:val="auto"/>
          <w:sz w:val="21"/>
          <w:szCs w:val="21"/>
          <w:highlight w:val="none"/>
          <w:u w:val="single"/>
        </w:rPr>
        <w:t xml:space="preserve">   （填入承包人的名称）     </w:t>
      </w:r>
      <w:r>
        <w:rPr>
          <w:color w:val="auto"/>
          <w:sz w:val="21"/>
          <w:szCs w:val="21"/>
          <w:highlight w:val="none"/>
        </w:rPr>
        <w:t>。</w:t>
      </w:r>
    </w:p>
    <w:p w14:paraId="264A47E8">
      <w:pPr>
        <w:tabs>
          <w:tab w:val="left" w:pos="1055"/>
        </w:tabs>
        <w:spacing w:line="360" w:lineRule="auto"/>
        <w:ind w:firstLine="420" w:firstLineChars="200"/>
        <w:rPr>
          <w:color w:val="auto"/>
          <w:sz w:val="21"/>
          <w:szCs w:val="21"/>
          <w:highlight w:val="none"/>
        </w:rPr>
      </w:pPr>
      <w:r>
        <w:rPr>
          <w:color w:val="auto"/>
          <w:sz w:val="21"/>
          <w:szCs w:val="21"/>
          <w:highlight w:val="none"/>
        </w:rPr>
        <w:t>1.1.2.5分包人：</w:t>
      </w:r>
      <w:r>
        <w:rPr>
          <w:color w:val="auto"/>
          <w:sz w:val="21"/>
          <w:szCs w:val="21"/>
          <w:highlight w:val="none"/>
          <w:u w:val="single"/>
        </w:rPr>
        <w:t xml:space="preserve">   （填入分包人的名称）     </w:t>
      </w:r>
      <w:r>
        <w:rPr>
          <w:color w:val="auto"/>
          <w:sz w:val="21"/>
          <w:szCs w:val="21"/>
          <w:highlight w:val="none"/>
        </w:rPr>
        <w:t>。</w:t>
      </w:r>
    </w:p>
    <w:p w14:paraId="0AB55412">
      <w:pPr>
        <w:tabs>
          <w:tab w:val="left" w:pos="1055"/>
        </w:tabs>
        <w:spacing w:line="360" w:lineRule="auto"/>
        <w:ind w:firstLine="420" w:firstLineChars="200"/>
        <w:rPr>
          <w:color w:val="auto"/>
          <w:sz w:val="21"/>
          <w:szCs w:val="21"/>
          <w:highlight w:val="none"/>
        </w:rPr>
      </w:pPr>
      <w:r>
        <w:rPr>
          <w:color w:val="auto"/>
          <w:sz w:val="21"/>
          <w:szCs w:val="21"/>
          <w:highlight w:val="none"/>
        </w:rPr>
        <w:t>1.1.2.6监理人：</w:t>
      </w:r>
      <w:r>
        <w:rPr>
          <w:color w:val="auto"/>
          <w:sz w:val="21"/>
          <w:szCs w:val="21"/>
          <w:highlight w:val="none"/>
          <w:u w:val="single"/>
        </w:rPr>
        <w:t xml:space="preserve">   （填入监理人的名称）     </w:t>
      </w:r>
      <w:r>
        <w:rPr>
          <w:color w:val="auto"/>
          <w:sz w:val="21"/>
          <w:szCs w:val="21"/>
          <w:highlight w:val="none"/>
        </w:rPr>
        <w:t>。</w:t>
      </w:r>
    </w:p>
    <w:p w14:paraId="6966E046">
      <w:pPr>
        <w:snapToGrid w:val="0"/>
        <w:spacing w:line="360" w:lineRule="auto"/>
        <w:ind w:firstLine="420" w:firstLineChars="200"/>
        <w:rPr>
          <w:color w:val="auto"/>
          <w:sz w:val="21"/>
          <w:szCs w:val="21"/>
          <w:highlight w:val="none"/>
        </w:rPr>
      </w:pPr>
      <w:bookmarkStart w:id="1100" w:name="_Toc199155881"/>
      <w:r>
        <w:rPr>
          <w:color w:val="auto"/>
          <w:sz w:val="21"/>
          <w:szCs w:val="21"/>
          <w:highlight w:val="none"/>
        </w:rPr>
        <w:t>1.1.4 日期</w:t>
      </w:r>
      <w:bookmarkEnd w:id="1100"/>
    </w:p>
    <w:p w14:paraId="2AB6BDF0">
      <w:pPr>
        <w:snapToGrid w:val="0"/>
        <w:spacing w:line="360" w:lineRule="auto"/>
        <w:ind w:firstLine="420" w:firstLineChars="200"/>
        <w:rPr>
          <w:color w:val="auto"/>
          <w:sz w:val="21"/>
          <w:szCs w:val="21"/>
          <w:highlight w:val="none"/>
        </w:rPr>
      </w:pPr>
      <w:r>
        <w:rPr>
          <w:color w:val="auto"/>
          <w:sz w:val="21"/>
          <w:szCs w:val="21"/>
          <w:highlight w:val="none"/>
        </w:rPr>
        <w:t>1.1.4.5缺陷责任期：</w:t>
      </w:r>
      <w:r>
        <w:rPr>
          <w:color w:val="auto"/>
          <w:sz w:val="21"/>
          <w:szCs w:val="21"/>
          <w:highlight w:val="none"/>
          <w:u w:val="single"/>
        </w:rPr>
        <w:t xml:space="preserve">  1  </w:t>
      </w:r>
      <w:r>
        <w:rPr>
          <w:color w:val="auto"/>
          <w:sz w:val="21"/>
          <w:szCs w:val="21"/>
          <w:highlight w:val="none"/>
        </w:rPr>
        <w:t>年。</w:t>
      </w:r>
    </w:p>
    <w:p w14:paraId="3FA1783B">
      <w:pPr>
        <w:snapToGrid w:val="0"/>
        <w:spacing w:line="360" w:lineRule="auto"/>
        <w:rPr>
          <w:b/>
          <w:bCs/>
          <w:color w:val="auto"/>
          <w:sz w:val="21"/>
          <w:szCs w:val="21"/>
          <w:highlight w:val="none"/>
        </w:rPr>
      </w:pPr>
      <w:bookmarkStart w:id="1101" w:name="_Toc199155882"/>
      <w:r>
        <w:rPr>
          <w:b/>
          <w:bCs/>
          <w:color w:val="auto"/>
          <w:sz w:val="21"/>
          <w:szCs w:val="21"/>
          <w:highlight w:val="none"/>
        </w:rPr>
        <w:t>1.4 合同文件的优先顺序</w:t>
      </w:r>
      <w:bookmarkEnd w:id="1101"/>
    </w:p>
    <w:p w14:paraId="308E3352">
      <w:pPr>
        <w:snapToGrid w:val="0"/>
        <w:spacing w:line="360" w:lineRule="auto"/>
        <w:ind w:firstLine="420"/>
        <w:rPr>
          <w:color w:val="auto"/>
          <w:sz w:val="21"/>
          <w:szCs w:val="21"/>
          <w:highlight w:val="none"/>
        </w:rPr>
      </w:pPr>
      <w:r>
        <w:rPr>
          <w:color w:val="auto"/>
          <w:sz w:val="21"/>
          <w:szCs w:val="21"/>
          <w:highlight w:val="none"/>
        </w:rPr>
        <w:t>除合同另有规定外，解释合同文件的优先顺序如下：</w:t>
      </w:r>
    </w:p>
    <w:p w14:paraId="5A5399FE">
      <w:pPr>
        <w:snapToGrid w:val="0"/>
        <w:spacing w:line="360" w:lineRule="auto"/>
        <w:ind w:firstLine="420"/>
        <w:rPr>
          <w:color w:val="auto"/>
          <w:sz w:val="21"/>
          <w:szCs w:val="21"/>
          <w:highlight w:val="none"/>
        </w:rPr>
      </w:pPr>
      <w:r>
        <w:rPr>
          <w:color w:val="auto"/>
          <w:sz w:val="21"/>
          <w:szCs w:val="21"/>
          <w:highlight w:val="none"/>
        </w:rPr>
        <w:tab/>
      </w:r>
      <w:r>
        <w:rPr>
          <w:color w:val="auto"/>
          <w:sz w:val="21"/>
          <w:szCs w:val="21"/>
          <w:highlight w:val="none"/>
        </w:rPr>
        <w:t>（l）合同协议书及补充协议书；</w:t>
      </w:r>
    </w:p>
    <w:p w14:paraId="544790DF">
      <w:pPr>
        <w:snapToGrid w:val="0"/>
        <w:spacing w:line="360" w:lineRule="auto"/>
        <w:ind w:firstLine="420"/>
        <w:rPr>
          <w:color w:val="auto"/>
          <w:sz w:val="21"/>
          <w:szCs w:val="21"/>
          <w:highlight w:val="none"/>
        </w:rPr>
      </w:pPr>
      <w:r>
        <w:rPr>
          <w:color w:val="auto"/>
          <w:sz w:val="21"/>
          <w:szCs w:val="21"/>
          <w:highlight w:val="none"/>
        </w:rPr>
        <w:t>（2）中标通知书；</w:t>
      </w:r>
    </w:p>
    <w:p w14:paraId="588D8E8E">
      <w:pPr>
        <w:snapToGrid w:val="0"/>
        <w:spacing w:line="360" w:lineRule="auto"/>
        <w:ind w:firstLine="420"/>
        <w:rPr>
          <w:color w:val="auto"/>
          <w:sz w:val="21"/>
          <w:szCs w:val="21"/>
          <w:highlight w:val="none"/>
        </w:rPr>
      </w:pPr>
      <w:r>
        <w:rPr>
          <w:color w:val="auto"/>
          <w:sz w:val="21"/>
          <w:szCs w:val="21"/>
          <w:highlight w:val="none"/>
        </w:rPr>
        <w:t>（3）投标函及投标函附录；</w:t>
      </w:r>
    </w:p>
    <w:p w14:paraId="49A2CBBB">
      <w:pPr>
        <w:snapToGrid w:val="0"/>
        <w:spacing w:line="360" w:lineRule="auto"/>
        <w:ind w:firstLine="420"/>
        <w:rPr>
          <w:color w:val="auto"/>
          <w:sz w:val="21"/>
          <w:szCs w:val="21"/>
          <w:highlight w:val="none"/>
        </w:rPr>
      </w:pPr>
      <w:r>
        <w:rPr>
          <w:color w:val="auto"/>
          <w:sz w:val="21"/>
          <w:szCs w:val="21"/>
          <w:highlight w:val="none"/>
        </w:rPr>
        <w:t>（4）专用合同条款；</w:t>
      </w:r>
    </w:p>
    <w:p w14:paraId="056E9F3A">
      <w:pPr>
        <w:snapToGrid w:val="0"/>
        <w:spacing w:line="360" w:lineRule="auto"/>
        <w:ind w:firstLine="420"/>
        <w:rPr>
          <w:color w:val="auto"/>
          <w:sz w:val="21"/>
          <w:szCs w:val="21"/>
          <w:highlight w:val="none"/>
        </w:rPr>
      </w:pPr>
      <w:r>
        <w:rPr>
          <w:color w:val="auto"/>
          <w:sz w:val="21"/>
          <w:szCs w:val="21"/>
          <w:highlight w:val="none"/>
        </w:rPr>
        <w:t>（5）通用合同条款；</w:t>
      </w:r>
    </w:p>
    <w:p w14:paraId="7FDF22D2">
      <w:pPr>
        <w:snapToGrid w:val="0"/>
        <w:spacing w:line="360" w:lineRule="auto"/>
        <w:ind w:firstLine="420"/>
        <w:rPr>
          <w:color w:val="auto"/>
          <w:sz w:val="21"/>
          <w:szCs w:val="21"/>
          <w:highlight w:val="none"/>
        </w:rPr>
      </w:pPr>
      <w:r>
        <w:rPr>
          <w:color w:val="auto"/>
          <w:sz w:val="21"/>
          <w:szCs w:val="21"/>
          <w:highlight w:val="none"/>
        </w:rPr>
        <w:t>（6）招标文件；</w:t>
      </w:r>
    </w:p>
    <w:p w14:paraId="2E47DFAE">
      <w:pPr>
        <w:snapToGrid w:val="0"/>
        <w:spacing w:line="360" w:lineRule="auto"/>
        <w:ind w:firstLine="420"/>
        <w:rPr>
          <w:color w:val="auto"/>
          <w:sz w:val="21"/>
          <w:szCs w:val="21"/>
          <w:highlight w:val="none"/>
        </w:rPr>
      </w:pPr>
      <w:r>
        <w:rPr>
          <w:color w:val="auto"/>
          <w:sz w:val="21"/>
          <w:szCs w:val="21"/>
          <w:highlight w:val="none"/>
        </w:rPr>
        <w:t>（7）投标文件；</w:t>
      </w:r>
    </w:p>
    <w:p w14:paraId="165CE6C3">
      <w:pPr>
        <w:snapToGrid w:val="0"/>
        <w:spacing w:line="360" w:lineRule="auto"/>
        <w:ind w:firstLine="420"/>
        <w:rPr>
          <w:color w:val="auto"/>
          <w:sz w:val="21"/>
          <w:szCs w:val="21"/>
          <w:highlight w:val="none"/>
        </w:rPr>
      </w:pPr>
      <w:r>
        <w:rPr>
          <w:color w:val="auto"/>
          <w:sz w:val="21"/>
          <w:szCs w:val="21"/>
          <w:highlight w:val="none"/>
        </w:rPr>
        <w:t>（8）技术标准和要求；</w:t>
      </w:r>
    </w:p>
    <w:p w14:paraId="050D846F">
      <w:pPr>
        <w:snapToGrid w:val="0"/>
        <w:spacing w:line="360" w:lineRule="auto"/>
        <w:ind w:firstLine="420"/>
        <w:rPr>
          <w:color w:val="auto"/>
          <w:sz w:val="21"/>
          <w:szCs w:val="21"/>
          <w:highlight w:val="none"/>
        </w:rPr>
      </w:pPr>
      <w:r>
        <w:rPr>
          <w:color w:val="auto"/>
          <w:sz w:val="21"/>
          <w:szCs w:val="21"/>
          <w:highlight w:val="none"/>
        </w:rPr>
        <w:t>（9）图纸；</w:t>
      </w:r>
    </w:p>
    <w:p w14:paraId="729E55A3">
      <w:pPr>
        <w:snapToGrid w:val="0"/>
        <w:spacing w:line="360" w:lineRule="auto"/>
        <w:ind w:firstLine="420"/>
        <w:rPr>
          <w:color w:val="auto"/>
          <w:sz w:val="21"/>
          <w:szCs w:val="21"/>
          <w:highlight w:val="none"/>
        </w:rPr>
      </w:pPr>
      <w:r>
        <w:rPr>
          <w:color w:val="auto"/>
          <w:sz w:val="21"/>
          <w:szCs w:val="21"/>
          <w:highlight w:val="none"/>
        </w:rPr>
        <w:t>（10）已标价工程量清单；</w:t>
      </w:r>
    </w:p>
    <w:p w14:paraId="3F483AB6">
      <w:pPr>
        <w:snapToGrid w:val="0"/>
        <w:spacing w:line="360" w:lineRule="auto"/>
        <w:ind w:firstLine="420"/>
        <w:rPr>
          <w:color w:val="auto"/>
          <w:sz w:val="21"/>
          <w:szCs w:val="21"/>
          <w:highlight w:val="none"/>
        </w:rPr>
      </w:pPr>
      <w:r>
        <w:rPr>
          <w:color w:val="auto"/>
          <w:sz w:val="21"/>
          <w:szCs w:val="21"/>
          <w:highlight w:val="none"/>
        </w:rPr>
        <w:t>（11）其他合同文件。</w:t>
      </w:r>
    </w:p>
    <w:p w14:paraId="5101328E">
      <w:pPr>
        <w:snapToGrid w:val="0"/>
        <w:spacing w:line="360" w:lineRule="auto"/>
        <w:ind w:firstLine="420"/>
        <w:rPr>
          <w:color w:val="auto"/>
          <w:sz w:val="21"/>
          <w:szCs w:val="21"/>
          <w:highlight w:val="none"/>
        </w:rPr>
      </w:pPr>
      <w:r>
        <w:rPr>
          <w:color w:val="auto"/>
          <w:sz w:val="21"/>
          <w:szCs w:val="21"/>
          <w:highlight w:val="none"/>
        </w:rPr>
        <w:t>以下几项经发包人批准进入合同的补充资料：</w:t>
      </w:r>
    </w:p>
    <w:p w14:paraId="35FD54A4">
      <w:pPr>
        <w:snapToGrid w:val="0"/>
        <w:spacing w:line="360" w:lineRule="auto"/>
        <w:ind w:firstLine="420"/>
        <w:rPr>
          <w:color w:val="auto"/>
          <w:sz w:val="21"/>
          <w:szCs w:val="21"/>
          <w:highlight w:val="none"/>
        </w:rPr>
      </w:pPr>
      <w:r>
        <w:rPr>
          <w:color w:val="auto"/>
          <w:sz w:val="21"/>
          <w:szCs w:val="21"/>
          <w:highlight w:val="none"/>
        </w:rPr>
        <w:t>a） 招标人经批准的有效招标文件及在招标期内发布的所有有效补充通知；</w:t>
      </w:r>
    </w:p>
    <w:p w14:paraId="52A4F65D">
      <w:pPr>
        <w:snapToGrid w:val="0"/>
        <w:spacing w:line="360" w:lineRule="auto"/>
        <w:ind w:firstLine="420"/>
        <w:rPr>
          <w:color w:val="auto"/>
          <w:sz w:val="21"/>
          <w:szCs w:val="21"/>
          <w:highlight w:val="none"/>
        </w:rPr>
      </w:pPr>
      <w:r>
        <w:rPr>
          <w:color w:val="auto"/>
          <w:sz w:val="21"/>
          <w:szCs w:val="21"/>
          <w:highlight w:val="none"/>
        </w:rPr>
        <w:t>b） 投标人在投标有效期内补充的所有书面文件；</w:t>
      </w:r>
    </w:p>
    <w:p w14:paraId="1D8C1F03">
      <w:pPr>
        <w:snapToGrid w:val="0"/>
        <w:spacing w:line="360" w:lineRule="auto"/>
        <w:ind w:firstLine="420"/>
        <w:rPr>
          <w:color w:val="auto"/>
          <w:sz w:val="21"/>
          <w:szCs w:val="21"/>
          <w:highlight w:val="none"/>
        </w:rPr>
      </w:pPr>
      <w:r>
        <w:rPr>
          <w:color w:val="auto"/>
          <w:sz w:val="21"/>
          <w:szCs w:val="21"/>
          <w:highlight w:val="none"/>
        </w:rPr>
        <w:t>c） 投标人在投标时随同投标文件一起递送的资料与附图。</w:t>
      </w:r>
    </w:p>
    <w:p w14:paraId="238E65AC">
      <w:pPr>
        <w:snapToGrid w:val="0"/>
        <w:spacing w:line="360" w:lineRule="auto"/>
        <w:rPr>
          <w:b/>
          <w:bCs/>
          <w:color w:val="auto"/>
          <w:sz w:val="21"/>
          <w:szCs w:val="21"/>
          <w:highlight w:val="none"/>
        </w:rPr>
      </w:pPr>
      <w:bookmarkStart w:id="1102" w:name="_Toc199155883"/>
      <w:r>
        <w:rPr>
          <w:b/>
          <w:bCs/>
          <w:color w:val="auto"/>
          <w:sz w:val="21"/>
          <w:szCs w:val="21"/>
          <w:highlight w:val="none"/>
        </w:rPr>
        <w:t>1.6 图纸</w:t>
      </w:r>
      <w:bookmarkEnd w:id="1102"/>
    </w:p>
    <w:p w14:paraId="28DF3813">
      <w:pPr>
        <w:snapToGrid w:val="0"/>
        <w:spacing w:line="360" w:lineRule="auto"/>
        <w:ind w:firstLine="420"/>
        <w:rPr>
          <w:color w:val="auto"/>
          <w:sz w:val="21"/>
          <w:szCs w:val="21"/>
          <w:highlight w:val="none"/>
        </w:rPr>
      </w:pPr>
      <w:bookmarkStart w:id="1103" w:name="_Toc199155884"/>
      <w:r>
        <w:rPr>
          <w:color w:val="auto"/>
          <w:sz w:val="21"/>
          <w:szCs w:val="21"/>
          <w:highlight w:val="none"/>
        </w:rPr>
        <w:t>1.6.1 图纸的提供</w:t>
      </w:r>
      <w:bookmarkEnd w:id="1103"/>
    </w:p>
    <w:p w14:paraId="1676FA69">
      <w:pPr>
        <w:spacing w:line="360" w:lineRule="auto"/>
        <w:ind w:firstLine="420" w:firstLineChars="200"/>
        <w:rPr>
          <w:color w:val="auto"/>
          <w:sz w:val="21"/>
          <w:szCs w:val="21"/>
          <w:highlight w:val="none"/>
        </w:rPr>
      </w:pPr>
      <w:r>
        <w:rPr>
          <w:color w:val="auto"/>
          <w:sz w:val="21"/>
          <w:szCs w:val="21"/>
          <w:highlight w:val="none"/>
        </w:rPr>
        <w:t>发包人在开工前7日通过监理人向承包人提供2套施工图纸，若承包人需更多份数时，自费复制。</w:t>
      </w:r>
    </w:p>
    <w:p w14:paraId="6D7148E3">
      <w:pPr>
        <w:snapToGrid w:val="0"/>
        <w:spacing w:line="360" w:lineRule="auto"/>
        <w:ind w:firstLine="420"/>
        <w:rPr>
          <w:color w:val="auto"/>
          <w:sz w:val="21"/>
          <w:szCs w:val="21"/>
          <w:highlight w:val="none"/>
        </w:rPr>
      </w:pPr>
      <w:r>
        <w:rPr>
          <w:color w:val="auto"/>
          <w:sz w:val="21"/>
          <w:szCs w:val="21"/>
          <w:highlight w:val="none"/>
        </w:rPr>
        <w:t>1.6.2 承包人提供的文件</w:t>
      </w:r>
    </w:p>
    <w:p w14:paraId="2E0615E4">
      <w:pPr>
        <w:snapToGrid w:val="0"/>
        <w:spacing w:line="360" w:lineRule="auto"/>
        <w:ind w:firstLine="420"/>
        <w:rPr>
          <w:color w:val="auto"/>
          <w:sz w:val="21"/>
          <w:szCs w:val="21"/>
          <w:highlight w:val="none"/>
        </w:rPr>
      </w:pPr>
      <w:r>
        <w:rPr>
          <w:color w:val="auto"/>
          <w:sz w:val="21"/>
          <w:szCs w:val="21"/>
          <w:highlight w:val="none"/>
        </w:rPr>
        <w:t>承包人提供给监理人的文件数量：</w:t>
      </w:r>
      <w:r>
        <w:rPr>
          <w:color w:val="auto"/>
          <w:sz w:val="21"/>
          <w:szCs w:val="21"/>
          <w:highlight w:val="none"/>
          <w:u w:val="single"/>
        </w:rPr>
        <w:t xml:space="preserve"> 4 </w:t>
      </w:r>
      <w:r>
        <w:rPr>
          <w:color w:val="auto"/>
          <w:sz w:val="21"/>
          <w:szCs w:val="21"/>
          <w:highlight w:val="none"/>
        </w:rPr>
        <w:t>份。监理人批复的时间为：</w:t>
      </w:r>
      <w:r>
        <w:rPr>
          <w:color w:val="auto"/>
          <w:sz w:val="21"/>
          <w:szCs w:val="21"/>
          <w:highlight w:val="none"/>
          <w:u w:val="single"/>
        </w:rPr>
        <w:t xml:space="preserve"> 7 </w:t>
      </w:r>
      <w:r>
        <w:rPr>
          <w:color w:val="auto"/>
          <w:sz w:val="21"/>
          <w:szCs w:val="21"/>
          <w:highlight w:val="none"/>
        </w:rPr>
        <w:t>天内。</w:t>
      </w:r>
    </w:p>
    <w:p w14:paraId="3A82952F">
      <w:pPr>
        <w:snapToGrid w:val="0"/>
        <w:spacing w:line="360" w:lineRule="auto"/>
        <w:ind w:firstLine="420"/>
        <w:rPr>
          <w:color w:val="auto"/>
          <w:sz w:val="21"/>
          <w:szCs w:val="21"/>
          <w:highlight w:val="none"/>
        </w:rPr>
      </w:pPr>
      <w:r>
        <w:rPr>
          <w:color w:val="auto"/>
          <w:sz w:val="21"/>
          <w:szCs w:val="21"/>
          <w:highlight w:val="none"/>
        </w:rPr>
        <w:t>1.6.3 图纸的修改</w:t>
      </w:r>
    </w:p>
    <w:p w14:paraId="3EA1FF3F">
      <w:pPr>
        <w:snapToGrid w:val="0"/>
        <w:spacing w:line="360" w:lineRule="auto"/>
        <w:ind w:firstLine="420"/>
        <w:rPr>
          <w:color w:val="auto"/>
          <w:sz w:val="21"/>
          <w:szCs w:val="21"/>
          <w:highlight w:val="none"/>
        </w:rPr>
      </w:pPr>
      <w:r>
        <w:rPr>
          <w:color w:val="auto"/>
          <w:sz w:val="21"/>
          <w:szCs w:val="21"/>
          <w:highlight w:val="none"/>
        </w:rPr>
        <w:t>监理人应在7天内签发施工图纸的修改图给承包人。</w:t>
      </w:r>
    </w:p>
    <w:p w14:paraId="67C9DF30">
      <w:pPr>
        <w:snapToGrid w:val="0"/>
        <w:spacing w:line="360" w:lineRule="auto"/>
        <w:rPr>
          <w:b/>
          <w:bCs/>
          <w:color w:val="auto"/>
          <w:sz w:val="21"/>
          <w:szCs w:val="21"/>
          <w:highlight w:val="none"/>
        </w:rPr>
      </w:pPr>
      <w:bookmarkStart w:id="1104" w:name="_Toc189386110"/>
      <w:r>
        <w:rPr>
          <w:b/>
          <w:bCs/>
          <w:color w:val="auto"/>
          <w:sz w:val="21"/>
          <w:szCs w:val="21"/>
          <w:highlight w:val="none"/>
        </w:rPr>
        <w:t>1.7 联络</w:t>
      </w:r>
      <w:bookmarkEnd w:id="1104"/>
    </w:p>
    <w:p w14:paraId="46842355">
      <w:pPr>
        <w:snapToGrid w:val="0"/>
        <w:spacing w:line="360" w:lineRule="auto"/>
        <w:ind w:firstLine="420"/>
        <w:rPr>
          <w:color w:val="auto"/>
          <w:sz w:val="21"/>
          <w:szCs w:val="21"/>
          <w:highlight w:val="none"/>
          <w:u w:val="single"/>
        </w:rPr>
      </w:pPr>
      <w:r>
        <w:rPr>
          <w:color w:val="auto"/>
          <w:sz w:val="21"/>
          <w:szCs w:val="21"/>
          <w:highlight w:val="none"/>
        </w:rPr>
        <w:t>1.7.2来往函件应在2天内送达，送达承包方的指定地点：</w:t>
      </w:r>
      <w:r>
        <w:rPr>
          <w:color w:val="auto"/>
          <w:sz w:val="21"/>
          <w:szCs w:val="21"/>
          <w:highlight w:val="none"/>
          <w:u w:val="single"/>
        </w:rPr>
        <w:t xml:space="preserve">         </w:t>
      </w:r>
      <w:r>
        <w:rPr>
          <w:color w:val="auto"/>
          <w:sz w:val="21"/>
          <w:szCs w:val="21"/>
          <w:highlight w:val="none"/>
        </w:rPr>
        <w:t xml:space="preserve"> ，送达发包方的指定地点</w:t>
      </w:r>
      <w:r>
        <w:rPr>
          <w:color w:val="auto"/>
          <w:sz w:val="21"/>
          <w:szCs w:val="21"/>
          <w:highlight w:val="none"/>
          <w:u w:val="single"/>
        </w:rPr>
        <w:t xml:space="preserve">         </w:t>
      </w:r>
      <w:r>
        <w:rPr>
          <w:color w:val="auto"/>
          <w:sz w:val="21"/>
          <w:szCs w:val="21"/>
          <w:highlight w:val="none"/>
        </w:rPr>
        <w:t>。</w:t>
      </w:r>
    </w:p>
    <w:p w14:paraId="564C4720">
      <w:pPr>
        <w:snapToGrid w:val="0"/>
        <w:spacing w:line="360" w:lineRule="auto"/>
        <w:outlineLvl w:val="1"/>
        <w:rPr>
          <w:b/>
          <w:bCs/>
          <w:color w:val="auto"/>
          <w:sz w:val="21"/>
          <w:szCs w:val="21"/>
          <w:highlight w:val="none"/>
        </w:rPr>
      </w:pPr>
      <w:bookmarkStart w:id="1105" w:name="_Toc200536603"/>
      <w:bookmarkStart w:id="1106" w:name="_Toc217971053"/>
      <w:bookmarkStart w:id="1107" w:name="_Toc200968282"/>
      <w:bookmarkStart w:id="1108" w:name="_Toc199320003"/>
      <w:bookmarkStart w:id="1109" w:name="_Toc198115337"/>
      <w:bookmarkStart w:id="1110" w:name="_Toc4528"/>
      <w:bookmarkStart w:id="1111" w:name="_Toc207791269"/>
      <w:bookmarkStart w:id="1112" w:name="_Toc199294320"/>
      <w:bookmarkStart w:id="1113" w:name="_Toc199155885"/>
      <w:bookmarkStart w:id="1114" w:name="_Toc13790"/>
      <w:bookmarkStart w:id="1115" w:name="_Toc8243"/>
      <w:bookmarkStart w:id="1116" w:name="_Toc199215125"/>
      <w:bookmarkStart w:id="1117" w:name="_Toc200167768"/>
      <w:r>
        <w:rPr>
          <w:b/>
          <w:bCs/>
          <w:color w:val="auto"/>
          <w:sz w:val="21"/>
          <w:szCs w:val="21"/>
          <w:highlight w:val="none"/>
        </w:rPr>
        <w:t>2. 发包人义务</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475168E5">
      <w:pPr>
        <w:snapToGrid w:val="0"/>
        <w:spacing w:line="360" w:lineRule="auto"/>
        <w:outlineLvl w:val="2"/>
        <w:rPr>
          <w:b/>
          <w:bCs/>
          <w:color w:val="auto"/>
          <w:sz w:val="21"/>
          <w:szCs w:val="21"/>
          <w:highlight w:val="none"/>
        </w:rPr>
      </w:pPr>
      <w:bookmarkStart w:id="1118" w:name="_Toc5390"/>
      <w:bookmarkStart w:id="1119" w:name="_Toc199155886"/>
      <w:bookmarkStart w:id="1120" w:name="_Toc13893"/>
      <w:r>
        <w:rPr>
          <w:b/>
          <w:bCs/>
          <w:color w:val="auto"/>
          <w:sz w:val="21"/>
          <w:szCs w:val="21"/>
          <w:highlight w:val="none"/>
        </w:rPr>
        <w:t>2.3提供施工场地</w:t>
      </w:r>
      <w:bookmarkEnd w:id="1118"/>
      <w:bookmarkEnd w:id="1119"/>
      <w:bookmarkEnd w:id="1120"/>
    </w:p>
    <w:p w14:paraId="193203F8">
      <w:pPr>
        <w:snapToGrid w:val="0"/>
        <w:spacing w:line="360" w:lineRule="auto"/>
        <w:ind w:firstLine="420"/>
        <w:rPr>
          <w:color w:val="auto"/>
          <w:sz w:val="21"/>
          <w:szCs w:val="21"/>
          <w:highlight w:val="none"/>
        </w:rPr>
      </w:pPr>
      <w:r>
        <w:rPr>
          <w:color w:val="auto"/>
          <w:sz w:val="21"/>
          <w:szCs w:val="21"/>
          <w:highlight w:val="none"/>
        </w:rPr>
        <w:t>2.3.2发包人提供的施工场地范围为：发包人负责办理工地范围内的征地和移民，向承包人提供施工用地，提供用地的期限在签署协议时商定。若发包人要求，承包人应协助发包人办理有关施工用地范围内的拆迁事宜，以便工程顺利推进。</w:t>
      </w:r>
    </w:p>
    <w:p w14:paraId="2ECEEE5A">
      <w:pPr>
        <w:snapToGrid w:val="0"/>
        <w:spacing w:line="360" w:lineRule="auto"/>
        <w:ind w:firstLine="420"/>
        <w:rPr>
          <w:color w:val="auto"/>
          <w:sz w:val="21"/>
          <w:szCs w:val="21"/>
          <w:highlight w:val="none"/>
        </w:rPr>
      </w:pPr>
      <w:r>
        <w:rPr>
          <w:color w:val="auto"/>
          <w:sz w:val="21"/>
          <w:szCs w:val="21"/>
          <w:highlight w:val="none"/>
        </w:rPr>
        <w:t>发包人不保证本合同工程范围内的施工用地能全部移交承包人进行施工，且承包人不得以此为由向发包人索赔。如发包方因未能及时移交施工用地，造成工期延误，仅负责工期顺延，不给予经济补偿。</w:t>
      </w:r>
    </w:p>
    <w:p w14:paraId="539AC172">
      <w:pPr>
        <w:snapToGrid w:val="0"/>
        <w:spacing w:line="360" w:lineRule="auto"/>
        <w:outlineLvl w:val="2"/>
        <w:rPr>
          <w:b/>
          <w:bCs/>
          <w:color w:val="auto"/>
          <w:sz w:val="21"/>
          <w:szCs w:val="21"/>
          <w:highlight w:val="none"/>
        </w:rPr>
      </w:pPr>
      <w:bookmarkStart w:id="1121" w:name="_Toc17648"/>
      <w:bookmarkStart w:id="1122" w:name="_Toc2316"/>
      <w:r>
        <w:rPr>
          <w:b/>
          <w:bCs/>
          <w:color w:val="auto"/>
          <w:sz w:val="21"/>
          <w:szCs w:val="21"/>
          <w:highlight w:val="none"/>
        </w:rPr>
        <w:t>2.8其它义务</w:t>
      </w:r>
      <w:bookmarkEnd w:id="1121"/>
      <w:bookmarkEnd w:id="1122"/>
    </w:p>
    <w:p w14:paraId="72FC0894">
      <w:pPr>
        <w:snapToGrid w:val="0"/>
        <w:spacing w:line="360" w:lineRule="auto"/>
        <w:ind w:firstLine="420"/>
        <w:rPr>
          <w:color w:val="auto"/>
          <w:sz w:val="21"/>
          <w:szCs w:val="21"/>
          <w:highlight w:val="none"/>
        </w:rPr>
      </w:pPr>
      <w:r>
        <w:rPr>
          <w:color w:val="auto"/>
          <w:sz w:val="21"/>
          <w:szCs w:val="21"/>
          <w:highlight w:val="none"/>
        </w:rPr>
        <w:t>2.8.1负责本工程施工期间安全</w:t>
      </w:r>
      <w:r>
        <w:rPr>
          <w:rFonts w:hint="eastAsia"/>
          <w:color w:val="auto"/>
          <w:sz w:val="21"/>
          <w:szCs w:val="21"/>
          <w:highlight w:val="none"/>
          <w:lang w:val="en-US" w:eastAsia="zh-CN"/>
        </w:rPr>
        <w:t>度</w:t>
      </w:r>
      <w:r>
        <w:rPr>
          <w:color w:val="auto"/>
          <w:sz w:val="21"/>
          <w:szCs w:val="21"/>
          <w:highlight w:val="none"/>
        </w:rPr>
        <w:t>汛的统一协调、指挥。</w:t>
      </w:r>
    </w:p>
    <w:p w14:paraId="49E2119F">
      <w:pPr>
        <w:snapToGrid w:val="0"/>
        <w:spacing w:line="360" w:lineRule="auto"/>
        <w:ind w:firstLine="420"/>
        <w:rPr>
          <w:color w:val="auto"/>
          <w:sz w:val="21"/>
          <w:szCs w:val="21"/>
          <w:highlight w:val="none"/>
        </w:rPr>
      </w:pPr>
      <w:r>
        <w:rPr>
          <w:color w:val="auto"/>
          <w:sz w:val="21"/>
          <w:szCs w:val="21"/>
          <w:highlight w:val="none"/>
        </w:rPr>
        <w:t>2.8.2定期或不定期检查工程施工安全、质量、进度等。</w:t>
      </w:r>
    </w:p>
    <w:p w14:paraId="00CAE458">
      <w:pPr>
        <w:snapToGrid w:val="0"/>
        <w:spacing w:line="360" w:lineRule="auto"/>
        <w:rPr>
          <w:b/>
          <w:bCs/>
          <w:color w:val="auto"/>
          <w:sz w:val="21"/>
          <w:szCs w:val="21"/>
          <w:highlight w:val="none"/>
        </w:rPr>
      </w:pPr>
      <w:r>
        <w:rPr>
          <w:b/>
          <w:bCs/>
          <w:color w:val="auto"/>
          <w:sz w:val="21"/>
          <w:szCs w:val="21"/>
          <w:highlight w:val="none"/>
        </w:rPr>
        <w:t>3监理人</w:t>
      </w:r>
    </w:p>
    <w:p w14:paraId="02A6C6CF">
      <w:pPr>
        <w:snapToGrid w:val="0"/>
        <w:spacing w:line="360" w:lineRule="auto"/>
        <w:rPr>
          <w:b/>
          <w:bCs/>
          <w:color w:val="auto"/>
          <w:sz w:val="21"/>
          <w:szCs w:val="21"/>
          <w:highlight w:val="none"/>
        </w:rPr>
      </w:pPr>
      <w:r>
        <w:rPr>
          <w:b/>
          <w:bCs/>
          <w:color w:val="auto"/>
          <w:sz w:val="21"/>
          <w:szCs w:val="21"/>
          <w:highlight w:val="none"/>
        </w:rPr>
        <w:t>3.1监理人的职责和权力</w:t>
      </w:r>
    </w:p>
    <w:p w14:paraId="5325A793">
      <w:pPr>
        <w:spacing w:line="360" w:lineRule="auto"/>
        <w:rPr>
          <w:color w:val="auto"/>
          <w:sz w:val="21"/>
          <w:szCs w:val="21"/>
          <w:highlight w:val="none"/>
        </w:rPr>
      </w:pPr>
      <w:r>
        <w:rPr>
          <w:color w:val="auto"/>
          <w:sz w:val="21"/>
          <w:szCs w:val="21"/>
          <w:highlight w:val="none"/>
        </w:rPr>
        <w:t>3.1.1监理人须根据发包人事先批准的权力范围行使权力，发包人批准的权力范围：</w:t>
      </w:r>
    </w:p>
    <w:p w14:paraId="669A9677">
      <w:pPr>
        <w:spacing w:line="360" w:lineRule="auto"/>
        <w:rPr>
          <w:color w:val="auto"/>
          <w:sz w:val="21"/>
          <w:szCs w:val="21"/>
          <w:highlight w:val="none"/>
        </w:rPr>
      </w:pPr>
      <w:r>
        <w:rPr>
          <w:color w:val="auto"/>
          <w:sz w:val="21"/>
          <w:szCs w:val="21"/>
          <w:highlight w:val="none"/>
        </w:rPr>
        <w:t>（1） 按第4.3款约定，批准工程的分包；</w:t>
      </w:r>
    </w:p>
    <w:p w14:paraId="538B3F93">
      <w:pPr>
        <w:spacing w:line="360" w:lineRule="auto"/>
        <w:rPr>
          <w:color w:val="auto"/>
          <w:sz w:val="21"/>
          <w:szCs w:val="21"/>
          <w:highlight w:val="none"/>
        </w:rPr>
      </w:pPr>
      <w:r>
        <w:rPr>
          <w:color w:val="auto"/>
          <w:sz w:val="21"/>
          <w:szCs w:val="21"/>
          <w:highlight w:val="none"/>
        </w:rPr>
        <w:t>（2） 按第11.3款约定，确定延长完工期限；</w:t>
      </w:r>
    </w:p>
    <w:p w14:paraId="2012DD45">
      <w:pPr>
        <w:spacing w:line="360" w:lineRule="auto"/>
        <w:rPr>
          <w:color w:val="auto"/>
          <w:sz w:val="21"/>
          <w:szCs w:val="21"/>
          <w:highlight w:val="none"/>
        </w:rPr>
      </w:pPr>
      <w:r>
        <w:rPr>
          <w:color w:val="auto"/>
          <w:sz w:val="21"/>
          <w:szCs w:val="21"/>
          <w:highlight w:val="none"/>
        </w:rPr>
        <w:t>（3） 按第15.3款约定，发出变更指示；</w:t>
      </w:r>
    </w:p>
    <w:p w14:paraId="0EBF6501">
      <w:pPr>
        <w:spacing w:line="360" w:lineRule="auto"/>
        <w:rPr>
          <w:color w:val="auto"/>
          <w:sz w:val="21"/>
          <w:szCs w:val="21"/>
          <w:highlight w:val="none"/>
        </w:rPr>
      </w:pPr>
      <w:r>
        <w:rPr>
          <w:color w:val="auto"/>
          <w:sz w:val="21"/>
          <w:szCs w:val="21"/>
          <w:highlight w:val="none"/>
        </w:rPr>
        <w:t>（4） 按第17.3款约定，合同价款的支付。</w:t>
      </w:r>
    </w:p>
    <w:p w14:paraId="5F928F09">
      <w:pPr>
        <w:spacing w:line="360" w:lineRule="auto"/>
        <w:ind w:firstLine="420" w:firstLineChars="200"/>
        <w:rPr>
          <w:color w:val="auto"/>
          <w:sz w:val="21"/>
          <w:szCs w:val="21"/>
          <w:highlight w:val="none"/>
        </w:rPr>
      </w:pPr>
      <w:r>
        <w:rPr>
          <w:color w:val="auto"/>
          <w:sz w:val="21"/>
          <w:szCs w:val="21"/>
          <w:highlight w:val="none"/>
        </w:rPr>
        <w:t>尽管有以上规定，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遵照执行。</w:t>
      </w:r>
    </w:p>
    <w:p w14:paraId="1486248A">
      <w:pPr>
        <w:spacing w:line="360" w:lineRule="auto"/>
        <w:rPr>
          <w:color w:val="auto"/>
          <w:sz w:val="21"/>
          <w:szCs w:val="21"/>
          <w:highlight w:val="none"/>
        </w:rPr>
      </w:pPr>
      <w:r>
        <w:rPr>
          <w:color w:val="auto"/>
          <w:sz w:val="21"/>
          <w:szCs w:val="21"/>
          <w:highlight w:val="none"/>
        </w:rPr>
        <w:t>增加3.1.4：</w:t>
      </w:r>
    </w:p>
    <w:p w14:paraId="7934748E">
      <w:pPr>
        <w:spacing w:line="360" w:lineRule="auto"/>
        <w:rPr>
          <w:color w:val="auto"/>
          <w:sz w:val="21"/>
          <w:szCs w:val="21"/>
          <w:highlight w:val="none"/>
        </w:rPr>
      </w:pPr>
      <w:r>
        <w:rPr>
          <w:color w:val="auto"/>
          <w:sz w:val="21"/>
          <w:szCs w:val="21"/>
          <w:highlight w:val="none"/>
        </w:rPr>
        <w:t>3.1.4发包人在工程履行期间有权根据工程的具体情况调整监理人的权力范围，并及时通知承包人。</w:t>
      </w:r>
    </w:p>
    <w:p w14:paraId="6C687527">
      <w:pPr>
        <w:snapToGrid w:val="0"/>
        <w:spacing w:line="360" w:lineRule="auto"/>
        <w:rPr>
          <w:b/>
          <w:bCs/>
          <w:color w:val="auto"/>
          <w:sz w:val="21"/>
          <w:szCs w:val="21"/>
          <w:highlight w:val="none"/>
        </w:rPr>
      </w:pPr>
      <w:bookmarkStart w:id="1123" w:name="_Toc199215127"/>
      <w:bookmarkStart w:id="1124" w:name="_Toc200536604"/>
      <w:bookmarkStart w:id="1125" w:name="_Toc199155889"/>
      <w:bookmarkStart w:id="1126" w:name="_Toc200968283"/>
      <w:bookmarkStart w:id="1127" w:name="_Toc199320005"/>
      <w:bookmarkStart w:id="1128" w:name="_Toc217971054"/>
      <w:bookmarkStart w:id="1129" w:name="_Toc199294322"/>
      <w:bookmarkStart w:id="1130" w:name="_Toc207791270"/>
      <w:bookmarkStart w:id="1131" w:name="_Toc198115339"/>
      <w:bookmarkStart w:id="1132" w:name="_Toc200167769"/>
      <w:r>
        <w:rPr>
          <w:b/>
          <w:bCs/>
          <w:color w:val="auto"/>
          <w:sz w:val="21"/>
          <w:szCs w:val="21"/>
          <w:highlight w:val="none"/>
        </w:rPr>
        <w:t>4. 承包人</w:t>
      </w:r>
      <w:bookmarkEnd w:id="1123"/>
      <w:bookmarkEnd w:id="1124"/>
      <w:bookmarkEnd w:id="1125"/>
      <w:bookmarkEnd w:id="1126"/>
      <w:bookmarkEnd w:id="1127"/>
      <w:bookmarkEnd w:id="1128"/>
      <w:bookmarkEnd w:id="1129"/>
      <w:bookmarkEnd w:id="1130"/>
      <w:bookmarkEnd w:id="1131"/>
      <w:bookmarkEnd w:id="1132"/>
    </w:p>
    <w:p w14:paraId="7E6345E3">
      <w:pPr>
        <w:snapToGrid w:val="0"/>
        <w:spacing w:line="360" w:lineRule="auto"/>
        <w:rPr>
          <w:b/>
          <w:bCs/>
          <w:color w:val="auto"/>
          <w:sz w:val="21"/>
          <w:szCs w:val="21"/>
          <w:highlight w:val="none"/>
        </w:rPr>
      </w:pPr>
      <w:bookmarkStart w:id="1133" w:name="_Toc198115340"/>
      <w:bookmarkStart w:id="1134" w:name="_Toc199155890"/>
      <w:r>
        <w:rPr>
          <w:b/>
          <w:bCs/>
          <w:color w:val="auto"/>
          <w:sz w:val="21"/>
          <w:szCs w:val="21"/>
          <w:highlight w:val="none"/>
        </w:rPr>
        <w:t>4.1承包人的一般义务</w:t>
      </w:r>
      <w:bookmarkEnd w:id="1133"/>
      <w:bookmarkEnd w:id="1134"/>
    </w:p>
    <w:p w14:paraId="417D04E2">
      <w:pPr>
        <w:spacing w:line="360" w:lineRule="auto"/>
        <w:ind w:firstLine="420" w:firstLineChars="200"/>
        <w:rPr>
          <w:color w:val="auto"/>
          <w:sz w:val="21"/>
          <w:szCs w:val="21"/>
          <w:highlight w:val="none"/>
        </w:rPr>
      </w:pPr>
      <w:bookmarkStart w:id="1135" w:name="_Toc198115342"/>
      <w:bookmarkStart w:id="1136" w:name="_Toc199155900"/>
      <w:r>
        <w:rPr>
          <w:color w:val="auto"/>
          <w:sz w:val="21"/>
          <w:szCs w:val="21"/>
          <w:highlight w:val="none"/>
        </w:rPr>
        <w:t>4.1.2 依法纳税</w:t>
      </w:r>
    </w:p>
    <w:p w14:paraId="74312FD6">
      <w:pPr>
        <w:spacing w:line="360" w:lineRule="auto"/>
        <w:ind w:firstLine="420" w:firstLineChars="200"/>
        <w:rPr>
          <w:color w:val="auto"/>
          <w:sz w:val="21"/>
          <w:szCs w:val="21"/>
          <w:highlight w:val="none"/>
        </w:rPr>
      </w:pPr>
      <w:r>
        <w:rPr>
          <w:color w:val="auto"/>
          <w:sz w:val="21"/>
          <w:szCs w:val="21"/>
          <w:highlight w:val="none"/>
        </w:rPr>
        <w:t>本款增加：承包人应依法及时足额缴纳税款；外省（市）承包人在支付工程款时应在项目所在地预缴税款（预缴税款为发票金额的2%），否则发包人有权利暂停工程款的支付。</w:t>
      </w:r>
    </w:p>
    <w:p w14:paraId="1E050780">
      <w:pPr>
        <w:spacing w:line="360" w:lineRule="auto"/>
        <w:ind w:firstLine="420" w:firstLineChars="200"/>
        <w:rPr>
          <w:color w:val="auto"/>
          <w:sz w:val="21"/>
          <w:szCs w:val="21"/>
          <w:highlight w:val="none"/>
        </w:rPr>
      </w:pPr>
      <w:r>
        <w:rPr>
          <w:color w:val="auto"/>
          <w:sz w:val="21"/>
          <w:szCs w:val="21"/>
          <w:highlight w:val="none"/>
        </w:rPr>
        <w:t>4.1.10 其他义务</w:t>
      </w:r>
    </w:p>
    <w:p w14:paraId="41FD7C90">
      <w:pPr>
        <w:spacing w:line="360" w:lineRule="auto"/>
        <w:ind w:firstLine="472" w:firstLineChars="225"/>
        <w:rPr>
          <w:color w:val="auto"/>
          <w:sz w:val="21"/>
          <w:szCs w:val="21"/>
          <w:highlight w:val="none"/>
        </w:rPr>
      </w:pPr>
      <w:r>
        <w:rPr>
          <w:color w:val="auto"/>
          <w:sz w:val="21"/>
          <w:szCs w:val="21"/>
          <w:highlight w:val="none"/>
        </w:rPr>
        <w:t>（1） 按发包方提供的年度施工计划组织工程施工，服从发包方的年度施工计划安排。</w:t>
      </w:r>
    </w:p>
    <w:p w14:paraId="34A06998">
      <w:pPr>
        <w:spacing w:line="360" w:lineRule="auto"/>
        <w:ind w:firstLine="472" w:firstLineChars="225"/>
        <w:rPr>
          <w:color w:val="auto"/>
          <w:sz w:val="21"/>
          <w:szCs w:val="21"/>
          <w:highlight w:val="none"/>
        </w:rPr>
      </w:pPr>
      <w:r>
        <w:rPr>
          <w:color w:val="auto"/>
          <w:sz w:val="21"/>
          <w:szCs w:val="21"/>
          <w:highlight w:val="none"/>
        </w:rPr>
        <w:t>（2） 承包人必须听从发包人在安全度汛期间的统一指挥。</w:t>
      </w:r>
    </w:p>
    <w:p w14:paraId="08FFB86D">
      <w:pPr>
        <w:spacing w:line="360" w:lineRule="auto"/>
        <w:ind w:firstLine="472" w:firstLineChars="225"/>
        <w:rPr>
          <w:color w:val="auto"/>
          <w:sz w:val="21"/>
          <w:szCs w:val="21"/>
          <w:highlight w:val="none"/>
        </w:rPr>
      </w:pPr>
      <w:r>
        <w:rPr>
          <w:color w:val="auto"/>
          <w:sz w:val="21"/>
          <w:szCs w:val="21"/>
          <w:highlight w:val="none"/>
        </w:rPr>
        <w:t>（3） 自行负责施工用水用电。</w:t>
      </w:r>
    </w:p>
    <w:p w14:paraId="5552D6A8">
      <w:pPr>
        <w:spacing w:line="360" w:lineRule="auto"/>
        <w:ind w:firstLine="472" w:firstLineChars="225"/>
        <w:rPr>
          <w:color w:val="auto"/>
          <w:sz w:val="21"/>
          <w:szCs w:val="21"/>
          <w:highlight w:val="none"/>
        </w:rPr>
      </w:pPr>
      <w:r>
        <w:rPr>
          <w:color w:val="auto"/>
          <w:sz w:val="21"/>
          <w:szCs w:val="21"/>
          <w:highlight w:val="none"/>
        </w:rPr>
        <w:t>（4） 配合发包方定期或不定期检查工程的安全生产、施工质量、施工进度等，并做好相应工作。承包方应在工程开工当月的下一个月开始，在每月的25日前以书面形式向发包方和监理方上报工程进度情况。</w:t>
      </w:r>
    </w:p>
    <w:bookmarkEnd w:id="1135"/>
    <w:bookmarkEnd w:id="1136"/>
    <w:p w14:paraId="5CDBECC9">
      <w:pPr>
        <w:snapToGrid w:val="0"/>
        <w:spacing w:line="360" w:lineRule="auto"/>
        <w:rPr>
          <w:b/>
          <w:bCs/>
          <w:color w:val="auto"/>
          <w:sz w:val="21"/>
          <w:szCs w:val="21"/>
          <w:highlight w:val="none"/>
        </w:rPr>
      </w:pPr>
      <w:r>
        <w:rPr>
          <w:b/>
          <w:bCs/>
          <w:color w:val="auto"/>
          <w:sz w:val="21"/>
          <w:szCs w:val="21"/>
          <w:highlight w:val="none"/>
        </w:rPr>
        <w:t>4.5承包人项目负责人</w:t>
      </w:r>
    </w:p>
    <w:p w14:paraId="7C17C3FE">
      <w:pPr>
        <w:spacing w:line="360" w:lineRule="auto"/>
        <w:ind w:firstLine="420" w:firstLineChars="200"/>
        <w:rPr>
          <w:color w:val="auto"/>
          <w:sz w:val="21"/>
          <w:szCs w:val="21"/>
          <w:highlight w:val="none"/>
        </w:rPr>
      </w:pPr>
      <w:r>
        <w:rPr>
          <w:color w:val="auto"/>
          <w:sz w:val="21"/>
          <w:szCs w:val="21"/>
          <w:highlight w:val="none"/>
        </w:rPr>
        <w:t>增加条款：</w:t>
      </w:r>
    </w:p>
    <w:p w14:paraId="36C6D379">
      <w:pPr>
        <w:spacing w:line="360" w:lineRule="auto"/>
        <w:ind w:firstLine="420" w:firstLineChars="200"/>
        <w:rPr>
          <w:color w:val="auto"/>
          <w:sz w:val="21"/>
          <w:szCs w:val="21"/>
          <w:highlight w:val="none"/>
        </w:rPr>
      </w:pPr>
      <w:r>
        <w:rPr>
          <w:color w:val="auto"/>
          <w:sz w:val="21"/>
          <w:szCs w:val="21"/>
          <w:highlight w:val="none"/>
        </w:rPr>
        <w:t>4.5.6除经招标人及监理人同意短期离开工地，项目负责人和技术负责人必须常驻施工现场，且应亲自准时参加由业主、监理、或上级主管部门组织的有关本工程的书面形式或电话方式通知的各类例会、重大技术专题讨论会、隐蔽工程验收等各类会议。</w:t>
      </w:r>
    </w:p>
    <w:p w14:paraId="04AB8787">
      <w:pPr>
        <w:spacing w:line="360" w:lineRule="auto"/>
        <w:ind w:firstLine="420" w:firstLineChars="200"/>
        <w:rPr>
          <w:color w:val="auto"/>
          <w:sz w:val="21"/>
          <w:szCs w:val="21"/>
          <w:highlight w:val="none"/>
        </w:rPr>
      </w:pPr>
      <w:r>
        <w:rPr>
          <w:color w:val="auto"/>
          <w:sz w:val="21"/>
          <w:szCs w:val="21"/>
          <w:highlight w:val="none"/>
        </w:rPr>
        <w:t>4.5.7承包人进场后十天内向监理人提交各专业管理人员名单和资格证明、各专业技术工人名单及岗位资格证书的复印件（原件备查）。</w:t>
      </w:r>
    </w:p>
    <w:p w14:paraId="437AECDB">
      <w:pPr>
        <w:snapToGrid w:val="0"/>
        <w:spacing w:line="360" w:lineRule="auto"/>
        <w:rPr>
          <w:b/>
          <w:bCs/>
          <w:color w:val="auto"/>
          <w:sz w:val="21"/>
          <w:szCs w:val="21"/>
          <w:highlight w:val="none"/>
        </w:rPr>
      </w:pPr>
      <w:r>
        <w:rPr>
          <w:b/>
          <w:bCs/>
          <w:color w:val="auto"/>
          <w:sz w:val="21"/>
          <w:szCs w:val="21"/>
          <w:highlight w:val="none"/>
        </w:rPr>
        <w:t>4.6承包人人员的管理</w:t>
      </w:r>
    </w:p>
    <w:p w14:paraId="5DDD6AD8">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增加：4.6.5 除经招标人及监理人同意短期离开工地，承包人项目负责人和技术负责人必须常驻施工现场，且应亲自准时参加由发包人，监理人，或上级主管部门组织的有关本工程的书面形式或电话方式通知的各类例会及重大技术专题讨论会、隐蔽工程验收等各类会议。</w:t>
      </w:r>
    </w:p>
    <w:p w14:paraId="1258BFC8">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4.6.6承包人进场后十天内向监理人提交各专业管理人员名单和资格证明、各专业技术工人名单及岗位资格证书的复印件（原件备查）。</w:t>
      </w:r>
    </w:p>
    <w:p w14:paraId="71C210ED">
      <w:pPr>
        <w:pStyle w:val="5"/>
        <w:spacing w:line="360" w:lineRule="auto"/>
        <w:jc w:val="both"/>
        <w:rPr>
          <w:rFonts w:hint="eastAsia" w:ascii="Times New Roman"/>
          <w:color w:val="auto"/>
          <w:sz w:val="21"/>
          <w:szCs w:val="21"/>
          <w:highlight w:val="none"/>
        </w:rPr>
      </w:pPr>
      <w:bookmarkStart w:id="1137" w:name="_Toc27956"/>
      <w:bookmarkStart w:id="1138" w:name="_Toc9158"/>
      <w:bookmarkStart w:id="1139" w:name="_Toc200536605"/>
      <w:bookmarkStart w:id="1140" w:name="_Toc199294323"/>
      <w:bookmarkStart w:id="1141" w:name="_Toc199320006"/>
      <w:bookmarkStart w:id="1142" w:name="_Toc200167770"/>
      <w:bookmarkStart w:id="1143" w:name="_Toc200968284"/>
      <w:bookmarkStart w:id="1144" w:name="_Toc207791271"/>
      <w:bookmarkStart w:id="1145" w:name="_Toc199155903"/>
      <w:bookmarkStart w:id="1146" w:name="_Toc199215128"/>
      <w:bookmarkStart w:id="1147" w:name="_Toc198115345"/>
      <w:bookmarkStart w:id="1148" w:name="_Toc217971055"/>
      <w:r>
        <w:rPr>
          <w:rFonts w:ascii="Times New Roman"/>
          <w:color w:val="auto"/>
          <w:sz w:val="21"/>
          <w:szCs w:val="21"/>
          <w:highlight w:val="none"/>
        </w:rPr>
        <w:t>4.8 保障承包人人员的合法权益</w:t>
      </w:r>
      <w:bookmarkEnd w:id="1137"/>
      <w:bookmarkEnd w:id="1138"/>
    </w:p>
    <w:p w14:paraId="3D1059EC">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4.8.1 将通用合同条款4.8.1条修改为：</w:t>
      </w:r>
    </w:p>
    <w:p w14:paraId="37567619">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承包人应与其雇佣的人员签订劳动合同，并按时发放工资。如出现恶意拖欠工人工资引发上访等严重后果的，经发包人和监理人调查属实的，发包人保留直接在承包人的工程进度款、质量保证金或履约保证金中直接扣除工人应得工资的权利。</w:t>
      </w:r>
    </w:p>
    <w:p w14:paraId="0AFD5BE0">
      <w:pPr>
        <w:snapToGrid w:val="0"/>
        <w:spacing w:line="360" w:lineRule="auto"/>
        <w:rPr>
          <w:b/>
          <w:bCs/>
          <w:color w:val="auto"/>
          <w:sz w:val="21"/>
          <w:szCs w:val="21"/>
          <w:highlight w:val="none"/>
        </w:rPr>
      </w:pPr>
      <w:r>
        <w:rPr>
          <w:b/>
          <w:bCs/>
          <w:color w:val="auto"/>
          <w:sz w:val="21"/>
          <w:szCs w:val="21"/>
          <w:highlight w:val="none"/>
        </w:rPr>
        <w:t>5. 材料和工程设备的提供</w:t>
      </w:r>
      <w:bookmarkEnd w:id="1139"/>
      <w:bookmarkEnd w:id="1140"/>
      <w:bookmarkEnd w:id="1141"/>
      <w:bookmarkEnd w:id="1142"/>
      <w:bookmarkEnd w:id="1143"/>
      <w:bookmarkEnd w:id="1144"/>
      <w:bookmarkEnd w:id="1145"/>
      <w:bookmarkEnd w:id="1146"/>
      <w:bookmarkEnd w:id="1147"/>
      <w:bookmarkEnd w:id="1148"/>
    </w:p>
    <w:p w14:paraId="34BA5C18">
      <w:pPr>
        <w:snapToGrid w:val="0"/>
        <w:spacing w:line="360" w:lineRule="auto"/>
        <w:rPr>
          <w:b/>
          <w:bCs/>
          <w:color w:val="auto"/>
          <w:sz w:val="21"/>
          <w:szCs w:val="21"/>
          <w:highlight w:val="none"/>
        </w:rPr>
      </w:pPr>
      <w:r>
        <w:rPr>
          <w:b/>
          <w:bCs/>
          <w:color w:val="auto"/>
          <w:sz w:val="21"/>
          <w:szCs w:val="21"/>
          <w:highlight w:val="none"/>
        </w:rPr>
        <w:t>5.1 承包人提供的材料和工程设备</w:t>
      </w:r>
    </w:p>
    <w:p w14:paraId="6C6BD5A4">
      <w:pPr>
        <w:spacing w:line="360" w:lineRule="auto"/>
        <w:ind w:firstLine="420" w:firstLineChars="200"/>
        <w:rPr>
          <w:color w:val="auto"/>
          <w:sz w:val="21"/>
          <w:szCs w:val="21"/>
          <w:highlight w:val="none"/>
        </w:rPr>
      </w:pPr>
      <w:r>
        <w:rPr>
          <w:color w:val="auto"/>
          <w:sz w:val="21"/>
          <w:szCs w:val="21"/>
          <w:highlight w:val="none"/>
        </w:rPr>
        <w:t>本款增加5.1.4由承包人提供的设备的技术参数、型号、规格必须符合设计及相关技术规范要求，设备的生产制造必须是国家有关部门颁发的工业产品生产许可证。承包人负责设备定货、催货、提货、出厂验收、现场验收、运输、保管、安装、调试、试运行及交接试验、验收等。</w:t>
      </w:r>
    </w:p>
    <w:p w14:paraId="7FEFD502">
      <w:pPr>
        <w:spacing w:line="360" w:lineRule="auto"/>
        <w:ind w:firstLine="420" w:firstLineChars="200"/>
        <w:rPr>
          <w:color w:val="auto"/>
          <w:sz w:val="21"/>
          <w:szCs w:val="21"/>
          <w:highlight w:val="none"/>
        </w:rPr>
      </w:pPr>
      <w:r>
        <w:rPr>
          <w:color w:val="auto"/>
          <w:sz w:val="21"/>
          <w:szCs w:val="21"/>
          <w:highlight w:val="none"/>
        </w:rPr>
        <w:t>5.1.5由承包人采购的设备的备品备件及专用工具由承包人负责保管，承包人使用该设备应由监理批准方可使用。</w:t>
      </w:r>
    </w:p>
    <w:p w14:paraId="2ECBA53D">
      <w:pPr>
        <w:snapToGrid w:val="0"/>
        <w:spacing w:line="360" w:lineRule="auto"/>
        <w:rPr>
          <w:b/>
          <w:bCs/>
          <w:color w:val="auto"/>
          <w:sz w:val="21"/>
          <w:szCs w:val="21"/>
          <w:highlight w:val="none"/>
        </w:rPr>
      </w:pPr>
      <w:bookmarkStart w:id="1149" w:name="_Toc199155905"/>
      <w:r>
        <w:rPr>
          <w:b/>
          <w:bCs/>
          <w:color w:val="auto"/>
          <w:sz w:val="21"/>
          <w:szCs w:val="21"/>
          <w:highlight w:val="none"/>
        </w:rPr>
        <w:t>5.2 发包人提供的材料和工程设备</w:t>
      </w:r>
      <w:bookmarkEnd w:id="1149"/>
    </w:p>
    <w:p w14:paraId="558EE435">
      <w:pPr>
        <w:snapToGrid w:val="0"/>
        <w:spacing w:line="360" w:lineRule="auto"/>
        <w:ind w:firstLine="420"/>
        <w:rPr>
          <w:color w:val="auto"/>
          <w:sz w:val="21"/>
          <w:szCs w:val="21"/>
          <w:highlight w:val="none"/>
        </w:rPr>
      </w:pPr>
      <w:r>
        <w:rPr>
          <w:color w:val="auto"/>
          <w:sz w:val="21"/>
          <w:szCs w:val="21"/>
          <w:highlight w:val="none"/>
        </w:rPr>
        <w:t>删除本款全文，并代之以：发包人不提供材料和工程设备。</w:t>
      </w:r>
    </w:p>
    <w:p w14:paraId="65D5B74B">
      <w:pPr>
        <w:snapToGrid w:val="0"/>
        <w:spacing w:line="360" w:lineRule="auto"/>
        <w:rPr>
          <w:b/>
          <w:bCs/>
          <w:color w:val="auto"/>
          <w:sz w:val="21"/>
          <w:szCs w:val="21"/>
          <w:highlight w:val="none"/>
        </w:rPr>
      </w:pPr>
      <w:bookmarkStart w:id="1150" w:name="_Toc199215129"/>
      <w:bookmarkStart w:id="1151" w:name="_Toc200167771"/>
      <w:bookmarkStart w:id="1152" w:name="_Toc199320007"/>
      <w:bookmarkStart w:id="1153" w:name="_Toc198115346"/>
      <w:bookmarkStart w:id="1154" w:name="_Toc217971056"/>
      <w:bookmarkStart w:id="1155" w:name="_Toc199294324"/>
      <w:bookmarkStart w:id="1156" w:name="_Toc199155907"/>
      <w:bookmarkStart w:id="1157" w:name="_Toc200968285"/>
      <w:bookmarkStart w:id="1158" w:name="_Toc200536606"/>
      <w:bookmarkStart w:id="1159" w:name="_Toc207791272"/>
      <w:r>
        <w:rPr>
          <w:b/>
          <w:bCs/>
          <w:color w:val="auto"/>
          <w:sz w:val="21"/>
          <w:szCs w:val="21"/>
          <w:highlight w:val="none"/>
        </w:rPr>
        <w:t>6. 施工设备和临时设施</w:t>
      </w:r>
      <w:bookmarkEnd w:id="1150"/>
      <w:bookmarkEnd w:id="1151"/>
      <w:bookmarkEnd w:id="1152"/>
      <w:bookmarkEnd w:id="1153"/>
      <w:bookmarkEnd w:id="1154"/>
      <w:bookmarkEnd w:id="1155"/>
      <w:bookmarkEnd w:id="1156"/>
      <w:bookmarkEnd w:id="1157"/>
      <w:bookmarkEnd w:id="1158"/>
      <w:bookmarkEnd w:id="1159"/>
    </w:p>
    <w:p w14:paraId="52E5A39E">
      <w:pPr>
        <w:snapToGrid w:val="0"/>
        <w:spacing w:line="360" w:lineRule="auto"/>
        <w:rPr>
          <w:b/>
          <w:bCs/>
          <w:color w:val="auto"/>
          <w:sz w:val="21"/>
          <w:szCs w:val="21"/>
          <w:highlight w:val="none"/>
        </w:rPr>
      </w:pPr>
      <w:r>
        <w:rPr>
          <w:b/>
          <w:bCs/>
          <w:color w:val="auto"/>
          <w:sz w:val="21"/>
          <w:szCs w:val="21"/>
          <w:highlight w:val="none"/>
        </w:rPr>
        <w:t>6.1承包人提供的施工设备和临时设施</w:t>
      </w:r>
    </w:p>
    <w:p w14:paraId="4EC2C967">
      <w:pPr>
        <w:snapToGrid w:val="0"/>
        <w:spacing w:line="360" w:lineRule="auto"/>
        <w:ind w:firstLine="420"/>
        <w:rPr>
          <w:color w:val="auto"/>
          <w:sz w:val="21"/>
          <w:szCs w:val="21"/>
          <w:highlight w:val="none"/>
        </w:rPr>
      </w:pPr>
      <w:r>
        <w:rPr>
          <w:color w:val="auto"/>
          <w:sz w:val="21"/>
          <w:szCs w:val="21"/>
          <w:highlight w:val="none"/>
        </w:rPr>
        <w:t>6.1.2施工过程中由于</w:t>
      </w:r>
      <w:r>
        <w:rPr>
          <w:rFonts w:hint="eastAsia" w:ascii="Times New Roman" w:hAnsi="宋体"/>
          <w:color w:val="auto"/>
          <w:sz w:val="21"/>
          <w:szCs w:val="21"/>
          <w:highlight w:val="none"/>
        </w:rPr>
        <w:t>承包人</w:t>
      </w:r>
      <w:r>
        <w:rPr>
          <w:rFonts w:hint="eastAsia" w:ascii="Times New Roman" w:hAnsi="宋体"/>
          <w:color w:val="auto"/>
          <w:sz w:val="21"/>
          <w:szCs w:val="21"/>
          <w:highlight w:val="none"/>
          <w:lang w:val="en-US" w:eastAsia="zh-CN"/>
        </w:rPr>
        <w:t>自主</w:t>
      </w:r>
      <w:r>
        <w:rPr>
          <w:color w:val="auto"/>
          <w:sz w:val="21"/>
          <w:szCs w:val="21"/>
          <w:highlight w:val="none"/>
        </w:rPr>
        <w:t>需要产生的临时征用土地，青苗补偿等所产生的一切费用均由承包人承担。</w:t>
      </w:r>
    </w:p>
    <w:p w14:paraId="21B54891">
      <w:pPr>
        <w:snapToGrid w:val="0"/>
        <w:spacing w:line="360" w:lineRule="auto"/>
        <w:rPr>
          <w:b/>
          <w:bCs/>
          <w:color w:val="auto"/>
          <w:sz w:val="21"/>
          <w:szCs w:val="21"/>
          <w:highlight w:val="none"/>
        </w:rPr>
      </w:pPr>
      <w:bookmarkStart w:id="1160" w:name="_Toc199155909"/>
      <w:r>
        <w:rPr>
          <w:b/>
          <w:bCs/>
          <w:color w:val="auto"/>
          <w:sz w:val="21"/>
          <w:szCs w:val="21"/>
          <w:highlight w:val="none"/>
        </w:rPr>
        <w:t>6.2 发包人提供的施工设备和临时设施</w:t>
      </w:r>
      <w:bookmarkEnd w:id="1160"/>
    </w:p>
    <w:p w14:paraId="42AD957A">
      <w:pPr>
        <w:snapToGrid w:val="0"/>
        <w:spacing w:line="360" w:lineRule="auto"/>
        <w:ind w:firstLine="420"/>
        <w:rPr>
          <w:color w:val="auto"/>
          <w:sz w:val="21"/>
          <w:szCs w:val="21"/>
          <w:highlight w:val="none"/>
        </w:rPr>
      </w:pPr>
      <w:r>
        <w:rPr>
          <w:color w:val="auto"/>
          <w:sz w:val="21"/>
          <w:szCs w:val="21"/>
          <w:highlight w:val="none"/>
        </w:rPr>
        <w:t>合同实施期间承包人所需的房屋、</w:t>
      </w:r>
      <w:r>
        <w:rPr>
          <w:rFonts w:hint="eastAsia" w:ascii="Times New Roman" w:hAnsi="宋体"/>
          <w:strike w:val="0"/>
          <w:dstrike w:val="0"/>
          <w:color w:val="auto"/>
          <w:sz w:val="21"/>
          <w:szCs w:val="21"/>
          <w:highlight w:val="none"/>
          <w:lang w:val="en-US" w:eastAsia="zh-CN"/>
        </w:rPr>
        <w:t>商业</w:t>
      </w:r>
      <w:r>
        <w:rPr>
          <w:color w:val="auto"/>
          <w:sz w:val="21"/>
          <w:szCs w:val="21"/>
          <w:highlight w:val="none"/>
        </w:rPr>
        <w:t>供水、</w:t>
      </w:r>
      <w:r>
        <w:rPr>
          <w:rFonts w:hint="eastAsia" w:ascii="Times New Roman" w:hAnsi="宋体"/>
          <w:strike w:val="0"/>
          <w:dstrike w:val="0"/>
          <w:color w:val="auto"/>
          <w:sz w:val="21"/>
          <w:szCs w:val="21"/>
          <w:highlight w:val="none"/>
          <w:lang w:val="en-US" w:eastAsia="zh-CN"/>
        </w:rPr>
        <w:t>商业</w:t>
      </w:r>
      <w:r>
        <w:rPr>
          <w:color w:val="auto"/>
          <w:sz w:val="21"/>
          <w:szCs w:val="21"/>
          <w:highlight w:val="none"/>
        </w:rPr>
        <w:t>供电和通讯设施等由承包人自己解决</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如现场不具备</w:t>
      </w:r>
      <w:r>
        <w:rPr>
          <w:rFonts w:hint="eastAsia" w:ascii="Times New Roman" w:hAnsi="宋体"/>
          <w:strike w:val="0"/>
          <w:dstrike w:val="0"/>
          <w:color w:val="auto"/>
          <w:sz w:val="21"/>
          <w:szCs w:val="21"/>
          <w:highlight w:val="none"/>
          <w:lang w:val="en-US" w:eastAsia="zh-CN"/>
        </w:rPr>
        <w:t>商业</w:t>
      </w:r>
      <w:r>
        <w:rPr>
          <w:rFonts w:hint="eastAsia" w:ascii="Times New Roman" w:hAnsi="宋体"/>
          <w:color w:val="auto"/>
          <w:sz w:val="21"/>
          <w:szCs w:val="21"/>
          <w:highlight w:val="none"/>
        </w:rPr>
        <w:t>供水、</w:t>
      </w:r>
      <w:r>
        <w:rPr>
          <w:rFonts w:hint="eastAsia" w:ascii="Times New Roman" w:hAnsi="宋体"/>
          <w:strike w:val="0"/>
          <w:dstrike w:val="0"/>
          <w:color w:val="auto"/>
          <w:sz w:val="21"/>
          <w:szCs w:val="21"/>
          <w:highlight w:val="none"/>
          <w:lang w:val="en-US" w:eastAsia="zh-CN"/>
        </w:rPr>
        <w:t>商业</w:t>
      </w:r>
      <w:r>
        <w:rPr>
          <w:rFonts w:hint="eastAsia" w:ascii="Times New Roman" w:hAnsi="宋体"/>
          <w:color w:val="auto"/>
          <w:sz w:val="21"/>
          <w:szCs w:val="21"/>
          <w:highlight w:val="none"/>
        </w:rPr>
        <w:t>供电</w:t>
      </w:r>
      <w:r>
        <w:rPr>
          <w:rFonts w:hint="eastAsia" w:ascii="Times New Roman" w:hAnsi="宋体"/>
          <w:color w:val="auto"/>
          <w:sz w:val="21"/>
          <w:szCs w:val="21"/>
          <w:highlight w:val="none"/>
          <w:lang w:val="en-US" w:eastAsia="zh-CN"/>
        </w:rPr>
        <w:t>条件则另行协商解决</w:t>
      </w:r>
      <w:r>
        <w:rPr>
          <w:rFonts w:hint="eastAsia" w:ascii="Times New Roman" w:hAnsi="宋体"/>
          <w:color w:val="auto"/>
          <w:sz w:val="21"/>
          <w:szCs w:val="21"/>
          <w:highlight w:val="none"/>
        </w:rPr>
        <w:t>。</w:t>
      </w:r>
    </w:p>
    <w:p w14:paraId="184C4902">
      <w:pPr>
        <w:snapToGrid w:val="0"/>
        <w:spacing w:line="360" w:lineRule="auto"/>
        <w:rPr>
          <w:b/>
          <w:bCs/>
          <w:color w:val="auto"/>
          <w:sz w:val="21"/>
          <w:szCs w:val="21"/>
          <w:highlight w:val="none"/>
        </w:rPr>
      </w:pPr>
      <w:bookmarkStart w:id="1161" w:name="_Toc217971058"/>
      <w:bookmarkStart w:id="1162" w:name="_Toc207791274"/>
      <w:bookmarkStart w:id="1163" w:name="_Toc200968287"/>
      <w:bookmarkStart w:id="1164" w:name="_Toc189386160"/>
      <w:bookmarkStart w:id="1165" w:name="_Toc200167773"/>
      <w:bookmarkStart w:id="1166" w:name="_Toc200536608"/>
      <w:r>
        <w:rPr>
          <w:b/>
          <w:bCs/>
          <w:color w:val="auto"/>
          <w:sz w:val="21"/>
          <w:szCs w:val="21"/>
          <w:highlight w:val="none"/>
        </w:rPr>
        <w:t>7. 交通运输</w:t>
      </w:r>
    </w:p>
    <w:p w14:paraId="4199837B">
      <w:pPr>
        <w:snapToGrid w:val="0"/>
        <w:spacing w:line="360" w:lineRule="auto"/>
        <w:ind w:firstLine="420"/>
        <w:rPr>
          <w:bCs/>
          <w:color w:val="auto"/>
          <w:sz w:val="21"/>
          <w:szCs w:val="21"/>
          <w:highlight w:val="none"/>
        </w:rPr>
      </w:pPr>
      <w:r>
        <w:rPr>
          <w:bCs/>
          <w:color w:val="auto"/>
          <w:sz w:val="21"/>
          <w:szCs w:val="21"/>
          <w:highlight w:val="none"/>
        </w:rPr>
        <w:t>增加条款：</w:t>
      </w:r>
    </w:p>
    <w:p w14:paraId="3955D08A">
      <w:pPr>
        <w:snapToGrid w:val="0"/>
        <w:spacing w:line="360" w:lineRule="auto"/>
        <w:ind w:firstLine="420"/>
        <w:rPr>
          <w:color w:val="auto"/>
          <w:sz w:val="21"/>
          <w:szCs w:val="21"/>
          <w:highlight w:val="none"/>
        </w:rPr>
      </w:pPr>
      <w:r>
        <w:rPr>
          <w:bCs/>
          <w:color w:val="auto"/>
          <w:sz w:val="21"/>
          <w:szCs w:val="21"/>
          <w:highlight w:val="none"/>
        </w:rPr>
        <w:t>7.7.7 除合同另有规定，承包人负责本合同设备材料的工地保管、施工现场场地内二次倒运和市区范围内的运输费用，市区外运输增加的费用，结算时按实际增加的距离计算补偿费用。</w:t>
      </w:r>
    </w:p>
    <w:p w14:paraId="2C2E0338">
      <w:pPr>
        <w:snapToGrid w:val="0"/>
        <w:spacing w:line="360" w:lineRule="auto"/>
        <w:rPr>
          <w:b/>
          <w:bCs/>
          <w:color w:val="auto"/>
          <w:sz w:val="21"/>
          <w:szCs w:val="21"/>
          <w:highlight w:val="none"/>
        </w:rPr>
      </w:pPr>
      <w:r>
        <w:rPr>
          <w:b/>
          <w:bCs/>
          <w:color w:val="auto"/>
          <w:sz w:val="21"/>
          <w:szCs w:val="21"/>
          <w:highlight w:val="none"/>
        </w:rPr>
        <w:t>8. 测量放线</w:t>
      </w:r>
      <w:bookmarkEnd w:id="1161"/>
      <w:bookmarkEnd w:id="1162"/>
      <w:bookmarkEnd w:id="1163"/>
      <w:bookmarkEnd w:id="1164"/>
      <w:bookmarkEnd w:id="1165"/>
      <w:bookmarkEnd w:id="1166"/>
    </w:p>
    <w:p w14:paraId="7C3E40F3">
      <w:pPr>
        <w:snapToGrid w:val="0"/>
        <w:spacing w:line="360" w:lineRule="auto"/>
        <w:rPr>
          <w:b/>
          <w:bCs/>
          <w:color w:val="auto"/>
          <w:sz w:val="21"/>
          <w:szCs w:val="21"/>
          <w:highlight w:val="none"/>
        </w:rPr>
      </w:pPr>
      <w:bookmarkStart w:id="1167" w:name="_Toc189386161"/>
      <w:r>
        <w:rPr>
          <w:b/>
          <w:bCs/>
          <w:color w:val="auto"/>
          <w:sz w:val="21"/>
          <w:szCs w:val="21"/>
          <w:highlight w:val="none"/>
        </w:rPr>
        <w:t>8.1 施工控制网</w:t>
      </w:r>
      <w:bookmarkEnd w:id="1167"/>
    </w:p>
    <w:p w14:paraId="7B4EA0A9">
      <w:pPr>
        <w:snapToGrid w:val="0"/>
        <w:spacing w:line="360" w:lineRule="auto"/>
        <w:ind w:firstLine="420"/>
        <w:rPr>
          <w:color w:val="auto"/>
          <w:sz w:val="21"/>
          <w:szCs w:val="21"/>
          <w:highlight w:val="none"/>
        </w:rPr>
      </w:pPr>
      <w:r>
        <w:rPr>
          <w:color w:val="auto"/>
          <w:sz w:val="21"/>
          <w:szCs w:val="21"/>
          <w:highlight w:val="none"/>
        </w:rPr>
        <w:t>8.1.1本款两处</w:t>
      </w:r>
      <w:r>
        <w:rPr>
          <w:rFonts w:hint="eastAsia"/>
          <w:color w:val="auto"/>
          <w:sz w:val="21"/>
          <w:szCs w:val="21"/>
          <w:highlight w:val="none"/>
        </w:rPr>
        <w:t>“</w:t>
      </w:r>
      <w:r>
        <w:rPr>
          <w:color w:val="auto"/>
          <w:sz w:val="21"/>
          <w:szCs w:val="21"/>
          <w:highlight w:val="none"/>
        </w:rPr>
        <w:t>专用合同条款约定的期限</w:t>
      </w:r>
      <w:r>
        <w:rPr>
          <w:rFonts w:hint="eastAsia"/>
          <w:color w:val="auto"/>
          <w:sz w:val="21"/>
          <w:szCs w:val="21"/>
          <w:highlight w:val="none"/>
        </w:rPr>
        <w:t>”</w:t>
      </w:r>
      <w:r>
        <w:rPr>
          <w:color w:val="auto"/>
          <w:sz w:val="21"/>
          <w:szCs w:val="21"/>
          <w:highlight w:val="none"/>
        </w:rPr>
        <w:t>分别为</w:t>
      </w:r>
      <w:r>
        <w:rPr>
          <w:rFonts w:hint="eastAsia"/>
          <w:color w:val="auto"/>
          <w:sz w:val="21"/>
          <w:szCs w:val="21"/>
          <w:highlight w:val="none"/>
        </w:rPr>
        <w:t>“</w:t>
      </w:r>
      <w:r>
        <w:rPr>
          <w:color w:val="auto"/>
          <w:sz w:val="21"/>
          <w:szCs w:val="21"/>
          <w:highlight w:val="none"/>
        </w:rPr>
        <w:t>开工日期前5天</w:t>
      </w:r>
      <w:r>
        <w:rPr>
          <w:rFonts w:hint="eastAsia"/>
          <w:color w:val="auto"/>
          <w:sz w:val="21"/>
          <w:szCs w:val="21"/>
          <w:highlight w:val="none"/>
        </w:rPr>
        <w:t>”</w:t>
      </w:r>
      <w:r>
        <w:rPr>
          <w:color w:val="auto"/>
          <w:sz w:val="21"/>
          <w:szCs w:val="21"/>
          <w:highlight w:val="none"/>
        </w:rPr>
        <w:t>和</w:t>
      </w:r>
      <w:r>
        <w:rPr>
          <w:rFonts w:hint="eastAsia"/>
          <w:color w:val="auto"/>
          <w:sz w:val="21"/>
          <w:szCs w:val="21"/>
          <w:highlight w:val="none"/>
        </w:rPr>
        <w:t>“</w:t>
      </w:r>
      <w:r>
        <w:rPr>
          <w:color w:val="auto"/>
          <w:sz w:val="21"/>
          <w:szCs w:val="21"/>
          <w:highlight w:val="none"/>
        </w:rPr>
        <w:t>开工日期后14天</w:t>
      </w:r>
      <w:r>
        <w:rPr>
          <w:rFonts w:hint="eastAsia"/>
          <w:color w:val="auto"/>
          <w:sz w:val="21"/>
          <w:szCs w:val="21"/>
          <w:highlight w:val="none"/>
        </w:rPr>
        <w:t>”</w:t>
      </w:r>
      <w:r>
        <w:rPr>
          <w:color w:val="auto"/>
          <w:sz w:val="21"/>
          <w:szCs w:val="21"/>
          <w:highlight w:val="none"/>
        </w:rPr>
        <w:t>施工过程中，工程任何部位如发生超过合同及设计规定的位置、高程、尺寸、线性的误差，若是基点错误引起的超差由发包人负责，否则由承包人负责。</w:t>
      </w:r>
    </w:p>
    <w:p w14:paraId="1276734D">
      <w:pPr>
        <w:snapToGrid w:val="0"/>
        <w:spacing w:line="360" w:lineRule="auto"/>
        <w:rPr>
          <w:b/>
          <w:bCs/>
          <w:color w:val="auto"/>
          <w:sz w:val="21"/>
          <w:szCs w:val="21"/>
          <w:highlight w:val="none"/>
        </w:rPr>
      </w:pPr>
      <w:bookmarkStart w:id="1168" w:name="_Toc200536609"/>
      <w:bookmarkStart w:id="1169" w:name="_Toc189386171"/>
      <w:bookmarkStart w:id="1170" w:name="_Toc200167774"/>
      <w:bookmarkStart w:id="1171" w:name="_Toc200968288"/>
      <w:bookmarkStart w:id="1172" w:name="_Toc207791275"/>
      <w:bookmarkStart w:id="1173" w:name="_Toc217971059"/>
      <w:r>
        <w:rPr>
          <w:b/>
          <w:bCs/>
          <w:color w:val="auto"/>
          <w:sz w:val="21"/>
          <w:szCs w:val="21"/>
          <w:highlight w:val="none"/>
        </w:rPr>
        <w:t>9. 施工安全、治安保卫和环境保护</w:t>
      </w:r>
    </w:p>
    <w:p w14:paraId="653206D8">
      <w:pPr>
        <w:snapToGrid w:val="0"/>
        <w:spacing w:line="360" w:lineRule="auto"/>
        <w:rPr>
          <w:b/>
          <w:bCs/>
          <w:color w:val="auto"/>
          <w:sz w:val="21"/>
          <w:szCs w:val="21"/>
          <w:highlight w:val="none"/>
        </w:rPr>
      </w:pPr>
      <w:r>
        <w:rPr>
          <w:b/>
          <w:bCs/>
          <w:color w:val="auto"/>
          <w:sz w:val="21"/>
          <w:szCs w:val="21"/>
          <w:highlight w:val="none"/>
        </w:rPr>
        <w:t>9.1发包人的施工安全责任</w:t>
      </w:r>
    </w:p>
    <w:p w14:paraId="4B3D7D4F">
      <w:pPr>
        <w:snapToGrid w:val="0"/>
        <w:spacing w:line="360" w:lineRule="auto"/>
        <w:ind w:firstLine="525"/>
        <w:rPr>
          <w:color w:val="auto"/>
          <w:sz w:val="21"/>
          <w:szCs w:val="21"/>
          <w:highlight w:val="none"/>
        </w:rPr>
      </w:pPr>
      <w:r>
        <w:rPr>
          <w:color w:val="auto"/>
          <w:sz w:val="21"/>
          <w:szCs w:val="21"/>
          <w:highlight w:val="none"/>
        </w:rPr>
        <w:t>9.1.4发包人提供</w:t>
      </w:r>
      <w:r>
        <w:rPr>
          <w:color w:val="auto"/>
          <w:sz w:val="21"/>
          <w:szCs w:val="21"/>
          <w:highlight w:val="none"/>
          <w:u w:val="single"/>
        </w:rPr>
        <w:t xml:space="preserve">   /  </w:t>
      </w:r>
      <w:r>
        <w:rPr>
          <w:color w:val="auto"/>
          <w:sz w:val="21"/>
          <w:szCs w:val="21"/>
          <w:highlight w:val="none"/>
        </w:rPr>
        <w:t>资料，其余资料由承包人负责收集。</w:t>
      </w:r>
    </w:p>
    <w:p w14:paraId="10FD2EAC">
      <w:pPr>
        <w:snapToGrid w:val="0"/>
        <w:spacing w:line="360" w:lineRule="auto"/>
        <w:rPr>
          <w:b/>
          <w:bCs/>
          <w:color w:val="auto"/>
          <w:sz w:val="21"/>
          <w:szCs w:val="21"/>
          <w:highlight w:val="none"/>
        </w:rPr>
      </w:pPr>
      <w:r>
        <w:rPr>
          <w:b/>
          <w:bCs/>
          <w:color w:val="auto"/>
          <w:sz w:val="21"/>
          <w:szCs w:val="21"/>
          <w:highlight w:val="none"/>
        </w:rPr>
        <w:t>9.2承包人的施工安全责任</w:t>
      </w:r>
    </w:p>
    <w:p w14:paraId="5BF43055">
      <w:pPr>
        <w:spacing w:line="360" w:lineRule="auto"/>
        <w:ind w:firstLine="420" w:firstLineChars="200"/>
        <w:rPr>
          <w:color w:val="auto"/>
          <w:sz w:val="21"/>
          <w:szCs w:val="21"/>
          <w:highlight w:val="none"/>
        </w:rPr>
      </w:pPr>
      <w:r>
        <w:rPr>
          <w:color w:val="auto"/>
          <w:sz w:val="21"/>
          <w:szCs w:val="21"/>
          <w:highlight w:val="none"/>
        </w:rPr>
        <w:t>9.2.12下列工程应编制专项施工方案：</w:t>
      </w:r>
      <w:r>
        <w:rPr>
          <w:color w:val="auto"/>
          <w:sz w:val="21"/>
          <w:szCs w:val="21"/>
          <w:highlight w:val="none"/>
          <w:u w:val="single"/>
        </w:rPr>
        <w:t>模板工程及支撑体系；起重吊装及安装拆卸工程；土方和石方开挖工程；脚手架工程；监理人认为危险性较大的其他工程</w:t>
      </w:r>
      <w:r>
        <w:rPr>
          <w:color w:val="auto"/>
          <w:sz w:val="21"/>
          <w:szCs w:val="21"/>
          <w:highlight w:val="none"/>
        </w:rPr>
        <w:t>。</w:t>
      </w:r>
    </w:p>
    <w:p w14:paraId="41EF2165">
      <w:pPr>
        <w:spacing w:line="360" w:lineRule="auto"/>
        <w:ind w:firstLine="420" w:firstLineChars="200"/>
        <w:rPr>
          <w:color w:val="auto"/>
          <w:sz w:val="21"/>
          <w:szCs w:val="21"/>
          <w:highlight w:val="none"/>
        </w:rPr>
      </w:pPr>
      <w:r>
        <w:rPr>
          <w:color w:val="auto"/>
          <w:sz w:val="21"/>
          <w:szCs w:val="21"/>
          <w:highlight w:val="none"/>
        </w:rPr>
        <w:t>增加条款9.2.14</w:t>
      </w:r>
    </w:p>
    <w:p w14:paraId="0DE0E47B">
      <w:pPr>
        <w:spacing w:line="360" w:lineRule="auto"/>
        <w:ind w:firstLine="420" w:firstLineChars="200"/>
        <w:rPr>
          <w:color w:val="auto"/>
          <w:sz w:val="21"/>
          <w:szCs w:val="21"/>
          <w:highlight w:val="none"/>
        </w:rPr>
      </w:pPr>
      <w:r>
        <w:rPr>
          <w:color w:val="auto"/>
          <w:sz w:val="21"/>
          <w:szCs w:val="21"/>
          <w:highlight w:val="none"/>
        </w:rPr>
        <w:t>（1） 承包人项目负责人对承包人的安全生产工作全面负责，为第一责任人；安全生产负责人为安全生产直接责任人。承包人必须严格执行国家、广东省及行业的安全法规、规章，承包人在工地应建立专业或业余消防队伍。</w:t>
      </w:r>
    </w:p>
    <w:p w14:paraId="07A9EC6C">
      <w:pPr>
        <w:spacing w:line="360" w:lineRule="auto"/>
        <w:ind w:firstLine="420" w:firstLineChars="200"/>
        <w:rPr>
          <w:color w:val="auto"/>
          <w:sz w:val="21"/>
          <w:szCs w:val="21"/>
          <w:highlight w:val="none"/>
        </w:rPr>
      </w:pPr>
      <w:r>
        <w:rPr>
          <w:color w:val="auto"/>
          <w:sz w:val="21"/>
          <w:szCs w:val="21"/>
          <w:highlight w:val="none"/>
        </w:rPr>
        <w:t xml:space="preserve"> （2） 进入施工现场的各类人员应当戴好安全帽，系好帽带；临空和高空作业的人员应当系好安全带；各类洞口和脚手架应当设置安全网。安全帽、安全带、安全网应当符合技术安全标准；设置带安全护拦的行走通道往每个施工工作面。</w:t>
      </w:r>
    </w:p>
    <w:p w14:paraId="1CDFA562">
      <w:pPr>
        <w:spacing w:line="360" w:lineRule="auto"/>
        <w:ind w:firstLine="420" w:firstLineChars="200"/>
        <w:rPr>
          <w:color w:val="auto"/>
          <w:sz w:val="21"/>
          <w:szCs w:val="21"/>
          <w:highlight w:val="none"/>
        </w:rPr>
      </w:pPr>
      <w:r>
        <w:rPr>
          <w:color w:val="auto"/>
          <w:sz w:val="21"/>
          <w:szCs w:val="21"/>
          <w:highlight w:val="none"/>
        </w:rPr>
        <w:t>（3） 施工现场的用电线路、用电设施的安装和使用应当符合安装规范和安全操作规程，并按照施工组织设计进行架设，禁止任意拉线接电。施工现场应当设有保证施工安全要求的夜间照明、危险潮湿场所照明以及手持照明灯具，应当采用符合安全要求的电压。</w:t>
      </w:r>
    </w:p>
    <w:p w14:paraId="4AD85247">
      <w:pPr>
        <w:spacing w:line="360" w:lineRule="auto"/>
        <w:ind w:firstLine="420" w:firstLineChars="200"/>
        <w:rPr>
          <w:color w:val="auto"/>
          <w:sz w:val="21"/>
          <w:szCs w:val="21"/>
          <w:highlight w:val="none"/>
        </w:rPr>
      </w:pPr>
      <w:r>
        <w:rPr>
          <w:color w:val="auto"/>
          <w:sz w:val="21"/>
          <w:szCs w:val="21"/>
          <w:highlight w:val="none"/>
        </w:rPr>
        <w:t>（4） 施工现场内木材加工间、易爆、易燃仓库禁止烟火。危险作业场所禁止吸烟。各类易爆易燃的化学物品、建材、油料必须入库存放，不得露天堆积。乙炔和氧气使用时两瓶间距必须大于5米以上，存放时必须封闭隔离。运用明火必须由项目负责人和安全负责人在现场核验签字后方可进行，操作人员必须持证上岗，现场按规定配备足够的各类有效防火器材，并经常检查。</w:t>
      </w:r>
    </w:p>
    <w:p w14:paraId="67D9580A">
      <w:pPr>
        <w:spacing w:line="360" w:lineRule="auto"/>
        <w:ind w:firstLine="420" w:firstLineChars="200"/>
        <w:rPr>
          <w:color w:val="auto"/>
          <w:sz w:val="21"/>
          <w:szCs w:val="21"/>
          <w:highlight w:val="none"/>
        </w:rPr>
      </w:pPr>
      <w:r>
        <w:rPr>
          <w:color w:val="auto"/>
          <w:sz w:val="21"/>
          <w:szCs w:val="21"/>
          <w:highlight w:val="none"/>
        </w:rPr>
        <w:t>（5） 施工现场内宿舍、办公室、仓库禁止使用电热器具取暖和煮饭，宿舍仓库不得混用。</w:t>
      </w:r>
    </w:p>
    <w:p w14:paraId="18136734">
      <w:pPr>
        <w:spacing w:line="360" w:lineRule="auto"/>
        <w:ind w:firstLine="420" w:firstLineChars="200"/>
        <w:rPr>
          <w:color w:val="auto"/>
          <w:sz w:val="21"/>
          <w:szCs w:val="21"/>
          <w:highlight w:val="none"/>
        </w:rPr>
      </w:pPr>
      <w:r>
        <w:rPr>
          <w:color w:val="auto"/>
          <w:sz w:val="21"/>
          <w:szCs w:val="21"/>
          <w:highlight w:val="none"/>
        </w:rPr>
        <w:t>（6） 特种作业人员必须按照国家有关规定经过专门的安全作业培训，并取得特种作业操作资格证书后，方可上岗作业，并把证件影印件报监理人备查。</w:t>
      </w:r>
    </w:p>
    <w:p w14:paraId="3B6AFB20">
      <w:pPr>
        <w:spacing w:line="360" w:lineRule="auto"/>
        <w:ind w:firstLine="420" w:firstLineChars="200"/>
        <w:rPr>
          <w:color w:val="auto"/>
          <w:sz w:val="21"/>
          <w:szCs w:val="21"/>
          <w:highlight w:val="none"/>
        </w:rPr>
      </w:pPr>
      <w:r>
        <w:rPr>
          <w:color w:val="auto"/>
          <w:sz w:val="21"/>
          <w:szCs w:val="21"/>
          <w:highlight w:val="none"/>
        </w:rPr>
        <w:t>（7） 危险地段作业，必须将《安全施工防护措施》在施工前5天送监理工程师审批，经采取有效防护措施并经监理工程师检查合格后，方可作业。</w:t>
      </w:r>
    </w:p>
    <w:p w14:paraId="1230CE2C">
      <w:pPr>
        <w:spacing w:line="360" w:lineRule="auto"/>
        <w:ind w:firstLine="420" w:firstLineChars="200"/>
        <w:rPr>
          <w:color w:val="auto"/>
          <w:sz w:val="21"/>
          <w:szCs w:val="21"/>
          <w:highlight w:val="none"/>
        </w:rPr>
      </w:pPr>
      <w:r>
        <w:rPr>
          <w:color w:val="auto"/>
          <w:sz w:val="21"/>
          <w:szCs w:val="21"/>
          <w:highlight w:val="none"/>
        </w:rPr>
        <w:t>（8） 施工区爆破作业时间应报监理工程师，由监理工程师根据整个工程的实际情况报发包人批准后统一安排时间，任何单位和个人，未经监理工程师同意，不得在规定时间之外进行爆破。</w:t>
      </w:r>
    </w:p>
    <w:p w14:paraId="756235C3">
      <w:pPr>
        <w:spacing w:line="360" w:lineRule="auto"/>
        <w:ind w:firstLine="420" w:firstLineChars="200"/>
        <w:rPr>
          <w:color w:val="auto"/>
          <w:sz w:val="21"/>
          <w:szCs w:val="21"/>
          <w:highlight w:val="none"/>
        </w:rPr>
      </w:pPr>
      <w:r>
        <w:rPr>
          <w:color w:val="auto"/>
          <w:sz w:val="21"/>
          <w:szCs w:val="21"/>
          <w:highlight w:val="none"/>
        </w:rPr>
        <w:t>（9） 施工区爆破作业，必须设置安全警戒哨。并按统一的信号进行爆破。对爆破作业可能影响到的作业面，必须在爆破前通知到位。</w:t>
      </w:r>
    </w:p>
    <w:p w14:paraId="53B57A7E">
      <w:pPr>
        <w:spacing w:line="360" w:lineRule="auto"/>
        <w:ind w:firstLine="420" w:firstLineChars="200"/>
        <w:rPr>
          <w:color w:val="auto"/>
          <w:sz w:val="21"/>
          <w:szCs w:val="21"/>
          <w:highlight w:val="none"/>
        </w:rPr>
      </w:pPr>
      <w:r>
        <w:rPr>
          <w:color w:val="auto"/>
          <w:sz w:val="21"/>
          <w:szCs w:val="21"/>
          <w:highlight w:val="none"/>
        </w:rPr>
        <w:t>（10） 施工作业面使用的防护设施不符合要求，经监理认定后，必须立即整改，五天内整改完毕；拒不整改的，监理有权责令其停止工作。</w:t>
      </w:r>
    </w:p>
    <w:p w14:paraId="742908F7">
      <w:pPr>
        <w:spacing w:line="360" w:lineRule="auto"/>
        <w:ind w:firstLine="420" w:firstLineChars="200"/>
        <w:rPr>
          <w:color w:val="auto"/>
          <w:sz w:val="21"/>
          <w:szCs w:val="21"/>
          <w:highlight w:val="none"/>
        </w:rPr>
      </w:pPr>
      <w:r>
        <w:rPr>
          <w:color w:val="auto"/>
          <w:sz w:val="21"/>
          <w:szCs w:val="21"/>
          <w:highlight w:val="none"/>
        </w:rPr>
        <w:t>（11） 施工作业面无安全警示牌、标语的，自整改通知书下达之日起十天内完成。十天内未完成的，由监理派人强制实施，费用由被整改方负责，并追究该单位责任。</w:t>
      </w:r>
    </w:p>
    <w:p w14:paraId="6549D9B9">
      <w:pPr>
        <w:spacing w:line="360" w:lineRule="auto"/>
        <w:ind w:firstLine="420" w:firstLineChars="200"/>
        <w:rPr>
          <w:color w:val="auto"/>
          <w:sz w:val="21"/>
          <w:szCs w:val="21"/>
          <w:highlight w:val="none"/>
        </w:rPr>
      </w:pPr>
      <w:r>
        <w:rPr>
          <w:color w:val="auto"/>
          <w:sz w:val="21"/>
          <w:szCs w:val="21"/>
          <w:highlight w:val="none"/>
        </w:rPr>
        <w:t>（12） 道路、水上作业人员必须穿带相应警示标识及防护用具。</w:t>
      </w:r>
    </w:p>
    <w:p w14:paraId="5D3280EC">
      <w:pPr>
        <w:spacing w:line="360" w:lineRule="auto"/>
        <w:ind w:firstLine="420" w:firstLineChars="200"/>
        <w:rPr>
          <w:color w:val="auto"/>
          <w:sz w:val="21"/>
          <w:szCs w:val="21"/>
          <w:highlight w:val="none"/>
        </w:rPr>
      </w:pPr>
      <w:r>
        <w:rPr>
          <w:color w:val="auto"/>
          <w:sz w:val="21"/>
          <w:szCs w:val="21"/>
          <w:highlight w:val="none"/>
        </w:rPr>
        <w:t>（13） 承包人应及时整改安全生产隐患。</w:t>
      </w:r>
    </w:p>
    <w:p w14:paraId="7588BB18">
      <w:pPr>
        <w:snapToGrid w:val="0"/>
        <w:spacing w:line="360" w:lineRule="auto"/>
        <w:rPr>
          <w:b/>
          <w:bCs/>
          <w:color w:val="auto"/>
          <w:sz w:val="21"/>
          <w:szCs w:val="21"/>
          <w:highlight w:val="none"/>
        </w:rPr>
      </w:pPr>
      <w:r>
        <w:rPr>
          <w:b/>
          <w:bCs/>
          <w:color w:val="auto"/>
          <w:sz w:val="21"/>
          <w:szCs w:val="21"/>
          <w:highlight w:val="none"/>
        </w:rPr>
        <w:t>9.3 治安保卫</w:t>
      </w:r>
    </w:p>
    <w:p w14:paraId="197E6E00">
      <w:pPr>
        <w:spacing w:line="360" w:lineRule="auto"/>
        <w:ind w:firstLine="420" w:firstLineChars="200"/>
        <w:rPr>
          <w:color w:val="auto"/>
          <w:sz w:val="21"/>
          <w:szCs w:val="21"/>
          <w:highlight w:val="none"/>
        </w:rPr>
      </w:pPr>
      <w:r>
        <w:rPr>
          <w:color w:val="auto"/>
          <w:sz w:val="21"/>
          <w:szCs w:val="21"/>
          <w:highlight w:val="none"/>
        </w:rPr>
        <w:t>删除9.3.1全文，并以代之：</w:t>
      </w:r>
    </w:p>
    <w:p w14:paraId="224EA73B">
      <w:pPr>
        <w:spacing w:line="360" w:lineRule="auto"/>
        <w:ind w:firstLine="420" w:firstLineChars="200"/>
        <w:rPr>
          <w:color w:val="auto"/>
          <w:sz w:val="21"/>
          <w:szCs w:val="21"/>
          <w:highlight w:val="none"/>
        </w:rPr>
      </w:pPr>
      <w:r>
        <w:rPr>
          <w:color w:val="auto"/>
          <w:sz w:val="21"/>
          <w:szCs w:val="21"/>
          <w:highlight w:val="none"/>
        </w:rPr>
        <w:t>9.3.1.1在本合同实施期间，发包人负责协调现场的治安保卫等有关事项。发包人对治安保卫的协调工作不免除承包人按以下规定应负的责任。</w:t>
      </w:r>
    </w:p>
    <w:p w14:paraId="3E7242DF">
      <w:pPr>
        <w:spacing w:line="360" w:lineRule="auto"/>
        <w:ind w:firstLine="420" w:firstLineChars="200"/>
        <w:rPr>
          <w:color w:val="auto"/>
          <w:sz w:val="21"/>
          <w:szCs w:val="21"/>
          <w:highlight w:val="none"/>
        </w:rPr>
      </w:pPr>
      <w:r>
        <w:rPr>
          <w:color w:val="auto"/>
          <w:sz w:val="21"/>
          <w:szCs w:val="21"/>
          <w:highlight w:val="none"/>
        </w:rPr>
        <w:t>9.3.1.2承包人应在施工现场建立专门的治安管理机构，管理本合同工地的治安保卫事宜，负责履行治安保卫职责。</w:t>
      </w:r>
    </w:p>
    <w:p w14:paraId="407C46F1">
      <w:pPr>
        <w:spacing w:line="360" w:lineRule="auto"/>
        <w:ind w:firstLine="420" w:firstLineChars="200"/>
        <w:rPr>
          <w:color w:val="auto"/>
          <w:sz w:val="21"/>
          <w:szCs w:val="21"/>
          <w:highlight w:val="none"/>
        </w:rPr>
      </w:pPr>
      <w:r>
        <w:rPr>
          <w:color w:val="auto"/>
          <w:sz w:val="21"/>
          <w:szCs w:val="21"/>
          <w:highlight w:val="none"/>
        </w:rPr>
        <w:t>9.3.1.3承包人应采取必要的治安保卫措施，保证与工程无关的人员和周边群众不进入施工现场。由于承包人做事不当、管理不善造成上述人员伤亡及其他责任事故，承包人应负完全责任。</w:t>
      </w:r>
    </w:p>
    <w:p w14:paraId="7ABA74E6">
      <w:pPr>
        <w:snapToGrid w:val="0"/>
        <w:spacing w:line="360" w:lineRule="auto"/>
        <w:rPr>
          <w:b/>
          <w:bCs/>
          <w:color w:val="auto"/>
          <w:sz w:val="21"/>
          <w:szCs w:val="21"/>
          <w:highlight w:val="none"/>
        </w:rPr>
      </w:pPr>
      <w:r>
        <w:rPr>
          <w:b/>
          <w:bCs/>
          <w:color w:val="auto"/>
          <w:sz w:val="21"/>
          <w:szCs w:val="21"/>
          <w:highlight w:val="none"/>
        </w:rPr>
        <w:t>9.7文明工地</w:t>
      </w:r>
    </w:p>
    <w:p w14:paraId="5E23843A">
      <w:pPr>
        <w:spacing w:line="360" w:lineRule="auto"/>
        <w:ind w:firstLine="420" w:firstLineChars="200"/>
        <w:rPr>
          <w:color w:val="auto"/>
          <w:sz w:val="21"/>
          <w:szCs w:val="21"/>
          <w:highlight w:val="none"/>
        </w:rPr>
      </w:pPr>
      <w:r>
        <w:rPr>
          <w:color w:val="auto"/>
          <w:sz w:val="21"/>
          <w:szCs w:val="21"/>
          <w:highlight w:val="none"/>
        </w:rPr>
        <w:t>9.7.1 本合同文明工地的约定： 发包人负责建立创建文明建设工地的组织机构，制定创建文明建设工地的规划和办法。</w:t>
      </w:r>
    </w:p>
    <w:p w14:paraId="13949BD6">
      <w:pPr>
        <w:snapToGrid w:val="0"/>
        <w:spacing w:line="360" w:lineRule="auto"/>
        <w:rPr>
          <w:b/>
          <w:bCs/>
          <w:color w:val="auto"/>
          <w:sz w:val="21"/>
          <w:szCs w:val="21"/>
          <w:highlight w:val="none"/>
        </w:rPr>
      </w:pPr>
      <w:r>
        <w:rPr>
          <w:b/>
          <w:bCs/>
          <w:color w:val="auto"/>
          <w:sz w:val="21"/>
          <w:szCs w:val="21"/>
          <w:highlight w:val="none"/>
        </w:rPr>
        <w:t>增加9.9施工现场规定</w:t>
      </w:r>
    </w:p>
    <w:p w14:paraId="472B1065">
      <w:pPr>
        <w:spacing w:line="360" w:lineRule="auto"/>
        <w:ind w:firstLine="420" w:firstLineChars="200"/>
        <w:rPr>
          <w:color w:val="auto"/>
          <w:sz w:val="21"/>
          <w:szCs w:val="21"/>
          <w:highlight w:val="none"/>
        </w:rPr>
      </w:pPr>
      <w:r>
        <w:rPr>
          <w:color w:val="auto"/>
          <w:sz w:val="21"/>
          <w:szCs w:val="21"/>
          <w:highlight w:val="none"/>
        </w:rPr>
        <w:t>在工程实施、完工或竣工和保修期内的整个过程中，要求承包人文明施工和管理，合理布局、保障施工安全，并执行国家和行业有关安全生产法律规定的基础上，做到：</w:t>
      </w:r>
    </w:p>
    <w:p w14:paraId="5A20E09C">
      <w:pPr>
        <w:spacing w:line="360" w:lineRule="auto"/>
        <w:ind w:firstLine="420" w:firstLineChars="200"/>
        <w:rPr>
          <w:color w:val="auto"/>
          <w:sz w:val="21"/>
          <w:szCs w:val="21"/>
          <w:highlight w:val="none"/>
        </w:rPr>
      </w:pPr>
      <w:r>
        <w:rPr>
          <w:color w:val="auto"/>
          <w:sz w:val="21"/>
          <w:szCs w:val="21"/>
          <w:highlight w:val="none"/>
        </w:rPr>
        <w:t>（1）在进场路口设置明显醒目标志，挂牌施工，现场专人指挥，专人守卫；</w:t>
      </w:r>
    </w:p>
    <w:p w14:paraId="3A55AC6B">
      <w:pPr>
        <w:spacing w:line="360" w:lineRule="auto"/>
        <w:ind w:firstLine="420" w:firstLineChars="200"/>
        <w:rPr>
          <w:color w:val="auto"/>
          <w:sz w:val="21"/>
          <w:szCs w:val="21"/>
          <w:highlight w:val="none"/>
        </w:rPr>
      </w:pPr>
      <w:r>
        <w:rPr>
          <w:color w:val="auto"/>
          <w:sz w:val="21"/>
          <w:szCs w:val="21"/>
          <w:highlight w:val="none"/>
        </w:rPr>
        <w:t>（2）施工项目负责人及管理人员佩证上岗；</w:t>
      </w:r>
    </w:p>
    <w:p w14:paraId="03C4665B">
      <w:pPr>
        <w:spacing w:line="360" w:lineRule="auto"/>
        <w:ind w:firstLine="420" w:firstLineChars="200"/>
        <w:rPr>
          <w:color w:val="auto"/>
          <w:sz w:val="21"/>
          <w:szCs w:val="21"/>
          <w:highlight w:val="none"/>
        </w:rPr>
      </w:pPr>
      <w:r>
        <w:rPr>
          <w:color w:val="auto"/>
          <w:sz w:val="21"/>
          <w:szCs w:val="21"/>
          <w:highlight w:val="none"/>
        </w:rPr>
        <w:t>（3）施工设备与运输车辆编号作业，规范操作；</w:t>
      </w:r>
    </w:p>
    <w:p w14:paraId="2097709A">
      <w:pPr>
        <w:spacing w:line="360" w:lineRule="auto"/>
        <w:ind w:firstLine="420" w:firstLineChars="200"/>
        <w:rPr>
          <w:color w:val="auto"/>
          <w:sz w:val="21"/>
          <w:szCs w:val="21"/>
          <w:highlight w:val="none"/>
        </w:rPr>
      </w:pPr>
      <w:r>
        <w:rPr>
          <w:color w:val="auto"/>
          <w:sz w:val="21"/>
          <w:szCs w:val="21"/>
          <w:highlight w:val="none"/>
        </w:rPr>
        <w:t>（4）保证现场临时道路的畅通，使工程实施井然有序，避免发生人身伤亡事故；</w:t>
      </w:r>
    </w:p>
    <w:p w14:paraId="6CC7789E">
      <w:pPr>
        <w:spacing w:line="360" w:lineRule="auto"/>
        <w:ind w:firstLine="420" w:firstLineChars="200"/>
        <w:rPr>
          <w:color w:val="auto"/>
          <w:sz w:val="21"/>
          <w:szCs w:val="21"/>
          <w:highlight w:val="none"/>
        </w:rPr>
      </w:pPr>
      <w:r>
        <w:rPr>
          <w:color w:val="auto"/>
          <w:sz w:val="21"/>
          <w:szCs w:val="21"/>
          <w:highlight w:val="none"/>
        </w:rPr>
        <w:t>（5）遵守监理人和安全职能部门的要求，在指定的时间、地点提供维护所有的照明、护栏、围墙、警告标志及值班设施；</w:t>
      </w:r>
    </w:p>
    <w:p w14:paraId="3B6B39D6">
      <w:pPr>
        <w:spacing w:line="360" w:lineRule="auto"/>
        <w:ind w:firstLine="420" w:firstLineChars="200"/>
        <w:rPr>
          <w:color w:val="auto"/>
          <w:sz w:val="21"/>
          <w:szCs w:val="21"/>
          <w:highlight w:val="none"/>
        </w:rPr>
      </w:pPr>
      <w:r>
        <w:rPr>
          <w:color w:val="auto"/>
          <w:sz w:val="21"/>
          <w:szCs w:val="21"/>
          <w:highlight w:val="none"/>
        </w:rPr>
        <w:t>（6）落实洒水、清扫和养护施工道路等扬尘污染防治措施；</w:t>
      </w:r>
    </w:p>
    <w:p w14:paraId="1B96AB13">
      <w:pPr>
        <w:spacing w:line="360" w:lineRule="auto"/>
        <w:ind w:firstLine="420" w:firstLineChars="200"/>
        <w:rPr>
          <w:color w:val="auto"/>
          <w:sz w:val="21"/>
          <w:szCs w:val="21"/>
          <w:highlight w:val="none"/>
        </w:rPr>
      </w:pPr>
      <w:r>
        <w:rPr>
          <w:color w:val="auto"/>
          <w:sz w:val="21"/>
          <w:szCs w:val="21"/>
          <w:highlight w:val="none"/>
        </w:rPr>
        <w:t>（7）应遵守市政、城管和交通管理部门的有关规定。</w:t>
      </w:r>
    </w:p>
    <w:p w14:paraId="7E2DB3B1">
      <w:pPr>
        <w:spacing w:line="360" w:lineRule="auto"/>
        <w:ind w:firstLine="420" w:firstLineChars="200"/>
        <w:rPr>
          <w:color w:val="auto"/>
          <w:sz w:val="21"/>
          <w:szCs w:val="21"/>
          <w:highlight w:val="none"/>
        </w:rPr>
      </w:pPr>
      <w:r>
        <w:rPr>
          <w:color w:val="auto"/>
          <w:sz w:val="21"/>
          <w:szCs w:val="21"/>
          <w:highlight w:val="none"/>
        </w:rPr>
        <w:t>由于承包人未履行施工现场管理规定或措施不当、管理不善及行为过失，造成人员伤亡、材料和设备损失及其他责任事故，由承包人负全部责任。</w:t>
      </w:r>
    </w:p>
    <w:p w14:paraId="3A538B8E">
      <w:pPr>
        <w:snapToGrid w:val="0"/>
        <w:spacing w:line="360" w:lineRule="auto"/>
        <w:rPr>
          <w:b/>
          <w:bCs/>
          <w:color w:val="auto"/>
          <w:sz w:val="21"/>
          <w:szCs w:val="21"/>
          <w:highlight w:val="none"/>
        </w:rPr>
      </w:pPr>
      <w:r>
        <w:rPr>
          <w:b/>
          <w:bCs/>
          <w:color w:val="auto"/>
          <w:sz w:val="21"/>
          <w:szCs w:val="21"/>
          <w:highlight w:val="none"/>
        </w:rPr>
        <w:t>10. 进度计划</w:t>
      </w:r>
      <w:bookmarkEnd w:id="1168"/>
      <w:bookmarkEnd w:id="1169"/>
      <w:bookmarkEnd w:id="1170"/>
      <w:bookmarkEnd w:id="1171"/>
      <w:bookmarkEnd w:id="1172"/>
      <w:bookmarkEnd w:id="1173"/>
    </w:p>
    <w:p w14:paraId="321DA2F9">
      <w:pPr>
        <w:snapToGrid w:val="0"/>
        <w:spacing w:line="360" w:lineRule="auto"/>
        <w:rPr>
          <w:b/>
          <w:bCs/>
          <w:color w:val="auto"/>
          <w:sz w:val="21"/>
          <w:szCs w:val="21"/>
          <w:highlight w:val="none"/>
        </w:rPr>
      </w:pPr>
      <w:bookmarkStart w:id="1174" w:name="_Toc189386172"/>
      <w:r>
        <w:rPr>
          <w:b/>
          <w:bCs/>
          <w:color w:val="auto"/>
          <w:sz w:val="21"/>
          <w:szCs w:val="21"/>
          <w:highlight w:val="none"/>
        </w:rPr>
        <w:t>10.1 合同进度计划</w:t>
      </w:r>
      <w:bookmarkEnd w:id="1174"/>
    </w:p>
    <w:p w14:paraId="360202E0">
      <w:pPr>
        <w:snapToGrid w:val="0"/>
        <w:spacing w:line="360" w:lineRule="auto"/>
        <w:ind w:firstLine="420"/>
        <w:rPr>
          <w:color w:val="auto"/>
          <w:sz w:val="21"/>
          <w:szCs w:val="21"/>
          <w:highlight w:val="none"/>
        </w:rPr>
      </w:pPr>
      <w:r>
        <w:rPr>
          <w:color w:val="auto"/>
          <w:sz w:val="21"/>
          <w:szCs w:val="21"/>
          <w:highlight w:val="none"/>
        </w:rPr>
        <w:t>承包人提交施工进度计划和施工方案说明报送监理人的时间为：开工前7天。</w:t>
      </w:r>
    </w:p>
    <w:p w14:paraId="06350BBE">
      <w:pPr>
        <w:snapToGrid w:val="0"/>
        <w:spacing w:line="360" w:lineRule="auto"/>
        <w:ind w:firstLine="420"/>
        <w:rPr>
          <w:color w:val="auto"/>
          <w:sz w:val="21"/>
          <w:szCs w:val="21"/>
          <w:highlight w:val="none"/>
        </w:rPr>
      </w:pPr>
      <w:r>
        <w:rPr>
          <w:color w:val="auto"/>
          <w:sz w:val="21"/>
          <w:szCs w:val="21"/>
          <w:highlight w:val="none"/>
        </w:rPr>
        <w:t>监理人批复时间为：收到后的7天内。</w:t>
      </w:r>
    </w:p>
    <w:p w14:paraId="3C102CA0">
      <w:pPr>
        <w:snapToGrid w:val="0"/>
        <w:spacing w:line="360" w:lineRule="auto"/>
        <w:rPr>
          <w:b/>
          <w:bCs/>
          <w:color w:val="auto"/>
          <w:sz w:val="21"/>
          <w:szCs w:val="21"/>
          <w:highlight w:val="none"/>
        </w:rPr>
      </w:pPr>
      <w:bookmarkStart w:id="1175" w:name="_Toc199320011"/>
      <w:bookmarkStart w:id="1176" w:name="_Toc199215133"/>
      <w:bookmarkStart w:id="1177" w:name="_Toc199294328"/>
      <w:bookmarkStart w:id="1178" w:name="_Toc199155919"/>
      <w:bookmarkStart w:id="1179" w:name="_Toc217971060"/>
      <w:bookmarkStart w:id="1180" w:name="_Toc198115350"/>
      <w:bookmarkStart w:id="1181" w:name="_Toc200968289"/>
      <w:bookmarkStart w:id="1182" w:name="_Toc200167775"/>
      <w:bookmarkStart w:id="1183" w:name="_Toc200536610"/>
      <w:bookmarkStart w:id="1184" w:name="_Toc207791276"/>
      <w:r>
        <w:rPr>
          <w:b/>
          <w:bCs/>
          <w:color w:val="auto"/>
          <w:sz w:val="21"/>
          <w:szCs w:val="21"/>
          <w:highlight w:val="none"/>
        </w:rPr>
        <w:t>11. 开工和竣工</w:t>
      </w:r>
      <w:bookmarkEnd w:id="1175"/>
      <w:bookmarkEnd w:id="1176"/>
      <w:bookmarkEnd w:id="1177"/>
      <w:bookmarkEnd w:id="1178"/>
      <w:bookmarkEnd w:id="1179"/>
      <w:bookmarkEnd w:id="1180"/>
      <w:bookmarkEnd w:id="1181"/>
      <w:bookmarkEnd w:id="1182"/>
      <w:bookmarkEnd w:id="1183"/>
      <w:bookmarkEnd w:id="1184"/>
      <w:r>
        <w:rPr>
          <w:b/>
          <w:bCs/>
          <w:color w:val="auto"/>
          <w:sz w:val="21"/>
          <w:szCs w:val="21"/>
          <w:highlight w:val="none"/>
        </w:rPr>
        <w:t>（完工）</w:t>
      </w:r>
    </w:p>
    <w:p w14:paraId="538CBD3B">
      <w:pPr>
        <w:snapToGrid w:val="0"/>
        <w:spacing w:line="360" w:lineRule="auto"/>
        <w:rPr>
          <w:b/>
          <w:bCs/>
          <w:color w:val="auto"/>
          <w:sz w:val="21"/>
          <w:szCs w:val="21"/>
          <w:highlight w:val="none"/>
        </w:rPr>
      </w:pPr>
      <w:r>
        <w:rPr>
          <w:b/>
          <w:bCs/>
          <w:color w:val="auto"/>
          <w:sz w:val="21"/>
          <w:szCs w:val="21"/>
          <w:highlight w:val="none"/>
        </w:rPr>
        <w:t>11.1.1开工通知</w:t>
      </w:r>
    </w:p>
    <w:p w14:paraId="594468BC">
      <w:pPr>
        <w:snapToGrid w:val="0"/>
        <w:spacing w:line="360" w:lineRule="auto"/>
        <w:ind w:firstLine="420"/>
        <w:rPr>
          <w:color w:val="auto"/>
          <w:sz w:val="21"/>
          <w:szCs w:val="21"/>
          <w:highlight w:val="none"/>
        </w:rPr>
      </w:pPr>
      <w:r>
        <w:rPr>
          <w:color w:val="auto"/>
          <w:sz w:val="21"/>
          <w:szCs w:val="21"/>
          <w:highlight w:val="none"/>
        </w:rPr>
        <w:t>本款修改为：监理人在具备开工条件时，向承包人发出开工通知。监理人在发出开工通知前应获得发包人同意。工期自监理人发出的开工通知中载明的开工日期起计算。承包人应在接到开工通知后及时调谴人员和调配施工设备、材料进入工地，进行工程的施工。</w:t>
      </w:r>
    </w:p>
    <w:p w14:paraId="3072C825">
      <w:pPr>
        <w:snapToGrid w:val="0"/>
        <w:spacing w:line="360" w:lineRule="auto"/>
        <w:rPr>
          <w:b/>
          <w:bCs/>
          <w:color w:val="auto"/>
          <w:sz w:val="21"/>
          <w:szCs w:val="21"/>
          <w:highlight w:val="none"/>
        </w:rPr>
      </w:pPr>
      <w:r>
        <w:rPr>
          <w:b/>
          <w:bCs/>
          <w:color w:val="auto"/>
          <w:sz w:val="21"/>
          <w:szCs w:val="21"/>
          <w:highlight w:val="none"/>
        </w:rPr>
        <w:t>11.4 异常恶劣的气候条件</w:t>
      </w:r>
    </w:p>
    <w:p w14:paraId="3E74F0BC">
      <w:pPr>
        <w:autoSpaceDE w:val="0"/>
        <w:autoSpaceDN w:val="0"/>
        <w:adjustRightInd w:val="0"/>
        <w:spacing w:line="360" w:lineRule="auto"/>
        <w:ind w:firstLine="420" w:firstLineChars="200"/>
        <w:jc w:val="left"/>
        <w:rPr>
          <w:b/>
          <w:bCs/>
          <w:color w:val="auto"/>
          <w:kern w:val="0"/>
          <w:sz w:val="21"/>
          <w:szCs w:val="21"/>
          <w:highlight w:val="none"/>
        </w:rPr>
      </w:pPr>
      <w:r>
        <w:rPr>
          <w:color w:val="auto"/>
          <w:sz w:val="21"/>
          <w:szCs w:val="21"/>
          <w:highlight w:val="none"/>
        </w:rPr>
        <w:t xml:space="preserve">11.4.3 </w:t>
      </w:r>
      <w:r>
        <w:rPr>
          <w:color w:val="auto"/>
          <w:kern w:val="0"/>
          <w:sz w:val="21"/>
          <w:szCs w:val="21"/>
          <w:highlight w:val="none"/>
        </w:rPr>
        <w:t>本合同工程界定异常恶劣气候条件的范围为：</w:t>
      </w:r>
    </w:p>
    <w:p w14:paraId="2744261A">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 xml:space="preserve">（1） 日降雨量大于 </w:t>
      </w:r>
      <w:r>
        <w:rPr>
          <w:color w:val="auto"/>
          <w:kern w:val="0"/>
          <w:sz w:val="21"/>
          <w:szCs w:val="21"/>
          <w:highlight w:val="none"/>
          <w:u w:val="single"/>
        </w:rPr>
        <w:t xml:space="preserve"> 200  </w:t>
      </w:r>
      <w:r>
        <w:rPr>
          <w:color w:val="auto"/>
          <w:kern w:val="0"/>
          <w:sz w:val="21"/>
          <w:szCs w:val="21"/>
          <w:highlight w:val="none"/>
        </w:rPr>
        <w:t>mm的雨日超过</w:t>
      </w:r>
      <w:r>
        <w:rPr>
          <w:color w:val="auto"/>
          <w:kern w:val="0"/>
          <w:sz w:val="21"/>
          <w:szCs w:val="21"/>
          <w:highlight w:val="none"/>
          <w:u w:val="single"/>
        </w:rPr>
        <w:t xml:space="preserve"> 3 </w:t>
      </w:r>
      <w:r>
        <w:rPr>
          <w:color w:val="auto"/>
          <w:kern w:val="0"/>
          <w:sz w:val="21"/>
          <w:szCs w:val="21"/>
          <w:highlight w:val="none"/>
        </w:rPr>
        <w:t>天；</w:t>
      </w:r>
    </w:p>
    <w:p w14:paraId="7C768A0F">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（2） 风速大于</w:t>
      </w:r>
      <w:r>
        <w:rPr>
          <w:color w:val="auto"/>
          <w:kern w:val="0"/>
          <w:sz w:val="21"/>
          <w:szCs w:val="21"/>
          <w:highlight w:val="none"/>
          <w:u w:val="single"/>
        </w:rPr>
        <w:t xml:space="preserve">  /  </w:t>
      </w:r>
      <w:r>
        <w:rPr>
          <w:color w:val="auto"/>
          <w:kern w:val="0"/>
          <w:sz w:val="21"/>
          <w:szCs w:val="21"/>
          <w:highlight w:val="none"/>
        </w:rPr>
        <w:t>m/s的</w:t>
      </w:r>
      <w:r>
        <w:rPr>
          <w:color w:val="auto"/>
          <w:kern w:val="0"/>
          <w:sz w:val="21"/>
          <w:szCs w:val="21"/>
          <w:highlight w:val="none"/>
          <w:u w:val="single"/>
        </w:rPr>
        <w:t xml:space="preserve"> 12 </w:t>
      </w:r>
      <w:r>
        <w:rPr>
          <w:color w:val="auto"/>
          <w:kern w:val="0"/>
          <w:sz w:val="21"/>
          <w:szCs w:val="21"/>
          <w:highlight w:val="none"/>
        </w:rPr>
        <w:t>级以上台风灾害；</w:t>
      </w:r>
    </w:p>
    <w:p w14:paraId="6A9B60C0">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（3） 日气温高于</w:t>
      </w:r>
      <w:r>
        <w:rPr>
          <w:color w:val="auto"/>
          <w:kern w:val="0"/>
          <w:sz w:val="21"/>
          <w:szCs w:val="21"/>
          <w:highlight w:val="none"/>
          <w:u w:val="single"/>
        </w:rPr>
        <w:t xml:space="preserve"> 38 </w:t>
      </w:r>
      <w:r>
        <w:rPr>
          <w:color w:val="auto"/>
          <w:kern w:val="0"/>
          <w:sz w:val="21"/>
          <w:szCs w:val="21"/>
          <w:highlight w:val="none"/>
        </w:rPr>
        <w:t>℃的高温大于</w:t>
      </w:r>
      <w:r>
        <w:rPr>
          <w:color w:val="auto"/>
          <w:kern w:val="0"/>
          <w:sz w:val="21"/>
          <w:szCs w:val="21"/>
          <w:highlight w:val="none"/>
          <w:u w:val="single"/>
        </w:rPr>
        <w:t xml:space="preserve"> 3 </w:t>
      </w:r>
      <w:r>
        <w:rPr>
          <w:color w:val="auto"/>
          <w:kern w:val="0"/>
          <w:sz w:val="21"/>
          <w:szCs w:val="21"/>
          <w:highlight w:val="none"/>
        </w:rPr>
        <w:t>天；</w:t>
      </w:r>
    </w:p>
    <w:p w14:paraId="65DB96F7">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（4） 日气温低于</w:t>
      </w:r>
      <w:r>
        <w:rPr>
          <w:color w:val="auto"/>
          <w:kern w:val="0"/>
          <w:sz w:val="21"/>
          <w:szCs w:val="21"/>
          <w:highlight w:val="none"/>
          <w:u w:val="single"/>
        </w:rPr>
        <w:t xml:space="preserve"> -20 </w:t>
      </w:r>
      <w:r>
        <w:rPr>
          <w:color w:val="auto"/>
          <w:kern w:val="0"/>
          <w:sz w:val="21"/>
          <w:szCs w:val="21"/>
          <w:highlight w:val="none"/>
        </w:rPr>
        <w:t>℃的严寒大于</w:t>
      </w:r>
      <w:r>
        <w:rPr>
          <w:color w:val="auto"/>
          <w:kern w:val="0"/>
          <w:sz w:val="21"/>
          <w:szCs w:val="21"/>
          <w:highlight w:val="none"/>
          <w:u w:val="single"/>
        </w:rPr>
        <w:t xml:space="preserve"> 3 </w:t>
      </w:r>
      <w:r>
        <w:rPr>
          <w:color w:val="auto"/>
          <w:kern w:val="0"/>
          <w:sz w:val="21"/>
          <w:szCs w:val="21"/>
          <w:highlight w:val="none"/>
        </w:rPr>
        <w:t>天；</w:t>
      </w:r>
    </w:p>
    <w:p w14:paraId="343B6D2E">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（5） 造成工程损坏的冰雹和大雪灾害：</w:t>
      </w:r>
      <w:r>
        <w:rPr>
          <w:color w:val="auto"/>
          <w:kern w:val="0"/>
          <w:sz w:val="21"/>
          <w:szCs w:val="21"/>
          <w:highlight w:val="none"/>
          <w:u w:val="single"/>
        </w:rPr>
        <w:t>日降雪量10mm及以上大于2天；</w:t>
      </w:r>
    </w:p>
    <w:p w14:paraId="66D84351">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（6） 其它异常恶劣气候灾害。</w:t>
      </w:r>
    </w:p>
    <w:p w14:paraId="119B70D1">
      <w:pPr>
        <w:snapToGrid w:val="0"/>
        <w:spacing w:line="360" w:lineRule="auto"/>
        <w:rPr>
          <w:b/>
          <w:bCs/>
          <w:color w:val="auto"/>
          <w:sz w:val="21"/>
          <w:szCs w:val="21"/>
          <w:highlight w:val="none"/>
        </w:rPr>
      </w:pPr>
      <w:bookmarkStart w:id="1185" w:name="_Toc199155922"/>
      <w:r>
        <w:rPr>
          <w:b/>
          <w:bCs/>
          <w:color w:val="auto"/>
          <w:sz w:val="21"/>
          <w:szCs w:val="21"/>
          <w:highlight w:val="none"/>
        </w:rPr>
        <w:t>11.5 承包人的工期延误</w:t>
      </w:r>
      <w:bookmarkEnd w:id="1185"/>
    </w:p>
    <w:p w14:paraId="1343B51B">
      <w:pPr>
        <w:snapToGrid w:val="0"/>
        <w:spacing w:line="360" w:lineRule="auto"/>
        <w:ind w:firstLine="420"/>
        <w:rPr>
          <w:color w:val="auto"/>
          <w:sz w:val="21"/>
          <w:szCs w:val="21"/>
          <w:highlight w:val="none"/>
        </w:rPr>
      </w:pPr>
      <w:bookmarkStart w:id="1186" w:name="_Toc199155923"/>
      <w:r>
        <w:rPr>
          <w:color w:val="auto"/>
          <w:sz w:val="21"/>
          <w:szCs w:val="21"/>
          <w:highlight w:val="none"/>
        </w:rPr>
        <w:t>承包人应在监理人发布开工通知后</w:t>
      </w:r>
      <w:r>
        <w:rPr>
          <w:color w:val="auto"/>
          <w:sz w:val="21"/>
          <w:szCs w:val="21"/>
          <w:highlight w:val="none"/>
          <w:u w:val="single"/>
        </w:rPr>
        <w:t xml:space="preserve">    </w:t>
      </w:r>
      <w:r>
        <w:rPr>
          <w:color w:val="auto"/>
          <w:sz w:val="21"/>
          <w:szCs w:val="21"/>
          <w:highlight w:val="none"/>
        </w:rPr>
        <w:t>日历天内完成全部工程施工任务。当发生实际施工进度比计划进度每滞后1天，支付逾期竣工违约金1000元/天；当发生实际施工进度比计划进度滞后超过30天以上，30天以后每滞后1天支付逾期竣工违约金1500元/天，但其最终的累计总额不应超过签约合同价的</w:t>
      </w:r>
      <w:r>
        <w:rPr>
          <w:color w:val="auto"/>
          <w:sz w:val="21"/>
          <w:szCs w:val="21"/>
          <w:highlight w:val="none"/>
          <w:u w:val="single"/>
        </w:rPr>
        <w:t xml:space="preserve"> 5 </w:t>
      </w:r>
      <w:r>
        <w:rPr>
          <w:color w:val="auto"/>
          <w:sz w:val="21"/>
          <w:szCs w:val="21"/>
          <w:highlight w:val="none"/>
        </w:rPr>
        <w:t>%，费用从工程款中扣除。如因发包人原因造成的工期延误（如征地、拆迁等），工期顺延。</w:t>
      </w:r>
    </w:p>
    <w:p w14:paraId="2787829C">
      <w:pPr>
        <w:snapToGrid w:val="0"/>
        <w:spacing w:line="360" w:lineRule="auto"/>
        <w:rPr>
          <w:b/>
          <w:bCs/>
          <w:color w:val="auto"/>
          <w:sz w:val="21"/>
          <w:szCs w:val="21"/>
          <w:highlight w:val="none"/>
        </w:rPr>
      </w:pPr>
      <w:r>
        <w:rPr>
          <w:b/>
          <w:bCs/>
          <w:color w:val="auto"/>
          <w:sz w:val="21"/>
          <w:szCs w:val="21"/>
          <w:highlight w:val="none"/>
        </w:rPr>
        <w:t>11.6 工期提前</w:t>
      </w:r>
      <w:bookmarkEnd w:id="1186"/>
    </w:p>
    <w:p w14:paraId="14AA5E2F">
      <w:pPr>
        <w:snapToGrid w:val="0"/>
        <w:spacing w:line="360" w:lineRule="auto"/>
        <w:ind w:firstLine="420"/>
        <w:rPr>
          <w:color w:val="auto"/>
          <w:sz w:val="21"/>
          <w:szCs w:val="21"/>
          <w:highlight w:val="none"/>
          <w:u w:val="single"/>
        </w:rPr>
      </w:pPr>
      <w:r>
        <w:rPr>
          <w:color w:val="auto"/>
          <w:sz w:val="21"/>
          <w:szCs w:val="21"/>
          <w:highlight w:val="none"/>
        </w:rPr>
        <w:t>工期提前的奖金约定：</w:t>
      </w:r>
      <w:r>
        <w:rPr>
          <w:color w:val="auto"/>
          <w:sz w:val="21"/>
          <w:szCs w:val="21"/>
          <w:highlight w:val="none"/>
          <w:u w:val="single"/>
        </w:rPr>
        <w:t xml:space="preserve">  无 </w:t>
      </w:r>
      <w:r>
        <w:rPr>
          <w:color w:val="auto"/>
          <w:sz w:val="21"/>
          <w:szCs w:val="21"/>
          <w:highlight w:val="none"/>
        </w:rPr>
        <w:t>。</w:t>
      </w:r>
    </w:p>
    <w:p w14:paraId="66EBFDCC">
      <w:pPr>
        <w:pStyle w:val="5"/>
        <w:spacing w:line="360" w:lineRule="auto"/>
        <w:jc w:val="both"/>
        <w:rPr>
          <w:rFonts w:hint="eastAsia" w:ascii="Times New Roman"/>
          <w:color w:val="auto"/>
          <w:sz w:val="21"/>
          <w:szCs w:val="21"/>
          <w:highlight w:val="none"/>
        </w:rPr>
      </w:pPr>
      <w:bookmarkStart w:id="1187" w:name="_Toc25074"/>
      <w:bookmarkStart w:id="1188" w:name="_Toc9859"/>
      <w:r>
        <w:rPr>
          <w:rFonts w:ascii="Times New Roman"/>
          <w:color w:val="auto"/>
          <w:sz w:val="21"/>
          <w:szCs w:val="21"/>
          <w:highlight w:val="none"/>
        </w:rPr>
        <w:t>12.2 发包人暂停施工的责任</w:t>
      </w:r>
      <w:bookmarkEnd w:id="1187"/>
      <w:bookmarkEnd w:id="1188"/>
    </w:p>
    <w:p w14:paraId="06747B51">
      <w:pPr>
        <w:snapToGrid w:val="0"/>
        <w:spacing w:line="360" w:lineRule="auto"/>
        <w:ind w:firstLine="420"/>
        <w:rPr>
          <w:color w:val="auto"/>
          <w:sz w:val="21"/>
          <w:szCs w:val="21"/>
          <w:highlight w:val="none"/>
        </w:rPr>
      </w:pPr>
      <w:r>
        <w:rPr>
          <w:color w:val="auto"/>
          <w:sz w:val="21"/>
          <w:szCs w:val="21"/>
          <w:highlight w:val="none"/>
        </w:rPr>
        <w:t>本款修改为</w:t>
      </w:r>
      <w:r>
        <w:rPr>
          <w:rFonts w:hint="eastAsia"/>
          <w:color w:val="auto"/>
          <w:sz w:val="21"/>
          <w:szCs w:val="21"/>
          <w:highlight w:val="none"/>
        </w:rPr>
        <w:t>“</w:t>
      </w:r>
      <w:r>
        <w:rPr>
          <w:color w:val="auto"/>
          <w:sz w:val="21"/>
          <w:szCs w:val="21"/>
          <w:highlight w:val="none"/>
        </w:rPr>
        <w:t>由于发包人原因引起的暂停施工造成工期延误的，承包人有权要求发包人延长工期，但发包人不向承包人补偿任何费用</w:t>
      </w:r>
      <w:r>
        <w:rPr>
          <w:rFonts w:hint="eastAsia"/>
          <w:color w:val="auto"/>
          <w:sz w:val="21"/>
          <w:szCs w:val="21"/>
          <w:highlight w:val="none"/>
        </w:rPr>
        <w:t>”</w:t>
      </w:r>
      <w:r>
        <w:rPr>
          <w:color w:val="auto"/>
          <w:sz w:val="21"/>
          <w:szCs w:val="21"/>
          <w:highlight w:val="none"/>
        </w:rPr>
        <w:t>。</w:t>
      </w:r>
    </w:p>
    <w:p w14:paraId="3DAB7DBC">
      <w:pPr>
        <w:snapToGrid w:val="0"/>
        <w:spacing w:line="360" w:lineRule="auto"/>
        <w:rPr>
          <w:b/>
          <w:bCs/>
          <w:color w:val="auto"/>
          <w:sz w:val="21"/>
          <w:szCs w:val="21"/>
          <w:highlight w:val="none"/>
        </w:rPr>
      </w:pPr>
      <w:bookmarkStart w:id="1189" w:name="_Toc506372458"/>
      <w:bookmarkStart w:id="1190" w:name="_Toc18989151"/>
      <w:bookmarkStart w:id="1191" w:name="_Toc525531978"/>
      <w:bookmarkStart w:id="1192" w:name="_Toc531492538"/>
      <w:bookmarkStart w:id="1193" w:name="_Toc509048799"/>
      <w:bookmarkStart w:id="1194" w:name="_Toc531679597"/>
      <w:bookmarkStart w:id="1195" w:name="_Toc531592409"/>
      <w:bookmarkStart w:id="1196" w:name="_Toc506372917"/>
      <w:bookmarkStart w:id="1197" w:name="_Toc17423464"/>
      <w:bookmarkStart w:id="1198" w:name="_Toc45620930"/>
      <w:bookmarkStart w:id="1199" w:name="_Toc31423027"/>
      <w:bookmarkStart w:id="1200" w:name="_Toc14248356"/>
      <w:bookmarkStart w:id="1201" w:name="_Toc134581145"/>
      <w:bookmarkStart w:id="1202" w:name="_Toc509048595"/>
      <w:bookmarkStart w:id="1203" w:name="_Toc523906857"/>
      <w:bookmarkStart w:id="1204" w:name="_Toc207791277"/>
      <w:bookmarkStart w:id="1205" w:name="_Toc199294332"/>
      <w:bookmarkStart w:id="1206" w:name="_Toc200167776"/>
      <w:bookmarkStart w:id="1207" w:name="_Toc199155936"/>
      <w:bookmarkStart w:id="1208" w:name="_Toc200968290"/>
      <w:bookmarkStart w:id="1209" w:name="_Toc199215137"/>
      <w:bookmarkStart w:id="1210" w:name="_Toc200536611"/>
      <w:bookmarkStart w:id="1211" w:name="_Toc199320015"/>
      <w:r>
        <w:rPr>
          <w:b/>
          <w:bCs/>
          <w:color w:val="auto"/>
          <w:sz w:val="21"/>
          <w:szCs w:val="21"/>
          <w:highlight w:val="none"/>
        </w:rPr>
        <w:t>13 工程质量</w:t>
      </w:r>
    </w:p>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14:paraId="77036EAF">
      <w:pPr>
        <w:snapToGrid w:val="0"/>
        <w:spacing w:line="360" w:lineRule="auto"/>
        <w:rPr>
          <w:b/>
          <w:bCs/>
          <w:color w:val="auto"/>
          <w:sz w:val="21"/>
          <w:szCs w:val="21"/>
          <w:highlight w:val="none"/>
        </w:rPr>
      </w:pPr>
      <w:r>
        <w:rPr>
          <w:b/>
          <w:bCs/>
          <w:color w:val="auto"/>
          <w:sz w:val="21"/>
          <w:szCs w:val="21"/>
          <w:highlight w:val="none"/>
        </w:rPr>
        <w:t>13.2 承包人的质量管理</w:t>
      </w:r>
    </w:p>
    <w:p w14:paraId="59BA2429">
      <w:pPr>
        <w:snapToGrid w:val="0"/>
        <w:spacing w:line="360" w:lineRule="auto"/>
        <w:ind w:firstLine="420"/>
        <w:rPr>
          <w:color w:val="auto"/>
          <w:sz w:val="21"/>
          <w:szCs w:val="21"/>
          <w:highlight w:val="none"/>
          <w:u w:val="single"/>
        </w:rPr>
      </w:pPr>
      <w:r>
        <w:rPr>
          <w:color w:val="auto"/>
          <w:sz w:val="21"/>
          <w:szCs w:val="21"/>
          <w:highlight w:val="none"/>
        </w:rPr>
        <w:t>13.1.1合同约定的期限：</w:t>
      </w:r>
      <w:r>
        <w:rPr>
          <w:color w:val="auto"/>
          <w:sz w:val="21"/>
          <w:szCs w:val="21"/>
          <w:highlight w:val="none"/>
          <w:u w:val="single"/>
        </w:rPr>
        <w:t xml:space="preserve"> 签定合同后5天内 </w:t>
      </w:r>
    </w:p>
    <w:p w14:paraId="550A2B02">
      <w:pPr>
        <w:snapToGrid w:val="0"/>
        <w:spacing w:line="360" w:lineRule="auto"/>
        <w:rPr>
          <w:b/>
          <w:bCs/>
          <w:color w:val="auto"/>
          <w:sz w:val="21"/>
          <w:szCs w:val="21"/>
          <w:highlight w:val="none"/>
        </w:rPr>
      </w:pPr>
      <w:r>
        <w:rPr>
          <w:b/>
          <w:bCs/>
          <w:color w:val="auto"/>
          <w:sz w:val="21"/>
          <w:szCs w:val="21"/>
          <w:highlight w:val="none"/>
        </w:rPr>
        <w:t>13.3承包人的质量检查</w:t>
      </w:r>
    </w:p>
    <w:p w14:paraId="0220DE12">
      <w:pPr>
        <w:snapToGrid w:val="0"/>
        <w:spacing w:line="360" w:lineRule="auto"/>
        <w:ind w:firstLine="420"/>
        <w:rPr>
          <w:color w:val="auto"/>
          <w:sz w:val="21"/>
          <w:szCs w:val="21"/>
          <w:highlight w:val="none"/>
        </w:rPr>
      </w:pPr>
      <w:r>
        <w:rPr>
          <w:color w:val="auto"/>
          <w:sz w:val="21"/>
          <w:szCs w:val="21"/>
          <w:highlight w:val="none"/>
        </w:rPr>
        <w:t>本款</w:t>
      </w:r>
      <w:r>
        <w:rPr>
          <w:rFonts w:hint="eastAsia"/>
          <w:color w:val="auto"/>
          <w:sz w:val="21"/>
          <w:szCs w:val="21"/>
          <w:highlight w:val="none"/>
        </w:rPr>
        <w:t>“</w:t>
      </w:r>
      <w:r>
        <w:rPr>
          <w:color w:val="auto"/>
          <w:sz w:val="21"/>
          <w:szCs w:val="21"/>
          <w:highlight w:val="none"/>
        </w:rPr>
        <w:t>承包人应按合同约定对材料……</w:t>
      </w:r>
      <w:r>
        <w:rPr>
          <w:rFonts w:hint="eastAsia"/>
          <w:color w:val="auto"/>
          <w:sz w:val="21"/>
          <w:szCs w:val="21"/>
          <w:highlight w:val="none"/>
        </w:rPr>
        <w:t>”</w:t>
      </w:r>
      <w:r>
        <w:rPr>
          <w:color w:val="auto"/>
          <w:sz w:val="21"/>
          <w:szCs w:val="21"/>
          <w:highlight w:val="none"/>
        </w:rPr>
        <w:t>修改为</w:t>
      </w:r>
      <w:r>
        <w:rPr>
          <w:rFonts w:hint="eastAsia"/>
          <w:color w:val="auto"/>
          <w:sz w:val="21"/>
          <w:szCs w:val="21"/>
          <w:highlight w:val="none"/>
        </w:rPr>
        <w:t>“</w:t>
      </w:r>
      <w:r>
        <w:rPr>
          <w:color w:val="auto"/>
          <w:sz w:val="21"/>
          <w:szCs w:val="21"/>
          <w:highlight w:val="none"/>
        </w:rPr>
        <w:t>承包人应按合同约定、按水利水电工程质量安全监督站的要求进行质量评定工作，对材料……</w:t>
      </w:r>
      <w:r>
        <w:rPr>
          <w:rFonts w:hint="eastAsia"/>
          <w:color w:val="auto"/>
          <w:sz w:val="21"/>
          <w:szCs w:val="21"/>
          <w:highlight w:val="none"/>
        </w:rPr>
        <w:t>”</w:t>
      </w:r>
      <w:r>
        <w:rPr>
          <w:color w:val="auto"/>
          <w:sz w:val="21"/>
          <w:szCs w:val="21"/>
          <w:highlight w:val="none"/>
        </w:rPr>
        <w:t>。</w:t>
      </w:r>
    </w:p>
    <w:p w14:paraId="41F4130F">
      <w:pPr>
        <w:snapToGrid w:val="0"/>
        <w:spacing w:line="360" w:lineRule="auto"/>
        <w:rPr>
          <w:b/>
          <w:bCs/>
          <w:color w:val="auto"/>
          <w:sz w:val="21"/>
          <w:szCs w:val="21"/>
          <w:highlight w:val="none"/>
        </w:rPr>
      </w:pPr>
      <w:r>
        <w:rPr>
          <w:b/>
          <w:bCs/>
          <w:color w:val="auto"/>
          <w:sz w:val="21"/>
          <w:szCs w:val="21"/>
          <w:highlight w:val="none"/>
        </w:rPr>
        <w:t>13.7 质量评定</w:t>
      </w:r>
    </w:p>
    <w:p w14:paraId="4B8BFAF8">
      <w:pPr>
        <w:snapToGrid w:val="0"/>
        <w:spacing w:line="360" w:lineRule="auto"/>
        <w:ind w:right="11" w:firstLine="420" w:firstLineChars="200"/>
        <w:rPr>
          <w:color w:val="auto"/>
          <w:sz w:val="21"/>
          <w:szCs w:val="21"/>
          <w:highlight w:val="none"/>
        </w:rPr>
      </w:pPr>
      <w:r>
        <w:rPr>
          <w:color w:val="auto"/>
          <w:sz w:val="21"/>
          <w:szCs w:val="21"/>
          <w:highlight w:val="none"/>
        </w:rPr>
        <w:t>13.7.7工程合格标准为：应达到《水利水电工程施工质量检验与评定规程》（SL176-2007）合格标准；优良标准为：应达到《水利水电工程施工质量检验与评定规程》（SL176-2007）优良标准。达到优良的奖金为：</w:t>
      </w:r>
      <w:r>
        <w:rPr>
          <w:color w:val="auto"/>
          <w:sz w:val="21"/>
          <w:szCs w:val="21"/>
          <w:highlight w:val="none"/>
          <w:u w:val="single"/>
        </w:rPr>
        <w:t xml:space="preserve">  / </w:t>
      </w:r>
      <w:r>
        <w:rPr>
          <w:color w:val="auto"/>
          <w:sz w:val="21"/>
          <w:szCs w:val="21"/>
          <w:highlight w:val="none"/>
        </w:rPr>
        <w:t>。</w:t>
      </w:r>
    </w:p>
    <w:p w14:paraId="5427E8BD">
      <w:pPr>
        <w:snapToGrid w:val="0"/>
        <w:spacing w:line="360" w:lineRule="auto"/>
        <w:rPr>
          <w:b/>
          <w:bCs/>
          <w:color w:val="auto"/>
          <w:sz w:val="21"/>
          <w:szCs w:val="21"/>
          <w:highlight w:val="none"/>
        </w:rPr>
      </w:pPr>
      <w:r>
        <w:rPr>
          <w:b/>
          <w:bCs/>
          <w:color w:val="auto"/>
          <w:sz w:val="21"/>
          <w:szCs w:val="21"/>
          <w:highlight w:val="none"/>
        </w:rPr>
        <w:t>13.8 质量事故处理</w:t>
      </w:r>
    </w:p>
    <w:p w14:paraId="1A18830A">
      <w:pPr>
        <w:snapToGrid w:val="0"/>
        <w:spacing w:line="360" w:lineRule="auto"/>
        <w:ind w:right="11" w:firstLine="420" w:firstLineChars="200"/>
        <w:rPr>
          <w:color w:val="auto"/>
          <w:sz w:val="21"/>
          <w:szCs w:val="21"/>
          <w:highlight w:val="none"/>
        </w:rPr>
      </w:pPr>
      <w:r>
        <w:rPr>
          <w:color w:val="auto"/>
          <w:sz w:val="21"/>
          <w:szCs w:val="21"/>
          <w:highlight w:val="none"/>
        </w:rPr>
        <w:t>13.8.4 工程竣工验收时，</w:t>
      </w:r>
      <w:r>
        <w:rPr>
          <w:color w:val="auto"/>
          <w:sz w:val="21"/>
          <w:szCs w:val="21"/>
          <w:highlight w:val="none"/>
          <w:u w:val="single"/>
        </w:rPr>
        <w:t xml:space="preserve"> 承包人 </w:t>
      </w:r>
      <w:r>
        <w:rPr>
          <w:color w:val="auto"/>
          <w:sz w:val="21"/>
          <w:szCs w:val="21"/>
          <w:highlight w:val="none"/>
        </w:rPr>
        <w:t>向竣工验收委员会汇报并提交历次质量缺陷处理的备案资料。</w:t>
      </w:r>
    </w:p>
    <w:p w14:paraId="3967CB15">
      <w:pPr>
        <w:pStyle w:val="5"/>
        <w:spacing w:line="360" w:lineRule="auto"/>
        <w:jc w:val="both"/>
        <w:rPr>
          <w:rFonts w:hint="eastAsia" w:ascii="Times New Roman"/>
          <w:color w:val="auto"/>
          <w:sz w:val="21"/>
          <w:szCs w:val="21"/>
          <w:highlight w:val="none"/>
        </w:rPr>
      </w:pPr>
      <w:bookmarkStart w:id="1212" w:name="_Toc15365"/>
      <w:bookmarkStart w:id="1213" w:name="_Toc16509"/>
      <w:r>
        <w:rPr>
          <w:rFonts w:ascii="Times New Roman"/>
          <w:color w:val="auto"/>
          <w:sz w:val="21"/>
          <w:szCs w:val="21"/>
          <w:highlight w:val="none"/>
        </w:rPr>
        <w:t>14 试验和检验</w:t>
      </w:r>
      <w:bookmarkEnd w:id="1212"/>
      <w:bookmarkEnd w:id="1213"/>
    </w:p>
    <w:p w14:paraId="5DE6C429">
      <w:pPr>
        <w:snapToGrid w:val="0"/>
        <w:spacing w:line="360" w:lineRule="auto"/>
        <w:ind w:right="11" w:firstLine="420" w:firstLineChars="200"/>
        <w:rPr>
          <w:color w:val="auto"/>
          <w:sz w:val="21"/>
          <w:szCs w:val="21"/>
          <w:highlight w:val="none"/>
        </w:rPr>
      </w:pPr>
      <w:r>
        <w:rPr>
          <w:color w:val="auto"/>
          <w:sz w:val="21"/>
          <w:szCs w:val="21"/>
          <w:highlight w:val="none"/>
        </w:rPr>
        <w:t>14.1.6 本工程实行见证取样的试块、试件及有关材料：</w:t>
      </w:r>
      <w:r>
        <w:rPr>
          <w:color w:val="auto"/>
          <w:sz w:val="21"/>
          <w:szCs w:val="21"/>
          <w:highlight w:val="none"/>
          <w:u w:val="single"/>
        </w:rPr>
        <w:t xml:space="preserve"> 按现行有关规范、标准、规程及监理人指示 </w:t>
      </w:r>
      <w:r>
        <w:rPr>
          <w:color w:val="auto"/>
          <w:sz w:val="21"/>
          <w:szCs w:val="21"/>
          <w:highlight w:val="none"/>
        </w:rPr>
        <w:t>。</w:t>
      </w:r>
    </w:p>
    <w:p w14:paraId="7900496F">
      <w:pPr>
        <w:pStyle w:val="5"/>
        <w:spacing w:line="360" w:lineRule="auto"/>
        <w:jc w:val="both"/>
        <w:rPr>
          <w:rFonts w:hint="eastAsia" w:ascii="Times New Roman"/>
          <w:color w:val="auto"/>
          <w:sz w:val="21"/>
          <w:szCs w:val="21"/>
          <w:highlight w:val="none"/>
        </w:rPr>
      </w:pPr>
      <w:bookmarkStart w:id="1214" w:name="_Toc28949"/>
      <w:bookmarkStart w:id="1215" w:name="_Toc19497"/>
      <w:r>
        <w:rPr>
          <w:rFonts w:ascii="Times New Roman"/>
          <w:color w:val="auto"/>
          <w:sz w:val="21"/>
          <w:szCs w:val="21"/>
          <w:highlight w:val="none"/>
        </w:rPr>
        <w:t>14.2 现场材料试验</w:t>
      </w:r>
      <w:bookmarkEnd w:id="1214"/>
      <w:bookmarkEnd w:id="1215"/>
    </w:p>
    <w:p w14:paraId="1B0E20C9">
      <w:pPr>
        <w:snapToGrid w:val="0"/>
        <w:spacing w:line="360" w:lineRule="auto"/>
        <w:ind w:right="11" w:firstLine="420" w:firstLineChars="200"/>
        <w:rPr>
          <w:color w:val="auto"/>
          <w:sz w:val="21"/>
          <w:szCs w:val="21"/>
          <w:highlight w:val="none"/>
        </w:rPr>
      </w:pPr>
      <w:r>
        <w:rPr>
          <w:color w:val="auto"/>
          <w:sz w:val="21"/>
          <w:szCs w:val="21"/>
          <w:highlight w:val="none"/>
        </w:rPr>
        <w:t>14.2.1承包人根据合同约定或监理人指示进行的现场材料试验，应由承包人提供试验场所、试验人员、试验设备器材以及其他必要的试验条件。</w:t>
      </w:r>
    </w:p>
    <w:p w14:paraId="080C836F">
      <w:pPr>
        <w:snapToGrid w:val="0"/>
        <w:spacing w:line="360" w:lineRule="auto"/>
        <w:ind w:right="11" w:firstLine="420" w:firstLineChars="200"/>
        <w:rPr>
          <w:color w:val="auto"/>
          <w:sz w:val="21"/>
          <w:szCs w:val="21"/>
          <w:highlight w:val="none"/>
        </w:rPr>
      </w:pPr>
      <w:r>
        <w:rPr>
          <w:color w:val="auto"/>
          <w:sz w:val="21"/>
          <w:szCs w:val="21"/>
          <w:highlight w:val="none"/>
        </w:rPr>
        <w:t>14.2.2监理人在必要时可以使用承包人的试验场所、试验设备器材以及其他试验条件，进行以工程质量检查为目的的复核性材料试验，承包人应予以协助。</w:t>
      </w:r>
    </w:p>
    <w:p w14:paraId="631AE694">
      <w:pPr>
        <w:snapToGrid w:val="0"/>
        <w:spacing w:line="360" w:lineRule="auto"/>
        <w:rPr>
          <w:b/>
          <w:bCs/>
          <w:color w:val="auto"/>
          <w:sz w:val="21"/>
          <w:szCs w:val="21"/>
          <w:highlight w:val="none"/>
        </w:rPr>
      </w:pPr>
      <w:bookmarkStart w:id="1216" w:name="_Toc199153928"/>
      <w:bookmarkStart w:id="1217" w:name="_Toc204076371"/>
      <w:bookmarkStart w:id="1218" w:name="_Toc217971061"/>
      <w:bookmarkStart w:id="1219" w:name="_Toc217141572"/>
      <w:bookmarkStart w:id="1220" w:name="_Toc199153931"/>
      <w:r>
        <w:rPr>
          <w:b/>
          <w:bCs/>
          <w:color w:val="auto"/>
          <w:sz w:val="21"/>
          <w:szCs w:val="21"/>
          <w:highlight w:val="none"/>
        </w:rPr>
        <w:t>15. 变更</w:t>
      </w:r>
      <w:bookmarkEnd w:id="1216"/>
      <w:bookmarkEnd w:id="1217"/>
      <w:bookmarkEnd w:id="1218"/>
      <w:bookmarkEnd w:id="1219"/>
    </w:p>
    <w:bookmarkEnd w:id="1220"/>
    <w:p w14:paraId="1A0CB0E2">
      <w:pPr>
        <w:snapToGrid w:val="0"/>
        <w:spacing w:line="360" w:lineRule="auto"/>
        <w:rPr>
          <w:b/>
          <w:bCs/>
          <w:color w:val="auto"/>
          <w:sz w:val="21"/>
          <w:szCs w:val="21"/>
          <w:highlight w:val="none"/>
        </w:rPr>
      </w:pPr>
      <w:r>
        <w:rPr>
          <w:b/>
          <w:bCs/>
          <w:color w:val="auto"/>
          <w:sz w:val="21"/>
          <w:szCs w:val="21"/>
          <w:highlight w:val="none"/>
        </w:rPr>
        <w:t>15.1 变更的范围和内容</w:t>
      </w:r>
    </w:p>
    <w:p w14:paraId="73EA7DE7">
      <w:pPr>
        <w:spacing w:line="360" w:lineRule="auto"/>
        <w:ind w:firstLine="420" w:firstLineChars="200"/>
        <w:rPr>
          <w:color w:val="auto"/>
          <w:sz w:val="21"/>
          <w:szCs w:val="21"/>
          <w:highlight w:val="none"/>
        </w:rPr>
      </w:pPr>
      <w:r>
        <w:rPr>
          <w:color w:val="auto"/>
          <w:sz w:val="21"/>
          <w:szCs w:val="21"/>
          <w:highlight w:val="none"/>
        </w:rPr>
        <w:t>（6）增加或减少合同中关键项目的工程量不作变更。单价调整方式：</w:t>
      </w:r>
      <w:r>
        <w:rPr>
          <w:color w:val="auto"/>
          <w:sz w:val="21"/>
          <w:szCs w:val="21"/>
          <w:highlight w:val="none"/>
          <w:u w:val="single"/>
        </w:rPr>
        <w:t>单价不作调整</w:t>
      </w:r>
      <w:r>
        <w:rPr>
          <w:color w:val="auto"/>
          <w:sz w:val="21"/>
          <w:szCs w:val="21"/>
          <w:highlight w:val="none"/>
        </w:rPr>
        <w:t>。</w:t>
      </w:r>
    </w:p>
    <w:p w14:paraId="05ED02C7">
      <w:pPr>
        <w:snapToGrid w:val="0"/>
        <w:spacing w:line="360" w:lineRule="auto"/>
        <w:rPr>
          <w:b/>
          <w:bCs/>
          <w:color w:val="auto"/>
          <w:sz w:val="21"/>
          <w:szCs w:val="21"/>
          <w:highlight w:val="none"/>
        </w:rPr>
      </w:pPr>
      <w:r>
        <w:rPr>
          <w:b/>
          <w:bCs/>
          <w:color w:val="auto"/>
          <w:sz w:val="21"/>
          <w:szCs w:val="21"/>
          <w:highlight w:val="none"/>
        </w:rPr>
        <w:t>15.4 变更的估价原则</w:t>
      </w:r>
    </w:p>
    <w:p w14:paraId="70904982">
      <w:pPr>
        <w:snapToGrid w:val="0"/>
        <w:spacing w:line="360" w:lineRule="auto"/>
        <w:ind w:right="11" w:firstLine="420" w:firstLineChars="200"/>
        <w:rPr>
          <w:color w:val="auto"/>
          <w:sz w:val="21"/>
          <w:szCs w:val="21"/>
          <w:highlight w:val="none"/>
        </w:rPr>
      </w:pPr>
      <w:r>
        <w:rPr>
          <w:color w:val="auto"/>
          <w:sz w:val="21"/>
          <w:szCs w:val="21"/>
          <w:highlight w:val="none"/>
        </w:rPr>
        <w:t>15.4.3项修改为：工程量清单中无适用或类似子目的单价，则采用博罗县财政局投资评审中心审定本项目单价的费率、机械台班费、材料价格等，按照广东省水利厅2017年颁发的《广东省水利水电工程设计概（估）算编制规定（试行）》、《广东省水利水电建筑工程预算定额（试行）》、《广东省水利水电安装工程预算定额（试行）》及广东省水利厅发布的其他有关调整文件进行编制（若广东省水利厅颁发的以上定额无适用或类似子目，可取用水利部或其他行业预算定额含量），再按中标人投标报价下浮率下浮，编制的单价必须经监理人确认、发包人审批后确定。</w:t>
      </w:r>
    </w:p>
    <w:p w14:paraId="6A60E96C">
      <w:pPr>
        <w:snapToGrid w:val="0"/>
        <w:spacing w:line="360" w:lineRule="auto"/>
        <w:rPr>
          <w:b/>
          <w:bCs/>
          <w:color w:val="auto"/>
          <w:sz w:val="21"/>
          <w:szCs w:val="21"/>
          <w:highlight w:val="none"/>
        </w:rPr>
      </w:pPr>
      <w:r>
        <w:rPr>
          <w:b/>
          <w:bCs/>
          <w:color w:val="auto"/>
          <w:sz w:val="21"/>
          <w:szCs w:val="21"/>
          <w:highlight w:val="none"/>
        </w:rPr>
        <w:t>15.5 承包人的合理化建议</w:t>
      </w:r>
    </w:p>
    <w:p w14:paraId="22E7D557">
      <w:pPr>
        <w:snapToGrid w:val="0"/>
        <w:spacing w:line="360" w:lineRule="auto"/>
        <w:ind w:right="13" w:firstLine="480"/>
        <w:rPr>
          <w:color w:val="auto"/>
          <w:sz w:val="21"/>
          <w:szCs w:val="21"/>
          <w:highlight w:val="none"/>
        </w:rPr>
      </w:pPr>
      <w:r>
        <w:rPr>
          <w:color w:val="auto"/>
          <w:sz w:val="21"/>
          <w:szCs w:val="21"/>
          <w:highlight w:val="none"/>
        </w:rPr>
        <w:t>15.5.2承包人实现合理化建议的奖励金额为：</w:t>
      </w:r>
      <w:r>
        <w:rPr>
          <w:color w:val="auto"/>
          <w:sz w:val="21"/>
          <w:szCs w:val="21"/>
          <w:highlight w:val="none"/>
          <w:u w:val="single"/>
        </w:rPr>
        <w:t xml:space="preserve"> 合同双方协商解决 </w:t>
      </w:r>
      <w:r>
        <w:rPr>
          <w:color w:val="auto"/>
          <w:sz w:val="21"/>
          <w:szCs w:val="21"/>
          <w:highlight w:val="none"/>
        </w:rPr>
        <w:t>。</w:t>
      </w:r>
    </w:p>
    <w:bookmarkEnd w:id="1204"/>
    <w:bookmarkEnd w:id="1205"/>
    <w:bookmarkEnd w:id="1206"/>
    <w:bookmarkEnd w:id="1207"/>
    <w:bookmarkEnd w:id="1208"/>
    <w:bookmarkEnd w:id="1209"/>
    <w:bookmarkEnd w:id="1210"/>
    <w:bookmarkEnd w:id="1211"/>
    <w:p w14:paraId="32F01CCF">
      <w:pPr>
        <w:snapToGrid w:val="0"/>
        <w:spacing w:line="360" w:lineRule="auto"/>
        <w:rPr>
          <w:b/>
          <w:bCs/>
          <w:color w:val="auto"/>
          <w:sz w:val="21"/>
          <w:szCs w:val="21"/>
          <w:highlight w:val="none"/>
        </w:rPr>
      </w:pPr>
      <w:bookmarkStart w:id="1221" w:name="_Toc217971062"/>
      <w:bookmarkStart w:id="1222" w:name="_Toc202878949"/>
      <w:r>
        <w:rPr>
          <w:b/>
          <w:bCs/>
          <w:color w:val="auto"/>
          <w:sz w:val="21"/>
          <w:szCs w:val="21"/>
          <w:highlight w:val="none"/>
        </w:rPr>
        <w:t>16. 价格调整</w:t>
      </w:r>
      <w:bookmarkEnd w:id="1221"/>
      <w:bookmarkEnd w:id="1222"/>
    </w:p>
    <w:p w14:paraId="408DFF80">
      <w:pPr>
        <w:snapToGrid w:val="0"/>
        <w:spacing w:line="360" w:lineRule="auto"/>
        <w:rPr>
          <w:b/>
          <w:bCs/>
          <w:color w:val="auto"/>
          <w:sz w:val="21"/>
          <w:szCs w:val="21"/>
          <w:highlight w:val="none"/>
        </w:rPr>
      </w:pPr>
      <w:bookmarkStart w:id="1223" w:name="_Toc199155937"/>
      <w:r>
        <w:rPr>
          <w:b/>
          <w:bCs/>
          <w:color w:val="auto"/>
          <w:sz w:val="21"/>
          <w:szCs w:val="21"/>
          <w:highlight w:val="none"/>
        </w:rPr>
        <w:t>16.1 物价波动引起的价格调整</w:t>
      </w:r>
      <w:bookmarkEnd w:id="1223"/>
      <w:r>
        <w:rPr>
          <w:b/>
          <w:bCs/>
          <w:color w:val="auto"/>
          <w:sz w:val="21"/>
          <w:szCs w:val="21"/>
          <w:highlight w:val="none"/>
        </w:rPr>
        <w:t xml:space="preserve">  </w:t>
      </w:r>
    </w:p>
    <w:p w14:paraId="228FA439">
      <w:pPr>
        <w:snapToGrid w:val="0"/>
        <w:spacing w:line="360" w:lineRule="auto"/>
        <w:ind w:right="11" w:firstLine="420" w:firstLineChars="200"/>
        <w:rPr>
          <w:color w:val="auto"/>
          <w:sz w:val="21"/>
          <w:szCs w:val="21"/>
          <w:highlight w:val="none"/>
        </w:rPr>
      </w:pPr>
      <w:bookmarkStart w:id="1224" w:name="_Toc199155938"/>
      <w:r>
        <w:rPr>
          <w:color w:val="auto"/>
          <w:sz w:val="21"/>
          <w:szCs w:val="21"/>
          <w:highlight w:val="none"/>
        </w:rPr>
        <w:t>删去通用合同条款16.1款，并代之以：</w:t>
      </w:r>
    </w:p>
    <w:p w14:paraId="7B9BE68F">
      <w:pPr>
        <w:snapToGrid w:val="0"/>
        <w:spacing w:line="360" w:lineRule="auto"/>
        <w:ind w:right="11" w:firstLine="420" w:firstLineChars="200"/>
        <w:rPr>
          <w:rFonts w:hint="eastAsia" w:hAnsi="宋体"/>
          <w:color w:val="auto"/>
          <w:sz w:val="21"/>
          <w:szCs w:val="21"/>
          <w:highlight w:val="none"/>
        </w:rPr>
      </w:pPr>
      <w:r>
        <w:rPr>
          <w:color w:val="auto"/>
          <w:sz w:val="21"/>
          <w:szCs w:val="21"/>
          <w:highlight w:val="none"/>
        </w:rPr>
        <w:t>合同双方一致同意，对本合同工程施工阶段砂、碎石、块石、水泥、</w:t>
      </w:r>
      <w:r>
        <w:rPr>
          <w:rFonts w:hint="eastAsia" w:hAnsi="宋体"/>
          <w:color w:val="auto"/>
          <w:sz w:val="21"/>
          <w:szCs w:val="21"/>
          <w:highlight w:val="none"/>
        </w:rPr>
        <w:t>商品混凝土、柴油和钢筋七种主要材料价格给予调差。</w:t>
      </w:r>
    </w:p>
    <w:p w14:paraId="26E90392">
      <w:pPr>
        <w:snapToGrid w:val="0"/>
        <w:spacing w:line="360" w:lineRule="auto"/>
        <w:ind w:right="11" w:firstLine="420" w:firstLineChars="200"/>
        <w:rPr>
          <w:color w:val="auto"/>
          <w:sz w:val="21"/>
          <w:szCs w:val="21"/>
          <w:highlight w:val="none"/>
        </w:rPr>
      </w:pPr>
      <w:r>
        <w:rPr>
          <w:color w:val="auto"/>
          <w:sz w:val="21"/>
          <w:szCs w:val="21"/>
          <w:highlight w:val="none"/>
        </w:rPr>
        <w:t>调差材料的基准价格为博罗县财政局审核价所采用的博罗县工程造价信息价中的材料价格（砂、碎石、块石、水泥</w:t>
      </w:r>
      <w:r>
        <w:rPr>
          <w:rFonts w:hint="eastAsia"/>
          <w:color w:val="auto"/>
          <w:sz w:val="21"/>
          <w:szCs w:val="21"/>
          <w:highlight w:val="none"/>
        </w:rPr>
        <w:t>、</w:t>
      </w:r>
      <w:r>
        <w:rPr>
          <w:rFonts w:hint="eastAsia" w:hAnsi="宋体"/>
          <w:color w:val="auto"/>
          <w:sz w:val="21"/>
          <w:szCs w:val="21"/>
          <w:highlight w:val="none"/>
        </w:rPr>
        <w:t>商品混凝土</w:t>
      </w:r>
      <w:r>
        <w:rPr>
          <w:color w:val="auto"/>
          <w:sz w:val="21"/>
          <w:szCs w:val="21"/>
          <w:highlight w:val="none"/>
        </w:rPr>
        <w:t>和钢筋的基准价格为博罗县建设工程造价管理站公布的当期信息价，柴油的基准价格为广东省物价部门等法定部门当期公布的成品油批发价格）。</w:t>
      </w:r>
    </w:p>
    <w:p w14:paraId="543AC92F">
      <w:pPr>
        <w:snapToGrid w:val="0"/>
        <w:spacing w:line="360" w:lineRule="auto"/>
        <w:ind w:right="11" w:firstLine="420" w:firstLineChars="200"/>
        <w:rPr>
          <w:color w:val="auto"/>
          <w:sz w:val="21"/>
          <w:szCs w:val="21"/>
          <w:highlight w:val="none"/>
        </w:rPr>
      </w:pPr>
      <w:r>
        <w:rPr>
          <w:color w:val="auto"/>
          <w:sz w:val="21"/>
          <w:szCs w:val="21"/>
          <w:highlight w:val="none"/>
        </w:rPr>
        <w:t>施工阶段当博罗县建设工程造价管理站同期公布的博罗县工程造价信息价中相应材料信息价超过基准价格的±5%（含5%）时，合同价格相应进行调整。</w:t>
      </w:r>
    </w:p>
    <w:p w14:paraId="6E450569">
      <w:pPr>
        <w:snapToGrid w:val="0"/>
        <w:spacing w:line="360" w:lineRule="auto"/>
        <w:ind w:right="11" w:firstLine="420" w:firstLineChars="200"/>
        <w:rPr>
          <w:color w:val="auto"/>
          <w:sz w:val="21"/>
          <w:szCs w:val="21"/>
          <w:highlight w:val="none"/>
        </w:rPr>
      </w:pPr>
      <w:r>
        <w:rPr>
          <w:color w:val="auto"/>
          <w:sz w:val="21"/>
          <w:szCs w:val="21"/>
          <w:highlight w:val="none"/>
        </w:rPr>
        <w:t>价格调差调整计算原则和办法如下：</w:t>
      </w:r>
    </w:p>
    <w:p w14:paraId="68ED7837">
      <w:pPr>
        <w:snapToGrid w:val="0"/>
        <w:spacing w:line="360" w:lineRule="auto"/>
        <w:ind w:right="11" w:firstLine="420" w:firstLineChars="200"/>
        <w:rPr>
          <w:color w:val="auto"/>
          <w:sz w:val="21"/>
          <w:szCs w:val="21"/>
          <w:highlight w:val="none"/>
        </w:rPr>
      </w:pPr>
      <w:r>
        <w:rPr>
          <w:color w:val="auto"/>
          <w:sz w:val="21"/>
          <w:szCs w:val="21"/>
          <w:highlight w:val="none"/>
        </w:rPr>
        <w:t>材料调差价为博罗县建设工程造价管理站在合同工程施工阶段每季度公布的博罗县工程造价信息价中相应材料的信息价格。</w:t>
      </w:r>
    </w:p>
    <w:p w14:paraId="7929C58C">
      <w:pPr>
        <w:snapToGrid w:val="0"/>
        <w:spacing w:line="360" w:lineRule="auto"/>
        <w:ind w:right="11" w:firstLine="420" w:firstLineChars="200"/>
        <w:rPr>
          <w:color w:val="auto"/>
          <w:sz w:val="21"/>
          <w:szCs w:val="21"/>
          <w:highlight w:val="none"/>
        </w:rPr>
      </w:pPr>
      <w:r>
        <w:rPr>
          <w:color w:val="auto"/>
          <w:sz w:val="21"/>
          <w:szCs w:val="21"/>
          <w:highlight w:val="none"/>
        </w:rPr>
        <w:t>参与价格调差的材料数量为当季结算完成工程量的相应调差材料总量。</w:t>
      </w:r>
    </w:p>
    <w:p w14:paraId="528C7775">
      <w:pPr>
        <w:snapToGrid w:val="0"/>
        <w:spacing w:line="360" w:lineRule="auto"/>
        <w:ind w:right="11" w:firstLine="420" w:firstLineChars="200"/>
        <w:rPr>
          <w:color w:val="auto"/>
          <w:sz w:val="21"/>
          <w:szCs w:val="21"/>
          <w:highlight w:val="none"/>
        </w:rPr>
      </w:pPr>
      <w:r>
        <w:rPr>
          <w:color w:val="auto"/>
          <w:sz w:val="21"/>
          <w:szCs w:val="21"/>
          <w:highlight w:val="none"/>
        </w:rPr>
        <w:t>材料价格调差每个季度集中调差一次。</w:t>
      </w:r>
    </w:p>
    <w:p w14:paraId="71CF970C">
      <w:pPr>
        <w:snapToGrid w:val="0"/>
        <w:spacing w:line="360" w:lineRule="auto"/>
        <w:ind w:right="11" w:firstLine="420" w:firstLineChars="200"/>
        <w:rPr>
          <w:color w:val="auto"/>
          <w:sz w:val="21"/>
          <w:szCs w:val="21"/>
          <w:highlight w:val="none"/>
        </w:rPr>
      </w:pPr>
      <w:r>
        <w:rPr>
          <w:color w:val="auto"/>
          <w:sz w:val="21"/>
          <w:szCs w:val="21"/>
          <w:highlight w:val="none"/>
        </w:rPr>
        <w:t>相应价差为：</w:t>
      </w:r>
    </w:p>
    <w:p w14:paraId="43E29581">
      <w:pPr>
        <w:snapToGrid w:val="0"/>
        <w:spacing w:line="360" w:lineRule="auto"/>
        <w:ind w:right="11" w:firstLine="420" w:firstLineChars="200"/>
        <w:rPr>
          <w:color w:val="auto"/>
          <w:sz w:val="21"/>
          <w:szCs w:val="21"/>
          <w:highlight w:val="none"/>
        </w:rPr>
      </w:pPr>
      <w:r>
        <w:rPr>
          <w:color w:val="auto"/>
          <w:sz w:val="21"/>
          <w:szCs w:val="21"/>
          <w:highlight w:val="none"/>
        </w:rPr>
        <w:t>施工阶段博罗县建设工程造价管理站同期公布的博罗县工程造价信息价中相应材料的信息价格超过调差材料的基准价格+ 5 %（含 5 %）时：某项材料的价差总额＝（材料调差价－材料基准价× 1.05 ）×材料总量；</w:t>
      </w:r>
    </w:p>
    <w:p w14:paraId="668E504D">
      <w:pPr>
        <w:snapToGrid w:val="0"/>
        <w:spacing w:line="360" w:lineRule="auto"/>
        <w:ind w:right="11" w:firstLine="420" w:firstLineChars="200"/>
        <w:rPr>
          <w:color w:val="auto"/>
          <w:sz w:val="21"/>
          <w:szCs w:val="21"/>
          <w:highlight w:val="none"/>
        </w:rPr>
      </w:pPr>
      <w:r>
        <w:rPr>
          <w:color w:val="auto"/>
          <w:sz w:val="21"/>
          <w:szCs w:val="21"/>
          <w:highlight w:val="none"/>
        </w:rPr>
        <w:t>施工阶段博罗县建设工程造价管理站同期公布的博罗县工程造价信息价中相应材料的信息价格超过调差材料的基准价格- 5 %（含- 5 %）时：某项材料的价差总额＝（材料调差价－材料基准价× 0.95 ）×材料总量。</w:t>
      </w:r>
    </w:p>
    <w:p w14:paraId="7CAB7D06">
      <w:pPr>
        <w:snapToGrid w:val="0"/>
        <w:spacing w:line="360" w:lineRule="auto"/>
        <w:rPr>
          <w:b/>
          <w:bCs/>
          <w:color w:val="auto"/>
          <w:sz w:val="21"/>
          <w:szCs w:val="21"/>
          <w:highlight w:val="none"/>
        </w:rPr>
      </w:pPr>
      <w:r>
        <w:rPr>
          <w:b/>
          <w:bCs/>
          <w:color w:val="auto"/>
          <w:sz w:val="21"/>
          <w:szCs w:val="21"/>
          <w:highlight w:val="none"/>
        </w:rPr>
        <w:t>16.2 法律变化引起的价格调整</w:t>
      </w:r>
      <w:bookmarkEnd w:id="1224"/>
      <w:r>
        <w:rPr>
          <w:b/>
          <w:bCs/>
          <w:color w:val="auto"/>
          <w:sz w:val="21"/>
          <w:szCs w:val="21"/>
          <w:highlight w:val="none"/>
        </w:rPr>
        <w:t>。</w:t>
      </w:r>
    </w:p>
    <w:p w14:paraId="59E85453">
      <w:pPr>
        <w:snapToGrid w:val="0"/>
        <w:spacing w:line="360" w:lineRule="auto"/>
        <w:ind w:right="11" w:firstLine="420" w:firstLineChars="200"/>
        <w:rPr>
          <w:color w:val="auto"/>
          <w:sz w:val="21"/>
          <w:szCs w:val="21"/>
          <w:highlight w:val="none"/>
        </w:rPr>
      </w:pPr>
      <w:r>
        <w:rPr>
          <w:color w:val="auto"/>
          <w:sz w:val="21"/>
          <w:szCs w:val="21"/>
          <w:highlight w:val="none"/>
        </w:rPr>
        <w:t>删除通用合同条款第16.2款，并代之以：本工程不考虑法律变化引起的价格调整。</w:t>
      </w:r>
      <w:r>
        <w:rPr>
          <w:rFonts w:hint="eastAsia"/>
          <w:color w:val="auto"/>
          <w:sz w:val="21"/>
          <w:szCs w:val="21"/>
          <w:highlight w:val="none"/>
        </w:rPr>
        <w:t xml:space="preserve">  </w:t>
      </w:r>
    </w:p>
    <w:p w14:paraId="40F7EBD0">
      <w:pPr>
        <w:snapToGrid w:val="0"/>
        <w:spacing w:line="360" w:lineRule="auto"/>
        <w:rPr>
          <w:b/>
          <w:bCs/>
          <w:color w:val="auto"/>
          <w:sz w:val="21"/>
          <w:szCs w:val="21"/>
          <w:highlight w:val="none"/>
        </w:rPr>
      </w:pPr>
      <w:bookmarkStart w:id="1225" w:name="_Toc200167777"/>
      <w:bookmarkStart w:id="1226" w:name="_Toc199320016"/>
      <w:bookmarkStart w:id="1227" w:name="_Toc199294333"/>
      <w:bookmarkStart w:id="1228" w:name="_Toc217971063"/>
      <w:bookmarkStart w:id="1229" w:name="_Toc199155939"/>
      <w:bookmarkStart w:id="1230" w:name="_Toc207791278"/>
      <w:bookmarkStart w:id="1231" w:name="_Toc199215138"/>
      <w:bookmarkStart w:id="1232" w:name="_Toc200536612"/>
      <w:bookmarkStart w:id="1233" w:name="_Toc200968291"/>
      <w:r>
        <w:rPr>
          <w:b/>
          <w:bCs/>
          <w:color w:val="auto"/>
          <w:sz w:val="21"/>
          <w:szCs w:val="21"/>
          <w:highlight w:val="none"/>
        </w:rPr>
        <w:t>17. 计量与支付</w:t>
      </w:r>
      <w:bookmarkEnd w:id="1225"/>
      <w:bookmarkEnd w:id="1226"/>
      <w:bookmarkEnd w:id="1227"/>
      <w:bookmarkEnd w:id="1228"/>
      <w:bookmarkEnd w:id="1229"/>
      <w:bookmarkEnd w:id="1230"/>
      <w:bookmarkEnd w:id="1231"/>
      <w:bookmarkEnd w:id="1232"/>
      <w:bookmarkEnd w:id="1233"/>
    </w:p>
    <w:p w14:paraId="021E677A">
      <w:pPr>
        <w:snapToGrid w:val="0"/>
        <w:spacing w:line="360" w:lineRule="auto"/>
        <w:rPr>
          <w:b/>
          <w:bCs/>
          <w:color w:val="auto"/>
          <w:sz w:val="21"/>
          <w:szCs w:val="21"/>
          <w:highlight w:val="none"/>
        </w:rPr>
      </w:pPr>
      <w:r>
        <w:rPr>
          <w:b/>
          <w:bCs/>
          <w:color w:val="auto"/>
          <w:sz w:val="21"/>
          <w:szCs w:val="21"/>
          <w:highlight w:val="none"/>
        </w:rPr>
        <w:t>17.1 计量</w:t>
      </w:r>
    </w:p>
    <w:p w14:paraId="63746FC9">
      <w:pPr>
        <w:snapToGrid w:val="0"/>
        <w:spacing w:line="360" w:lineRule="auto"/>
        <w:rPr>
          <w:b/>
          <w:bCs/>
          <w:color w:val="auto"/>
          <w:sz w:val="21"/>
          <w:szCs w:val="21"/>
          <w:highlight w:val="none"/>
        </w:rPr>
      </w:pPr>
      <w:r>
        <w:rPr>
          <w:b/>
          <w:bCs/>
          <w:color w:val="auto"/>
          <w:sz w:val="21"/>
          <w:szCs w:val="21"/>
          <w:highlight w:val="none"/>
        </w:rPr>
        <w:t>增加17.1.6</w:t>
      </w:r>
    </w:p>
    <w:p w14:paraId="04F16245">
      <w:pPr>
        <w:snapToGrid w:val="0"/>
        <w:spacing w:line="360" w:lineRule="auto"/>
        <w:ind w:firstLine="420"/>
        <w:rPr>
          <w:color w:val="auto"/>
          <w:sz w:val="21"/>
          <w:szCs w:val="21"/>
          <w:highlight w:val="none"/>
        </w:rPr>
      </w:pPr>
      <w:r>
        <w:rPr>
          <w:color w:val="auto"/>
          <w:sz w:val="21"/>
          <w:szCs w:val="21"/>
          <w:highlight w:val="none"/>
        </w:rPr>
        <w:t>17.1.6工程量清单中的工程量是用作投标报价的估算工程量，不作为最终的工程量，用于结算的工程量是承包人实际完成的，并按合同的有关计量规定计量的工程量：临时工程按总价承包，用于结算的工程量即招标工程量。所有计量工作在计量之前，均应请发包人派人参加，监理人核实后报发包人核准。</w:t>
      </w:r>
    </w:p>
    <w:p w14:paraId="451103F3">
      <w:pPr>
        <w:pStyle w:val="2"/>
        <w:ind w:firstLine="420" w:firstLineChars="200"/>
        <w:rPr>
          <w:color w:val="auto"/>
          <w:sz w:val="21"/>
          <w:szCs w:val="21"/>
          <w:highlight w:val="none"/>
        </w:rPr>
      </w:pPr>
      <w:r>
        <w:rPr>
          <w:rFonts w:hint="eastAsia" w:ascii="Times New Roman"/>
          <w:color w:val="auto"/>
          <w:sz w:val="21"/>
          <w:szCs w:val="21"/>
          <w:highlight w:val="none"/>
        </w:rPr>
        <w:t>17.1.</w:t>
      </w:r>
      <w:r>
        <w:rPr>
          <w:rFonts w:hint="eastAsia" w:ascii="Times New Roman"/>
          <w:color w:val="auto"/>
          <w:sz w:val="21"/>
          <w:szCs w:val="21"/>
          <w:highlight w:val="none"/>
          <w:lang w:val="en-US" w:eastAsia="zh-CN"/>
        </w:rPr>
        <w:t>7</w:t>
      </w:r>
      <w:r>
        <w:rPr>
          <w:rFonts w:hint="eastAsia" w:ascii="Times New Roman" w:hAnsi="Times New Roman" w:eastAsia="宋体" w:cs="Times New Roman"/>
          <w:color w:val="auto"/>
          <w:kern w:val="2"/>
          <w:sz w:val="21"/>
          <w:szCs w:val="21"/>
          <w:highlight w:val="none"/>
          <w:lang w:val="en-US" w:eastAsia="zh-CN" w:bidi="ar-SA"/>
        </w:rPr>
        <w:t>计量周期：单价子目已完成工程量可按月定期计量或按照实际工作量非定期计量。</w:t>
      </w:r>
    </w:p>
    <w:p w14:paraId="3B5398EE">
      <w:pPr>
        <w:snapToGrid w:val="0"/>
        <w:spacing w:line="360" w:lineRule="auto"/>
        <w:rPr>
          <w:b/>
          <w:bCs/>
          <w:color w:val="auto"/>
          <w:sz w:val="21"/>
          <w:szCs w:val="21"/>
          <w:highlight w:val="none"/>
        </w:rPr>
      </w:pPr>
      <w:r>
        <w:rPr>
          <w:b/>
          <w:bCs/>
          <w:color w:val="auto"/>
          <w:sz w:val="21"/>
          <w:szCs w:val="21"/>
          <w:highlight w:val="none"/>
        </w:rPr>
        <w:t>17.2 预付款</w:t>
      </w:r>
    </w:p>
    <w:p w14:paraId="111EAE37">
      <w:pPr>
        <w:snapToGrid w:val="0"/>
        <w:spacing w:line="360" w:lineRule="auto"/>
        <w:ind w:firstLine="420"/>
        <w:rPr>
          <w:color w:val="auto"/>
          <w:sz w:val="21"/>
          <w:szCs w:val="21"/>
          <w:highlight w:val="none"/>
        </w:rPr>
      </w:pPr>
      <w:r>
        <w:rPr>
          <w:color w:val="auto"/>
          <w:sz w:val="21"/>
          <w:szCs w:val="21"/>
          <w:highlight w:val="none"/>
        </w:rPr>
        <w:t>17.2.1 预付款</w:t>
      </w:r>
    </w:p>
    <w:p w14:paraId="610E3FF5">
      <w:pPr>
        <w:snapToGrid w:val="0"/>
        <w:spacing w:line="360" w:lineRule="auto"/>
        <w:ind w:firstLine="420"/>
        <w:rPr>
          <w:color w:val="auto"/>
          <w:sz w:val="21"/>
          <w:szCs w:val="21"/>
          <w:highlight w:val="none"/>
        </w:rPr>
      </w:pPr>
      <w:r>
        <w:rPr>
          <w:color w:val="auto"/>
          <w:sz w:val="21"/>
          <w:szCs w:val="21"/>
          <w:highlight w:val="none"/>
        </w:rPr>
        <w:t>（1）工程预付款的总金额为签约合同价的</w:t>
      </w:r>
      <w:r>
        <w:rPr>
          <w:color w:val="auto"/>
          <w:sz w:val="21"/>
          <w:szCs w:val="21"/>
          <w:highlight w:val="none"/>
          <w:u w:val="single"/>
        </w:rPr>
        <w:t xml:space="preserve"> 20%，</w:t>
      </w:r>
      <w:r>
        <w:rPr>
          <w:color w:val="auto"/>
          <w:sz w:val="21"/>
          <w:szCs w:val="21"/>
          <w:highlight w:val="none"/>
        </w:rPr>
        <w:t>分</w:t>
      </w:r>
      <w:r>
        <w:rPr>
          <w:color w:val="auto"/>
          <w:sz w:val="21"/>
          <w:szCs w:val="21"/>
          <w:highlight w:val="none"/>
          <w:u w:val="single"/>
        </w:rPr>
        <w:t xml:space="preserve"> 1 </w:t>
      </w:r>
      <w:r>
        <w:rPr>
          <w:color w:val="auto"/>
          <w:sz w:val="21"/>
          <w:szCs w:val="21"/>
          <w:highlight w:val="none"/>
        </w:rPr>
        <w:t>次支付给承包人。付款时间应在合同协议书签订后，经监理人出具付款证书报送发包人批准后14天内予以支付。</w:t>
      </w:r>
    </w:p>
    <w:p w14:paraId="7AB87AE2">
      <w:pPr>
        <w:snapToGrid w:val="0"/>
        <w:spacing w:line="360" w:lineRule="auto"/>
        <w:ind w:firstLine="420"/>
        <w:rPr>
          <w:color w:val="auto"/>
          <w:sz w:val="21"/>
          <w:szCs w:val="21"/>
          <w:highlight w:val="none"/>
        </w:rPr>
      </w:pPr>
      <w:r>
        <w:rPr>
          <w:color w:val="auto"/>
          <w:sz w:val="21"/>
          <w:szCs w:val="21"/>
          <w:highlight w:val="none"/>
        </w:rPr>
        <w:t>（2）工程材料预付款的额度和预付办法约定为：</w:t>
      </w:r>
      <w:r>
        <w:rPr>
          <w:color w:val="auto"/>
          <w:sz w:val="21"/>
          <w:szCs w:val="21"/>
          <w:highlight w:val="none"/>
          <w:u w:val="single"/>
        </w:rPr>
        <w:t xml:space="preserve"> 本工程不支付材料预付款 </w:t>
      </w:r>
      <w:r>
        <w:rPr>
          <w:color w:val="auto"/>
          <w:sz w:val="21"/>
          <w:szCs w:val="21"/>
          <w:highlight w:val="none"/>
        </w:rPr>
        <w:t>。</w:t>
      </w:r>
    </w:p>
    <w:p w14:paraId="124F2AFD">
      <w:pPr>
        <w:snapToGrid w:val="0"/>
        <w:spacing w:line="360" w:lineRule="auto"/>
        <w:ind w:firstLine="420"/>
        <w:rPr>
          <w:color w:val="auto"/>
          <w:sz w:val="21"/>
          <w:szCs w:val="21"/>
          <w:highlight w:val="none"/>
        </w:rPr>
      </w:pPr>
      <w:r>
        <w:rPr>
          <w:color w:val="auto"/>
          <w:sz w:val="21"/>
          <w:szCs w:val="21"/>
          <w:highlight w:val="none"/>
        </w:rPr>
        <w:t>17.2.3 预付款的扣回与还清</w:t>
      </w:r>
    </w:p>
    <w:p w14:paraId="0230DB32">
      <w:pPr>
        <w:snapToGrid w:val="0"/>
        <w:spacing w:line="360" w:lineRule="auto"/>
        <w:ind w:firstLine="420"/>
        <w:rPr>
          <w:color w:val="auto"/>
          <w:sz w:val="21"/>
          <w:szCs w:val="21"/>
          <w:highlight w:val="none"/>
        </w:rPr>
      </w:pPr>
      <w:r>
        <w:rPr>
          <w:color w:val="auto"/>
          <w:sz w:val="21"/>
          <w:szCs w:val="21"/>
          <w:highlight w:val="none"/>
        </w:rPr>
        <w:t>（1）工程预付款在合同累计完成金额达到签约合同价的</w:t>
      </w:r>
      <w:r>
        <w:rPr>
          <w:color w:val="auto"/>
          <w:sz w:val="21"/>
          <w:szCs w:val="21"/>
          <w:highlight w:val="none"/>
          <w:u w:val="single"/>
        </w:rPr>
        <w:t xml:space="preserve"> 20 %</w:t>
      </w:r>
      <w:r>
        <w:rPr>
          <w:color w:val="auto"/>
          <w:sz w:val="21"/>
          <w:szCs w:val="21"/>
          <w:highlight w:val="none"/>
        </w:rPr>
        <w:t>时开始扣款，直至合同累计完成金额达到签约合同价的</w:t>
      </w:r>
      <w:r>
        <w:rPr>
          <w:color w:val="auto"/>
          <w:sz w:val="21"/>
          <w:szCs w:val="21"/>
          <w:highlight w:val="none"/>
          <w:u w:val="single"/>
        </w:rPr>
        <w:t xml:space="preserve"> 80 %</w:t>
      </w:r>
      <w:r>
        <w:rPr>
          <w:color w:val="auto"/>
          <w:sz w:val="21"/>
          <w:szCs w:val="21"/>
          <w:highlight w:val="none"/>
        </w:rPr>
        <w:t>时全部扣清。</w:t>
      </w:r>
    </w:p>
    <w:p w14:paraId="2755B1E1">
      <w:pPr>
        <w:pStyle w:val="11"/>
        <w:adjustRightInd w:val="0"/>
        <w:snapToGrid w:val="0"/>
        <w:spacing w:line="360" w:lineRule="auto"/>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R=A（C-F</w:t>
      </w:r>
      <w:r>
        <w:rPr>
          <w:rFonts w:ascii="Times New Roman" w:hAnsi="Times New Roman"/>
          <w:color w:val="auto"/>
          <w:kern w:val="0"/>
          <w:sz w:val="21"/>
          <w:szCs w:val="21"/>
          <w:highlight w:val="none"/>
          <w:vertAlign w:val="subscript"/>
        </w:rPr>
        <w:t>1</w:t>
      </w:r>
      <w:r>
        <w:rPr>
          <w:rFonts w:ascii="Times New Roman" w:hAnsi="Times New Roman"/>
          <w:color w:val="auto"/>
          <w:kern w:val="0"/>
          <w:sz w:val="21"/>
          <w:szCs w:val="21"/>
          <w:highlight w:val="none"/>
        </w:rPr>
        <w:t>S）/（F</w:t>
      </w:r>
      <w:r>
        <w:rPr>
          <w:rFonts w:ascii="Times New Roman" w:hAnsi="Times New Roman"/>
          <w:color w:val="auto"/>
          <w:kern w:val="0"/>
          <w:sz w:val="21"/>
          <w:szCs w:val="21"/>
          <w:highlight w:val="none"/>
          <w:vertAlign w:val="subscript"/>
        </w:rPr>
        <w:t>2</w:t>
      </w:r>
      <w:r>
        <w:rPr>
          <w:rFonts w:ascii="Times New Roman" w:hAnsi="Times New Roman"/>
          <w:color w:val="auto"/>
          <w:kern w:val="0"/>
          <w:sz w:val="21"/>
          <w:szCs w:val="21"/>
          <w:highlight w:val="none"/>
        </w:rPr>
        <w:t>-F</w:t>
      </w:r>
      <w:r>
        <w:rPr>
          <w:rFonts w:ascii="Times New Roman" w:hAnsi="Times New Roman"/>
          <w:color w:val="auto"/>
          <w:kern w:val="0"/>
          <w:sz w:val="21"/>
          <w:szCs w:val="21"/>
          <w:highlight w:val="none"/>
          <w:vertAlign w:val="subscript"/>
        </w:rPr>
        <w:t>1</w:t>
      </w:r>
      <w:r>
        <w:rPr>
          <w:rFonts w:ascii="Times New Roman" w:hAnsi="Times New Roman"/>
          <w:color w:val="auto"/>
          <w:kern w:val="0"/>
          <w:sz w:val="21"/>
          <w:szCs w:val="21"/>
          <w:highlight w:val="none"/>
        </w:rPr>
        <w:t>）S</w:t>
      </w:r>
    </w:p>
    <w:p w14:paraId="1D95DEBB">
      <w:pPr>
        <w:pStyle w:val="11"/>
        <w:adjustRightInd w:val="0"/>
        <w:snapToGrid w:val="0"/>
        <w:spacing w:line="360" w:lineRule="auto"/>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式中R——每次进度付款中累计扣回的金额；</w:t>
      </w:r>
    </w:p>
    <w:p w14:paraId="198E7C2F">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A——工程预付款总金额；</w:t>
      </w:r>
    </w:p>
    <w:p w14:paraId="0A3EDF29">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S——合同价格；</w:t>
      </w:r>
    </w:p>
    <w:p w14:paraId="2903D155">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C——合同累计完成金额；</w:t>
      </w:r>
    </w:p>
    <w:p w14:paraId="12826E84">
      <w:pPr>
        <w:pStyle w:val="11"/>
        <w:adjustRightInd w:val="0"/>
        <w:snapToGrid w:val="0"/>
        <w:spacing w:line="360" w:lineRule="auto"/>
        <w:ind w:firstLine="840" w:firstLineChars="400"/>
        <w:outlineLvl w:val="1"/>
        <w:rPr>
          <w:rFonts w:ascii="Times New Roman" w:hAnsi="Times New Roman"/>
          <w:color w:val="auto"/>
          <w:kern w:val="0"/>
          <w:sz w:val="21"/>
          <w:szCs w:val="21"/>
          <w:highlight w:val="none"/>
        </w:rPr>
      </w:pPr>
      <w:bookmarkStart w:id="1234" w:name="_Toc22805"/>
      <w:bookmarkStart w:id="1235" w:name="_Toc7116"/>
      <w:bookmarkStart w:id="1236" w:name="_Toc892"/>
      <w:r>
        <w:rPr>
          <w:rFonts w:ascii="Times New Roman" w:hAnsi="Times New Roman"/>
          <w:color w:val="auto"/>
          <w:kern w:val="0"/>
          <w:sz w:val="21"/>
          <w:szCs w:val="21"/>
          <w:highlight w:val="none"/>
        </w:rPr>
        <w:t>F1——开始扣款时合同累计完成金额达到签约合同价格的比例；</w:t>
      </w:r>
      <w:bookmarkEnd w:id="1234"/>
      <w:bookmarkEnd w:id="1235"/>
      <w:bookmarkEnd w:id="1236"/>
    </w:p>
    <w:p w14:paraId="30D6801E">
      <w:pPr>
        <w:pStyle w:val="11"/>
        <w:adjustRightInd w:val="0"/>
        <w:snapToGrid w:val="0"/>
        <w:spacing w:line="360" w:lineRule="auto"/>
        <w:ind w:firstLine="840" w:firstLineChars="400"/>
        <w:outlineLvl w:val="1"/>
        <w:rPr>
          <w:rFonts w:ascii="Times New Roman" w:hAnsi="Times New Roman"/>
          <w:color w:val="auto"/>
          <w:kern w:val="0"/>
          <w:sz w:val="21"/>
          <w:szCs w:val="21"/>
          <w:highlight w:val="none"/>
        </w:rPr>
      </w:pPr>
      <w:bookmarkStart w:id="1237" w:name="_Toc18464"/>
      <w:bookmarkStart w:id="1238" w:name="_Toc5796"/>
      <w:bookmarkStart w:id="1239" w:name="_Toc1329"/>
      <w:r>
        <w:rPr>
          <w:rFonts w:ascii="Times New Roman" w:hAnsi="Times New Roman"/>
          <w:color w:val="auto"/>
          <w:kern w:val="0"/>
          <w:sz w:val="21"/>
          <w:szCs w:val="21"/>
          <w:highlight w:val="none"/>
        </w:rPr>
        <w:t>F2——全部扣清时合同累计完成金额达到签约合同价格的比例。</w:t>
      </w:r>
      <w:bookmarkEnd w:id="1237"/>
      <w:bookmarkEnd w:id="1238"/>
      <w:bookmarkEnd w:id="1239"/>
    </w:p>
    <w:p w14:paraId="2FFDC149">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上述合同累计完成金额均指价格调整前未扣保留金的金额。</w:t>
      </w:r>
    </w:p>
    <w:p w14:paraId="34ECE4D0">
      <w:pPr>
        <w:snapToGrid w:val="0"/>
        <w:spacing w:line="360" w:lineRule="auto"/>
        <w:ind w:firstLine="420"/>
        <w:outlineLvl w:val="1"/>
        <w:rPr>
          <w:color w:val="auto"/>
          <w:sz w:val="21"/>
          <w:szCs w:val="21"/>
          <w:highlight w:val="none"/>
        </w:rPr>
      </w:pPr>
      <w:bookmarkStart w:id="1240" w:name="_Toc11336"/>
      <w:bookmarkStart w:id="1241" w:name="_Toc25541"/>
      <w:bookmarkStart w:id="1242" w:name="_Toc4762"/>
      <w:bookmarkStart w:id="1243" w:name="_Toc199155945"/>
      <w:r>
        <w:rPr>
          <w:color w:val="auto"/>
          <w:sz w:val="21"/>
          <w:szCs w:val="21"/>
          <w:highlight w:val="none"/>
        </w:rPr>
        <w:t>17.3.3 进度付款证书和支付时间</w:t>
      </w:r>
      <w:bookmarkEnd w:id="1240"/>
      <w:bookmarkEnd w:id="1241"/>
      <w:bookmarkEnd w:id="1242"/>
    </w:p>
    <w:bookmarkEnd w:id="1243"/>
    <w:p w14:paraId="7F12CA7D">
      <w:pPr>
        <w:snapToGrid w:val="0"/>
        <w:spacing w:line="360" w:lineRule="auto"/>
        <w:ind w:firstLine="420"/>
        <w:rPr>
          <w:color w:val="auto"/>
          <w:sz w:val="21"/>
          <w:szCs w:val="21"/>
          <w:highlight w:val="none"/>
        </w:rPr>
      </w:pPr>
      <w:bookmarkStart w:id="1244" w:name="_Toc189386215"/>
      <w:r>
        <w:rPr>
          <w:color w:val="auto"/>
          <w:sz w:val="21"/>
          <w:szCs w:val="21"/>
          <w:highlight w:val="none"/>
        </w:rPr>
        <w:t>增加（5）、（6）、（7）、（8）：</w:t>
      </w:r>
    </w:p>
    <w:p w14:paraId="0EEF0FD4">
      <w:pPr>
        <w:snapToGrid w:val="0"/>
        <w:spacing w:line="360" w:lineRule="auto"/>
        <w:ind w:firstLine="420" w:firstLineChars="200"/>
        <w:rPr>
          <w:color w:val="auto"/>
          <w:sz w:val="21"/>
          <w:szCs w:val="21"/>
          <w:highlight w:val="none"/>
        </w:rPr>
      </w:pPr>
      <w:r>
        <w:rPr>
          <w:color w:val="auto"/>
          <w:sz w:val="21"/>
          <w:szCs w:val="21"/>
          <w:highlight w:val="none"/>
        </w:rPr>
        <w:t>（5）月进度付款的累计结算支付金额不超过当期申报进度款以及签约合同价的80%；</w:t>
      </w:r>
    </w:p>
    <w:p w14:paraId="043EF995">
      <w:pPr>
        <w:snapToGrid w:val="0"/>
        <w:spacing w:line="360" w:lineRule="auto"/>
        <w:ind w:firstLine="420" w:firstLineChars="200"/>
        <w:rPr>
          <w:color w:val="auto"/>
          <w:sz w:val="21"/>
          <w:szCs w:val="21"/>
          <w:highlight w:val="none"/>
        </w:rPr>
      </w:pPr>
      <w:r>
        <w:rPr>
          <w:color w:val="auto"/>
          <w:sz w:val="21"/>
          <w:szCs w:val="21"/>
          <w:highlight w:val="none"/>
        </w:rPr>
        <w:t>（6）工程单位工程验收合格可以支付至累计申报进度款以及签约合同价（取累计申报进度款和签约合同价两者的小值）的90%。</w:t>
      </w:r>
    </w:p>
    <w:p w14:paraId="7EF97A21">
      <w:pPr>
        <w:snapToGrid w:val="0"/>
        <w:spacing w:line="360" w:lineRule="auto"/>
        <w:ind w:firstLine="420" w:firstLineChars="200"/>
        <w:outlineLvl w:val="2"/>
        <w:rPr>
          <w:color w:val="auto"/>
          <w:sz w:val="21"/>
          <w:szCs w:val="21"/>
          <w:highlight w:val="none"/>
        </w:rPr>
      </w:pPr>
      <w:bookmarkStart w:id="1245" w:name="_Toc28051"/>
      <w:bookmarkStart w:id="1246" w:name="_Toc4756"/>
      <w:r>
        <w:rPr>
          <w:color w:val="auto"/>
          <w:sz w:val="21"/>
          <w:szCs w:val="21"/>
          <w:highlight w:val="none"/>
        </w:rPr>
        <w:t>（7） 工程完工验收合格且工程完工结算经博罗县财政局审核完毕并出具工程结算审定结论后两个月内支付至结算价的95%；</w:t>
      </w:r>
      <w:bookmarkEnd w:id="1245"/>
      <w:bookmarkEnd w:id="1246"/>
    </w:p>
    <w:p w14:paraId="638F58DB">
      <w:pPr>
        <w:snapToGrid w:val="0"/>
        <w:spacing w:line="360" w:lineRule="auto"/>
        <w:ind w:firstLine="420"/>
        <w:outlineLvl w:val="2"/>
        <w:rPr>
          <w:color w:val="auto"/>
          <w:sz w:val="21"/>
          <w:szCs w:val="21"/>
          <w:highlight w:val="none"/>
        </w:rPr>
      </w:pPr>
      <w:bookmarkStart w:id="1247" w:name="_Toc5232"/>
      <w:bookmarkStart w:id="1248" w:name="_Toc5632"/>
      <w:r>
        <w:rPr>
          <w:color w:val="auto"/>
          <w:sz w:val="21"/>
          <w:szCs w:val="21"/>
          <w:highlight w:val="none"/>
        </w:rPr>
        <w:t xml:space="preserve">（8） </w:t>
      </w:r>
      <w:bookmarkEnd w:id="1247"/>
      <w:bookmarkEnd w:id="1248"/>
      <w:r>
        <w:rPr>
          <w:rFonts w:hint="eastAsia" w:ascii="Times New Roman" w:hAnsi="宋体"/>
          <w:color w:val="auto"/>
          <w:sz w:val="21"/>
          <w:szCs w:val="21"/>
          <w:highlight w:val="none"/>
        </w:rPr>
        <w:t>工程竣工验收合格后两个月内支付至结算价（</w:t>
      </w:r>
      <w:r>
        <w:rPr>
          <w:rFonts w:hint="eastAsia" w:ascii="Times New Roman" w:hAnsi="宋体"/>
          <w:color w:val="auto"/>
          <w:sz w:val="21"/>
          <w:szCs w:val="21"/>
          <w:highlight w:val="none"/>
          <w:lang w:val="en-US" w:eastAsia="zh-CN"/>
        </w:rPr>
        <w:t>承包方应无条件配合审计部门对工程的审计工作，如需重新核定工程结算价，应以博罗县财政局重新核定的结算价为准并无条件配合多退少补，否则按违约处理</w:t>
      </w:r>
      <w:r>
        <w:rPr>
          <w:rFonts w:hint="eastAsia" w:ascii="Times New Roman" w:hAnsi="宋体"/>
          <w:color w:val="auto"/>
          <w:sz w:val="21"/>
          <w:szCs w:val="21"/>
          <w:highlight w:val="none"/>
        </w:rPr>
        <w:t>）的100%。</w:t>
      </w:r>
    </w:p>
    <w:p w14:paraId="00472B43">
      <w:pPr>
        <w:snapToGrid w:val="0"/>
        <w:spacing w:line="360" w:lineRule="auto"/>
        <w:outlineLvl w:val="2"/>
        <w:rPr>
          <w:b/>
          <w:bCs/>
          <w:color w:val="auto"/>
          <w:sz w:val="21"/>
          <w:szCs w:val="21"/>
          <w:highlight w:val="none"/>
        </w:rPr>
      </w:pPr>
      <w:bookmarkStart w:id="1249" w:name="_Toc9437"/>
      <w:bookmarkStart w:id="1250" w:name="_Toc29777"/>
      <w:r>
        <w:rPr>
          <w:b/>
          <w:bCs/>
          <w:color w:val="auto"/>
          <w:sz w:val="21"/>
          <w:szCs w:val="21"/>
          <w:highlight w:val="none"/>
        </w:rPr>
        <w:t>17.4 质量保证金</w:t>
      </w:r>
      <w:bookmarkEnd w:id="1249"/>
      <w:bookmarkEnd w:id="1250"/>
    </w:p>
    <w:p w14:paraId="45534BCF">
      <w:pPr>
        <w:snapToGrid w:val="0"/>
        <w:spacing w:line="360" w:lineRule="auto"/>
        <w:ind w:firstLine="420" w:firstLineChars="200"/>
        <w:rPr>
          <w:color w:val="auto"/>
          <w:sz w:val="21"/>
          <w:szCs w:val="21"/>
          <w:highlight w:val="none"/>
        </w:rPr>
      </w:pPr>
      <w:r>
        <w:rPr>
          <w:color w:val="auto"/>
          <w:sz w:val="21"/>
          <w:szCs w:val="21"/>
          <w:highlight w:val="none"/>
        </w:rPr>
        <w:t>17.4.1质量保证金不从工程进度款中扣除，保修期3%的质量保证金以银行或第三方有资质的机构担保。如履约保函在质量保修期内有效，则不需出具质量保修期的保函，否则需要重新出具工程质量保修期的工程质量保证金保函，工程质量保证金的保函在保修期满后两个月内退回给承包人。</w:t>
      </w:r>
    </w:p>
    <w:p w14:paraId="27900CF5">
      <w:pPr>
        <w:snapToGrid w:val="0"/>
        <w:spacing w:line="360" w:lineRule="auto"/>
        <w:outlineLvl w:val="2"/>
        <w:rPr>
          <w:b/>
          <w:bCs/>
          <w:color w:val="auto"/>
          <w:sz w:val="21"/>
          <w:szCs w:val="21"/>
          <w:highlight w:val="none"/>
        </w:rPr>
      </w:pPr>
      <w:bookmarkStart w:id="1251" w:name="_Toc4821"/>
      <w:bookmarkStart w:id="1252" w:name="_Toc22838"/>
      <w:r>
        <w:rPr>
          <w:b/>
          <w:bCs/>
          <w:color w:val="auto"/>
          <w:sz w:val="21"/>
          <w:szCs w:val="21"/>
          <w:highlight w:val="none"/>
        </w:rPr>
        <w:t>17.5 竣工（完工）结算</w:t>
      </w:r>
      <w:bookmarkEnd w:id="1244"/>
      <w:bookmarkEnd w:id="1251"/>
      <w:bookmarkEnd w:id="1252"/>
    </w:p>
    <w:p w14:paraId="5C4DE32D">
      <w:pPr>
        <w:snapToGrid w:val="0"/>
        <w:spacing w:line="360" w:lineRule="auto"/>
        <w:ind w:firstLine="420"/>
        <w:rPr>
          <w:color w:val="auto"/>
          <w:sz w:val="21"/>
          <w:szCs w:val="21"/>
          <w:highlight w:val="none"/>
        </w:rPr>
      </w:pPr>
      <w:r>
        <w:rPr>
          <w:color w:val="auto"/>
          <w:sz w:val="21"/>
          <w:szCs w:val="21"/>
          <w:highlight w:val="none"/>
        </w:rPr>
        <w:t>17.5.1 竣工（完工）付款申请单</w:t>
      </w:r>
    </w:p>
    <w:p w14:paraId="33111CD3">
      <w:pPr>
        <w:snapToGrid w:val="0"/>
        <w:spacing w:line="360" w:lineRule="auto"/>
        <w:ind w:firstLine="420"/>
        <w:rPr>
          <w:color w:val="auto"/>
          <w:sz w:val="21"/>
          <w:szCs w:val="21"/>
          <w:highlight w:val="none"/>
        </w:rPr>
      </w:pPr>
      <w:r>
        <w:rPr>
          <w:color w:val="auto"/>
          <w:sz w:val="21"/>
          <w:szCs w:val="21"/>
          <w:highlight w:val="none"/>
        </w:rPr>
        <w:t>（1）承包人应提交完工付款申请单一式</w:t>
      </w:r>
      <w:r>
        <w:rPr>
          <w:color w:val="auto"/>
          <w:sz w:val="21"/>
          <w:szCs w:val="21"/>
          <w:highlight w:val="none"/>
          <w:u w:val="single"/>
        </w:rPr>
        <w:t xml:space="preserve"> 6 </w:t>
      </w:r>
      <w:r>
        <w:rPr>
          <w:color w:val="auto"/>
          <w:sz w:val="21"/>
          <w:szCs w:val="21"/>
          <w:highlight w:val="none"/>
        </w:rPr>
        <w:t>份。</w:t>
      </w:r>
    </w:p>
    <w:p w14:paraId="703ECCA3">
      <w:pPr>
        <w:snapToGrid w:val="0"/>
        <w:spacing w:line="360" w:lineRule="auto"/>
        <w:rPr>
          <w:rFonts w:hint="eastAsia" w:ascii="Times New Roman" w:eastAsia="宋体"/>
          <w:color w:val="auto"/>
          <w:sz w:val="21"/>
          <w:szCs w:val="21"/>
          <w:highlight w:val="none"/>
          <w:lang w:eastAsia="zh-CN"/>
        </w:rPr>
      </w:pPr>
      <w:r>
        <w:rPr>
          <w:rFonts w:hint="eastAsia" w:ascii="Times New Roman" w:hAnsi="宋体"/>
          <w:b/>
          <w:bCs/>
          <w:color w:val="auto"/>
          <w:sz w:val="21"/>
          <w:szCs w:val="21"/>
          <w:highlight w:val="none"/>
          <w:lang w:val="en-US" w:eastAsia="zh-CN"/>
        </w:rPr>
        <w:t>增加：</w:t>
      </w:r>
      <w:r>
        <w:rPr>
          <w:rFonts w:ascii="Times New Roman"/>
          <w:b/>
          <w:bCs/>
          <w:color w:val="auto"/>
          <w:sz w:val="21"/>
          <w:szCs w:val="21"/>
          <w:highlight w:val="none"/>
        </w:rPr>
        <w:t>17.5.</w:t>
      </w:r>
      <w:r>
        <w:rPr>
          <w:rFonts w:hint="eastAsia" w:ascii="Times New Roman"/>
          <w:b/>
          <w:bCs/>
          <w:color w:val="auto"/>
          <w:sz w:val="21"/>
          <w:szCs w:val="21"/>
          <w:highlight w:val="none"/>
          <w:lang w:val="en-US" w:eastAsia="zh-CN"/>
        </w:rPr>
        <w:t>3</w:t>
      </w:r>
      <w:r>
        <w:rPr>
          <w:rFonts w:ascii="Times New Roman"/>
          <w:b/>
          <w:bCs/>
          <w:color w:val="auto"/>
          <w:sz w:val="21"/>
          <w:szCs w:val="21"/>
          <w:highlight w:val="none"/>
        </w:rPr>
        <w:t xml:space="preserve"> </w:t>
      </w:r>
      <w:r>
        <w:rPr>
          <w:rFonts w:ascii="Times New Roman" w:hAnsi="宋体"/>
          <w:color w:val="auto"/>
          <w:sz w:val="21"/>
          <w:szCs w:val="21"/>
          <w:highlight w:val="none"/>
        </w:rPr>
        <w:t>完工</w:t>
      </w:r>
      <w:r>
        <w:rPr>
          <w:rFonts w:hint="eastAsia" w:ascii="Times New Roman" w:hAnsi="宋体"/>
          <w:color w:val="auto"/>
          <w:sz w:val="21"/>
          <w:szCs w:val="21"/>
          <w:highlight w:val="none"/>
          <w:lang w:val="en-US" w:eastAsia="zh-CN"/>
        </w:rPr>
        <w:t>结算</w:t>
      </w:r>
    </w:p>
    <w:p w14:paraId="4162BD17">
      <w:pPr>
        <w:numPr>
          <w:ilvl w:val="0"/>
          <w:numId w:val="3"/>
        </w:numPr>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承包人应按双方约定的</w:t>
      </w:r>
      <w:r>
        <w:rPr>
          <w:rFonts w:hint="eastAsia" w:ascii="Times New Roman"/>
          <w:color w:val="auto"/>
          <w:sz w:val="21"/>
          <w:szCs w:val="21"/>
          <w:highlight w:val="none"/>
          <w:lang w:val="en-US" w:eastAsia="zh-CN"/>
        </w:rPr>
        <w:t>时间提供</w:t>
      </w:r>
      <w:r>
        <w:rPr>
          <w:rFonts w:hint="eastAsia" w:ascii="Times New Roman" w:hAnsi="宋体"/>
          <w:color w:val="auto"/>
          <w:sz w:val="21"/>
          <w:szCs w:val="21"/>
          <w:highlight w:val="none"/>
          <w:lang w:val="en-US" w:eastAsia="zh-CN"/>
        </w:rPr>
        <w:t>工程</w:t>
      </w:r>
      <w:r>
        <w:rPr>
          <w:rFonts w:hint="eastAsia" w:ascii="Times New Roman" w:hAnsi="宋体" w:eastAsia="宋体" w:cs="Times New Roman"/>
          <w:color w:val="auto"/>
          <w:sz w:val="21"/>
          <w:szCs w:val="21"/>
          <w:highlight w:val="none"/>
          <w:lang w:val="en-US" w:eastAsia="zh-CN"/>
        </w:rPr>
        <w:t>结算资料送审，并按要求配合工程结算审核工作</w:t>
      </w:r>
      <w:r>
        <w:rPr>
          <w:rFonts w:ascii="Times New Roman"/>
          <w:color w:val="auto"/>
          <w:sz w:val="21"/>
          <w:szCs w:val="21"/>
          <w:highlight w:val="none"/>
        </w:rPr>
        <w:t>。</w:t>
      </w:r>
    </w:p>
    <w:p w14:paraId="7F6B918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color w:val="auto"/>
          <w:highlight w:val="none"/>
        </w:rPr>
      </w:pPr>
      <w:r>
        <w:rPr>
          <w:rFonts w:hint="eastAsia"/>
          <w:color w:val="auto"/>
          <w:sz w:val="21"/>
          <w:szCs w:val="21"/>
          <w:highlight w:val="none"/>
          <w:lang w:val="en-US" w:eastAsia="zh-CN"/>
        </w:rPr>
        <w:t xml:space="preserve">    （2）</w:t>
      </w:r>
      <w:r>
        <w:rPr>
          <w:rFonts w:hint="eastAsia" w:ascii="Times New Roman" w:hAnsi="宋体" w:eastAsia="宋体" w:cs="Times New Roman"/>
          <w:color w:val="auto"/>
          <w:kern w:val="2"/>
          <w:sz w:val="21"/>
          <w:szCs w:val="21"/>
          <w:highlight w:val="none"/>
          <w:lang w:val="en-US" w:eastAsia="zh-CN" w:bidi="ar-SA"/>
        </w:rPr>
        <w:t>承包人如未在约定时间内提供完整的（工程竣工）结算资料，经发包人催促后14天内仍未提供或没有明确答复，发包人有权根据已有资料进行审查，责任由承包人自负。如发生进度款支付超出实际已完成工程价款（合同价款）的情况，承包人应当按规定在结算后30日内向发包人返还多收到的工程进度款；如承包人不配</w:t>
      </w:r>
      <w:r>
        <w:rPr>
          <w:rFonts w:hint="eastAsia" w:ascii="Times New Roman" w:hAnsi="宋体" w:cs="Times New Roman"/>
          <w:color w:val="auto"/>
          <w:kern w:val="2"/>
          <w:sz w:val="21"/>
          <w:szCs w:val="21"/>
          <w:highlight w:val="none"/>
          <w:lang w:val="en-US" w:eastAsia="zh-CN" w:bidi="ar-SA"/>
        </w:rPr>
        <w:t>合</w:t>
      </w:r>
      <w:r>
        <w:rPr>
          <w:rFonts w:hint="eastAsia" w:ascii="Times New Roman" w:hAnsi="宋体" w:eastAsia="宋体" w:cs="Times New Roman"/>
          <w:color w:val="auto"/>
          <w:kern w:val="2"/>
          <w:sz w:val="21"/>
          <w:szCs w:val="21"/>
          <w:highlight w:val="none"/>
          <w:lang w:val="en-US" w:eastAsia="zh-CN" w:bidi="ar-SA"/>
        </w:rPr>
        <w:t>结算的，承包人应在发包人根据已有资料进行审查并通知承包人之日起30日内向发包人返还多收的工程进度款，如承包人接发包人通知后逾期不予返还多收款项的，承包人应自逾期之日起按同期银行贷款市场报价利率的1.5倍向发包人支付逾期利息。</w:t>
      </w:r>
    </w:p>
    <w:p w14:paraId="328B9E93">
      <w:pPr>
        <w:snapToGrid w:val="0"/>
        <w:spacing w:line="360" w:lineRule="auto"/>
        <w:outlineLvl w:val="2"/>
        <w:rPr>
          <w:b/>
          <w:bCs/>
          <w:color w:val="auto"/>
          <w:sz w:val="21"/>
          <w:szCs w:val="21"/>
          <w:highlight w:val="none"/>
        </w:rPr>
      </w:pPr>
      <w:bookmarkStart w:id="1253" w:name="_Toc22299"/>
      <w:bookmarkStart w:id="1254" w:name="_Toc189386216"/>
      <w:bookmarkStart w:id="1255" w:name="_Toc1909"/>
      <w:r>
        <w:rPr>
          <w:b/>
          <w:bCs/>
          <w:color w:val="auto"/>
          <w:sz w:val="21"/>
          <w:szCs w:val="21"/>
          <w:highlight w:val="none"/>
        </w:rPr>
        <w:t>17.6 最终结清</w:t>
      </w:r>
      <w:bookmarkEnd w:id="1253"/>
      <w:bookmarkEnd w:id="1254"/>
      <w:bookmarkEnd w:id="1255"/>
    </w:p>
    <w:p w14:paraId="314F31AA">
      <w:pPr>
        <w:snapToGrid w:val="0"/>
        <w:spacing w:line="360" w:lineRule="auto"/>
        <w:ind w:firstLine="420"/>
        <w:rPr>
          <w:color w:val="auto"/>
          <w:sz w:val="21"/>
          <w:szCs w:val="21"/>
          <w:highlight w:val="none"/>
        </w:rPr>
      </w:pPr>
      <w:r>
        <w:rPr>
          <w:color w:val="auto"/>
          <w:sz w:val="21"/>
          <w:szCs w:val="21"/>
          <w:highlight w:val="none"/>
        </w:rPr>
        <w:t>17.6.1 最终结清申请单</w:t>
      </w:r>
    </w:p>
    <w:p w14:paraId="46310C71">
      <w:pPr>
        <w:snapToGrid w:val="0"/>
        <w:spacing w:line="360" w:lineRule="auto"/>
        <w:ind w:firstLine="420"/>
        <w:rPr>
          <w:color w:val="auto"/>
          <w:sz w:val="21"/>
          <w:szCs w:val="21"/>
          <w:highlight w:val="none"/>
        </w:rPr>
      </w:pPr>
      <w:r>
        <w:rPr>
          <w:color w:val="auto"/>
          <w:sz w:val="21"/>
          <w:szCs w:val="21"/>
          <w:highlight w:val="none"/>
        </w:rPr>
        <w:t>（1）承包人应提交最终结清申请单一式</w:t>
      </w:r>
      <w:r>
        <w:rPr>
          <w:color w:val="auto"/>
          <w:sz w:val="21"/>
          <w:szCs w:val="21"/>
          <w:highlight w:val="none"/>
          <w:u w:val="single"/>
        </w:rPr>
        <w:t xml:space="preserve"> 6 </w:t>
      </w:r>
      <w:r>
        <w:rPr>
          <w:color w:val="auto"/>
          <w:sz w:val="21"/>
          <w:szCs w:val="21"/>
          <w:highlight w:val="none"/>
        </w:rPr>
        <w:t>份。</w:t>
      </w:r>
    </w:p>
    <w:p w14:paraId="62B7220A">
      <w:pPr>
        <w:snapToGrid w:val="0"/>
        <w:spacing w:line="360" w:lineRule="auto"/>
        <w:outlineLvl w:val="2"/>
        <w:rPr>
          <w:b/>
          <w:bCs/>
          <w:color w:val="auto"/>
          <w:sz w:val="21"/>
          <w:szCs w:val="21"/>
          <w:highlight w:val="none"/>
        </w:rPr>
      </w:pPr>
      <w:bookmarkStart w:id="1256" w:name="_Toc7101"/>
      <w:bookmarkStart w:id="1257" w:name="_Toc880"/>
      <w:r>
        <w:rPr>
          <w:b/>
          <w:bCs/>
          <w:color w:val="auto"/>
          <w:sz w:val="21"/>
          <w:szCs w:val="21"/>
          <w:highlight w:val="none"/>
        </w:rPr>
        <w:t>17.7 竣工财务决算</w:t>
      </w:r>
      <w:bookmarkEnd w:id="1256"/>
      <w:bookmarkEnd w:id="1257"/>
    </w:p>
    <w:p w14:paraId="26A1D56B">
      <w:pPr>
        <w:snapToGrid w:val="0"/>
        <w:spacing w:line="360" w:lineRule="auto"/>
        <w:ind w:firstLine="420"/>
        <w:rPr>
          <w:color w:val="auto"/>
          <w:sz w:val="21"/>
          <w:szCs w:val="21"/>
          <w:highlight w:val="none"/>
        </w:rPr>
      </w:pPr>
      <w:r>
        <w:rPr>
          <w:color w:val="auto"/>
          <w:sz w:val="21"/>
          <w:szCs w:val="21"/>
          <w:highlight w:val="none"/>
        </w:rPr>
        <w:t>承包人应为竣工财务决算编制提供的资料：</w:t>
      </w:r>
      <w:r>
        <w:rPr>
          <w:color w:val="auto"/>
          <w:sz w:val="21"/>
          <w:szCs w:val="21"/>
          <w:highlight w:val="none"/>
          <w:u w:val="single"/>
        </w:rPr>
        <w:t xml:space="preserve"> 按发包人要求  </w:t>
      </w:r>
      <w:r>
        <w:rPr>
          <w:color w:val="auto"/>
          <w:sz w:val="21"/>
          <w:szCs w:val="21"/>
          <w:highlight w:val="none"/>
        </w:rPr>
        <w:t>。</w:t>
      </w:r>
    </w:p>
    <w:p w14:paraId="2985200C">
      <w:pPr>
        <w:snapToGrid w:val="0"/>
        <w:spacing w:line="360" w:lineRule="auto"/>
        <w:rPr>
          <w:b/>
          <w:bCs/>
          <w:color w:val="auto"/>
          <w:sz w:val="21"/>
          <w:szCs w:val="21"/>
          <w:highlight w:val="none"/>
        </w:rPr>
      </w:pPr>
      <w:r>
        <w:rPr>
          <w:b/>
          <w:bCs/>
          <w:color w:val="auto"/>
          <w:sz w:val="21"/>
          <w:szCs w:val="21"/>
          <w:highlight w:val="none"/>
        </w:rPr>
        <w:t>18  竣工验收（验收）</w:t>
      </w:r>
    </w:p>
    <w:p w14:paraId="732B2C58">
      <w:pPr>
        <w:snapToGrid w:val="0"/>
        <w:spacing w:line="360" w:lineRule="auto"/>
        <w:rPr>
          <w:b/>
          <w:bCs/>
          <w:color w:val="auto"/>
          <w:sz w:val="21"/>
          <w:szCs w:val="21"/>
          <w:highlight w:val="none"/>
        </w:rPr>
      </w:pPr>
      <w:r>
        <w:rPr>
          <w:b/>
          <w:bCs/>
          <w:color w:val="auto"/>
          <w:sz w:val="21"/>
          <w:szCs w:val="21"/>
          <w:highlight w:val="none"/>
        </w:rPr>
        <w:t>18.1 验收工作分类</w:t>
      </w:r>
    </w:p>
    <w:p w14:paraId="5A5130D1">
      <w:pPr>
        <w:snapToGrid w:val="0"/>
        <w:spacing w:line="360" w:lineRule="auto"/>
        <w:ind w:firstLine="430"/>
        <w:rPr>
          <w:color w:val="auto"/>
          <w:sz w:val="21"/>
          <w:szCs w:val="21"/>
          <w:highlight w:val="none"/>
        </w:rPr>
      </w:pPr>
      <w:r>
        <w:rPr>
          <w:color w:val="auto"/>
          <w:sz w:val="21"/>
          <w:szCs w:val="21"/>
          <w:highlight w:val="none"/>
        </w:rPr>
        <w:t>本工程法人验收包括：</w:t>
      </w:r>
      <w:r>
        <w:rPr>
          <w:color w:val="auto"/>
          <w:sz w:val="21"/>
          <w:szCs w:val="21"/>
          <w:highlight w:val="none"/>
          <w:u w:val="single"/>
        </w:rPr>
        <w:t>分部、单位工程</w:t>
      </w:r>
      <w:r>
        <w:rPr>
          <w:color w:val="auto"/>
          <w:sz w:val="21"/>
          <w:szCs w:val="21"/>
          <w:highlight w:val="none"/>
        </w:rPr>
        <w:t>；政府验收包括：</w:t>
      </w:r>
      <w:r>
        <w:rPr>
          <w:color w:val="auto"/>
          <w:sz w:val="21"/>
          <w:szCs w:val="21"/>
          <w:highlight w:val="none"/>
          <w:u w:val="single"/>
        </w:rPr>
        <w:t xml:space="preserve">阶段、专项、竣工验收 </w:t>
      </w:r>
      <w:r>
        <w:rPr>
          <w:color w:val="auto"/>
          <w:sz w:val="21"/>
          <w:szCs w:val="21"/>
          <w:highlight w:val="none"/>
        </w:rPr>
        <w:t>。验收条件为：</w:t>
      </w:r>
      <w:r>
        <w:rPr>
          <w:color w:val="auto"/>
          <w:sz w:val="21"/>
          <w:szCs w:val="21"/>
          <w:highlight w:val="none"/>
          <w:u w:val="single"/>
        </w:rPr>
        <w:t xml:space="preserve">符合有关规范规定 </w:t>
      </w:r>
      <w:r>
        <w:rPr>
          <w:color w:val="auto"/>
          <w:sz w:val="21"/>
          <w:szCs w:val="21"/>
          <w:highlight w:val="none"/>
        </w:rPr>
        <w:t>，验收程序为：</w:t>
      </w:r>
      <w:r>
        <w:rPr>
          <w:color w:val="auto"/>
          <w:sz w:val="21"/>
          <w:szCs w:val="21"/>
          <w:highlight w:val="none"/>
          <w:u w:val="single"/>
        </w:rPr>
        <w:t>符合有关规范规定</w:t>
      </w:r>
      <w:r>
        <w:rPr>
          <w:color w:val="auto"/>
          <w:sz w:val="21"/>
          <w:szCs w:val="21"/>
          <w:highlight w:val="none"/>
        </w:rPr>
        <w:t>。</w:t>
      </w:r>
    </w:p>
    <w:p w14:paraId="77CA9DB6">
      <w:pPr>
        <w:snapToGrid w:val="0"/>
        <w:spacing w:line="360" w:lineRule="auto"/>
        <w:ind w:firstLine="430"/>
        <w:rPr>
          <w:color w:val="auto"/>
          <w:sz w:val="21"/>
          <w:szCs w:val="21"/>
          <w:highlight w:val="none"/>
        </w:rPr>
      </w:pPr>
      <w:r>
        <w:rPr>
          <w:color w:val="auto"/>
          <w:sz w:val="21"/>
          <w:szCs w:val="21"/>
          <w:highlight w:val="none"/>
        </w:rPr>
        <w:t>增加18.3.7</w:t>
      </w:r>
    </w:p>
    <w:p w14:paraId="33113C83">
      <w:pPr>
        <w:snapToGrid w:val="0"/>
        <w:spacing w:line="360" w:lineRule="auto"/>
        <w:ind w:firstLine="430"/>
        <w:rPr>
          <w:color w:val="auto"/>
          <w:sz w:val="21"/>
          <w:szCs w:val="21"/>
          <w:highlight w:val="none"/>
        </w:rPr>
      </w:pPr>
      <w:r>
        <w:rPr>
          <w:color w:val="auto"/>
          <w:sz w:val="21"/>
          <w:szCs w:val="21"/>
          <w:highlight w:val="none"/>
        </w:rPr>
        <w:t>工程按要求完成施工后，由中标人提交相关完工验收资料，经监理同意后，由建设单位组织相关部门组成的验收小组进行工程完工验收。</w:t>
      </w:r>
    </w:p>
    <w:p w14:paraId="374B4EEC">
      <w:pPr>
        <w:snapToGrid w:val="0"/>
        <w:rPr>
          <w:b/>
          <w:color w:val="auto"/>
          <w:sz w:val="21"/>
          <w:szCs w:val="21"/>
          <w:highlight w:val="none"/>
        </w:rPr>
      </w:pPr>
      <w:r>
        <w:rPr>
          <w:b/>
          <w:color w:val="auto"/>
          <w:sz w:val="21"/>
          <w:szCs w:val="21"/>
          <w:highlight w:val="none"/>
        </w:rPr>
        <w:t>18.4 合同工程完工验收</w:t>
      </w:r>
    </w:p>
    <w:p w14:paraId="5F1F8BB3">
      <w:pPr>
        <w:snapToGrid w:val="0"/>
        <w:spacing w:line="360" w:lineRule="auto"/>
        <w:ind w:firstLine="420"/>
        <w:rPr>
          <w:color w:val="auto"/>
          <w:sz w:val="21"/>
          <w:szCs w:val="21"/>
          <w:highlight w:val="none"/>
        </w:rPr>
      </w:pPr>
      <w:r>
        <w:rPr>
          <w:color w:val="auto"/>
          <w:sz w:val="21"/>
          <w:szCs w:val="21"/>
          <w:highlight w:val="none"/>
        </w:rPr>
        <w:t>增加18.4.5：</w:t>
      </w:r>
    </w:p>
    <w:p w14:paraId="0BECE507">
      <w:pPr>
        <w:snapToGrid w:val="0"/>
        <w:spacing w:line="360" w:lineRule="auto"/>
        <w:ind w:firstLine="420"/>
        <w:rPr>
          <w:color w:val="auto"/>
          <w:sz w:val="21"/>
          <w:szCs w:val="21"/>
          <w:highlight w:val="none"/>
        </w:rPr>
      </w:pPr>
      <w:r>
        <w:rPr>
          <w:color w:val="auto"/>
          <w:sz w:val="21"/>
          <w:szCs w:val="21"/>
          <w:highlight w:val="none"/>
        </w:rPr>
        <w:t>18.4.5承包人应</w:t>
      </w:r>
      <w:r>
        <w:rPr>
          <w:rFonts w:ascii="Times New Roman"/>
          <w:color w:val="auto"/>
          <w:sz w:val="21"/>
          <w:szCs w:val="21"/>
          <w:highlight w:val="none"/>
        </w:rPr>
        <w:t>按双方约定</w:t>
      </w:r>
      <w:r>
        <w:rPr>
          <w:color w:val="auto"/>
          <w:sz w:val="21"/>
          <w:szCs w:val="21"/>
          <w:highlight w:val="none"/>
        </w:rPr>
        <w:t>的时间及时移交的工程档案资料包括纸质档案资料和电子档案资料。如果超出30天后未提供资料，承包人支付逾期违约金100000元。</w:t>
      </w:r>
    </w:p>
    <w:p w14:paraId="1A1B0268">
      <w:pPr>
        <w:snapToGrid w:val="0"/>
        <w:spacing w:line="360" w:lineRule="auto"/>
        <w:rPr>
          <w:b/>
          <w:bCs/>
          <w:color w:val="auto"/>
          <w:sz w:val="21"/>
          <w:szCs w:val="21"/>
          <w:highlight w:val="none"/>
        </w:rPr>
      </w:pPr>
      <w:r>
        <w:rPr>
          <w:b/>
          <w:bCs/>
          <w:color w:val="auto"/>
          <w:sz w:val="21"/>
          <w:szCs w:val="21"/>
          <w:highlight w:val="none"/>
        </w:rPr>
        <w:t>18.7 竣工验收</w:t>
      </w:r>
    </w:p>
    <w:p w14:paraId="1938007D">
      <w:pPr>
        <w:snapToGrid w:val="0"/>
        <w:spacing w:line="360" w:lineRule="auto"/>
        <w:ind w:firstLine="420"/>
        <w:rPr>
          <w:color w:val="auto"/>
          <w:sz w:val="21"/>
          <w:szCs w:val="21"/>
          <w:highlight w:val="none"/>
        </w:rPr>
      </w:pPr>
      <w:r>
        <w:rPr>
          <w:color w:val="auto"/>
          <w:sz w:val="21"/>
          <w:szCs w:val="21"/>
          <w:highlight w:val="none"/>
        </w:rPr>
        <w:t>18.7.3本工程</w:t>
      </w:r>
      <w:r>
        <w:rPr>
          <w:color w:val="auto"/>
          <w:sz w:val="21"/>
          <w:szCs w:val="21"/>
          <w:highlight w:val="none"/>
          <w:u w:val="single"/>
        </w:rPr>
        <w:t xml:space="preserve"> 不需要 </w:t>
      </w:r>
      <w:r>
        <w:rPr>
          <w:color w:val="auto"/>
          <w:sz w:val="21"/>
          <w:szCs w:val="21"/>
          <w:highlight w:val="none"/>
        </w:rPr>
        <w:t>竣工验收技术鉴定（蓄水安全鉴定）。</w:t>
      </w:r>
    </w:p>
    <w:p w14:paraId="14777170">
      <w:pPr>
        <w:snapToGrid w:val="0"/>
        <w:spacing w:line="360" w:lineRule="auto"/>
        <w:rPr>
          <w:b/>
          <w:bCs/>
          <w:color w:val="auto"/>
          <w:sz w:val="21"/>
          <w:szCs w:val="21"/>
          <w:highlight w:val="none"/>
        </w:rPr>
      </w:pPr>
      <w:bookmarkStart w:id="1258" w:name="_Toc199294338"/>
      <w:bookmarkStart w:id="1259" w:name="_Toc200536613"/>
      <w:bookmarkStart w:id="1260" w:name="_Toc207791279"/>
      <w:bookmarkStart w:id="1261" w:name="_Toc200167778"/>
      <w:bookmarkStart w:id="1262" w:name="_Toc199155948"/>
      <w:bookmarkStart w:id="1263" w:name="_Toc199215142"/>
      <w:bookmarkStart w:id="1264" w:name="_Toc217971064"/>
      <w:bookmarkStart w:id="1265" w:name="_Toc199320018"/>
      <w:bookmarkStart w:id="1266" w:name="_Toc200968292"/>
      <w:r>
        <w:rPr>
          <w:b/>
          <w:bCs/>
          <w:color w:val="auto"/>
          <w:sz w:val="21"/>
          <w:szCs w:val="21"/>
          <w:highlight w:val="none"/>
        </w:rPr>
        <w:t>19. 缺陷责任与保修责任</w:t>
      </w:r>
      <w:bookmarkEnd w:id="1258"/>
      <w:bookmarkEnd w:id="1259"/>
      <w:bookmarkEnd w:id="1260"/>
      <w:bookmarkEnd w:id="1261"/>
      <w:bookmarkEnd w:id="1262"/>
      <w:bookmarkEnd w:id="1263"/>
      <w:bookmarkEnd w:id="1264"/>
      <w:bookmarkEnd w:id="1265"/>
      <w:bookmarkEnd w:id="1266"/>
    </w:p>
    <w:p w14:paraId="454787BD">
      <w:pPr>
        <w:snapToGrid w:val="0"/>
        <w:spacing w:line="360" w:lineRule="auto"/>
        <w:rPr>
          <w:b/>
          <w:bCs/>
          <w:color w:val="auto"/>
          <w:sz w:val="21"/>
          <w:szCs w:val="21"/>
          <w:highlight w:val="none"/>
        </w:rPr>
      </w:pPr>
      <w:r>
        <w:rPr>
          <w:b/>
          <w:bCs/>
          <w:color w:val="auto"/>
          <w:sz w:val="21"/>
          <w:szCs w:val="21"/>
          <w:highlight w:val="none"/>
        </w:rPr>
        <w:t>19.1 缺陷责任期（工程质量保修期）的起算时间</w:t>
      </w:r>
    </w:p>
    <w:p w14:paraId="642F4463">
      <w:pPr>
        <w:snapToGrid w:val="0"/>
        <w:spacing w:line="360" w:lineRule="auto"/>
        <w:ind w:firstLine="420"/>
        <w:rPr>
          <w:color w:val="auto"/>
          <w:sz w:val="21"/>
          <w:szCs w:val="21"/>
          <w:highlight w:val="none"/>
        </w:rPr>
      </w:pPr>
      <w:r>
        <w:rPr>
          <w:color w:val="auto"/>
          <w:sz w:val="21"/>
          <w:szCs w:val="21"/>
          <w:highlight w:val="none"/>
        </w:rPr>
        <w:t>缺陷责任期（工程质量保修期）为：</w:t>
      </w:r>
      <w:r>
        <w:rPr>
          <w:color w:val="auto"/>
          <w:sz w:val="21"/>
          <w:szCs w:val="21"/>
          <w:highlight w:val="none"/>
          <w:u w:val="words"/>
        </w:rPr>
        <w:t>保修期从工程通过合同工程完工验收后开始算起，</w:t>
      </w:r>
      <w:r>
        <w:rPr>
          <w:color w:val="auto"/>
          <w:sz w:val="21"/>
          <w:szCs w:val="21"/>
          <w:highlight w:val="none"/>
          <w:u w:val="single"/>
        </w:rPr>
        <w:t xml:space="preserve">时间为12个月  </w:t>
      </w:r>
    </w:p>
    <w:p w14:paraId="045F64EF">
      <w:pPr>
        <w:snapToGrid w:val="0"/>
        <w:spacing w:line="360" w:lineRule="auto"/>
        <w:rPr>
          <w:b/>
          <w:bCs/>
          <w:color w:val="auto"/>
          <w:sz w:val="21"/>
          <w:szCs w:val="21"/>
          <w:highlight w:val="none"/>
        </w:rPr>
      </w:pPr>
      <w:r>
        <w:rPr>
          <w:b/>
          <w:bCs/>
          <w:color w:val="auto"/>
          <w:sz w:val="21"/>
          <w:szCs w:val="21"/>
          <w:highlight w:val="none"/>
        </w:rPr>
        <w:t>19.7 保修期责任</w:t>
      </w:r>
    </w:p>
    <w:p w14:paraId="5AAFC591">
      <w:pPr>
        <w:snapToGrid w:val="0"/>
        <w:spacing w:line="360" w:lineRule="auto"/>
        <w:ind w:firstLine="420"/>
        <w:rPr>
          <w:color w:val="auto"/>
          <w:sz w:val="21"/>
          <w:szCs w:val="21"/>
          <w:highlight w:val="none"/>
        </w:rPr>
      </w:pPr>
      <w:r>
        <w:rPr>
          <w:color w:val="auto"/>
          <w:sz w:val="21"/>
          <w:szCs w:val="21"/>
          <w:highlight w:val="none"/>
        </w:rPr>
        <w:t>保修期限：</w:t>
      </w:r>
      <w:r>
        <w:rPr>
          <w:color w:val="auto"/>
          <w:sz w:val="21"/>
          <w:szCs w:val="21"/>
          <w:highlight w:val="none"/>
          <w:u w:val="single"/>
        </w:rPr>
        <w:t xml:space="preserve"> 12个月  </w:t>
      </w:r>
      <w:r>
        <w:rPr>
          <w:color w:val="auto"/>
          <w:sz w:val="21"/>
          <w:szCs w:val="21"/>
          <w:highlight w:val="none"/>
        </w:rPr>
        <w:t>。</w:t>
      </w:r>
    </w:p>
    <w:p w14:paraId="243B33FA">
      <w:pPr>
        <w:snapToGrid w:val="0"/>
        <w:spacing w:line="360" w:lineRule="auto"/>
        <w:ind w:firstLine="420"/>
        <w:rPr>
          <w:color w:val="auto"/>
          <w:sz w:val="21"/>
          <w:szCs w:val="21"/>
          <w:highlight w:val="none"/>
        </w:rPr>
      </w:pPr>
      <w:r>
        <w:rPr>
          <w:color w:val="auto"/>
          <w:sz w:val="21"/>
          <w:szCs w:val="21"/>
          <w:highlight w:val="none"/>
        </w:rPr>
        <w:t>保修范围：</w:t>
      </w:r>
      <w:r>
        <w:rPr>
          <w:color w:val="auto"/>
          <w:sz w:val="21"/>
          <w:szCs w:val="21"/>
          <w:highlight w:val="none"/>
          <w:u w:val="single"/>
        </w:rPr>
        <w:t xml:space="preserve"> 永久工程  </w:t>
      </w:r>
      <w:r>
        <w:rPr>
          <w:color w:val="auto"/>
          <w:sz w:val="21"/>
          <w:szCs w:val="21"/>
          <w:highlight w:val="none"/>
        </w:rPr>
        <w:t>。</w:t>
      </w:r>
    </w:p>
    <w:p w14:paraId="0E45D1AB">
      <w:pPr>
        <w:snapToGrid w:val="0"/>
        <w:spacing w:line="360" w:lineRule="auto"/>
        <w:ind w:firstLine="420"/>
        <w:rPr>
          <w:b/>
          <w:color w:val="auto"/>
          <w:sz w:val="21"/>
          <w:szCs w:val="21"/>
          <w:highlight w:val="none"/>
        </w:rPr>
      </w:pPr>
      <w:r>
        <w:rPr>
          <w:color w:val="auto"/>
          <w:sz w:val="21"/>
          <w:szCs w:val="21"/>
          <w:highlight w:val="none"/>
        </w:rPr>
        <w:t>保修责任：</w:t>
      </w:r>
      <w:r>
        <w:rPr>
          <w:color w:val="auto"/>
          <w:sz w:val="21"/>
          <w:szCs w:val="21"/>
          <w:highlight w:val="none"/>
          <w:u w:val="single"/>
        </w:rPr>
        <w:t xml:space="preserve">由承包人承担并负责相关的一切费用 </w:t>
      </w:r>
      <w:r>
        <w:rPr>
          <w:color w:val="auto"/>
          <w:sz w:val="21"/>
          <w:szCs w:val="21"/>
          <w:highlight w:val="none"/>
        </w:rPr>
        <w:t>。</w:t>
      </w:r>
    </w:p>
    <w:p w14:paraId="27894A6A">
      <w:pPr>
        <w:snapToGrid w:val="0"/>
        <w:spacing w:line="360" w:lineRule="auto"/>
        <w:rPr>
          <w:b/>
          <w:bCs/>
          <w:color w:val="auto"/>
          <w:sz w:val="21"/>
          <w:szCs w:val="21"/>
          <w:highlight w:val="none"/>
        </w:rPr>
      </w:pPr>
      <w:bookmarkStart w:id="1267" w:name="_Toc199155951"/>
      <w:r>
        <w:rPr>
          <w:b/>
          <w:bCs/>
          <w:color w:val="auto"/>
          <w:sz w:val="21"/>
          <w:szCs w:val="21"/>
          <w:highlight w:val="none"/>
        </w:rPr>
        <w:t>20.1 工程保险</w:t>
      </w:r>
      <w:bookmarkEnd w:id="1267"/>
    </w:p>
    <w:p w14:paraId="58F88E50">
      <w:pPr>
        <w:adjustRightInd w:val="0"/>
        <w:snapToGrid w:val="0"/>
        <w:spacing w:line="300" w:lineRule="auto"/>
        <w:ind w:firstLine="420" w:firstLineChars="200"/>
        <w:rPr>
          <w:color w:val="auto"/>
          <w:sz w:val="21"/>
          <w:szCs w:val="21"/>
          <w:highlight w:val="none"/>
        </w:rPr>
      </w:pPr>
      <w:r>
        <w:rPr>
          <w:color w:val="auto"/>
          <w:sz w:val="21"/>
          <w:szCs w:val="21"/>
          <w:highlight w:val="none"/>
        </w:rPr>
        <w:t>投保内容、保险金额、保险费率和保险期限等有关内容：</w:t>
      </w:r>
      <w:r>
        <w:rPr>
          <w:color w:val="auto"/>
          <w:sz w:val="21"/>
          <w:szCs w:val="21"/>
          <w:highlight w:val="none"/>
          <w:u w:val="single"/>
        </w:rPr>
        <w:t>由承包人按有关规定办理</w:t>
      </w:r>
      <w:r>
        <w:rPr>
          <w:color w:val="auto"/>
          <w:sz w:val="21"/>
          <w:szCs w:val="21"/>
          <w:highlight w:val="none"/>
        </w:rPr>
        <w:t>。</w:t>
      </w:r>
    </w:p>
    <w:p w14:paraId="527869AE">
      <w:pPr>
        <w:adjustRightInd w:val="0"/>
        <w:snapToGrid w:val="0"/>
        <w:spacing w:line="360" w:lineRule="auto"/>
        <w:rPr>
          <w:b/>
          <w:bCs/>
          <w:color w:val="auto"/>
          <w:sz w:val="21"/>
          <w:szCs w:val="21"/>
          <w:highlight w:val="none"/>
        </w:rPr>
      </w:pPr>
      <w:r>
        <w:rPr>
          <w:b/>
          <w:bCs/>
          <w:color w:val="auto"/>
          <w:sz w:val="21"/>
          <w:szCs w:val="21"/>
          <w:highlight w:val="none"/>
        </w:rPr>
        <w:t>20.4 第三者责任险</w:t>
      </w:r>
    </w:p>
    <w:p w14:paraId="707B1126">
      <w:pPr>
        <w:adjustRightInd w:val="0"/>
        <w:snapToGrid w:val="0"/>
        <w:spacing w:line="360" w:lineRule="auto"/>
        <w:ind w:firstLine="420"/>
        <w:rPr>
          <w:color w:val="auto"/>
          <w:sz w:val="21"/>
          <w:szCs w:val="21"/>
          <w:highlight w:val="none"/>
          <w:u w:val="single"/>
        </w:rPr>
      </w:pPr>
      <w:r>
        <w:rPr>
          <w:color w:val="auto"/>
          <w:sz w:val="21"/>
          <w:szCs w:val="21"/>
          <w:highlight w:val="none"/>
        </w:rPr>
        <w:t>保险金额、保险费率等有关内容：</w:t>
      </w:r>
      <w:r>
        <w:rPr>
          <w:color w:val="auto"/>
          <w:sz w:val="21"/>
          <w:szCs w:val="21"/>
          <w:highlight w:val="none"/>
          <w:u w:val="single"/>
        </w:rPr>
        <w:t>由承包人按有关规定办理。</w:t>
      </w:r>
    </w:p>
    <w:p w14:paraId="3C4DCFF2">
      <w:pPr>
        <w:adjustRightInd w:val="0"/>
        <w:snapToGrid w:val="0"/>
        <w:spacing w:line="360" w:lineRule="auto"/>
        <w:rPr>
          <w:b/>
          <w:bCs/>
          <w:color w:val="auto"/>
          <w:sz w:val="21"/>
          <w:szCs w:val="21"/>
          <w:highlight w:val="none"/>
        </w:rPr>
      </w:pPr>
      <w:r>
        <w:rPr>
          <w:b/>
          <w:bCs/>
          <w:color w:val="auto"/>
          <w:sz w:val="21"/>
          <w:szCs w:val="21"/>
          <w:highlight w:val="none"/>
        </w:rPr>
        <w:t>20.5 其它保险</w:t>
      </w:r>
    </w:p>
    <w:p w14:paraId="102F5B8C">
      <w:pPr>
        <w:adjustRightInd w:val="0"/>
        <w:snapToGrid w:val="0"/>
        <w:spacing w:line="360" w:lineRule="auto"/>
        <w:ind w:firstLine="420"/>
        <w:rPr>
          <w:color w:val="auto"/>
          <w:sz w:val="21"/>
          <w:szCs w:val="21"/>
          <w:highlight w:val="none"/>
          <w:u w:val="single"/>
        </w:rPr>
      </w:pPr>
      <w:r>
        <w:rPr>
          <w:color w:val="auto"/>
          <w:sz w:val="21"/>
          <w:szCs w:val="21"/>
          <w:highlight w:val="none"/>
        </w:rPr>
        <w:t>需要投保的其它内容：</w:t>
      </w:r>
      <w:r>
        <w:rPr>
          <w:color w:val="auto"/>
          <w:sz w:val="21"/>
          <w:szCs w:val="21"/>
          <w:highlight w:val="none"/>
          <w:u w:val="single"/>
        </w:rPr>
        <w:t xml:space="preserve">  承包人按有关规定办理相关保险。</w:t>
      </w:r>
    </w:p>
    <w:p w14:paraId="03D7BB2B">
      <w:pPr>
        <w:snapToGrid w:val="0"/>
        <w:spacing w:line="360" w:lineRule="auto"/>
        <w:rPr>
          <w:b/>
          <w:bCs/>
          <w:color w:val="auto"/>
          <w:sz w:val="21"/>
          <w:szCs w:val="21"/>
          <w:highlight w:val="none"/>
        </w:rPr>
      </w:pPr>
      <w:r>
        <w:rPr>
          <w:b/>
          <w:bCs/>
          <w:color w:val="auto"/>
          <w:sz w:val="21"/>
          <w:szCs w:val="21"/>
          <w:highlight w:val="none"/>
        </w:rPr>
        <w:t>22．违约</w:t>
      </w:r>
    </w:p>
    <w:p w14:paraId="063401AB">
      <w:pPr>
        <w:snapToGrid w:val="0"/>
        <w:spacing w:line="360" w:lineRule="auto"/>
        <w:rPr>
          <w:b/>
          <w:bCs/>
          <w:color w:val="auto"/>
          <w:sz w:val="21"/>
          <w:szCs w:val="21"/>
          <w:highlight w:val="none"/>
        </w:rPr>
      </w:pPr>
      <w:r>
        <w:rPr>
          <w:b/>
          <w:bCs/>
          <w:color w:val="auto"/>
          <w:sz w:val="21"/>
          <w:szCs w:val="21"/>
          <w:highlight w:val="none"/>
        </w:rPr>
        <w:t>24. 争议的解决</w:t>
      </w:r>
    </w:p>
    <w:p w14:paraId="1430B492">
      <w:pPr>
        <w:snapToGrid w:val="0"/>
        <w:spacing w:line="360" w:lineRule="auto"/>
        <w:rPr>
          <w:b/>
          <w:bCs/>
          <w:color w:val="auto"/>
          <w:sz w:val="21"/>
          <w:szCs w:val="21"/>
          <w:highlight w:val="none"/>
        </w:rPr>
      </w:pPr>
      <w:r>
        <w:rPr>
          <w:b/>
          <w:bCs/>
          <w:color w:val="auto"/>
          <w:sz w:val="21"/>
          <w:szCs w:val="21"/>
          <w:highlight w:val="none"/>
        </w:rPr>
        <w:t>24.1 争议的解决方式</w:t>
      </w:r>
    </w:p>
    <w:p w14:paraId="2B8C0867">
      <w:pPr>
        <w:snapToGrid w:val="0"/>
        <w:spacing w:line="360" w:lineRule="auto"/>
        <w:ind w:firstLine="403"/>
        <w:rPr>
          <w:color w:val="auto"/>
          <w:sz w:val="21"/>
          <w:szCs w:val="21"/>
          <w:highlight w:val="none"/>
        </w:rPr>
      </w:pPr>
      <w:r>
        <w:rPr>
          <w:color w:val="auto"/>
          <w:sz w:val="21"/>
          <w:szCs w:val="21"/>
          <w:highlight w:val="none"/>
        </w:rPr>
        <w:t>约定的合同争议解决方式：</w:t>
      </w:r>
      <w:r>
        <w:rPr>
          <w:color w:val="auto"/>
          <w:sz w:val="21"/>
          <w:szCs w:val="21"/>
          <w:highlight w:val="none"/>
          <w:u w:val="single"/>
        </w:rPr>
        <w:t xml:space="preserve"> 向惠州仲裁委员会申请仲裁 </w:t>
      </w:r>
      <w:r>
        <w:rPr>
          <w:color w:val="auto"/>
          <w:sz w:val="21"/>
          <w:szCs w:val="21"/>
          <w:highlight w:val="none"/>
        </w:rPr>
        <w:t>。</w:t>
      </w:r>
    </w:p>
    <w:p w14:paraId="362B1635">
      <w:pPr>
        <w:snapToGrid w:val="0"/>
        <w:spacing w:line="360" w:lineRule="auto"/>
        <w:rPr>
          <w:b/>
          <w:bCs/>
          <w:color w:val="auto"/>
          <w:sz w:val="21"/>
          <w:szCs w:val="21"/>
          <w:highlight w:val="none"/>
        </w:rPr>
      </w:pPr>
      <w:bookmarkStart w:id="1268" w:name="_Toc314211795"/>
      <w:r>
        <w:rPr>
          <w:b/>
          <w:bCs/>
          <w:color w:val="auto"/>
          <w:sz w:val="21"/>
          <w:szCs w:val="21"/>
          <w:highlight w:val="none"/>
        </w:rPr>
        <w:t>25. 补充条款</w:t>
      </w:r>
      <w:bookmarkEnd w:id="1268"/>
    </w:p>
    <w:p w14:paraId="2DFFD156">
      <w:pPr>
        <w:snapToGrid w:val="0"/>
        <w:spacing w:line="360" w:lineRule="auto"/>
        <w:ind w:firstLine="403"/>
        <w:rPr>
          <w:color w:val="auto"/>
          <w:sz w:val="21"/>
          <w:szCs w:val="21"/>
          <w:highlight w:val="none"/>
        </w:rPr>
      </w:pPr>
      <w:r>
        <w:rPr>
          <w:color w:val="auto"/>
          <w:sz w:val="21"/>
          <w:szCs w:val="21"/>
          <w:highlight w:val="none"/>
        </w:rPr>
        <w:t>25.1 临时工程施工方案必须报监理人和发包人审批后方能实施。</w:t>
      </w:r>
    </w:p>
    <w:p w14:paraId="4A0EA12A">
      <w:pPr>
        <w:snapToGrid w:val="0"/>
        <w:spacing w:line="360" w:lineRule="auto"/>
        <w:ind w:firstLine="403"/>
        <w:rPr>
          <w:color w:val="auto"/>
          <w:sz w:val="21"/>
          <w:szCs w:val="21"/>
          <w:highlight w:val="none"/>
        </w:rPr>
      </w:pPr>
      <w:r>
        <w:rPr>
          <w:color w:val="auto"/>
          <w:sz w:val="21"/>
          <w:szCs w:val="21"/>
          <w:highlight w:val="none"/>
        </w:rPr>
        <w:t>25.2 技术条款执行《水利水电工程标准施工招标文件技术标准和要求（合同技术条款）》（2009年版），并严格按照施工图纸、设计部门的施工技术要求以及相关规范执行。</w:t>
      </w:r>
    </w:p>
    <w:p w14:paraId="2E49A8B1">
      <w:pPr>
        <w:snapToGrid w:val="0"/>
        <w:spacing w:line="360" w:lineRule="auto"/>
        <w:ind w:firstLine="403"/>
        <w:rPr>
          <w:color w:val="auto"/>
          <w:sz w:val="21"/>
          <w:szCs w:val="21"/>
          <w:highlight w:val="none"/>
        </w:rPr>
      </w:pPr>
      <w:r>
        <w:rPr>
          <w:color w:val="auto"/>
          <w:sz w:val="21"/>
          <w:szCs w:val="21"/>
          <w:highlight w:val="none"/>
        </w:rPr>
        <w:t>25.3 本合同工程资金来源为政府财政资金，如因政府财政资金未能及时到位发包人可以延长付款时间，承包人不能据此向发包人要求费用补偿及延长工期。</w:t>
      </w:r>
    </w:p>
    <w:p w14:paraId="5AD95F5F">
      <w:pPr>
        <w:snapToGrid w:val="0"/>
        <w:spacing w:line="360" w:lineRule="auto"/>
        <w:ind w:firstLine="403"/>
        <w:rPr>
          <w:color w:val="auto"/>
          <w:sz w:val="21"/>
          <w:szCs w:val="21"/>
          <w:highlight w:val="none"/>
        </w:rPr>
      </w:pPr>
      <w:r>
        <w:rPr>
          <w:rFonts w:hint="eastAsia"/>
          <w:color w:val="auto"/>
          <w:sz w:val="21"/>
          <w:szCs w:val="21"/>
          <w:highlight w:val="none"/>
        </w:rPr>
        <w:t>25.4 农民工工资管理要求</w:t>
      </w:r>
    </w:p>
    <w:p w14:paraId="602CADE1">
      <w:pPr>
        <w:snapToGrid w:val="0"/>
        <w:spacing w:line="360" w:lineRule="auto"/>
        <w:ind w:left="494" w:leftChars="228" w:hanging="16" w:hangingChars="8"/>
        <w:rPr>
          <w:color w:val="auto"/>
          <w:sz w:val="21"/>
          <w:szCs w:val="21"/>
          <w:highlight w:val="none"/>
        </w:rPr>
      </w:pPr>
      <w:r>
        <w:rPr>
          <w:rFonts w:hint="eastAsia"/>
          <w:color w:val="auto"/>
          <w:sz w:val="21"/>
          <w:szCs w:val="21"/>
          <w:highlight w:val="none"/>
        </w:rPr>
        <w:t>25.4.1承包人应按《广东省建设工程领域用工实名管理暂行办法》要求指定专人负</w:t>
      </w:r>
    </w:p>
    <w:p w14:paraId="2D177FEF">
      <w:pPr>
        <w:snapToGrid w:val="0"/>
        <w:spacing w:line="360" w:lineRule="auto"/>
        <w:rPr>
          <w:color w:val="auto"/>
          <w:sz w:val="21"/>
          <w:szCs w:val="21"/>
          <w:highlight w:val="none"/>
        </w:rPr>
      </w:pPr>
      <w:r>
        <w:rPr>
          <w:rFonts w:hint="eastAsia"/>
          <w:color w:val="auto"/>
          <w:sz w:val="21"/>
          <w:szCs w:val="21"/>
          <w:highlight w:val="none"/>
        </w:rPr>
        <w:t>责用工实名管理，建立现场人员基本信息档案。</w:t>
      </w:r>
    </w:p>
    <w:p w14:paraId="7993BC94">
      <w:pPr>
        <w:snapToGrid w:val="0"/>
        <w:spacing w:line="360" w:lineRule="auto"/>
        <w:ind w:left="494" w:leftChars="228" w:hanging="16" w:hangingChars="8"/>
        <w:rPr>
          <w:color w:val="auto"/>
          <w:sz w:val="21"/>
          <w:szCs w:val="21"/>
          <w:highlight w:val="none"/>
        </w:rPr>
      </w:pPr>
      <w:r>
        <w:rPr>
          <w:rFonts w:hint="eastAsia"/>
          <w:color w:val="auto"/>
          <w:sz w:val="21"/>
          <w:szCs w:val="21"/>
          <w:highlight w:val="none"/>
        </w:rPr>
        <w:t>25.4.2 承包人要按照规定开设农民工工资专户，通过工资专户委托银行按月足额发</w:t>
      </w:r>
    </w:p>
    <w:p w14:paraId="33B661EB">
      <w:pPr>
        <w:snapToGrid w:val="0"/>
        <w:spacing w:line="360" w:lineRule="auto"/>
        <w:rPr>
          <w:color w:val="auto"/>
          <w:sz w:val="21"/>
          <w:szCs w:val="21"/>
          <w:highlight w:val="none"/>
        </w:rPr>
      </w:pPr>
      <w:r>
        <w:rPr>
          <w:rFonts w:hint="eastAsia"/>
          <w:color w:val="auto"/>
          <w:sz w:val="21"/>
          <w:szCs w:val="21"/>
          <w:highlight w:val="none"/>
        </w:rPr>
        <w:t>放工资，具体按照粤人社函〔2021〕239号《转发人力资源社会保障部等十部门关于印发〈工程建设领域农民工工资专用账户管理暂行办法〉的通知》执行。</w:t>
      </w:r>
    </w:p>
    <w:p w14:paraId="76D73A6D">
      <w:pPr>
        <w:snapToGrid w:val="0"/>
        <w:spacing w:line="360" w:lineRule="auto"/>
        <w:ind w:firstLine="403"/>
        <w:rPr>
          <w:color w:val="auto"/>
          <w:sz w:val="21"/>
          <w:szCs w:val="21"/>
          <w:highlight w:val="none"/>
        </w:rPr>
      </w:pPr>
      <w:r>
        <w:rPr>
          <w:rFonts w:hint="eastAsia"/>
          <w:color w:val="auto"/>
          <w:sz w:val="21"/>
          <w:szCs w:val="21"/>
          <w:highlight w:val="none"/>
        </w:rPr>
        <w:t>25.4.3农民工工资保证金要求按照粤人社函〔2021〕276号《转发人力资源社会保障部等七部门关于印发〈工程建设领域农民工工资保证金规定〉的通知》执行。</w:t>
      </w:r>
    </w:p>
    <w:p w14:paraId="39E9616F">
      <w:pPr>
        <w:snapToGrid w:val="0"/>
        <w:spacing w:line="360" w:lineRule="auto"/>
        <w:ind w:firstLine="403"/>
        <w:rPr>
          <w:color w:val="auto"/>
          <w:sz w:val="21"/>
          <w:szCs w:val="21"/>
          <w:highlight w:val="none"/>
        </w:rPr>
      </w:pPr>
      <w:r>
        <w:rPr>
          <w:rFonts w:hint="eastAsia"/>
          <w:color w:val="auto"/>
          <w:sz w:val="21"/>
          <w:szCs w:val="21"/>
          <w:highlight w:val="none"/>
        </w:rPr>
        <w:t>25.5发包人和承包人在履行合同中发生的本合同未尽事宜，双方协商签订补充条款约定。</w:t>
      </w:r>
    </w:p>
    <w:p w14:paraId="47FD96CC">
      <w:pPr>
        <w:pStyle w:val="3"/>
        <w:bidi w:val="0"/>
        <w:jc w:val="center"/>
        <w:rPr>
          <w:color w:val="auto"/>
          <w:highlight w:val="none"/>
        </w:rPr>
      </w:pPr>
      <w:bookmarkStart w:id="1269" w:name="_Toc200968295"/>
      <w:bookmarkStart w:id="1270" w:name="_Toc199294343"/>
      <w:bookmarkStart w:id="1271" w:name="_Toc207791282"/>
      <w:bookmarkStart w:id="1272" w:name="_Toc200167781"/>
      <w:bookmarkStart w:id="1273" w:name="_Toc200536534"/>
      <w:bookmarkStart w:id="1274" w:name="_Toc200536616"/>
      <w:bookmarkStart w:id="1275" w:name="_Toc412"/>
      <w:bookmarkStart w:id="1276" w:name="_Toc199320023"/>
      <w:bookmarkStart w:id="1277" w:name="_Toc217971067"/>
      <w:bookmarkStart w:id="1278" w:name="_Toc199215147"/>
      <w:bookmarkStart w:id="1279" w:name="_Toc26338"/>
      <w:bookmarkStart w:id="1280" w:name="_Toc199156296"/>
      <w:bookmarkStart w:id="1281" w:name="_Toc199155960"/>
      <w:bookmarkStart w:id="1282" w:name="_Toc199319921"/>
      <w:r>
        <w:rPr>
          <w:rFonts w:hint="eastAsia"/>
          <w:color w:val="auto"/>
          <w:highlight w:val="none"/>
          <w:lang w:val="en-US" w:eastAsia="zh-CN"/>
        </w:rPr>
        <w:t xml:space="preserve">第三节 </w:t>
      </w:r>
      <w:r>
        <w:rPr>
          <w:color w:val="auto"/>
          <w:highlight w:val="none"/>
        </w:rPr>
        <w:t>合同附件格式</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Start w:id="1283" w:name="_Toc17801"/>
      <w:bookmarkStart w:id="1284" w:name="_Toc217971068"/>
      <w:bookmarkStart w:id="1285" w:name="_Toc199215148"/>
      <w:bookmarkStart w:id="1286" w:name="_Toc207791283"/>
      <w:bookmarkStart w:id="1287" w:name="_Toc200968296"/>
      <w:bookmarkStart w:id="1288" w:name="_Toc29109"/>
      <w:bookmarkStart w:id="1289" w:name="_Toc199320024"/>
      <w:bookmarkStart w:id="1290" w:name="_Toc199155961"/>
      <w:bookmarkStart w:id="1291" w:name="_Toc200536617"/>
      <w:bookmarkStart w:id="1292" w:name="_Toc199294344"/>
      <w:bookmarkStart w:id="1293" w:name="_Toc200167782"/>
    </w:p>
    <w:p w14:paraId="7550FCDD">
      <w:pPr>
        <w:pStyle w:val="4"/>
        <w:keepNext/>
        <w:keepLines/>
        <w:pageBreakBefore w:val="0"/>
        <w:widowControl w:val="0"/>
        <w:numPr>
          <w:ilvl w:val="0"/>
          <w:numId w:val="4"/>
        </w:numPr>
        <w:kinsoku/>
        <w:wordWrap/>
        <w:overflowPunct/>
        <w:topLinePunct w:val="0"/>
        <w:autoSpaceDE/>
        <w:autoSpaceDN/>
        <w:bidi w:val="0"/>
        <w:adjustRightInd/>
        <w:snapToGrid/>
        <w:spacing w:line="300" w:lineRule="atLeast"/>
        <w:jc w:val="center"/>
        <w:textAlignment w:val="auto"/>
        <w:rPr>
          <w:rFonts w:hint="eastAsia" w:ascii="Times New Roman"/>
          <w:color w:val="auto"/>
          <w:sz w:val="24"/>
          <w:szCs w:val="20"/>
          <w:highlight w:val="none"/>
        </w:rPr>
      </w:pPr>
      <w:r>
        <w:rPr>
          <w:rFonts w:ascii="Times New Roman"/>
          <w:color w:val="auto"/>
          <w:sz w:val="24"/>
          <w:szCs w:val="20"/>
          <w:highlight w:val="none"/>
        </w:rPr>
        <w:t>附件一：合同协议书</w:t>
      </w:r>
      <w:bookmarkEnd w:id="1283"/>
      <w:bookmarkEnd w:id="1284"/>
      <w:bookmarkEnd w:id="1285"/>
      <w:bookmarkEnd w:id="1286"/>
      <w:bookmarkEnd w:id="1287"/>
      <w:bookmarkEnd w:id="1288"/>
      <w:bookmarkEnd w:id="1289"/>
      <w:bookmarkEnd w:id="1290"/>
      <w:bookmarkEnd w:id="1291"/>
      <w:bookmarkEnd w:id="1292"/>
      <w:bookmarkEnd w:id="1293"/>
    </w:p>
    <w:p w14:paraId="3F019D27">
      <w:pPr>
        <w:pStyle w:val="27"/>
        <w:keepNext w:val="0"/>
        <w:keepLines w:val="0"/>
        <w:pageBreakBefore w:val="0"/>
        <w:widowControl w:val="0"/>
        <w:kinsoku/>
        <w:wordWrap/>
        <w:overflowPunct/>
        <w:topLinePunct w:val="0"/>
        <w:autoSpaceDE w:val="0"/>
        <w:autoSpaceDN w:val="0"/>
        <w:bidi w:val="0"/>
        <w:adjustRightInd w:val="0"/>
        <w:snapToGrid/>
        <w:spacing w:after="240" w:line="240" w:lineRule="auto"/>
        <w:jc w:val="center"/>
        <w:textAlignment w:val="auto"/>
        <w:outlineLvl w:val="1"/>
        <w:rPr>
          <w:rFonts w:ascii="Times New Roman" w:cs="Times New Roman"/>
          <w:b/>
          <w:color w:val="auto"/>
          <w:sz w:val="28"/>
          <w:szCs w:val="28"/>
          <w:highlight w:val="none"/>
        </w:rPr>
      </w:pPr>
      <w:bookmarkStart w:id="1294" w:name="_Toc32330"/>
      <w:bookmarkStart w:id="1295" w:name="_Toc24256"/>
      <w:bookmarkStart w:id="1296" w:name="_Toc28096"/>
      <w:r>
        <w:rPr>
          <w:rFonts w:ascii="Times New Roman" w:cs="Times New Roman"/>
          <w:b/>
          <w:color w:val="auto"/>
          <w:sz w:val="28"/>
          <w:szCs w:val="28"/>
          <w:highlight w:val="none"/>
        </w:rPr>
        <w:t>合同协议书</w:t>
      </w:r>
      <w:bookmarkEnd w:id="1294"/>
      <w:bookmarkEnd w:id="1295"/>
      <w:bookmarkEnd w:id="1296"/>
    </w:p>
    <w:p w14:paraId="3BF6A62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（发包人名称，以下简称</w:t>
      </w:r>
      <w:r>
        <w:rPr>
          <w:rFonts w:hint="eastAsia" w:ascii="Times New Roman" w:cs="Times New Roman"/>
          <w:color w:val="auto"/>
          <w:sz w:val="24"/>
          <w:szCs w:val="24"/>
          <w:highlight w:val="none"/>
        </w:rPr>
        <w:t>“</w:t>
      </w:r>
      <w:r>
        <w:rPr>
          <w:rFonts w:ascii="Times New Roman" w:cs="Times New Roman"/>
          <w:color w:val="auto"/>
          <w:sz w:val="24"/>
          <w:szCs w:val="24"/>
          <w:highlight w:val="none"/>
        </w:rPr>
        <w:t>发包人</w:t>
      </w:r>
      <w:r>
        <w:rPr>
          <w:rFonts w:hint="eastAsia" w:ascii="Times New Roman" w:cs="Times New Roman"/>
          <w:color w:val="auto"/>
          <w:sz w:val="24"/>
          <w:szCs w:val="24"/>
          <w:highlight w:val="none"/>
        </w:rPr>
        <w:t>”</w:t>
      </w:r>
      <w:r>
        <w:rPr>
          <w:rFonts w:ascii="Times New Roman" w:cs="Times New Roman"/>
          <w:color w:val="auto"/>
          <w:sz w:val="24"/>
          <w:szCs w:val="24"/>
          <w:highlight w:val="none"/>
        </w:rPr>
        <w:t>）为实施</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（项目名称、标段），已接受</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（承包人名称，以下简称</w:t>
      </w:r>
      <w:r>
        <w:rPr>
          <w:rFonts w:hint="eastAsia" w:ascii="Times New Roman" w:cs="Times New Roman"/>
          <w:color w:val="auto"/>
          <w:sz w:val="24"/>
          <w:szCs w:val="24"/>
          <w:highlight w:val="none"/>
        </w:rPr>
        <w:t>“</w:t>
      </w:r>
      <w:r>
        <w:rPr>
          <w:rFonts w:ascii="Times New Roman" w:cs="Times New Roman"/>
          <w:color w:val="auto"/>
          <w:sz w:val="24"/>
          <w:szCs w:val="24"/>
          <w:highlight w:val="none"/>
        </w:rPr>
        <w:t>承包人</w:t>
      </w:r>
      <w:r>
        <w:rPr>
          <w:rFonts w:hint="eastAsia" w:ascii="Times New Roman" w:cs="Times New Roman"/>
          <w:color w:val="auto"/>
          <w:sz w:val="24"/>
          <w:szCs w:val="24"/>
          <w:highlight w:val="none"/>
        </w:rPr>
        <w:t>”</w:t>
      </w:r>
      <w:r>
        <w:rPr>
          <w:rFonts w:ascii="Times New Roman" w:cs="Times New Roman"/>
          <w:color w:val="auto"/>
          <w:sz w:val="24"/>
          <w:szCs w:val="24"/>
          <w:highlight w:val="none"/>
        </w:rPr>
        <w:t>）对该项目施工的投标。发包人和承包人共同达成如下协议。</w:t>
      </w:r>
    </w:p>
    <w:p w14:paraId="0051F15B">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1、本协议书与下列文件一起构成合同文件：</w:t>
      </w:r>
    </w:p>
    <w:p w14:paraId="62A4DDD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297" w:name="_Toc23365"/>
      <w:bookmarkStart w:id="1298" w:name="_Toc25620"/>
      <w:bookmarkStart w:id="1299" w:name="_Toc10248"/>
      <w:r>
        <w:rPr>
          <w:rFonts w:ascii="Times New Roman" w:cs="Times New Roman"/>
          <w:color w:val="auto"/>
          <w:sz w:val="24"/>
          <w:szCs w:val="24"/>
          <w:highlight w:val="none"/>
        </w:rPr>
        <w:t>（1）中标通知书；</w:t>
      </w:r>
      <w:bookmarkEnd w:id="1297"/>
      <w:bookmarkEnd w:id="1298"/>
      <w:bookmarkEnd w:id="1299"/>
    </w:p>
    <w:p w14:paraId="69DF5A45">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00" w:name="_Toc419"/>
      <w:bookmarkStart w:id="1301" w:name="_Toc2089"/>
      <w:bookmarkStart w:id="1302" w:name="_Toc22937"/>
      <w:r>
        <w:rPr>
          <w:rFonts w:ascii="Times New Roman" w:cs="Times New Roman"/>
          <w:color w:val="auto"/>
          <w:sz w:val="24"/>
          <w:szCs w:val="24"/>
          <w:highlight w:val="none"/>
        </w:rPr>
        <w:t>（2）投标函及投标函附录；</w:t>
      </w:r>
      <w:bookmarkEnd w:id="1300"/>
      <w:bookmarkEnd w:id="1301"/>
      <w:bookmarkEnd w:id="1302"/>
    </w:p>
    <w:p w14:paraId="3896F723">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03" w:name="_Toc24684"/>
      <w:bookmarkStart w:id="1304" w:name="_Toc26960"/>
      <w:bookmarkStart w:id="1305" w:name="_Toc24593"/>
      <w:r>
        <w:rPr>
          <w:rFonts w:ascii="Times New Roman" w:cs="Times New Roman"/>
          <w:color w:val="auto"/>
          <w:sz w:val="24"/>
          <w:szCs w:val="24"/>
          <w:highlight w:val="none"/>
        </w:rPr>
        <w:t>（3）专用合同条款；</w:t>
      </w:r>
      <w:bookmarkEnd w:id="1303"/>
      <w:bookmarkEnd w:id="1304"/>
      <w:bookmarkEnd w:id="1305"/>
    </w:p>
    <w:p w14:paraId="1293CD0A">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06" w:name="_Toc7540"/>
      <w:bookmarkStart w:id="1307" w:name="_Toc17540"/>
      <w:bookmarkStart w:id="1308" w:name="_Toc30163"/>
      <w:r>
        <w:rPr>
          <w:rFonts w:ascii="Times New Roman" w:cs="Times New Roman"/>
          <w:color w:val="auto"/>
          <w:sz w:val="24"/>
          <w:szCs w:val="24"/>
          <w:highlight w:val="none"/>
        </w:rPr>
        <w:t>（4）通用合同条款；</w:t>
      </w:r>
      <w:bookmarkEnd w:id="1306"/>
      <w:bookmarkEnd w:id="1307"/>
      <w:bookmarkEnd w:id="1308"/>
    </w:p>
    <w:p w14:paraId="4B2DAB82">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09" w:name="_Toc26820"/>
      <w:bookmarkStart w:id="1310" w:name="_Toc18964"/>
      <w:bookmarkStart w:id="1311" w:name="_Toc17824"/>
      <w:r>
        <w:rPr>
          <w:rFonts w:ascii="Times New Roman" w:cs="Times New Roman"/>
          <w:color w:val="auto"/>
          <w:sz w:val="24"/>
          <w:szCs w:val="24"/>
          <w:highlight w:val="none"/>
        </w:rPr>
        <w:t>（5）技术标准和要求（合同技术条款）；</w:t>
      </w:r>
      <w:bookmarkEnd w:id="1309"/>
      <w:bookmarkEnd w:id="1310"/>
      <w:bookmarkEnd w:id="1311"/>
    </w:p>
    <w:p w14:paraId="321980E1">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12" w:name="_Toc11520"/>
      <w:bookmarkStart w:id="1313" w:name="_Toc734"/>
      <w:bookmarkStart w:id="1314" w:name="_Toc7078"/>
      <w:r>
        <w:rPr>
          <w:rFonts w:ascii="Times New Roman" w:cs="Times New Roman"/>
          <w:color w:val="auto"/>
          <w:sz w:val="24"/>
          <w:szCs w:val="24"/>
          <w:highlight w:val="none"/>
        </w:rPr>
        <w:t>（6）图纸；</w:t>
      </w:r>
      <w:bookmarkEnd w:id="1312"/>
      <w:bookmarkEnd w:id="1313"/>
      <w:bookmarkEnd w:id="1314"/>
    </w:p>
    <w:p w14:paraId="17720BBC">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15" w:name="_Toc9934"/>
      <w:bookmarkStart w:id="1316" w:name="_Toc7714"/>
      <w:bookmarkStart w:id="1317" w:name="_Toc3854"/>
      <w:r>
        <w:rPr>
          <w:rFonts w:ascii="Times New Roman" w:cs="Times New Roman"/>
          <w:color w:val="auto"/>
          <w:sz w:val="24"/>
          <w:szCs w:val="24"/>
          <w:highlight w:val="none"/>
        </w:rPr>
        <w:t>（7）已标价的工程量清单；</w:t>
      </w:r>
      <w:bookmarkEnd w:id="1315"/>
      <w:bookmarkEnd w:id="1316"/>
      <w:bookmarkEnd w:id="1317"/>
    </w:p>
    <w:p w14:paraId="0D38F68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18" w:name="_Toc329"/>
      <w:bookmarkStart w:id="1319" w:name="_Toc16426"/>
      <w:bookmarkStart w:id="1320" w:name="_Toc20958"/>
      <w:r>
        <w:rPr>
          <w:rFonts w:ascii="Times New Roman" w:cs="Times New Roman"/>
          <w:color w:val="auto"/>
          <w:sz w:val="24"/>
          <w:szCs w:val="24"/>
          <w:highlight w:val="none"/>
        </w:rPr>
        <w:t>（8）投标文件；</w:t>
      </w:r>
      <w:bookmarkEnd w:id="1318"/>
      <w:bookmarkEnd w:id="1319"/>
      <w:bookmarkEnd w:id="1320"/>
    </w:p>
    <w:p w14:paraId="5D565A9B">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1321" w:name="_Toc837"/>
      <w:bookmarkStart w:id="1322" w:name="_Toc30778"/>
      <w:bookmarkStart w:id="1323" w:name="_Toc30435"/>
      <w:r>
        <w:rPr>
          <w:rFonts w:ascii="Times New Roman" w:cs="Times New Roman"/>
          <w:color w:val="auto"/>
          <w:sz w:val="24"/>
          <w:szCs w:val="24"/>
          <w:highlight w:val="none"/>
        </w:rPr>
        <w:t>（9）经双方确认进入合同的其他文件。</w:t>
      </w:r>
      <w:bookmarkEnd w:id="1321"/>
      <w:bookmarkEnd w:id="1322"/>
      <w:bookmarkEnd w:id="1323"/>
    </w:p>
    <w:p w14:paraId="54DEC3A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2、上述文件互相补充和解释，如有不明确或不一致之处，以合同约定次序在先者为准。</w:t>
      </w:r>
    </w:p>
    <w:p w14:paraId="010595C0">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3、签约合同价：人民币（大写）</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元（¥</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w:t>
      </w:r>
      <w:r>
        <w:rPr>
          <w:rFonts w:ascii="Times New Roman" w:cs="Times New Roman"/>
          <w:b/>
          <w:bCs/>
          <w:color w:val="auto"/>
          <w:sz w:val="24"/>
          <w:szCs w:val="24"/>
          <w:highlight w:val="none"/>
        </w:rPr>
        <w:t>（最终以财政审核为准，待财政审核完成后签订补充协议，确定最终中标工程单价等于财政预算审核单价乘以（1-中标下浮率））。</w:t>
      </w:r>
    </w:p>
    <w:p w14:paraId="3E9E43A8">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b/>
          <w:bCs/>
          <w:color w:val="auto"/>
          <w:sz w:val="24"/>
          <w:szCs w:val="24"/>
          <w:highlight w:val="none"/>
        </w:rPr>
      </w:pPr>
      <w:r>
        <w:rPr>
          <w:rFonts w:hint="eastAsia" w:ascii="宋体" w:hAnsi="宋体" w:eastAsia="宋体" w:cs="宋体"/>
          <w:b w:val="0"/>
          <w:bCs/>
          <w:color w:val="auto"/>
          <w:sz w:val="24"/>
          <w:szCs w:val="24"/>
          <w:highlight w:val="none"/>
          <w:lang w:val="en-US" w:eastAsia="zh-CN"/>
        </w:rPr>
        <w:t>4、本合同中</w:t>
      </w:r>
      <w:r>
        <w:rPr>
          <w:rFonts w:hint="eastAsia" w:hAnsi="宋体" w:cs="宋体"/>
          <w:b w:val="0"/>
          <w:bCs/>
          <w:color w:val="auto"/>
          <w:sz w:val="24"/>
          <w:szCs w:val="24"/>
          <w:highlight w:val="none"/>
          <w:lang w:val="en-US" w:eastAsia="zh-CN"/>
        </w:rPr>
        <w:t>博罗县</w:t>
      </w:r>
      <w:r>
        <w:rPr>
          <w:rFonts w:hint="eastAsia" w:ascii="宋体" w:hAnsi="宋体" w:eastAsia="宋体" w:cs="宋体"/>
          <w:color w:val="auto"/>
          <w:sz w:val="24"/>
          <w:szCs w:val="24"/>
          <w:highlight w:val="none"/>
          <w:u w:val="none"/>
          <w:lang w:val="en-US" w:eastAsia="zh-CN"/>
        </w:rPr>
        <w:t>河肚水水系综合整治工程、</w:t>
      </w:r>
      <w:r>
        <w:rPr>
          <w:rFonts w:hint="eastAsia" w:hAnsi="宋体" w:cs="宋体"/>
          <w:color w:val="auto"/>
          <w:sz w:val="24"/>
          <w:szCs w:val="24"/>
          <w:highlight w:val="none"/>
          <w:u w:val="none"/>
          <w:lang w:val="en-US" w:eastAsia="zh-CN"/>
        </w:rPr>
        <w:t>博罗县</w:t>
      </w:r>
      <w:r>
        <w:rPr>
          <w:rFonts w:hint="eastAsia" w:ascii="宋体" w:hAnsi="宋体" w:eastAsia="宋体" w:cs="宋体"/>
          <w:color w:val="auto"/>
          <w:sz w:val="24"/>
          <w:szCs w:val="24"/>
          <w:highlight w:val="none"/>
          <w:u w:val="none"/>
          <w:lang w:val="en-US" w:eastAsia="zh-CN"/>
        </w:rPr>
        <w:t>澜石河水系综合整治工程</w:t>
      </w:r>
      <w:r>
        <w:rPr>
          <w:rFonts w:hint="eastAsia" w:hAnsi="宋体" w:cs="宋体"/>
          <w:color w:val="auto"/>
          <w:sz w:val="24"/>
          <w:szCs w:val="24"/>
          <w:highlight w:val="none"/>
          <w:u w:val="none"/>
          <w:lang w:val="en-US" w:eastAsia="zh-CN"/>
        </w:rPr>
        <w:t>两宗</w:t>
      </w:r>
      <w:r>
        <w:rPr>
          <w:rFonts w:hint="eastAsia" w:hAnsi="宋体" w:eastAsia="宋体" w:cs="宋体"/>
          <w:color w:val="auto"/>
          <w:sz w:val="24"/>
          <w:szCs w:val="24"/>
          <w:highlight w:val="none"/>
          <w:u w:val="none"/>
          <w:lang w:val="zh-CN" w:eastAsia="zh-CN"/>
        </w:rPr>
        <w:t>分别</w:t>
      </w:r>
      <w:r>
        <w:rPr>
          <w:rFonts w:hint="eastAsia" w:ascii="宋体" w:hAnsi="宋体" w:eastAsia="宋体" w:cs="宋体"/>
          <w:color w:val="auto"/>
          <w:sz w:val="24"/>
          <w:szCs w:val="24"/>
          <w:highlight w:val="none"/>
          <w:u w:val="none"/>
          <w:lang w:val="zh-CN"/>
        </w:rPr>
        <w:t>单独申报进度款、结算及项目验收。</w:t>
      </w:r>
    </w:p>
    <w:p w14:paraId="0B95430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5</w:t>
      </w:r>
      <w:r>
        <w:rPr>
          <w:rFonts w:ascii="Times New Roman" w:cs="Times New Roman"/>
          <w:color w:val="auto"/>
          <w:sz w:val="24"/>
          <w:szCs w:val="24"/>
          <w:highlight w:val="none"/>
        </w:rPr>
        <w:t>、承包人建造师：</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，技术负责人：</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w:t>
      </w:r>
    </w:p>
    <w:p w14:paraId="65EC6544">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6</w:t>
      </w:r>
      <w:r>
        <w:rPr>
          <w:rFonts w:ascii="Times New Roman" w:cs="Times New Roman"/>
          <w:color w:val="auto"/>
          <w:sz w:val="24"/>
          <w:szCs w:val="24"/>
          <w:highlight w:val="none"/>
        </w:rPr>
        <w:t>、工程质量符合</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标准。</w:t>
      </w:r>
    </w:p>
    <w:p w14:paraId="251B7C33">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7</w:t>
      </w:r>
      <w:r>
        <w:rPr>
          <w:rFonts w:ascii="Times New Roman" w:cs="Times New Roman"/>
          <w:color w:val="auto"/>
          <w:sz w:val="24"/>
          <w:szCs w:val="24"/>
          <w:highlight w:val="none"/>
        </w:rPr>
        <w:t>、承包人承诺按合同约定承担工程的实施、完成及缺陷修复。</w:t>
      </w:r>
    </w:p>
    <w:p w14:paraId="0C936280">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8</w:t>
      </w:r>
      <w:r>
        <w:rPr>
          <w:rFonts w:ascii="Times New Roman" w:cs="Times New Roman"/>
          <w:color w:val="auto"/>
          <w:sz w:val="24"/>
          <w:szCs w:val="24"/>
          <w:highlight w:val="none"/>
        </w:rPr>
        <w:t>、发包人承诺按合同约定的条件、时间和方式向承包人支付合同价款。</w:t>
      </w:r>
    </w:p>
    <w:p w14:paraId="1824A5BE">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9</w:t>
      </w:r>
      <w:r>
        <w:rPr>
          <w:rFonts w:ascii="Times New Roman" w:cs="Times New Roman"/>
          <w:color w:val="auto"/>
          <w:sz w:val="24"/>
          <w:szCs w:val="24"/>
          <w:highlight w:val="none"/>
        </w:rPr>
        <w:t>、承包人应按照监理人指示开工，工期为</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日历天。</w:t>
      </w:r>
    </w:p>
    <w:p w14:paraId="35861E8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10</w:t>
      </w:r>
      <w:r>
        <w:rPr>
          <w:rFonts w:ascii="Times New Roman" w:cs="Times New Roman"/>
          <w:color w:val="auto"/>
          <w:sz w:val="24"/>
          <w:szCs w:val="24"/>
          <w:highlight w:val="none"/>
        </w:rPr>
        <w:t>、本协议书一式</w:t>
      </w:r>
      <w:r>
        <w:rPr>
          <w:rFonts w:ascii="Times New Roman" w:cs="Times New Roman"/>
          <w:color w:val="auto"/>
          <w:sz w:val="24"/>
          <w:szCs w:val="24"/>
          <w:highlight w:val="none"/>
          <w:u w:val="single"/>
        </w:rPr>
        <w:t>贰</w:t>
      </w:r>
      <w:r>
        <w:rPr>
          <w:rFonts w:ascii="Times New Roman" w:cs="Times New Roman"/>
          <w:color w:val="auto"/>
          <w:sz w:val="24"/>
          <w:szCs w:val="24"/>
          <w:highlight w:val="none"/>
        </w:rPr>
        <w:t>份，合同双方各执一份。</w:t>
      </w:r>
    </w:p>
    <w:p w14:paraId="587A52B8">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11</w:t>
      </w:r>
      <w:r>
        <w:rPr>
          <w:rFonts w:ascii="Times New Roman" w:cs="Times New Roman"/>
          <w:color w:val="auto"/>
          <w:sz w:val="24"/>
          <w:szCs w:val="24"/>
          <w:highlight w:val="none"/>
        </w:rPr>
        <w:t>、合同未尽事宜，双方另行签订补充协议。补充协议是合同的组成部分。</w:t>
      </w:r>
    </w:p>
    <w:p w14:paraId="0ED8BF62">
      <w:pPr>
        <w:pStyle w:val="2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cs="Times New Roman"/>
          <w:color w:val="auto"/>
          <w:highlight w:val="none"/>
        </w:rPr>
      </w:pPr>
    </w:p>
    <w:p w14:paraId="06DB0D0C">
      <w:pPr>
        <w:pStyle w:val="2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cs="Times New Roman"/>
          <w:color w:val="auto"/>
          <w:highlight w:val="none"/>
        </w:rPr>
      </w:pPr>
    </w:p>
    <w:p w14:paraId="2076463B">
      <w:pPr>
        <w:pStyle w:val="28"/>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cs="Times New Roman"/>
          <w:color w:val="auto"/>
          <w:highlight w:val="none"/>
        </w:rPr>
      </w:pPr>
      <w:r>
        <w:rPr>
          <w:rFonts w:ascii="Times New Roman" w:cs="Times New Roman"/>
          <w:color w:val="auto"/>
          <w:highlight w:val="none"/>
        </w:rPr>
        <w:t>发包人：</w:t>
      </w:r>
      <w:r>
        <w:rPr>
          <w:rFonts w:ascii="Times New Roman" w:cs="Times New Roman"/>
          <w:color w:val="auto"/>
          <w:highlight w:val="none"/>
          <w:u w:val="single"/>
        </w:rPr>
        <w:t xml:space="preserve">              </w:t>
      </w:r>
      <w:r>
        <w:rPr>
          <w:rFonts w:ascii="Times New Roman" w:cs="Times New Roman"/>
          <w:color w:val="auto"/>
          <w:highlight w:val="none"/>
        </w:rPr>
        <w:t xml:space="preserve">（盖单位章）   </w:t>
      </w:r>
      <w:r>
        <w:rPr>
          <w:rFonts w:hint="eastAsia" w:ascii="Times New Roman" w:cs="Times New Roman"/>
          <w:color w:val="auto"/>
          <w:highlight w:val="none"/>
        </w:rPr>
        <w:t xml:space="preserve"> </w:t>
      </w:r>
      <w:r>
        <w:rPr>
          <w:rFonts w:ascii="Times New Roman" w:cs="Times New Roman"/>
          <w:color w:val="auto"/>
          <w:highlight w:val="none"/>
        </w:rPr>
        <w:t>承包人：</w:t>
      </w:r>
      <w:r>
        <w:rPr>
          <w:rFonts w:ascii="Times New Roman" w:cs="Times New Roman"/>
          <w:color w:val="auto"/>
          <w:highlight w:val="none"/>
          <w:u w:val="single"/>
        </w:rPr>
        <w:t xml:space="preserve">              </w:t>
      </w:r>
      <w:r>
        <w:rPr>
          <w:rFonts w:ascii="Times New Roman" w:cs="Times New Roman"/>
          <w:color w:val="auto"/>
          <w:highlight w:val="none"/>
        </w:rPr>
        <w:t>（盖单位章）</w:t>
      </w:r>
    </w:p>
    <w:p w14:paraId="2B456CD3">
      <w:pPr>
        <w:pStyle w:val="28"/>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cs="Times New Roman"/>
          <w:color w:val="auto"/>
          <w:highlight w:val="none"/>
        </w:rPr>
      </w:pPr>
      <w:r>
        <w:rPr>
          <w:rFonts w:ascii="Times New Roman" w:cs="Times New Roman"/>
          <w:color w:val="auto"/>
          <w:highlight w:val="none"/>
        </w:rPr>
        <w:t>法定代表人或其委托代理人：</w:t>
      </w:r>
      <w:r>
        <w:rPr>
          <w:rFonts w:hint="eastAsia" w:ascii="Times New Roman" w:cs="Times New Roman"/>
          <w:color w:val="auto"/>
          <w:highlight w:val="none"/>
          <w:lang w:val="en-US" w:eastAsia="zh-CN"/>
        </w:rPr>
        <w:t xml:space="preserve">         </w:t>
      </w:r>
      <w:r>
        <w:rPr>
          <w:rFonts w:ascii="Times New Roman" w:cs="Times New Roman"/>
          <w:color w:val="auto"/>
          <w:highlight w:val="none"/>
        </w:rPr>
        <w:t xml:space="preserve">  法定代表人或其委托代理人：</w:t>
      </w:r>
    </w:p>
    <w:p w14:paraId="747100D9">
      <w:pPr>
        <w:pStyle w:val="26"/>
        <w:rPr>
          <w:rFonts w:ascii="Times New Roman" w:cs="Times New Roman"/>
          <w:color w:val="auto"/>
          <w:highlight w:val="none"/>
        </w:rPr>
      </w:pP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（签字）</w:t>
      </w:r>
      <w:r>
        <w:rPr>
          <w:rFonts w:hint="eastAsia" w:ascii="Times New Roman" w:cs="Times New Roman"/>
          <w:color w:val="auto"/>
          <w:highlight w:val="none"/>
          <w:lang w:val="en-US" w:eastAsia="zh-CN"/>
        </w:rPr>
        <w:t xml:space="preserve">               </w:t>
      </w: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（签字）</w:t>
      </w:r>
    </w:p>
    <w:p w14:paraId="679C1871">
      <w:pPr>
        <w:pStyle w:val="26"/>
        <w:spacing w:line="240" w:lineRule="auto"/>
        <w:jc w:val="both"/>
        <w:outlineLvl w:val="1"/>
        <w:rPr>
          <w:rFonts w:ascii="Times New Roman" w:cs="Times New Roman"/>
          <w:color w:val="auto"/>
          <w:highlight w:val="none"/>
          <w:u w:val="single"/>
        </w:rPr>
      </w:pPr>
    </w:p>
    <w:p w14:paraId="50D1C918">
      <w:pPr>
        <w:pStyle w:val="26"/>
        <w:spacing w:line="240" w:lineRule="auto"/>
        <w:jc w:val="both"/>
        <w:outlineLvl w:val="1"/>
        <w:rPr>
          <w:rFonts w:ascii="Times New Roman" w:cs="Times New Roman"/>
          <w:color w:val="auto"/>
          <w:highlight w:val="none"/>
          <w:u w:val="single"/>
        </w:rPr>
      </w:pPr>
    </w:p>
    <w:p w14:paraId="2E3A869C">
      <w:pPr>
        <w:pStyle w:val="26"/>
        <w:spacing w:line="240" w:lineRule="auto"/>
        <w:jc w:val="both"/>
        <w:outlineLvl w:val="1"/>
        <w:rPr>
          <w:rFonts w:ascii="Times New Roman" w:cs="Times New Roman"/>
          <w:color w:val="auto"/>
          <w:highlight w:val="none"/>
        </w:rPr>
      </w:pPr>
      <w:r>
        <w:rPr>
          <w:rFonts w:ascii="Times New Roman" w:cs="Times New Roman"/>
          <w:color w:val="auto"/>
          <w:highlight w:val="none"/>
          <w:u w:val="single"/>
        </w:rPr>
        <w:t xml:space="preserve">        </w:t>
      </w:r>
      <w:bookmarkStart w:id="1324" w:name="_Toc14912"/>
      <w:bookmarkStart w:id="1325" w:name="_Toc20155"/>
      <w:bookmarkStart w:id="1326" w:name="_Toc16164"/>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 xml:space="preserve">日         </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bookmarkEnd w:id="1324"/>
      <w:bookmarkEnd w:id="1325"/>
      <w:bookmarkEnd w:id="1326"/>
    </w:p>
    <w:p w14:paraId="164AD93A">
      <w:pPr>
        <w:pStyle w:val="26"/>
        <w:snapToGrid w:val="0"/>
        <w:rPr>
          <w:rFonts w:ascii="Times New Roman" w:cs="Times New Roman"/>
          <w:color w:val="auto"/>
          <w:kern w:val="2"/>
          <w:sz w:val="21"/>
          <w:highlight w:val="none"/>
        </w:rPr>
      </w:pPr>
      <w:r>
        <w:rPr>
          <w:rFonts w:ascii="Times New Roman" w:cs="Times New Roman"/>
          <w:color w:val="auto"/>
          <w:highlight w:val="none"/>
        </w:rPr>
        <w:br w:type="page"/>
      </w:r>
      <w:bookmarkStart w:id="1327" w:name="_Toc199320025"/>
      <w:bookmarkStart w:id="1328" w:name="_Toc199155962"/>
      <w:bookmarkStart w:id="1329" w:name="_Toc217971069"/>
      <w:bookmarkStart w:id="1330" w:name="_Toc200167783"/>
      <w:bookmarkStart w:id="1331" w:name="_Toc200536618"/>
      <w:bookmarkStart w:id="1332" w:name="_Toc207791284"/>
      <w:bookmarkStart w:id="1333" w:name="_Toc199215149"/>
      <w:bookmarkStart w:id="1334" w:name="_Toc199294345"/>
      <w:bookmarkStart w:id="1335" w:name="_Toc200968297"/>
    </w:p>
    <w:p w14:paraId="507C55A5">
      <w:pPr>
        <w:pStyle w:val="5"/>
        <w:rPr>
          <w:rFonts w:hint="eastAsia" w:ascii="Times New Roman"/>
          <w:color w:val="auto"/>
          <w:sz w:val="24"/>
          <w:szCs w:val="20"/>
          <w:highlight w:val="none"/>
        </w:rPr>
      </w:pPr>
      <w:bookmarkStart w:id="1336" w:name="_Toc10114"/>
      <w:bookmarkStart w:id="1337" w:name="_Toc356"/>
      <w:r>
        <w:rPr>
          <w:rFonts w:ascii="Times New Roman"/>
          <w:color w:val="auto"/>
          <w:sz w:val="24"/>
          <w:szCs w:val="20"/>
          <w:highlight w:val="none"/>
        </w:rPr>
        <w:t>附件二：履约担保格式</w:t>
      </w:r>
      <w:bookmarkEnd w:id="1327"/>
      <w:bookmarkEnd w:id="1328"/>
      <w:bookmarkEnd w:id="1329"/>
      <w:bookmarkEnd w:id="1330"/>
      <w:bookmarkEnd w:id="1331"/>
      <w:bookmarkEnd w:id="1332"/>
      <w:bookmarkEnd w:id="1333"/>
      <w:bookmarkEnd w:id="1334"/>
      <w:bookmarkEnd w:id="1335"/>
      <w:bookmarkEnd w:id="1336"/>
      <w:bookmarkEnd w:id="1337"/>
    </w:p>
    <w:p w14:paraId="4CEE7109">
      <w:pPr>
        <w:pStyle w:val="27"/>
        <w:spacing w:after="360"/>
        <w:jc w:val="center"/>
        <w:outlineLvl w:val="1"/>
        <w:rPr>
          <w:rFonts w:ascii="Times New Roman" w:cs="Times New Roman"/>
          <w:b/>
          <w:color w:val="auto"/>
          <w:sz w:val="28"/>
          <w:szCs w:val="28"/>
          <w:highlight w:val="none"/>
        </w:rPr>
      </w:pPr>
      <w:bookmarkStart w:id="1338" w:name="_Toc12270"/>
      <w:bookmarkStart w:id="1339" w:name="_Toc26386"/>
      <w:bookmarkStart w:id="1340" w:name="_Toc9992"/>
      <w:r>
        <w:rPr>
          <w:rFonts w:ascii="Times New Roman" w:cs="Times New Roman"/>
          <w:b/>
          <w:color w:val="auto"/>
          <w:sz w:val="28"/>
          <w:szCs w:val="28"/>
          <w:highlight w:val="none"/>
        </w:rPr>
        <w:t>履约担保（参考格式）</w:t>
      </w:r>
      <w:bookmarkEnd w:id="1338"/>
      <w:bookmarkEnd w:id="1339"/>
      <w:bookmarkEnd w:id="1340"/>
    </w:p>
    <w:p w14:paraId="727334CB">
      <w:pPr>
        <w:pStyle w:val="27"/>
        <w:spacing w:line="440" w:lineRule="atLeast"/>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 xml:space="preserve">（发包人名称）： </w:t>
      </w:r>
    </w:p>
    <w:p w14:paraId="48BD375F">
      <w:pPr>
        <w:pStyle w:val="29"/>
        <w:spacing w:line="360" w:lineRule="auto"/>
        <w:ind w:firstLine="420"/>
        <w:rPr>
          <w:rFonts w:ascii="Times New Roman" w:cs="Times New Roman"/>
          <w:color w:val="auto"/>
          <w:highlight w:val="none"/>
        </w:rPr>
      </w:pPr>
      <w:r>
        <w:rPr>
          <w:rFonts w:ascii="Times New Roman" w:cs="Times New Roman"/>
          <w:color w:val="auto"/>
          <w:highlight w:val="none"/>
        </w:rPr>
        <w:t>鉴于</w:t>
      </w:r>
      <w:r>
        <w:rPr>
          <w:rFonts w:ascii="Times New Roman" w:cs="Times New Roman"/>
          <w:color w:val="auto"/>
          <w:highlight w:val="none"/>
          <w:u w:val="single"/>
        </w:rPr>
        <w:t xml:space="preserve">            </w:t>
      </w:r>
      <w:r>
        <w:rPr>
          <w:rFonts w:ascii="Times New Roman" w:cs="Times New Roman"/>
          <w:color w:val="auto"/>
          <w:highlight w:val="none"/>
        </w:rPr>
        <w:t>（发包人名称，以下简称</w:t>
      </w:r>
      <w:r>
        <w:rPr>
          <w:rFonts w:hint="eastAsia" w:ascii="Times New Roman" w:cs="Times New Roman"/>
          <w:color w:val="auto"/>
          <w:highlight w:val="none"/>
        </w:rPr>
        <w:t>“</w:t>
      </w:r>
      <w:r>
        <w:rPr>
          <w:rFonts w:ascii="Times New Roman" w:cs="Times New Roman"/>
          <w:color w:val="auto"/>
          <w:highlight w:val="none"/>
        </w:rPr>
        <w:t>发包人</w:t>
      </w:r>
      <w:r>
        <w:rPr>
          <w:rFonts w:hint="eastAsia" w:ascii="Times New Roman" w:cs="Times New Roman"/>
          <w:color w:val="auto"/>
          <w:highlight w:val="none"/>
        </w:rPr>
        <w:t>”</w:t>
      </w:r>
      <w:r>
        <w:rPr>
          <w:rFonts w:ascii="Times New Roman" w:cs="Times New Roman"/>
          <w:color w:val="auto"/>
          <w:highlight w:val="none"/>
        </w:rPr>
        <w:t>）接受</w:t>
      </w:r>
      <w:r>
        <w:rPr>
          <w:rFonts w:ascii="Times New Roman" w:cs="Times New Roman"/>
          <w:color w:val="auto"/>
          <w:highlight w:val="none"/>
          <w:u w:val="single"/>
        </w:rPr>
        <w:t xml:space="preserve">         </w:t>
      </w:r>
      <w:r>
        <w:rPr>
          <w:rFonts w:ascii="Times New Roman" w:cs="Times New Roman"/>
          <w:color w:val="auto"/>
          <w:highlight w:val="none"/>
        </w:rPr>
        <w:t>（承包人名称）（以下称</w:t>
      </w:r>
      <w:r>
        <w:rPr>
          <w:rFonts w:hint="eastAsia" w:ascii="Times New Roman" w:cs="Times New Roman"/>
          <w:color w:val="auto"/>
          <w:highlight w:val="none"/>
        </w:rPr>
        <w:t>“</w:t>
      </w:r>
      <w:r>
        <w:rPr>
          <w:rFonts w:ascii="Times New Roman" w:cs="Times New Roman"/>
          <w:color w:val="auto"/>
          <w:highlight w:val="none"/>
        </w:rPr>
        <w:t>承包人</w:t>
      </w:r>
      <w:r>
        <w:rPr>
          <w:rFonts w:hint="eastAsia" w:ascii="Times New Roman" w:cs="Times New Roman"/>
          <w:color w:val="auto"/>
          <w:highlight w:val="none"/>
        </w:rPr>
        <w:t>”</w:t>
      </w:r>
      <w:r>
        <w:rPr>
          <w:rFonts w:ascii="Times New Roman" w:cs="Times New Roman"/>
          <w:color w:val="auto"/>
          <w:highlight w:val="none"/>
        </w:rPr>
        <w:t>）于</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日递交的</w:t>
      </w:r>
      <w:r>
        <w:rPr>
          <w:rFonts w:ascii="Times New Roman" w:cs="Times New Roman"/>
          <w:color w:val="auto"/>
          <w:highlight w:val="none"/>
          <w:u w:val="single"/>
        </w:rPr>
        <w:t xml:space="preserve">            </w:t>
      </w:r>
      <w:r>
        <w:rPr>
          <w:rFonts w:ascii="Times New Roman" w:cs="Times New Roman"/>
          <w:color w:val="auto"/>
          <w:highlight w:val="none"/>
        </w:rPr>
        <w:t>（项目名称、标段）施工的投标文件。我方愿意无条件地、不可撤销地就承包人履行与你方订立的合同，向你方提供担保。</w:t>
      </w:r>
    </w:p>
    <w:p w14:paraId="1E021972">
      <w:pPr>
        <w:pStyle w:val="29"/>
        <w:spacing w:line="360" w:lineRule="auto"/>
        <w:ind w:firstLine="540"/>
        <w:rPr>
          <w:rFonts w:ascii="Times New Roman" w:cs="Times New Roman"/>
          <w:color w:val="auto"/>
          <w:highlight w:val="none"/>
        </w:rPr>
      </w:pPr>
      <w:r>
        <w:rPr>
          <w:rFonts w:ascii="Times New Roman" w:cs="Times New Roman"/>
          <w:color w:val="auto"/>
          <w:highlight w:val="none"/>
        </w:rPr>
        <w:t>1.担保金额人民币（大写）</w:t>
      </w:r>
      <w:r>
        <w:rPr>
          <w:rFonts w:ascii="Times New Roman" w:cs="Times New Roman"/>
          <w:color w:val="auto"/>
          <w:highlight w:val="none"/>
          <w:u w:val="single"/>
        </w:rPr>
        <w:t xml:space="preserve">            </w:t>
      </w:r>
      <w:r>
        <w:rPr>
          <w:rFonts w:ascii="Times New Roman" w:cs="Times New Roman"/>
          <w:color w:val="auto"/>
          <w:highlight w:val="none"/>
        </w:rPr>
        <w:t>元（¥</w:t>
      </w:r>
      <w:r>
        <w:rPr>
          <w:rFonts w:ascii="Times New Roman" w:cs="Times New Roman"/>
          <w:color w:val="auto"/>
          <w:highlight w:val="none"/>
          <w:u w:val="single"/>
        </w:rPr>
        <w:t xml:space="preserve">             </w:t>
      </w:r>
      <w:r>
        <w:rPr>
          <w:rFonts w:ascii="Times New Roman" w:cs="Times New Roman"/>
          <w:color w:val="auto"/>
          <w:highlight w:val="none"/>
        </w:rPr>
        <w:t>）。</w:t>
      </w:r>
    </w:p>
    <w:p w14:paraId="5196ED66">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2.担保有效期自发包人与承包人签订的合同生效之日起至发包人签发合同工程完工证书之日止。</w:t>
      </w:r>
    </w:p>
    <w:p w14:paraId="261E4ABB">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3.在本担保有效期内，因承包人违反合同约定的义务给你方造成经济损失时，我方在收到你方以书面形式提出的在担保金额内的赔偿要求后，在7天内无条件予以支付。</w:t>
      </w:r>
    </w:p>
    <w:p w14:paraId="7325B841">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4.发包人和承包人按《通用合同条款》第15条变更合同时，我方承担本担保规定的义务不变。</w:t>
      </w:r>
    </w:p>
    <w:p w14:paraId="091A8B08">
      <w:pPr>
        <w:pStyle w:val="26"/>
        <w:rPr>
          <w:rFonts w:ascii="Times New Roman" w:cs="Times New Roman"/>
          <w:color w:val="auto"/>
          <w:highlight w:val="none"/>
        </w:rPr>
      </w:pPr>
    </w:p>
    <w:p w14:paraId="5A54574B">
      <w:pPr>
        <w:pStyle w:val="30"/>
        <w:spacing w:line="440" w:lineRule="atLeast"/>
        <w:ind w:left="3418"/>
        <w:rPr>
          <w:rFonts w:ascii="Times New Roman" w:cs="Times New Roman"/>
          <w:color w:val="auto"/>
          <w:highlight w:val="none"/>
        </w:rPr>
      </w:pPr>
      <w:r>
        <w:rPr>
          <w:rFonts w:ascii="Times New Roman" w:cs="Times New Roman"/>
          <w:color w:val="auto"/>
          <w:highlight w:val="none"/>
        </w:rPr>
        <w:t>担保人：</w:t>
      </w:r>
      <w:r>
        <w:rPr>
          <w:rFonts w:ascii="Times New Roman" w:cs="Times New Roman"/>
          <w:color w:val="auto"/>
          <w:highlight w:val="none"/>
          <w:u w:val="single"/>
        </w:rPr>
        <w:t xml:space="preserve">                          </w:t>
      </w:r>
      <w:r>
        <w:rPr>
          <w:rFonts w:ascii="Times New Roman" w:cs="Times New Roman"/>
          <w:color w:val="auto"/>
          <w:highlight w:val="none"/>
        </w:rPr>
        <w:t>（盖单位章）</w:t>
      </w:r>
    </w:p>
    <w:p w14:paraId="70A5CA96">
      <w:pPr>
        <w:pStyle w:val="30"/>
        <w:spacing w:line="440" w:lineRule="atLeast"/>
        <w:ind w:left="3418"/>
        <w:rPr>
          <w:rFonts w:ascii="Times New Roman" w:cs="Times New Roman"/>
          <w:color w:val="auto"/>
          <w:highlight w:val="none"/>
        </w:rPr>
      </w:pPr>
      <w:r>
        <w:rPr>
          <w:rFonts w:ascii="Times New Roman" w:cs="Times New Roman"/>
          <w:color w:val="auto"/>
          <w:highlight w:val="none"/>
        </w:rPr>
        <w:t>法定代表人或其委托代理人：</w:t>
      </w:r>
      <w:r>
        <w:rPr>
          <w:rFonts w:ascii="Times New Roman" w:cs="Times New Roman"/>
          <w:color w:val="auto"/>
          <w:highlight w:val="none"/>
          <w:u w:val="single"/>
        </w:rPr>
        <w:t xml:space="preserve">            </w:t>
      </w:r>
      <w:r>
        <w:rPr>
          <w:rFonts w:ascii="Times New Roman" w:cs="Times New Roman"/>
          <w:color w:val="auto"/>
          <w:highlight w:val="none"/>
        </w:rPr>
        <w:t>（签字）</w:t>
      </w:r>
    </w:p>
    <w:p w14:paraId="2359BD60">
      <w:pPr>
        <w:pStyle w:val="30"/>
        <w:spacing w:line="440" w:lineRule="atLeast"/>
        <w:ind w:left="3418"/>
        <w:rPr>
          <w:rFonts w:ascii="Times New Roman" w:cs="Times New Roman"/>
          <w:color w:val="auto"/>
          <w:highlight w:val="none"/>
        </w:rPr>
      </w:pPr>
      <w:r>
        <w:rPr>
          <w:rFonts w:ascii="Times New Roman" w:cs="Times New Roman"/>
          <w:color w:val="auto"/>
          <w:highlight w:val="none"/>
        </w:rPr>
        <w:t>地    址：</w:t>
      </w:r>
      <w:r>
        <w:rPr>
          <w:rFonts w:ascii="Times New Roman" w:cs="Times New Roman"/>
          <w:color w:val="auto"/>
          <w:highlight w:val="none"/>
          <w:u w:val="single"/>
        </w:rPr>
        <w:t xml:space="preserve">                                    </w:t>
      </w:r>
    </w:p>
    <w:p w14:paraId="44C2E078">
      <w:pPr>
        <w:pStyle w:val="30"/>
        <w:spacing w:line="440" w:lineRule="atLeast"/>
        <w:ind w:left="3418"/>
        <w:rPr>
          <w:rFonts w:ascii="Times New Roman" w:cs="Times New Roman"/>
          <w:color w:val="auto"/>
          <w:highlight w:val="none"/>
        </w:rPr>
      </w:pPr>
      <w:r>
        <w:rPr>
          <w:rFonts w:ascii="Times New Roman" w:cs="Times New Roman"/>
          <w:color w:val="auto"/>
          <w:highlight w:val="none"/>
        </w:rPr>
        <w:t>邮政编码：</w:t>
      </w:r>
      <w:r>
        <w:rPr>
          <w:rFonts w:ascii="Times New Roman" w:cs="Times New Roman"/>
          <w:color w:val="auto"/>
          <w:highlight w:val="none"/>
          <w:u w:val="single"/>
        </w:rPr>
        <w:t xml:space="preserve">                                    </w:t>
      </w:r>
    </w:p>
    <w:p w14:paraId="032A3836">
      <w:pPr>
        <w:pStyle w:val="30"/>
        <w:spacing w:line="440" w:lineRule="atLeast"/>
        <w:ind w:left="3418"/>
        <w:rPr>
          <w:rFonts w:ascii="Times New Roman" w:cs="Times New Roman"/>
          <w:color w:val="auto"/>
          <w:highlight w:val="none"/>
        </w:rPr>
      </w:pPr>
      <w:r>
        <w:rPr>
          <w:rFonts w:ascii="Times New Roman" w:cs="Times New Roman"/>
          <w:color w:val="auto"/>
          <w:highlight w:val="none"/>
        </w:rPr>
        <w:t>电    话：</w:t>
      </w:r>
      <w:r>
        <w:rPr>
          <w:rFonts w:ascii="Times New Roman" w:cs="Times New Roman"/>
          <w:color w:val="auto"/>
          <w:highlight w:val="none"/>
          <w:u w:val="single"/>
        </w:rPr>
        <w:t xml:space="preserve">                                    </w:t>
      </w:r>
    </w:p>
    <w:p w14:paraId="05BB1037">
      <w:pPr>
        <w:pStyle w:val="30"/>
        <w:spacing w:line="440" w:lineRule="atLeast"/>
        <w:ind w:left="3418"/>
        <w:rPr>
          <w:rFonts w:ascii="Times New Roman" w:cs="Times New Roman"/>
          <w:color w:val="auto"/>
          <w:highlight w:val="none"/>
        </w:rPr>
      </w:pPr>
      <w:r>
        <w:rPr>
          <w:rFonts w:ascii="Times New Roman" w:cs="Times New Roman"/>
          <w:color w:val="auto"/>
          <w:highlight w:val="none"/>
        </w:rPr>
        <w:t>传    真：</w:t>
      </w:r>
      <w:r>
        <w:rPr>
          <w:rFonts w:ascii="Times New Roman" w:cs="Times New Roman"/>
          <w:color w:val="auto"/>
          <w:highlight w:val="none"/>
          <w:u w:val="single"/>
        </w:rPr>
        <w:t xml:space="preserve">                                    </w:t>
      </w:r>
    </w:p>
    <w:p w14:paraId="7469C1FB">
      <w:pPr>
        <w:pStyle w:val="26"/>
        <w:spacing w:line="440" w:lineRule="atLeast"/>
        <w:ind w:firstLine="4680" w:firstLineChars="1950"/>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p>
    <w:p w14:paraId="1843AD44">
      <w:pPr>
        <w:pStyle w:val="26"/>
        <w:spacing w:line="440" w:lineRule="atLeast"/>
        <w:rPr>
          <w:rFonts w:ascii="Times New Roman" w:cs="Times New Roman"/>
          <w:color w:val="auto"/>
          <w:sz w:val="21"/>
          <w:szCs w:val="21"/>
          <w:highlight w:val="none"/>
        </w:rPr>
      </w:pPr>
      <w:r>
        <w:rPr>
          <w:rFonts w:ascii="Times New Roman" w:cs="Times New Roman"/>
          <w:color w:val="auto"/>
          <w:sz w:val="21"/>
          <w:szCs w:val="21"/>
          <w:highlight w:val="none"/>
        </w:rPr>
        <w:t>注：委托代理人应附授权委托书</w:t>
      </w:r>
    </w:p>
    <w:p w14:paraId="775AD467">
      <w:pPr>
        <w:pStyle w:val="26"/>
        <w:spacing w:line="440" w:lineRule="atLeast"/>
        <w:rPr>
          <w:rFonts w:ascii="Times New Roman" w:cs="Times New Roman"/>
          <w:color w:val="auto"/>
          <w:sz w:val="21"/>
          <w:szCs w:val="21"/>
          <w:highlight w:val="none"/>
        </w:rPr>
      </w:pPr>
      <w:r>
        <w:rPr>
          <w:rFonts w:ascii="Times New Roman" w:cs="Times New Roman"/>
          <w:color w:val="auto"/>
          <w:highlight w:val="none"/>
        </w:rPr>
        <w:br w:type="page"/>
      </w:r>
    </w:p>
    <w:p w14:paraId="7293774A">
      <w:pPr>
        <w:pStyle w:val="5"/>
        <w:rPr>
          <w:rFonts w:hint="eastAsia" w:ascii="Times New Roman"/>
          <w:color w:val="auto"/>
          <w:sz w:val="24"/>
          <w:szCs w:val="20"/>
          <w:highlight w:val="none"/>
        </w:rPr>
      </w:pPr>
      <w:bookmarkStart w:id="1341" w:name="_Toc30829"/>
      <w:bookmarkStart w:id="1342" w:name="_Toc10116"/>
      <w:r>
        <w:rPr>
          <w:rFonts w:ascii="Times New Roman"/>
          <w:color w:val="auto"/>
          <w:sz w:val="24"/>
          <w:szCs w:val="20"/>
          <w:highlight w:val="none"/>
        </w:rPr>
        <w:t>附件三：工程建设项目安全生产责任书</w:t>
      </w:r>
      <w:bookmarkEnd w:id="1341"/>
      <w:bookmarkEnd w:id="1342"/>
    </w:p>
    <w:p w14:paraId="1E544619">
      <w:pPr>
        <w:rPr>
          <w:b/>
          <w:bCs/>
          <w:color w:val="auto"/>
          <w:sz w:val="44"/>
          <w:highlight w:val="none"/>
        </w:rPr>
      </w:pPr>
    </w:p>
    <w:p w14:paraId="2211FC6F">
      <w:pPr>
        <w:jc w:val="center"/>
        <w:outlineLvl w:val="1"/>
        <w:rPr>
          <w:b/>
          <w:bCs/>
          <w:color w:val="auto"/>
          <w:sz w:val="36"/>
          <w:szCs w:val="36"/>
          <w:highlight w:val="none"/>
        </w:rPr>
      </w:pPr>
      <w:bookmarkStart w:id="1343" w:name="_Toc18912"/>
      <w:bookmarkStart w:id="1344" w:name="_Toc26138"/>
      <w:bookmarkStart w:id="1345" w:name="_Toc8451"/>
      <w:r>
        <w:rPr>
          <w:b/>
          <w:bCs/>
          <w:color w:val="auto"/>
          <w:sz w:val="36"/>
          <w:szCs w:val="36"/>
          <w:highlight w:val="none"/>
        </w:rPr>
        <w:t>工程建设项目安全生产责任书（格式）</w:t>
      </w:r>
      <w:bookmarkEnd w:id="1343"/>
      <w:bookmarkEnd w:id="1344"/>
      <w:bookmarkEnd w:id="1345"/>
    </w:p>
    <w:p w14:paraId="270DEF84">
      <w:pPr>
        <w:rPr>
          <w:color w:val="auto"/>
          <w:highlight w:val="none"/>
        </w:rPr>
      </w:pPr>
    </w:p>
    <w:p w14:paraId="5CAA4F7A">
      <w:pPr>
        <w:spacing w:line="360" w:lineRule="auto"/>
        <w:rPr>
          <w:color w:val="auto"/>
          <w:sz w:val="24"/>
          <w:highlight w:val="none"/>
        </w:rPr>
      </w:pPr>
      <w:r>
        <w:rPr>
          <w:color w:val="auto"/>
          <w:sz w:val="24"/>
          <w:highlight w:val="none"/>
        </w:rPr>
        <w:t>工程项目名称：</w:t>
      </w:r>
    </w:p>
    <w:p w14:paraId="0CB7E1D3">
      <w:pPr>
        <w:spacing w:line="360" w:lineRule="auto"/>
        <w:rPr>
          <w:color w:val="auto"/>
          <w:sz w:val="24"/>
          <w:highlight w:val="none"/>
        </w:rPr>
      </w:pPr>
      <w:r>
        <w:rPr>
          <w:color w:val="auto"/>
          <w:sz w:val="24"/>
          <w:highlight w:val="none"/>
        </w:rPr>
        <w:t>工程项目地址：</w:t>
      </w:r>
    </w:p>
    <w:p w14:paraId="055F21B7">
      <w:pPr>
        <w:spacing w:line="360" w:lineRule="auto"/>
        <w:rPr>
          <w:color w:val="auto"/>
          <w:sz w:val="24"/>
          <w:highlight w:val="none"/>
        </w:rPr>
      </w:pPr>
      <w:r>
        <w:rPr>
          <w:color w:val="auto"/>
          <w:sz w:val="24"/>
          <w:highlight w:val="none"/>
        </w:rPr>
        <w:t>建设单位（甲方）：</w:t>
      </w:r>
    </w:p>
    <w:p w14:paraId="2D9D1697">
      <w:pPr>
        <w:spacing w:line="360" w:lineRule="auto"/>
        <w:rPr>
          <w:color w:val="auto"/>
          <w:sz w:val="24"/>
          <w:highlight w:val="none"/>
        </w:rPr>
      </w:pPr>
      <w:r>
        <w:rPr>
          <w:color w:val="auto"/>
          <w:sz w:val="24"/>
          <w:highlight w:val="none"/>
        </w:rPr>
        <w:t>施工单位（乙方）：</w:t>
      </w:r>
    </w:p>
    <w:p w14:paraId="7E785FAA">
      <w:pPr>
        <w:pStyle w:val="31"/>
        <w:adjustRightInd w:val="0"/>
        <w:textAlignment w:val="baseline"/>
        <w:rPr>
          <w:rFonts w:hAnsi="Times New Roman"/>
          <w:color w:val="auto"/>
          <w:kern w:val="0"/>
          <w:szCs w:val="24"/>
          <w:highlight w:val="none"/>
        </w:rPr>
      </w:pPr>
      <w:r>
        <w:rPr>
          <w:rFonts w:hAnsi="Times New Roman"/>
          <w:color w:val="auto"/>
          <w:kern w:val="0"/>
          <w:szCs w:val="24"/>
          <w:highlight w:val="none"/>
        </w:rPr>
        <w:t>为在工程项目实施过程中创造安全、高效的施工环境，加强工程建设中的安全生产建设，切实搞好本项目的安全管理工作，规范工程建设项目承发包双方的各项安全生产活动，防止发生各种安全生产事故，保护国家、集体和当事人的合法财产，根据国家有关工程建设的法律法规和安全生产建设责任制规定，特订立本安全生产责任书。</w:t>
      </w:r>
    </w:p>
    <w:p w14:paraId="6AFB0187">
      <w:pPr>
        <w:numPr>
          <w:ilvl w:val="0"/>
          <w:numId w:val="5"/>
        </w:numPr>
        <w:spacing w:line="360" w:lineRule="auto"/>
        <w:ind w:firstLine="480" w:firstLineChars="200"/>
        <w:rPr>
          <w:color w:val="auto"/>
          <w:sz w:val="24"/>
          <w:highlight w:val="none"/>
        </w:rPr>
      </w:pPr>
      <w:r>
        <w:rPr>
          <w:rFonts w:hint="eastAsia"/>
          <w:color w:val="auto"/>
          <w:sz w:val="24"/>
          <w:highlight w:val="none"/>
        </w:rPr>
        <w:t>安全生产目标</w:t>
      </w:r>
    </w:p>
    <w:p w14:paraId="3A769327">
      <w:pPr>
        <w:pStyle w:val="31"/>
        <w:adjustRightInd w:val="0"/>
        <w:textAlignment w:val="baseline"/>
        <w:rPr>
          <w:rFonts w:hint="eastAsia"/>
          <w:color w:val="auto"/>
          <w:highlight w:val="none"/>
        </w:rPr>
      </w:pPr>
      <w:r>
        <w:rPr>
          <w:rFonts w:hint="eastAsia"/>
          <w:color w:val="auto"/>
          <w:highlight w:val="none"/>
        </w:rPr>
        <w:t>不发生一般及以上安全事故。</w:t>
      </w:r>
    </w:p>
    <w:p w14:paraId="71F8036D">
      <w:pPr>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甲方职责</w:t>
      </w:r>
    </w:p>
    <w:p w14:paraId="52A858A5">
      <w:pPr>
        <w:spacing w:line="360"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14:paraId="1F5D8916">
      <w:pPr>
        <w:spacing w:line="360" w:lineRule="auto"/>
        <w:ind w:firstLine="480" w:firstLineChars="200"/>
        <w:rPr>
          <w:color w:val="auto"/>
          <w:sz w:val="24"/>
          <w:highlight w:val="none"/>
        </w:rPr>
      </w:pPr>
      <w:r>
        <w:rPr>
          <w:color w:val="auto"/>
          <w:sz w:val="24"/>
          <w:highlight w:val="none"/>
        </w:rPr>
        <w:t>2．按照</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和坚持</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的原则进行安全生产管理，做到生产与安全工作同时计划、布置、检查、总结和评比。</w:t>
      </w:r>
    </w:p>
    <w:p w14:paraId="6260CDFB">
      <w:pPr>
        <w:spacing w:line="360" w:lineRule="auto"/>
        <w:ind w:firstLine="480" w:firstLineChars="200"/>
        <w:rPr>
          <w:color w:val="auto"/>
          <w:sz w:val="24"/>
          <w:highlight w:val="none"/>
        </w:rPr>
      </w:pPr>
      <w:r>
        <w:rPr>
          <w:color w:val="auto"/>
          <w:sz w:val="24"/>
          <w:highlight w:val="none"/>
        </w:rPr>
        <w:t>3．重要的安全设施必须坚持与主体工程</w:t>
      </w:r>
      <w:r>
        <w:rPr>
          <w:rFonts w:hint="eastAsia"/>
          <w:color w:val="auto"/>
          <w:sz w:val="24"/>
          <w:highlight w:val="none"/>
        </w:rPr>
        <w:t>“</w:t>
      </w:r>
      <w:r>
        <w:rPr>
          <w:color w:val="auto"/>
          <w:sz w:val="24"/>
          <w:highlight w:val="none"/>
        </w:rPr>
        <w:t>三同时</w:t>
      </w:r>
      <w:r>
        <w:rPr>
          <w:rFonts w:hint="eastAsia"/>
          <w:color w:val="auto"/>
          <w:sz w:val="24"/>
          <w:highlight w:val="none"/>
        </w:rPr>
        <w:t>”</w:t>
      </w:r>
      <w:r>
        <w:rPr>
          <w:color w:val="auto"/>
          <w:sz w:val="24"/>
          <w:highlight w:val="none"/>
        </w:rPr>
        <w:t>的原则，即：同时设计、审批；同时施工，同时验收，投入使用。</w:t>
      </w:r>
    </w:p>
    <w:p w14:paraId="36CB10D8">
      <w:pPr>
        <w:spacing w:line="360" w:lineRule="auto"/>
        <w:ind w:firstLine="480" w:firstLineChars="200"/>
        <w:rPr>
          <w:color w:val="auto"/>
          <w:sz w:val="24"/>
          <w:highlight w:val="none"/>
        </w:rPr>
      </w:pPr>
      <w:r>
        <w:rPr>
          <w:color w:val="auto"/>
          <w:sz w:val="24"/>
          <w:highlight w:val="none"/>
        </w:rPr>
        <w:t>4．定期召开安全生产调度会，及时传达中央及地方有关安全生产的精神。</w:t>
      </w:r>
    </w:p>
    <w:p w14:paraId="2751EF35">
      <w:pPr>
        <w:spacing w:line="360"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14:paraId="0D529BB3">
      <w:pPr>
        <w:spacing w:line="360" w:lineRule="auto"/>
        <w:ind w:firstLine="480" w:firstLineChars="200"/>
        <w:rPr>
          <w:color w:val="auto"/>
          <w:sz w:val="24"/>
          <w:highlight w:val="none"/>
        </w:rPr>
      </w:pPr>
      <w:r>
        <w:rPr>
          <w:rFonts w:hint="eastAsia"/>
          <w:color w:val="auto"/>
          <w:sz w:val="24"/>
          <w:highlight w:val="none"/>
        </w:rPr>
        <w:t>三</w:t>
      </w:r>
      <w:r>
        <w:rPr>
          <w:color w:val="auto"/>
          <w:sz w:val="24"/>
          <w:highlight w:val="none"/>
        </w:rPr>
        <w:t>、乙方职责</w:t>
      </w:r>
    </w:p>
    <w:p w14:paraId="352BD488">
      <w:pPr>
        <w:spacing w:line="360" w:lineRule="auto"/>
        <w:ind w:firstLine="480" w:firstLineChars="200"/>
        <w:rPr>
          <w:color w:val="auto"/>
          <w:sz w:val="24"/>
          <w:highlight w:val="none"/>
        </w:rPr>
      </w:pPr>
      <w:r>
        <w:rPr>
          <w:color w:val="auto"/>
          <w:sz w:val="24"/>
          <w:highlight w:val="none"/>
        </w:rPr>
        <w:t>1．严格遵守国家有关安全生产的法律法规、有关安全生产的规定，认真执行工程承包合同中的有关安全要求。</w:t>
      </w:r>
    </w:p>
    <w:p w14:paraId="6D852937">
      <w:pPr>
        <w:spacing w:line="360"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88B0B95">
      <w:pPr>
        <w:spacing w:line="360" w:lineRule="auto"/>
        <w:ind w:firstLine="480" w:firstLineChars="200"/>
        <w:rPr>
          <w:color w:val="auto"/>
          <w:sz w:val="24"/>
          <w:highlight w:val="none"/>
        </w:rPr>
      </w:pPr>
      <w:r>
        <w:rPr>
          <w:color w:val="auto"/>
          <w:sz w:val="24"/>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481C7B">
      <w:pPr>
        <w:spacing w:line="360" w:lineRule="auto"/>
        <w:ind w:firstLine="480" w:firstLineChars="200"/>
        <w:rPr>
          <w:color w:val="auto"/>
          <w:sz w:val="24"/>
          <w:highlight w:val="none"/>
        </w:rPr>
      </w:pPr>
      <w:r>
        <w:rPr>
          <w:color w:val="auto"/>
          <w:sz w:val="24"/>
          <w:highlight w:val="none"/>
        </w:rPr>
        <w:t>4．乙方在任何时侯都应采取各种合理的预防措施，防止其员工发生任何违法、违禁、暴力或妨碍治安的行为。</w:t>
      </w:r>
    </w:p>
    <w:p w14:paraId="5E799437">
      <w:pPr>
        <w:spacing w:line="360" w:lineRule="auto"/>
        <w:ind w:firstLine="480" w:firstLineChars="200"/>
        <w:rPr>
          <w:color w:val="auto"/>
          <w:sz w:val="24"/>
          <w:highlight w:val="none"/>
        </w:rPr>
      </w:pPr>
      <w:r>
        <w:rPr>
          <w:color w:val="auto"/>
          <w:sz w:val="24"/>
          <w:highlight w:val="none"/>
        </w:rPr>
        <w:t>5．乙方必须具有劳动安全管理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出现特种作业无证操作现象，项目负责人必须承担管理责任。</w:t>
      </w:r>
    </w:p>
    <w:p w14:paraId="7937F3CB">
      <w:pPr>
        <w:spacing w:line="360"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290AF93">
      <w:pPr>
        <w:spacing w:line="360"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14:paraId="33AC8BEB">
      <w:pPr>
        <w:spacing w:line="360"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14:paraId="7D809766">
      <w:pPr>
        <w:spacing w:line="360"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14:paraId="493D2CE0">
      <w:pPr>
        <w:spacing w:line="360"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w:t>
      </w:r>
      <w:r>
        <w:rPr>
          <w:rFonts w:hint="eastAsia"/>
          <w:color w:val="auto"/>
          <w:sz w:val="24"/>
          <w:highlight w:val="none"/>
        </w:rPr>
        <w:t>“</w:t>
      </w:r>
      <w:r>
        <w:rPr>
          <w:color w:val="auto"/>
          <w:sz w:val="24"/>
          <w:highlight w:val="none"/>
        </w:rPr>
        <w:t>三不放过</w:t>
      </w:r>
      <w:r>
        <w:rPr>
          <w:rFonts w:hint="eastAsia"/>
          <w:color w:val="auto"/>
          <w:sz w:val="24"/>
          <w:highlight w:val="none"/>
        </w:rPr>
        <w:t>”</w:t>
      </w:r>
      <w:r>
        <w:rPr>
          <w:color w:val="auto"/>
          <w:sz w:val="24"/>
          <w:highlight w:val="none"/>
        </w:rPr>
        <w:t>的原则，严肃处理相关责任人。</w:t>
      </w:r>
    </w:p>
    <w:p w14:paraId="4AEF5AED">
      <w:pPr>
        <w:spacing w:line="360" w:lineRule="auto"/>
        <w:ind w:firstLine="480" w:firstLineChars="200"/>
        <w:rPr>
          <w:color w:val="auto"/>
          <w:sz w:val="24"/>
          <w:highlight w:val="none"/>
        </w:rPr>
      </w:pPr>
      <w:r>
        <w:rPr>
          <w:color w:val="auto"/>
          <w:sz w:val="24"/>
          <w:highlight w:val="none"/>
        </w:rPr>
        <w:t>11．在汛期施工，乙方应制订度汛方案，采取相应度汛措施，确保汛期施工安全，如发生相关安全责任事故，乙方应负全责。</w:t>
      </w:r>
    </w:p>
    <w:p w14:paraId="5B800FDC">
      <w:pPr>
        <w:spacing w:line="360" w:lineRule="auto"/>
        <w:ind w:firstLine="480" w:firstLineChars="200"/>
        <w:rPr>
          <w:color w:val="auto"/>
          <w:sz w:val="24"/>
          <w:highlight w:val="none"/>
        </w:rPr>
      </w:pPr>
      <w:r>
        <w:rPr>
          <w:color w:val="auto"/>
          <w:sz w:val="24"/>
          <w:highlight w:val="none"/>
        </w:rPr>
        <w:t>12．在施工期间，乙方应做好相应安全防护措施，确保施工安全，如发生相关安全责任事故，乙方应负全责。</w:t>
      </w:r>
    </w:p>
    <w:p w14:paraId="5AED5BFD">
      <w:pPr>
        <w:spacing w:line="360" w:lineRule="auto"/>
        <w:ind w:firstLine="480" w:firstLineChars="200"/>
        <w:rPr>
          <w:color w:val="auto"/>
          <w:sz w:val="24"/>
          <w:highlight w:val="none"/>
        </w:rPr>
      </w:pPr>
      <w:r>
        <w:rPr>
          <w:rFonts w:hint="eastAsia"/>
          <w:color w:val="auto"/>
          <w:sz w:val="24"/>
          <w:highlight w:val="none"/>
        </w:rPr>
        <w:t>13.涉及安全生产费按广东省水利厅关于印发《广东省水利厅关于水利工程建设安全生产费用的管理办法》的通知</w:t>
      </w:r>
      <w:r>
        <w:rPr>
          <w:rFonts w:hint="eastAsia"/>
          <w:color w:val="auto"/>
          <w:sz w:val="24"/>
          <w:highlight w:val="none"/>
          <w:lang w:eastAsia="zh-CN"/>
        </w:rPr>
        <w:t>（</w:t>
      </w:r>
      <w:r>
        <w:rPr>
          <w:rFonts w:hint="eastAsia"/>
          <w:color w:val="auto"/>
          <w:sz w:val="24"/>
          <w:highlight w:val="none"/>
        </w:rPr>
        <w:t>粤水规范字〔2025〕7号</w:t>
      </w:r>
      <w:r>
        <w:rPr>
          <w:rFonts w:hint="eastAsia"/>
          <w:color w:val="auto"/>
          <w:sz w:val="24"/>
          <w:highlight w:val="none"/>
          <w:lang w:eastAsia="zh-CN"/>
        </w:rPr>
        <w:t>）</w:t>
      </w:r>
      <w:r>
        <w:rPr>
          <w:rFonts w:hint="eastAsia"/>
          <w:color w:val="auto"/>
          <w:sz w:val="24"/>
          <w:highlight w:val="none"/>
        </w:rPr>
        <w:t>执行。</w:t>
      </w:r>
    </w:p>
    <w:p w14:paraId="5EEED66B">
      <w:pPr>
        <w:spacing w:line="360" w:lineRule="auto"/>
        <w:ind w:firstLine="480" w:firstLineChars="200"/>
        <w:rPr>
          <w:color w:val="auto"/>
          <w:sz w:val="24"/>
          <w:highlight w:val="none"/>
        </w:rPr>
      </w:pPr>
      <w:r>
        <w:rPr>
          <w:rFonts w:hint="eastAsia"/>
          <w:color w:val="auto"/>
          <w:sz w:val="24"/>
          <w:highlight w:val="none"/>
        </w:rPr>
        <w:t>四</w:t>
      </w:r>
      <w:r>
        <w:rPr>
          <w:color w:val="auto"/>
          <w:sz w:val="24"/>
          <w:highlight w:val="none"/>
        </w:rPr>
        <w:t>、违约责任</w:t>
      </w:r>
    </w:p>
    <w:p w14:paraId="0BA4BB17">
      <w:pPr>
        <w:spacing w:line="360" w:lineRule="auto"/>
        <w:ind w:firstLine="480" w:firstLineChars="200"/>
        <w:rPr>
          <w:color w:val="auto"/>
          <w:sz w:val="24"/>
          <w:highlight w:val="none"/>
        </w:rPr>
      </w:pPr>
      <w:r>
        <w:rPr>
          <w:color w:val="auto"/>
          <w:sz w:val="24"/>
          <w:highlight w:val="none"/>
        </w:rPr>
        <w:t xml:space="preserve">  如因甲方或乙方违约造成安全事故，将依法追究责任。</w:t>
      </w:r>
    </w:p>
    <w:p w14:paraId="49AA0A44">
      <w:pPr>
        <w:spacing w:line="360" w:lineRule="auto"/>
        <w:ind w:firstLine="480" w:firstLineChars="200"/>
        <w:rPr>
          <w:color w:val="auto"/>
          <w:sz w:val="24"/>
          <w:highlight w:val="none"/>
        </w:rPr>
      </w:pPr>
      <w:r>
        <w:rPr>
          <w:rFonts w:hint="eastAsia"/>
          <w:color w:val="auto"/>
          <w:sz w:val="24"/>
          <w:highlight w:val="none"/>
        </w:rPr>
        <w:t>五</w:t>
      </w:r>
      <w:r>
        <w:rPr>
          <w:color w:val="auto"/>
          <w:sz w:val="24"/>
          <w:highlight w:val="none"/>
        </w:rPr>
        <w:t>、本责任书作为工程施工合同的附件，与工程施工合同具有同等法律效力。经双方签署后立即生效。</w:t>
      </w:r>
    </w:p>
    <w:p w14:paraId="1B58B34A">
      <w:pPr>
        <w:spacing w:line="360" w:lineRule="auto"/>
        <w:ind w:firstLine="480" w:firstLineChars="200"/>
        <w:rPr>
          <w:color w:val="auto"/>
          <w:sz w:val="24"/>
          <w:highlight w:val="none"/>
        </w:rPr>
      </w:pPr>
      <w:r>
        <w:rPr>
          <w:rFonts w:hint="eastAsia"/>
          <w:color w:val="auto"/>
          <w:sz w:val="24"/>
          <w:highlight w:val="none"/>
        </w:rPr>
        <w:t>六</w:t>
      </w:r>
      <w:r>
        <w:rPr>
          <w:color w:val="auto"/>
          <w:sz w:val="24"/>
          <w:highlight w:val="none"/>
        </w:rPr>
        <w:t>、责任书的有效期为双方签署之日起至该工程项目竣工验收合格时止。</w:t>
      </w:r>
    </w:p>
    <w:p w14:paraId="34E2D688">
      <w:pPr>
        <w:spacing w:line="360" w:lineRule="auto"/>
        <w:ind w:firstLine="480" w:firstLineChars="200"/>
        <w:rPr>
          <w:color w:val="auto"/>
          <w:sz w:val="24"/>
          <w:highlight w:val="none"/>
        </w:rPr>
      </w:pPr>
      <w:r>
        <w:rPr>
          <w:rFonts w:hint="eastAsia"/>
          <w:color w:val="auto"/>
          <w:sz w:val="24"/>
          <w:highlight w:val="none"/>
        </w:rPr>
        <w:t>七</w:t>
      </w:r>
      <w:r>
        <w:rPr>
          <w:color w:val="auto"/>
          <w:sz w:val="24"/>
          <w:highlight w:val="none"/>
        </w:rPr>
        <w:t>、本责任书一式</w:t>
      </w:r>
      <w:r>
        <w:rPr>
          <w:rFonts w:hint="eastAsia"/>
          <w:color w:val="auto"/>
          <w:sz w:val="24"/>
          <w:highlight w:val="none"/>
        </w:rPr>
        <w:t>捌</w:t>
      </w:r>
      <w:r>
        <w:rPr>
          <w:color w:val="auto"/>
          <w:sz w:val="24"/>
          <w:highlight w:val="none"/>
        </w:rPr>
        <w:t>份，由甲乙双方各执</w:t>
      </w:r>
      <w:r>
        <w:rPr>
          <w:rFonts w:hint="eastAsia"/>
          <w:color w:val="auto"/>
          <w:sz w:val="24"/>
          <w:highlight w:val="none"/>
        </w:rPr>
        <w:t>叁</w:t>
      </w:r>
      <w:r>
        <w:rPr>
          <w:color w:val="auto"/>
          <w:sz w:val="24"/>
          <w:highlight w:val="none"/>
        </w:rPr>
        <w:t>份，送交甲乙双方的监督单位各一份。</w:t>
      </w:r>
    </w:p>
    <w:p w14:paraId="7D4CDF2B">
      <w:pPr>
        <w:spacing w:line="360" w:lineRule="auto"/>
        <w:ind w:firstLine="480" w:firstLineChars="200"/>
        <w:rPr>
          <w:color w:val="auto"/>
          <w:sz w:val="24"/>
          <w:highlight w:val="none"/>
        </w:rPr>
      </w:pPr>
    </w:p>
    <w:p w14:paraId="091A6491">
      <w:pPr>
        <w:spacing w:line="360" w:lineRule="auto"/>
        <w:ind w:firstLine="960" w:firstLineChars="400"/>
        <w:rPr>
          <w:color w:val="auto"/>
          <w:sz w:val="24"/>
          <w:highlight w:val="none"/>
        </w:rPr>
      </w:pPr>
      <w:r>
        <w:rPr>
          <w:color w:val="auto"/>
          <w:sz w:val="24"/>
          <w:highlight w:val="none"/>
        </w:rPr>
        <w:t>甲方单位：（盖章）                乙方单位：（盖章）</w:t>
      </w:r>
    </w:p>
    <w:p w14:paraId="5490D089">
      <w:pPr>
        <w:spacing w:line="360" w:lineRule="auto"/>
        <w:ind w:firstLine="480" w:firstLineChars="200"/>
        <w:rPr>
          <w:color w:val="auto"/>
          <w:sz w:val="24"/>
          <w:highlight w:val="none"/>
        </w:rPr>
      </w:pPr>
    </w:p>
    <w:p w14:paraId="529D0B02">
      <w:pPr>
        <w:pStyle w:val="31"/>
        <w:adjustRightInd w:val="0"/>
        <w:textAlignment w:val="baseline"/>
        <w:rPr>
          <w:rFonts w:hAnsi="Times New Roman"/>
          <w:color w:val="auto"/>
          <w:kern w:val="0"/>
          <w:szCs w:val="24"/>
          <w:highlight w:val="none"/>
        </w:rPr>
      </w:pPr>
    </w:p>
    <w:p w14:paraId="6DBC3380">
      <w:pPr>
        <w:spacing w:line="360" w:lineRule="auto"/>
        <w:ind w:firstLine="960" w:firstLineChars="400"/>
        <w:rPr>
          <w:color w:val="auto"/>
          <w:sz w:val="24"/>
          <w:highlight w:val="none"/>
        </w:rPr>
      </w:pPr>
      <w:r>
        <w:rPr>
          <w:color w:val="auto"/>
          <w:sz w:val="24"/>
          <w:highlight w:val="none"/>
        </w:rPr>
        <w:t>法定代表人：                      法定代表人：</w:t>
      </w:r>
    </w:p>
    <w:p w14:paraId="6810A54A">
      <w:pPr>
        <w:spacing w:line="360" w:lineRule="auto"/>
        <w:ind w:firstLine="960" w:firstLineChars="400"/>
        <w:rPr>
          <w:color w:val="auto"/>
          <w:sz w:val="24"/>
          <w:highlight w:val="none"/>
        </w:rPr>
      </w:pPr>
      <w:r>
        <w:rPr>
          <w:color w:val="auto"/>
          <w:sz w:val="24"/>
          <w:highlight w:val="none"/>
        </w:rPr>
        <w:t>地    址：                        地    址：</w:t>
      </w:r>
    </w:p>
    <w:p w14:paraId="61A20862">
      <w:pPr>
        <w:spacing w:line="360" w:lineRule="auto"/>
        <w:ind w:firstLine="960" w:firstLineChars="400"/>
        <w:rPr>
          <w:color w:val="auto"/>
          <w:sz w:val="24"/>
          <w:highlight w:val="none"/>
        </w:rPr>
      </w:pPr>
      <w:r>
        <w:rPr>
          <w:color w:val="auto"/>
          <w:sz w:val="24"/>
          <w:highlight w:val="none"/>
        </w:rPr>
        <w:t>联系电话：                        联系电话：</w:t>
      </w:r>
    </w:p>
    <w:p w14:paraId="20288526">
      <w:pPr>
        <w:spacing w:line="400" w:lineRule="exact"/>
        <w:ind w:firstLine="480" w:firstLineChars="200"/>
        <w:rPr>
          <w:color w:val="auto"/>
          <w:sz w:val="24"/>
          <w:highlight w:val="none"/>
        </w:rPr>
      </w:pPr>
    </w:p>
    <w:p w14:paraId="4D88CBB6">
      <w:pPr>
        <w:pStyle w:val="6"/>
        <w:ind w:firstLine="480"/>
        <w:rPr>
          <w:rFonts w:ascii="Times New Roman" w:hAnsi="Times New Roman" w:eastAsia="宋体"/>
          <w:b w:val="0"/>
          <w:bCs w:val="0"/>
          <w:color w:val="auto"/>
          <w:sz w:val="24"/>
          <w:szCs w:val="24"/>
          <w:highlight w:val="none"/>
        </w:rPr>
      </w:pPr>
      <w:r>
        <w:rPr>
          <w:rFonts w:ascii="Times New Roman" w:hAnsi="Times New Roman" w:eastAsia="宋体"/>
          <w:b w:val="0"/>
          <w:bCs w:val="0"/>
          <w:color w:val="auto"/>
          <w:sz w:val="24"/>
          <w:szCs w:val="24"/>
          <w:highlight w:val="none"/>
        </w:rPr>
        <w:t xml:space="preserve">    年     月     日                 年     月     日</w:t>
      </w:r>
    </w:p>
    <w:p w14:paraId="13FBD4D8">
      <w:pPr>
        <w:ind w:firstLine="480"/>
        <w:rPr>
          <w:color w:val="auto"/>
          <w:highlight w:val="none"/>
        </w:rPr>
      </w:pPr>
    </w:p>
    <w:p w14:paraId="3F212023">
      <w:pPr>
        <w:wordWrap w:val="0"/>
        <w:topLinePunct/>
        <w:spacing w:before="62" w:beforeLines="20" w:after="62" w:afterLines="20" w:line="360" w:lineRule="auto"/>
        <w:rPr>
          <w:rFonts w:hint="eastAsia" w:ascii="宋体" w:hAnsi="宋体" w:cs="宋体"/>
          <w:color w:val="auto"/>
          <w:szCs w:val="21"/>
          <w:highlight w:val="none"/>
        </w:rPr>
        <w:sectPr>
          <w:pgSz w:w="11906" w:h="16838"/>
          <w:pgMar w:top="1440" w:right="1800" w:bottom="1440" w:left="1800" w:header="1020" w:footer="1020" w:gutter="0"/>
          <w:pgNumType w:fmt="numberInDash"/>
          <w:cols w:space="720" w:num="1"/>
          <w:docGrid w:type="linesAndChars" w:linePitch="312" w:charSpace="0"/>
        </w:sectPr>
      </w:pPr>
    </w:p>
    <w:p w14:paraId="74DAA4FF">
      <w:pPr>
        <w:pStyle w:val="3"/>
        <w:spacing w:before="120" w:after="120" w:line="480" w:lineRule="auto"/>
        <w:jc w:val="center"/>
        <w:rPr>
          <w:rFonts w:hint="eastAsia" w:ascii="宋体" w:hAnsi="宋体" w:eastAsia="宋体"/>
          <w:color w:val="auto"/>
          <w:highlight w:val="none"/>
        </w:rPr>
      </w:pPr>
      <w:bookmarkStart w:id="1346" w:name="_Toc15620"/>
      <w:bookmarkStart w:id="1347" w:name="_Toc20093"/>
      <w:bookmarkStart w:id="1348" w:name="_Toc32541"/>
      <w:bookmarkStart w:id="1349" w:name="_Toc39698071"/>
      <w:bookmarkStart w:id="1350" w:name="_Toc307341143"/>
      <w:bookmarkStart w:id="1351" w:name="_Toc6527"/>
      <w:bookmarkStart w:id="1352" w:name="_Toc21602"/>
      <w:bookmarkStart w:id="1353" w:name="_Toc26131"/>
      <w:r>
        <w:rPr>
          <w:rFonts w:hint="eastAsia" w:ascii="宋体" w:hAnsi="宋体" w:eastAsia="宋体"/>
          <w:color w:val="auto"/>
          <w:highlight w:val="none"/>
        </w:rPr>
        <w:t>第五章 图纸(招标图纸)</w:t>
      </w:r>
      <w:bookmarkEnd w:id="1346"/>
      <w:bookmarkEnd w:id="1347"/>
      <w:bookmarkEnd w:id="1348"/>
      <w:bookmarkEnd w:id="1349"/>
      <w:bookmarkEnd w:id="1350"/>
      <w:bookmarkEnd w:id="1351"/>
      <w:bookmarkEnd w:id="1352"/>
      <w:bookmarkEnd w:id="1353"/>
    </w:p>
    <w:p w14:paraId="02F8B304">
      <w:pPr>
        <w:spacing w:line="480" w:lineRule="auto"/>
        <w:jc w:val="center"/>
        <w:rPr>
          <w:rFonts w:hint="eastAsia" w:ascii="宋体" w:hAnsi="宋体"/>
          <w:b/>
          <w:color w:val="auto"/>
          <w:sz w:val="24"/>
          <w:highlight w:val="none"/>
        </w:rPr>
      </w:pPr>
      <w:r>
        <w:rPr>
          <w:rFonts w:hint="eastAsia" w:ascii="宋体" w:hAnsi="宋体"/>
          <w:b/>
          <w:color w:val="auto"/>
          <w:sz w:val="24"/>
          <w:highlight w:val="none"/>
        </w:rPr>
        <w:t>（另册）</w:t>
      </w:r>
    </w:p>
    <w:p w14:paraId="19F854FB">
      <w:pPr>
        <w:jc w:val="center"/>
        <w:outlineLvl w:val="0"/>
        <w:rPr>
          <w:rFonts w:hint="eastAsia" w:ascii="宋体" w:hAnsi="宋体"/>
          <w:color w:val="auto"/>
          <w:highlight w:val="none"/>
        </w:rPr>
      </w:pPr>
      <w:bookmarkStart w:id="1354" w:name="_Toc6117"/>
      <w:bookmarkStart w:id="1355" w:name="_Toc16759"/>
      <w:bookmarkStart w:id="1356" w:name="_Toc2855"/>
      <w:r>
        <w:rPr>
          <w:rFonts w:hint="eastAsia" w:ascii="宋体" w:hAnsi="宋体"/>
          <w:b/>
          <w:bCs/>
          <w:color w:val="auto"/>
          <w:kern w:val="44"/>
          <w:sz w:val="36"/>
          <w:szCs w:val="44"/>
          <w:highlight w:val="none"/>
        </w:rPr>
        <w:br w:type="page"/>
      </w:r>
      <w:bookmarkStart w:id="1357" w:name="_Toc31053"/>
      <w:bookmarkStart w:id="1358" w:name="_Toc2275"/>
      <w:r>
        <w:rPr>
          <w:rFonts w:hint="eastAsia" w:ascii="宋体" w:hAnsi="宋体"/>
          <w:b/>
          <w:bCs/>
          <w:color w:val="auto"/>
          <w:kern w:val="44"/>
          <w:sz w:val="36"/>
          <w:szCs w:val="44"/>
          <w:highlight w:val="none"/>
        </w:rPr>
        <w:t xml:space="preserve">第六章 </w:t>
      </w:r>
      <w:r>
        <w:rPr>
          <w:rFonts w:hint="eastAsia" w:ascii="宋体" w:hAnsi="宋体"/>
          <w:b/>
          <w:bCs/>
          <w:color w:val="auto"/>
          <w:sz w:val="36"/>
          <w:szCs w:val="36"/>
          <w:highlight w:val="none"/>
        </w:rPr>
        <w:t>工程量清</w:t>
      </w:r>
      <w:r>
        <w:rPr>
          <w:rFonts w:hint="eastAsia" w:ascii="宋体" w:hAnsi="宋体" w:cs="宋体"/>
          <w:b/>
          <w:bCs/>
          <w:color w:val="auto"/>
          <w:sz w:val="36"/>
          <w:szCs w:val="36"/>
          <w:highlight w:val="none"/>
        </w:rPr>
        <w:t>单</w:t>
      </w:r>
      <w:bookmarkEnd w:id="1354"/>
      <w:bookmarkEnd w:id="1355"/>
      <w:bookmarkEnd w:id="1356"/>
      <w:bookmarkEnd w:id="1357"/>
      <w:bookmarkEnd w:id="1358"/>
    </w:p>
    <w:p w14:paraId="66E0E153">
      <w:pPr>
        <w:spacing w:line="360" w:lineRule="auto"/>
        <w:outlineLvl w:val="1"/>
        <w:rPr>
          <w:rFonts w:hint="eastAsia" w:ascii="宋体" w:hAnsi="宋体"/>
          <w:b/>
          <w:bCs/>
          <w:color w:val="auto"/>
          <w:sz w:val="24"/>
          <w:highlight w:val="none"/>
        </w:rPr>
      </w:pPr>
      <w:bookmarkStart w:id="1359" w:name="_Toc27699"/>
      <w:bookmarkStart w:id="1360" w:name="_Toc8533"/>
      <w:bookmarkStart w:id="1361" w:name="_Toc22868"/>
      <w:bookmarkStart w:id="1362" w:name="_Toc21670"/>
      <w:bookmarkStart w:id="1363" w:name="_Toc270579322"/>
    </w:p>
    <w:p w14:paraId="5C310A36">
      <w:pPr>
        <w:spacing w:line="360" w:lineRule="auto"/>
        <w:outlineLvl w:val="1"/>
        <w:rPr>
          <w:rFonts w:hint="eastAsia" w:ascii="宋体" w:hAnsi="宋体"/>
          <w:b/>
          <w:bCs/>
          <w:color w:val="auto"/>
          <w:sz w:val="24"/>
          <w:highlight w:val="none"/>
        </w:rPr>
      </w:pPr>
      <w:bookmarkStart w:id="1364" w:name="_Toc25123"/>
      <w:bookmarkStart w:id="1365" w:name="_Toc12709"/>
      <w:r>
        <w:rPr>
          <w:rFonts w:hint="eastAsia" w:ascii="宋体" w:hAnsi="宋体"/>
          <w:b/>
          <w:bCs/>
          <w:color w:val="auto"/>
          <w:sz w:val="24"/>
          <w:highlight w:val="none"/>
        </w:rPr>
        <w:t>1.工程量清单说明</w:t>
      </w:r>
      <w:bookmarkEnd w:id="1359"/>
      <w:bookmarkEnd w:id="1360"/>
      <w:bookmarkEnd w:id="1361"/>
      <w:bookmarkEnd w:id="1362"/>
      <w:bookmarkEnd w:id="1363"/>
      <w:bookmarkEnd w:id="1364"/>
      <w:bookmarkEnd w:id="1365"/>
    </w:p>
    <w:p w14:paraId="6061AA62">
      <w:pPr>
        <w:spacing w:line="360" w:lineRule="auto"/>
        <w:ind w:firstLine="420" w:firstLineChars="200"/>
        <w:rPr>
          <w:rFonts w:hint="eastAsia" w:ascii="宋体" w:hAnsi="宋体"/>
          <w:color w:val="auto"/>
          <w:highlight w:val="none"/>
        </w:rPr>
      </w:pPr>
      <w:r>
        <w:rPr>
          <w:rFonts w:hint="eastAsia" w:ascii="宋体" w:hAnsi="宋体"/>
          <w:color w:val="auto"/>
          <w:highlight w:val="none"/>
        </w:rPr>
        <w:t>1.1本工程量清单应与招标文件中的投标人须知、通用合同条款、专用合同条款、技术标准和要求及图纸等一起阅读和理解。</w:t>
      </w:r>
    </w:p>
    <w:p w14:paraId="1DD2599B">
      <w:pPr>
        <w:spacing w:line="360" w:lineRule="auto"/>
        <w:ind w:firstLine="420" w:firstLineChars="200"/>
        <w:rPr>
          <w:rFonts w:hint="eastAsia" w:ascii="宋体" w:hAnsi="宋体"/>
          <w:color w:val="auto"/>
          <w:highlight w:val="none"/>
        </w:rPr>
      </w:pPr>
      <w:bookmarkStart w:id="1366" w:name="_Toc270579323"/>
      <w:r>
        <w:rPr>
          <w:rFonts w:ascii="宋体" w:hAnsi="宋体"/>
          <w:color w:val="auto"/>
          <w:highlight w:val="none"/>
        </w:rPr>
        <w:t>1.2</w:t>
      </w:r>
      <w:r>
        <w:rPr>
          <w:rFonts w:hint="eastAsia" w:ascii="宋体" w:hAnsi="宋体"/>
          <w:color w:val="auto"/>
          <w:highlight w:val="none"/>
        </w:rPr>
        <w:t xml:space="preserve"> </w:t>
      </w:r>
      <w:r>
        <w:rPr>
          <w:rFonts w:ascii="宋体" w:hAnsi="宋体"/>
          <w:color w:val="auto"/>
          <w:highlight w:val="none"/>
        </w:rPr>
        <w:t>工程量清单</w:t>
      </w:r>
      <w:r>
        <w:rPr>
          <w:rFonts w:hint="eastAsia" w:ascii="宋体" w:hAnsi="宋体"/>
          <w:color w:val="auto"/>
          <w:highlight w:val="none"/>
        </w:rPr>
        <w:t>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按施工图纸计算的有效工程量，不含规范允许的超挖、施工附加量及由此引起的超填量。</w:t>
      </w:r>
    </w:p>
    <w:p w14:paraId="29C44748">
      <w:pPr>
        <w:spacing w:line="360" w:lineRule="auto"/>
        <w:ind w:firstLine="420" w:firstLineChars="20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3 工程量清单中各项目的工作内容和要求应符合相关技术标准和要求（合同技术条款）的规定。</w:t>
      </w:r>
    </w:p>
    <w:p w14:paraId="69EF62EE">
      <w:pPr>
        <w:spacing w:line="360" w:lineRule="auto"/>
        <w:ind w:firstLine="420" w:firstLineChars="200"/>
        <w:outlineLvl w:val="2"/>
        <w:rPr>
          <w:rFonts w:hint="eastAsia" w:ascii="宋体" w:hAnsi="宋体"/>
          <w:color w:val="auto"/>
          <w:highlight w:val="none"/>
        </w:rPr>
      </w:pPr>
      <w:bookmarkStart w:id="1367" w:name="_Toc3352"/>
      <w:bookmarkStart w:id="1368" w:name="_Toc577"/>
      <w:bookmarkStart w:id="1369" w:name="_Toc30212"/>
      <w:bookmarkStart w:id="1370" w:name="_Toc29767"/>
      <w:bookmarkStart w:id="1371" w:name="_Toc21438"/>
      <w:r>
        <w:rPr>
          <w:rFonts w:ascii="宋体" w:hAnsi="宋体"/>
          <w:color w:val="auto"/>
          <w:highlight w:val="none"/>
        </w:rPr>
        <w:t>1.</w:t>
      </w:r>
      <w:r>
        <w:rPr>
          <w:rFonts w:hint="eastAsia" w:ascii="宋体" w:hAnsi="宋体"/>
          <w:color w:val="auto"/>
          <w:highlight w:val="none"/>
        </w:rPr>
        <w:t>4 工程价款的支付遵循合同条款的约定。</w:t>
      </w:r>
      <w:bookmarkEnd w:id="1367"/>
      <w:bookmarkEnd w:id="1368"/>
      <w:bookmarkEnd w:id="1369"/>
      <w:bookmarkEnd w:id="1370"/>
      <w:bookmarkEnd w:id="1371"/>
    </w:p>
    <w:p w14:paraId="1FB33322">
      <w:pPr>
        <w:spacing w:line="360" w:lineRule="auto"/>
        <w:outlineLvl w:val="1"/>
        <w:rPr>
          <w:rFonts w:hint="eastAsia" w:ascii="宋体" w:hAnsi="宋体"/>
          <w:b/>
          <w:bCs/>
          <w:color w:val="auto"/>
          <w:sz w:val="24"/>
          <w:highlight w:val="none"/>
        </w:rPr>
      </w:pPr>
      <w:bookmarkStart w:id="1372" w:name="_Toc11019"/>
      <w:bookmarkStart w:id="1373" w:name="_Toc30886"/>
      <w:bookmarkStart w:id="1374" w:name="_Toc15203"/>
      <w:bookmarkStart w:id="1375" w:name="_Toc11342"/>
      <w:bookmarkStart w:id="1376" w:name="_Toc26442"/>
      <w:bookmarkStart w:id="1377" w:name="_Toc27056"/>
      <w:r>
        <w:rPr>
          <w:rFonts w:hint="eastAsia" w:ascii="宋体" w:hAnsi="宋体"/>
          <w:b/>
          <w:bCs/>
          <w:color w:val="auto"/>
          <w:sz w:val="24"/>
          <w:highlight w:val="none"/>
        </w:rPr>
        <w:t>2.投标报价说明</w:t>
      </w:r>
      <w:bookmarkEnd w:id="1366"/>
      <w:bookmarkEnd w:id="1372"/>
      <w:bookmarkEnd w:id="1373"/>
      <w:bookmarkEnd w:id="1374"/>
      <w:bookmarkEnd w:id="1375"/>
      <w:bookmarkEnd w:id="1376"/>
      <w:bookmarkEnd w:id="1377"/>
    </w:p>
    <w:p w14:paraId="38BD5DB1">
      <w:pPr>
        <w:spacing w:line="360" w:lineRule="auto"/>
        <w:ind w:firstLine="420" w:firstLineChars="200"/>
        <w:rPr>
          <w:rFonts w:hint="eastAsia" w:ascii="宋体" w:hAnsi="宋体"/>
          <w:color w:val="auto"/>
          <w:highlight w:val="none"/>
        </w:rPr>
      </w:pPr>
      <w:r>
        <w:rPr>
          <w:rFonts w:hint="eastAsia" w:ascii="宋体" w:hAnsi="宋体"/>
          <w:color w:val="auto"/>
          <w:highlight w:val="none"/>
        </w:rPr>
        <w:t>2.1本工程投标报价只允许有一个报价下浮率。</w:t>
      </w:r>
    </w:p>
    <w:p w14:paraId="53C02DEF">
      <w:pPr>
        <w:spacing w:line="360" w:lineRule="auto"/>
        <w:ind w:firstLine="420" w:firstLineChars="200"/>
        <w:rPr>
          <w:rFonts w:hint="eastAsia" w:ascii="宋体" w:hAnsi="宋体"/>
          <w:color w:val="auto"/>
          <w:highlight w:val="none"/>
        </w:rPr>
      </w:pPr>
      <w:r>
        <w:rPr>
          <w:rFonts w:ascii="宋体" w:hAnsi="宋体"/>
          <w:color w:val="auto"/>
          <w:highlight w:val="none"/>
        </w:rPr>
        <w:t xml:space="preserve">2.2 </w:t>
      </w:r>
      <w:r>
        <w:rPr>
          <w:rFonts w:hint="eastAsia" w:ascii="宋体" w:hAnsi="宋体"/>
          <w:color w:val="auto"/>
          <w:highlight w:val="none"/>
        </w:rPr>
        <w:t>投标人应按现行水利工程预算定额、编制规定及其调整文件综合考虑成本、利润、风险等因素进行报价，投标报价应包工、包料、包税、包质量、包工期及有关施工规范要求等</w:t>
      </w:r>
      <w:r>
        <w:rPr>
          <w:rFonts w:ascii="宋体" w:hAnsi="宋体"/>
          <w:color w:val="auto"/>
          <w:highlight w:val="none"/>
        </w:rPr>
        <w:t>。</w:t>
      </w:r>
    </w:p>
    <w:p w14:paraId="0EAF137A">
      <w:pPr>
        <w:spacing w:line="360" w:lineRule="auto"/>
        <w:ind w:firstLine="420" w:firstLineChars="200"/>
        <w:rPr>
          <w:rFonts w:hint="eastAsia" w:ascii="宋体" w:hAnsi="宋体"/>
          <w:color w:val="auto"/>
          <w:highlight w:val="none"/>
        </w:rPr>
      </w:pPr>
      <w:r>
        <w:rPr>
          <w:rFonts w:hint="eastAsia" w:ascii="宋体" w:hAnsi="宋体"/>
          <w:color w:val="auto"/>
          <w:highlight w:val="none"/>
        </w:rPr>
        <w:t>2.3</w:t>
      </w:r>
      <w:r>
        <w:rPr>
          <w:rFonts w:ascii="宋体" w:hAnsi="宋体"/>
          <w:color w:val="auto"/>
          <w:highlight w:val="none"/>
        </w:rPr>
        <w:t>合同价及单价的确定</w:t>
      </w:r>
      <w:r>
        <w:rPr>
          <w:rFonts w:hint="eastAsia" w:ascii="宋体" w:hAnsi="宋体"/>
          <w:color w:val="auto"/>
          <w:highlight w:val="none"/>
        </w:rPr>
        <w:t>：签约合同价=招标控制价×（1-中标人投标报价下浮率）；</w:t>
      </w:r>
    </w:p>
    <w:p w14:paraId="6D8AE724">
      <w:pPr>
        <w:spacing w:line="360" w:lineRule="auto"/>
        <w:ind w:firstLine="420" w:firstLineChars="200"/>
        <w:rPr>
          <w:rFonts w:hint="eastAsia" w:ascii="宋体" w:hAnsi="宋体"/>
          <w:color w:val="auto"/>
          <w:highlight w:val="none"/>
        </w:rPr>
      </w:pPr>
      <w:r>
        <w:rPr>
          <w:rFonts w:hint="eastAsia" w:ascii="宋体" w:hAnsi="宋体"/>
          <w:color w:val="auto"/>
          <w:highlight w:val="none"/>
        </w:rPr>
        <w:t>项目合同单价=最终财政预算审核的单价×（1-中标人投标报价下浮率）</w:t>
      </w:r>
      <w:r>
        <w:rPr>
          <w:rFonts w:ascii="宋体" w:hAnsi="宋体"/>
          <w:color w:val="auto"/>
          <w:highlight w:val="none"/>
        </w:rPr>
        <w:t>。</w:t>
      </w:r>
    </w:p>
    <w:p w14:paraId="04D23649">
      <w:pPr>
        <w:numPr>
          <w:ilvl w:val="0"/>
          <w:numId w:val="6"/>
        </w:numPr>
        <w:spacing w:line="360" w:lineRule="auto"/>
        <w:outlineLvl w:val="1"/>
        <w:rPr>
          <w:rFonts w:hint="eastAsia" w:ascii="宋体" w:hAnsi="宋体"/>
          <w:b/>
          <w:bCs/>
          <w:color w:val="auto"/>
          <w:sz w:val="24"/>
          <w:highlight w:val="none"/>
        </w:rPr>
      </w:pPr>
      <w:bookmarkStart w:id="1378" w:name="_Toc7703"/>
      <w:bookmarkStart w:id="1379" w:name="_Toc13615"/>
      <w:bookmarkStart w:id="1380" w:name="_Toc29752"/>
      <w:bookmarkStart w:id="1381" w:name="_Toc10313"/>
      <w:bookmarkStart w:id="1382" w:name="_Toc7986"/>
      <w:bookmarkStart w:id="1383" w:name="_Toc31151"/>
      <w:r>
        <w:rPr>
          <w:rFonts w:hint="eastAsia" w:ascii="宋体" w:hAnsi="宋体"/>
          <w:b/>
          <w:bCs/>
          <w:color w:val="auto"/>
          <w:sz w:val="24"/>
          <w:highlight w:val="none"/>
        </w:rPr>
        <w:t>其他说明</w:t>
      </w:r>
      <w:bookmarkEnd w:id="1378"/>
      <w:bookmarkEnd w:id="1379"/>
      <w:bookmarkEnd w:id="1380"/>
      <w:bookmarkEnd w:id="1381"/>
      <w:bookmarkEnd w:id="1382"/>
      <w:bookmarkEnd w:id="1383"/>
    </w:p>
    <w:p w14:paraId="0F7938B5">
      <w:pPr>
        <w:wordWrap w:val="0"/>
        <w:topLinePunct/>
        <w:spacing w:line="360" w:lineRule="auto"/>
        <w:ind w:firstLine="420" w:firstLineChars="200"/>
        <w:rPr>
          <w:rFonts w:hint="eastAsia" w:ascii="宋体" w:hAnsi="宋体"/>
          <w:b/>
          <w:bCs/>
          <w:color w:val="auto"/>
          <w:highlight w:val="none"/>
        </w:rPr>
      </w:pPr>
      <w:r>
        <w:rPr>
          <w:rFonts w:hint="eastAsia" w:ascii="宋体" w:hAnsi="宋体"/>
          <w:b/>
          <w:bCs/>
          <w:color w:val="auto"/>
          <w:szCs w:val="20"/>
          <w:highlight w:val="none"/>
        </w:rPr>
        <w:t>投标人无需提交已标价工程量清单，本次投标只需报投标报价下浮率，由投标人根据项目及</w:t>
      </w:r>
      <w:r>
        <w:rPr>
          <w:rFonts w:hint="eastAsia" w:ascii="宋体" w:hAnsi="宋体"/>
          <w:b/>
          <w:bCs/>
          <w:color w:val="auto"/>
          <w:highlight w:val="none"/>
        </w:rPr>
        <w:t>自身情况填报。最终合同工程量清单以财政审核为准，确定最终中标工程单价等于财政预算审核单价乘以(1-中标下浮率)。</w:t>
      </w:r>
    </w:p>
    <w:p w14:paraId="38813559">
      <w:pPr>
        <w:pStyle w:val="11"/>
        <w:wordWrap w:val="0"/>
        <w:topLinePunct/>
        <w:ind w:firstLine="420" w:firstLineChars="200"/>
        <w:rPr>
          <w:rFonts w:hint="eastAsia" w:ascii="宋体" w:hAnsi="宋体"/>
          <w:b/>
          <w:bCs/>
          <w:color w:val="auto"/>
          <w:highlight w:val="none"/>
        </w:rPr>
      </w:pPr>
      <w:r>
        <w:rPr>
          <w:rFonts w:hint="eastAsia" w:ascii="宋体" w:hAnsi="宋体"/>
          <w:b/>
          <w:bCs/>
          <w:color w:val="auto"/>
          <w:highlight w:val="none"/>
        </w:rPr>
        <w:t>涉及安全生产费按广东省水利厅关于印发《广东省水利厅关于水利工程建设安全生产费用的管理办法》的通知粤水规范字〔2025〕7号执行。</w:t>
      </w:r>
    </w:p>
    <w:p w14:paraId="68B6C14D">
      <w:pPr>
        <w:numPr>
          <w:ilvl w:val="0"/>
          <w:numId w:val="0"/>
        </w:numPr>
        <w:spacing w:line="360" w:lineRule="auto"/>
        <w:outlineLvl w:val="1"/>
        <w:rPr>
          <w:rFonts w:hint="eastAsia" w:ascii="宋体" w:hAnsi="宋体"/>
          <w:b/>
          <w:bCs/>
          <w:color w:val="auto"/>
          <w:sz w:val="24"/>
          <w:highlight w:val="none"/>
          <w:lang w:val="en-US" w:eastAsia="zh-CN"/>
        </w:rPr>
      </w:pPr>
    </w:p>
    <w:p w14:paraId="4FE856A5">
      <w:pPr>
        <w:pStyle w:val="5"/>
        <w:snapToGrid w:val="0"/>
        <w:spacing w:before="0" w:after="0" w:line="360" w:lineRule="exact"/>
        <w:ind w:firstLine="440" w:firstLineChars="200"/>
        <w:jc w:val="left"/>
        <w:rPr>
          <w:rFonts w:ascii="Times New Roman" w:hAnsi="Times New Roman"/>
          <w:bCs w:val="0"/>
          <w:color w:val="auto"/>
          <w:sz w:val="22"/>
          <w:szCs w:val="18"/>
          <w:highlight w:val="none"/>
        </w:rPr>
      </w:pPr>
    </w:p>
    <w:p w14:paraId="1F50E471">
      <w:pPr>
        <w:pStyle w:val="2"/>
        <w:rPr>
          <w:color w:val="auto"/>
          <w:highlight w:val="none"/>
        </w:rPr>
      </w:pPr>
    </w:p>
    <w:p w14:paraId="7D58771F">
      <w:pPr>
        <w:pStyle w:val="3"/>
        <w:spacing w:before="120" w:after="120" w:line="400" w:lineRule="exact"/>
        <w:jc w:val="center"/>
        <w:rPr>
          <w:rFonts w:hint="eastAsia" w:ascii="宋体" w:hAnsi="宋体" w:eastAsia="宋体"/>
          <w:color w:val="auto"/>
          <w:highlight w:val="none"/>
        </w:rPr>
      </w:pPr>
      <w:bookmarkStart w:id="1384" w:name="_Toc307341144"/>
      <w:bookmarkStart w:id="1385" w:name="_Toc18428"/>
      <w:bookmarkStart w:id="1386" w:name="_Toc19337"/>
      <w:bookmarkStart w:id="1387" w:name="_Toc14994"/>
      <w:bookmarkStart w:id="1388" w:name="_Toc39698072"/>
      <w:r>
        <w:rPr>
          <w:rFonts w:hint="eastAsia" w:ascii="宋体" w:hAnsi="宋体" w:eastAsia="宋体"/>
          <w:color w:val="auto"/>
          <w:highlight w:val="none"/>
        </w:rPr>
        <w:br w:type="page"/>
      </w:r>
      <w:bookmarkStart w:id="1389" w:name="_Toc28960"/>
      <w:bookmarkStart w:id="1390" w:name="_Toc13109"/>
      <w:bookmarkStart w:id="1391" w:name="_Toc1839"/>
      <w:r>
        <w:rPr>
          <w:rFonts w:hint="eastAsia" w:ascii="宋体" w:hAnsi="宋体" w:eastAsia="宋体"/>
          <w:color w:val="auto"/>
          <w:highlight w:val="none"/>
        </w:rPr>
        <w:t>第七章 技术标准和要求(合同技术条款)</w:t>
      </w:r>
      <w:bookmarkEnd w:id="1384"/>
      <w:bookmarkEnd w:id="1385"/>
      <w:bookmarkEnd w:id="1386"/>
      <w:bookmarkEnd w:id="1387"/>
      <w:bookmarkEnd w:id="1388"/>
      <w:bookmarkEnd w:id="1389"/>
      <w:bookmarkEnd w:id="1390"/>
      <w:bookmarkEnd w:id="1391"/>
    </w:p>
    <w:p w14:paraId="45DEE9AE">
      <w:pPr>
        <w:widowControl/>
        <w:adjustRightInd w:val="0"/>
        <w:snapToGrid w:val="0"/>
        <w:spacing w:before="156" w:beforeLines="50" w:line="480" w:lineRule="auto"/>
        <w:ind w:firstLine="480" w:firstLineChars="200"/>
        <w:jc w:val="left"/>
        <w:rPr>
          <w:rFonts w:hint="eastAsia" w:ascii="宋体" w:hAnsi="宋体"/>
          <w:color w:val="auto"/>
          <w:sz w:val="24"/>
          <w:highlight w:val="none"/>
        </w:rPr>
      </w:pPr>
    </w:p>
    <w:p w14:paraId="13B79726">
      <w:pPr>
        <w:widowControl/>
        <w:adjustRightInd w:val="0"/>
        <w:snapToGrid w:val="0"/>
        <w:spacing w:before="156" w:beforeLines="50" w:line="480" w:lineRule="auto"/>
        <w:ind w:firstLine="480" w:firstLineChars="200"/>
        <w:jc w:val="left"/>
        <w:rPr>
          <w:rFonts w:hint="eastAsia" w:ascii="宋体" w:hAnsi="宋体"/>
          <w:color w:val="auto"/>
          <w:sz w:val="24"/>
          <w:highlight w:val="none"/>
        </w:rPr>
      </w:pPr>
    </w:p>
    <w:p w14:paraId="052E459B">
      <w:pPr>
        <w:widowControl/>
        <w:adjustRightInd w:val="0"/>
        <w:snapToGrid w:val="0"/>
        <w:spacing w:before="156" w:beforeLines="50" w:line="480" w:lineRule="auto"/>
        <w:ind w:firstLine="480" w:firstLineChars="200"/>
        <w:jc w:val="left"/>
        <w:rPr>
          <w:rFonts w:hint="eastAsia" w:ascii="宋体" w:hAnsi="宋体"/>
          <w:color w:val="auto"/>
          <w:sz w:val="24"/>
          <w:highlight w:val="none"/>
        </w:rPr>
      </w:pPr>
    </w:p>
    <w:p w14:paraId="5B30F2A5">
      <w:pPr>
        <w:widowControl/>
        <w:adjustRightInd w:val="0"/>
        <w:snapToGrid w:val="0"/>
        <w:spacing w:before="156" w:beforeLines="50" w:line="480" w:lineRule="auto"/>
        <w:ind w:firstLine="480" w:firstLineChars="200"/>
        <w:jc w:val="left"/>
        <w:rPr>
          <w:rFonts w:hint="eastAsia" w:ascii="宋体" w:hAnsi="宋体"/>
          <w:color w:val="auto"/>
          <w:highlight w:val="none"/>
        </w:rPr>
      </w:pPr>
      <w:r>
        <w:rPr>
          <w:rFonts w:hint="eastAsia" w:ascii="宋体" w:hAnsi="宋体"/>
          <w:color w:val="auto"/>
          <w:sz w:val="24"/>
          <w:highlight w:val="none"/>
        </w:rPr>
        <w:t>本次招标不单独列出技术要求，但本工程的施工必须满足国家和行业现行标准、规范、规程及本工程设计要求。</w:t>
      </w:r>
    </w:p>
    <w:p w14:paraId="7FD98BA3">
      <w:pPr>
        <w:rPr>
          <w:rFonts w:hint="eastAsia" w:ascii="宋体" w:hAnsi="宋体"/>
          <w:b/>
          <w:color w:val="auto"/>
          <w:sz w:val="28"/>
          <w:highlight w:val="none"/>
        </w:rPr>
      </w:pPr>
    </w:p>
    <w:p w14:paraId="57CEFB67">
      <w:pPr>
        <w:rPr>
          <w:rFonts w:hint="eastAsia" w:ascii="宋体" w:hAnsi="宋体"/>
          <w:color w:val="auto"/>
          <w:sz w:val="24"/>
          <w:highlight w:val="none"/>
        </w:rPr>
      </w:pPr>
      <w:r>
        <w:rPr>
          <w:rFonts w:ascii="宋体" w:hAnsi="宋体"/>
          <w:color w:val="auto"/>
          <w:sz w:val="24"/>
          <w:highlight w:val="none"/>
        </w:rPr>
        <w:br w:type="page"/>
      </w:r>
    </w:p>
    <w:p w14:paraId="3A8F7CC1">
      <w:pPr>
        <w:pStyle w:val="3"/>
        <w:numPr>
          <w:ilvl w:val="0"/>
          <w:numId w:val="7"/>
        </w:numPr>
        <w:jc w:val="center"/>
        <w:rPr>
          <w:rFonts w:hint="eastAsia" w:ascii="宋体" w:hAnsi="宋体" w:eastAsia="宋体"/>
          <w:color w:val="auto"/>
          <w:highlight w:val="none"/>
        </w:rPr>
      </w:pPr>
      <w:bookmarkStart w:id="1392" w:name="_Toc13967"/>
      <w:bookmarkStart w:id="1393" w:name="_Toc5665"/>
      <w:bookmarkStart w:id="1394" w:name="_Toc17101"/>
      <w:bookmarkStart w:id="1395" w:name="_Toc39698073"/>
      <w:bookmarkStart w:id="1396" w:name="_Toc307341145"/>
      <w:bookmarkStart w:id="1397" w:name="_Toc3363"/>
      <w:bookmarkStart w:id="1398" w:name="_Toc2667"/>
      <w:bookmarkStart w:id="1399" w:name="_Toc24587"/>
      <w:r>
        <w:rPr>
          <w:rFonts w:hint="eastAsia" w:ascii="宋体" w:hAnsi="宋体" w:eastAsia="宋体"/>
          <w:color w:val="auto"/>
          <w:highlight w:val="none"/>
        </w:rPr>
        <w:t xml:space="preserve"> 投标文件格式</w:t>
      </w:r>
      <w:bookmarkEnd w:id="1392"/>
      <w:bookmarkEnd w:id="1393"/>
      <w:bookmarkEnd w:id="1394"/>
      <w:bookmarkEnd w:id="1395"/>
      <w:bookmarkEnd w:id="1396"/>
      <w:bookmarkEnd w:id="1397"/>
      <w:bookmarkEnd w:id="1398"/>
      <w:bookmarkEnd w:id="1399"/>
    </w:p>
    <w:p w14:paraId="2DB1C5E4">
      <w:pPr>
        <w:wordWrap w:val="0"/>
        <w:topLinePunct/>
        <w:spacing w:line="360" w:lineRule="auto"/>
        <w:ind w:firstLine="477" w:firstLineChars="199"/>
        <w:rPr>
          <w:rFonts w:hint="eastAsia" w:hAnsi="宋体"/>
          <w:b/>
          <w:color w:val="auto"/>
          <w:sz w:val="24"/>
          <w:highlight w:val="none"/>
        </w:rPr>
      </w:pPr>
      <w:r>
        <w:rPr>
          <w:rFonts w:hint="eastAsia" w:hAnsi="宋体"/>
          <w:b/>
          <w:color w:val="auto"/>
          <w:sz w:val="24"/>
          <w:highlight w:val="none"/>
        </w:rPr>
        <w:t>提示：</w:t>
      </w:r>
    </w:p>
    <w:p w14:paraId="18018423">
      <w:pPr>
        <w:pStyle w:val="22"/>
        <w:numPr>
          <w:ilvl w:val="0"/>
          <w:numId w:val="8"/>
        </w:numPr>
        <w:wordWrap w:val="0"/>
        <w:topLinePunct/>
        <w:spacing w:line="360" w:lineRule="auto"/>
        <w:ind w:firstLine="480" w:firstLineChars="200"/>
        <w:rPr>
          <w:rFonts w:hint="eastAsia"/>
          <w:color w:val="auto"/>
          <w:sz w:val="24"/>
          <w:highlight w:val="none"/>
        </w:rPr>
      </w:pPr>
      <w:r>
        <w:rPr>
          <w:rFonts w:hint="eastAsia"/>
          <w:color w:val="auto"/>
          <w:sz w:val="24"/>
          <w:highlight w:val="none"/>
        </w:rPr>
        <w:t>本招标文件第八章“投标文件格式”格式落款处的日期填写招标公告发出之日起至投标（网上报价）截止日期的任一日期均可。</w:t>
      </w:r>
    </w:p>
    <w:p w14:paraId="0D36F10F">
      <w:pPr>
        <w:pStyle w:val="22"/>
        <w:numPr>
          <w:ilvl w:val="0"/>
          <w:numId w:val="8"/>
        </w:numPr>
        <w:wordWrap w:val="0"/>
        <w:topLinePunct/>
        <w:spacing w:line="360" w:lineRule="auto"/>
        <w:ind w:firstLine="480" w:firstLineChars="200"/>
        <w:rPr>
          <w:rFonts w:hint="eastAsia"/>
          <w:color w:val="auto"/>
          <w:sz w:val="24"/>
          <w:highlight w:val="none"/>
        </w:rPr>
      </w:pPr>
      <w:r>
        <w:rPr>
          <w:rFonts w:hint="eastAsia"/>
          <w:color w:val="auto"/>
          <w:sz w:val="24"/>
          <w:highlight w:val="none"/>
        </w:rPr>
        <w:t>鉴于评标委员会评审采用电子投标文件进行评审，为便于评标专家对投标文件相关评审内容的查阅，投标人需对投标文件目录内容设置页码。若投标人在目录之下再设置子目录的，由投标人自拟。</w:t>
      </w:r>
    </w:p>
    <w:p w14:paraId="0FCA84B9">
      <w:pPr>
        <w:rPr>
          <w:color w:val="auto"/>
          <w:highlight w:val="none"/>
        </w:rPr>
      </w:pPr>
    </w:p>
    <w:p w14:paraId="6752707E">
      <w:pPr>
        <w:snapToGrid w:val="0"/>
        <w:spacing w:before="480" w:after="360" w:line="300" w:lineRule="auto"/>
        <w:ind w:right="46" w:rightChars="22" w:firstLine="578"/>
        <w:jc w:val="center"/>
        <w:rPr>
          <w:rFonts w:hint="eastAsia" w:ascii="宋体" w:hAnsi="宋体" w:cs="宋体"/>
          <w:b/>
          <w:color w:val="auto"/>
          <w:spacing w:val="-6"/>
          <w:sz w:val="36"/>
          <w:szCs w:val="36"/>
          <w:highlight w:val="none"/>
        </w:rPr>
      </w:pPr>
      <w:r>
        <w:rPr>
          <w:rFonts w:ascii="宋体" w:hAnsi="宋体"/>
          <w:color w:val="auto"/>
          <w:highlight w:val="none"/>
        </w:rPr>
        <w:br w:type="page"/>
      </w:r>
      <w:r>
        <w:rPr>
          <w:rFonts w:hint="eastAsia" w:ascii="宋体" w:hAnsi="宋体" w:cs="宋体"/>
          <w:b/>
          <w:color w:val="auto"/>
          <w:spacing w:val="-6"/>
          <w:sz w:val="36"/>
          <w:szCs w:val="36"/>
          <w:highlight w:val="none"/>
        </w:rPr>
        <w:t>博罗县河肚水水系综合整治工程和博罗县澜石河水系综合整治工程施工（第二次招标）</w:t>
      </w:r>
    </w:p>
    <w:p w14:paraId="60B26FF5">
      <w:pPr>
        <w:snapToGrid w:val="0"/>
        <w:spacing w:before="480" w:after="360"/>
        <w:ind w:right="46" w:rightChars="22" w:firstLine="643"/>
        <w:jc w:val="center"/>
        <w:rPr>
          <w:rFonts w:hint="eastAsia" w:ascii="宋体" w:hAnsi="宋体" w:cs="宋体"/>
          <w:b/>
          <w:color w:val="auto"/>
          <w:sz w:val="32"/>
          <w:szCs w:val="32"/>
          <w:highlight w:val="none"/>
        </w:rPr>
      </w:pPr>
    </w:p>
    <w:p w14:paraId="387DF035">
      <w:pPr>
        <w:ind w:right="46" w:rightChars="22" w:firstLine="402"/>
        <w:rPr>
          <w:rFonts w:hint="eastAsia" w:ascii="宋体" w:hAnsi="宋体" w:cs="宋体"/>
          <w:b/>
          <w:color w:val="auto"/>
          <w:sz w:val="20"/>
          <w:highlight w:val="none"/>
        </w:rPr>
      </w:pPr>
    </w:p>
    <w:p w14:paraId="5274F1CD">
      <w:pPr>
        <w:ind w:right="46" w:rightChars="22" w:firstLine="402"/>
        <w:rPr>
          <w:rFonts w:hint="eastAsia" w:ascii="宋体" w:hAnsi="宋体" w:cs="宋体"/>
          <w:b/>
          <w:color w:val="auto"/>
          <w:sz w:val="20"/>
          <w:highlight w:val="none"/>
        </w:rPr>
      </w:pPr>
    </w:p>
    <w:p w14:paraId="6B6D296D">
      <w:pPr>
        <w:ind w:right="46" w:rightChars="22" w:firstLine="402"/>
        <w:rPr>
          <w:rFonts w:hint="eastAsia" w:ascii="宋体" w:hAnsi="宋体" w:cs="宋体"/>
          <w:b/>
          <w:color w:val="auto"/>
          <w:sz w:val="20"/>
          <w:highlight w:val="none"/>
        </w:rPr>
      </w:pPr>
    </w:p>
    <w:p w14:paraId="55DB2046">
      <w:pPr>
        <w:ind w:right="46" w:rightChars="22" w:firstLine="402"/>
        <w:rPr>
          <w:rFonts w:hint="eastAsia" w:ascii="宋体" w:hAnsi="宋体" w:cs="宋体"/>
          <w:b/>
          <w:color w:val="auto"/>
          <w:sz w:val="20"/>
          <w:highlight w:val="none"/>
        </w:rPr>
      </w:pPr>
    </w:p>
    <w:p w14:paraId="52720A00">
      <w:pPr>
        <w:ind w:right="46" w:rightChars="22" w:firstLine="402"/>
        <w:rPr>
          <w:rFonts w:hint="eastAsia" w:ascii="宋体" w:hAnsi="宋体" w:cs="宋体"/>
          <w:b/>
          <w:color w:val="auto"/>
          <w:sz w:val="20"/>
          <w:highlight w:val="none"/>
        </w:rPr>
      </w:pPr>
    </w:p>
    <w:p w14:paraId="7BF68367">
      <w:pPr>
        <w:ind w:right="46" w:rightChars="22" w:firstLine="402"/>
        <w:rPr>
          <w:rFonts w:hint="eastAsia" w:ascii="宋体" w:hAnsi="宋体" w:cs="宋体"/>
          <w:b/>
          <w:color w:val="auto"/>
          <w:sz w:val="20"/>
          <w:highlight w:val="none"/>
        </w:rPr>
      </w:pPr>
    </w:p>
    <w:p w14:paraId="3B1C0BB7">
      <w:pPr>
        <w:ind w:right="46" w:rightChars="22" w:firstLine="402"/>
        <w:rPr>
          <w:rFonts w:hint="eastAsia" w:ascii="宋体" w:hAnsi="宋体" w:cs="宋体"/>
          <w:b/>
          <w:color w:val="auto"/>
          <w:sz w:val="20"/>
          <w:highlight w:val="none"/>
        </w:rPr>
      </w:pPr>
    </w:p>
    <w:p w14:paraId="3DFA4AB7">
      <w:pPr>
        <w:ind w:right="46" w:rightChars="22" w:firstLine="402"/>
        <w:rPr>
          <w:rFonts w:hint="eastAsia" w:ascii="宋体" w:hAnsi="宋体" w:cs="宋体"/>
          <w:b/>
          <w:color w:val="auto"/>
          <w:sz w:val="20"/>
          <w:highlight w:val="none"/>
        </w:rPr>
      </w:pPr>
    </w:p>
    <w:p w14:paraId="46112326">
      <w:pPr>
        <w:ind w:right="46" w:rightChars="22" w:firstLine="883"/>
        <w:jc w:val="center"/>
        <w:rPr>
          <w:rFonts w:hint="eastAsia" w:ascii="宋体" w:hAnsi="宋体" w:cs="宋体"/>
          <w:b/>
          <w:color w:val="auto"/>
          <w:sz w:val="60"/>
          <w:szCs w:val="36"/>
          <w:highlight w:val="none"/>
        </w:rPr>
      </w:pPr>
      <w:bookmarkStart w:id="1400" w:name="_Toc31938"/>
      <w:bookmarkStart w:id="1401" w:name="_Toc3844"/>
      <w:r>
        <w:rPr>
          <w:rFonts w:hint="eastAsia" w:ascii="宋体" w:hAnsi="宋体" w:cs="宋体"/>
          <w:b/>
          <w:color w:val="auto"/>
          <w:sz w:val="84"/>
          <w:szCs w:val="84"/>
          <w:highlight w:val="none"/>
        </w:rPr>
        <w:t>投 标 文 件</w:t>
      </w:r>
      <w:bookmarkEnd w:id="1400"/>
      <w:bookmarkEnd w:id="1401"/>
    </w:p>
    <w:p w14:paraId="1A7E4C63">
      <w:pPr>
        <w:ind w:right="46" w:rightChars="22" w:firstLine="883"/>
        <w:jc w:val="center"/>
        <w:rPr>
          <w:rFonts w:hint="eastAsia" w:ascii="宋体" w:hAnsi="宋体" w:cs="宋体"/>
          <w:b/>
          <w:color w:val="auto"/>
          <w:sz w:val="44"/>
          <w:highlight w:val="none"/>
        </w:rPr>
      </w:pPr>
    </w:p>
    <w:p w14:paraId="7A4534CC">
      <w:pPr>
        <w:ind w:right="46" w:rightChars="22" w:firstLine="562"/>
        <w:rPr>
          <w:rFonts w:hint="eastAsia" w:ascii="宋体" w:hAnsi="宋体" w:cs="宋体"/>
          <w:b/>
          <w:color w:val="auto"/>
          <w:sz w:val="28"/>
          <w:highlight w:val="none"/>
        </w:rPr>
      </w:pPr>
    </w:p>
    <w:p w14:paraId="4C077736">
      <w:pPr>
        <w:ind w:right="46" w:rightChars="22" w:firstLine="562"/>
        <w:rPr>
          <w:rFonts w:hint="eastAsia" w:ascii="宋体" w:hAnsi="宋体" w:cs="宋体"/>
          <w:b/>
          <w:color w:val="auto"/>
          <w:sz w:val="28"/>
          <w:highlight w:val="none"/>
        </w:rPr>
      </w:pPr>
    </w:p>
    <w:p w14:paraId="55752B42">
      <w:pPr>
        <w:ind w:right="46" w:rightChars="22" w:firstLine="562"/>
        <w:rPr>
          <w:rFonts w:hint="eastAsia" w:ascii="宋体" w:hAnsi="宋体" w:cs="宋体"/>
          <w:b/>
          <w:color w:val="auto"/>
          <w:sz w:val="28"/>
          <w:highlight w:val="none"/>
        </w:rPr>
      </w:pPr>
    </w:p>
    <w:p w14:paraId="0B095840">
      <w:pPr>
        <w:ind w:right="46" w:rightChars="22" w:firstLine="562"/>
        <w:rPr>
          <w:rFonts w:hint="eastAsia" w:ascii="宋体" w:hAnsi="宋体" w:cs="宋体"/>
          <w:b/>
          <w:color w:val="auto"/>
          <w:sz w:val="28"/>
          <w:highlight w:val="none"/>
        </w:rPr>
      </w:pPr>
    </w:p>
    <w:p w14:paraId="008B377E">
      <w:pPr>
        <w:ind w:right="46" w:rightChars="22" w:firstLine="562"/>
        <w:rPr>
          <w:rFonts w:hint="eastAsia" w:ascii="宋体" w:hAnsi="宋体" w:cs="宋体"/>
          <w:b/>
          <w:color w:val="auto"/>
          <w:sz w:val="28"/>
          <w:highlight w:val="none"/>
        </w:rPr>
      </w:pPr>
    </w:p>
    <w:p w14:paraId="77DC7EA3">
      <w:pPr>
        <w:spacing w:line="360" w:lineRule="auto"/>
        <w:ind w:right="46" w:rightChars="22"/>
        <w:jc w:val="center"/>
        <w:rPr>
          <w:rFonts w:hint="eastAsia" w:ascii="宋体" w:hAnsi="宋体" w:cs="宋体"/>
          <w:b/>
          <w:color w:val="auto"/>
          <w:sz w:val="28"/>
          <w:highlight w:val="none"/>
          <w:u w:val="single"/>
        </w:rPr>
      </w:pPr>
      <w:r>
        <w:rPr>
          <w:rFonts w:hint="eastAsia" w:ascii="宋体" w:hAnsi="宋体" w:cs="宋体"/>
          <w:b/>
          <w:color w:val="auto"/>
          <w:sz w:val="28"/>
          <w:highlight w:val="none"/>
        </w:rPr>
        <w:t>投标人：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（盖单位公章）</w:t>
      </w:r>
    </w:p>
    <w:p w14:paraId="60F33750">
      <w:pPr>
        <w:spacing w:line="360" w:lineRule="auto"/>
        <w:ind w:right="46" w:rightChars="22"/>
        <w:jc w:val="center"/>
        <w:rPr>
          <w:rFonts w:hint="eastAsia" w:ascii="宋体" w:hAnsi="宋体" w:cs="宋体"/>
          <w:b/>
          <w:color w:val="auto"/>
          <w:sz w:val="28"/>
          <w:highlight w:val="none"/>
          <w:u w:val="single"/>
        </w:rPr>
      </w:pPr>
      <w:r>
        <w:rPr>
          <w:rFonts w:hint="eastAsia" w:ascii="宋体" w:hAnsi="宋体" w:cs="宋体"/>
          <w:b/>
          <w:color w:val="auto"/>
          <w:sz w:val="28"/>
          <w:highlight w:val="none"/>
        </w:rPr>
        <w:t>法定代表人或其委托代理人：</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（签字或签章）</w:t>
      </w:r>
    </w:p>
    <w:p w14:paraId="038466C0">
      <w:pPr>
        <w:spacing w:line="360" w:lineRule="auto"/>
        <w:ind w:right="46" w:rightChars="22"/>
        <w:jc w:val="center"/>
        <w:rPr>
          <w:rFonts w:hint="eastAsia" w:ascii="宋体" w:hAnsi="宋体" w:cs="宋体"/>
          <w:b/>
          <w:color w:val="auto"/>
          <w:sz w:val="28"/>
          <w:highlight w:val="none"/>
        </w:rPr>
      </w:pPr>
      <w:r>
        <w:rPr>
          <w:rFonts w:hint="eastAsia" w:ascii="宋体" w:hAnsi="宋体" w:cs="宋体"/>
          <w:b/>
          <w:color w:val="auto"/>
          <w:sz w:val="28"/>
          <w:highlight w:val="none"/>
        </w:rPr>
        <w:t>项目负责人：</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 xml:space="preserve">（签字或签章） </w:t>
      </w:r>
    </w:p>
    <w:p w14:paraId="7433D721">
      <w:pPr>
        <w:spacing w:line="360" w:lineRule="auto"/>
        <w:ind w:right="46" w:rightChars="22"/>
        <w:jc w:val="center"/>
        <w:rPr>
          <w:color w:val="auto"/>
          <w:highlight w:val="none"/>
        </w:rPr>
      </w:pPr>
      <w:r>
        <w:rPr>
          <w:rFonts w:hint="eastAsia" w:ascii="宋体" w:hAnsi="宋体" w:cs="宋体"/>
          <w:b/>
          <w:color w:val="auto"/>
          <w:sz w:val="28"/>
          <w:highlight w:val="none"/>
        </w:rPr>
        <w:t>项目技术负责人：</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（签字或签章）</w:t>
      </w:r>
    </w:p>
    <w:p w14:paraId="106C3C4A">
      <w:pPr>
        <w:snapToGrid w:val="0"/>
        <w:jc w:val="center"/>
        <w:textAlignment w:val="baseline"/>
        <w:rPr>
          <w:color w:val="auto"/>
          <w:sz w:val="28"/>
          <w:highlight w:val="none"/>
        </w:rPr>
      </w:pP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年</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月</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日</w:t>
      </w:r>
    </w:p>
    <w:p w14:paraId="2351A4AC">
      <w:pPr>
        <w:snapToGrid w:val="0"/>
        <w:spacing w:line="440" w:lineRule="exact"/>
        <w:textAlignment w:val="baseline"/>
        <w:rPr>
          <w:color w:val="auto"/>
          <w:sz w:val="20"/>
          <w:highlight w:val="none"/>
        </w:rPr>
      </w:pPr>
    </w:p>
    <w:p w14:paraId="0E272065">
      <w:pPr>
        <w:rPr>
          <w:color w:val="auto"/>
          <w:highlight w:val="none"/>
        </w:rPr>
      </w:pPr>
      <w:r>
        <w:rPr>
          <w:rFonts w:hint="eastAsia"/>
          <w:color w:val="auto"/>
          <w:highlight w:val="none"/>
        </w:rPr>
        <w:br w:type="page"/>
      </w:r>
    </w:p>
    <w:p w14:paraId="0E12883A">
      <w:pPr>
        <w:spacing w:line="400" w:lineRule="exact"/>
        <w:rPr>
          <w:rFonts w:hint="eastAsia" w:ascii="宋体" w:hAnsi="宋体"/>
          <w:color w:val="auto"/>
          <w:highlight w:val="none"/>
        </w:rPr>
      </w:pPr>
    </w:p>
    <w:p w14:paraId="7800E21F">
      <w:pPr>
        <w:jc w:val="center"/>
        <w:rPr>
          <w:rFonts w:hint="eastAsia" w:ascii="宋体" w:hAnsi="宋体"/>
          <w:b/>
          <w:color w:val="auto"/>
          <w:sz w:val="48"/>
          <w:szCs w:val="48"/>
          <w:highlight w:val="none"/>
        </w:rPr>
      </w:pPr>
      <w:r>
        <w:rPr>
          <w:rFonts w:hint="eastAsia" w:ascii="宋体" w:hAnsi="宋体"/>
          <w:b/>
          <w:color w:val="auto"/>
          <w:sz w:val="48"/>
          <w:szCs w:val="48"/>
          <w:highlight w:val="none"/>
        </w:rPr>
        <w:t>目    录</w:t>
      </w:r>
    </w:p>
    <w:p w14:paraId="54EFC349">
      <w:pPr>
        <w:spacing w:line="400" w:lineRule="exact"/>
        <w:rPr>
          <w:rFonts w:hint="eastAsia" w:ascii="宋体" w:hAnsi="宋体"/>
          <w:color w:val="auto"/>
          <w:highlight w:val="none"/>
        </w:rPr>
      </w:pPr>
    </w:p>
    <w:p w14:paraId="0D23A376">
      <w:pPr>
        <w:rPr>
          <w:rFonts w:hint="eastAsia" w:ascii="宋体" w:hAnsi="宋体"/>
          <w:color w:val="auto"/>
          <w:sz w:val="28"/>
          <w:szCs w:val="28"/>
          <w:highlight w:val="none"/>
        </w:rPr>
      </w:pPr>
      <w:r>
        <w:rPr>
          <w:rFonts w:hint="eastAsia" w:ascii="宋体" w:hAnsi="宋体"/>
          <w:color w:val="auto"/>
          <w:sz w:val="28"/>
          <w:szCs w:val="28"/>
          <w:highlight w:val="none"/>
        </w:rPr>
        <w:t>一、投标函及投标函附录</w:t>
      </w:r>
    </w:p>
    <w:p w14:paraId="2B429479">
      <w:pPr>
        <w:rPr>
          <w:rFonts w:hint="eastAsia" w:ascii="宋体" w:hAnsi="宋体"/>
          <w:color w:val="auto"/>
          <w:sz w:val="28"/>
          <w:szCs w:val="28"/>
          <w:highlight w:val="none"/>
        </w:rPr>
      </w:pPr>
      <w:r>
        <w:rPr>
          <w:rFonts w:hint="eastAsia" w:ascii="宋体" w:hAnsi="宋体"/>
          <w:color w:val="auto"/>
          <w:sz w:val="28"/>
          <w:szCs w:val="28"/>
          <w:highlight w:val="none"/>
        </w:rPr>
        <w:t>二、法定代表人身份证明或附有法定代表人身份证明的授权委托书</w:t>
      </w:r>
    </w:p>
    <w:p w14:paraId="3446BF0C">
      <w:pPr>
        <w:rPr>
          <w:rFonts w:hint="eastAsia" w:ascii="宋体" w:hAnsi="宋体"/>
          <w:color w:val="auto"/>
          <w:sz w:val="28"/>
          <w:szCs w:val="28"/>
          <w:highlight w:val="none"/>
        </w:rPr>
      </w:pPr>
      <w:r>
        <w:rPr>
          <w:rFonts w:hint="eastAsia" w:ascii="宋体" w:hAnsi="宋体"/>
          <w:color w:val="auto"/>
          <w:sz w:val="28"/>
          <w:szCs w:val="28"/>
          <w:highlight w:val="none"/>
        </w:rPr>
        <w:t>三、投标保证金</w:t>
      </w:r>
    </w:p>
    <w:p w14:paraId="191C0814">
      <w:pPr>
        <w:rPr>
          <w:rFonts w:hint="eastAsia" w:ascii="宋体" w:hAnsi="宋体"/>
          <w:color w:val="auto"/>
          <w:sz w:val="28"/>
          <w:szCs w:val="28"/>
          <w:highlight w:val="none"/>
        </w:rPr>
      </w:pPr>
      <w:r>
        <w:rPr>
          <w:rFonts w:hint="eastAsia" w:ascii="宋体" w:hAnsi="宋体"/>
          <w:color w:val="auto"/>
          <w:sz w:val="28"/>
          <w:szCs w:val="28"/>
          <w:highlight w:val="none"/>
        </w:rPr>
        <w:t>四、资格审查资料</w:t>
      </w:r>
    </w:p>
    <w:p w14:paraId="636E9D23">
      <w:pPr>
        <w:rPr>
          <w:rFonts w:hint="eastAsia" w:ascii="宋体" w:hAnsi="宋体"/>
          <w:color w:val="auto"/>
          <w:sz w:val="28"/>
          <w:szCs w:val="28"/>
          <w:highlight w:val="none"/>
        </w:rPr>
      </w:pPr>
      <w:bookmarkStart w:id="1402" w:name="_Toc221951925"/>
      <w:r>
        <w:rPr>
          <w:rFonts w:hint="eastAsia" w:ascii="宋体" w:hAnsi="宋体"/>
          <w:color w:val="auto"/>
          <w:sz w:val="28"/>
          <w:szCs w:val="28"/>
          <w:highlight w:val="none"/>
        </w:rPr>
        <w:t>五、其他资料</w:t>
      </w:r>
      <w:bookmarkEnd w:id="1402"/>
    </w:p>
    <w:p w14:paraId="258F388F">
      <w:pPr>
        <w:pStyle w:val="9"/>
        <w:rPr>
          <w:color w:val="auto"/>
          <w:highlight w:val="none"/>
        </w:rPr>
      </w:pPr>
      <w:r>
        <w:rPr>
          <w:rFonts w:hint="eastAsia" w:ascii="宋体" w:hAnsi="宋体"/>
          <w:color w:val="auto"/>
          <w:sz w:val="28"/>
          <w:szCs w:val="28"/>
          <w:highlight w:val="none"/>
        </w:rPr>
        <w:t>六、施工组织设计方案</w:t>
      </w:r>
    </w:p>
    <w:p w14:paraId="02798E8F">
      <w:pPr>
        <w:wordWrap w:val="0"/>
        <w:topLinePunct/>
        <w:spacing w:line="400" w:lineRule="exact"/>
        <w:ind w:firstLine="420" w:firstLineChars="200"/>
        <w:jc w:val="center"/>
        <w:outlineLvl w:val="1"/>
        <w:rPr>
          <w:rFonts w:hint="eastAsia" w:ascii="宋体" w:hAnsi="宋体" w:cs="宋体"/>
          <w:b/>
          <w:color w:val="auto"/>
          <w:sz w:val="30"/>
          <w:szCs w:val="21"/>
          <w:highlight w:val="none"/>
        </w:rPr>
      </w:pPr>
      <w:r>
        <w:rPr>
          <w:rFonts w:ascii="宋体" w:hAnsi="宋体"/>
          <w:color w:val="auto"/>
          <w:highlight w:val="none"/>
        </w:rPr>
        <w:br w:type="page"/>
      </w:r>
      <w:bookmarkStart w:id="1403" w:name="_Toc22217"/>
      <w:bookmarkStart w:id="1404" w:name="_Toc39698074"/>
      <w:bookmarkStart w:id="1405" w:name="_Toc3169"/>
      <w:bookmarkStart w:id="1406" w:name="_Toc21906"/>
      <w:bookmarkStart w:id="1407" w:name="_Toc307341146"/>
      <w:r>
        <w:rPr>
          <w:rFonts w:hint="eastAsia" w:ascii="宋体" w:hAnsi="宋体" w:cs="宋体"/>
          <w:b/>
          <w:color w:val="auto"/>
          <w:sz w:val="30"/>
          <w:szCs w:val="21"/>
          <w:highlight w:val="none"/>
        </w:rPr>
        <w:t>一、投标函及投标函附录</w:t>
      </w:r>
      <w:bookmarkEnd w:id="1403"/>
      <w:bookmarkEnd w:id="1404"/>
      <w:bookmarkEnd w:id="1405"/>
      <w:bookmarkEnd w:id="1406"/>
      <w:bookmarkEnd w:id="1407"/>
    </w:p>
    <w:p w14:paraId="0C5EB7CE">
      <w:pPr>
        <w:pStyle w:val="16"/>
        <w:ind w:firstLine="210"/>
        <w:rPr>
          <w:color w:val="auto"/>
          <w:highlight w:val="none"/>
        </w:rPr>
      </w:pPr>
    </w:p>
    <w:p w14:paraId="28BE01A0">
      <w:pPr>
        <w:spacing w:line="440" w:lineRule="exact"/>
        <w:jc w:val="center"/>
        <w:outlineLvl w:val="2"/>
        <w:rPr>
          <w:rFonts w:hint="eastAsia" w:ascii="宋体" w:hAnsi="宋体"/>
          <w:b/>
          <w:color w:val="auto"/>
          <w:sz w:val="28"/>
          <w:szCs w:val="36"/>
          <w:highlight w:val="none"/>
        </w:rPr>
      </w:pPr>
      <w:bookmarkStart w:id="1408" w:name="_Toc32462"/>
      <w:bookmarkStart w:id="1409" w:name="_Toc5274"/>
      <w:bookmarkStart w:id="1410" w:name="_Toc23009"/>
      <w:bookmarkStart w:id="1411" w:name="_Toc7452"/>
      <w:bookmarkStart w:id="1412" w:name="_Toc30440"/>
      <w:bookmarkStart w:id="1413" w:name="_Toc23721"/>
      <w:r>
        <w:rPr>
          <w:rFonts w:ascii="宋体" w:hAnsi="宋体"/>
          <w:b/>
          <w:color w:val="auto"/>
          <w:sz w:val="28"/>
          <w:szCs w:val="36"/>
          <w:highlight w:val="none"/>
        </w:rPr>
        <w:t>（一）投标函</w:t>
      </w:r>
      <w:bookmarkEnd w:id="1408"/>
      <w:bookmarkEnd w:id="1409"/>
      <w:bookmarkEnd w:id="1410"/>
      <w:bookmarkEnd w:id="1411"/>
      <w:bookmarkEnd w:id="1412"/>
      <w:bookmarkEnd w:id="1413"/>
    </w:p>
    <w:p w14:paraId="1C5132E8">
      <w:pPr>
        <w:spacing w:line="440" w:lineRule="exact"/>
        <w:rPr>
          <w:rFonts w:hint="eastAsia" w:ascii="宋体" w:hAnsi="宋体"/>
          <w:color w:val="auto"/>
          <w:sz w:val="20"/>
          <w:szCs w:val="20"/>
          <w:highlight w:val="none"/>
        </w:rPr>
      </w:pPr>
    </w:p>
    <w:p w14:paraId="721AA610">
      <w:pPr>
        <w:spacing w:line="440" w:lineRule="exact"/>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招标人名称</w:t>
      </w:r>
      <w:r>
        <w:rPr>
          <w:rFonts w:ascii="宋体" w:hAnsi="宋体"/>
          <w:color w:val="auto"/>
          <w:szCs w:val="21"/>
          <w:highlight w:val="none"/>
        </w:rPr>
        <w:t>）：</w:t>
      </w:r>
    </w:p>
    <w:p w14:paraId="0361A9B7">
      <w:pPr>
        <w:spacing w:line="440" w:lineRule="exact"/>
        <w:rPr>
          <w:rFonts w:hint="eastAsia" w:ascii="宋体" w:hAnsi="宋体"/>
          <w:color w:val="auto"/>
          <w:szCs w:val="21"/>
          <w:highlight w:val="none"/>
        </w:rPr>
      </w:pPr>
    </w:p>
    <w:p w14:paraId="54B890F2">
      <w:pPr>
        <w:wordWrap w:val="0"/>
        <w:topLinePunct/>
        <w:spacing w:line="440" w:lineRule="exact"/>
        <w:ind w:firstLine="420" w:firstLineChars="200"/>
        <w:jc w:val="left"/>
        <w:rPr>
          <w:rFonts w:hint="eastAsia" w:ascii="宋体" w:hAnsi="宋体"/>
          <w:color w:val="auto"/>
          <w:szCs w:val="21"/>
          <w:highlight w:val="none"/>
        </w:rPr>
      </w:pP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博罗县河肚水水系综合整治工程和博罗县澜石河水系综合整治工程施工（第二次招标）</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项目名称）</w:t>
      </w:r>
      <w:r>
        <w:rPr>
          <w:rFonts w:ascii="宋体" w:hAnsi="宋体"/>
          <w:color w:val="auto"/>
          <w:szCs w:val="21"/>
          <w:highlight w:val="none"/>
        </w:rPr>
        <w:t>招标文件的全部内容，愿意以（大写）</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小写：</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rPr>
        <w:t>）的</w:t>
      </w:r>
      <w:r>
        <w:rPr>
          <w:rFonts w:hint="eastAsia" w:ascii="宋体" w:hAnsi="宋体"/>
          <w:color w:val="auto"/>
          <w:szCs w:val="21"/>
          <w:highlight w:val="none"/>
        </w:rPr>
        <w:t>投标报价下浮率</w:t>
      </w:r>
      <w:r>
        <w:rPr>
          <w:rFonts w:ascii="宋体" w:hAnsi="宋体"/>
          <w:color w:val="auto"/>
          <w:szCs w:val="21"/>
          <w:highlight w:val="none"/>
        </w:rPr>
        <w:t>，</w:t>
      </w:r>
      <w:r>
        <w:rPr>
          <w:rFonts w:hint="eastAsia" w:ascii="宋体" w:hAnsi="宋体"/>
          <w:color w:val="auto"/>
          <w:szCs w:val="21"/>
          <w:highlight w:val="none"/>
        </w:rPr>
        <w:t>工期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w:t>
      </w:r>
      <w:r>
        <w:rPr>
          <w:rFonts w:ascii="宋体" w:hAnsi="宋体"/>
          <w:color w:val="auto"/>
          <w:szCs w:val="21"/>
          <w:highlight w:val="none"/>
        </w:rPr>
        <w:t>按合同约定实施和完成承包工程，修补工程中的任何缺陷，工程质量达到</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79D67FC">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2．我方承诺在投标有效期内</w:t>
      </w:r>
      <w:r>
        <w:rPr>
          <w:rFonts w:hint="eastAsia" w:ascii="宋体" w:hAnsi="宋体"/>
          <w:color w:val="auto"/>
          <w:szCs w:val="21"/>
          <w:highlight w:val="none"/>
        </w:rPr>
        <w:t>不补充、</w:t>
      </w:r>
      <w:r>
        <w:rPr>
          <w:rFonts w:ascii="宋体" w:hAnsi="宋体"/>
          <w:color w:val="auto"/>
          <w:szCs w:val="21"/>
          <w:highlight w:val="none"/>
        </w:rPr>
        <w:t>修改、</w:t>
      </w:r>
      <w:r>
        <w:rPr>
          <w:rFonts w:hint="eastAsia" w:ascii="宋体" w:hAnsi="宋体"/>
          <w:color w:val="auto"/>
          <w:szCs w:val="21"/>
          <w:highlight w:val="none"/>
        </w:rPr>
        <w:t>替代或者</w:t>
      </w:r>
      <w:r>
        <w:rPr>
          <w:rFonts w:ascii="宋体" w:hAnsi="宋体"/>
          <w:color w:val="auto"/>
          <w:szCs w:val="21"/>
          <w:highlight w:val="none"/>
        </w:rPr>
        <w:t>撤</w:t>
      </w:r>
      <w:r>
        <w:rPr>
          <w:rFonts w:hint="eastAsia" w:ascii="宋体" w:hAnsi="宋体"/>
          <w:color w:val="auto"/>
          <w:szCs w:val="21"/>
          <w:highlight w:val="none"/>
        </w:rPr>
        <w:t>回本</w:t>
      </w:r>
      <w:r>
        <w:rPr>
          <w:rFonts w:ascii="宋体" w:hAnsi="宋体"/>
          <w:color w:val="auto"/>
          <w:szCs w:val="21"/>
          <w:highlight w:val="none"/>
        </w:rPr>
        <w:t>投标文件。</w:t>
      </w:r>
    </w:p>
    <w:p w14:paraId="7CAB00BD">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3．随同本投标函提交投标保证金一份，金额为人民币（大写）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7485CD4">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4．</w:t>
      </w:r>
      <w:r>
        <w:rPr>
          <w:rFonts w:hint="eastAsia" w:ascii="宋体" w:hAnsi="宋体"/>
          <w:color w:val="auto"/>
          <w:szCs w:val="21"/>
          <w:highlight w:val="none"/>
        </w:rPr>
        <w:t>投标有效期为投标截止时间起90日历天，中标人投标有效期延至合同验收之日。</w:t>
      </w:r>
    </w:p>
    <w:p w14:paraId="3E1E08C2">
      <w:pPr>
        <w:spacing w:line="440" w:lineRule="exact"/>
        <w:rPr>
          <w:rFonts w:hint="eastAsia" w:ascii="宋体" w:hAnsi="宋体"/>
          <w:color w:val="auto"/>
          <w:szCs w:val="21"/>
          <w:highlight w:val="none"/>
        </w:rPr>
      </w:pPr>
      <w:r>
        <w:rPr>
          <w:rFonts w:hint="eastAsia" w:ascii="宋体" w:hAnsi="宋体"/>
          <w:color w:val="auto"/>
          <w:szCs w:val="21"/>
          <w:highlight w:val="none"/>
        </w:rPr>
        <w:t>　　5</w:t>
      </w:r>
      <w:r>
        <w:rPr>
          <w:rFonts w:ascii="宋体" w:hAnsi="宋体"/>
          <w:color w:val="auto"/>
          <w:szCs w:val="21"/>
          <w:highlight w:val="none"/>
        </w:rPr>
        <w:t>．如我方中标：</w:t>
      </w:r>
    </w:p>
    <w:p w14:paraId="2142C8DB">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（1）我方承诺在收到中标通知书后，在中标通知书规定的期限内与你方签订合同</w:t>
      </w:r>
      <w:r>
        <w:rPr>
          <w:rFonts w:hint="eastAsia" w:ascii="宋体" w:hAnsi="宋体"/>
          <w:color w:val="auto"/>
          <w:szCs w:val="21"/>
          <w:highlight w:val="none"/>
        </w:rPr>
        <w:t>；</w:t>
      </w:r>
    </w:p>
    <w:p w14:paraId="1A202CE3">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（2）随同本投标函递交的投标函附录属于合同文件的组成部分。</w:t>
      </w:r>
    </w:p>
    <w:p w14:paraId="5F66C433">
      <w:pPr>
        <w:spacing w:line="440" w:lineRule="exact"/>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（3）我方承诺按照招标文件规定向你方递交履约担保。</w:t>
      </w:r>
    </w:p>
    <w:p w14:paraId="0481BA2A">
      <w:pPr>
        <w:spacing w:line="440" w:lineRule="exact"/>
        <w:ind w:firstLine="42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我方承诺按照招标文件要求缴纳交易服务费及招标代理服务费。</w:t>
      </w:r>
    </w:p>
    <w:p w14:paraId="7FCF845E">
      <w:pPr>
        <w:spacing w:line="440" w:lineRule="exact"/>
        <w:ind w:firstLine="42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我方承诺在合同约定的期限内完成并移交全部合同工程。</w:t>
      </w:r>
    </w:p>
    <w:p w14:paraId="5716034E">
      <w:pPr>
        <w:spacing w:line="440" w:lineRule="exact"/>
        <w:rPr>
          <w:rFonts w:hint="eastAsia" w:ascii="宋体" w:hAnsi="宋体"/>
          <w:color w:val="auto"/>
          <w:szCs w:val="21"/>
          <w:highlight w:val="none"/>
        </w:rPr>
      </w:pPr>
      <w:r>
        <w:rPr>
          <w:rFonts w:hint="eastAsia" w:ascii="宋体" w:hAnsi="宋体"/>
          <w:color w:val="auto"/>
          <w:szCs w:val="21"/>
          <w:highlight w:val="none"/>
        </w:rPr>
        <w:t>　　6．我方在此声明，所递交的投标文件及有关资料内容完整、真实和准确，且不存在第2章投标人须知第1.4.3项规定的任何一种情形。</w:t>
      </w:r>
    </w:p>
    <w:p w14:paraId="0289BC9A">
      <w:pPr>
        <w:spacing w:line="440" w:lineRule="exact"/>
        <w:rPr>
          <w:rFonts w:hint="eastAsia" w:ascii="宋体" w:hAnsi="宋体"/>
          <w:color w:val="auto"/>
          <w:szCs w:val="21"/>
          <w:highlight w:val="none"/>
        </w:rPr>
      </w:pPr>
      <w:r>
        <w:rPr>
          <w:rFonts w:hint="eastAsia" w:ascii="宋体" w:hAnsi="宋体"/>
          <w:color w:val="auto"/>
          <w:szCs w:val="21"/>
          <w:highlight w:val="none"/>
        </w:rPr>
        <w:t>　　7</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其他</w:t>
      </w:r>
      <w:r>
        <w:rPr>
          <w:rFonts w:ascii="宋体" w:hAnsi="宋体"/>
          <w:color w:val="auto"/>
          <w:szCs w:val="21"/>
          <w:highlight w:val="none"/>
        </w:rPr>
        <w:t>补充说明）。</w:t>
      </w:r>
    </w:p>
    <w:p w14:paraId="79151DAF">
      <w:pPr>
        <w:jc w:val="center"/>
        <w:outlineLvl w:val="2"/>
        <w:rPr>
          <w:rFonts w:hint="eastAsia" w:ascii="宋体" w:hAnsi="宋体"/>
          <w:b/>
          <w:color w:val="auto"/>
          <w:highlight w:val="none"/>
        </w:rPr>
      </w:pPr>
    </w:p>
    <w:p w14:paraId="3A20B631">
      <w:pPr>
        <w:jc w:val="center"/>
        <w:outlineLvl w:val="2"/>
        <w:rPr>
          <w:rFonts w:hint="eastAsia" w:ascii="宋体" w:hAnsi="宋体"/>
          <w:b/>
          <w:color w:val="auto"/>
          <w:highlight w:val="none"/>
        </w:rPr>
      </w:pPr>
    </w:p>
    <w:p w14:paraId="13FA4AB3">
      <w:pPr>
        <w:spacing w:line="360" w:lineRule="auto"/>
        <w:ind w:firstLine="480"/>
        <w:jc w:val="righ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（盖投标人单位章）</w:t>
      </w:r>
    </w:p>
    <w:p w14:paraId="041060CA">
      <w:pPr>
        <w:spacing w:line="360" w:lineRule="auto"/>
        <w:ind w:firstLine="480"/>
        <w:jc w:val="right"/>
        <w:rPr>
          <w:rFonts w:hint="eastAsia" w:ascii="宋体" w:hAnsi="宋体" w:cs="宋体"/>
          <w:color w:val="auto"/>
          <w:szCs w:val="21"/>
          <w:highlight w:val="none"/>
        </w:rPr>
      </w:pPr>
      <w:r>
        <w:rPr>
          <w:rFonts w:hint="eastAsia" w:ascii="宋体" w:hAnsi="宋体" w:cs="宋体"/>
          <w:color w:val="auto"/>
          <w:szCs w:val="21"/>
          <w:highlight w:val="none"/>
        </w:rPr>
        <w:t>投标人法定代表人或其委托代理人：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（签字或签章）</w:t>
      </w:r>
    </w:p>
    <w:p w14:paraId="035DDBDC">
      <w:pPr>
        <w:spacing w:line="360" w:lineRule="auto"/>
        <w:ind w:firstLine="480"/>
        <w:jc w:val="righ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2C83C6C">
      <w:pPr>
        <w:spacing w:line="360" w:lineRule="auto"/>
        <w:ind w:firstLine="480"/>
        <w:jc w:val="righ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16C2C93D">
      <w:pPr>
        <w:spacing w:line="360" w:lineRule="auto"/>
        <w:ind w:firstLine="480"/>
        <w:jc w:val="right"/>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9AEE002">
      <w:pPr>
        <w:ind w:firstLine="560"/>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4D48511">
      <w:pPr>
        <w:topLinePunct/>
        <w:ind w:firstLine="420" w:firstLineChars="200"/>
        <w:jc w:val="center"/>
        <w:outlineLvl w:val="2"/>
        <w:rPr>
          <w:rFonts w:hint="eastAsia" w:ascii="宋体" w:hAnsi="宋体"/>
          <w:b/>
          <w:color w:val="auto"/>
          <w:highlight w:val="none"/>
        </w:rPr>
      </w:pPr>
      <w:r>
        <w:rPr>
          <w:rFonts w:ascii="宋体" w:hAnsi="宋体"/>
          <w:color w:val="auto"/>
          <w:highlight w:val="none"/>
        </w:rPr>
        <w:br w:type="page"/>
      </w:r>
      <w:bookmarkStart w:id="1414" w:name="_Toc4237"/>
      <w:bookmarkStart w:id="1415" w:name="_Toc25348"/>
      <w:bookmarkStart w:id="1416" w:name="_Toc10154"/>
      <w:bookmarkStart w:id="1417" w:name="_Toc21430"/>
      <w:bookmarkStart w:id="1418" w:name="_Toc26948"/>
      <w:bookmarkStart w:id="1419" w:name="_Toc1375"/>
      <w:r>
        <w:rPr>
          <w:rFonts w:ascii="宋体" w:hAnsi="宋体"/>
          <w:b/>
          <w:color w:val="auto"/>
          <w:sz w:val="28"/>
          <w:szCs w:val="36"/>
          <w:highlight w:val="none"/>
        </w:rPr>
        <w:t>（二）投标函附录</w:t>
      </w:r>
      <w:bookmarkEnd w:id="1414"/>
      <w:bookmarkEnd w:id="1415"/>
      <w:bookmarkEnd w:id="1416"/>
      <w:bookmarkEnd w:id="1417"/>
      <w:bookmarkEnd w:id="1418"/>
      <w:bookmarkEnd w:id="1419"/>
    </w:p>
    <w:tbl>
      <w:tblPr>
        <w:tblStyle w:val="1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1873"/>
        <w:gridCol w:w="2990"/>
        <w:gridCol w:w="718"/>
      </w:tblGrid>
      <w:tr w14:paraId="6B35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7801BCE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337" w:type="dxa"/>
            <w:vAlign w:val="center"/>
          </w:tcPr>
          <w:p w14:paraId="75B9FBE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1873" w:type="dxa"/>
            <w:vAlign w:val="center"/>
          </w:tcPr>
          <w:p w14:paraId="7B01E07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合同条款号</w:t>
            </w:r>
          </w:p>
        </w:tc>
        <w:tc>
          <w:tcPr>
            <w:tcW w:w="2990" w:type="dxa"/>
            <w:vAlign w:val="center"/>
          </w:tcPr>
          <w:p w14:paraId="120C8EA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718" w:type="dxa"/>
            <w:vAlign w:val="center"/>
          </w:tcPr>
          <w:p w14:paraId="06C914F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877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0160054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37" w:type="dxa"/>
            <w:vAlign w:val="center"/>
          </w:tcPr>
          <w:p w14:paraId="5BB8343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1873" w:type="dxa"/>
            <w:vAlign w:val="center"/>
          </w:tcPr>
          <w:p w14:paraId="44B7E24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1.1.2.4</w:t>
            </w:r>
          </w:p>
        </w:tc>
        <w:tc>
          <w:tcPr>
            <w:tcW w:w="2990" w:type="dxa"/>
            <w:vAlign w:val="center"/>
          </w:tcPr>
          <w:p w14:paraId="5D705086">
            <w:pPr>
              <w:wordWrap w:val="0"/>
              <w:topLinePunct/>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姓名：</w:t>
            </w:r>
          </w:p>
          <w:p w14:paraId="38CE0E41">
            <w:pPr>
              <w:wordWrap w:val="0"/>
              <w:topLinePunct/>
              <w:spacing w:line="44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建造师注册证书注册编号：</w:t>
            </w:r>
          </w:p>
        </w:tc>
        <w:tc>
          <w:tcPr>
            <w:tcW w:w="718" w:type="dxa"/>
            <w:vAlign w:val="center"/>
          </w:tcPr>
          <w:p w14:paraId="5405AAD4">
            <w:pPr>
              <w:spacing w:line="440" w:lineRule="exact"/>
              <w:jc w:val="center"/>
              <w:rPr>
                <w:rFonts w:hint="eastAsia" w:ascii="宋体" w:hAnsi="宋体" w:cs="宋体"/>
                <w:color w:val="auto"/>
                <w:szCs w:val="21"/>
                <w:highlight w:val="none"/>
              </w:rPr>
            </w:pPr>
          </w:p>
        </w:tc>
      </w:tr>
      <w:tr w14:paraId="2563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1943E6C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37" w:type="dxa"/>
            <w:vAlign w:val="center"/>
          </w:tcPr>
          <w:p w14:paraId="5CF947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873" w:type="dxa"/>
            <w:vAlign w:val="center"/>
          </w:tcPr>
          <w:p w14:paraId="6248E43A">
            <w:pPr>
              <w:spacing w:line="440" w:lineRule="exact"/>
              <w:jc w:val="center"/>
              <w:rPr>
                <w:rFonts w:hint="eastAsia" w:ascii="宋体" w:hAnsi="宋体" w:cs="宋体"/>
                <w:color w:val="auto"/>
                <w:szCs w:val="21"/>
                <w:highlight w:val="none"/>
              </w:rPr>
            </w:pPr>
          </w:p>
        </w:tc>
        <w:tc>
          <w:tcPr>
            <w:tcW w:w="2990" w:type="dxa"/>
            <w:vAlign w:val="center"/>
          </w:tcPr>
          <w:p w14:paraId="21686774">
            <w:pPr>
              <w:wordWrap w:val="0"/>
              <w:topLinePunct/>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姓名：</w:t>
            </w:r>
          </w:p>
          <w:p w14:paraId="3D559393">
            <w:pPr>
              <w:wordWrap w:val="0"/>
              <w:topLinePunct/>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718" w:type="dxa"/>
            <w:vAlign w:val="center"/>
          </w:tcPr>
          <w:p w14:paraId="170B3E5B">
            <w:pPr>
              <w:spacing w:line="440" w:lineRule="exact"/>
              <w:jc w:val="center"/>
              <w:rPr>
                <w:rFonts w:hint="eastAsia" w:ascii="宋体" w:hAnsi="宋体" w:cs="宋体"/>
                <w:color w:val="auto"/>
                <w:szCs w:val="21"/>
                <w:highlight w:val="none"/>
              </w:rPr>
            </w:pPr>
          </w:p>
        </w:tc>
      </w:tr>
      <w:tr w14:paraId="5084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01F971F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37" w:type="dxa"/>
            <w:vAlign w:val="center"/>
          </w:tcPr>
          <w:p w14:paraId="5996BA0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873" w:type="dxa"/>
            <w:vAlign w:val="center"/>
          </w:tcPr>
          <w:p w14:paraId="066C2E9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1.1.4.3</w:t>
            </w:r>
          </w:p>
        </w:tc>
        <w:tc>
          <w:tcPr>
            <w:tcW w:w="2990" w:type="dxa"/>
            <w:vAlign w:val="center"/>
          </w:tcPr>
          <w:p w14:paraId="7F44F5C1">
            <w:pPr>
              <w:wordWrap w:val="0"/>
              <w:topLinePunct/>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tc>
        <w:tc>
          <w:tcPr>
            <w:tcW w:w="718" w:type="dxa"/>
            <w:vAlign w:val="center"/>
          </w:tcPr>
          <w:p w14:paraId="1394DA36">
            <w:pPr>
              <w:spacing w:line="440" w:lineRule="exact"/>
              <w:jc w:val="center"/>
              <w:rPr>
                <w:rFonts w:hint="eastAsia" w:ascii="宋体" w:hAnsi="宋体" w:cs="宋体"/>
                <w:color w:val="auto"/>
                <w:szCs w:val="21"/>
                <w:highlight w:val="none"/>
              </w:rPr>
            </w:pPr>
          </w:p>
        </w:tc>
      </w:tr>
      <w:tr w14:paraId="4A9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7543345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337" w:type="dxa"/>
            <w:vAlign w:val="center"/>
          </w:tcPr>
          <w:p w14:paraId="2E3C427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缺陷责任期（工程质量保修期）</w:t>
            </w:r>
          </w:p>
        </w:tc>
        <w:tc>
          <w:tcPr>
            <w:tcW w:w="1873" w:type="dxa"/>
            <w:vAlign w:val="center"/>
          </w:tcPr>
          <w:p w14:paraId="58CF1DC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1.1.4.5</w:t>
            </w:r>
          </w:p>
        </w:tc>
        <w:tc>
          <w:tcPr>
            <w:tcW w:w="2990" w:type="dxa"/>
            <w:vAlign w:val="center"/>
          </w:tcPr>
          <w:p w14:paraId="1CB75FB9">
            <w:pPr>
              <w:wordWrap w:val="0"/>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一年</w:t>
            </w:r>
          </w:p>
        </w:tc>
        <w:tc>
          <w:tcPr>
            <w:tcW w:w="718" w:type="dxa"/>
            <w:vAlign w:val="center"/>
          </w:tcPr>
          <w:p w14:paraId="41E007A9">
            <w:pPr>
              <w:spacing w:line="440" w:lineRule="exact"/>
              <w:jc w:val="center"/>
              <w:rPr>
                <w:rFonts w:hint="eastAsia" w:ascii="宋体" w:hAnsi="宋体" w:cs="宋体"/>
                <w:color w:val="auto"/>
                <w:szCs w:val="21"/>
                <w:highlight w:val="none"/>
              </w:rPr>
            </w:pPr>
          </w:p>
        </w:tc>
      </w:tr>
      <w:tr w14:paraId="7CA4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79314D49">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5</w:t>
            </w:r>
          </w:p>
        </w:tc>
        <w:tc>
          <w:tcPr>
            <w:tcW w:w="2337" w:type="dxa"/>
            <w:vAlign w:val="center"/>
          </w:tcPr>
          <w:p w14:paraId="736EE2E7">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投标有效期</w:t>
            </w:r>
          </w:p>
        </w:tc>
        <w:tc>
          <w:tcPr>
            <w:tcW w:w="1873" w:type="dxa"/>
            <w:vAlign w:val="center"/>
          </w:tcPr>
          <w:p w14:paraId="00039BA7">
            <w:pPr>
              <w:jc w:val="center"/>
              <w:rPr>
                <w:rFonts w:hint="eastAsia" w:ascii="宋体" w:hAnsi="宋体" w:cs="宋体"/>
                <w:color w:val="auto"/>
                <w:szCs w:val="21"/>
                <w:highlight w:val="none"/>
              </w:rPr>
            </w:pPr>
          </w:p>
        </w:tc>
        <w:tc>
          <w:tcPr>
            <w:tcW w:w="2990" w:type="dxa"/>
            <w:vAlign w:val="center"/>
          </w:tcPr>
          <w:p w14:paraId="25770027">
            <w:pPr>
              <w:pStyle w:val="32"/>
              <w:wordWrap w:val="0"/>
              <w:topLinePunct/>
              <w:spacing w:line="299"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从提交投标文件的截止之日起算</w:t>
            </w:r>
            <w:r>
              <w:rPr>
                <w:rFonts w:hint="eastAsia" w:ascii="宋体" w:hAnsi="宋体" w:cs="宋体"/>
                <w:color w:val="auto"/>
                <w:sz w:val="21"/>
                <w:szCs w:val="21"/>
                <w:highlight w:val="none"/>
                <w:lang w:eastAsia="zh-CN"/>
              </w:rPr>
              <w:t>9</w:t>
            </w:r>
            <w:r>
              <w:rPr>
                <w:rFonts w:hint="eastAsia" w:ascii="宋体" w:hAnsi="宋体" w:cs="宋体"/>
                <w:color w:val="auto"/>
                <w:sz w:val="21"/>
                <w:szCs w:val="21"/>
                <w:highlight w:val="none"/>
              </w:rPr>
              <w:t>0日历天</w:t>
            </w:r>
          </w:p>
        </w:tc>
        <w:tc>
          <w:tcPr>
            <w:tcW w:w="718" w:type="dxa"/>
            <w:vAlign w:val="center"/>
          </w:tcPr>
          <w:p w14:paraId="614DB1A2">
            <w:pPr>
              <w:spacing w:line="440" w:lineRule="exact"/>
              <w:jc w:val="center"/>
              <w:rPr>
                <w:rFonts w:hint="eastAsia" w:ascii="宋体" w:hAnsi="宋体" w:cs="宋体"/>
                <w:color w:val="auto"/>
                <w:szCs w:val="21"/>
                <w:highlight w:val="none"/>
              </w:rPr>
            </w:pPr>
          </w:p>
        </w:tc>
      </w:tr>
      <w:tr w14:paraId="4873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4C711118">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6</w:t>
            </w:r>
          </w:p>
        </w:tc>
        <w:tc>
          <w:tcPr>
            <w:tcW w:w="2337" w:type="dxa"/>
            <w:vAlign w:val="center"/>
          </w:tcPr>
          <w:p w14:paraId="28A995AB">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投标内容</w:t>
            </w:r>
          </w:p>
        </w:tc>
        <w:tc>
          <w:tcPr>
            <w:tcW w:w="1873" w:type="dxa"/>
            <w:vAlign w:val="center"/>
          </w:tcPr>
          <w:p w14:paraId="0CDF93B2">
            <w:pPr>
              <w:jc w:val="center"/>
              <w:rPr>
                <w:rFonts w:hint="eastAsia" w:ascii="宋体" w:hAnsi="宋体" w:cs="宋体"/>
                <w:color w:val="auto"/>
                <w:szCs w:val="21"/>
                <w:highlight w:val="none"/>
              </w:rPr>
            </w:pPr>
          </w:p>
        </w:tc>
        <w:tc>
          <w:tcPr>
            <w:tcW w:w="2990" w:type="dxa"/>
            <w:vAlign w:val="center"/>
          </w:tcPr>
          <w:p w14:paraId="7831CD95">
            <w:pPr>
              <w:pStyle w:val="32"/>
              <w:wordWrap w:val="0"/>
              <w:topLinePun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符合招标文件第二章“投标须知”第1.3.1项规定</w:t>
            </w:r>
          </w:p>
        </w:tc>
        <w:tc>
          <w:tcPr>
            <w:tcW w:w="718" w:type="dxa"/>
            <w:vAlign w:val="center"/>
          </w:tcPr>
          <w:p w14:paraId="29A8B6A1">
            <w:pPr>
              <w:spacing w:line="440" w:lineRule="exact"/>
              <w:jc w:val="center"/>
              <w:rPr>
                <w:rFonts w:hint="eastAsia" w:ascii="宋体" w:hAnsi="宋体" w:cs="宋体"/>
                <w:color w:val="auto"/>
                <w:szCs w:val="21"/>
                <w:highlight w:val="none"/>
              </w:rPr>
            </w:pPr>
          </w:p>
        </w:tc>
      </w:tr>
      <w:tr w14:paraId="342D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010930BF">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7</w:t>
            </w:r>
          </w:p>
        </w:tc>
        <w:tc>
          <w:tcPr>
            <w:tcW w:w="2337" w:type="dxa"/>
            <w:vAlign w:val="center"/>
          </w:tcPr>
          <w:p w14:paraId="589FB8D2">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权利义务</w:t>
            </w:r>
          </w:p>
        </w:tc>
        <w:tc>
          <w:tcPr>
            <w:tcW w:w="1873" w:type="dxa"/>
            <w:vAlign w:val="center"/>
          </w:tcPr>
          <w:p w14:paraId="02823B4B">
            <w:pPr>
              <w:pStyle w:val="32"/>
              <w:kinsoku w:val="0"/>
              <w:overflowPunct w:val="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招标文件第四章</w:t>
            </w:r>
          </w:p>
        </w:tc>
        <w:tc>
          <w:tcPr>
            <w:tcW w:w="2990" w:type="dxa"/>
            <w:vAlign w:val="center"/>
          </w:tcPr>
          <w:p w14:paraId="59295382">
            <w:pPr>
              <w:pStyle w:val="32"/>
              <w:wordWrap w:val="0"/>
              <w:topLinePun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执行招标文件第四章“合同格式及主要条款”规定</w:t>
            </w:r>
          </w:p>
        </w:tc>
        <w:tc>
          <w:tcPr>
            <w:tcW w:w="718" w:type="dxa"/>
            <w:vAlign w:val="center"/>
          </w:tcPr>
          <w:p w14:paraId="217582F7">
            <w:pPr>
              <w:spacing w:line="440" w:lineRule="exact"/>
              <w:jc w:val="center"/>
              <w:rPr>
                <w:rFonts w:hint="eastAsia" w:ascii="宋体" w:hAnsi="宋体" w:cs="宋体"/>
                <w:color w:val="auto"/>
                <w:szCs w:val="21"/>
                <w:highlight w:val="none"/>
              </w:rPr>
            </w:pPr>
          </w:p>
        </w:tc>
      </w:tr>
      <w:tr w14:paraId="2EE1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14:paraId="621B0975">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8</w:t>
            </w:r>
          </w:p>
        </w:tc>
        <w:tc>
          <w:tcPr>
            <w:tcW w:w="2337" w:type="dxa"/>
            <w:vAlign w:val="center"/>
          </w:tcPr>
          <w:p w14:paraId="4246BF05">
            <w:pPr>
              <w:pStyle w:val="32"/>
              <w:kinsoku w:val="0"/>
              <w:overflowPunct w:val="0"/>
              <w:jc w:val="center"/>
              <w:rPr>
                <w:rFonts w:hint="eastAsia" w:ascii="宋体" w:hAnsi="宋体" w:cs="宋体"/>
                <w:color w:val="auto"/>
                <w:kern w:val="2"/>
                <w:sz w:val="21"/>
                <w:szCs w:val="21"/>
                <w:highlight w:val="none"/>
                <w:lang w:eastAsia="zh-CN"/>
              </w:rPr>
            </w:pPr>
            <w:r>
              <w:rPr>
                <w:rFonts w:hint="eastAsia" w:ascii="宋体" w:hAnsi="宋体"/>
                <w:color w:val="auto"/>
                <w:highlight w:val="none"/>
              </w:rPr>
              <w:t>技术标准和要求</w:t>
            </w:r>
          </w:p>
        </w:tc>
        <w:tc>
          <w:tcPr>
            <w:tcW w:w="1873" w:type="dxa"/>
            <w:vAlign w:val="center"/>
          </w:tcPr>
          <w:p w14:paraId="2F1B03C6">
            <w:pPr>
              <w:pStyle w:val="32"/>
              <w:kinsoku w:val="0"/>
              <w:overflowPunct w:val="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招标文件第七章</w:t>
            </w:r>
          </w:p>
        </w:tc>
        <w:tc>
          <w:tcPr>
            <w:tcW w:w="2990" w:type="dxa"/>
            <w:vAlign w:val="center"/>
          </w:tcPr>
          <w:p w14:paraId="3A6C9E6B">
            <w:pPr>
              <w:pStyle w:val="32"/>
              <w:wordWrap w:val="0"/>
              <w:topLinePun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执行招标文件第七章“</w:t>
            </w:r>
            <w:r>
              <w:rPr>
                <w:rFonts w:hint="eastAsia" w:ascii="宋体" w:hAnsi="宋体"/>
                <w:color w:val="auto"/>
                <w:highlight w:val="none"/>
              </w:rPr>
              <w:t>技术标准和要求</w:t>
            </w:r>
            <w:r>
              <w:rPr>
                <w:rFonts w:hint="eastAsia" w:ascii="宋体" w:hAnsi="宋体" w:cs="宋体"/>
                <w:color w:val="auto"/>
                <w:sz w:val="21"/>
                <w:szCs w:val="21"/>
                <w:highlight w:val="none"/>
                <w:lang w:eastAsia="zh-CN"/>
              </w:rPr>
              <w:t>”规定</w:t>
            </w:r>
          </w:p>
        </w:tc>
        <w:tc>
          <w:tcPr>
            <w:tcW w:w="718" w:type="dxa"/>
            <w:vAlign w:val="center"/>
          </w:tcPr>
          <w:p w14:paraId="74064064">
            <w:pPr>
              <w:spacing w:line="440" w:lineRule="exact"/>
              <w:jc w:val="center"/>
              <w:rPr>
                <w:rFonts w:hint="eastAsia" w:ascii="宋体" w:hAnsi="宋体" w:cs="宋体"/>
                <w:color w:val="auto"/>
                <w:szCs w:val="21"/>
                <w:highlight w:val="none"/>
              </w:rPr>
            </w:pPr>
          </w:p>
        </w:tc>
      </w:tr>
    </w:tbl>
    <w:p w14:paraId="0FB417FD">
      <w:pPr>
        <w:spacing w:line="440" w:lineRule="exact"/>
        <w:ind w:left="840" w:leftChars="400"/>
        <w:rPr>
          <w:rFonts w:hint="eastAsia" w:ascii="宋体" w:hAnsi="宋体"/>
          <w:color w:val="auto"/>
          <w:sz w:val="20"/>
          <w:szCs w:val="20"/>
          <w:highlight w:val="none"/>
        </w:rPr>
      </w:pPr>
    </w:p>
    <w:p w14:paraId="0B08F086">
      <w:pPr>
        <w:spacing w:before="156" w:beforeLines="50" w:after="156" w:afterLines="50" w:line="360" w:lineRule="auto"/>
        <w:ind w:right="46" w:rightChars="22" w:firstLine="480"/>
        <w:jc w:val="righ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（盖投标人单位章）</w:t>
      </w:r>
    </w:p>
    <w:p w14:paraId="70FFED37">
      <w:pPr>
        <w:spacing w:before="156" w:beforeLines="50" w:after="156" w:afterLines="50" w:line="360" w:lineRule="auto"/>
        <w:ind w:right="46" w:rightChars="22" w:firstLine="480"/>
        <w:jc w:val="right"/>
        <w:rPr>
          <w:rFonts w:hint="eastAsia" w:ascii="宋体" w:hAnsi="宋体" w:cs="宋体"/>
          <w:color w:val="auto"/>
          <w:szCs w:val="21"/>
          <w:highlight w:val="none"/>
        </w:rPr>
      </w:pPr>
      <w:r>
        <w:rPr>
          <w:rFonts w:hint="eastAsia" w:ascii="宋体" w:hAnsi="宋体" w:cs="宋体"/>
          <w:color w:val="auto"/>
          <w:szCs w:val="21"/>
          <w:highlight w:val="none"/>
        </w:rPr>
        <w:t>投标人法定代表人或其委托代理人：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（签字或签章）</w:t>
      </w:r>
    </w:p>
    <w:p w14:paraId="253C3B16">
      <w:pPr>
        <w:spacing w:line="440" w:lineRule="exact"/>
        <w:ind w:left="315" w:hanging="315" w:hangingChars="150"/>
        <w:jc w:val="right"/>
        <w:rPr>
          <w:rFonts w:hint="eastAsia" w:ascii="宋体" w:hAnsi="宋体"/>
          <w:color w:val="auto"/>
          <w:sz w:val="16"/>
          <w:szCs w:val="16"/>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2B3883F">
      <w:pPr>
        <w:spacing w:line="440" w:lineRule="exact"/>
        <w:jc w:val="center"/>
        <w:outlineLvl w:val="1"/>
        <w:rPr>
          <w:rFonts w:hint="eastAsia" w:ascii="宋体" w:hAnsi="宋体"/>
          <w:b/>
          <w:color w:val="auto"/>
          <w:highlight w:val="none"/>
        </w:rPr>
      </w:pPr>
      <w:r>
        <w:rPr>
          <w:rFonts w:ascii="宋体" w:hAnsi="宋体"/>
          <w:color w:val="auto"/>
          <w:sz w:val="20"/>
          <w:szCs w:val="20"/>
          <w:highlight w:val="none"/>
        </w:rPr>
        <w:br w:type="page"/>
      </w:r>
      <w:bookmarkStart w:id="1420" w:name="_Toc307341147"/>
      <w:bookmarkStart w:id="1421" w:name="_Toc17253"/>
      <w:bookmarkStart w:id="1422" w:name="_Toc5846"/>
      <w:bookmarkStart w:id="1423" w:name="_Toc39698075"/>
      <w:bookmarkStart w:id="1424" w:name="_Toc30883"/>
      <w:r>
        <w:rPr>
          <w:rFonts w:hint="eastAsia" w:ascii="宋体" w:hAnsi="宋体" w:cs="宋体"/>
          <w:b/>
          <w:color w:val="auto"/>
          <w:sz w:val="30"/>
          <w:szCs w:val="21"/>
          <w:highlight w:val="none"/>
        </w:rPr>
        <w:t>二、</w:t>
      </w:r>
      <w:bookmarkEnd w:id="1420"/>
      <w:r>
        <w:rPr>
          <w:rFonts w:hint="eastAsia" w:ascii="宋体" w:hAnsi="宋体" w:cs="宋体"/>
          <w:b/>
          <w:color w:val="auto"/>
          <w:sz w:val="30"/>
          <w:szCs w:val="21"/>
          <w:highlight w:val="none"/>
        </w:rPr>
        <w:t>法定代表人身份证明或附有法定代表人身份证明的授权委托书</w:t>
      </w:r>
      <w:bookmarkEnd w:id="1421"/>
      <w:bookmarkEnd w:id="1422"/>
      <w:bookmarkEnd w:id="1423"/>
      <w:bookmarkEnd w:id="1424"/>
    </w:p>
    <w:p w14:paraId="0C7E96C8">
      <w:pPr>
        <w:rPr>
          <w:rFonts w:hint="eastAsia" w:ascii="宋体" w:hAnsi="宋体"/>
          <w:b/>
          <w:color w:val="auto"/>
          <w:highlight w:val="none"/>
        </w:rPr>
      </w:pPr>
    </w:p>
    <w:p w14:paraId="6F6B2B7A">
      <w:pPr>
        <w:rPr>
          <w:rFonts w:hint="eastAsia" w:ascii="宋体" w:hAnsi="宋体"/>
          <w:b/>
          <w:color w:val="auto"/>
          <w:highlight w:val="none"/>
        </w:rPr>
      </w:pPr>
    </w:p>
    <w:p w14:paraId="7D6FE9B1">
      <w:pPr>
        <w:jc w:val="center"/>
        <w:outlineLvl w:val="2"/>
        <w:rPr>
          <w:rFonts w:hint="eastAsia" w:ascii="宋体" w:hAnsi="宋体"/>
          <w:b/>
          <w:color w:val="auto"/>
          <w:sz w:val="28"/>
          <w:szCs w:val="36"/>
          <w:highlight w:val="none"/>
        </w:rPr>
      </w:pPr>
      <w:bookmarkStart w:id="1425" w:name="_Toc1923"/>
      <w:bookmarkStart w:id="1426" w:name="_Toc14462"/>
      <w:bookmarkStart w:id="1427" w:name="_Toc10239"/>
      <w:bookmarkStart w:id="1428" w:name="_Toc7998"/>
      <w:bookmarkStart w:id="1429" w:name="_Toc19071"/>
      <w:bookmarkStart w:id="1430" w:name="_Toc28319"/>
      <w:r>
        <w:rPr>
          <w:rFonts w:hint="eastAsia" w:ascii="宋体" w:hAnsi="宋体"/>
          <w:b/>
          <w:color w:val="auto"/>
          <w:sz w:val="28"/>
          <w:szCs w:val="36"/>
          <w:highlight w:val="none"/>
        </w:rPr>
        <w:t>（一）法定代表人身份证明</w:t>
      </w:r>
      <w:bookmarkEnd w:id="1425"/>
      <w:bookmarkEnd w:id="1426"/>
      <w:bookmarkEnd w:id="1427"/>
      <w:bookmarkEnd w:id="1428"/>
      <w:bookmarkEnd w:id="1429"/>
      <w:bookmarkEnd w:id="1430"/>
    </w:p>
    <w:p w14:paraId="49652D9A">
      <w:pPr>
        <w:spacing w:line="440" w:lineRule="exact"/>
        <w:rPr>
          <w:color w:val="auto"/>
          <w:szCs w:val="21"/>
          <w:highlight w:val="none"/>
        </w:rPr>
      </w:pPr>
    </w:p>
    <w:p w14:paraId="499341FD">
      <w:pPr>
        <w:spacing w:line="440" w:lineRule="exact"/>
        <w:rPr>
          <w:color w:val="auto"/>
          <w:szCs w:val="21"/>
          <w:highlight w:val="none"/>
        </w:rPr>
      </w:pPr>
      <w:r>
        <w:rPr>
          <w:color w:val="auto"/>
          <w:szCs w:val="21"/>
          <w:highlight w:val="none"/>
        </w:rPr>
        <w:t>投标人名称：</w:t>
      </w:r>
      <w:r>
        <w:rPr>
          <w:color w:val="auto"/>
          <w:szCs w:val="21"/>
          <w:highlight w:val="none"/>
          <w:u w:val="single"/>
        </w:rPr>
        <w:t xml:space="preserve">                            </w:t>
      </w:r>
      <w:r>
        <w:rPr>
          <w:color w:val="auto"/>
          <w:szCs w:val="21"/>
          <w:highlight w:val="none"/>
        </w:rPr>
        <w:t xml:space="preserve"> </w:t>
      </w:r>
    </w:p>
    <w:p w14:paraId="315766F8">
      <w:pPr>
        <w:spacing w:line="440" w:lineRule="exact"/>
        <w:rPr>
          <w:color w:val="auto"/>
          <w:szCs w:val="21"/>
          <w:highlight w:val="none"/>
        </w:rPr>
      </w:pPr>
      <w:r>
        <w:rPr>
          <w:color w:val="auto"/>
          <w:szCs w:val="21"/>
          <w:highlight w:val="none"/>
        </w:rPr>
        <w:t>单位性质：</w:t>
      </w:r>
      <w:r>
        <w:rPr>
          <w:color w:val="auto"/>
          <w:szCs w:val="21"/>
          <w:highlight w:val="none"/>
          <w:u w:val="single"/>
        </w:rPr>
        <w:t xml:space="preserve">                               </w:t>
      </w:r>
      <w:r>
        <w:rPr>
          <w:color w:val="auto"/>
          <w:szCs w:val="21"/>
          <w:highlight w:val="none"/>
        </w:rPr>
        <w:t xml:space="preserve"> </w:t>
      </w:r>
    </w:p>
    <w:p w14:paraId="01160CB1">
      <w:pPr>
        <w:spacing w:line="440" w:lineRule="exact"/>
        <w:rPr>
          <w:color w:val="auto"/>
          <w:szCs w:val="21"/>
          <w:highlight w:val="none"/>
        </w:rPr>
      </w:pPr>
      <w:r>
        <w:rPr>
          <w:color w:val="auto"/>
          <w:szCs w:val="21"/>
          <w:highlight w:val="none"/>
        </w:rPr>
        <w:t>地址：</w:t>
      </w:r>
      <w:r>
        <w:rPr>
          <w:color w:val="auto"/>
          <w:szCs w:val="21"/>
          <w:highlight w:val="none"/>
          <w:u w:val="single"/>
        </w:rPr>
        <w:t xml:space="preserve">                                   </w:t>
      </w:r>
    </w:p>
    <w:p w14:paraId="45F1988D">
      <w:pPr>
        <w:spacing w:line="440" w:lineRule="exact"/>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076202E">
      <w:pPr>
        <w:spacing w:line="4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2EBD6A8A">
      <w:pPr>
        <w:spacing w:line="440" w:lineRule="exact"/>
        <w:rPr>
          <w:color w:val="auto"/>
          <w:szCs w:val="21"/>
          <w:highlight w:val="none"/>
        </w:rPr>
      </w:pPr>
      <w:r>
        <w:rPr>
          <w:color w:val="auto"/>
          <w:szCs w:val="21"/>
          <w:highlight w:val="none"/>
        </w:rPr>
        <w:t>姓名：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p>
    <w:p w14:paraId="33AD0434">
      <w:pPr>
        <w:spacing w:line="440" w:lineRule="exact"/>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14:paraId="0F871117">
      <w:pPr>
        <w:spacing w:line="440" w:lineRule="exact"/>
        <w:ind w:firstLine="420" w:firstLineChars="200"/>
        <w:rPr>
          <w:color w:val="auto"/>
          <w:szCs w:val="21"/>
          <w:highlight w:val="none"/>
        </w:rPr>
      </w:pPr>
      <w:r>
        <w:rPr>
          <w:color w:val="auto"/>
          <w:szCs w:val="21"/>
          <w:highlight w:val="none"/>
        </w:rPr>
        <w:t>特此证明。</w:t>
      </w:r>
    </w:p>
    <w:p w14:paraId="4BA75CCC">
      <w:pPr>
        <w:spacing w:line="440" w:lineRule="exact"/>
        <w:ind w:firstLine="420" w:firstLineChars="200"/>
        <w:rPr>
          <w:color w:val="auto"/>
          <w:szCs w:val="21"/>
          <w:highlight w:val="none"/>
        </w:rPr>
      </w:pPr>
      <w:r>
        <w:rPr>
          <w:rFonts w:hint="eastAsia"/>
          <w:color w:val="auto"/>
          <w:szCs w:val="21"/>
          <w:highlight w:val="none"/>
        </w:rPr>
        <w:t>附：法定代表人身份证扫描件</w:t>
      </w:r>
    </w:p>
    <w:p w14:paraId="6E9FD5D9">
      <w:pPr>
        <w:spacing w:line="440" w:lineRule="exact"/>
        <w:rPr>
          <w:color w:val="auto"/>
          <w:szCs w:val="21"/>
          <w:highlight w:val="none"/>
        </w:rPr>
      </w:pPr>
    </w:p>
    <w:p w14:paraId="04DBDA93">
      <w:pPr>
        <w:spacing w:line="440" w:lineRule="exact"/>
        <w:jc w:val="center"/>
        <w:rPr>
          <w:rFonts w:eastAsia="黑体"/>
          <w:color w:val="auto"/>
          <w:sz w:val="20"/>
          <w:szCs w:val="20"/>
          <w:highlight w:val="none"/>
        </w:rPr>
      </w:pPr>
    </w:p>
    <w:p w14:paraId="015CECE2">
      <w:pPr>
        <w:spacing w:line="36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（盖投标人单位章）</w:t>
      </w:r>
    </w:p>
    <w:p w14:paraId="64F84568">
      <w:pPr>
        <w:spacing w:line="360" w:lineRule="auto"/>
        <w:jc w:val="right"/>
        <w:rPr>
          <w:rFonts w:hint="eastAsia" w:ascii="宋体" w:hAnsi="宋体" w:cs="宋体"/>
          <w:color w:val="auto"/>
          <w:szCs w:val="21"/>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38BA68A">
      <w:pPr>
        <w:spacing w:line="440" w:lineRule="exact"/>
        <w:jc w:val="center"/>
        <w:rPr>
          <w:rFonts w:eastAsia="黑体"/>
          <w:color w:val="auto"/>
          <w:sz w:val="20"/>
          <w:szCs w:val="20"/>
          <w:highlight w:val="none"/>
        </w:rPr>
      </w:pPr>
    </w:p>
    <w:p w14:paraId="3F80AF76">
      <w:pPr>
        <w:spacing w:line="440" w:lineRule="exact"/>
        <w:jc w:val="center"/>
        <w:rPr>
          <w:rFonts w:eastAsia="黑体"/>
          <w:color w:val="auto"/>
          <w:sz w:val="20"/>
          <w:szCs w:val="20"/>
          <w:highlight w:val="none"/>
        </w:rPr>
      </w:pPr>
    </w:p>
    <w:p w14:paraId="46D8059A">
      <w:pPr>
        <w:spacing w:line="440" w:lineRule="exact"/>
        <w:jc w:val="center"/>
        <w:rPr>
          <w:rFonts w:eastAsia="黑体"/>
          <w:color w:val="auto"/>
          <w:sz w:val="20"/>
          <w:szCs w:val="20"/>
          <w:highlight w:val="none"/>
        </w:rPr>
      </w:pPr>
    </w:p>
    <w:p w14:paraId="685BC693">
      <w:pPr>
        <w:jc w:val="center"/>
        <w:outlineLvl w:val="2"/>
        <w:rPr>
          <w:rFonts w:hint="eastAsia" w:ascii="宋体" w:hAnsi="宋体"/>
          <w:b/>
          <w:color w:val="auto"/>
          <w:highlight w:val="none"/>
        </w:rPr>
      </w:pPr>
      <w:bookmarkStart w:id="1431" w:name="_Toc152045792"/>
      <w:bookmarkStart w:id="1432" w:name="_Toc144974861"/>
      <w:bookmarkStart w:id="1433" w:name="_Toc152042581"/>
      <w:bookmarkStart w:id="1434" w:name="_Toc246997103"/>
      <w:bookmarkStart w:id="1435" w:name="_Toc246996360"/>
      <w:bookmarkStart w:id="1436" w:name="_Toc179632812"/>
      <w:bookmarkStart w:id="1437" w:name="_Toc247085878"/>
      <w:bookmarkStart w:id="1438" w:name="_Toc4078441"/>
      <w:r>
        <w:rPr>
          <w:rFonts w:hint="eastAsia" w:ascii="宋体" w:hAnsi="宋体"/>
          <w:b/>
          <w:color w:val="auto"/>
          <w:highlight w:val="none"/>
        </w:rPr>
        <w:br w:type="page"/>
      </w:r>
      <w:bookmarkStart w:id="1439" w:name="_Toc21769"/>
      <w:bookmarkStart w:id="1440" w:name="_Toc23325"/>
      <w:bookmarkStart w:id="1441" w:name="_Toc13947"/>
      <w:bookmarkStart w:id="1442" w:name="_Toc13327"/>
      <w:bookmarkStart w:id="1443" w:name="_Toc11551"/>
      <w:bookmarkStart w:id="1444" w:name="_Toc21120"/>
      <w:r>
        <w:rPr>
          <w:rFonts w:hint="eastAsia" w:ascii="宋体" w:hAnsi="宋体"/>
          <w:b/>
          <w:color w:val="auto"/>
          <w:sz w:val="28"/>
          <w:szCs w:val="28"/>
          <w:highlight w:val="none"/>
        </w:rPr>
        <w:t>（二）</w:t>
      </w:r>
      <w:r>
        <w:rPr>
          <w:rFonts w:ascii="宋体" w:hAnsi="宋体"/>
          <w:b/>
          <w:color w:val="auto"/>
          <w:sz w:val="28"/>
          <w:szCs w:val="28"/>
          <w:highlight w:val="none"/>
        </w:rPr>
        <w:t>授权委托书</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23DDE93E">
      <w:pPr>
        <w:spacing w:line="440" w:lineRule="exact"/>
        <w:rPr>
          <w:rFonts w:eastAsia="黑体"/>
          <w:color w:val="auto"/>
          <w:szCs w:val="21"/>
          <w:highlight w:val="none"/>
        </w:rPr>
      </w:pPr>
    </w:p>
    <w:p w14:paraId="1349C252">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（投标人名称）的法定代表人，现委托</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r>
        <w:rPr>
          <w:rFonts w:hint="eastAsia"/>
          <w:color w:val="auto"/>
          <w:szCs w:val="21"/>
          <w:highlight w:val="none"/>
          <w:u w:val="single"/>
        </w:rPr>
        <w:t>博罗县河肚水水系综合整治工程和博罗县澜石河水系综合整治工程施工（第二次招标）</w:t>
      </w:r>
      <w:r>
        <w:rPr>
          <w:color w:val="auto"/>
          <w:szCs w:val="21"/>
          <w:highlight w:val="none"/>
        </w:rPr>
        <w:t>（项目名称）投标文件、签订合同和处理有关事宜，其法律后果由我方承担。</w:t>
      </w:r>
    </w:p>
    <w:p w14:paraId="0FB0929E">
      <w:pPr>
        <w:spacing w:line="440" w:lineRule="exact"/>
        <w:rPr>
          <w:color w:val="auto"/>
          <w:szCs w:val="21"/>
          <w:highlight w:val="none"/>
        </w:rPr>
      </w:pPr>
      <w:r>
        <w:rPr>
          <w:color w:val="auto"/>
          <w:szCs w:val="21"/>
          <w:highlight w:val="none"/>
        </w:rPr>
        <w:t xml:space="preserve">    委托期限：</w:t>
      </w:r>
      <w:r>
        <w:rPr>
          <w:color w:val="auto"/>
          <w:szCs w:val="21"/>
          <w:highlight w:val="none"/>
          <w:u w:val="single"/>
        </w:rPr>
        <w:t xml:space="preserve">             </w:t>
      </w:r>
      <w:r>
        <w:rPr>
          <w:rFonts w:hint="eastAsia"/>
          <w:color w:val="auto"/>
          <w:szCs w:val="21"/>
          <w:highlight w:val="none"/>
        </w:rPr>
        <w:t>。</w:t>
      </w:r>
    </w:p>
    <w:p w14:paraId="03F56E2D">
      <w:pPr>
        <w:spacing w:line="440" w:lineRule="exact"/>
        <w:ind w:firstLine="420" w:firstLineChars="200"/>
        <w:rPr>
          <w:color w:val="auto"/>
          <w:szCs w:val="21"/>
          <w:highlight w:val="none"/>
        </w:rPr>
      </w:pPr>
      <w:r>
        <w:rPr>
          <w:color w:val="auto"/>
          <w:szCs w:val="21"/>
          <w:highlight w:val="none"/>
        </w:rPr>
        <w:t>代理人无转委托权。</w:t>
      </w:r>
    </w:p>
    <w:p w14:paraId="79905F5A">
      <w:pPr>
        <w:spacing w:line="440" w:lineRule="exact"/>
        <w:ind w:firstLine="420" w:firstLineChars="200"/>
        <w:rPr>
          <w:color w:val="auto"/>
          <w:szCs w:val="21"/>
          <w:highlight w:val="none"/>
        </w:rPr>
      </w:pPr>
      <w:r>
        <w:rPr>
          <w:rFonts w:hint="eastAsia"/>
          <w:color w:val="auto"/>
          <w:szCs w:val="21"/>
          <w:highlight w:val="none"/>
        </w:rPr>
        <w:t>附：委托代理人身份证</w:t>
      </w:r>
      <w:r>
        <w:rPr>
          <w:rFonts w:hint="eastAsia" w:ascii="宋体" w:hAnsi="宋体"/>
          <w:color w:val="auto"/>
          <w:highlight w:val="none"/>
        </w:rPr>
        <w:t>扫描件</w:t>
      </w:r>
    </w:p>
    <w:p w14:paraId="32A709F0">
      <w:pPr>
        <w:spacing w:line="440" w:lineRule="exact"/>
        <w:rPr>
          <w:color w:val="auto"/>
          <w:szCs w:val="21"/>
          <w:highlight w:val="none"/>
        </w:rPr>
      </w:pPr>
    </w:p>
    <w:p w14:paraId="4D351AF9">
      <w:pPr>
        <w:spacing w:line="440" w:lineRule="exact"/>
        <w:rPr>
          <w:color w:val="auto"/>
          <w:szCs w:val="21"/>
          <w:highlight w:val="none"/>
        </w:rPr>
      </w:pPr>
    </w:p>
    <w:p w14:paraId="095893AF">
      <w:pPr>
        <w:spacing w:line="360" w:lineRule="auto"/>
        <w:ind w:firstLine="2625" w:firstLineChars="1250"/>
        <w:jc w:val="righ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（盖投标人单位章）</w:t>
      </w:r>
      <w:r>
        <w:rPr>
          <w:rFonts w:hint="eastAsia" w:ascii="宋体" w:hAnsi="宋体" w:cs="宋体"/>
          <w:color w:val="auto"/>
          <w:szCs w:val="21"/>
          <w:highlight w:val="none"/>
        </w:rPr>
        <w:t>）</w:t>
      </w:r>
    </w:p>
    <w:p w14:paraId="26265028">
      <w:pPr>
        <w:spacing w:line="360" w:lineRule="auto"/>
        <w:ind w:firstLine="2690" w:firstLineChars="1281"/>
        <w:jc w:val="righ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（签字或签章）</w:t>
      </w:r>
    </w:p>
    <w:p w14:paraId="26DDCF1F">
      <w:pPr>
        <w:spacing w:line="360" w:lineRule="auto"/>
        <w:ind w:firstLine="2692" w:firstLineChars="1282"/>
        <w:jc w:val="right"/>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（签字或签章）</w:t>
      </w:r>
    </w:p>
    <w:p w14:paraId="265FA1C5">
      <w:pPr>
        <w:spacing w:line="440" w:lineRule="exact"/>
        <w:jc w:val="right"/>
        <w:rPr>
          <w:rFonts w:hint="eastAsia" w:ascii="宋体" w:hAnsi="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DCDBD50">
      <w:pPr>
        <w:pStyle w:val="4"/>
        <w:spacing w:line="360" w:lineRule="auto"/>
        <w:jc w:val="center"/>
        <w:rPr>
          <w:color w:val="auto"/>
          <w:highlight w:val="none"/>
        </w:rPr>
      </w:pPr>
      <w:bookmarkStart w:id="1445" w:name="_Toc307341149"/>
      <w:r>
        <w:rPr>
          <w:rFonts w:hint="eastAsia" w:ascii="宋体" w:hAnsi="宋体" w:eastAsia="宋体"/>
          <w:b/>
          <w:color w:val="auto"/>
          <w:highlight w:val="none"/>
        </w:rPr>
        <w:br w:type="page"/>
      </w:r>
      <w:bookmarkStart w:id="1446" w:name="_Toc39698076"/>
      <w:bookmarkStart w:id="1447" w:name="_Toc12891"/>
      <w:bookmarkStart w:id="1448" w:name="_Toc14340"/>
      <w:bookmarkStart w:id="1449" w:name="_Toc31553"/>
      <w:bookmarkStart w:id="1450" w:name="_Toc9282"/>
      <w:bookmarkStart w:id="1451" w:name="_Toc32681"/>
      <w:bookmarkStart w:id="1452" w:name="_Toc15148"/>
      <w:r>
        <w:rPr>
          <w:rFonts w:hint="eastAsia" w:ascii="宋体" w:hAnsi="宋体" w:eastAsia="宋体" w:cs="宋体"/>
          <w:b/>
          <w:bCs w:val="0"/>
          <w:color w:val="auto"/>
          <w:sz w:val="30"/>
          <w:szCs w:val="21"/>
          <w:highlight w:val="none"/>
        </w:rPr>
        <w:t>三、</w:t>
      </w:r>
      <w:bookmarkEnd w:id="1445"/>
      <w:bookmarkEnd w:id="1446"/>
      <w:r>
        <w:rPr>
          <w:rFonts w:hint="eastAsia" w:ascii="宋体" w:hAnsi="宋体" w:eastAsia="宋体" w:cs="宋体"/>
          <w:b/>
          <w:bCs w:val="0"/>
          <w:color w:val="auto"/>
          <w:sz w:val="30"/>
          <w:szCs w:val="21"/>
          <w:highlight w:val="none"/>
        </w:rPr>
        <w:t>投标保证金</w:t>
      </w:r>
      <w:bookmarkEnd w:id="1447"/>
      <w:bookmarkEnd w:id="1448"/>
      <w:bookmarkEnd w:id="1449"/>
      <w:bookmarkEnd w:id="1450"/>
      <w:bookmarkEnd w:id="1451"/>
      <w:bookmarkEnd w:id="1452"/>
    </w:p>
    <w:p w14:paraId="18E46920">
      <w:pPr>
        <w:spacing w:line="360" w:lineRule="auto"/>
        <w:ind w:firstLine="630" w:firstLineChars="300"/>
        <w:jc w:val="left"/>
        <w:rPr>
          <w:rFonts w:hint="eastAsia" w:ascii="宋体" w:hAnsi="宋体" w:cs="宋体"/>
          <w:bCs/>
          <w:color w:val="auto"/>
          <w:szCs w:val="21"/>
          <w:highlight w:val="none"/>
        </w:rPr>
      </w:pPr>
      <w:r>
        <w:rPr>
          <w:rFonts w:hint="eastAsia" w:ascii="宋体" w:hAnsi="宋体" w:cs="宋体"/>
          <w:bCs/>
          <w:color w:val="auto"/>
          <w:szCs w:val="21"/>
          <w:highlight w:val="none"/>
        </w:rPr>
        <w:t>投标保证金证明材料：</w:t>
      </w:r>
    </w:p>
    <w:p w14:paraId="0DA1B9E9">
      <w:pPr>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szCs w:val="21"/>
          <w:highlight w:val="none"/>
        </w:rPr>
        <w:t>广州公共资源交易中心出具的投标保证金回执或电子保函或</w:t>
      </w:r>
      <w:r>
        <w:rPr>
          <w:rFonts w:hint="eastAsia" w:ascii="宋体" w:hAnsi="宋体" w:cs="宋体"/>
          <w:bCs/>
          <w:color w:val="auto"/>
          <w:szCs w:val="21"/>
          <w:highlight w:val="none"/>
          <w:u w:val="single"/>
        </w:rPr>
        <w:t>纸质银行保函或保证保险</w:t>
      </w:r>
      <w:r>
        <w:rPr>
          <w:rFonts w:hint="eastAsia" w:ascii="宋体" w:hAnsi="宋体" w:cs="宋体"/>
          <w:bCs/>
          <w:color w:val="auto"/>
          <w:kern w:val="0"/>
          <w:szCs w:val="21"/>
          <w:highlight w:val="none"/>
        </w:rPr>
        <w:t>扫描</w:t>
      </w:r>
      <w:r>
        <w:rPr>
          <w:rFonts w:hint="eastAsia" w:ascii="宋体" w:hAnsi="宋体" w:cs="宋体"/>
          <w:bCs/>
          <w:color w:val="auto"/>
          <w:szCs w:val="21"/>
          <w:highlight w:val="none"/>
        </w:rPr>
        <w:t>件</w:t>
      </w:r>
      <w:r>
        <w:rPr>
          <w:rFonts w:hint="eastAsia" w:ascii="宋体" w:hAnsi="宋体" w:cs="宋体"/>
          <w:bCs/>
          <w:color w:val="auto"/>
          <w:kern w:val="0"/>
          <w:szCs w:val="21"/>
          <w:highlight w:val="none"/>
        </w:rPr>
        <w:t>；</w:t>
      </w:r>
    </w:p>
    <w:p w14:paraId="1065C57D">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kern w:val="0"/>
          <w:szCs w:val="21"/>
          <w:highlight w:val="none"/>
        </w:rPr>
        <w:t>投标人基本户银行开户许可证扫描件或《基本存款账户信息》</w:t>
      </w:r>
      <w:bookmarkStart w:id="1453" w:name="_Hlk161338732"/>
      <w:r>
        <w:rPr>
          <w:rFonts w:hint="eastAsia" w:ascii="宋体" w:hAnsi="宋体" w:cs="宋体"/>
          <w:bCs/>
          <w:color w:val="auto"/>
          <w:kern w:val="0"/>
          <w:szCs w:val="21"/>
          <w:highlight w:val="none"/>
        </w:rPr>
        <w:t>扫描</w:t>
      </w:r>
      <w:bookmarkEnd w:id="1453"/>
      <w:r>
        <w:rPr>
          <w:rFonts w:hint="eastAsia" w:ascii="宋体" w:hAnsi="宋体" w:cs="宋体"/>
          <w:bCs/>
          <w:color w:val="auto"/>
          <w:kern w:val="0"/>
          <w:szCs w:val="21"/>
          <w:highlight w:val="none"/>
        </w:rPr>
        <w:t>件、转账凭证扫描件（适合采用</w:t>
      </w:r>
      <w:r>
        <w:rPr>
          <w:rFonts w:hint="eastAsia" w:ascii="宋体" w:hAnsi="宋体" w:cs="宋体"/>
          <w:color w:val="auto"/>
          <w:szCs w:val="21"/>
          <w:highlight w:val="none"/>
        </w:rPr>
        <w:t>采用银行电汇（或转帐）、支票、汇票方式提交保证金方式</w:t>
      </w:r>
      <w:r>
        <w:rPr>
          <w:rFonts w:hint="eastAsia" w:ascii="宋体" w:hAnsi="宋体" w:cs="宋体"/>
          <w:bCs/>
          <w:color w:val="auto"/>
          <w:kern w:val="0"/>
          <w:szCs w:val="21"/>
          <w:highlight w:val="none"/>
        </w:rPr>
        <w:t>）。</w:t>
      </w:r>
    </w:p>
    <w:p w14:paraId="2B55F579">
      <w:pPr>
        <w:pStyle w:val="4"/>
        <w:jc w:val="center"/>
        <w:rPr>
          <w:rFonts w:hint="eastAsia" w:ascii="宋体" w:hAnsi="宋体" w:eastAsia="宋体"/>
          <w:b/>
          <w:color w:val="auto"/>
          <w:highlight w:val="none"/>
        </w:rPr>
      </w:pPr>
      <w:r>
        <w:rPr>
          <w:rFonts w:ascii="宋体" w:hAnsi="宋体" w:eastAsia="宋体"/>
          <w:b/>
          <w:color w:val="auto"/>
          <w:highlight w:val="none"/>
        </w:rPr>
        <w:br w:type="page"/>
      </w:r>
      <w:bookmarkStart w:id="1454" w:name="_Toc23673"/>
      <w:bookmarkStart w:id="1455" w:name="_Toc6711"/>
      <w:bookmarkStart w:id="1456" w:name="_Toc1483"/>
      <w:bookmarkStart w:id="1457" w:name="_Toc404880914"/>
      <w:bookmarkStart w:id="1458" w:name="_Toc24468"/>
      <w:bookmarkStart w:id="1459" w:name="_Toc4310"/>
      <w:bookmarkStart w:id="1460" w:name="_Toc39698077"/>
      <w:bookmarkStart w:id="1461" w:name="_Toc27004"/>
      <w:bookmarkStart w:id="1462" w:name="_Toc229408548"/>
      <w:bookmarkStart w:id="1463" w:name="_Toc222033918"/>
      <w:bookmarkStart w:id="1464" w:name="_Toc229305427"/>
      <w:bookmarkStart w:id="1465" w:name="_Toc221952115"/>
      <w:bookmarkStart w:id="1466" w:name="_Toc272312440"/>
      <w:bookmarkStart w:id="1467" w:name="_Toc168476333"/>
      <w:bookmarkStart w:id="1468" w:name="_Toc144974871"/>
      <w:bookmarkStart w:id="1469" w:name="_Toc168475930"/>
      <w:bookmarkStart w:id="1470" w:name="_Toc222031069"/>
      <w:bookmarkStart w:id="1471" w:name="_Toc222029567"/>
      <w:bookmarkStart w:id="1472" w:name="_Toc222032736"/>
      <w:r>
        <w:rPr>
          <w:rFonts w:hint="eastAsia" w:ascii="宋体" w:hAnsi="宋体" w:eastAsia="宋体" w:cs="宋体"/>
          <w:b/>
          <w:bCs w:val="0"/>
          <w:color w:val="auto"/>
          <w:sz w:val="30"/>
          <w:szCs w:val="21"/>
          <w:highlight w:val="none"/>
        </w:rPr>
        <w:t>四、资格审查资料</w:t>
      </w:r>
      <w:bookmarkEnd w:id="1454"/>
      <w:bookmarkEnd w:id="1455"/>
      <w:bookmarkEnd w:id="1456"/>
      <w:bookmarkEnd w:id="1457"/>
      <w:bookmarkEnd w:id="1458"/>
      <w:bookmarkEnd w:id="1459"/>
      <w:bookmarkEnd w:id="1460"/>
      <w:bookmarkEnd w:id="1461"/>
    </w:p>
    <w:p w14:paraId="1BB6EB1E">
      <w:pPr>
        <w:jc w:val="center"/>
        <w:outlineLvl w:val="2"/>
        <w:rPr>
          <w:rFonts w:hint="eastAsia" w:ascii="宋体" w:hAnsi="宋体"/>
          <w:b/>
          <w:color w:val="auto"/>
          <w:sz w:val="28"/>
          <w:szCs w:val="28"/>
          <w:highlight w:val="none"/>
        </w:rPr>
      </w:pPr>
      <w:bookmarkStart w:id="1473" w:name="_Toc19504"/>
      <w:bookmarkStart w:id="1474" w:name="_Toc432617309"/>
      <w:bookmarkStart w:id="1475" w:name="_Toc5220"/>
      <w:bookmarkStart w:id="1476" w:name="_Toc8353"/>
      <w:bookmarkStart w:id="1477" w:name="_Toc5680"/>
      <w:bookmarkStart w:id="1478" w:name="_Toc24330"/>
      <w:bookmarkStart w:id="1479" w:name="_Toc6943"/>
      <w:r>
        <w:rPr>
          <w:rFonts w:hint="eastAsia" w:ascii="宋体" w:hAnsi="宋体" w:cs="宋体"/>
          <w:b/>
          <w:color w:val="auto"/>
          <w:sz w:val="28"/>
          <w:szCs w:val="28"/>
          <w:highlight w:val="none"/>
        </w:rPr>
        <w:t>（一）投标人基本情况表</w:t>
      </w:r>
      <w:bookmarkEnd w:id="1473"/>
      <w:bookmarkEnd w:id="1474"/>
      <w:bookmarkEnd w:id="1475"/>
      <w:bookmarkEnd w:id="1476"/>
      <w:bookmarkEnd w:id="1477"/>
      <w:bookmarkEnd w:id="1478"/>
      <w:bookmarkEnd w:id="1479"/>
    </w:p>
    <w:tbl>
      <w:tblPr>
        <w:tblStyle w:val="1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8099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3668E4D">
            <w:pPr>
              <w:topLinePunct/>
              <w:spacing w:line="440" w:lineRule="exact"/>
              <w:jc w:val="center"/>
              <w:rPr>
                <w:rFonts w:hint="eastAsia" w:ascii="宋体" w:hAnsi="宋体"/>
                <w:color w:val="auto"/>
                <w:szCs w:val="21"/>
                <w:highlight w:val="none"/>
              </w:rPr>
            </w:pPr>
            <w:r>
              <w:rPr>
                <w:rFonts w:ascii="宋体" w:hAnsi="宋体"/>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06E06DA">
            <w:pPr>
              <w:topLinePunct/>
              <w:spacing w:line="440" w:lineRule="exact"/>
              <w:jc w:val="center"/>
              <w:rPr>
                <w:rFonts w:hint="eastAsia" w:ascii="宋体" w:hAnsi="宋体"/>
                <w:color w:val="auto"/>
                <w:szCs w:val="21"/>
                <w:highlight w:val="none"/>
              </w:rPr>
            </w:pPr>
          </w:p>
        </w:tc>
      </w:tr>
      <w:tr w14:paraId="62B40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63A83A29">
            <w:pPr>
              <w:topLinePunct/>
              <w:spacing w:line="440" w:lineRule="exact"/>
              <w:jc w:val="center"/>
              <w:rPr>
                <w:rFonts w:hint="eastAsia" w:ascii="宋体" w:hAnsi="宋体"/>
                <w:color w:val="auto"/>
                <w:szCs w:val="21"/>
                <w:highlight w:val="none"/>
              </w:rPr>
            </w:pPr>
            <w:r>
              <w:rPr>
                <w:rFonts w:ascii="宋体" w:hAnsi="宋体"/>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7CC1FF2">
            <w:pPr>
              <w:topLinePunct/>
              <w:spacing w:line="440" w:lineRule="exact"/>
              <w:jc w:val="center"/>
              <w:rPr>
                <w:rFonts w:hint="eastAsia"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CF253B6">
            <w:pPr>
              <w:topLinePunct/>
              <w:spacing w:line="440" w:lineRule="exact"/>
              <w:jc w:val="center"/>
              <w:rPr>
                <w:rFonts w:hint="eastAsia" w:ascii="宋体" w:hAnsi="宋体"/>
                <w:color w:val="auto"/>
                <w:szCs w:val="21"/>
                <w:highlight w:val="none"/>
              </w:rPr>
            </w:pPr>
            <w:r>
              <w:rPr>
                <w:rFonts w:ascii="宋体" w:hAnsi="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7827449">
            <w:pPr>
              <w:topLinePunct/>
              <w:spacing w:line="440" w:lineRule="exact"/>
              <w:jc w:val="center"/>
              <w:rPr>
                <w:rFonts w:hint="eastAsia" w:ascii="宋体" w:hAnsi="宋体"/>
                <w:color w:val="auto"/>
                <w:szCs w:val="21"/>
                <w:highlight w:val="none"/>
              </w:rPr>
            </w:pPr>
          </w:p>
        </w:tc>
      </w:tr>
      <w:tr w14:paraId="3F778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2FB4642A">
            <w:pPr>
              <w:topLinePunct/>
              <w:spacing w:line="440" w:lineRule="exact"/>
              <w:jc w:val="center"/>
              <w:rPr>
                <w:rFonts w:hint="eastAsia" w:ascii="宋体" w:hAnsi="宋体"/>
                <w:color w:val="auto"/>
                <w:szCs w:val="21"/>
                <w:highlight w:val="none"/>
              </w:rPr>
            </w:pPr>
            <w:r>
              <w:rPr>
                <w:rFonts w:ascii="宋体" w:hAnsi="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67370EE">
            <w:pPr>
              <w:topLinePunct/>
              <w:spacing w:line="440" w:lineRule="exact"/>
              <w:jc w:val="center"/>
              <w:rPr>
                <w:rFonts w:hint="eastAsia" w:ascii="宋体" w:hAnsi="宋体"/>
                <w:color w:val="auto"/>
                <w:szCs w:val="21"/>
                <w:highlight w:val="none"/>
              </w:rPr>
            </w:pPr>
            <w:r>
              <w:rPr>
                <w:rFonts w:ascii="宋体" w:hAnsi="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5C033DB">
            <w:pPr>
              <w:topLinePunct/>
              <w:spacing w:line="440" w:lineRule="exact"/>
              <w:jc w:val="center"/>
              <w:rPr>
                <w:rFonts w:hint="eastAsia"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3992006C">
            <w:pPr>
              <w:topLinePunct/>
              <w:spacing w:line="440" w:lineRule="exact"/>
              <w:jc w:val="center"/>
              <w:rPr>
                <w:rFonts w:hint="eastAsia" w:ascii="宋体" w:hAnsi="宋体"/>
                <w:color w:val="auto"/>
                <w:szCs w:val="21"/>
                <w:highlight w:val="none"/>
              </w:rPr>
            </w:pPr>
            <w:r>
              <w:rPr>
                <w:rFonts w:ascii="宋体" w:hAnsi="宋体"/>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126FAFD">
            <w:pPr>
              <w:topLinePunct/>
              <w:spacing w:line="440" w:lineRule="exact"/>
              <w:jc w:val="center"/>
              <w:rPr>
                <w:rFonts w:hint="eastAsia" w:ascii="宋体" w:hAnsi="宋体"/>
                <w:color w:val="auto"/>
                <w:szCs w:val="21"/>
                <w:highlight w:val="none"/>
              </w:rPr>
            </w:pPr>
          </w:p>
        </w:tc>
      </w:tr>
      <w:tr w14:paraId="62ED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7A4F058">
            <w:pPr>
              <w:topLinePunct/>
              <w:spacing w:line="440" w:lineRule="exact"/>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3DA55ADA">
            <w:pPr>
              <w:topLinePunct/>
              <w:spacing w:line="440" w:lineRule="exact"/>
              <w:jc w:val="center"/>
              <w:rPr>
                <w:rFonts w:hint="eastAsia" w:ascii="宋体" w:hAnsi="宋体"/>
                <w:color w:val="auto"/>
                <w:szCs w:val="21"/>
                <w:highlight w:val="none"/>
              </w:rPr>
            </w:pPr>
            <w:r>
              <w:rPr>
                <w:rFonts w:ascii="宋体" w:hAnsi="宋体"/>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B9B32D8">
            <w:pPr>
              <w:topLinePunct/>
              <w:spacing w:line="440" w:lineRule="exact"/>
              <w:jc w:val="center"/>
              <w:rPr>
                <w:rFonts w:hint="eastAsia"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5BFA2D2F">
            <w:pPr>
              <w:topLinePunct/>
              <w:spacing w:line="440" w:lineRule="exact"/>
              <w:jc w:val="center"/>
              <w:rPr>
                <w:rFonts w:hint="eastAsia" w:ascii="宋体" w:hAnsi="宋体"/>
                <w:color w:val="auto"/>
                <w:szCs w:val="21"/>
                <w:highlight w:val="none"/>
              </w:rPr>
            </w:pPr>
            <w:r>
              <w:rPr>
                <w:rFonts w:ascii="宋体" w:hAnsi="宋体"/>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7A43E11">
            <w:pPr>
              <w:topLinePunct/>
              <w:spacing w:line="440" w:lineRule="exact"/>
              <w:jc w:val="center"/>
              <w:rPr>
                <w:rFonts w:hint="eastAsia" w:ascii="宋体" w:hAnsi="宋体"/>
                <w:color w:val="auto"/>
                <w:szCs w:val="21"/>
                <w:highlight w:val="none"/>
              </w:rPr>
            </w:pPr>
          </w:p>
        </w:tc>
      </w:tr>
      <w:tr w14:paraId="41D5A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14:paraId="57A1BF61">
            <w:pPr>
              <w:topLinePunct/>
              <w:spacing w:line="440" w:lineRule="exact"/>
              <w:jc w:val="center"/>
              <w:rPr>
                <w:rFonts w:hint="eastAsia" w:ascii="宋体" w:hAnsi="宋体"/>
                <w:color w:val="auto"/>
                <w:szCs w:val="21"/>
                <w:highlight w:val="none"/>
              </w:rPr>
            </w:pPr>
            <w:r>
              <w:rPr>
                <w:rFonts w:ascii="宋体" w:hAnsi="宋体"/>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337E193">
            <w:pPr>
              <w:topLinePunct/>
              <w:spacing w:line="440" w:lineRule="exact"/>
              <w:jc w:val="center"/>
              <w:rPr>
                <w:rFonts w:hint="eastAsia" w:ascii="宋体" w:hAnsi="宋体"/>
                <w:color w:val="auto"/>
                <w:szCs w:val="21"/>
                <w:highlight w:val="none"/>
              </w:rPr>
            </w:pPr>
          </w:p>
        </w:tc>
      </w:tr>
      <w:tr w14:paraId="48B4F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3DB9A487">
            <w:pPr>
              <w:topLinePunct/>
              <w:spacing w:line="440" w:lineRule="exact"/>
              <w:jc w:val="center"/>
              <w:rPr>
                <w:rFonts w:hint="eastAsia" w:ascii="宋体" w:hAnsi="宋体"/>
                <w:color w:val="auto"/>
                <w:szCs w:val="21"/>
                <w:highlight w:val="none"/>
              </w:rPr>
            </w:pPr>
            <w:r>
              <w:rPr>
                <w:rFonts w:ascii="宋体" w:hAnsi="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5E99448">
            <w:pPr>
              <w:topLinePunct/>
              <w:spacing w:line="440" w:lineRule="exact"/>
              <w:jc w:val="center"/>
              <w:rPr>
                <w:rFonts w:hint="eastAsia" w:ascii="宋体" w:hAnsi="宋体"/>
                <w:color w:val="auto"/>
                <w:szCs w:val="21"/>
                <w:highlight w:val="none"/>
              </w:rPr>
            </w:pPr>
            <w:r>
              <w:rPr>
                <w:rFonts w:ascii="宋体" w:hAnsi="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CEA3B57">
            <w:pPr>
              <w:topLinePunct/>
              <w:spacing w:line="440" w:lineRule="exact"/>
              <w:jc w:val="center"/>
              <w:rPr>
                <w:rFonts w:hint="eastAsia" w:ascii="宋体" w:hAnsi="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0F34064">
            <w:pPr>
              <w:topLinePunct/>
              <w:spacing w:line="440" w:lineRule="exact"/>
              <w:jc w:val="center"/>
              <w:rPr>
                <w:rFonts w:hint="eastAsia" w:ascii="宋体" w:hAnsi="宋体"/>
                <w:color w:val="auto"/>
                <w:szCs w:val="21"/>
                <w:highlight w:val="none"/>
              </w:rPr>
            </w:pPr>
            <w:r>
              <w:rPr>
                <w:rFonts w:ascii="宋体" w:hAnsi="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EF9F042">
            <w:pPr>
              <w:topLinePunct/>
              <w:spacing w:line="440" w:lineRule="exact"/>
              <w:jc w:val="center"/>
              <w:rPr>
                <w:rFonts w:hint="eastAsia" w:ascii="宋体"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2582C2BC">
            <w:pPr>
              <w:topLinePunct/>
              <w:spacing w:line="440" w:lineRule="exact"/>
              <w:jc w:val="center"/>
              <w:rPr>
                <w:rFonts w:hint="eastAsia" w:ascii="宋体" w:hAnsi="宋体"/>
                <w:color w:val="auto"/>
                <w:szCs w:val="21"/>
                <w:highlight w:val="none"/>
              </w:rPr>
            </w:pPr>
            <w:r>
              <w:rPr>
                <w:rFonts w:ascii="宋体" w:hAnsi="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4757277">
            <w:pPr>
              <w:topLinePunct/>
              <w:spacing w:line="440" w:lineRule="exact"/>
              <w:jc w:val="center"/>
              <w:rPr>
                <w:rFonts w:hint="eastAsia" w:ascii="宋体" w:hAnsi="宋体"/>
                <w:color w:val="auto"/>
                <w:szCs w:val="21"/>
                <w:highlight w:val="none"/>
              </w:rPr>
            </w:pPr>
          </w:p>
        </w:tc>
      </w:tr>
      <w:tr w14:paraId="76DA7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619A824E">
            <w:pPr>
              <w:topLinePunct/>
              <w:spacing w:line="440" w:lineRule="exact"/>
              <w:jc w:val="center"/>
              <w:rPr>
                <w:rFonts w:hint="eastAsia" w:ascii="宋体" w:hAnsi="宋体"/>
                <w:color w:val="auto"/>
                <w:szCs w:val="21"/>
                <w:highlight w:val="none"/>
              </w:rPr>
            </w:pPr>
            <w:r>
              <w:rPr>
                <w:rFonts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F85E750">
            <w:pPr>
              <w:topLinePunct/>
              <w:spacing w:line="440" w:lineRule="exact"/>
              <w:jc w:val="center"/>
              <w:rPr>
                <w:rFonts w:hint="eastAsia" w:ascii="宋体" w:hAnsi="宋体"/>
                <w:color w:val="auto"/>
                <w:szCs w:val="21"/>
                <w:highlight w:val="none"/>
              </w:rPr>
            </w:pPr>
            <w:r>
              <w:rPr>
                <w:rFonts w:ascii="宋体" w:hAnsi="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4F07E75D">
            <w:pPr>
              <w:topLinePunct/>
              <w:spacing w:line="440" w:lineRule="exact"/>
              <w:jc w:val="center"/>
              <w:rPr>
                <w:rFonts w:hint="eastAsia" w:ascii="宋体" w:hAnsi="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D43CC00">
            <w:pPr>
              <w:topLinePunct/>
              <w:spacing w:line="440" w:lineRule="exact"/>
              <w:jc w:val="center"/>
              <w:rPr>
                <w:rFonts w:hint="eastAsia" w:ascii="宋体" w:hAnsi="宋体"/>
                <w:color w:val="auto"/>
                <w:szCs w:val="21"/>
                <w:highlight w:val="none"/>
              </w:rPr>
            </w:pPr>
            <w:r>
              <w:rPr>
                <w:rFonts w:ascii="宋体" w:hAnsi="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CF60773">
            <w:pPr>
              <w:topLinePunct/>
              <w:spacing w:line="440" w:lineRule="exact"/>
              <w:jc w:val="center"/>
              <w:rPr>
                <w:rFonts w:hint="eastAsia" w:ascii="宋体"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75888C88">
            <w:pPr>
              <w:topLinePunct/>
              <w:spacing w:line="440" w:lineRule="exact"/>
              <w:jc w:val="center"/>
              <w:rPr>
                <w:rFonts w:hint="eastAsia" w:ascii="宋体" w:hAnsi="宋体"/>
                <w:color w:val="auto"/>
                <w:szCs w:val="21"/>
                <w:highlight w:val="none"/>
              </w:rPr>
            </w:pPr>
            <w:r>
              <w:rPr>
                <w:rFonts w:ascii="宋体" w:hAnsi="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28441BC">
            <w:pPr>
              <w:topLinePunct/>
              <w:spacing w:line="440" w:lineRule="exact"/>
              <w:jc w:val="center"/>
              <w:rPr>
                <w:rFonts w:hint="eastAsia" w:ascii="宋体" w:hAnsi="宋体"/>
                <w:color w:val="auto"/>
                <w:szCs w:val="21"/>
                <w:highlight w:val="none"/>
              </w:rPr>
            </w:pPr>
          </w:p>
        </w:tc>
      </w:tr>
      <w:tr w14:paraId="12D67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35AF9816">
            <w:pPr>
              <w:topLinePunct/>
              <w:spacing w:line="440" w:lineRule="exact"/>
              <w:jc w:val="center"/>
              <w:rPr>
                <w:rFonts w:hint="eastAsia" w:ascii="宋体" w:hAnsi="宋体"/>
                <w:color w:val="auto"/>
                <w:szCs w:val="21"/>
                <w:highlight w:val="none"/>
              </w:rPr>
            </w:pPr>
            <w:r>
              <w:rPr>
                <w:rFonts w:ascii="宋体" w:hAnsi="宋体"/>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C6A5EBB">
            <w:pPr>
              <w:topLinePunct/>
              <w:spacing w:line="440" w:lineRule="exact"/>
              <w:jc w:val="center"/>
              <w:rPr>
                <w:rFonts w:hint="eastAsia" w:ascii="宋体" w:hAnsi="宋体"/>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07C10481">
            <w:pPr>
              <w:topLinePunct/>
              <w:spacing w:line="440" w:lineRule="exact"/>
              <w:jc w:val="center"/>
              <w:rPr>
                <w:rFonts w:hint="eastAsia" w:ascii="宋体" w:hAnsi="宋体"/>
                <w:color w:val="auto"/>
                <w:szCs w:val="21"/>
                <w:highlight w:val="none"/>
              </w:rPr>
            </w:pPr>
            <w:r>
              <w:rPr>
                <w:rFonts w:ascii="宋体" w:hAnsi="宋体"/>
                <w:color w:val="auto"/>
                <w:szCs w:val="21"/>
                <w:highlight w:val="none"/>
              </w:rPr>
              <w:t>员工总人数：</w:t>
            </w:r>
          </w:p>
        </w:tc>
      </w:tr>
      <w:tr w14:paraId="2A834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47B23B31">
            <w:pPr>
              <w:topLinePunct/>
              <w:spacing w:line="440" w:lineRule="exact"/>
              <w:jc w:val="center"/>
              <w:rPr>
                <w:rFonts w:hint="eastAsia" w:ascii="宋体" w:hAnsi="宋体"/>
                <w:color w:val="auto"/>
                <w:szCs w:val="21"/>
                <w:highlight w:val="none"/>
              </w:rPr>
            </w:pPr>
            <w:r>
              <w:rPr>
                <w:rFonts w:ascii="宋体" w:hAnsi="宋体"/>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B95B506">
            <w:pPr>
              <w:topLinePunct/>
              <w:spacing w:line="440" w:lineRule="exact"/>
              <w:jc w:val="center"/>
              <w:rPr>
                <w:rFonts w:hint="eastAsia" w:ascii="宋体" w:hAnsi="宋体"/>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94E6212">
            <w:pPr>
              <w:topLinePunct/>
              <w:spacing w:line="440" w:lineRule="exact"/>
              <w:jc w:val="center"/>
              <w:rPr>
                <w:rFonts w:hint="eastAsia" w:ascii="宋体" w:hAnsi="宋体"/>
                <w:color w:val="auto"/>
                <w:szCs w:val="21"/>
                <w:highlight w:val="none"/>
              </w:rPr>
            </w:pPr>
            <w:r>
              <w:rPr>
                <w:rFonts w:ascii="宋体" w:hAnsi="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F1543E7">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DDAB5F4">
            <w:pPr>
              <w:topLinePunct/>
              <w:spacing w:line="440" w:lineRule="exact"/>
              <w:jc w:val="center"/>
              <w:rPr>
                <w:rFonts w:hint="eastAsia" w:ascii="宋体" w:hAnsi="宋体"/>
                <w:color w:val="auto"/>
                <w:szCs w:val="21"/>
                <w:highlight w:val="none"/>
              </w:rPr>
            </w:pPr>
          </w:p>
        </w:tc>
      </w:tr>
      <w:tr w14:paraId="786C6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08F93363">
            <w:pPr>
              <w:topLinePunct/>
              <w:spacing w:line="440" w:lineRule="exact"/>
              <w:jc w:val="center"/>
              <w:rPr>
                <w:rFonts w:hint="eastAsia" w:ascii="宋体" w:hAnsi="宋体"/>
                <w:color w:val="auto"/>
                <w:szCs w:val="21"/>
                <w:highlight w:val="none"/>
              </w:rPr>
            </w:pPr>
            <w:r>
              <w:rPr>
                <w:rFonts w:ascii="宋体" w:hAnsi="宋体"/>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B352246">
            <w:pPr>
              <w:topLinePunct/>
              <w:spacing w:line="440" w:lineRule="exact"/>
              <w:jc w:val="center"/>
              <w:rPr>
                <w:rFonts w:hint="eastAsia"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070B1F2">
            <w:pPr>
              <w:topLinePunct/>
              <w:spacing w:line="440" w:lineRule="exact"/>
              <w:jc w:val="center"/>
              <w:rPr>
                <w:rFonts w:hint="eastAsia"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E675494">
            <w:pPr>
              <w:topLinePunct/>
              <w:spacing w:line="440" w:lineRule="exact"/>
              <w:jc w:val="center"/>
              <w:rPr>
                <w:rFonts w:hint="eastAsia" w:ascii="宋体" w:hAnsi="宋体"/>
                <w:color w:val="auto"/>
                <w:szCs w:val="21"/>
                <w:highlight w:val="none"/>
              </w:rPr>
            </w:pPr>
            <w:r>
              <w:rPr>
                <w:rFonts w:ascii="宋体" w:hAnsi="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D246610">
            <w:pPr>
              <w:topLinePunct/>
              <w:spacing w:line="440" w:lineRule="exact"/>
              <w:jc w:val="center"/>
              <w:rPr>
                <w:rFonts w:hint="eastAsia" w:ascii="宋体" w:hAnsi="宋体"/>
                <w:color w:val="auto"/>
                <w:szCs w:val="21"/>
                <w:highlight w:val="none"/>
              </w:rPr>
            </w:pPr>
          </w:p>
        </w:tc>
      </w:tr>
      <w:tr w14:paraId="722A7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726F5D6C">
            <w:pPr>
              <w:topLinePunct/>
              <w:spacing w:line="440" w:lineRule="exact"/>
              <w:jc w:val="center"/>
              <w:rPr>
                <w:rFonts w:hint="eastAsia" w:ascii="宋体" w:hAnsi="宋体"/>
                <w:color w:val="auto"/>
                <w:szCs w:val="21"/>
                <w:highlight w:val="none"/>
              </w:rPr>
            </w:pPr>
            <w:r>
              <w:rPr>
                <w:rFonts w:ascii="宋体" w:hAnsi="宋体"/>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5FF7FD">
            <w:pPr>
              <w:topLinePunct/>
              <w:spacing w:line="440" w:lineRule="exact"/>
              <w:jc w:val="center"/>
              <w:rPr>
                <w:rFonts w:hint="eastAsia"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DB97336">
            <w:pPr>
              <w:topLinePunct/>
              <w:spacing w:line="440" w:lineRule="exact"/>
              <w:jc w:val="center"/>
              <w:rPr>
                <w:rFonts w:hint="eastAsia"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E85B157">
            <w:pPr>
              <w:topLinePunct/>
              <w:spacing w:line="440" w:lineRule="exact"/>
              <w:jc w:val="center"/>
              <w:rPr>
                <w:rFonts w:hint="eastAsia" w:ascii="宋体" w:hAnsi="宋体"/>
                <w:color w:val="auto"/>
                <w:szCs w:val="21"/>
                <w:highlight w:val="none"/>
              </w:rPr>
            </w:pPr>
            <w:r>
              <w:rPr>
                <w:rFonts w:ascii="宋体" w:hAnsi="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9F11E76">
            <w:pPr>
              <w:topLinePunct/>
              <w:spacing w:line="440" w:lineRule="exact"/>
              <w:jc w:val="center"/>
              <w:rPr>
                <w:rFonts w:hint="eastAsia" w:ascii="宋体" w:hAnsi="宋体"/>
                <w:color w:val="auto"/>
                <w:szCs w:val="21"/>
                <w:highlight w:val="none"/>
              </w:rPr>
            </w:pPr>
          </w:p>
        </w:tc>
      </w:tr>
      <w:tr w14:paraId="2B9B0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62027A9F">
            <w:pPr>
              <w:topLinePunct/>
              <w:spacing w:line="440" w:lineRule="exact"/>
              <w:jc w:val="center"/>
              <w:rPr>
                <w:rFonts w:hint="eastAsia" w:ascii="宋体" w:hAnsi="宋体"/>
                <w:color w:val="auto"/>
                <w:szCs w:val="21"/>
                <w:highlight w:val="none"/>
              </w:rPr>
            </w:pPr>
            <w:r>
              <w:rPr>
                <w:rFonts w:ascii="宋体" w:hAnsi="宋体"/>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4270D3E">
            <w:pPr>
              <w:topLinePunct/>
              <w:spacing w:line="440" w:lineRule="exact"/>
              <w:jc w:val="center"/>
              <w:rPr>
                <w:rFonts w:hint="eastAsia"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933B115">
            <w:pPr>
              <w:topLinePunct/>
              <w:spacing w:line="440" w:lineRule="exact"/>
              <w:jc w:val="center"/>
              <w:rPr>
                <w:rFonts w:hint="eastAsia"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F1D36E4">
            <w:pPr>
              <w:topLinePunct/>
              <w:spacing w:line="440" w:lineRule="exact"/>
              <w:jc w:val="center"/>
              <w:rPr>
                <w:rFonts w:hint="eastAsia" w:ascii="宋体" w:hAnsi="宋体"/>
                <w:color w:val="auto"/>
                <w:szCs w:val="21"/>
                <w:highlight w:val="none"/>
              </w:rPr>
            </w:pPr>
            <w:r>
              <w:rPr>
                <w:rFonts w:ascii="宋体" w:hAnsi="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ECF8E82">
            <w:pPr>
              <w:topLinePunct/>
              <w:spacing w:line="440" w:lineRule="exact"/>
              <w:jc w:val="center"/>
              <w:rPr>
                <w:rFonts w:hint="eastAsia" w:ascii="宋体" w:hAnsi="宋体"/>
                <w:color w:val="auto"/>
                <w:szCs w:val="21"/>
                <w:highlight w:val="none"/>
              </w:rPr>
            </w:pPr>
          </w:p>
        </w:tc>
      </w:tr>
      <w:tr w14:paraId="2598D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768B3F9E">
            <w:pPr>
              <w:topLinePunct/>
              <w:spacing w:line="440" w:lineRule="exact"/>
              <w:jc w:val="center"/>
              <w:rPr>
                <w:rFonts w:hint="eastAsia" w:ascii="宋体" w:hAnsi="宋体"/>
                <w:color w:val="auto"/>
                <w:szCs w:val="21"/>
                <w:highlight w:val="none"/>
              </w:rPr>
            </w:pPr>
            <w:r>
              <w:rPr>
                <w:rFonts w:ascii="宋体" w:hAnsi="宋体"/>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7149A44">
            <w:pPr>
              <w:topLinePunct/>
              <w:spacing w:line="440" w:lineRule="exact"/>
              <w:jc w:val="center"/>
              <w:rPr>
                <w:rFonts w:hint="eastAsia"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C6F04EF">
            <w:pPr>
              <w:topLinePunct/>
              <w:spacing w:line="440" w:lineRule="exact"/>
              <w:jc w:val="center"/>
              <w:rPr>
                <w:rFonts w:hint="eastAsia"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A1D23AF">
            <w:pPr>
              <w:topLinePunct/>
              <w:spacing w:line="440" w:lineRule="exact"/>
              <w:jc w:val="center"/>
              <w:rPr>
                <w:rFonts w:hint="eastAsia" w:ascii="宋体" w:hAnsi="宋体"/>
                <w:color w:val="auto"/>
                <w:highlight w:val="none"/>
              </w:rPr>
            </w:pPr>
            <w:r>
              <w:rPr>
                <w:rFonts w:ascii="宋体" w:hAnsi="宋体"/>
                <w:color w:val="auto"/>
                <w:szCs w:val="21"/>
                <w:highlight w:val="none"/>
              </w:rPr>
              <w:t>技</w:t>
            </w:r>
            <w:r>
              <w:rPr>
                <w:rFonts w:hint="eastAsia" w:ascii="宋体" w:hAnsi="宋体"/>
                <w:color w:val="auto"/>
                <w:szCs w:val="21"/>
                <w:highlight w:val="none"/>
              </w:rPr>
              <w:t xml:space="preserve">  </w:t>
            </w:r>
            <w:r>
              <w:rPr>
                <w:rFonts w:ascii="宋体" w:hAnsi="宋体"/>
                <w:color w:val="auto"/>
                <w:szCs w:val="21"/>
                <w:highlight w:val="none"/>
              </w:rP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AEEC8C4">
            <w:pPr>
              <w:topLinePunct/>
              <w:spacing w:line="440" w:lineRule="exact"/>
              <w:jc w:val="center"/>
              <w:rPr>
                <w:rFonts w:hint="eastAsia" w:ascii="宋体" w:hAnsi="宋体"/>
                <w:color w:val="auto"/>
                <w:szCs w:val="21"/>
                <w:highlight w:val="none"/>
              </w:rPr>
            </w:pPr>
          </w:p>
        </w:tc>
      </w:tr>
      <w:tr w14:paraId="4B713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728" w:type="dxa"/>
            <w:tcBorders>
              <w:top w:val="single" w:color="auto" w:sz="4" w:space="0"/>
              <w:left w:val="single" w:color="auto" w:sz="4" w:space="0"/>
              <w:right w:val="single" w:color="auto" w:sz="4" w:space="0"/>
            </w:tcBorders>
            <w:vAlign w:val="center"/>
          </w:tcPr>
          <w:p w14:paraId="73CAA281">
            <w:pPr>
              <w:topLinePunct/>
              <w:spacing w:line="440" w:lineRule="exact"/>
              <w:jc w:val="center"/>
              <w:rPr>
                <w:rFonts w:hint="eastAsia"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3FC91B36">
            <w:pPr>
              <w:rPr>
                <w:rFonts w:hint="eastAsia" w:ascii="宋体" w:hAnsi="宋体"/>
                <w:color w:val="auto"/>
                <w:szCs w:val="21"/>
                <w:highlight w:val="none"/>
              </w:rPr>
            </w:pPr>
          </w:p>
          <w:p w14:paraId="2125B345">
            <w:pPr>
              <w:rPr>
                <w:rFonts w:hint="eastAsia" w:ascii="宋体" w:hAnsi="宋体"/>
                <w:color w:val="auto"/>
                <w:szCs w:val="21"/>
                <w:highlight w:val="none"/>
              </w:rPr>
            </w:pPr>
          </w:p>
          <w:p w14:paraId="3E5B30F0">
            <w:pPr>
              <w:rPr>
                <w:rFonts w:hint="eastAsia" w:ascii="宋体" w:hAnsi="宋体"/>
                <w:color w:val="auto"/>
                <w:szCs w:val="21"/>
                <w:highlight w:val="none"/>
              </w:rPr>
            </w:pPr>
          </w:p>
        </w:tc>
      </w:tr>
      <w:tr w14:paraId="04DD0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523D4233">
            <w:pPr>
              <w:jc w:val="center"/>
              <w:rPr>
                <w:rFonts w:hint="eastAsia" w:ascii="宋体" w:hAnsi="宋体"/>
                <w:color w:val="auto"/>
                <w:szCs w:val="21"/>
                <w:highlight w:val="none"/>
              </w:rPr>
            </w:pPr>
            <w:r>
              <w:rPr>
                <w:rFonts w:ascii="宋体" w:hAnsi="宋体"/>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3217047">
            <w:pPr>
              <w:rPr>
                <w:rFonts w:hint="eastAsia" w:ascii="宋体" w:hAnsi="宋体"/>
                <w:color w:val="auto"/>
                <w:szCs w:val="21"/>
                <w:highlight w:val="none"/>
              </w:rPr>
            </w:pPr>
          </w:p>
        </w:tc>
      </w:tr>
    </w:tbl>
    <w:p w14:paraId="2F66C87D">
      <w:pPr>
        <w:topLinePunct/>
        <w:spacing w:line="440" w:lineRule="exact"/>
        <w:rPr>
          <w:rFonts w:hint="eastAsia" w:ascii="宋体" w:hAnsi="宋体"/>
          <w:color w:val="auto"/>
          <w:highlight w:val="none"/>
        </w:rPr>
      </w:pPr>
      <w:r>
        <w:rPr>
          <w:rFonts w:hint="eastAsia" w:ascii="宋体" w:hAnsi="宋体"/>
          <w:color w:val="auto"/>
          <w:highlight w:val="none"/>
        </w:rPr>
        <w:t>注：</w:t>
      </w:r>
      <w:r>
        <w:rPr>
          <w:rFonts w:ascii="宋体" w:hAnsi="宋体" w:cs="宋体"/>
          <w:color w:val="auto"/>
          <w:szCs w:val="21"/>
          <w:highlight w:val="none"/>
        </w:rPr>
        <w:t xml:space="preserve">投标人应根据投标人须知第 </w:t>
      </w:r>
      <w:r>
        <w:rPr>
          <w:rFonts w:ascii="宋体" w:hAnsi="宋体"/>
          <w:color w:val="auto"/>
          <w:szCs w:val="21"/>
          <w:highlight w:val="none"/>
        </w:rPr>
        <w:t>3.5.1</w:t>
      </w:r>
      <w:r>
        <w:rPr>
          <w:rFonts w:ascii="宋体" w:hAnsi="宋体" w:cs="宋体"/>
          <w:color w:val="auto"/>
          <w:szCs w:val="21"/>
          <w:highlight w:val="none"/>
        </w:rPr>
        <w:t xml:space="preserve"> 项的要求在本表后附相关证明材料</w:t>
      </w:r>
      <w:r>
        <w:rPr>
          <w:rFonts w:hint="eastAsia" w:ascii="宋体" w:hAnsi="宋体" w:cs="宋体"/>
          <w:color w:val="auto"/>
          <w:szCs w:val="21"/>
          <w:highlight w:val="none"/>
        </w:rPr>
        <w:t>。</w:t>
      </w:r>
    </w:p>
    <w:p w14:paraId="15262F8A">
      <w:pPr>
        <w:topLinePunct/>
        <w:spacing w:line="440" w:lineRule="exact"/>
        <w:rPr>
          <w:rFonts w:hint="eastAsia" w:ascii="宋体" w:hAnsi="宋体"/>
          <w:color w:val="auto"/>
          <w:highlight w:val="none"/>
        </w:rPr>
      </w:pPr>
    </w:p>
    <w:p w14:paraId="74FA8996">
      <w:pPr>
        <w:topLinePunct/>
        <w:spacing w:line="440" w:lineRule="exact"/>
        <w:rPr>
          <w:rFonts w:hint="eastAsia" w:ascii="宋体" w:hAnsi="宋体"/>
          <w:color w:val="auto"/>
          <w:highlight w:val="none"/>
        </w:rPr>
      </w:pPr>
    </w:p>
    <w:p w14:paraId="4A7D3222">
      <w:pPr>
        <w:topLinePunct/>
        <w:spacing w:line="440" w:lineRule="exact"/>
        <w:rPr>
          <w:rFonts w:hint="eastAsia" w:ascii="宋体" w:hAnsi="宋体"/>
          <w:color w:val="auto"/>
          <w:highlight w:val="none"/>
        </w:rPr>
      </w:pPr>
    </w:p>
    <w:p w14:paraId="3FF918E5">
      <w:pPr>
        <w:jc w:val="center"/>
        <w:outlineLvl w:val="2"/>
        <w:rPr>
          <w:rFonts w:hint="eastAsia" w:ascii="宋体" w:hAnsi="宋体"/>
          <w:b/>
          <w:color w:val="auto"/>
          <w:sz w:val="28"/>
          <w:szCs w:val="28"/>
          <w:highlight w:val="none"/>
        </w:rPr>
      </w:pPr>
      <w:bookmarkStart w:id="1480" w:name="_Toc221952116"/>
      <w:bookmarkStart w:id="1481" w:name="_Toc7997"/>
      <w:bookmarkStart w:id="1482" w:name="_Toc32503"/>
      <w:bookmarkStart w:id="1483" w:name="_Toc168475931"/>
      <w:bookmarkStart w:id="1484" w:name="_Toc32558"/>
      <w:bookmarkStart w:id="1485" w:name="_Toc24188"/>
      <w:bookmarkStart w:id="1486" w:name="_Toc168476334"/>
      <w:r>
        <w:rPr>
          <w:rFonts w:hint="eastAsia" w:ascii="宋体" w:hAnsi="宋体" w:cs="宋体"/>
          <w:b/>
          <w:color w:val="auto"/>
          <w:sz w:val="28"/>
          <w:szCs w:val="28"/>
          <w:highlight w:val="none"/>
        </w:rPr>
        <w:t>（二）项目管理机构组成表</w:t>
      </w:r>
      <w:bookmarkEnd w:id="1480"/>
      <w:bookmarkEnd w:id="1481"/>
      <w:bookmarkEnd w:id="1482"/>
      <w:bookmarkEnd w:id="1483"/>
      <w:bookmarkEnd w:id="1484"/>
      <w:bookmarkEnd w:id="1485"/>
      <w:bookmarkEnd w:id="148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1"/>
        <w:gridCol w:w="719"/>
        <w:gridCol w:w="1260"/>
        <w:gridCol w:w="900"/>
        <w:gridCol w:w="1800"/>
        <w:gridCol w:w="1082"/>
        <w:gridCol w:w="1392"/>
      </w:tblGrid>
      <w:tr w14:paraId="5BF2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523CDB2A">
            <w:pPr>
              <w:jc w:val="center"/>
              <w:rPr>
                <w:rFonts w:hint="eastAsia" w:ascii="宋体" w:hAnsi="宋体"/>
                <w:color w:val="auto"/>
                <w:sz w:val="18"/>
                <w:szCs w:val="21"/>
                <w:highlight w:val="none"/>
              </w:rPr>
            </w:pPr>
            <w:bookmarkStart w:id="1487" w:name="_Toc221952117"/>
            <w:r>
              <w:rPr>
                <w:rFonts w:ascii="宋体" w:hAnsi="宋体"/>
                <w:color w:val="auto"/>
                <w:sz w:val="18"/>
                <w:szCs w:val="21"/>
                <w:highlight w:val="none"/>
              </w:rPr>
              <w:t>职务</w:t>
            </w:r>
            <w:bookmarkEnd w:id="1487"/>
          </w:p>
        </w:tc>
        <w:tc>
          <w:tcPr>
            <w:tcW w:w="721" w:type="dxa"/>
            <w:vMerge w:val="restart"/>
            <w:vAlign w:val="center"/>
          </w:tcPr>
          <w:p w14:paraId="03B0A929">
            <w:pPr>
              <w:jc w:val="center"/>
              <w:rPr>
                <w:rFonts w:hint="eastAsia" w:ascii="宋体" w:hAnsi="宋体"/>
                <w:color w:val="auto"/>
                <w:sz w:val="18"/>
                <w:szCs w:val="21"/>
                <w:highlight w:val="none"/>
              </w:rPr>
            </w:pPr>
            <w:bookmarkStart w:id="1488" w:name="_Toc221952118"/>
            <w:r>
              <w:rPr>
                <w:rFonts w:ascii="宋体" w:hAnsi="宋体"/>
                <w:color w:val="auto"/>
                <w:sz w:val="18"/>
                <w:szCs w:val="21"/>
                <w:highlight w:val="none"/>
              </w:rPr>
              <w:t>姓名</w:t>
            </w:r>
            <w:bookmarkEnd w:id="1488"/>
          </w:p>
        </w:tc>
        <w:tc>
          <w:tcPr>
            <w:tcW w:w="719" w:type="dxa"/>
            <w:vMerge w:val="restart"/>
            <w:vAlign w:val="center"/>
          </w:tcPr>
          <w:p w14:paraId="2B5647A3">
            <w:pPr>
              <w:jc w:val="center"/>
              <w:rPr>
                <w:rFonts w:hint="eastAsia" w:ascii="宋体" w:hAnsi="宋体"/>
                <w:color w:val="auto"/>
                <w:sz w:val="18"/>
                <w:szCs w:val="21"/>
                <w:highlight w:val="none"/>
              </w:rPr>
            </w:pPr>
            <w:bookmarkStart w:id="1489" w:name="_Toc221952119"/>
            <w:r>
              <w:rPr>
                <w:rFonts w:ascii="宋体" w:hAnsi="宋体"/>
                <w:color w:val="auto"/>
                <w:sz w:val="18"/>
                <w:szCs w:val="21"/>
                <w:highlight w:val="none"/>
              </w:rPr>
              <w:t>职称</w:t>
            </w:r>
            <w:bookmarkEnd w:id="1489"/>
          </w:p>
        </w:tc>
        <w:tc>
          <w:tcPr>
            <w:tcW w:w="5042" w:type="dxa"/>
            <w:gridSpan w:val="4"/>
            <w:vAlign w:val="center"/>
          </w:tcPr>
          <w:p w14:paraId="28070578">
            <w:pPr>
              <w:jc w:val="center"/>
              <w:rPr>
                <w:rFonts w:hint="eastAsia" w:ascii="宋体" w:hAnsi="宋体"/>
                <w:color w:val="auto"/>
                <w:sz w:val="18"/>
                <w:szCs w:val="21"/>
                <w:highlight w:val="none"/>
              </w:rPr>
            </w:pPr>
            <w:bookmarkStart w:id="1490" w:name="_Toc221952120"/>
            <w:r>
              <w:rPr>
                <w:rFonts w:ascii="宋体" w:hAnsi="宋体"/>
                <w:color w:val="auto"/>
                <w:sz w:val="18"/>
                <w:szCs w:val="21"/>
                <w:highlight w:val="none"/>
              </w:rPr>
              <w:t>执业或职业资格证明</w:t>
            </w:r>
            <w:bookmarkEnd w:id="1490"/>
          </w:p>
        </w:tc>
        <w:tc>
          <w:tcPr>
            <w:tcW w:w="1392" w:type="dxa"/>
            <w:vAlign w:val="center"/>
          </w:tcPr>
          <w:p w14:paraId="30698A7C">
            <w:pPr>
              <w:jc w:val="center"/>
              <w:rPr>
                <w:rFonts w:hint="eastAsia" w:ascii="宋体" w:hAnsi="宋体"/>
                <w:color w:val="auto"/>
                <w:sz w:val="18"/>
                <w:szCs w:val="21"/>
                <w:highlight w:val="none"/>
              </w:rPr>
            </w:pPr>
            <w:bookmarkStart w:id="1491" w:name="_Toc221952121"/>
            <w:r>
              <w:rPr>
                <w:rFonts w:ascii="宋体" w:hAnsi="宋体"/>
                <w:color w:val="auto"/>
                <w:sz w:val="18"/>
                <w:szCs w:val="21"/>
                <w:highlight w:val="none"/>
              </w:rPr>
              <w:t>备注</w:t>
            </w:r>
            <w:bookmarkEnd w:id="1491"/>
          </w:p>
        </w:tc>
      </w:tr>
      <w:tr w14:paraId="14AC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14:paraId="03E0E3D0">
            <w:pPr>
              <w:jc w:val="center"/>
              <w:rPr>
                <w:rFonts w:hint="eastAsia" w:ascii="宋体" w:hAnsi="宋体"/>
                <w:color w:val="auto"/>
                <w:sz w:val="18"/>
                <w:szCs w:val="21"/>
                <w:highlight w:val="none"/>
              </w:rPr>
            </w:pPr>
          </w:p>
        </w:tc>
        <w:tc>
          <w:tcPr>
            <w:tcW w:w="721" w:type="dxa"/>
            <w:vMerge w:val="continue"/>
            <w:vAlign w:val="center"/>
          </w:tcPr>
          <w:p w14:paraId="65905822">
            <w:pPr>
              <w:jc w:val="center"/>
              <w:rPr>
                <w:rFonts w:hint="eastAsia" w:ascii="宋体" w:hAnsi="宋体"/>
                <w:color w:val="auto"/>
                <w:sz w:val="18"/>
                <w:szCs w:val="21"/>
                <w:highlight w:val="none"/>
              </w:rPr>
            </w:pPr>
          </w:p>
        </w:tc>
        <w:tc>
          <w:tcPr>
            <w:tcW w:w="719" w:type="dxa"/>
            <w:vMerge w:val="continue"/>
            <w:vAlign w:val="center"/>
          </w:tcPr>
          <w:p w14:paraId="6D920BAE">
            <w:pPr>
              <w:jc w:val="center"/>
              <w:rPr>
                <w:rFonts w:hint="eastAsia" w:ascii="宋体" w:hAnsi="宋体"/>
                <w:color w:val="auto"/>
                <w:sz w:val="18"/>
                <w:szCs w:val="21"/>
                <w:highlight w:val="none"/>
              </w:rPr>
            </w:pPr>
          </w:p>
        </w:tc>
        <w:tc>
          <w:tcPr>
            <w:tcW w:w="1260" w:type="dxa"/>
            <w:vAlign w:val="center"/>
          </w:tcPr>
          <w:p w14:paraId="16D711AB">
            <w:pPr>
              <w:jc w:val="center"/>
              <w:rPr>
                <w:rFonts w:hint="eastAsia" w:ascii="宋体" w:hAnsi="宋体"/>
                <w:color w:val="auto"/>
                <w:sz w:val="18"/>
                <w:szCs w:val="21"/>
                <w:highlight w:val="none"/>
              </w:rPr>
            </w:pPr>
            <w:bookmarkStart w:id="1492" w:name="_Toc221952122"/>
            <w:r>
              <w:rPr>
                <w:rFonts w:ascii="宋体" w:hAnsi="宋体"/>
                <w:color w:val="auto"/>
                <w:sz w:val="18"/>
                <w:szCs w:val="21"/>
                <w:highlight w:val="none"/>
              </w:rPr>
              <w:t>证书名称</w:t>
            </w:r>
            <w:bookmarkEnd w:id="1492"/>
          </w:p>
        </w:tc>
        <w:tc>
          <w:tcPr>
            <w:tcW w:w="900" w:type="dxa"/>
            <w:vAlign w:val="center"/>
          </w:tcPr>
          <w:p w14:paraId="53CD7F8C">
            <w:pPr>
              <w:jc w:val="center"/>
              <w:rPr>
                <w:rFonts w:hint="eastAsia" w:ascii="宋体" w:hAnsi="宋体"/>
                <w:color w:val="auto"/>
                <w:sz w:val="18"/>
                <w:szCs w:val="21"/>
                <w:highlight w:val="none"/>
              </w:rPr>
            </w:pPr>
            <w:bookmarkStart w:id="1493" w:name="_Toc221952123"/>
            <w:r>
              <w:rPr>
                <w:rFonts w:ascii="宋体" w:hAnsi="宋体"/>
                <w:color w:val="auto"/>
                <w:sz w:val="18"/>
                <w:szCs w:val="21"/>
                <w:highlight w:val="none"/>
              </w:rPr>
              <w:t>级别</w:t>
            </w:r>
            <w:bookmarkEnd w:id="1493"/>
          </w:p>
        </w:tc>
        <w:tc>
          <w:tcPr>
            <w:tcW w:w="1800" w:type="dxa"/>
            <w:vAlign w:val="center"/>
          </w:tcPr>
          <w:p w14:paraId="0DA30111">
            <w:pPr>
              <w:jc w:val="center"/>
              <w:rPr>
                <w:rFonts w:hint="eastAsia" w:ascii="宋体" w:hAnsi="宋体"/>
                <w:color w:val="auto"/>
                <w:sz w:val="18"/>
                <w:szCs w:val="21"/>
                <w:highlight w:val="none"/>
              </w:rPr>
            </w:pPr>
            <w:bookmarkStart w:id="1494" w:name="_Toc221952124"/>
            <w:r>
              <w:rPr>
                <w:rFonts w:ascii="宋体" w:hAnsi="宋体"/>
                <w:color w:val="auto"/>
                <w:sz w:val="18"/>
                <w:szCs w:val="21"/>
                <w:highlight w:val="none"/>
              </w:rPr>
              <w:t>证号</w:t>
            </w:r>
            <w:bookmarkEnd w:id="1494"/>
          </w:p>
        </w:tc>
        <w:tc>
          <w:tcPr>
            <w:tcW w:w="1082" w:type="dxa"/>
            <w:vAlign w:val="center"/>
          </w:tcPr>
          <w:p w14:paraId="416CAF89">
            <w:pPr>
              <w:jc w:val="center"/>
              <w:rPr>
                <w:rFonts w:hint="eastAsia" w:ascii="宋体" w:hAnsi="宋体"/>
                <w:color w:val="auto"/>
                <w:sz w:val="18"/>
                <w:szCs w:val="21"/>
                <w:highlight w:val="none"/>
              </w:rPr>
            </w:pPr>
            <w:bookmarkStart w:id="1495" w:name="_Toc221952125"/>
            <w:r>
              <w:rPr>
                <w:rFonts w:ascii="宋体" w:hAnsi="宋体"/>
                <w:color w:val="auto"/>
                <w:sz w:val="18"/>
                <w:szCs w:val="21"/>
                <w:highlight w:val="none"/>
              </w:rPr>
              <w:t>专业</w:t>
            </w:r>
            <w:bookmarkEnd w:id="1495"/>
          </w:p>
        </w:tc>
        <w:tc>
          <w:tcPr>
            <w:tcW w:w="1392" w:type="dxa"/>
            <w:vAlign w:val="center"/>
          </w:tcPr>
          <w:p w14:paraId="0196E3C1">
            <w:pPr>
              <w:jc w:val="center"/>
              <w:rPr>
                <w:rFonts w:hint="eastAsia" w:ascii="宋体" w:hAnsi="宋体"/>
                <w:color w:val="auto"/>
                <w:sz w:val="18"/>
                <w:szCs w:val="21"/>
                <w:highlight w:val="none"/>
              </w:rPr>
            </w:pPr>
          </w:p>
        </w:tc>
      </w:tr>
      <w:tr w14:paraId="37EF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872B5F6">
            <w:pPr>
              <w:jc w:val="center"/>
              <w:rPr>
                <w:rFonts w:hint="eastAsia" w:ascii="宋体" w:hAnsi="宋体"/>
                <w:color w:val="auto"/>
                <w:sz w:val="18"/>
                <w:szCs w:val="21"/>
                <w:highlight w:val="none"/>
              </w:rPr>
            </w:pPr>
          </w:p>
        </w:tc>
        <w:tc>
          <w:tcPr>
            <w:tcW w:w="721" w:type="dxa"/>
            <w:vAlign w:val="center"/>
          </w:tcPr>
          <w:p w14:paraId="53BB7086">
            <w:pPr>
              <w:jc w:val="center"/>
              <w:rPr>
                <w:rFonts w:hint="eastAsia" w:ascii="宋体" w:hAnsi="宋体"/>
                <w:color w:val="auto"/>
                <w:sz w:val="18"/>
                <w:szCs w:val="21"/>
                <w:highlight w:val="none"/>
              </w:rPr>
            </w:pPr>
          </w:p>
        </w:tc>
        <w:tc>
          <w:tcPr>
            <w:tcW w:w="719" w:type="dxa"/>
            <w:vAlign w:val="center"/>
          </w:tcPr>
          <w:p w14:paraId="58D8B82E">
            <w:pPr>
              <w:jc w:val="center"/>
              <w:rPr>
                <w:rFonts w:hint="eastAsia" w:ascii="宋体" w:hAnsi="宋体"/>
                <w:color w:val="auto"/>
                <w:sz w:val="18"/>
                <w:szCs w:val="21"/>
                <w:highlight w:val="none"/>
              </w:rPr>
            </w:pPr>
          </w:p>
        </w:tc>
        <w:tc>
          <w:tcPr>
            <w:tcW w:w="1260" w:type="dxa"/>
            <w:vAlign w:val="center"/>
          </w:tcPr>
          <w:p w14:paraId="0D1EA9A9">
            <w:pPr>
              <w:jc w:val="center"/>
              <w:rPr>
                <w:rFonts w:hint="eastAsia" w:ascii="宋体" w:hAnsi="宋体"/>
                <w:color w:val="auto"/>
                <w:sz w:val="18"/>
                <w:szCs w:val="21"/>
                <w:highlight w:val="none"/>
              </w:rPr>
            </w:pPr>
          </w:p>
        </w:tc>
        <w:tc>
          <w:tcPr>
            <w:tcW w:w="900" w:type="dxa"/>
            <w:vAlign w:val="center"/>
          </w:tcPr>
          <w:p w14:paraId="6C5F6FEA">
            <w:pPr>
              <w:jc w:val="center"/>
              <w:rPr>
                <w:rFonts w:hint="eastAsia" w:ascii="宋体" w:hAnsi="宋体"/>
                <w:color w:val="auto"/>
                <w:sz w:val="18"/>
                <w:szCs w:val="21"/>
                <w:highlight w:val="none"/>
              </w:rPr>
            </w:pPr>
          </w:p>
        </w:tc>
        <w:tc>
          <w:tcPr>
            <w:tcW w:w="1800" w:type="dxa"/>
            <w:vAlign w:val="center"/>
          </w:tcPr>
          <w:p w14:paraId="245554B4">
            <w:pPr>
              <w:jc w:val="center"/>
              <w:rPr>
                <w:rFonts w:hint="eastAsia" w:ascii="宋体" w:hAnsi="宋体"/>
                <w:color w:val="auto"/>
                <w:sz w:val="18"/>
                <w:szCs w:val="21"/>
                <w:highlight w:val="none"/>
              </w:rPr>
            </w:pPr>
          </w:p>
        </w:tc>
        <w:tc>
          <w:tcPr>
            <w:tcW w:w="1082" w:type="dxa"/>
            <w:vAlign w:val="center"/>
          </w:tcPr>
          <w:p w14:paraId="789F380E">
            <w:pPr>
              <w:jc w:val="center"/>
              <w:rPr>
                <w:rFonts w:hint="eastAsia" w:ascii="宋体" w:hAnsi="宋体"/>
                <w:color w:val="auto"/>
                <w:sz w:val="18"/>
                <w:szCs w:val="21"/>
                <w:highlight w:val="none"/>
              </w:rPr>
            </w:pPr>
          </w:p>
        </w:tc>
        <w:tc>
          <w:tcPr>
            <w:tcW w:w="1392" w:type="dxa"/>
            <w:vAlign w:val="center"/>
          </w:tcPr>
          <w:p w14:paraId="0F3679E9">
            <w:pPr>
              <w:jc w:val="center"/>
              <w:rPr>
                <w:rFonts w:hint="eastAsia" w:ascii="宋体" w:hAnsi="宋体"/>
                <w:color w:val="auto"/>
                <w:sz w:val="18"/>
                <w:szCs w:val="21"/>
                <w:highlight w:val="none"/>
              </w:rPr>
            </w:pPr>
          </w:p>
        </w:tc>
      </w:tr>
      <w:tr w14:paraId="5207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B147324">
            <w:pPr>
              <w:jc w:val="center"/>
              <w:rPr>
                <w:rFonts w:hint="eastAsia" w:ascii="宋体" w:hAnsi="宋体"/>
                <w:color w:val="auto"/>
                <w:sz w:val="18"/>
                <w:szCs w:val="21"/>
                <w:highlight w:val="none"/>
              </w:rPr>
            </w:pPr>
          </w:p>
        </w:tc>
        <w:tc>
          <w:tcPr>
            <w:tcW w:w="721" w:type="dxa"/>
            <w:vAlign w:val="center"/>
          </w:tcPr>
          <w:p w14:paraId="5A921D25">
            <w:pPr>
              <w:jc w:val="center"/>
              <w:rPr>
                <w:rFonts w:hint="eastAsia" w:ascii="宋体" w:hAnsi="宋体"/>
                <w:color w:val="auto"/>
                <w:sz w:val="18"/>
                <w:szCs w:val="21"/>
                <w:highlight w:val="none"/>
              </w:rPr>
            </w:pPr>
          </w:p>
        </w:tc>
        <w:tc>
          <w:tcPr>
            <w:tcW w:w="719" w:type="dxa"/>
            <w:vAlign w:val="center"/>
          </w:tcPr>
          <w:p w14:paraId="3274F207">
            <w:pPr>
              <w:jc w:val="center"/>
              <w:rPr>
                <w:rFonts w:hint="eastAsia" w:ascii="宋体" w:hAnsi="宋体"/>
                <w:color w:val="auto"/>
                <w:sz w:val="18"/>
                <w:szCs w:val="21"/>
                <w:highlight w:val="none"/>
              </w:rPr>
            </w:pPr>
          </w:p>
        </w:tc>
        <w:tc>
          <w:tcPr>
            <w:tcW w:w="1260" w:type="dxa"/>
            <w:vAlign w:val="center"/>
          </w:tcPr>
          <w:p w14:paraId="4B75CB5D">
            <w:pPr>
              <w:jc w:val="center"/>
              <w:rPr>
                <w:rFonts w:hint="eastAsia" w:ascii="宋体" w:hAnsi="宋体"/>
                <w:color w:val="auto"/>
                <w:sz w:val="18"/>
                <w:szCs w:val="21"/>
                <w:highlight w:val="none"/>
              </w:rPr>
            </w:pPr>
          </w:p>
        </w:tc>
        <w:tc>
          <w:tcPr>
            <w:tcW w:w="900" w:type="dxa"/>
            <w:vAlign w:val="center"/>
          </w:tcPr>
          <w:p w14:paraId="010779F1">
            <w:pPr>
              <w:jc w:val="center"/>
              <w:rPr>
                <w:rFonts w:hint="eastAsia" w:ascii="宋体" w:hAnsi="宋体"/>
                <w:color w:val="auto"/>
                <w:sz w:val="18"/>
                <w:szCs w:val="21"/>
                <w:highlight w:val="none"/>
              </w:rPr>
            </w:pPr>
          </w:p>
        </w:tc>
        <w:tc>
          <w:tcPr>
            <w:tcW w:w="1800" w:type="dxa"/>
            <w:vAlign w:val="center"/>
          </w:tcPr>
          <w:p w14:paraId="16DDCD26">
            <w:pPr>
              <w:jc w:val="center"/>
              <w:rPr>
                <w:rFonts w:hint="eastAsia" w:ascii="宋体" w:hAnsi="宋体"/>
                <w:color w:val="auto"/>
                <w:sz w:val="18"/>
                <w:szCs w:val="21"/>
                <w:highlight w:val="none"/>
              </w:rPr>
            </w:pPr>
          </w:p>
        </w:tc>
        <w:tc>
          <w:tcPr>
            <w:tcW w:w="1082" w:type="dxa"/>
            <w:vAlign w:val="center"/>
          </w:tcPr>
          <w:p w14:paraId="5613DFEE">
            <w:pPr>
              <w:jc w:val="center"/>
              <w:rPr>
                <w:rFonts w:hint="eastAsia" w:ascii="宋体" w:hAnsi="宋体"/>
                <w:color w:val="auto"/>
                <w:sz w:val="18"/>
                <w:szCs w:val="21"/>
                <w:highlight w:val="none"/>
              </w:rPr>
            </w:pPr>
          </w:p>
        </w:tc>
        <w:tc>
          <w:tcPr>
            <w:tcW w:w="1392" w:type="dxa"/>
            <w:vAlign w:val="center"/>
          </w:tcPr>
          <w:p w14:paraId="53828A7C">
            <w:pPr>
              <w:jc w:val="center"/>
              <w:rPr>
                <w:rFonts w:hint="eastAsia" w:ascii="宋体" w:hAnsi="宋体"/>
                <w:color w:val="auto"/>
                <w:sz w:val="18"/>
                <w:szCs w:val="21"/>
                <w:highlight w:val="none"/>
              </w:rPr>
            </w:pPr>
          </w:p>
        </w:tc>
      </w:tr>
      <w:tr w14:paraId="21A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756C5C1">
            <w:pPr>
              <w:jc w:val="center"/>
              <w:rPr>
                <w:rFonts w:hint="eastAsia" w:ascii="宋体" w:hAnsi="宋体"/>
                <w:color w:val="auto"/>
                <w:sz w:val="18"/>
                <w:szCs w:val="21"/>
                <w:highlight w:val="none"/>
              </w:rPr>
            </w:pPr>
          </w:p>
        </w:tc>
        <w:tc>
          <w:tcPr>
            <w:tcW w:w="721" w:type="dxa"/>
            <w:vAlign w:val="center"/>
          </w:tcPr>
          <w:p w14:paraId="26ED23C7">
            <w:pPr>
              <w:jc w:val="center"/>
              <w:rPr>
                <w:rFonts w:hint="eastAsia" w:ascii="宋体" w:hAnsi="宋体"/>
                <w:color w:val="auto"/>
                <w:sz w:val="18"/>
                <w:szCs w:val="21"/>
                <w:highlight w:val="none"/>
              </w:rPr>
            </w:pPr>
          </w:p>
        </w:tc>
        <w:tc>
          <w:tcPr>
            <w:tcW w:w="719" w:type="dxa"/>
            <w:vAlign w:val="center"/>
          </w:tcPr>
          <w:p w14:paraId="728258A4">
            <w:pPr>
              <w:jc w:val="center"/>
              <w:rPr>
                <w:rFonts w:hint="eastAsia" w:ascii="宋体" w:hAnsi="宋体"/>
                <w:color w:val="auto"/>
                <w:sz w:val="18"/>
                <w:szCs w:val="21"/>
                <w:highlight w:val="none"/>
              </w:rPr>
            </w:pPr>
          </w:p>
        </w:tc>
        <w:tc>
          <w:tcPr>
            <w:tcW w:w="1260" w:type="dxa"/>
            <w:vAlign w:val="center"/>
          </w:tcPr>
          <w:p w14:paraId="0D8F7322">
            <w:pPr>
              <w:jc w:val="center"/>
              <w:rPr>
                <w:rFonts w:hint="eastAsia" w:ascii="宋体" w:hAnsi="宋体"/>
                <w:color w:val="auto"/>
                <w:sz w:val="18"/>
                <w:szCs w:val="21"/>
                <w:highlight w:val="none"/>
              </w:rPr>
            </w:pPr>
          </w:p>
        </w:tc>
        <w:tc>
          <w:tcPr>
            <w:tcW w:w="900" w:type="dxa"/>
            <w:vAlign w:val="center"/>
          </w:tcPr>
          <w:p w14:paraId="53409406">
            <w:pPr>
              <w:jc w:val="center"/>
              <w:rPr>
                <w:rFonts w:hint="eastAsia" w:ascii="宋体" w:hAnsi="宋体"/>
                <w:color w:val="auto"/>
                <w:sz w:val="18"/>
                <w:szCs w:val="21"/>
                <w:highlight w:val="none"/>
              </w:rPr>
            </w:pPr>
          </w:p>
        </w:tc>
        <w:tc>
          <w:tcPr>
            <w:tcW w:w="1800" w:type="dxa"/>
            <w:vAlign w:val="center"/>
          </w:tcPr>
          <w:p w14:paraId="6F7B9E9E">
            <w:pPr>
              <w:jc w:val="center"/>
              <w:rPr>
                <w:rFonts w:hint="eastAsia" w:ascii="宋体" w:hAnsi="宋体"/>
                <w:color w:val="auto"/>
                <w:sz w:val="18"/>
                <w:szCs w:val="21"/>
                <w:highlight w:val="none"/>
              </w:rPr>
            </w:pPr>
          </w:p>
        </w:tc>
        <w:tc>
          <w:tcPr>
            <w:tcW w:w="1082" w:type="dxa"/>
            <w:vAlign w:val="center"/>
          </w:tcPr>
          <w:p w14:paraId="7480F793">
            <w:pPr>
              <w:jc w:val="center"/>
              <w:rPr>
                <w:rFonts w:hint="eastAsia" w:ascii="宋体" w:hAnsi="宋体"/>
                <w:color w:val="auto"/>
                <w:sz w:val="18"/>
                <w:szCs w:val="21"/>
                <w:highlight w:val="none"/>
              </w:rPr>
            </w:pPr>
          </w:p>
        </w:tc>
        <w:tc>
          <w:tcPr>
            <w:tcW w:w="1392" w:type="dxa"/>
            <w:vAlign w:val="center"/>
          </w:tcPr>
          <w:p w14:paraId="12A6BD10">
            <w:pPr>
              <w:jc w:val="center"/>
              <w:rPr>
                <w:rFonts w:hint="eastAsia" w:ascii="宋体" w:hAnsi="宋体"/>
                <w:color w:val="auto"/>
                <w:sz w:val="18"/>
                <w:szCs w:val="21"/>
                <w:highlight w:val="none"/>
              </w:rPr>
            </w:pPr>
          </w:p>
        </w:tc>
      </w:tr>
      <w:tr w14:paraId="70E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0BD0B88">
            <w:pPr>
              <w:jc w:val="center"/>
              <w:rPr>
                <w:rFonts w:hint="eastAsia" w:ascii="宋体" w:hAnsi="宋体"/>
                <w:color w:val="auto"/>
                <w:sz w:val="18"/>
                <w:szCs w:val="21"/>
                <w:highlight w:val="none"/>
              </w:rPr>
            </w:pPr>
          </w:p>
        </w:tc>
        <w:tc>
          <w:tcPr>
            <w:tcW w:w="721" w:type="dxa"/>
            <w:vAlign w:val="center"/>
          </w:tcPr>
          <w:p w14:paraId="1F705B84">
            <w:pPr>
              <w:jc w:val="center"/>
              <w:rPr>
                <w:rFonts w:hint="eastAsia" w:ascii="宋体" w:hAnsi="宋体"/>
                <w:color w:val="auto"/>
                <w:sz w:val="18"/>
                <w:szCs w:val="21"/>
                <w:highlight w:val="none"/>
              </w:rPr>
            </w:pPr>
          </w:p>
        </w:tc>
        <w:tc>
          <w:tcPr>
            <w:tcW w:w="719" w:type="dxa"/>
            <w:vAlign w:val="center"/>
          </w:tcPr>
          <w:p w14:paraId="34739B37">
            <w:pPr>
              <w:jc w:val="center"/>
              <w:rPr>
                <w:rFonts w:hint="eastAsia" w:ascii="宋体" w:hAnsi="宋体"/>
                <w:color w:val="auto"/>
                <w:sz w:val="18"/>
                <w:szCs w:val="21"/>
                <w:highlight w:val="none"/>
              </w:rPr>
            </w:pPr>
          </w:p>
        </w:tc>
        <w:tc>
          <w:tcPr>
            <w:tcW w:w="1260" w:type="dxa"/>
            <w:vAlign w:val="center"/>
          </w:tcPr>
          <w:p w14:paraId="521652AA">
            <w:pPr>
              <w:jc w:val="center"/>
              <w:rPr>
                <w:rFonts w:hint="eastAsia" w:ascii="宋体" w:hAnsi="宋体"/>
                <w:color w:val="auto"/>
                <w:sz w:val="18"/>
                <w:szCs w:val="21"/>
                <w:highlight w:val="none"/>
              </w:rPr>
            </w:pPr>
          </w:p>
        </w:tc>
        <w:tc>
          <w:tcPr>
            <w:tcW w:w="900" w:type="dxa"/>
            <w:vAlign w:val="center"/>
          </w:tcPr>
          <w:p w14:paraId="3D6E1AC0">
            <w:pPr>
              <w:jc w:val="center"/>
              <w:rPr>
                <w:rFonts w:hint="eastAsia" w:ascii="宋体" w:hAnsi="宋体"/>
                <w:color w:val="auto"/>
                <w:sz w:val="18"/>
                <w:szCs w:val="21"/>
                <w:highlight w:val="none"/>
              </w:rPr>
            </w:pPr>
          </w:p>
        </w:tc>
        <w:tc>
          <w:tcPr>
            <w:tcW w:w="1800" w:type="dxa"/>
            <w:vAlign w:val="center"/>
          </w:tcPr>
          <w:p w14:paraId="44050D2B">
            <w:pPr>
              <w:jc w:val="center"/>
              <w:rPr>
                <w:rFonts w:hint="eastAsia" w:ascii="宋体" w:hAnsi="宋体"/>
                <w:color w:val="auto"/>
                <w:sz w:val="18"/>
                <w:szCs w:val="21"/>
                <w:highlight w:val="none"/>
              </w:rPr>
            </w:pPr>
          </w:p>
        </w:tc>
        <w:tc>
          <w:tcPr>
            <w:tcW w:w="1082" w:type="dxa"/>
            <w:vAlign w:val="center"/>
          </w:tcPr>
          <w:p w14:paraId="10D70729">
            <w:pPr>
              <w:jc w:val="center"/>
              <w:rPr>
                <w:rFonts w:hint="eastAsia" w:ascii="宋体" w:hAnsi="宋体"/>
                <w:color w:val="auto"/>
                <w:sz w:val="18"/>
                <w:szCs w:val="21"/>
                <w:highlight w:val="none"/>
              </w:rPr>
            </w:pPr>
          </w:p>
        </w:tc>
        <w:tc>
          <w:tcPr>
            <w:tcW w:w="1392" w:type="dxa"/>
            <w:vAlign w:val="center"/>
          </w:tcPr>
          <w:p w14:paraId="243A6FE3">
            <w:pPr>
              <w:jc w:val="center"/>
              <w:rPr>
                <w:rFonts w:hint="eastAsia" w:ascii="宋体" w:hAnsi="宋体"/>
                <w:color w:val="auto"/>
                <w:sz w:val="18"/>
                <w:szCs w:val="21"/>
                <w:highlight w:val="none"/>
              </w:rPr>
            </w:pPr>
          </w:p>
        </w:tc>
      </w:tr>
      <w:tr w14:paraId="20D0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1D9C934">
            <w:pPr>
              <w:jc w:val="center"/>
              <w:rPr>
                <w:rFonts w:hint="eastAsia" w:ascii="宋体" w:hAnsi="宋体"/>
                <w:color w:val="auto"/>
                <w:sz w:val="18"/>
                <w:szCs w:val="21"/>
                <w:highlight w:val="none"/>
              </w:rPr>
            </w:pPr>
          </w:p>
        </w:tc>
        <w:tc>
          <w:tcPr>
            <w:tcW w:w="721" w:type="dxa"/>
            <w:vAlign w:val="center"/>
          </w:tcPr>
          <w:p w14:paraId="2B08B652">
            <w:pPr>
              <w:jc w:val="center"/>
              <w:rPr>
                <w:rFonts w:hint="eastAsia" w:ascii="宋体" w:hAnsi="宋体"/>
                <w:color w:val="auto"/>
                <w:sz w:val="18"/>
                <w:szCs w:val="21"/>
                <w:highlight w:val="none"/>
              </w:rPr>
            </w:pPr>
          </w:p>
        </w:tc>
        <w:tc>
          <w:tcPr>
            <w:tcW w:w="719" w:type="dxa"/>
            <w:vAlign w:val="center"/>
          </w:tcPr>
          <w:p w14:paraId="084726E2">
            <w:pPr>
              <w:jc w:val="center"/>
              <w:rPr>
                <w:rFonts w:hint="eastAsia" w:ascii="宋体" w:hAnsi="宋体"/>
                <w:color w:val="auto"/>
                <w:sz w:val="18"/>
                <w:szCs w:val="21"/>
                <w:highlight w:val="none"/>
              </w:rPr>
            </w:pPr>
          </w:p>
        </w:tc>
        <w:tc>
          <w:tcPr>
            <w:tcW w:w="1260" w:type="dxa"/>
            <w:vAlign w:val="center"/>
          </w:tcPr>
          <w:p w14:paraId="2CAB5D55">
            <w:pPr>
              <w:jc w:val="center"/>
              <w:rPr>
                <w:rFonts w:hint="eastAsia" w:ascii="宋体" w:hAnsi="宋体"/>
                <w:color w:val="auto"/>
                <w:sz w:val="18"/>
                <w:szCs w:val="21"/>
                <w:highlight w:val="none"/>
              </w:rPr>
            </w:pPr>
          </w:p>
        </w:tc>
        <w:tc>
          <w:tcPr>
            <w:tcW w:w="900" w:type="dxa"/>
            <w:vAlign w:val="center"/>
          </w:tcPr>
          <w:p w14:paraId="45284651">
            <w:pPr>
              <w:jc w:val="center"/>
              <w:rPr>
                <w:rFonts w:hint="eastAsia" w:ascii="宋体" w:hAnsi="宋体"/>
                <w:color w:val="auto"/>
                <w:sz w:val="18"/>
                <w:szCs w:val="21"/>
                <w:highlight w:val="none"/>
              </w:rPr>
            </w:pPr>
          </w:p>
        </w:tc>
        <w:tc>
          <w:tcPr>
            <w:tcW w:w="1800" w:type="dxa"/>
            <w:vAlign w:val="center"/>
          </w:tcPr>
          <w:p w14:paraId="351E735C">
            <w:pPr>
              <w:jc w:val="center"/>
              <w:rPr>
                <w:rFonts w:hint="eastAsia" w:ascii="宋体" w:hAnsi="宋体"/>
                <w:color w:val="auto"/>
                <w:sz w:val="18"/>
                <w:szCs w:val="21"/>
                <w:highlight w:val="none"/>
              </w:rPr>
            </w:pPr>
          </w:p>
        </w:tc>
        <w:tc>
          <w:tcPr>
            <w:tcW w:w="1082" w:type="dxa"/>
            <w:vAlign w:val="center"/>
          </w:tcPr>
          <w:p w14:paraId="6C3C5368">
            <w:pPr>
              <w:jc w:val="center"/>
              <w:rPr>
                <w:rFonts w:hint="eastAsia" w:ascii="宋体" w:hAnsi="宋体"/>
                <w:color w:val="auto"/>
                <w:sz w:val="18"/>
                <w:szCs w:val="21"/>
                <w:highlight w:val="none"/>
              </w:rPr>
            </w:pPr>
          </w:p>
        </w:tc>
        <w:tc>
          <w:tcPr>
            <w:tcW w:w="1392" w:type="dxa"/>
            <w:vAlign w:val="center"/>
          </w:tcPr>
          <w:p w14:paraId="6158A574">
            <w:pPr>
              <w:jc w:val="center"/>
              <w:rPr>
                <w:rFonts w:hint="eastAsia" w:ascii="宋体" w:hAnsi="宋体"/>
                <w:color w:val="auto"/>
                <w:sz w:val="18"/>
                <w:szCs w:val="21"/>
                <w:highlight w:val="none"/>
              </w:rPr>
            </w:pPr>
          </w:p>
        </w:tc>
      </w:tr>
      <w:tr w14:paraId="7645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1AFF8EF">
            <w:pPr>
              <w:jc w:val="center"/>
              <w:rPr>
                <w:rFonts w:hint="eastAsia" w:ascii="宋体" w:hAnsi="宋体"/>
                <w:color w:val="auto"/>
                <w:sz w:val="18"/>
                <w:szCs w:val="21"/>
                <w:highlight w:val="none"/>
              </w:rPr>
            </w:pPr>
          </w:p>
        </w:tc>
        <w:tc>
          <w:tcPr>
            <w:tcW w:w="721" w:type="dxa"/>
            <w:vAlign w:val="center"/>
          </w:tcPr>
          <w:p w14:paraId="06EDD6BF">
            <w:pPr>
              <w:jc w:val="center"/>
              <w:rPr>
                <w:rFonts w:hint="eastAsia" w:ascii="宋体" w:hAnsi="宋体"/>
                <w:color w:val="auto"/>
                <w:sz w:val="18"/>
                <w:szCs w:val="21"/>
                <w:highlight w:val="none"/>
              </w:rPr>
            </w:pPr>
          </w:p>
        </w:tc>
        <w:tc>
          <w:tcPr>
            <w:tcW w:w="719" w:type="dxa"/>
            <w:vAlign w:val="center"/>
          </w:tcPr>
          <w:p w14:paraId="6D5422D8">
            <w:pPr>
              <w:jc w:val="center"/>
              <w:rPr>
                <w:rFonts w:hint="eastAsia" w:ascii="宋体" w:hAnsi="宋体"/>
                <w:color w:val="auto"/>
                <w:sz w:val="18"/>
                <w:szCs w:val="21"/>
                <w:highlight w:val="none"/>
              </w:rPr>
            </w:pPr>
          </w:p>
        </w:tc>
        <w:tc>
          <w:tcPr>
            <w:tcW w:w="1260" w:type="dxa"/>
            <w:vAlign w:val="center"/>
          </w:tcPr>
          <w:p w14:paraId="4FC9A0EB">
            <w:pPr>
              <w:jc w:val="center"/>
              <w:rPr>
                <w:rFonts w:hint="eastAsia" w:ascii="宋体" w:hAnsi="宋体"/>
                <w:color w:val="auto"/>
                <w:sz w:val="18"/>
                <w:szCs w:val="21"/>
                <w:highlight w:val="none"/>
              </w:rPr>
            </w:pPr>
          </w:p>
        </w:tc>
        <w:tc>
          <w:tcPr>
            <w:tcW w:w="900" w:type="dxa"/>
            <w:vAlign w:val="center"/>
          </w:tcPr>
          <w:p w14:paraId="052F394E">
            <w:pPr>
              <w:jc w:val="center"/>
              <w:rPr>
                <w:rFonts w:hint="eastAsia" w:ascii="宋体" w:hAnsi="宋体"/>
                <w:color w:val="auto"/>
                <w:sz w:val="18"/>
                <w:szCs w:val="21"/>
                <w:highlight w:val="none"/>
              </w:rPr>
            </w:pPr>
          </w:p>
        </w:tc>
        <w:tc>
          <w:tcPr>
            <w:tcW w:w="1800" w:type="dxa"/>
            <w:vAlign w:val="center"/>
          </w:tcPr>
          <w:p w14:paraId="7FB62851">
            <w:pPr>
              <w:jc w:val="center"/>
              <w:rPr>
                <w:rFonts w:hint="eastAsia" w:ascii="宋体" w:hAnsi="宋体"/>
                <w:color w:val="auto"/>
                <w:sz w:val="18"/>
                <w:szCs w:val="21"/>
                <w:highlight w:val="none"/>
              </w:rPr>
            </w:pPr>
          </w:p>
        </w:tc>
        <w:tc>
          <w:tcPr>
            <w:tcW w:w="1082" w:type="dxa"/>
            <w:vAlign w:val="center"/>
          </w:tcPr>
          <w:p w14:paraId="0A35BA78">
            <w:pPr>
              <w:jc w:val="center"/>
              <w:rPr>
                <w:rFonts w:hint="eastAsia" w:ascii="宋体" w:hAnsi="宋体"/>
                <w:color w:val="auto"/>
                <w:sz w:val="18"/>
                <w:szCs w:val="21"/>
                <w:highlight w:val="none"/>
              </w:rPr>
            </w:pPr>
          </w:p>
        </w:tc>
        <w:tc>
          <w:tcPr>
            <w:tcW w:w="1392" w:type="dxa"/>
            <w:vAlign w:val="center"/>
          </w:tcPr>
          <w:p w14:paraId="4A3F37A1">
            <w:pPr>
              <w:jc w:val="center"/>
              <w:rPr>
                <w:rFonts w:hint="eastAsia" w:ascii="宋体" w:hAnsi="宋体"/>
                <w:color w:val="auto"/>
                <w:sz w:val="18"/>
                <w:szCs w:val="21"/>
                <w:highlight w:val="none"/>
              </w:rPr>
            </w:pPr>
          </w:p>
        </w:tc>
      </w:tr>
      <w:tr w14:paraId="56EA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44ECFC8">
            <w:pPr>
              <w:jc w:val="center"/>
              <w:rPr>
                <w:rFonts w:hint="eastAsia" w:ascii="宋体" w:hAnsi="宋体"/>
                <w:color w:val="auto"/>
                <w:sz w:val="18"/>
                <w:szCs w:val="21"/>
                <w:highlight w:val="none"/>
              </w:rPr>
            </w:pPr>
          </w:p>
        </w:tc>
        <w:tc>
          <w:tcPr>
            <w:tcW w:w="721" w:type="dxa"/>
            <w:vAlign w:val="center"/>
          </w:tcPr>
          <w:p w14:paraId="0E86177B">
            <w:pPr>
              <w:jc w:val="center"/>
              <w:rPr>
                <w:rFonts w:hint="eastAsia" w:ascii="宋体" w:hAnsi="宋体"/>
                <w:color w:val="auto"/>
                <w:sz w:val="18"/>
                <w:szCs w:val="21"/>
                <w:highlight w:val="none"/>
              </w:rPr>
            </w:pPr>
          </w:p>
        </w:tc>
        <w:tc>
          <w:tcPr>
            <w:tcW w:w="719" w:type="dxa"/>
            <w:vAlign w:val="center"/>
          </w:tcPr>
          <w:p w14:paraId="493F8BD8">
            <w:pPr>
              <w:jc w:val="center"/>
              <w:rPr>
                <w:rFonts w:hint="eastAsia" w:ascii="宋体" w:hAnsi="宋体"/>
                <w:color w:val="auto"/>
                <w:sz w:val="18"/>
                <w:szCs w:val="21"/>
                <w:highlight w:val="none"/>
              </w:rPr>
            </w:pPr>
          </w:p>
        </w:tc>
        <w:tc>
          <w:tcPr>
            <w:tcW w:w="1260" w:type="dxa"/>
            <w:vAlign w:val="center"/>
          </w:tcPr>
          <w:p w14:paraId="25E4C638">
            <w:pPr>
              <w:jc w:val="center"/>
              <w:rPr>
                <w:rFonts w:hint="eastAsia" w:ascii="宋体" w:hAnsi="宋体"/>
                <w:color w:val="auto"/>
                <w:sz w:val="18"/>
                <w:szCs w:val="21"/>
                <w:highlight w:val="none"/>
              </w:rPr>
            </w:pPr>
          </w:p>
        </w:tc>
        <w:tc>
          <w:tcPr>
            <w:tcW w:w="900" w:type="dxa"/>
            <w:vAlign w:val="center"/>
          </w:tcPr>
          <w:p w14:paraId="549529A2">
            <w:pPr>
              <w:jc w:val="center"/>
              <w:rPr>
                <w:rFonts w:hint="eastAsia" w:ascii="宋体" w:hAnsi="宋体"/>
                <w:color w:val="auto"/>
                <w:sz w:val="18"/>
                <w:szCs w:val="21"/>
                <w:highlight w:val="none"/>
              </w:rPr>
            </w:pPr>
          </w:p>
        </w:tc>
        <w:tc>
          <w:tcPr>
            <w:tcW w:w="1800" w:type="dxa"/>
            <w:vAlign w:val="center"/>
          </w:tcPr>
          <w:p w14:paraId="796B1D24">
            <w:pPr>
              <w:jc w:val="center"/>
              <w:rPr>
                <w:rFonts w:hint="eastAsia" w:ascii="宋体" w:hAnsi="宋体"/>
                <w:color w:val="auto"/>
                <w:sz w:val="18"/>
                <w:szCs w:val="21"/>
                <w:highlight w:val="none"/>
              </w:rPr>
            </w:pPr>
          </w:p>
        </w:tc>
        <w:tc>
          <w:tcPr>
            <w:tcW w:w="1082" w:type="dxa"/>
            <w:vAlign w:val="center"/>
          </w:tcPr>
          <w:p w14:paraId="1D49E07F">
            <w:pPr>
              <w:jc w:val="center"/>
              <w:rPr>
                <w:rFonts w:hint="eastAsia" w:ascii="宋体" w:hAnsi="宋体"/>
                <w:color w:val="auto"/>
                <w:sz w:val="18"/>
                <w:szCs w:val="21"/>
                <w:highlight w:val="none"/>
              </w:rPr>
            </w:pPr>
          </w:p>
        </w:tc>
        <w:tc>
          <w:tcPr>
            <w:tcW w:w="1392" w:type="dxa"/>
            <w:vAlign w:val="center"/>
          </w:tcPr>
          <w:p w14:paraId="363629B3">
            <w:pPr>
              <w:jc w:val="center"/>
              <w:rPr>
                <w:rFonts w:hint="eastAsia" w:ascii="宋体" w:hAnsi="宋体"/>
                <w:color w:val="auto"/>
                <w:sz w:val="18"/>
                <w:szCs w:val="21"/>
                <w:highlight w:val="none"/>
              </w:rPr>
            </w:pPr>
          </w:p>
        </w:tc>
      </w:tr>
      <w:tr w14:paraId="6C39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F8BE796">
            <w:pPr>
              <w:jc w:val="center"/>
              <w:rPr>
                <w:rFonts w:hint="eastAsia" w:ascii="宋体" w:hAnsi="宋体"/>
                <w:color w:val="auto"/>
                <w:sz w:val="18"/>
                <w:szCs w:val="21"/>
                <w:highlight w:val="none"/>
              </w:rPr>
            </w:pPr>
          </w:p>
        </w:tc>
        <w:tc>
          <w:tcPr>
            <w:tcW w:w="721" w:type="dxa"/>
            <w:vAlign w:val="center"/>
          </w:tcPr>
          <w:p w14:paraId="354053CA">
            <w:pPr>
              <w:jc w:val="center"/>
              <w:rPr>
                <w:rFonts w:hint="eastAsia" w:ascii="宋体" w:hAnsi="宋体"/>
                <w:color w:val="auto"/>
                <w:sz w:val="18"/>
                <w:szCs w:val="21"/>
                <w:highlight w:val="none"/>
              </w:rPr>
            </w:pPr>
          </w:p>
        </w:tc>
        <w:tc>
          <w:tcPr>
            <w:tcW w:w="719" w:type="dxa"/>
            <w:vAlign w:val="center"/>
          </w:tcPr>
          <w:p w14:paraId="7FDB2E3E">
            <w:pPr>
              <w:jc w:val="center"/>
              <w:rPr>
                <w:rFonts w:hint="eastAsia" w:ascii="宋体" w:hAnsi="宋体"/>
                <w:color w:val="auto"/>
                <w:sz w:val="18"/>
                <w:szCs w:val="21"/>
                <w:highlight w:val="none"/>
              </w:rPr>
            </w:pPr>
          </w:p>
        </w:tc>
        <w:tc>
          <w:tcPr>
            <w:tcW w:w="1260" w:type="dxa"/>
            <w:vAlign w:val="center"/>
          </w:tcPr>
          <w:p w14:paraId="1689F3C4">
            <w:pPr>
              <w:jc w:val="center"/>
              <w:rPr>
                <w:rFonts w:hint="eastAsia" w:ascii="宋体" w:hAnsi="宋体"/>
                <w:color w:val="auto"/>
                <w:sz w:val="18"/>
                <w:szCs w:val="21"/>
                <w:highlight w:val="none"/>
              </w:rPr>
            </w:pPr>
          </w:p>
        </w:tc>
        <w:tc>
          <w:tcPr>
            <w:tcW w:w="900" w:type="dxa"/>
            <w:vAlign w:val="center"/>
          </w:tcPr>
          <w:p w14:paraId="455967C4">
            <w:pPr>
              <w:jc w:val="center"/>
              <w:rPr>
                <w:rFonts w:hint="eastAsia" w:ascii="宋体" w:hAnsi="宋体"/>
                <w:color w:val="auto"/>
                <w:sz w:val="18"/>
                <w:szCs w:val="21"/>
                <w:highlight w:val="none"/>
              </w:rPr>
            </w:pPr>
          </w:p>
        </w:tc>
        <w:tc>
          <w:tcPr>
            <w:tcW w:w="1800" w:type="dxa"/>
            <w:vAlign w:val="center"/>
          </w:tcPr>
          <w:p w14:paraId="11EEA193">
            <w:pPr>
              <w:jc w:val="center"/>
              <w:rPr>
                <w:rFonts w:hint="eastAsia" w:ascii="宋体" w:hAnsi="宋体"/>
                <w:color w:val="auto"/>
                <w:sz w:val="18"/>
                <w:szCs w:val="21"/>
                <w:highlight w:val="none"/>
              </w:rPr>
            </w:pPr>
          </w:p>
        </w:tc>
        <w:tc>
          <w:tcPr>
            <w:tcW w:w="1082" w:type="dxa"/>
            <w:vAlign w:val="center"/>
          </w:tcPr>
          <w:p w14:paraId="0AB92FF0">
            <w:pPr>
              <w:jc w:val="center"/>
              <w:rPr>
                <w:rFonts w:hint="eastAsia" w:ascii="宋体" w:hAnsi="宋体"/>
                <w:color w:val="auto"/>
                <w:sz w:val="18"/>
                <w:szCs w:val="21"/>
                <w:highlight w:val="none"/>
              </w:rPr>
            </w:pPr>
          </w:p>
        </w:tc>
        <w:tc>
          <w:tcPr>
            <w:tcW w:w="1392" w:type="dxa"/>
            <w:vAlign w:val="center"/>
          </w:tcPr>
          <w:p w14:paraId="7D70D21E">
            <w:pPr>
              <w:jc w:val="center"/>
              <w:rPr>
                <w:rFonts w:hint="eastAsia" w:ascii="宋体" w:hAnsi="宋体"/>
                <w:color w:val="auto"/>
                <w:sz w:val="18"/>
                <w:szCs w:val="21"/>
                <w:highlight w:val="none"/>
              </w:rPr>
            </w:pPr>
          </w:p>
        </w:tc>
      </w:tr>
      <w:tr w14:paraId="231C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C4CE593">
            <w:pPr>
              <w:jc w:val="center"/>
              <w:rPr>
                <w:rFonts w:hint="eastAsia" w:ascii="宋体" w:hAnsi="宋体"/>
                <w:color w:val="auto"/>
                <w:sz w:val="18"/>
                <w:szCs w:val="21"/>
                <w:highlight w:val="none"/>
              </w:rPr>
            </w:pPr>
          </w:p>
        </w:tc>
        <w:tc>
          <w:tcPr>
            <w:tcW w:w="721" w:type="dxa"/>
            <w:vAlign w:val="center"/>
          </w:tcPr>
          <w:p w14:paraId="2D102739">
            <w:pPr>
              <w:jc w:val="center"/>
              <w:rPr>
                <w:rFonts w:hint="eastAsia" w:ascii="宋体" w:hAnsi="宋体"/>
                <w:color w:val="auto"/>
                <w:sz w:val="18"/>
                <w:szCs w:val="21"/>
                <w:highlight w:val="none"/>
              </w:rPr>
            </w:pPr>
          </w:p>
        </w:tc>
        <w:tc>
          <w:tcPr>
            <w:tcW w:w="719" w:type="dxa"/>
            <w:vAlign w:val="center"/>
          </w:tcPr>
          <w:p w14:paraId="5FBD820F">
            <w:pPr>
              <w:jc w:val="center"/>
              <w:rPr>
                <w:rFonts w:hint="eastAsia" w:ascii="宋体" w:hAnsi="宋体"/>
                <w:color w:val="auto"/>
                <w:sz w:val="18"/>
                <w:szCs w:val="21"/>
                <w:highlight w:val="none"/>
              </w:rPr>
            </w:pPr>
          </w:p>
        </w:tc>
        <w:tc>
          <w:tcPr>
            <w:tcW w:w="1260" w:type="dxa"/>
            <w:vAlign w:val="center"/>
          </w:tcPr>
          <w:p w14:paraId="043356D0">
            <w:pPr>
              <w:jc w:val="center"/>
              <w:rPr>
                <w:rFonts w:hint="eastAsia" w:ascii="宋体" w:hAnsi="宋体"/>
                <w:color w:val="auto"/>
                <w:sz w:val="18"/>
                <w:szCs w:val="21"/>
                <w:highlight w:val="none"/>
              </w:rPr>
            </w:pPr>
          </w:p>
        </w:tc>
        <w:tc>
          <w:tcPr>
            <w:tcW w:w="900" w:type="dxa"/>
            <w:vAlign w:val="center"/>
          </w:tcPr>
          <w:p w14:paraId="4096297A">
            <w:pPr>
              <w:jc w:val="center"/>
              <w:rPr>
                <w:rFonts w:hint="eastAsia" w:ascii="宋体" w:hAnsi="宋体"/>
                <w:color w:val="auto"/>
                <w:sz w:val="18"/>
                <w:szCs w:val="21"/>
                <w:highlight w:val="none"/>
              </w:rPr>
            </w:pPr>
          </w:p>
        </w:tc>
        <w:tc>
          <w:tcPr>
            <w:tcW w:w="1800" w:type="dxa"/>
            <w:vAlign w:val="center"/>
          </w:tcPr>
          <w:p w14:paraId="5BC204D6">
            <w:pPr>
              <w:jc w:val="center"/>
              <w:rPr>
                <w:rFonts w:hint="eastAsia" w:ascii="宋体" w:hAnsi="宋体"/>
                <w:color w:val="auto"/>
                <w:sz w:val="18"/>
                <w:szCs w:val="21"/>
                <w:highlight w:val="none"/>
              </w:rPr>
            </w:pPr>
          </w:p>
        </w:tc>
        <w:tc>
          <w:tcPr>
            <w:tcW w:w="1082" w:type="dxa"/>
            <w:vAlign w:val="center"/>
          </w:tcPr>
          <w:p w14:paraId="3D406593">
            <w:pPr>
              <w:jc w:val="center"/>
              <w:rPr>
                <w:rFonts w:hint="eastAsia" w:ascii="宋体" w:hAnsi="宋体"/>
                <w:color w:val="auto"/>
                <w:sz w:val="18"/>
                <w:szCs w:val="21"/>
                <w:highlight w:val="none"/>
              </w:rPr>
            </w:pPr>
          </w:p>
        </w:tc>
        <w:tc>
          <w:tcPr>
            <w:tcW w:w="1392" w:type="dxa"/>
            <w:vAlign w:val="center"/>
          </w:tcPr>
          <w:p w14:paraId="6A859E74">
            <w:pPr>
              <w:jc w:val="center"/>
              <w:rPr>
                <w:rFonts w:hint="eastAsia" w:ascii="宋体" w:hAnsi="宋体"/>
                <w:color w:val="auto"/>
                <w:sz w:val="18"/>
                <w:szCs w:val="21"/>
                <w:highlight w:val="none"/>
              </w:rPr>
            </w:pPr>
          </w:p>
        </w:tc>
      </w:tr>
      <w:tr w14:paraId="73BE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EC391BC">
            <w:pPr>
              <w:jc w:val="center"/>
              <w:rPr>
                <w:rFonts w:hint="eastAsia" w:ascii="宋体" w:hAnsi="宋体"/>
                <w:color w:val="auto"/>
                <w:sz w:val="18"/>
                <w:szCs w:val="21"/>
                <w:highlight w:val="none"/>
              </w:rPr>
            </w:pPr>
          </w:p>
        </w:tc>
        <w:tc>
          <w:tcPr>
            <w:tcW w:w="721" w:type="dxa"/>
            <w:vAlign w:val="center"/>
          </w:tcPr>
          <w:p w14:paraId="4FBA97DD">
            <w:pPr>
              <w:jc w:val="center"/>
              <w:rPr>
                <w:rFonts w:hint="eastAsia" w:ascii="宋体" w:hAnsi="宋体"/>
                <w:color w:val="auto"/>
                <w:sz w:val="18"/>
                <w:szCs w:val="21"/>
                <w:highlight w:val="none"/>
              </w:rPr>
            </w:pPr>
          </w:p>
        </w:tc>
        <w:tc>
          <w:tcPr>
            <w:tcW w:w="719" w:type="dxa"/>
            <w:vAlign w:val="center"/>
          </w:tcPr>
          <w:p w14:paraId="4460C676">
            <w:pPr>
              <w:jc w:val="center"/>
              <w:rPr>
                <w:rFonts w:hint="eastAsia" w:ascii="宋体" w:hAnsi="宋体"/>
                <w:color w:val="auto"/>
                <w:sz w:val="18"/>
                <w:szCs w:val="21"/>
                <w:highlight w:val="none"/>
              </w:rPr>
            </w:pPr>
          </w:p>
        </w:tc>
        <w:tc>
          <w:tcPr>
            <w:tcW w:w="1260" w:type="dxa"/>
            <w:vAlign w:val="center"/>
          </w:tcPr>
          <w:p w14:paraId="4FAA7A27">
            <w:pPr>
              <w:jc w:val="center"/>
              <w:rPr>
                <w:rFonts w:hint="eastAsia" w:ascii="宋体" w:hAnsi="宋体"/>
                <w:color w:val="auto"/>
                <w:sz w:val="18"/>
                <w:szCs w:val="21"/>
                <w:highlight w:val="none"/>
              </w:rPr>
            </w:pPr>
          </w:p>
        </w:tc>
        <w:tc>
          <w:tcPr>
            <w:tcW w:w="900" w:type="dxa"/>
            <w:vAlign w:val="center"/>
          </w:tcPr>
          <w:p w14:paraId="5A1D097A">
            <w:pPr>
              <w:jc w:val="center"/>
              <w:rPr>
                <w:rFonts w:hint="eastAsia" w:ascii="宋体" w:hAnsi="宋体"/>
                <w:color w:val="auto"/>
                <w:sz w:val="18"/>
                <w:szCs w:val="21"/>
                <w:highlight w:val="none"/>
              </w:rPr>
            </w:pPr>
          </w:p>
        </w:tc>
        <w:tc>
          <w:tcPr>
            <w:tcW w:w="1800" w:type="dxa"/>
            <w:vAlign w:val="center"/>
          </w:tcPr>
          <w:p w14:paraId="270168F6">
            <w:pPr>
              <w:jc w:val="center"/>
              <w:rPr>
                <w:rFonts w:hint="eastAsia" w:ascii="宋体" w:hAnsi="宋体"/>
                <w:color w:val="auto"/>
                <w:sz w:val="18"/>
                <w:szCs w:val="21"/>
                <w:highlight w:val="none"/>
              </w:rPr>
            </w:pPr>
          </w:p>
        </w:tc>
        <w:tc>
          <w:tcPr>
            <w:tcW w:w="1082" w:type="dxa"/>
            <w:vAlign w:val="center"/>
          </w:tcPr>
          <w:p w14:paraId="7C245E76">
            <w:pPr>
              <w:jc w:val="center"/>
              <w:rPr>
                <w:rFonts w:hint="eastAsia" w:ascii="宋体" w:hAnsi="宋体"/>
                <w:color w:val="auto"/>
                <w:sz w:val="18"/>
                <w:szCs w:val="21"/>
                <w:highlight w:val="none"/>
              </w:rPr>
            </w:pPr>
          </w:p>
        </w:tc>
        <w:tc>
          <w:tcPr>
            <w:tcW w:w="1392" w:type="dxa"/>
            <w:vAlign w:val="center"/>
          </w:tcPr>
          <w:p w14:paraId="1A48BE72">
            <w:pPr>
              <w:jc w:val="center"/>
              <w:rPr>
                <w:rFonts w:hint="eastAsia" w:ascii="宋体" w:hAnsi="宋体"/>
                <w:color w:val="auto"/>
                <w:sz w:val="18"/>
                <w:szCs w:val="21"/>
                <w:highlight w:val="none"/>
              </w:rPr>
            </w:pPr>
          </w:p>
        </w:tc>
      </w:tr>
      <w:tr w14:paraId="719E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9B216E5">
            <w:pPr>
              <w:jc w:val="center"/>
              <w:rPr>
                <w:rFonts w:hint="eastAsia" w:ascii="宋体" w:hAnsi="宋体"/>
                <w:color w:val="auto"/>
                <w:sz w:val="18"/>
                <w:szCs w:val="21"/>
                <w:highlight w:val="none"/>
              </w:rPr>
            </w:pPr>
          </w:p>
        </w:tc>
        <w:tc>
          <w:tcPr>
            <w:tcW w:w="721" w:type="dxa"/>
            <w:vAlign w:val="center"/>
          </w:tcPr>
          <w:p w14:paraId="4025419B">
            <w:pPr>
              <w:jc w:val="center"/>
              <w:rPr>
                <w:rFonts w:hint="eastAsia" w:ascii="宋体" w:hAnsi="宋体"/>
                <w:color w:val="auto"/>
                <w:sz w:val="18"/>
                <w:szCs w:val="21"/>
                <w:highlight w:val="none"/>
              </w:rPr>
            </w:pPr>
          </w:p>
        </w:tc>
        <w:tc>
          <w:tcPr>
            <w:tcW w:w="719" w:type="dxa"/>
            <w:vAlign w:val="center"/>
          </w:tcPr>
          <w:p w14:paraId="7052BF3B">
            <w:pPr>
              <w:jc w:val="center"/>
              <w:rPr>
                <w:rFonts w:hint="eastAsia" w:ascii="宋体" w:hAnsi="宋体"/>
                <w:color w:val="auto"/>
                <w:sz w:val="18"/>
                <w:szCs w:val="21"/>
                <w:highlight w:val="none"/>
              </w:rPr>
            </w:pPr>
          </w:p>
        </w:tc>
        <w:tc>
          <w:tcPr>
            <w:tcW w:w="1260" w:type="dxa"/>
            <w:vAlign w:val="center"/>
          </w:tcPr>
          <w:p w14:paraId="317F382A">
            <w:pPr>
              <w:jc w:val="center"/>
              <w:rPr>
                <w:rFonts w:hint="eastAsia" w:ascii="宋体" w:hAnsi="宋体"/>
                <w:color w:val="auto"/>
                <w:sz w:val="18"/>
                <w:szCs w:val="21"/>
                <w:highlight w:val="none"/>
              </w:rPr>
            </w:pPr>
          </w:p>
        </w:tc>
        <w:tc>
          <w:tcPr>
            <w:tcW w:w="900" w:type="dxa"/>
            <w:vAlign w:val="center"/>
          </w:tcPr>
          <w:p w14:paraId="789A754D">
            <w:pPr>
              <w:jc w:val="center"/>
              <w:rPr>
                <w:rFonts w:hint="eastAsia" w:ascii="宋体" w:hAnsi="宋体"/>
                <w:color w:val="auto"/>
                <w:sz w:val="18"/>
                <w:szCs w:val="21"/>
                <w:highlight w:val="none"/>
              </w:rPr>
            </w:pPr>
          </w:p>
        </w:tc>
        <w:tc>
          <w:tcPr>
            <w:tcW w:w="1800" w:type="dxa"/>
            <w:vAlign w:val="center"/>
          </w:tcPr>
          <w:p w14:paraId="58930734">
            <w:pPr>
              <w:jc w:val="center"/>
              <w:rPr>
                <w:rFonts w:hint="eastAsia" w:ascii="宋体" w:hAnsi="宋体"/>
                <w:color w:val="auto"/>
                <w:sz w:val="18"/>
                <w:szCs w:val="21"/>
                <w:highlight w:val="none"/>
              </w:rPr>
            </w:pPr>
          </w:p>
        </w:tc>
        <w:tc>
          <w:tcPr>
            <w:tcW w:w="1082" w:type="dxa"/>
            <w:vAlign w:val="center"/>
          </w:tcPr>
          <w:p w14:paraId="1B883607">
            <w:pPr>
              <w:jc w:val="center"/>
              <w:rPr>
                <w:rFonts w:hint="eastAsia" w:ascii="宋体" w:hAnsi="宋体"/>
                <w:color w:val="auto"/>
                <w:sz w:val="18"/>
                <w:szCs w:val="21"/>
                <w:highlight w:val="none"/>
              </w:rPr>
            </w:pPr>
          </w:p>
        </w:tc>
        <w:tc>
          <w:tcPr>
            <w:tcW w:w="1392" w:type="dxa"/>
            <w:vAlign w:val="center"/>
          </w:tcPr>
          <w:p w14:paraId="538D5FBE">
            <w:pPr>
              <w:jc w:val="center"/>
              <w:rPr>
                <w:rFonts w:hint="eastAsia" w:ascii="宋体" w:hAnsi="宋体"/>
                <w:color w:val="auto"/>
                <w:sz w:val="18"/>
                <w:szCs w:val="21"/>
                <w:highlight w:val="none"/>
              </w:rPr>
            </w:pPr>
          </w:p>
        </w:tc>
      </w:tr>
      <w:tr w14:paraId="0460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54B9348">
            <w:pPr>
              <w:jc w:val="center"/>
              <w:rPr>
                <w:rFonts w:hint="eastAsia" w:ascii="宋体" w:hAnsi="宋体"/>
                <w:color w:val="auto"/>
                <w:sz w:val="18"/>
                <w:szCs w:val="21"/>
                <w:highlight w:val="none"/>
              </w:rPr>
            </w:pPr>
          </w:p>
        </w:tc>
        <w:tc>
          <w:tcPr>
            <w:tcW w:w="721" w:type="dxa"/>
            <w:vAlign w:val="center"/>
          </w:tcPr>
          <w:p w14:paraId="6F5E2E5C">
            <w:pPr>
              <w:jc w:val="center"/>
              <w:rPr>
                <w:rFonts w:hint="eastAsia" w:ascii="宋体" w:hAnsi="宋体"/>
                <w:color w:val="auto"/>
                <w:sz w:val="18"/>
                <w:szCs w:val="21"/>
                <w:highlight w:val="none"/>
              </w:rPr>
            </w:pPr>
          </w:p>
        </w:tc>
        <w:tc>
          <w:tcPr>
            <w:tcW w:w="719" w:type="dxa"/>
            <w:vAlign w:val="center"/>
          </w:tcPr>
          <w:p w14:paraId="0B256D58">
            <w:pPr>
              <w:jc w:val="center"/>
              <w:rPr>
                <w:rFonts w:hint="eastAsia" w:ascii="宋体" w:hAnsi="宋体"/>
                <w:color w:val="auto"/>
                <w:sz w:val="18"/>
                <w:szCs w:val="21"/>
                <w:highlight w:val="none"/>
              </w:rPr>
            </w:pPr>
          </w:p>
        </w:tc>
        <w:tc>
          <w:tcPr>
            <w:tcW w:w="1260" w:type="dxa"/>
            <w:vAlign w:val="center"/>
          </w:tcPr>
          <w:p w14:paraId="35E08E6E">
            <w:pPr>
              <w:jc w:val="center"/>
              <w:rPr>
                <w:rFonts w:hint="eastAsia" w:ascii="宋体" w:hAnsi="宋体"/>
                <w:color w:val="auto"/>
                <w:sz w:val="18"/>
                <w:szCs w:val="21"/>
                <w:highlight w:val="none"/>
              </w:rPr>
            </w:pPr>
          </w:p>
        </w:tc>
        <w:tc>
          <w:tcPr>
            <w:tcW w:w="900" w:type="dxa"/>
            <w:vAlign w:val="center"/>
          </w:tcPr>
          <w:p w14:paraId="02C4D40D">
            <w:pPr>
              <w:jc w:val="center"/>
              <w:rPr>
                <w:rFonts w:hint="eastAsia" w:ascii="宋体" w:hAnsi="宋体"/>
                <w:color w:val="auto"/>
                <w:sz w:val="18"/>
                <w:szCs w:val="21"/>
                <w:highlight w:val="none"/>
              </w:rPr>
            </w:pPr>
          </w:p>
        </w:tc>
        <w:tc>
          <w:tcPr>
            <w:tcW w:w="1800" w:type="dxa"/>
            <w:vAlign w:val="center"/>
          </w:tcPr>
          <w:p w14:paraId="5407B224">
            <w:pPr>
              <w:jc w:val="center"/>
              <w:rPr>
                <w:rFonts w:hint="eastAsia" w:ascii="宋体" w:hAnsi="宋体"/>
                <w:color w:val="auto"/>
                <w:sz w:val="18"/>
                <w:szCs w:val="21"/>
                <w:highlight w:val="none"/>
              </w:rPr>
            </w:pPr>
          </w:p>
        </w:tc>
        <w:tc>
          <w:tcPr>
            <w:tcW w:w="1082" w:type="dxa"/>
            <w:vAlign w:val="center"/>
          </w:tcPr>
          <w:p w14:paraId="4649EA7E">
            <w:pPr>
              <w:jc w:val="center"/>
              <w:rPr>
                <w:rFonts w:hint="eastAsia" w:ascii="宋体" w:hAnsi="宋体"/>
                <w:color w:val="auto"/>
                <w:sz w:val="18"/>
                <w:szCs w:val="21"/>
                <w:highlight w:val="none"/>
              </w:rPr>
            </w:pPr>
          </w:p>
        </w:tc>
        <w:tc>
          <w:tcPr>
            <w:tcW w:w="1392" w:type="dxa"/>
            <w:vAlign w:val="center"/>
          </w:tcPr>
          <w:p w14:paraId="1CB5C555">
            <w:pPr>
              <w:jc w:val="center"/>
              <w:rPr>
                <w:rFonts w:hint="eastAsia" w:ascii="宋体" w:hAnsi="宋体"/>
                <w:color w:val="auto"/>
                <w:sz w:val="18"/>
                <w:szCs w:val="21"/>
                <w:highlight w:val="none"/>
              </w:rPr>
            </w:pPr>
          </w:p>
        </w:tc>
      </w:tr>
      <w:tr w14:paraId="3722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4FAF0E1">
            <w:pPr>
              <w:jc w:val="center"/>
              <w:rPr>
                <w:rFonts w:hint="eastAsia" w:ascii="宋体" w:hAnsi="宋体"/>
                <w:color w:val="auto"/>
                <w:sz w:val="18"/>
                <w:szCs w:val="21"/>
                <w:highlight w:val="none"/>
              </w:rPr>
            </w:pPr>
          </w:p>
        </w:tc>
        <w:tc>
          <w:tcPr>
            <w:tcW w:w="721" w:type="dxa"/>
            <w:vAlign w:val="center"/>
          </w:tcPr>
          <w:p w14:paraId="59F7DC8D">
            <w:pPr>
              <w:jc w:val="center"/>
              <w:rPr>
                <w:rFonts w:hint="eastAsia" w:ascii="宋体" w:hAnsi="宋体"/>
                <w:color w:val="auto"/>
                <w:sz w:val="18"/>
                <w:szCs w:val="21"/>
                <w:highlight w:val="none"/>
              </w:rPr>
            </w:pPr>
          </w:p>
        </w:tc>
        <w:tc>
          <w:tcPr>
            <w:tcW w:w="719" w:type="dxa"/>
            <w:vAlign w:val="center"/>
          </w:tcPr>
          <w:p w14:paraId="14D4EDF5">
            <w:pPr>
              <w:jc w:val="center"/>
              <w:rPr>
                <w:rFonts w:hint="eastAsia" w:ascii="宋体" w:hAnsi="宋体"/>
                <w:color w:val="auto"/>
                <w:sz w:val="18"/>
                <w:szCs w:val="21"/>
                <w:highlight w:val="none"/>
              </w:rPr>
            </w:pPr>
          </w:p>
        </w:tc>
        <w:tc>
          <w:tcPr>
            <w:tcW w:w="1260" w:type="dxa"/>
            <w:vAlign w:val="center"/>
          </w:tcPr>
          <w:p w14:paraId="47B99696">
            <w:pPr>
              <w:jc w:val="center"/>
              <w:rPr>
                <w:rFonts w:hint="eastAsia" w:ascii="宋体" w:hAnsi="宋体"/>
                <w:color w:val="auto"/>
                <w:sz w:val="18"/>
                <w:szCs w:val="21"/>
                <w:highlight w:val="none"/>
              </w:rPr>
            </w:pPr>
          </w:p>
        </w:tc>
        <w:tc>
          <w:tcPr>
            <w:tcW w:w="900" w:type="dxa"/>
            <w:vAlign w:val="center"/>
          </w:tcPr>
          <w:p w14:paraId="35D2D661">
            <w:pPr>
              <w:jc w:val="center"/>
              <w:rPr>
                <w:rFonts w:hint="eastAsia" w:ascii="宋体" w:hAnsi="宋体"/>
                <w:color w:val="auto"/>
                <w:sz w:val="18"/>
                <w:szCs w:val="21"/>
                <w:highlight w:val="none"/>
              </w:rPr>
            </w:pPr>
          </w:p>
        </w:tc>
        <w:tc>
          <w:tcPr>
            <w:tcW w:w="1800" w:type="dxa"/>
            <w:vAlign w:val="center"/>
          </w:tcPr>
          <w:p w14:paraId="74771190">
            <w:pPr>
              <w:jc w:val="center"/>
              <w:rPr>
                <w:rFonts w:hint="eastAsia" w:ascii="宋体" w:hAnsi="宋体"/>
                <w:color w:val="auto"/>
                <w:sz w:val="18"/>
                <w:szCs w:val="21"/>
                <w:highlight w:val="none"/>
              </w:rPr>
            </w:pPr>
          </w:p>
        </w:tc>
        <w:tc>
          <w:tcPr>
            <w:tcW w:w="1082" w:type="dxa"/>
            <w:vAlign w:val="center"/>
          </w:tcPr>
          <w:p w14:paraId="16E9C8B6">
            <w:pPr>
              <w:jc w:val="center"/>
              <w:rPr>
                <w:rFonts w:hint="eastAsia" w:ascii="宋体" w:hAnsi="宋体"/>
                <w:color w:val="auto"/>
                <w:sz w:val="18"/>
                <w:szCs w:val="21"/>
                <w:highlight w:val="none"/>
              </w:rPr>
            </w:pPr>
          </w:p>
        </w:tc>
        <w:tc>
          <w:tcPr>
            <w:tcW w:w="1392" w:type="dxa"/>
            <w:vAlign w:val="center"/>
          </w:tcPr>
          <w:p w14:paraId="21C5AA49">
            <w:pPr>
              <w:jc w:val="center"/>
              <w:rPr>
                <w:rFonts w:hint="eastAsia" w:ascii="宋体" w:hAnsi="宋体"/>
                <w:color w:val="auto"/>
                <w:sz w:val="18"/>
                <w:szCs w:val="21"/>
                <w:highlight w:val="none"/>
              </w:rPr>
            </w:pPr>
          </w:p>
        </w:tc>
      </w:tr>
      <w:tr w14:paraId="3D2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29DA089">
            <w:pPr>
              <w:jc w:val="center"/>
              <w:rPr>
                <w:rFonts w:hint="eastAsia" w:ascii="宋体" w:hAnsi="宋体"/>
                <w:color w:val="auto"/>
                <w:sz w:val="18"/>
                <w:szCs w:val="21"/>
                <w:highlight w:val="none"/>
              </w:rPr>
            </w:pPr>
          </w:p>
        </w:tc>
        <w:tc>
          <w:tcPr>
            <w:tcW w:w="721" w:type="dxa"/>
            <w:vAlign w:val="center"/>
          </w:tcPr>
          <w:p w14:paraId="34247B17">
            <w:pPr>
              <w:jc w:val="center"/>
              <w:rPr>
                <w:rFonts w:hint="eastAsia" w:ascii="宋体" w:hAnsi="宋体"/>
                <w:color w:val="auto"/>
                <w:sz w:val="18"/>
                <w:szCs w:val="21"/>
                <w:highlight w:val="none"/>
              </w:rPr>
            </w:pPr>
          </w:p>
        </w:tc>
        <w:tc>
          <w:tcPr>
            <w:tcW w:w="719" w:type="dxa"/>
            <w:vAlign w:val="center"/>
          </w:tcPr>
          <w:p w14:paraId="7692FA98">
            <w:pPr>
              <w:jc w:val="center"/>
              <w:rPr>
                <w:rFonts w:hint="eastAsia" w:ascii="宋体" w:hAnsi="宋体"/>
                <w:color w:val="auto"/>
                <w:sz w:val="18"/>
                <w:szCs w:val="21"/>
                <w:highlight w:val="none"/>
              </w:rPr>
            </w:pPr>
          </w:p>
        </w:tc>
        <w:tc>
          <w:tcPr>
            <w:tcW w:w="1260" w:type="dxa"/>
            <w:vAlign w:val="center"/>
          </w:tcPr>
          <w:p w14:paraId="7FA47FDE">
            <w:pPr>
              <w:jc w:val="center"/>
              <w:rPr>
                <w:rFonts w:hint="eastAsia" w:ascii="宋体" w:hAnsi="宋体"/>
                <w:color w:val="auto"/>
                <w:sz w:val="18"/>
                <w:szCs w:val="21"/>
                <w:highlight w:val="none"/>
              </w:rPr>
            </w:pPr>
          </w:p>
        </w:tc>
        <w:tc>
          <w:tcPr>
            <w:tcW w:w="900" w:type="dxa"/>
            <w:vAlign w:val="center"/>
          </w:tcPr>
          <w:p w14:paraId="64CA6227">
            <w:pPr>
              <w:jc w:val="center"/>
              <w:rPr>
                <w:rFonts w:hint="eastAsia" w:ascii="宋体" w:hAnsi="宋体"/>
                <w:color w:val="auto"/>
                <w:sz w:val="18"/>
                <w:szCs w:val="21"/>
                <w:highlight w:val="none"/>
              </w:rPr>
            </w:pPr>
          </w:p>
        </w:tc>
        <w:tc>
          <w:tcPr>
            <w:tcW w:w="1800" w:type="dxa"/>
            <w:vAlign w:val="center"/>
          </w:tcPr>
          <w:p w14:paraId="432471C5">
            <w:pPr>
              <w:jc w:val="center"/>
              <w:rPr>
                <w:rFonts w:hint="eastAsia" w:ascii="宋体" w:hAnsi="宋体"/>
                <w:color w:val="auto"/>
                <w:sz w:val="18"/>
                <w:szCs w:val="21"/>
                <w:highlight w:val="none"/>
              </w:rPr>
            </w:pPr>
          </w:p>
        </w:tc>
        <w:tc>
          <w:tcPr>
            <w:tcW w:w="1082" w:type="dxa"/>
            <w:vAlign w:val="center"/>
          </w:tcPr>
          <w:p w14:paraId="682D7937">
            <w:pPr>
              <w:jc w:val="center"/>
              <w:rPr>
                <w:rFonts w:hint="eastAsia" w:ascii="宋体" w:hAnsi="宋体"/>
                <w:color w:val="auto"/>
                <w:sz w:val="18"/>
                <w:szCs w:val="21"/>
                <w:highlight w:val="none"/>
              </w:rPr>
            </w:pPr>
          </w:p>
        </w:tc>
        <w:tc>
          <w:tcPr>
            <w:tcW w:w="1392" w:type="dxa"/>
            <w:vAlign w:val="center"/>
          </w:tcPr>
          <w:p w14:paraId="33902D57">
            <w:pPr>
              <w:jc w:val="center"/>
              <w:rPr>
                <w:rFonts w:hint="eastAsia" w:ascii="宋体" w:hAnsi="宋体"/>
                <w:color w:val="auto"/>
                <w:sz w:val="18"/>
                <w:szCs w:val="21"/>
                <w:highlight w:val="none"/>
              </w:rPr>
            </w:pPr>
          </w:p>
        </w:tc>
      </w:tr>
      <w:tr w14:paraId="6EA0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9732C4E">
            <w:pPr>
              <w:jc w:val="center"/>
              <w:rPr>
                <w:rFonts w:hint="eastAsia" w:ascii="宋体" w:hAnsi="宋体"/>
                <w:color w:val="auto"/>
                <w:sz w:val="18"/>
                <w:szCs w:val="21"/>
                <w:highlight w:val="none"/>
              </w:rPr>
            </w:pPr>
          </w:p>
        </w:tc>
        <w:tc>
          <w:tcPr>
            <w:tcW w:w="721" w:type="dxa"/>
            <w:vAlign w:val="center"/>
          </w:tcPr>
          <w:p w14:paraId="627783B3">
            <w:pPr>
              <w:jc w:val="center"/>
              <w:rPr>
                <w:rFonts w:hint="eastAsia" w:ascii="宋体" w:hAnsi="宋体"/>
                <w:color w:val="auto"/>
                <w:sz w:val="18"/>
                <w:szCs w:val="21"/>
                <w:highlight w:val="none"/>
              </w:rPr>
            </w:pPr>
          </w:p>
        </w:tc>
        <w:tc>
          <w:tcPr>
            <w:tcW w:w="719" w:type="dxa"/>
            <w:vAlign w:val="center"/>
          </w:tcPr>
          <w:p w14:paraId="1E04624A">
            <w:pPr>
              <w:jc w:val="center"/>
              <w:rPr>
                <w:rFonts w:hint="eastAsia" w:ascii="宋体" w:hAnsi="宋体"/>
                <w:color w:val="auto"/>
                <w:sz w:val="18"/>
                <w:szCs w:val="21"/>
                <w:highlight w:val="none"/>
              </w:rPr>
            </w:pPr>
          </w:p>
        </w:tc>
        <w:tc>
          <w:tcPr>
            <w:tcW w:w="1260" w:type="dxa"/>
            <w:vAlign w:val="center"/>
          </w:tcPr>
          <w:p w14:paraId="293B78D1">
            <w:pPr>
              <w:jc w:val="center"/>
              <w:rPr>
                <w:rFonts w:hint="eastAsia" w:ascii="宋体" w:hAnsi="宋体"/>
                <w:color w:val="auto"/>
                <w:sz w:val="18"/>
                <w:szCs w:val="21"/>
                <w:highlight w:val="none"/>
              </w:rPr>
            </w:pPr>
          </w:p>
        </w:tc>
        <w:tc>
          <w:tcPr>
            <w:tcW w:w="900" w:type="dxa"/>
            <w:vAlign w:val="center"/>
          </w:tcPr>
          <w:p w14:paraId="6996ABC9">
            <w:pPr>
              <w:jc w:val="center"/>
              <w:rPr>
                <w:rFonts w:hint="eastAsia" w:ascii="宋体" w:hAnsi="宋体"/>
                <w:color w:val="auto"/>
                <w:sz w:val="18"/>
                <w:szCs w:val="21"/>
                <w:highlight w:val="none"/>
              </w:rPr>
            </w:pPr>
          </w:p>
        </w:tc>
        <w:tc>
          <w:tcPr>
            <w:tcW w:w="1800" w:type="dxa"/>
            <w:vAlign w:val="center"/>
          </w:tcPr>
          <w:p w14:paraId="54493142">
            <w:pPr>
              <w:jc w:val="center"/>
              <w:rPr>
                <w:rFonts w:hint="eastAsia" w:ascii="宋体" w:hAnsi="宋体"/>
                <w:color w:val="auto"/>
                <w:sz w:val="18"/>
                <w:szCs w:val="21"/>
                <w:highlight w:val="none"/>
              </w:rPr>
            </w:pPr>
          </w:p>
        </w:tc>
        <w:tc>
          <w:tcPr>
            <w:tcW w:w="1082" w:type="dxa"/>
            <w:vAlign w:val="center"/>
          </w:tcPr>
          <w:p w14:paraId="16F398C1">
            <w:pPr>
              <w:jc w:val="center"/>
              <w:rPr>
                <w:rFonts w:hint="eastAsia" w:ascii="宋体" w:hAnsi="宋体"/>
                <w:color w:val="auto"/>
                <w:sz w:val="18"/>
                <w:szCs w:val="21"/>
                <w:highlight w:val="none"/>
              </w:rPr>
            </w:pPr>
          </w:p>
        </w:tc>
        <w:tc>
          <w:tcPr>
            <w:tcW w:w="1392" w:type="dxa"/>
            <w:vAlign w:val="center"/>
          </w:tcPr>
          <w:p w14:paraId="1A37ED8C">
            <w:pPr>
              <w:jc w:val="center"/>
              <w:rPr>
                <w:rFonts w:hint="eastAsia" w:ascii="宋体" w:hAnsi="宋体"/>
                <w:color w:val="auto"/>
                <w:sz w:val="18"/>
                <w:szCs w:val="21"/>
                <w:highlight w:val="none"/>
              </w:rPr>
            </w:pPr>
          </w:p>
        </w:tc>
      </w:tr>
      <w:tr w14:paraId="0C5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9177F66">
            <w:pPr>
              <w:jc w:val="center"/>
              <w:rPr>
                <w:rFonts w:hint="eastAsia" w:ascii="宋体" w:hAnsi="宋体"/>
                <w:color w:val="auto"/>
                <w:sz w:val="18"/>
                <w:szCs w:val="21"/>
                <w:highlight w:val="none"/>
              </w:rPr>
            </w:pPr>
          </w:p>
        </w:tc>
        <w:tc>
          <w:tcPr>
            <w:tcW w:w="721" w:type="dxa"/>
            <w:vAlign w:val="center"/>
          </w:tcPr>
          <w:p w14:paraId="057F351D">
            <w:pPr>
              <w:jc w:val="center"/>
              <w:rPr>
                <w:rFonts w:hint="eastAsia" w:ascii="宋体" w:hAnsi="宋体"/>
                <w:color w:val="auto"/>
                <w:sz w:val="18"/>
                <w:szCs w:val="21"/>
                <w:highlight w:val="none"/>
              </w:rPr>
            </w:pPr>
          </w:p>
        </w:tc>
        <w:tc>
          <w:tcPr>
            <w:tcW w:w="719" w:type="dxa"/>
            <w:vAlign w:val="center"/>
          </w:tcPr>
          <w:p w14:paraId="7C2550D4">
            <w:pPr>
              <w:jc w:val="center"/>
              <w:rPr>
                <w:rFonts w:hint="eastAsia" w:ascii="宋体" w:hAnsi="宋体"/>
                <w:color w:val="auto"/>
                <w:sz w:val="18"/>
                <w:szCs w:val="21"/>
                <w:highlight w:val="none"/>
              </w:rPr>
            </w:pPr>
          </w:p>
        </w:tc>
        <w:tc>
          <w:tcPr>
            <w:tcW w:w="1260" w:type="dxa"/>
            <w:vAlign w:val="center"/>
          </w:tcPr>
          <w:p w14:paraId="3E9AD72B">
            <w:pPr>
              <w:jc w:val="center"/>
              <w:rPr>
                <w:rFonts w:hint="eastAsia" w:ascii="宋体" w:hAnsi="宋体"/>
                <w:color w:val="auto"/>
                <w:sz w:val="18"/>
                <w:szCs w:val="21"/>
                <w:highlight w:val="none"/>
              </w:rPr>
            </w:pPr>
          </w:p>
        </w:tc>
        <w:tc>
          <w:tcPr>
            <w:tcW w:w="900" w:type="dxa"/>
            <w:vAlign w:val="center"/>
          </w:tcPr>
          <w:p w14:paraId="553D53BA">
            <w:pPr>
              <w:jc w:val="center"/>
              <w:rPr>
                <w:rFonts w:hint="eastAsia" w:ascii="宋体" w:hAnsi="宋体"/>
                <w:color w:val="auto"/>
                <w:sz w:val="18"/>
                <w:szCs w:val="21"/>
                <w:highlight w:val="none"/>
              </w:rPr>
            </w:pPr>
          </w:p>
        </w:tc>
        <w:tc>
          <w:tcPr>
            <w:tcW w:w="1800" w:type="dxa"/>
            <w:vAlign w:val="center"/>
          </w:tcPr>
          <w:p w14:paraId="2CC1EEDF">
            <w:pPr>
              <w:jc w:val="center"/>
              <w:rPr>
                <w:rFonts w:hint="eastAsia" w:ascii="宋体" w:hAnsi="宋体"/>
                <w:color w:val="auto"/>
                <w:sz w:val="18"/>
                <w:szCs w:val="21"/>
                <w:highlight w:val="none"/>
              </w:rPr>
            </w:pPr>
          </w:p>
        </w:tc>
        <w:tc>
          <w:tcPr>
            <w:tcW w:w="1082" w:type="dxa"/>
            <w:vAlign w:val="center"/>
          </w:tcPr>
          <w:p w14:paraId="26F5B4DC">
            <w:pPr>
              <w:jc w:val="center"/>
              <w:rPr>
                <w:rFonts w:hint="eastAsia" w:ascii="宋体" w:hAnsi="宋体"/>
                <w:color w:val="auto"/>
                <w:sz w:val="18"/>
                <w:szCs w:val="21"/>
                <w:highlight w:val="none"/>
              </w:rPr>
            </w:pPr>
          </w:p>
        </w:tc>
        <w:tc>
          <w:tcPr>
            <w:tcW w:w="1392" w:type="dxa"/>
            <w:vAlign w:val="center"/>
          </w:tcPr>
          <w:p w14:paraId="3B281937">
            <w:pPr>
              <w:jc w:val="center"/>
              <w:rPr>
                <w:rFonts w:hint="eastAsia" w:ascii="宋体" w:hAnsi="宋体"/>
                <w:color w:val="auto"/>
                <w:sz w:val="18"/>
                <w:szCs w:val="21"/>
                <w:highlight w:val="none"/>
              </w:rPr>
            </w:pPr>
          </w:p>
        </w:tc>
      </w:tr>
      <w:tr w14:paraId="5BE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4C921A3">
            <w:pPr>
              <w:jc w:val="center"/>
              <w:rPr>
                <w:rFonts w:hint="eastAsia" w:ascii="宋体" w:hAnsi="宋体"/>
                <w:color w:val="auto"/>
                <w:sz w:val="18"/>
                <w:szCs w:val="21"/>
                <w:highlight w:val="none"/>
              </w:rPr>
            </w:pPr>
          </w:p>
        </w:tc>
        <w:tc>
          <w:tcPr>
            <w:tcW w:w="721" w:type="dxa"/>
            <w:vAlign w:val="center"/>
          </w:tcPr>
          <w:p w14:paraId="731C4327">
            <w:pPr>
              <w:jc w:val="center"/>
              <w:rPr>
                <w:rFonts w:hint="eastAsia" w:ascii="宋体" w:hAnsi="宋体"/>
                <w:color w:val="auto"/>
                <w:sz w:val="18"/>
                <w:szCs w:val="21"/>
                <w:highlight w:val="none"/>
              </w:rPr>
            </w:pPr>
          </w:p>
        </w:tc>
        <w:tc>
          <w:tcPr>
            <w:tcW w:w="719" w:type="dxa"/>
            <w:vAlign w:val="center"/>
          </w:tcPr>
          <w:p w14:paraId="1E492050">
            <w:pPr>
              <w:jc w:val="center"/>
              <w:rPr>
                <w:rFonts w:hint="eastAsia" w:ascii="宋体" w:hAnsi="宋体"/>
                <w:color w:val="auto"/>
                <w:sz w:val="18"/>
                <w:szCs w:val="21"/>
                <w:highlight w:val="none"/>
              </w:rPr>
            </w:pPr>
          </w:p>
        </w:tc>
        <w:tc>
          <w:tcPr>
            <w:tcW w:w="1260" w:type="dxa"/>
            <w:vAlign w:val="center"/>
          </w:tcPr>
          <w:p w14:paraId="76695B53">
            <w:pPr>
              <w:jc w:val="center"/>
              <w:rPr>
                <w:rFonts w:hint="eastAsia" w:ascii="宋体" w:hAnsi="宋体"/>
                <w:color w:val="auto"/>
                <w:sz w:val="18"/>
                <w:szCs w:val="21"/>
                <w:highlight w:val="none"/>
              </w:rPr>
            </w:pPr>
          </w:p>
        </w:tc>
        <w:tc>
          <w:tcPr>
            <w:tcW w:w="900" w:type="dxa"/>
            <w:vAlign w:val="center"/>
          </w:tcPr>
          <w:p w14:paraId="42E17D2F">
            <w:pPr>
              <w:jc w:val="center"/>
              <w:rPr>
                <w:rFonts w:hint="eastAsia" w:ascii="宋体" w:hAnsi="宋体"/>
                <w:color w:val="auto"/>
                <w:sz w:val="18"/>
                <w:szCs w:val="21"/>
                <w:highlight w:val="none"/>
              </w:rPr>
            </w:pPr>
          </w:p>
        </w:tc>
        <w:tc>
          <w:tcPr>
            <w:tcW w:w="1800" w:type="dxa"/>
            <w:vAlign w:val="center"/>
          </w:tcPr>
          <w:p w14:paraId="5F8C3BA1">
            <w:pPr>
              <w:jc w:val="center"/>
              <w:rPr>
                <w:rFonts w:hint="eastAsia" w:ascii="宋体" w:hAnsi="宋体"/>
                <w:color w:val="auto"/>
                <w:sz w:val="18"/>
                <w:szCs w:val="21"/>
                <w:highlight w:val="none"/>
              </w:rPr>
            </w:pPr>
          </w:p>
        </w:tc>
        <w:tc>
          <w:tcPr>
            <w:tcW w:w="1082" w:type="dxa"/>
            <w:vAlign w:val="center"/>
          </w:tcPr>
          <w:p w14:paraId="21D87B3D">
            <w:pPr>
              <w:jc w:val="center"/>
              <w:rPr>
                <w:rFonts w:hint="eastAsia" w:ascii="宋体" w:hAnsi="宋体"/>
                <w:color w:val="auto"/>
                <w:sz w:val="18"/>
                <w:szCs w:val="21"/>
                <w:highlight w:val="none"/>
              </w:rPr>
            </w:pPr>
          </w:p>
        </w:tc>
        <w:tc>
          <w:tcPr>
            <w:tcW w:w="1392" w:type="dxa"/>
            <w:vAlign w:val="center"/>
          </w:tcPr>
          <w:p w14:paraId="08FC8E48">
            <w:pPr>
              <w:jc w:val="center"/>
              <w:rPr>
                <w:rFonts w:hint="eastAsia" w:ascii="宋体" w:hAnsi="宋体"/>
                <w:color w:val="auto"/>
                <w:sz w:val="18"/>
                <w:szCs w:val="21"/>
                <w:highlight w:val="none"/>
              </w:rPr>
            </w:pPr>
          </w:p>
        </w:tc>
      </w:tr>
      <w:tr w14:paraId="5440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62BCAB3">
            <w:pPr>
              <w:jc w:val="center"/>
              <w:rPr>
                <w:rFonts w:hint="eastAsia" w:ascii="宋体" w:hAnsi="宋体"/>
                <w:color w:val="auto"/>
                <w:sz w:val="18"/>
                <w:szCs w:val="21"/>
                <w:highlight w:val="none"/>
              </w:rPr>
            </w:pPr>
          </w:p>
        </w:tc>
        <w:tc>
          <w:tcPr>
            <w:tcW w:w="721" w:type="dxa"/>
            <w:vAlign w:val="center"/>
          </w:tcPr>
          <w:p w14:paraId="390C2977">
            <w:pPr>
              <w:jc w:val="center"/>
              <w:rPr>
                <w:rFonts w:hint="eastAsia" w:ascii="宋体" w:hAnsi="宋体"/>
                <w:color w:val="auto"/>
                <w:sz w:val="18"/>
                <w:szCs w:val="21"/>
                <w:highlight w:val="none"/>
              </w:rPr>
            </w:pPr>
          </w:p>
        </w:tc>
        <w:tc>
          <w:tcPr>
            <w:tcW w:w="719" w:type="dxa"/>
            <w:vAlign w:val="center"/>
          </w:tcPr>
          <w:p w14:paraId="229F9E69">
            <w:pPr>
              <w:jc w:val="center"/>
              <w:rPr>
                <w:rFonts w:hint="eastAsia" w:ascii="宋体" w:hAnsi="宋体"/>
                <w:color w:val="auto"/>
                <w:sz w:val="18"/>
                <w:szCs w:val="21"/>
                <w:highlight w:val="none"/>
              </w:rPr>
            </w:pPr>
          </w:p>
        </w:tc>
        <w:tc>
          <w:tcPr>
            <w:tcW w:w="1260" w:type="dxa"/>
            <w:vAlign w:val="center"/>
          </w:tcPr>
          <w:p w14:paraId="608CF65D">
            <w:pPr>
              <w:jc w:val="center"/>
              <w:rPr>
                <w:rFonts w:hint="eastAsia" w:ascii="宋体" w:hAnsi="宋体"/>
                <w:color w:val="auto"/>
                <w:sz w:val="18"/>
                <w:szCs w:val="21"/>
                <w:highlight w:val="none"/>
              </w:rPr>
            </w:pPr>
          </w:p>
        </w:tc>
        <w:tc>
          <w:tcPr>
            <w:tcW w:w="900" w:type="dxa"/>
            <w:vAlign w:val="center"/>
          </w:tcPr>
          <w:p w14:paraId="1AD42DEC">
            <w:pPr>
              <w:jc w:val="center"/>
              <w:rPr>
                <w:rFonts w:hint="eastAsia" w:ascii="宋体" w:hAnsi="宋体"/>
                <w:color w:val="auto"/>
                <w:sz w:val="18"/>
                <w:szCs w:val="21"/>
                <w:highlight w:val="none"/>
              </w:rPr>
            </w:pPr>
          </w:p>
        </w:tc>
        <w:tc>
          <w:tcPr>
            <w:tcW w:w="1800" w:type="dxa"/>
            <w:vAlign w:val="center"/>
          </w:tcPr>
          <w:p w14:paraId="58F26BEF">
            <w:pPr>
              <w:jc w:val="center"/>
              <w:rPr>
                <w:rFonts w:hint="eastAsia" w:ascii="宋体" w:hAnsi="宋体"/>
                <w:color w:val="auto"/>
                <w:sz w:val="18"/>
                <w:szCs w:val="21"/>
                <w:highlight w:val="none"/>
              </w:rPr>
            </w:pPr>
          </w:p>
        </w:tc>
        <w:tc>
          <w:tcPr>
            <w:tcW w:w="1082" w:type="dxa"/>
            <w:vAlign w:val="center"/>
          </w:tcPr>
          <w:p w14:paraId="67238850">
            <w:pPr>
              <w:jc w:val="center"/>
              <w:rPr>
                <w:rFonts w:hint="eastAsia" w:ascii="宋体" w:hAnsi="宋体"/>
                <w:color w:val="auto"/>
                <w:sz w:val="18"/>
                <w:szCs w:val="21"/>
                <w:highlight w:val="none"/>
              </w:rPr>
            </w:pPr>
          </w:p>
        </w:tc>
        <w:tc>
          <w:tcPr>
            <w:tcW w:w="1392" w:type="dxa"/>
            <w:vAlign w:val="center"/>
          </w:tcPr>
          <w:p w14:paraId="593152C2">
            <w:pPr>
              <w:jc w:val="center"/>
              <w:rPr>
                <w:rFonts w:hint="eastAsia" w:ascii="宋体" w:hAnsi="宋体"/>
                <w:color w:val="auto"/>
                <w:sz w:val="18"/>
                <w:szCs w:val="21"/>
                <w:highlight w:val="none"/>
              </w:rPr>
            </w:pPr>
          </w:p>
        </w:tc>
      </w:tr>
      <w:tr w14:paraId="4573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12C1845">
            <w:pPr>
              <w:jc w:val="center"/>
              <w:rPr>
                <w:rFonts w:hint="eastAsia" w:ascii="宋体" w:hAnsi="宋体"/>
                <w:color w:val="auto"/>
                <w:sz w:val="18"/>
                <w:szCs w:val="21"/>
                <w:highlight w:val="none"/>
              </w:rPr>
            </w:pPr>
          </w:p>
        </w:tc>
        <w:tc>
          <w:tcPr>
            <w:tcW w:w="721" w:type="dxa"/>
            <w:vAlign w:val="center"/>
          </w:tcPr>
          <w:p w14:paraId="23ABF3D9">
            <w:pPr>
              <w:jc w:val="center"/>
              <w:rPr>
                <w:rFonts w:hint="eastAsia" w:ascii="宋体" w:hAnsi="宋体"/>
                <w:color w:val="auto"/>
                <w:sz w:val="18"/>
                <w:szCs w:val="21"/>
                <w:highlight w:val="none"/>
              </w:rPr>
            </w:pPr>
          </w:p>
        </w:tc>
        <w:tc>
          <w:tcPr>
            <w:tcW w:w="719" w:type="dxa"/>
            <w:vAlign w:val="center"/>
          </w:tcPr>
          <w:p w14:paraId="16B68B13">
            <w:pPr>
              <w:jc w:val="center"/>
              <w:rPr>
                <w:rFonts w:hint="eastAsia" w:ascii="宋体" w:hAnsi="宋体"/>
                <w:color w:val="auto"/>
                <w:sz w:val="18"/>
                <w:szCs w:val="21"/>
                <w:highlight w:val="none"/>
              </w:rPr>
            </w:pPr>
          </w:p>
        </w:tc>
        <w:tc>
          <w:tcPr>
            <w:tcW w:w="1260" w:type="dxa"/>
            <w:vAlign w:val="center"/>
          </w:tcPr>
          <w:p w14:paraId="74021710">
            <w:pPr>
              <w:jc w:val="center"/>
              <w:rPr>
                <w:rFonts w:hint="eastAsia" w:ascii="宋体" w:hAnsi="宋体"/>
                <w:color w:val="auto"/>
                <w:sz w:val="18"/>
                <w:szCs w:val="21"/>
                <w:highlight w:val="none"/>
              </w:rPr>
            </w:pPr>
          </w:p>
        </w:tc>
        <w:tc>
          <w:tcPr>
            <w:tcW w:w="900" w:type="dxa"/>
            <w:vAlign w:val="center"/>
          </w:tcPr>
          <w:p w14:paraId="0F3BC5BD">
            <w:pPr>
              <w:jc w:val="center"/>
              <w:rPr>
                <w:rFonts w:hint="eastAsia" w:ascii="宋体" w:hAnsi="宋体"/>
                <w:color w:val="auto"/>
                <w:sz w:val="18"/>
                <w:szCs w:val="21"/>
                <w:highlight w:val="none"/>
              </w:rPr>
            </w:pPr>
          </w:p>
        </w:tc>
        <w:tc>
          <w:tcPr>
            <w:tcW w:w="1800" w:type="dxa"/>
            <w:vAlign w:val="center"/>
          </w:tcPr>
          <w:p w14:paraId="031DA022">
            <w:pPr>
              <w:jc w:val="center"/>
              <w:rPr>
                <w:rFonts w:hint="eastAsia" w:ascii="宋体" w:hAnsi="宋体"/>
                <w:color w:val="auto"/>
                <w:sz w:val="18"/>
                <w:szCs w:val="21"/>
                <w:highlight w:val="none"/>
              </w:rPr>
            </w:pPr>
          </w:p>
        </w:tc>
        <w:tc>
          <w:tcPr>
            <w:tcW w:w="1082" w:type="dxa"/>
            <w:vAlign w:val="center"/>
          </w:tcPr>
          <w:p w14:paraId="2294DBDF">
            <w:pPr>
              <w:jc w:val="center"/>
              <w:rPr>
                <w:rFonts w:hint="eastAsia" w:ascii="宋体" w:hAnsi="宋体"/>
                <w:color w:val="auto"/>
                <w:sz w:val="18"/>
                <w:szCs w:val="21"/>
                <w:highlight w:val="none"/>
              </w:rPr>
            </w:pPr>
          </w:p>
        </w:tc>
        <w:tc>
          <w:tcPr>
            <w:tcW w:w="1392" w:type="dxa"/>
            <w:vAlign w:val="center"/>
          </w:tcPr>
          <w:p w14:paraId="43C3B13C">
            <w:pPr>
              <w:jc w:val="center"/>
              <w:rPr>
                <w:rFonts w:hint="eastAsia" w:ascii="宋体" w:hAnsi="宋体"/>
                <w:color w:val="auto"/>
                <w:sz w:val="18"/>
                <w:szCs w:val="21"/>
                <w:highlight w:val="none"/>
              </w:rPr>
            </w:pPr>
          </w:p>
        </w:tc>
      </w:tr>
      <w:tr w14:paraId="667D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00333D9">
            <w:pPr>
              <w:jc w:val="center"/>
              <w:rPr>
                <w:rFonts w:hint="eastAsia" w:ascii="宋体" w:hAnsi="宋体"/>
                <w:color w:val="auto"/>
                <w:sz w:val="18"/>
                <w:szCs w:val="21"/>
                <w:highlight w:val="none"/>
              </w:rPr>
            </w:pPr>
          </w:p>
        </w:tc>
        <w:tc>
          <w:tcPr>
            <w:tcW w:w="721" w:type="dxa"/>
            <w:vAlign w:val="center"/>
          </w:tcPr>
          <w:p w14:paraId="45E8ED9D">
            <w:pPr>
              <w:jc w:val="center"/>
              <w:rPr>
                <w:rFonts w:hint="eastAsia" w:ascii="宋体" w:hAnsi="宋体"/>
                <w:color w:val="auto"/>
                <w:sz w:val="18"/>
                <w:szCs w:val="21"/>
                <w:highlight w:val="none"/>
              </w:rPr>
            </w:pPr>
          </w:p>
        </w:tc>
        <w:tc>
          <w:tcPr>
            <w:tcW w:w="719" w:type="dxa"/>
            <w:vAlign w:val="center"/>
          </w:tcPr>
          <w:p w14:paraId="13F07B87">
            <w:pPr>
              <w:jc w:val="center"/>
              <w:rPr>
                <w:rFonts w:hint="eastAsia" w:ascii="宋体" w:hAnsi="宋体"/>
                <w:color w:val="auto"/>
                <w:sz w:val="18"/>
                <w:szCs w:val="21"/>
                <w:highlight w:val="none"/>
              </w:rPr>
            </w:pPr>
          </w:p>
        </w:tc>
        <w:tc>
          <w:tcPr>
            <w:tcW w:w="1260" w:type="dxa"/>
            <w:vAlign w:val="center"/>
          </w:tcPr>
          <w:p w14:paraId="0BBF9535">
            <w:pPr>
              <w:jc w:val="center"/>
              <w:rPr>
                <w:rFonts w:hint="eastAsia" w:ascii="宋体" w:hAnsi="宋体"/>
                <w:color w:val="auto"/>
                <w:sz w:val="18"/>
                <w:szCs w:val="21"/>
                <w:highlight w:val="none"/>
              </w:rPr>
            </w:pPr>
          </w:p>
        </w:tc>
        <w:tc>
          <w:tcPr>
            <w:tcW w:w="900" w:type="dxa"/>
            <w:vAlign w:val="center"/>
          </w:tcPr>
          <w:p w14:paraId="4FCBB758">
            <w:pPr>
              <w:jc w:val="center"/>
              <w:rPr>
                <w:rFonts w:hint="eastAsia" w:ascii="宋体" w:hAnsi="宋体"/>
                <w:color w:val="auto"/>
                <w:sz w:val="18"/>
                <w:szCs w:val="21"/>
                <w:highlight w:val="none"/>
              </w:rPr>
            </w:pPr>
          </w:p>
        </w:tc>
        <w:tc>
          <w:tcPr>
            <w:tcW w:w="1800" w:type="dxa"/>
            <w:vAlign w:val="center"/>
          </w:tcPr>
          <w:p w14:paraId="5545816F">
            <w:pPr>
              <w:jc w:val="center"/>
              <w:rPr>
                <w:rFonts w:hint="eastAsia" w:ascii="宋体" w:hAnsi="宋体"/>
                <w:color w:val="auto"/>
                <w:sz w:val="18"/>
                <w:szCs w:val="21"/>
                <w:highlight w:val="none"/>
              </w:rPr>
            </w:pPr>
          </w:p>
        </w:tc>
        <w:tc>
          <w:tcPr>
            <w:tcW w:w="1082" w:type="dxa"/>
            <w:vAlign w:val="center"/>
          </w:tcPr>
          <w:p w14:paraId="668370B0">
            <w:pPr>
              <w:jc w:val="center"/>
              <w:rPr>
                <w:rFonts w:hint="eastAsia" w:ascii="宋体" w:hAnsi="宋体"/>
                <w:color w:val="auto"/>
                <w:sz w:val="18"/>
                <w:szCs w:val="21"/>
                <w:highlight w:val="none"/>
              </w:rPr>
            </w:pPr>
          </w:p>
        </w:tc>
        <w:tc>
          <w:tcPr>
            <w:tcW w:w="1392" w:type="dxa"/>
            <w:vAlign w:val="center"/>
          </w:tcPr>
          <w:p w14:paraId="5B870952">
            <w:pPr>
              <w:jc w:val="center"/>
              <w:rPr>
                <w:rFonts w:hint="eastAsia" w:ascii="宋体" w:hAnsi="宋体"/>
                <w:color w:val="auto"/>
                <w:sz w:val="18"/>
                <w:szCs w:val="21"/>
                <w:highlight w:val="none"/>
              </w:rPr>
            </w:pPr>
          </w:p>
        </w:tc>
      </w:tr>
      <w:tr w14:paraId="40F5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59F2916">
            <w:pPr>
              <w:jc w:val="center"/>
              <w:rPr>
                <w:rFonts w:hint="eastAsia" w:ascii="宋体" w:hAnsi="宋体"/>
                <w:color w:val="auto"/>
                <w:sz w:val="18"/>
                <w:szCs w:val="21"/>
                <w:highlight w:val="none"/>
              </w:rPr>
            </w:pPr>
          </w:p>
        </w:tc>
        <w:tc>
          <w:tcPr>
            <w:tcW w:w="721" w:type="dxa"/>
            <w:vAlign w:val="center"/>
          </w:tcPr>
          <w:p w14:paraId="75F829D9">
            <w:pPr>
              <w:jc w:val="center"/>
              <w:rPr>
                <w:rFonts w:hint="eastAsia" w:ascii="宋体" w:hAnsi="宋体"/>
                <w:color w:val="auto"/>
                <w:sz w:val="18"/>
                <w:szCs w:val="21"/>
                <w:highlight w:val="none"/>
              </w:rPr>
            </w:pPr>
          </w:p>
        </w:tc>
        <w:tc>
          <w:tcPr>
            <w:tcW w:w="719" w:type="dxa"/>
            <w:vAlign w:val="center"/>
          </w:tcPr>
          <w:p w14:paraId="4C6A6996">
            <w:pPr>
              <w:jc w:val="center"/>
              <w:rPr>
                <w:rFonts w:hint="eastAsia" w:ascii="宋体" w:hAnsi="宋体"/>
                <w:color w:val="auto"/>
                <w:sz w:val="18"/>
                <w:szCs w:val="21"/>
                <w:highlight w:val="none"/>
              </w:rPr>
            </w:pPr>
          </w:p>
        </w:tc>
        <w:tc>
          <w:tcPr>
            <w:tcW w:w="1260" w:type="dxa"/>
            <w:vAlign w:val="center"/>
          </w:tcPr>
          <w:p w14:paraId="29616DCB">
            <w:pPr>
              <w:jc w:val="center"/>
              <w:rPr>
                <w:rFonts w:hint="eastAsia" w:ascii="宋体" w:hAnsi="宋体"/>
                <w:color w:val="auto"/>
                <w:sz w:val="18"/>
                <w:szCs w:val="21"/>
                <w:highlight w:val="none"/>
              </w:rPr>
            </w:pPr>
          </w:p>
        </w:tc>
        <w:tc>
          <w:tcPr>
            <w:tcW w:w="900" w:type="dxa"/>
            <w:vAlign w:val="center"/>
          </w:tcPr>
          <w:p w14:paraId="19BDD778">
            <w:pPr>
              <w:jc w:val="center"/>
              <w:rPr>
                <w:rFonts w:hint="eastAsia" w:ascii="宋体" w:hAnsi="宋体"/>
                <w:color w:val="auto"/>
                <w:sz w:val="18"/>
                <w:szCs w:val="21"/>
                <w:highlight w:val="none"/>
              </w:rPr>
            </w:pPr>
          </w:p>
        </w:tc>
        <w:tc>
          <w:tcPr>
            <w:tcW w:w="1800" w:type="dxa"/>
            <w:vAlign w:val="center"/>
          </w:tcPr>
          <w:p w14:paraId="22FFDE74">
            <w:pPr>
              <w:jc w:val="center"/>
              <w:rPr>
                <w:rFonts w:hint="eastAsia" w:ascii="宋体" w:hAnsi="宋体"/>
                <w:color w:val="auto"/>
                <w:sz w:val="18"/>
                <w:szCs w:val="21"/>
                <w:highlight w:val="none"/>
              </w:rPr>
            </w:pPr>
          </w:p>
        </w:tc>
        <w:tc>
          <w:tcPr>
            <w:tcW w:w="1082" w:type="dxa"/>
            <w:vAlign w:val="center"/>
          </w:tcPr>
          <w:p w14:paraId="4D05C309">
            <w:pPr>
              <w:jc w:val="center"/>
              <w:rPr>
                <w:rFonts w:hint="eastAsia" w:ascii="宋体" w:hAnsi="宋体"/>
                <w:color w:val="auto"/>
                <w:sz w:val="18"/>
                <w:szCs w:val="21"/>
                <w:highlight w:val="none"/>
              </w:rPr>
            </w:pPr>
          </w:p>
        </w:tc>
        <w:tc>
          <w:tcPr>
            <w:tcW w:w="1392" w:type="dxa"/>
            <w:vAlign w:val="center"/>
          </w:tcPr>
          <w:p w14:paraId="71180144">
            <w:pPr>
              <w:jc w:val="center"/>
              <w:rPr>
                <w:rFonts w:hint="eastAsia" w:ascii="宋体" w:hAnsi="宋体"/>
                <w:color w:val="auto"/>
                <w:sz w:val="18"/>
                <w:szCs w:val="21"/>
                <w:highlight w:val="none"/>
              </w:rPr>
            </w:pPr>
          </w:p>
        </w:tc>
      </w:tr>
      <w:tr w14:paraId="4C79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39A59C3">
            <w:pPr>
              <w:jc w:val="center"/>
              <w:rPr>
                <w:rFonts w:hint="eastAsia" w:ascii="宋体" w:hAnsi="宋体"/>
                <w:color w:val="auto"/>
                <w:sz w:val="18"/>
                <w:szCs w:val="21"/>
                <w:highlight w:val="none"/>
              </w:rPr>
            </w:pPr>
          </w:p>
        </w:tc>
        <w:tc>
          <w:tcPr>
            <w:tcW w:w="721" w:type="dxa"/>
            <w:vAlign w:val="center"/>
          </w:tcPr>
          <w:p w14:paraId="73725638">
            <w:pPr>
              <w:jc w:val="center"/>
              <w:rPr>
                <w:rFonts w:hint="eastAsia" w:ascii="宋体" w:hAnsi="宋体"/>
                <w:color w:val="auto"/>
                <w:sz w:val="18"/>
                <w:szCs w:val="21"/>
                <w:highlight w:val="none"/>
              </w:rPr>
            </w:pPr>
          </w:p>
        </w:tc>
        <w:tc>
          <w:tcPr>
            <w:tcW w:w="719" w:type="dxa"/>
            <w:vAlign w:val="center"/>
          </w:tcPr>
          <w:p w14:paraId="04628E05">
            <w:pPr>
              <w:jc w:val="center"/>
              <w:rPr>
                <w:rFonts w:hint="eastAsia" w:ascii="宋体" w:hAnsi="宋体"/>
                <w:color w:val="auto"/>
                <w:sz w:val="18"/>
                <w:szCs w:val="21"/>
                <w:highlight w:val="none"/>
              </w:rPr>
            </w:pPr>
          </w:p>
        </w:tc>
        <w:tc>
          <w:tcPr>
            <w:tcW w:w="1260" w:type="dxa"/>
            <w:vAlign w:val="center"/>
          </w:tcPr>
          <w:p w14:paraId="53EF0A0A">
            <w:pPr>
              <w:jc w:val="center"/>
              <w:rPr>
                <w:rFonts w:hint="eastAsia" w:ascii="宋体" w:hAnsi="宋体"/>
                <w:color w:val="auto"/>
                <w:sz w:val="18"/>
                <w:szCs w:val="21"/>
                <w:highlight w:val="none"/>
              </w:rPr>
            </w:pPr>
          </w:p>
        </w:tc>
        <w:tc>
          <w:tcPr>
            <w:tcW w:w="900" w:type="dxa"/>
            <w:vAlign w:val="center"/>
          </w:tcPr>
          <w:p w14:paraId="146112A1">
            <w:pPr>
              <w:jc w:val="center"/>
              <w:rPr>
                <w:rFonts w:hint="eastAsia" w:ascii="宋体" w:hAnsi="宋体"/>
                <w:color w:val="auto"/>
                <w:sz w:val="18"/>
                <w:szCs w:val="21"/>
                <w:highlight w:val="none"/>
              </w:rPr>
            </w:pPr>
          </w:p>
        </w:tc>
        <w:tc>
          <w:tcPr>
            <w:tcW w:w="1800" w:type="dxa"/>
            <w:vAlign w:val="center"/>
          </w:tcPr>
          <w:p w14:paraId="6B145AAA">
            <w:pPr>
              <w:jc w:val="center"/>
              <w:rPr>
                <w:rFonts w:hint="eastAsia" w:ascii="宋体" w:hAnsi="宋体"/>
                <w:color w:val="auto"/>
                <w:sz w:val="18"/>
                <w:szCs w:val="21"/>
                <w:highlight w:val="none"/>
              </w:rPr>
            </w:pPr>
          </w:p>
        </w:tc>
        <w:tc>
          <w:tcPr>
            <w:tcW w:w="1082" w:type="dxa"/>
            <w:vAlign w:val="center"/>
          </w:tcPr>
          <w:p w14:paraId="06E72419">
            <w:pPr>
              <w:jc w:val="center"/>
              <w:rPr>
                <w:rFonts w:hint="eastAsia" w:ascii="宋体" w:hAnsi="宋体"/>
                <w:color w:val="auto"/>
                <w:sz w:val="18"/>
                <w:szCs w:val="21"/>
                <w:highlight w:val="none"/>
              </w:rPr>
            </w:pPr>
          </w:p>
        </w:tc>
        <w:tc>
          <w:tcPr>
            <w:tcW w:w="1392" w:type="dxa"/>
            <w:vAlign w:val="center"/>
          </w:tcPr>
          <w:p w14:paraId="6C607BC4">
            <w:pPr>
              <w:jc w:val="center"/>
              <w:rPr>
                <w:rFonts w:hint="eastAsia" w:ascii="宋体" w:hAnsi="宋体"/>
                <w:color w:val="auto"/>
                <w:sz w:val="18"/>
                <w:szCs w:val="21"/>
                <w:highlight w:val="none"/>
              </w:rPr>
            </w:pPr>
          </w:p>
        </w:tc>
      </w:tr>
    </w:tbl>
    <w:p w14:paraId="590B360B">
      <w:pPr>
        <w:rPr>
          <w:rFonts w:hint="eastAsia" w:ascii="宋体" w:hAnsi="宋体" w:cs="宋体"/>
          <w:color w:val="auto"/>
          <w:szCs w:val="21"/>
          <w:highlight w:val="none"/>
        </w:rPr>
      </w:pPr>
    </w:p>
    <w:p w14:paraId="1E2536F0">
      <w:pPr>
        <w:jc w:val="center"/>
        <w:outlineLvl w:val="2"/>
        <w:rPr>
          <w:rFonts w:hint="eastAsia" w:ascii="宋体" w:hAnsi="宋体"/>
          <w:b/>
          <w:color w:val="auto"/>
          <w:highlight w:val="none"/>
        </w:rPr>
      </w:pPr>
    </w:p>
    <w:p w14:paraId="14B96118">
      <w:pPr>
        <w:spacing w:before="156" w:beforeLines="50" w:after="156" w:afterLines="50" w:line="360" w:lineRule="auto"/>
        <w:ind w:right="46" w:rightChars="22" w:firstLine="480"/>
        <w:jc w:val="righ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（盖投标人单位章）</w:t>
      </w:r>
    </w:p>
    <w:p w14:paraId="26CE8945">
      <w:pPr>
        <w:spacing w:before="156" w:beforeLines="50" w:after="156" w:afterLines="50" w:line="360" w:lineRule="auto"/>
        <w:ind w:right="46" w:rightChars="22" w:firstLine="480"/>
        <w:jc w:val="right"/>
        <w:rPr>
          <w:rFonts w:hint="eastAsia" w:ascii="宋体" w:hAnsi="宋体" w:cs="宋体"/>
          <w:color w:val="auto"/>
          <w:szCs w:val="21"/>
          <w:highlight w:val="none"/>
        </w:rPr>
      </w:pPr>
      <w:r>
        <w:rPr>
          <w:rFonts w:hint="eastAsia" w:ascii="宋体" w:hAnsi="宋体" w:cs="宋体"/>
          <w:color w:val="auto"/>
          <w:szCs w:val="21"/>
          <w:highlight w:val="none"/>
        </w:rPr>
        <w:t>投标人法定代表人或其委托代理人：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（签字或签章）</w:t>
      </w:r>
    </w:p>
    <w:p w14:paraId="5C74F4B5">
      <w:pPr>
        <w:spacing w:line="440" w:lineRule="exact"/>
        <w:ind w:left="315" w:hanging="315" w:hangingChars="150"/>
        <w:jc w:val="right"/>
        <w:rPr>
          <w:rFonts w:hint="eastAsia" w:ascii="宋体" w:hAnsi="宋体"/>
          <w:color w:val="auto"/>
          <w:sz w:val="16"/>
          <w:szCs w:val="16"/>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DDC9907">
      <w:pPr>
        <w:jc w:val="center"/>
        <w:outlineLvl w:val="2"/>
        <w:rPr>
          <w:rFonts w:hint="eastAsia" w:ascii="宋体" w:hAnsi="宋体"/>
          <w:b/>
          <w:color w:val="auto"/>
          <w:highlight w:val="none"/>
        </w:rPr>
      </w:pPr>
      <w:r>
        <w:rPr>
          <w:rFonts w:ascii="宋体" w:hAnsi="宋体"/>
          <w:b/>
          <w:color w:val="auto"/>
          <w:highlight w:val="none"/>
        </w:rPr>
        <w:br w:type="page"/>
      </w:r>
      <w:bookmarkStart w:id="1496" w:name="_Toc14552"/>
      <w:bookmarkStart w:id="1497" w:name="_Toc14060"/>
      <w:bookmarkStart w:id="1498" w:name="_Toc13320"/>
      <w:bookmarkStart w:id="1499" w:name="_Toc26362"/>
      <w:r>
        <w:rPr>
          <w:rFonts w:hint="eastAsia" w:ascii="宋体" w:hAnsi="宋体" w:cs="宋体"/>
          <w:b/>
          <w:color w:val="auto"/>
          <w:sz w:val="28"/>
          <w:szCs w:val="28"/>
          <w:highlight w:val="none"/>
        </w:rPr>
        <w:t>（三）主要人员简历表</w:t>
      </w:r>
      <w:bookmarkEnd w:id="1496"/>
      <w:bookmarkEnd w:id="1497"/>
      <w:bookmarkEnd w:id="1498"/>
      <w:bookmarkEnd w:id="149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362"/>
        <w:gridCol w:w="1934"/>
      </w:tblGrid>
      <w:tr w14:paraId="52EE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62E749C7">
            <w:pPr>
              <w:jc w:val="center"/>
              <w:rPr>
                <w:rFonts w:hint="eastAsia" w:ascii="宋体" w:hAnsi="宋体"/>
                <w:color w:val="auto"/>
                <w:szCs w:val="21"/>
                <w:highlight w:val="none"/>
              </w:rPr>
            </w:pPr>
            <w:bookmarkStart w:id="1500" w:name="_Toc221952129"/>
            <w:r>
              <w:rPr>
                <w:rFonts w:ascii="宋体" w:hAnsi="宋体"/>
                <w:color w:val="auto"/>
                <w:szCs w:val="21"/>
                <w:highlight w:val="none"/>
              </w:rPr>
              <w:t>姓  名</w:t>
            </w:r>
            <w:bookmarkEnd w:id="1500"/>
          </w:p>
        </w:tc>
        <w:tc>
          <w:tcPr>
            <w:tcW w:w="1079" w:type="dxa"/>
            <w:gridSpan w:val="2"/>
            <w:vAlign w:val="center"/>
          </w:tcPr>
          <w:p w14:paraId="5E0645E3">
            <w:pPr>
              <w:jc w:val="center"/>
              <w:rPr>
                <w:rFonts w:hint="eastAsia" w:ascii="宋体" w:hAnsi="宋体"/>
                <w:color w:val="auto"/>
                <w:szCs w:val="21"/>
                <w:highlight w:val="none"/>
              </w:rPr>
            </w:pPr>
          </w:p>
        </w:tc>
        <w:tc>
          <w:tcPr>
            <w:tcW w:w="927" w:type="dxa"/>
            <w:vAlign w:val="center"/>
          </w:tcPr>
          <w:p w14:paraId="31B3F334">
            <w:pPr>
              <w:jc w:val="center"/>
              <w:rPr>
                <w:rFonts w:hint="eastAsia" w:ascii="宋体" w:hAnsi="宋体"/>
                <w:color w:val="auto"/>
                <w:szCs w:val="21"/>
                <w:highlight w:val="none"/>
              </w:rPr>
            </w:pPr>
            <w:bookmarkStart w:id="1501" w:name="_Toc221952130"/>
            <w:r>
              <w:rPr>
                <w:rFonts w:ascii="宋体" w:hAnsi="宋体"/>
                <w:color w:val="auto"/>
                <w:szCs w:val="21"/>
                <w:highlight w:val="none"/>
              </w:rPr>
              <w:t>年 龄</w:t>
            </w:r>
            <w:bookmarkEnd w:id="1501"/>
          </w:p>
        </w:tc>
        <w:tc>
          <w:tcPr>
            <w:tcW w:w="1065" w:type="dxa"/>
            <w:vAlign w:val="center"/>
          </w:tcPr>
          <w:p w14:paraId="5F85CE48">
            <w:pPr>
              <w:jc w:val="center"/>
              <w:rPr>
                <w:rFonts w:hint="eastAsia" w:ascii="宋体" w:hAnsi="宋体"/>
                <w:color w:val="auto"/>
                <w:szCs w:val="21"/>
                <w:highlight w:val="none"/>
              </w:rPr>
            </w:pPr>
          </w:p>
        </w:tc>
        <w:tc>
          <w:tcPr>
            <w:tcW w:w="2331" w:type="dxa"/>
            <w:gridSpan w:val="3"/>
            <w:vAlign w:val="center"/>
          </w:tcPr>
          <w:p w14:paraId="2B47896F">
            <w:pPr>
              <w:jc w:val="center"/>
              <w:rPr>
                <w:rFonts w:hint="eastAsia" w:ascii="宋体" w:hAnsi="宋体"/>
                <w:color w:val="auto"/>
                <w:szCs w:val="21"/>
                <w:highlight w:val="none"/>
              </w:rPr>
            </w:pPr>
            <w:bookmarkStart w:id="1502" w:name="_Toc221952131"/>
            <w:r>
              <w:rPr>
                <w:rFonts w:ascii="宋体" w:hAnsi="宋体"/>
                <w:color w:val="auto"/>
                <w:szCs w:val="21"/>
                <w:highlight w:val="none"/>
              </w:rPr>
              <w:t>学历</w:t>
            </w:r>
            <w:bookmarkEnd w:id="1502"/>
          </w:p>
        </w:tc>
        <w:tc>
          <w:tcPr>
            <w:tcW w:w="1934" w:type="dxa"/>
            <w:vAlign w:val="center"/>
          </w:tcPr>
          <w:p w14:paraId="727022AA">
            <w:pPr>
              <w:jc w:val="center"/>
              <w:rPr>
                <w:rFonts w:hint="eastAsia" w:ascii="宋体" w:hAnsi="宋体"/>
                <w:color w:val="auto"/>
                <w:szCs w:val="21"/>
                <w:highlight w:val="none"/>
              </w:rPr>
            </w:pPr>
          </w:p>
        </w:tc>
      </w:tr>
      <w:tr w14:paraId="3930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E775F6D">
            <w:pPr>
              <w:jc w:val="center"/>
              <w:rPr>
                <w:rFonts w:hint="eastAsia" w:ascii="宋体" w:hAnsi="宋体"/>
                <w:color w:val="auto"/>
                <w:szCs w:val="21"/>
                <w:highlight w:val="none"/>
              </w:rPr>
            </w:pPr>
            <w:r>
              <w:rPr>
                <w:rFonts w:hint="eastAsia" w:ascii="宋体" w:hAnsi="宋体"/>
                <w:color w:val="auto"/>
                <w:szCs w:val="21"/>
                <w:highlight w:val="none"/>
              </w:rPr>
              <w:t>执业资格</w:t>
            </w:r>
          </w:p>
        </w:tc>
        <w:tc>
          <w:tcPr>
            <w:tcW w:w="3071" w:type="dxa"/>
            <w:gridSpan w:val="4"/>
            <w:vAlign w:val="center"/>
          </w:tcPr>
          <w:p w14:paraId="3494AEC4">
            <w:pPr>
              <w:jc w:val="center"/>
              <w:rPr>
                <w:rFonts w:hint="eastAsia" w:ascii="宋体" w:hAnsi="宋体"/>
                <w:color w:val="auto"/>
                <w:szCs w:val="21"/>
                <w:highlight w:val="none"/>
              </w:rPr>
            </w:pPr>
          </w:p>
        </w:tc>
        <w:tc>
          <w:tcPr>
            <w:tcW w:w="2331" w:type="dxa"/>
            <w:gridSpan w:val="3"/>
            <w:vAlign w:val="center"/>
          </w:tcPr>
          <w:p w14:paraId="47016AB2">
            <w:pPr>
              <w:jc w:val="center"/>
              <w:rPr>
                <w:rFonts w:hint="eastAsia" w:ascii="宋体" w:hAnsi="宋体"/>
                <w:color w:val="auto"/>
                <w:szCs w:val="21"/>
                <w:highlight w:val="none"/>
              </w:rPr>
            </w:pPr>
            <w:r>
              <w:rPr>
                <w:rFonts w:hint="eastAsia" w:ascii="宋体" w:hAnsi="宋体"/>
                <w:color w:val="auto"/>
                <w:szCs w:val="21"/>
                <w:highlight w:val="none"/>
              </w:rPr>
              <w:t>安全生产考核合格证书</w:t>
            </w:r>
          </w:p>
        </w:tc>
        <w:tc>
          <w:tcPr>
            <w:tcW w:w="1934" w:type="dxa"/>
            <w:vAlign w:val="center"/>
          </w:tcPr>
          <w:p w14:paraId="1C67122C">
            <w:pPr>
              <w:jc w:val="center"/>
              <w:rPr>
                <w:rFonts w:hint="eastAsia" w:ascii="宋体" w:hAnsi="宋体"/>
                <w:color w:val="auto"/>
                <w:szCs w:val="21"/>
                <w:highlight w:val="none"/>
              </w:rPr>
            </w:pPr>
          </w:p>
        </w:tc>
      </w:tr>
      <w:tr w14:paraId="14AC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2BBD30F">
            <w:pPr>
              <w:jc w:val="center"/>
              <w:rPr>
                <w:rFonts w:hint="eastAsia" w:ascii="宋体" w:hAnsi="宋体"/>
                <w:color w:val="auto"/>
                <w:szCs w:val="21"/>
                <w:highlight w:val="none"/>
              </w:rPr>
            </w:pPr>
            <w:r>
              <w:rPr>
                <w:rFonts w:hint="eastAsia" w:ascii="宋体" w:hAnsi="宋体"/>
                <w:color w:val="auto"/>
                <w:szCs w:val="21"/>
                <w:highlight w:val="none"/>
              </w:rPr>
              <w:t>职称</w:t>
            </w:r>
          </w:p>
        </w:tc>
        <w:tc>
          <w:tcPr>
            <w:tcW w:w="1079" w:type="dxa"/>
            <w:gridSpan w:val="2"/>
            <w:vAlign w:val="center"/>
          </w:tcPr>
          <w:p w14:paraId="1A9C9847">
            <w:pPr>
              <w:jc w:val="center"/>
              <w:rPr>
                <w:rFonts w:hint="eastAsia" w:ascii="宋体" w:hAnsi="宋体"/>
                <w:color w:val="auto"/>
                <w:szCs w:val="21"/>
                <w:highlight w:val="none"/>
              </w:rPr>
            </w:pPr>
          </w:p>
        </w:tc>
        <w:tc>
          <w:tcPr>
            <w:tcW w:w="927" w:type="dxa"/>
            <w:vAlign w:val="center"/>
          </w:tcPr>
          <w:p w14:paraId="048AAD9E">
            <w:pPr>
              <w:jc w:val="center"/>
              <w:rPr>
                <w:rFonts w:hint="eastAsia" w:ascii="宋体" w:hAnsi="宋体"/>
                <w:color w:val="auto"/>
                <w:szCs w:val="21"/>
                <w:highlight w:val="none"/>
              </w:rPr>
            </w:pPr>
            <w:r>
              <w:rPr>
                <w:rFonts w:hint="eastAsia" w:ascii="宋体" w:hAnsi="宋体"/>
                <w:color w:val="auto"/>
                <w:szCs w:val="21"/>
                <w:highlight w:val="none"/>
              </w:rPr>
              <w:t>职务</w:t>
            </w:r>
          </w:p>
        </w:tc>
        <w:tc>
          <w:tcPr>
            <w:tcW w:w="1065" w:type="dxa"/>
            <w:vAlign w:val="center"/>
          </w:tcPr>
          <w:p w14:paraId="5733475C">
            <w:pPr>
              <w:jc w:val="center"/>
              <w:rPr>
                <w:rFonts w:hint="eastAsia" w:ascii="宋体" w:hAnsi="宋体"/>
                <w:color w:val="auto"/>
                <w:szCs w:val="21"/>
                <w:highlight w:val="none"/>
              </w:rPr>
            </w:pPr>
          </w:p>
        </w:tc>
        <w:tc>
          <w:tcPr>
            <w:tcW w:w="2331" w:type="dxa"/>
            <w:gridSpan w:val="3"/>
            <w:vAlign w:val="center"/>
          </w:tcPr>
          <w:p w14:paraId="654580C4">
            <w:pPr>
              <w:jc w:val="center"/>
              <w:rPr>
                <w:rFonts w:hint="eastAsia" w:ascii="宋体" w:hAnsi="宋体"/>
                <w:color w:val="auto"/>
                <w:szCs w:val="21"/>
                <w:highlight w:val="none"/>
              </w:rPr>
            </w:pPr>
            <w:r>
              <w:rPr>
                <w:rFonts w:hint="eastAsia" w:ascii="宋体" w:hAnsi="宋体"/>
                <w:color w:val="auto"/>
                <w:szCs w:val="21"/>
                <w:highlight w:val="none"/>
              </w:rPr>
              <w:t>拟在本合同任职</w:t>
            </w:r>
          </w:p>
        </w:tc>
        <w:tc>
          <w:tcPr>
            <w:tcW w:w="1934" w:type="dxa"/>
            <w:vAlign w:val="center"/>
          </w:tcPr>
          <w:p w14:paraId="3669D212">
            <w:pPr>
              <w:jc w:val="center"/>
              <w:rPr>
                <w:rFonts w:hint="eastAsia" w:ascii="宋体" w:hAnsi="宋体"/>
                <w:color w:val="auto"/>
                <w:szCs w:val="21"/>
                <w:highlight w:val="none"/>
              </w:rPr>
            </w:pPr>
          </w:p>
        </w:tc>
      </w:tr>
      <w:tr w14:paraId="6AD0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2871CFE">
            <w:pPr>
              <w:jc w:val="center"/>
              <w:rPr>
                <w:rFonts w:hint="eastAsia" w:ascii="宋体" w:hAnsi="宋体"/>
                <w:color w:val="auto"/>
                <w:szCs w:val="21"/>
                <w:highlight w:val="none"/>
              </w:rPr>
            </w:pPr>
            <w:bookmarkStart w:id="1503" w:name="_Toc221952135"/>
            <w:r>
              <w:rPr>
                <w:rFonts w:ascii="宋体" w:hAnsi="宋体"/>
                <w:color w:val="auto"/>
                <w:szCs w:val="21"/>
                <w:highlight w:val="none"/>
              </w:rPr>
              <w:t>毕业学校</w:t>
            </w:r>
            <w:bookmarkEnd w:id="1503"/>
          </w:p>
        </w:tc>
        <w:tc>
          <w:tcPr>
            <w:tcW w:w="7336" w:type="dxa"/>
            <w:gridSpan w:val="8"/>
          </w:tcPr>
          <w:p w14:paraId="5470148A">
            <w:pPr>
              <w:rPr>
                <w:rFonts w:hint="eastAsia" w:ascii="宋体" w:hAnsi="宋体"/>
                <w:color w:val="auto"/>
                <w:szCs w:val="21"/>
                <w:highlight w:val="none"/>
              </w:rPr>
            </w:pPr>
            <w:r>
              <w:rPr>
                <w:rFonts w:ascii="宋体" w:hAnsi="宋体"/>
                <w:color w:val="auto"/>
                <w:szCs w:val="21"/>
                <w:highlight w:val="none"/>
              </w:rPr>
              <w:t xml:space="preserve">      </w:t>
            </w:r>
            <w:bookmarkStart w:id="1504" w:name="_Toc221952136"/>
            <w:r>
              <w:rPr>
                <w:rFonts w:ascii="宋体" w:hAnsi="宋体"/>
                <w:color w:val="auto"/>
                <w:szCs w:val="21"/>
                <w:highlight w:val="none"/>
              </w:rPr>
              <w:t>年毕业于            学校        专业</w:t>
            </w:r>
            <w:bookmarkEnd w:id="1504"/>
          </w:p>
        </w:tc>
      </w:tr>
      <w:tr w14:paraId="5E48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6705A2F0">
            <w:pPr>
              <w:jc w:val="center"/>
              <w:rPr>
                <w:rFonts w:hint="eastAsia" w:ascii="宋体" w:hAnsi="宋体"/>
                <w:color w:val="auto"/>
                <w:szCs w:val="21"/>
                <w:highlight w:val="none"/>
              </w:rPr>
            </w:pPr>
            <w:bookmarkStart w:id="1505" w:name="_Toc221952137"/>
            <w:r>
              <w:rPr>
                <w:rFonts w:ascii="宋体" w:hAnsi="宋体"/>
                <w:color w:val="auto"/>
                <w:szCs w:val="21"/>
                <w:highlight w:val="none"/>
              </w:rPr>
              <w:t>主要</w:t>
            </w:r>
            <w:r>
              <w:rPr>
                <w:rFonts w:hint="eastAsia" w:ascii="宋体" w:hAnsi="宋体"/>
                <w:color w:val="auto"/>
                <w:szCs w:val="21"/>
                <w:highlight w:val="none"/>
              </w:rPr>
              <w:t>施工管理</w:t>
            </w:r>
            <w:r>
              <w:rPr>
                <w:rFonts w:ascii="宋体" w:hAnsi="宋体"/>
                <w:color w:val="auto"/>
                <w:szCs w:val="21"/>
                <w:highlight w:val="none"/>
              </w:rPr>
              <w:t>经历</w:t>
            </w:r>
            <w:bookmarkEnd w:id="1505"/>
          </w:p>
        </w:tc>
      </w:tr>
      <w:tr w14:paraId="4EA7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27AA5CA0">
            <w:pPr>
              <w:jc w:val="center"/>
              <w:rPr>
                <w:rFonts w:hint="eastAsia" w:ascii="宋体" w:hAnsi="宋体"/>
                <w:color w:val="auto"/>
                <w:szCs w:val="21"/>
                <w:highlight w:val="none"/>
              </w:rPr>
            </w:pPr>
            <w:bookmarkStart w:id="1506" w:name="_Toc221952138"/>
            <w:r>
              <w:rPr>
                <w:rFonts w:ascii="宋体" w:hAnsi="宋体"/>
                <w:color w:val="auto"/>
                <w:szCs w:val="21"/>
                <w:highlight w:val="none"/>
              </w:rPr>
              <w:t>时  间</w:t>
            </w:r>
            <w:bookmarkEnd w:id="1506"/>
          </w:p>
        </w:tc>
        <w:tc>
          <w:tcPr>
            <w:tcW w:w="3420" w:type="dxa"/>
            <w:gridSpan w:val="4"/>
            <w:vAlign w:val="center"/>
          </w:tcPr>
          <w:p w14:paraId="4DB03CD1">
            <w:pPr>
              <w:jc w:val="center"/>
              <w:rPr>
                <w:rFonts w:hint="eastAsia" w:ascii="宋体" w:hAnsi="宋体"/>
                <w:color w:val="auto"/>
                <w:szCs w:val="21"/>
                <w:highlight w:val="none"/>
              </w:rPr>
            </w:pPr>
            <w:bookmarkStart w:id="1507" w:name="_Toc221952139"/>
            <w:r>
              <w:rPr>
                <w:rFonts w:ascii="宋体" w:hAnsi="宋体"/>
                <w:color w:val="auto"/>
                <w:szCs w:val="21"/>
                <w:highlight w:val="none"/>
              </w:rPr>
              <w:t>参加过的类似项目</w:t>
            </w:r>
            <w:bookmarkEnd w:id="1507"/>
          </w:p>
        </w:tc>
        <w:tc>
          <w:tcPr>
            <w:tcW w:w="1261" w:type="dxa"/>
            <w:vAlign w:val="center"/>
          </w:tcPr>
          <w:p w14:paraId="7D19FDD5">
            <w:pPr>
              <w:jc w:val="center"/>
              <w:rPr>
                <w:rFonts w:hint="eastAsia" w:ascii="宋体" w:hAnsi="宋体"/>
                <w:color w:val="auto"/>
                <w:szCs w:val="21"/>
                <w:highlight w:val="none"/>
              </w:rPr>
            </w:pPr>
            <w:bookmarkStart w:id="1508" w:name="_Toc221952140"/>
            <w:r>
              <w:rPr>
                <w:rFonts w:ascii="宋体" w:hAnsi="宋体"/>
                <w:color w:val="auto"/>
                <w:szCs w:val="21"/>
                <w:highlight w:val="none"/>
              </w:rPr>
              <w:t>担任职务</w:t>
            </w:r>
            <w:bookmarkEnd w:id="1508"/>
          </w:p>
        </w:tc>
        <w:tc>
          <w:tcPr>
            <w:tcW w:w="2296" w:type="dxa"/>
            <w:gridSpan w:val="2"/>
            <w:vAlign w:val="center"/>
          </w:tcPr>
          <w:p w14:paraId="692BC166">
            <w:pPr>
              <w:rPr>
                <w:rFonts w:hint="eastAsia" w:ascii="宋体" w:hAnsi="宋体"/>
                <w:color w:val="auto"/>
                <w:szCs w:val="21"/>
                <w:highlight w:val="none"/>
              </w:rPr>
            </w:pPr>
            <w:bookmarkStart w:id="1509" w:name="_Toc221952141"/>
            <w:r>
              <w:rPr>
                <w:rFonts w:ascii="宋体" w:hAnsi="宋体"/>
                <w:color w:val="auto"/>
                <w:szCs w:val="21"/>
                <w:highlight w:val="none"/>
              </w:rPr>
              <w:t>发包人及联系电话</w:t>
            </w:r>
            <w:bookmarkEnd w:id="1509"/>
          </w:p>
        </w:tc>
      </w:tr>
      <w:tr w14:paraId="7258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2F472BA">
            <w:pPr>
              <w:rPr>
                <w:rFonts w:hint="eastAsia" w:ascii="宋体" w:hAnsi="宋体"/>
                <w:color w:val="auto"/>
                <w:szCs w:val="21"/>
                <w:highlight w:val="none"/>
              </w:rPr>
            </w:pPr>
          </w:p>
        </w:tc>
        <w:tc>
          <w:tcPr>
            <w:tcW w:w="3420" w:type="dxa"/>
            <w:gridSpan w:val="4"/>
          </w:tcPr>
          <w:p w14:paraId="76E2007D">
            <w:pPr>
              <w:rPr>
                <w:rFonts w:hint="eastAsia" w:ascii="宋体" w:hAnsi="宋体"/>
                <w:color w:val="auto"/>
                <w:szCs w:val="21"/>
                <w:highlight w:val="none"/>
              </w:rPr>
            </w:pPr>
          </w:p>
        </w:tc>
        <w:tc>
          <w:tcPr>
            <w:tcW w:w="1261" w:type="dxa"/>
          </w:tcPr>
          <w:p w14:paraId="5739C115">
            <w:pPr>
              <w:rPr>
                <w:rFonts w:hint="eastAsia" w:ascii="宋体" w:hAnsi="宋体"/>
                <w:color w:val="auto"/>
                <w:szCs w:val="21"/>
                <w:highlight w:val="none"/>
              </w:rPr>
            </w:pPr>
          </w:p>
        </w:tc>
        <w:tc>
          <w:tcPr>
            <w:tcW w:w="2296" w:type="dxa"/>
            <w:gridSpan w:val="2"/>
          </w:tcPr>
          <w:p w14:paraId="5DB13558">
            <w:pPr>
              <w:rPr>
                <w:rFonts w:hint="eastAsia" w:ascii="宋体" w:hAnsi="宋体"/>
                <w:color w:val="auto"/>
                <w:szCs w:val="21"/>
                <w:highlight w:val="none"/>
              </w:rPr>
            </w:pPr>
          </w:p>
        </w:tc>
      </w:tr>
      <w:tr w14:paraId="45C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0C1D2CB">
            <w:pPr>
              <w:rPr>
                <w:rFonts w:hint="eastAsia" w:ascii="宋体" w:hAnsi="宋体"/>
                <w:color w:val="auto"/>
                <w:szCs w:val="21"/>
                <w:highlight w:val="none"/>
              </w:rPr>
            </w:pPr>
          </w:p>
        </w:tc>
        <w:tc>
          <w:tcPr>
            <w:tcW w:w="3420" w:type="dxa"/>
            <w:gridSpan w:val="4"/>
          </w:tcPr>
          <w:p w14:paraId="66C08D56">
            <w:pPr>
              <w:rPr>
                <w:rFonts w:hint="eastAsia" w:ascii="宋体" w:hAnsi="宋体"/>
                <w:color w:val="auto"/>
                <w:szCs w:val="21"/>
                <w:highlight w:val="none"/>
              </w:rPr>
            </w:pPr>
          </w:p>
        </w:tc>
        <w:tc>
          <w:tcPr>
            <w:tcW w:w="1261" w:type="dxa"/>
          </w:tcPr>
          <w:p w14:paraId="03FB030C">
            <w:pPr>
              <w:rPr>
                <w:rFonts w:hint="eastAsia" w:ascii="宋体" w:hAnsi="宋体"/>
                <w:color w:val="auto"/>
                <w:szCs w:val="21"/>
                <w:highlight w:val="none"/>
              </w:rPr>
            </w:pPr>
          </w:p>
        </w:tc>
        <w:tc>
          <w:tcPr>
            <w:tcW w:w="2296" w:type="dxa"/>
            <w:gridSpan w:val="2"/>
          </w:tcPr>
          <w:p w14:paraId="4FB09EED">
            <w:pPr>
              <w:rPr>
                <w:rFonts w:hint="eastAsia" w:ascii="宋体" w:hAnsi="宋体"/>
                <w:color w:val="auto"/>
                <w:szCs w:val="21"/>
                <w:highlight w:val="none"/>
              </w:rPr>
            </w:pPr>
          </w:p>
        </w:tc>
      </w:tr>
      <w:tr w14:paraId="408E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435A518">
            <w:pPr>
              <w:rPr>
                <w:rFonts w:hint="eastAsia" w:ascii="宋体" w:hAnsi="宋体"/>
                <w:color w:val="auto"/>
                <w:szCs w:val="21"/>
                <w:highlight w:val="none"/>
              </w:rPr>
            </w:pPr>
          </w:p>
        </w:tc>
        <w:tc>
          <w:tcPr>
            <w:tcW w:w="3420" w:type="dxa"/>
            <w:gridSpan w:val="4"/>
          </w:tcPr>
          <w:p w14:paraId="190B33AE">
            <w:pPr>
              <w:rPr>
                <w:rFonts w:hint="eastAsia" w:ascii="宋体" w:hAnsi="宋体"/>
                <w:color w:val="auto"/>
                <w:szCs w:val="21"/>
                <w:highlight w:val="none"/>
              </w:rPr>
            </w:pPr>
          </w:p>
        </w:tc>
        <w:tc>
          <w:tcPr>
            <w:tcW w:w="1261" w:type="dxa"/>
          </w:tcPr>
          <w:p w14:paraId="5DCA6942">
            <w:pPr>
              <w:rPr>
                <w:rFonts w:hint="eastAsia" w:ascii="宋体" w:hAnsi="宋体"/>
                <w:color w:val="auto"/>
                <w:szCs w:val="21"/>
                <w:highlight w:val="none"/>
              </w:rPr>
            </w:pPr>
          </w:p>
        </w:tc>
        <w:tc>
          <w:tcPr>
            <w:tcW w:w="2296" w:type="dxa"/>
            <w:gridSpan w:val="2"/>
          </w:tcPr>
          <w:p w14:paraId="3934FB05">
            <w:pPr>
              <w:rPr>
                <w:rFonts w:hint="eastAsia" w:ascii="宋体" w:hAnsi="宋体"/>
                <w:color w:val="auto"/>
                <w:szCs w:val="21"/>
                <w:highlight w:val="none"/>
              </w:rPr>
            </w:pPr>
          </w:p>
        </w:tc>
      </w:tr>
      <w:tr w14:paraId="680A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3D958AA8">
            <w:pPr>
              <w:rPr>
                <w:rFonts w:hint="eastAsia" w:ascii="宋体" w:hAnsi="宋体"/>
                <w:color w:val="auto"/>
                <w:szCs w:val="21"/>
                <w:highlight w:val="none"/>
              </w:rPr>
            </w:pPr>
          </w:p>
        </w:tc>
        <w:tc>
          <w:tcPr>
            <w:tcW w:w="3420" w:type="dxa"/>
            <w:gridSpan w:val="4"/>
            <w:vAlign w:val="center"/>
          </w:tcPr>
          <w:p w14:paraId="2CF5232D">
            <w:pPr>
              <w:rPr>
                <w:rFonts w:hint="eastAsia" w:ascii="宋体" w:hAnsi="宋体"/>
                <w:color w:val="auto"/>
                <w:szCs w:val="21"/>
                <w:highlight w:val="none"/>
              </w:rPr>
            </w:pPr>
          </w:p>
        </w:tc>
        <w:tc>
          <w:tcPr>
            <w:tcW w:w="1261" w:type="dxa"/>
            <w:vAlign w:val="center"/>
          </w:tcPr>
          <w:p w14:paraId="53534E83">
            <w:pPr>
              <w:rPr>
                <w:rFonts w:hint="eastAsia" w:ascii="宋体" w:hAnsi="宋体"/>
                <w:color w:val="auto"/>
                <w:szCs w:val="21"/>
                <w:highlight w:val="none"/>
              </w:rPr>
            </w:pPr>
          </w:p>
        </w:tc>
        <w:tc>
          <w:tcPr>
            <w:tcW w:w="2296" w:type="dxa"/>
            <w:gridSpan w:val="2"/>
            <w:vAlign w:val="center"/>
          </w:tcPr>
          <w:p w14:paraId="3DF7D746">
            <w:pPr>
              <w:rPr>
                <w:rFonts w:hint="eastAsia" w:ascii="宋体" w:hAnsi="宋体"/>
                <w:color w:val="auto"/>
                <w:szCs w:val="21"/>
                <w:highlight w:val="none"/>
              </w:rPr>
            </w:pPr>
          </w:p>
        </w:tc>
      </w:tr>
      <w:tr w14:paraId="6638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738C75B6">
            <w:pPr>
              <w:rPr>
                <w:rFonts w:hint="eastAsia" w:ascii="宋体" w:hAnsi="宋体"/>
                <w:color w:val="auto"/>
                <w:szCs w:val="21"/>
                <w:highlight w:val="none"/>
              </w:rPr>
            </w:pPr>
          </w:p>
        </w:tc>
        <w:tc>
          <w:tcPr>
            <w:tcW w:w="3420" w:type="dxa"/>
            <w:gridSpan w:val="4"/>
            <w:vAlign w:val="center"/>
          </w:tcPr>
          <w:p w14:paraId="6E8CB290">
            <w:pPr>
              <w:rPr>
                <w:rFonts w:hint="eastAsia" w:ascii="宋体" w:hAnsi="宋体"/>
                <w:color w:val="auto"/>
                <w:szCs w:val="21"/>
                <w:highlight w:val="none"/>
              </w:rPr>
            </w:pPr>
          </w:p>
        </w:tc>
        <w:tc>
          <w:tcPr>
            <w:tcW w:w="1261" w:type="dxa"/>
            <w:vAlign w:val="center"/>
          </w:tcPr>
          <w:p w14:paraId="26AB2A70">
            <w:pPr>
              <w:rPr>
                <w:rFonts w:hint="eastAsia" w:ascii="宋体" w:hAnsi="宋体"/>
                <w:color w:val="auto"/>
                <w:szCs w:val="21"/>
                <w:highlight w:val="none"/>
              </w:rPr>
            </w:pPr>
          </w:p>
        </w:tc>
        <w:tc>
          <w:tcPr>
            <w:tcW w:w="2296" w:type="dxa"/>
            <w:gridSpan w:val="2"/>
            <w:vAlign w:val="center"/>
          </w:tcPr>
          <w:p w14:paraId="0F87C25D">
            <w:pPr>
              <w:rPr>
                <w:rFonts w:hint="eastAsia" w:ascii="宋体" w:hAnsi="宋体"/>
                <w:color w:val="auto"/>
                <w:szCs w:val="21"/>
                <w:highlight w:val="none"/>
              </w:rPr>
            </w:pPr>
          </w:p>
        </w:tc>
      </w:tr>
      <w:tr w14:paraId="2AF2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118B07BB">
            <w:pPr>
              <w:rPr>
                <w:rFonts w:hint="eastAsia" w:ascii="宋体" w:hAnsi="宋体"/>
                <w:color w:val="auto"/>
                <w:szCs w:val="21"/>
                <w:highlight w:val="none"/>
              </w:rPr>
            </w:pPr>
          </w:p>
        </w:tc>
        <w:tc>
          <w:tcPr>
            <w:tcW w:w="3420" w:type="dxa"/>
            <w:gridSpan w:val="4"/>
            <w:vAlign w:val="center"/>
          </w:tcPr>
          <w:p w14:paraId="1DB44DC7">
            <w:pPr>
              <w:rPr>
                <w:rFonts w:hint="eastAsia" w:ascii="宋体" w:hAnsi="宋体"/>
                <w:color w:val="auto"/>
                <w:szCs w:val="21"/>
                <w:highlight w:val="none"/>
              </w:rPr>
            </w:pPr>
          </w:p>
        </w:tc>
        <w:tc>
          <w:tcPr>
            <w:tcW w:w="1261" w:type="dxa"/>
            <w:vAlign w:val="center"/>
          </w:tcPr>
          <w:p w14:paraId="291891A7">
            <w:pPr>
              <w:rPr>
                <w:rFonts w:hint="eastAsia" w:ascii="宋体" w:hAnsi="宋体"/>
                <w:color w:val="auto"/>
                <w:szCs w:val="21"/>
                <w:highlight w:val="none"/>
              </w:rPr>
            </w:pPr>
          </w:p>
        </w:tc>
        <w:tc>
          <w:tcPr>
            <w:tcW w:w="2296" w:type="dxa"/>
            <w:gridSpan w:val="2"/>
            <w:vAlign w:val="center"/>
          </w:tcPr>
          <w:p w14:paraId="2E987CA6">
            <w:pPr>
              <w:rPr>
                <w:rFonts w:hint="eastAsia" w:ascii="宋体" w:hAnsi="宋体"/>
                <w:color w:val="auto"/>
                <w:szCs w:val="21"/>
                <w:highlight w:val="none"/>
              </w:rPr>
            </w:pPr>
          </w:p>
        </w:tc>
      </w:tr>
      <w:tr w14:paraId="1AF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3E2F908C">
            <w:pPr>
              <w:rPr>
                <w:rFonts w:hint="eastAsia" w:ascii="宋体" w:hAnsi="宋体"/>
                <w:color w:val="auto"/>
                <w:szCs w:val="21"/>
                <w:highlight w:val="none"/>
              </w:rPr>
            </w:pPr>
          </w:p>
        </w:tc>
        <w:tc>
          <w:tcPr>
            <w:tcW w:w="3420" w:type="dxa"/>
            <w:gridSpan w:val="4"/>
            <w:vAlign w:val="center"/>
          </w:tcPr>
          <w:p w14:paraId="41C91184">
            <w:pPr>
              <w:rPr>
                <w:rFonts w:hint="eastAsia" w:ascii="宋体" w:hAnsi="宋体"/>
                <w:color w:val="auto"/>
                <w:szCs w:val="21"/>
                <w:highlight w:val="none"/>
              </w:rPr>
            </w:pPr>
          </w:p>
        </w:tc>
        <w:tc>
          <w:tcPr>
            <w:tcW w:w="1261" w:type="dxa"/>
            <w:vAlign w:val="center"/>
          </w:tcPr>
          <w:p w14:paraId="59B1D9CE">
            <w:pPr>
              <w:rPr>
                <w:rFonts w:hint="eastAsia" w:ascii="宋体" w:hAnsi="宋体"/>
                <w:color w:val="auto"/>
                <w:szCs w:val="21"/>
                <w:highlight w:val="none"/>
              </w:rPr>
            </w:pPr>
          </w:p>
        </w:tc>
        <w:tc>
          <w:tcPr>
            <w:tcW w:w="2296" w:type="dxa"/>
            <w:gridSpan w:val="2"/>
            <w:vAlign w:val="center"/>
          </w:tcPr>
          <w:p w14:paraId="16FDA069">
            <w:pPr>
              <w:rPr>
                <w:rFonts w:hint="eastAsia" w:ascii="宋体" w:hAnsi="宋体"/>
                <w:color w:val="auto"/>
                <w:szCs w:val="21"/>
                <w:highlight w:val="none"/>
              </w:rPr>
            </w:pPr>
          </w:p>
        </w:tc>
      </w:tr>
      <w:tr w14:paraId="16D9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5A57EB5F">
            <w:pPr>
              <w:rPr>
                <w:rFonts w:hint="eastAsia" w:ascii="宋体" w:hAnsi="宋体"/>
                <w:color w:val="auto"/>
                <w:szCs w:val="21"/>
                <w:highlight w:val="none"/>
              </w:rPr>
            </w:pPr>
          </w:p>
        </w:tc>
        <w:tc>
          <w:tcPr>
            <w:tcW w:w="3420" w:type="dxa"/>
            <w:gridSpan w:val="4"/>
            <w:vAlign w:val="center"/>
          </w:tcPr>
          <w:p w14:paraId="79ED7AAB">
            <w:pPr>
              <w:rPr>
                <w:rFonts w:hint="eastAsia" w:ascii="宋体" w:hAnsi="宋体"/>
                <w:color w:val="auto"/>
                <w:szCs w:val="21"/>
                <w:highlight w:val="none"/>
              </w:rPr>
            </w:pPr>
          </w:p>
        </w:tc>
        <w:tc>
          <w:tcPr>
            <w:tcW w:w="1261" w:type="dxa"/>
            <w:vAlign w:val="center"/>
          </w:tcPr>
          <w:p w14:paraId="2687E630">
            <w:pPr>
              <w:rPr>
                <w:rFonts w:hint="eastAsia" w:ascii="宋体" w:hAnsi="宋体"/>
                <w:color w:val="auto"/>
                <w:szCs w:val="21"/>
                <w:highlight w:val="none"/>
              </w:rPr>
            </w:pPr>
          </w:p>
        </w:tc>
        <w:tc>
          <w:tcPr>
            <w:tcW w:w="2296" w:type="dxa"/>
            <w:gridSpan w:val="2"/>
            <w:vAlign w:val="center"/>
          </w:tcPr>
          <w:p w14:paraId="469680DA">
            <w:pPr>
              <w:rPr>
                <w:rFonts w:hint="eastAsia" w:ascii="宋体" w:hAnsi="宋体"/>
                <w:color w:val="auto"/>
                <w:szCs w:val="21"/>
                <w:highlight w:val="none"/>
              </w:rPr>
            </w:pPr>
          </w:p>
        </w:tc>
      </w:tr>
      <w:tr w14:paraId="6687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428A7844">
            <w:pPr>
              <w:rPr>
                <w:rFonts w:hint="eastAsia" w:ascii="宋体" w:hAnsi="宋体"/>
                <w:color w:val="auto"/>
                <w:szCs w:val="21"/>
                <w:highlight w:val="none"/>
              </w:rPr>
            </w:pPr>
          </w:p>
        </w:tc>
        <w:tc>
          <w:tcPr>
            <w:tcW w:w="3420" w:type="dxa"/>
            <w:gridSpan w:val="4"/>
            <w:vAlign w:val="center"/>
          </w:tcPr>
          <w:p w14:paraId="55348FE2">
            <w:pPr>
              <w:rPr>
                <w:rFonts w:hint="eastAsia" w:ascii="宋体" w:hAnsi="宋体"/>
                <w:color w:val="auto"/>
                <w:szCs w:val="21"/>
                <w:highlight w:val="none"/>
              </w:rPr>
            </w:pPr>
          </w:p>
        </w:tc>
        <w:tc>
          <w:tcPr>
            <w:tcW w:w="1261" w:type="dxa"/>
            <w:vAlign w:val="center"/>
          </w:tcPr>
          <w:p w14:paraId="5C80C05E">
            <w:pPr>
              <w:rPr>
                <w:rFonts w:hint="eastAsia" w:ascii="宋体" w:hAnsi="宋体"/>
                <w:color w:val="auto"/>
                <w:szCs w:val="21"/>
                <w:highlight w:val="none"/>
              </w:rPr>
            </w:pPr>
          </w:p>
        </w:tc>
        <w:tc>
          <w:tcPr>
            <w:tcW w:w="2296" w:type="dxa"/>
            <w:gridSpan w:val="2"/>
            <w:vAlign w:val="center"/>
          </w:tcPr>
          <w:p w14:paraId="5260CC3C">
            <w:pPr>
              <w:rPr>
                <w:rFonts w:hint="eastAsia" w:ascii="宋体" w:hAnsi="宋体"/>
                <w:color w:val="auto"/>
                <w:szCs w:val="21"/>
                <w:highlight w:val="none"/>
              </w:rPr>
            </w:pPr>
          </w:p>
        </w:tc>
      </w:tr>
      <w:tr w14:paraId="1241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0A21744D">
            <w:pPr>
              <w:rPr>
                <w:rFonts w:hint="eastAsia" w:ascii="宋体" w:hAnsi="宋体"/>
                <w:color w:val="auto"/>
                <w:szCs w:val="21"/>
                <w:highlight w:val="none"/>
              </w:rPr>
            </w:pPr>
          </w:p>
        </w:tc>
        <w:tc>
          <w:tcPr>
            <w:tcW w:w="3420" w:type="dxa"/>
            <w:gridSpan w:val="4"/>
            <w:vAlign w:val="center"/>
          </w:tcPr>
          <w:p w14:paraId="40776FFC">
            <w:pPr>
              <w:rPr>
                <w:rFonts w:hint="eastAsia" w:ascii="宋体" w:hAnsi="宋体"/>
                <w:color w:val="auto"/>
                <w:szCs w:val="21"/>
                <w:highlight w:val="none"/>
              </w:rPr>
            </w:pPr>
          </w:p>
        </w:tc>
        <w:tc>
          <w:tcPr>
            <w:tcW w:w="1261" w:type="dxa"/>
            <w:vAlign w:val="center"/>
          </w:tcPr>
          <w:p w14:paraId="410FF15C">
            <w:pPr>
              <w:rPr>
                <w:rFonts w:hint="eastAsia" w:ascii="宋体" w:hAnsi="宋体"/>
                <w:color w:val="auto"/>
                <w:szCs w:val="21"/>
                <w:highlight w:val="none"/>
              </w:rPr>
            </w:pPr>
          </w:p>
        </w:tc>
        <w:tc>
          <w:tcPr>
            <w:tcW w:w="2296" w:type="dxa"/>
            <w:gridSpan w:val="2"/>
            <w:vAlign w:val="center"/>
          </w:tcPr>
          <w:p w14:paraId="1BAB35F5">
            <w:pPr>
              <w:rPr>
                <w:rFonts w:hint="eastAsia" w:ascii="宋体" w:hAnsi="宋体"/>
                <w:color w:val="auto"/>
                <w:szCs w:val="21"/>
                <w:highlight w:val="none"/>
              </w:rPr>
            </w:pPr>
          </w:p>
        </w:tc>
      </w:tr>
      <w:tr w14:paraId="77B9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7FC3582B">
            <w:pPr>
              <w:rPr>
                <w:rFonts w:hint="eastAsia" w:ascii="宋体" w:hAnsi="宋体"/>
                <w:color w:val="auto"/>
                <w:szCs w:val="21"/>
                <w:highlight w:val="none"/>
              </w:rPr>
            </w:pPr>
          </w:p>
        </w:tc>
        <w:tc>
          <w:tcPr>
            <w:tcW w:w="3420" w:type="dxa"/>
            <w:gridSpan w:val="4"/>
            <w:vAlign w:val="center"/>
          </w:tcPr>
          <w:p w14:paraId="041A5453">
            <w:pPr>
              <w:rPr>
                <w:rFonts w:hint="eastAsia" w:ascii="宋体" w:hAnsi="宋体"/>
                <w:color w:val="auto"/>
                <w:szCs w:val="21"/>
                <w:highlight w:val="none"/>
              </w:rPr>
            </w:pPr>
          </w:p>
        </w:tc>
        <w:tc>
          <w:tcPr>
            <w:tcW w:w="1261" w:type="dxa"/>
            <w:vAlign w:val="center"/>
          </w:tcPr>
          <w:p w14:paraId="01219A72">
            <w:pPr>
              <w:rPr>
                <w:rFonts w:hint="eastAsia" w:ascii="宋体" w:hAnsi="宋体"/>
                <w:color w:val="auto"/>
                <w:szCs w:val="21"/>
                <w:highlight w:val="none"/>
              </w:rPr>
            </w:pPr>
          </w:p>
        </w:tc>
        <w:tc>
          <w:tcPr>
            <w:tcW w:w="2296" w:type="dxa"/>
            <w:gridSpan w:val="2"/>
            <w:vAlign w:val="center"/>
          </w:tcPr>
          <w:p w14:paraId="012EB3ED">
            <w:pPr>
              <w:rPr>
                <w:rFonts w:hint="eastAsia" w:ascii="宋体" w:hAnsi="宋体"/>
                <w:color w:val="auto"/>
                <w:szCs w:val="21"/>
                <w:highlight w:val="none"/>
              </w:rPr>
            </w:pPr>
          </w:p>
        </w:tc>
      </w:tr>
      <w:tr w14:paraId="1D0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14:paraId="1807318F">
            <w:pPr>
              <w:rPr>
                <w:rFonts w:hint="eastAsia" w:ascii="宋体" w:hAnsi="宋体"/>
                <w:color w:val="auto"/>
                <w:szCs w:val="21"/>
                <w:highlight w:val="none"/>
              </w:rPr>
            </w:pPr>
          </w:p>
        </w:tc>
        <w:tc>
          <w:tcPr>
            <w:tcW w:w="3420" w:type="dxa"/>
            <w:gridSpan w:val="4"/>
            <w:vAlign w:val="center"/>
          </w:tcPr>
          <w:p w14:paraId="67050474">
            <w:pPr>
              <w:rPr>
                <w:rFonts w:hint="eastAsia" w:ascii="宋体" w:hAnsi="宋体"/>
                <w:color w:val="auto"/>
                <w:szCs w:val="21"/>
                <w:highlight w:val="none"/>
              </w:rPr>
            </w:pPr>
          </w:p>
        </w:tc>
        <w:tc>
          <w:tcPr>
            <w:tcW w:w="1261" w:type="dxa"/>
            <w:vAlign w:val="center"/>
          </w:tcPr>
          <w:p w14:paraId="4688B73F">
            <w:pPr>
              <w:rPr>
                <w:rFonts w:hint="eastAsia" w:ascii="宋体" w:hAnsi="宋体"/>
                <w:color w:val="auto"/>
                <w:szCs w:val="21"/>
                <w:highlight w:val="none"/>
              </w:rPr>
            </w:pPr>
          </w:p>
        </w:tc>
        <w:tc>
          <w:tcPr>
            <w:tcW w:w="2296" w:type="dxa"/>
            <w:gridSpan w:val="2"/>
            <w:vAlign w:val="center"/>
          </w:tcPr>
          <w:p w14:paraId="05EAD551">
            <w:pPr>
              <w:rPr>
                <w:rFonts w:hint="eastAsia" w:ascii="宋体" w:hAnsi="宋体"/>
                <w:color w:val="auto"/>
                <w:szCs w:val="21"/>
                <w:highlight w:val="none"/>
              </w:rPr>
            </w:pPr>
          </w:p>
        </w:tc>
      </w:tr>
    </w:tbl>
    <w:p w14:paraId="1020272D">
      <w:pPr>
        <w:rPr>
          <w:rFonts w:hint="eastAsia"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 xml:space="preserve">投标人应根据投标人须知第 </w:t>
      </w:r>
      <w:r>
        <w:rPr>
          <w:rFonts w:ascii="宋体" w:hAnsi="宋体"/>
          <w:color w:val="auto"/>
          <w:szCs w:val="21"/>
          <w:highlight w:val="none"/>
        </w:rPr>
        <w:t>3.5.</w:t>
      </w:r>
      <w:r>
        <w:rPr>
          <w:rFonts w:hint="eastAsia" w:ascii="宋体" w:hAnsi="宋体"/>
          <w:color w:val="auto"/>
          <w:szCs w:val="21"/>
          <w:highlight w:val="none"/>
        </w:rPr>
        <w:t>2</w:t>
      </w:r>
      <w:r>
        <w:rPr>
          <w:rFonts w:ascii="宋体" w:hAnsi="宋体" w:cs="宋体"/>
          <w:color w:val="auto"/>
          <w:szCs w:val="21"/>
          <w:highlight w:val="none"/>
        </w:rPr>
        <w:t xml:space="preserve"> 项的要求在本表后附相关证明材料</w:t>
      </w:r>
      <w:r>
        <w:rPr>
          <w:rFonts w:hint="eastAsia" w:ascii="宋体" w:hAnsi="宋体" w:cs="宋体"/>
          <w:color w:val="auto"/>
          <w:szCs w:val="21"/>
          <w:highlight w:val="none"/>
        </w:rPr>
        <w:t>。</w:t>
      </w:r>
    </w:p>
    <w:p w14:paraId="3C8B9269">
      <w:pPr>
        <w:pStyle w:val="6"/>
        <w:rPr>
          <w:color w:val="auto"/>
          <w:highlight w:val="none"/>
        </w:rPr>
      </w:pPr>
    </w:p>
    <w:p w14:paraId="517C8E4D">
      <w:pPr>
        <w:jc w:val="center"/>
        <w:outlineLvl w:val="2"/>
        <w:rPr>
          <w:rFonts w:hint="eastAsia" w:ascii="宋体" w:hAnsi="宋体"/>
          <w:b/>
          <w:color w:val="auto"/>
          <w:sz w:val="28"/>
          <w:szCs w:val="28"/>
          <w:highlight w:val="none"/>
        </w:rPr>
      </w:pPr>
      <w:bookmarkStart w:id="1510" w:name="_Toc9072"/>
      <w:bookmarkStart w:id="1511" w:name="_Toc22227"/>
      <w:bookmarkStart w:id="1512" w:name="_Toc29635"/>
      <w:r>
        <w:rPr>
          <w:rFonts w:hint="eastAsia" w:ascii="宋体" w:hAnsi="宋体" w:cs="宋体"/>
          <w:b/>
          <w:color w:val="auto"/>
          <w:sz w:val="28"/>
          <w:szCs w:val="28"/>
          <w:highlight w:val="none"/>
        </w:rPr>
        <w:br w:type="page"/>
      </w:r>
      <w:bookmarkStart w:id="1513" w:name="_Toc30194"/>
      <w:bookmarkStart w:id="1514" w:name="_Toc9396"/>
      <w:bookmarkStart w:id="1515" w:name="_Toc19419"/>
      <w:r>
        <w:rPr>
          <w:rFonts w:hint="eastAsia" w:ascii="宋体" w:hAnsi="宋体" w:cs="宋体"/>
          <w:b/>
          <w:color w:val="auto"/>
          <w:sz w:val="28"/>
          <w:szCs w:val="28"/>
          <w:highlight w:val="none"/>
        </w:rPr>
        <w:t>（四）近年完成的类似项目情况表</w:t>
      </w:r>
      <w:bookmarkEnd w:id="1510"/>
      <w:bookmarkEnd w:id="1511"/>
      <w:bookmarkEnd w:id="1512"/>
      <w:bookmarkEnd w:id="1513"/>
      <w:bookmarkEnd w:id="1514"/>
      <w:bookmarkEnd w:id="1515"/>
    </w:p>
    <w:tbl>
      <w:tblPr>
        <w:tblStyle w:val="33"/>
        <w:tblW w:w="82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0"/>
        <w:gridCol w:w="5937"/>
      </w:tblGrid>
      <w:tr w14:paraId="6CF34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270" w:type="dxa"/>
            <w:vAlign w:val="center"/>
          </w:tcPr>
          <w:p w14:paraId="326BF6BE">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项目名称</w:t>
            </w:r>
          </w:p>
        </w:tc>
        <w:tc>
          <w:tcPr>
            <w:tcW w:w="5937" w:type="dxa"/>
            <w:vAlign w:val="center"/>
          </w:tcPr>
          <w:p w14:paraId="72E59789">
            <w:pPr>
              <w:wordWrap w:val="0"/>
              <w:topLinePunct/>
              <w:ind w:left="42" w:leftChars="20" w:right="42" w:rightChars="20"/>
              <w:rPr>
                <w:rFonts w:hint="eastAsia" w:ascii="宋体" w:hAnsi="宋体" w:cs="宋体"/>
                <w:color w:val="auto"/>
                <w:szCs w:val="21"/>
                <w:highlight w:val="none"/>
              </w:rPr>
            </w:pPr>
          </w:p>
        </w:tc>
      </w:tr>
      <w:tr w14:paraId="59C92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2270" w:type="dxa"/>
            <w:vAlign w:val="center"/>
          </w:tcPr>
          <w:p w14:paraId="4CAAC459">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项目所在地</w:t>
            </w:r>
          </w:p>
        </w:tc>
        <w:tc>
          <w:tcPr>
            <w:tcW w:w="5937" w:type="dxa"/>
            <w:vAlign w:val="center"/>
          </w:tcPr>
          <w:p w14:paraId="4E3B7375">
            <w:pPr>
              <w:wordWrap w:val="0"/>
              <w:topLinePunct/>
              <w:ind w:left="42" w:leftChars="20" w:right="42" w:rightChars="20"/>
              <w:rPr>
                <w:rFonts w:hint="eastAsia" w:ascii="宋体" w:hAnsi="宋体" w:cs="宋体"/>
                <w:color w:val="auto"/>
                <w:szCs w:val="21"/>
                <w:highlight w:val="none"/>
              </w:rPr>
            </w:pPr>
          </w:p>
        </w:tc>
      </w:tr>
      <w:tr w14:paraId="67CA6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2270" w:type="dxa"/>
            <w:vAlign w:val="center"/>
          </w:tcPr>
          <w:p w14:paraId="145B111E">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发包人名称</w:t>
            </w:r>
          </w:p>
        </w:tc>
        <w:tc>
          <w:tcPr>
            <w:tcW w:w="5937" w:type="dxa"/>
            <w:vAlign w:val="center"/>
          </w:tcPr>
          <w:p w14:paraId="04AC79D4">
            <w:pPr>
              <w:wordWrap w:val="0"/>
              <w:topLinePunct/>
              <w:ind w:left="42" w:leftChars="20" w:right="42" w:rightChars="20"/>
              <w:rPr>
                <w:rFonts w:hint="eastAsia" w:ascii="宋体" w:hAnsi="宋体" w:cs="宋体"/>
                <w:color w:val="auto"/>
                <w:szCs w:val="21"/>
                <w:highlight w:val="none"/>
              </w:rPr>
            </w:pPr>
          </w:p>
        </w:tc>
      </w:tr>
      <w:tr w14:paraId="0B36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2270" w:type="dxa"/>
            <w:vAlign w:val="center"/>
          </w:tcPr>
          <w:p w14:paraId="5B4D52A7">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发包人地址</w:t>
            </w:r>
          </w:p>
        </w:tc>
        <w:tc>
          <w:tcPr>
            <w:tcW w:w="5937" w:type="dxa"/>
            <w:vAlign w:val="center"/>
          </w:tcPr>
          <w:p w14:paraId="4068B00D">
            <w:pPr>
              <w:wordWrap w:val="0"/>
              <w:topLinePunct/>
              <w:ind w:left="42" w:leftChars="20" w:right="42" w:rightChars="20"/>
              <w:rPr>
                <w:rFonts w:hint="eastAsia" w:ascii="宋体" w:hAnsi="宋体" w:cs="宋体"/>
                <w:color w:val="auto"/>
                <w:szCs w:val="21"/>
                <w:highlight w:val="none"/>
              </w:rPr>
            </w:pPr>
          </w:p>
        </w:tc>
      </w:tr>
      <w:tr w14:paraId="7E201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2270" w:type="dxa"/>
            <w:vAlign w:val="center"/>
          </w:tcPr>
          <w:p w14:paraId="4F3D02DA">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发包人电话</w:t>
            </w:r>
          </w:p>
        </w:tc>
        <w:tc>
          <w:tcPr>
            <w:tcW w:w="5937" w:type="dxa"/>
            <w:vAlign w:val="center"/>
          </w:tcPr>
          <w:p w14:paraId="72A34F24">
            <w:pPr>
              <w:wordWrap w:val="0"/>
              <w:topLinePunct/>
              <w:ind w:left="42" w:leftChars="20" w:right="42" w:rightChars="20"/>
              <w:rPr>
                <w:rFonts w:hint="eastAsia" w:ascii="宋体" w:hAnsi="宋体" w:cs="宋体"/>
                <w:color w:val="auto"/>
                <w:szCs w:val="21"/>
                <w:highlight w:val="none"/>
              </w:rPr>
            </w:pPr>
          </w:p>
        </w:tc>
      </w:tr>
      <w:tr w14:paraId="22F58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2270" w:type="dxa"/>
            <w:vAlign w:val="center"/>
          </w:tcPr>
          <w:p w14:paraId="2F649E82">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合同价格</w:t>
            </w:r>
          </w:p>
        </w:tc>
        <w:tc>
          <w:tcPr>
            <w:tcW w:w="5937" w:type="dxa"/>
            <w:vAlign w:val="center"/>
          </w:tcPr>
          <w:p w14:paraId="4221BA51">
            <w:pPr>
              <w:wordWrap w:val="0"/>
              <w:topLinePunct/>
              <w:ind w:left="42" w:leftChars="20" w:right="42" w:rightChars="20"/>
              <w:rPr>
                <w:rFonts w:hint="eastAsia" w:ascii="宋体" w:hAnsi="宋体" w:cs="宋体"/>
                <w:color w:val="auto"/>
                <w:szCs w:val="21"/>
                <w:highlight w:val="none"/>
              </w:rPr>
            </w:pPr>
          </w:p>
        </w:tc>
      </w:tr>
      <w:tr w14:paraId="70797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270" w:type="dxa"/>
            <w:vAlign w:val="center"/>
          </w:tcPr>
          <w:p w14:paraId="415AD751">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开工日期</w:t>
            </w:r>
          </w:p>
        </w:tc>
        <w:tc>
          <w:tcPr>
            <w:tcW w:w="5937" w:type="dxa"/>
            <w:vAlign w:val="center"/>
          </w:tcPr>
          <w:p w14:paraId="550308E7">
            <w:pPr>
              <w:wordWrap w:val="0"/>
              <w:topLinePunct/>
              <w:ind w:left="42" w:leftChars="20" w:right="42" w:rightChars="20"/>
              <w:rPr>
                <w:rFonts w:hint="eastAsia" w:ascii="宋体" w:hAnsi="宋体" w:cs="宋体"/>
                <w:color w:val="auto"/>
                <w:szCs w:val="21"/>
                <w:highlight w:val="none"/>
              </w:rPr>
            </w:pPr>
          </w:p>
        </w:tc>
      </w:tr>
      <w:tr w14:paraId="0252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2270" w:type="dxa"/>
            <w:vAlign w:val="center"/>
          </w:tcPr>
          <w:p w14:paraId="7E8602AD">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竣工日期</w:t>
            </w:r>
          </w:p>
        </w:tc>
        <w:tc>
          <w:tcPr>
            <w:tcW w:w="5937" w:type="dxa"/>
            <w:vAlign w:val="center"/>
          </w:tcPr>
          <w:p w14:paraId="76219B5C">
            <w:pPr>
              <w:wordWrap w:val="0"/>
              <w:topLinePunct/>
              <w:ind w:left="42" w:leftChars="20" w:right="42" w:rightChars="20"/>
              <w:rPr>
                <w:rFonts w:hint="eastAsia" w:ascii="宋体" w:hAnsi="宋体" w:cs="宋体"/>
                <w:color w:val="auto"/>
                <w:szCs w:val="21"/>
                <w:highlight w:val="none"/>
              </w:rPr>
            </w:pPr>
          </w:p>
        </w:tc>
      </w:tr>
      <w:tr w14:paraId="23B37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2270" w:type="dxa"/>
            <w:vAlign w:val="center"/>
          </w:tcPr>
          <w:p w14:paraId="1F62A816">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承担的工作</w:t>
            </w:r>
          </w:p>
        </w:tc>
        <w:tc>
          <w:tcPr>
            <w:tcW w:w="5937" w:type="dxa"/>
            <w:vAlign w:val="center"/>
          </w:tcPr>
          <w:p w14:paraId="26D710FD">
            <w:pPr>
              <w:wordWrap w:val="0"/>
              <w:topLinePunct/>
              <w:ind w:left="42" w:leftChars="20" w:right="42" w:rightChars="20"/>
              <w:rPr>
                <w:rFonts w:hint="eastAsia" w:ascii="宋体" w:hAnsi="宋体" w:cs="宋体"/>
                <w:color w:val="auto"/>
                <w:szCs w:val="21"/>
                <w:highlight w:val="none"/>
              </w:rPr>
            </w:pPr>
          </w:p>
        </w:tc>
      </w:tr>
      <w:tr w14:paraId="0331B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2270" w:type="dxa"/>
            <w:vAlign w:val="center"/>
          </w:tcPr>
          <w:p w14:paraId="38160281">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工程质量</w:t>
            </w:r>
          </w:p>
        </w:tc>
        <w:tc>
          <w:tcPr>
            <w:tcW w:w="5937" w:type="dxa"/>
            <w:vAlign w:val="center"/>
          </w:tcPr>
          <w:p w14:paraId="3F6AE721">
            <w:pPr>
              <w:wordWrap w:val="0"/>
              <w:topLinePunct/>
              <w:ind w:left="42" w:leftChars="20" w:right="42" w:rightChars="20"/>
              <w:rPr>
                <w:rFonts w:hint="eastAsia" w:ascii="宋体" w:hAnsi="宋体" w:cs="宋体"/>
                <w:color w:val="auto"/>
                <w:szCs w:val="21"/>
                <w:highlight w:val="none"/>
              </w:rPr>
            </w:pPr>
          </w:p>
        </w:tc>
      </w:tr>
      <w:tr w14:paraId="2F8B2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2270" w:type="dxa"/>
            <w:vAlign w:val="center"/>
          </w:tcPr>
          <w:p w14:paraId="25177680">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项目负责人</w:t>
            </w:r>
          </w:p>
        </w:tc>
        <w:tc>
          <w:tcPr>
            <w:tcW w:w="5937" w:type="dxa"/>
            <w:vAlign w:val="center"/>
          </w:tcPr>
          <w:p w14:paraId="1029D2DD">
            <w:pPr>
              <w:wordWrap w:val="0"/>
              <w:topLinePunct/>
              <w:ind w:left="42" w:leftChars="20" w:right="42" w:rightChars="20"/>
              <w:rPr>
                <w:rFonts w:hint="eastAsia" w:ascii="宋体" w:hAnsi="宋体" w:cs="宋体"/>
                <w:color w:val="auto"/>
                <w:szCs w:val="21"/>
                <w:highlight w:val="none"/>
              </w:rPr>
            </w:pPr>
          </w:p>
        </w:tc>
      </w:tr>
      <w:tr w14:paraId="05BFC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70" w:type="dxa"/>
            <w:vAlign w:val="center"/>
          </w:tcPr>
          <w:p w14:paraId="07A08EE9">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技术负责人</w:t>
            </w:r>
          </w:p>
        </w:tc>
        <w:tc>
          <w:tcPr>
            <w:tcW w:w="5937" w:type="dxa"/>
            <w:vAlign w:val="center"/>
          </w:tcPr>
          <w:p w14:paraId="35973B04">
            <w:pPr>
              <w:wordWrap w:val="0"/>
              <w:topLinePunct/>
              <w:ind w:left="42" w:leftChars="20" w:right="42" w:rightChars="20"/>
              <w:rPr>
                <w:rFonts w:hint="eastAsia" w:ascii="宋体" w:hAnsi="宋体" w:cs="宋体"/>
                <w:color w:val="auto"/>
                <w:szCs w:val="21"/>
                <w:highlight w:val="none"/>
              </w:rPr>
            </w:pPr>
          </w:p>
        </w:tc>
      </w:tr>
      <w:tr w14:paraId="13EBB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2270" w:type="dxa"/>
            <w:vAlign w:val="center"/>
          </w:tcPr>
          <w:p w14:paraId="2A766A28">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2"/>
                <w:szCs w:val="24"/>
                <w:highlight w:val="none"/>
              </w:rPr>
              <w:t>项目描述</w:t>
            </w:r>
          </w:p>
        </w:tc>
        <w:tc>
          <w:tcPr>
            <w:tcW w:w="5937" w:type="dxa"/>
            <w:vAlign w:val="center"/>
          </w:tcPr>
          <w:p w14:paraId="1BD34ADD">
            <w:pPr>
              <w:wordWrap w:val="0"/>
              <w:topLinePunct/>
              <w:ind w:left="42" w:leftChars="20" w:right="42" w:rightChars="20"/>
              <w:rPr>
                <w:rFonts w:hint="eastAsia" w:ascii="宋体" w:hAnsi="宋体" w:cs="宋体"/>
                <w:color w:val="auto"/>
                <w:szCs w:val="21"/>
                <w:highlight w:val="none"/>
              </w:rPr>
            </w:pPr>
          </w:p>
        </w:tc>
      </w:tr>
      <w:tr w14:paraId="688F2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2270" w:type="dxa"/>
            <w:vAlign w:val="center"/>
          </w:tcPr>
          <w:p w14:paraId="55700518">
            <w:pPr>
              <w:pStyle w:val="32"/>
              <w:kinsoku w:val="0"/>
              <w:overflowPunct w:val="0"/>
              <w:ind w:left="42" w:leftChars="20" w:right="42" w:rightChars="20"/>
              <w:jc w:val="center"/>
              <w:rPr>
                <w:rFonts w:hint="eastAsia" w:ascii="宋体" w:hAnsi="宋体" w:cs="宋体"/>
                <w:color w:val="auto"/>
                <w:sz w:val="21"/>
                <w:szCs w:val="21"/>
                <w:highlight w:val="none"/>
              </w:rPr>
            </w:pPr>
            <w:r>
              <w:rPr>
                <w:rFonts w:hint="eastAsia" w:ascii="宋体" w:hAnsi="宋体"/>
                <w:color w:val="auto"/>
                <w:spacing w:val="-1"/>
                <w:szCs w:val="24"/>
                <w:highlight w:val="none"/>
              </w:rPr>
              <w:t>备注</w:t>
            </w:r>
          </w:p>
        </w:tc>
        <w:tc>
          <w:tcPr>
            <w:tcW w:w="5937" w:type="dxa"/>
            <w:vAlign w:val="center"/>
          </w:tcPr>
          <w:p w14:paraId="45805D7C">
            <w:pPr>
              <w:wordWrap w:val="0"/>
              <w:topLinePunct/>
              <w:ind w:left="42" w:leftChars="20" w:right="42" w:rightChars="20"/>
              <w:rPr>
                <w:rFonts w:hint="eastAsia" w:ascii="宋体" w:hAnsi="宋体" w:cs="宋体"/>
                <w:color w:val="auto"/>
                <w:szCs w:val="21"/>
                <w:highlight w:val="none"/>
              </w:rPr>
            </w:pPr>
          </w:p>
        </w:tc>
      </w:tr>
    </w:tbl>
    <w:p w14:paraId="57464952">
      <w:pPr>
        <w:rPr>
          <w:rFonts w:hint="eastAsia" w:ascii="宋体" w:hAnsi="宋体"/>
          <w:color w:val="auto"/>
          <w:sz w:val="24"/>
          <w:highlight w:val="none"/>
        </w:rPr>
      </w:pPr>
      <w:r>
        <w:rPr>
          <w:rFonts w:hint="eastAsia" w:ascii="宋体" w:hAnsi="宋体" w:cs="宋体"/>
          <w:color w:val="auto"/>
          <w:szCs w:val="21"/>
          <w:highlight w:val="none"/>
        </w:rPr>
        <w:t>注：投标人应根据投标人须知第 3.5.3 项的要求在本表后附相关证明材料。</w:t>
      </w:r>
    </w:p>
    <w:p w14:paraId="3E77AB8D">
      <w:pPr>
        <w:jc w:val="center"/>
        <w:outlineLvl w:val="2"/>
        <w:rPr>
          <w:rFonts w:hint="eastAsia" w:ascii="宋体" w:hAnsi="宋体"/>
          <w:color w:val="auto"/>
          <w:sz w:val="28"/>
          <w:szCs w:val="28"/>
          <w:highlight w:val="none"/>
        </w:rPr>
      </w:pPr>
      <w:bookmarkStart w:id="1516" w:name="_Toc16669"/>
      <w:bookmarkStart w:id="1517" w:name="_Toc29836"/>
      <w:bookmarkStart w:id="1518" w:name="_Toc18920"/>
      <w:r>
        <w:rPr>
          <w:rFonts w:hint="eastAsia" w:ascii="宋体" w:hAnsi="宋体" w:cs="宋体"/>
          <w:b/>
          <w:color w:val="auto"/>
          <w:sz w:val="28"/>
          <w:szCs w:val="28"/>
          <w:highlight w:val="none"/>
        </w:rPr>
        <w:br w:type="page"/>
      </w:r>
      <w:bookmarkStart w:id="1519" w:name="_Toc6659"/>
      <w:bookmarkStart w:id="1520" w:name="_Toc22768"/>
      <w:bookmarkStart w:id="1521" w:name="_Toc21245"/>
      <w:r>
        <w:rPr>
          <w:rFonts w:hint="eastAsia" w:ascii="宋体" w:hAnsi="宋体" w:cs="宋体"/>
          <w:b/>
          <w:color w:val="auto"/>
          <w:sz w:val="28"/>
          <w:szCs w:val="28"/>
          <w:highlight w:val="none"/>
        </w:rPr>
        <w:t>（五）</w:t>
      </w:r>
      <w:bookmarkEnd w:id="1516"/>
      <w:bookmarkEnd w:id="1517"/>
      <w:bookmarkEnd w:id="1518"/>
      <w:bookmarkEnd w:id="1519"/>
      <w:bookmarkEnd w:id="1520"/>
      <w:bookmarkEnd w:id="1521"/>
      <w:r>
        <w:rPr>
          <w:rFonts w:hint="eastAsia" w:ascii="宋体" w:hAnsi="宋体" w:cs="宋体"/>
          <w:b/>
          <w:color w:val="auto"/>
          <w:sz w:val="28"/>
          <w:szCs w:val="28"/>
          <w:highlight w:val="none"/>
        </w:rPr>
        <w:t>近年财务状况</w:t>
      </w:r>
    </w:p>
    <w:p w14:paraId="0FFD151F">
      <w:pPr>
        <w:rPr>
          <w:rFonts w:hint="eastAsia" w:ascii="宋体" w:hAnsi="宋体"/>
          <w:color w:val="auto"/>
          <w:sz w:val="24"/>
          <w:highlight w:val="none"/>
        </w:rPr>
      </w:pPr>
      <w:r>
        <w:rPr>
          <w:rFonts w:hint="eastAsia" w:ascii="宋体" w:hAnsi="宋体"/>
          <w:color w:val="auto"/>
          <w:highlight w:val="none"/>
        </w:rPr>
        <w:t>　　</w:t>
      </w:r>
      <w:r>
        <w:rPr>
          <w:rFonts w:hint="eastAsia" w:ascii="宋体" w:hAnsi="宋体" w:cs="宋体"/>
          <w:color w:val="auto"/>
          <w:szCs w:val="21"/>
          <w:highlight w:val="none"/>
        </w:rPr>
        <w:t>注：</w:t>
      </w:r>
      <w:r>
        <w:rPr>
          <w:rFonts w:ascii="宋体" w:hAnsi="宋体" w:cs="宋体"/>
          <w:color w:val="auto"/>
          <w:szCs w:val="21"/>
          <w:highlight w:val="none"/>
        </w:rPr>
        <w:t xml:space="preserve">投标人应根据投标人须知第 </w:t>
      </w:r>
      <w:r>
        <w:rPr>
          <w:rFonts w:ascii="宋体" w:hAnsi="宋体"/>
          <w:color w:val="auto"/>
          <w:szCs w:val="21"/>
          <w:highlight w:val="none"/>
        </w:rPr>
        <w:t>3.5.</w:t>
      </w:r>
      <w:r>
        <w:rPr>
          <w:rFonts w:hint="eastAsia" w:ascii="宋体" w:hAnsi="宋体"/>
          <w:color w:val="auto"/>
          <w:szCs w:val="21"/>
          <w:highlight w:val="none"/>
        </w:rPr>
        <w:t>4</w:t>
      </w:r>
      <w:r>
        <w:rPr>
          <w:rFonts w:ascii="宋体" w:hAnsi="宋体" w:cs="宋体"/>
          <w:color w:val="auto"/>
          <w:szCs w:val="21"/>
          <w:highlight w:val="none"/>
        </w:rPr>
        <w:t xml:space="preserve"> 项的要求在</w:t>
      </w:r>
      <w:r>
        <w:rPr>
          <w:rFonts w:hint="eastAsia" w:ascii="宋体" w:hAnsi="宋体" w:cs="宋体"/>
          <w:color w:val="auto"/>
          <w:szCs w:val="21"/>
          <w:highlight w:val="none"/>
        </w:rPr>
        <w:t>此</w:t>
      </w:r>
      <w:r>
        <w:rPr>
          <w:rFonts w:ascii="宋体" w:hAnsi="宋体" w:cs="宋体"/>
          <w:color w:val="auto"/>
          <w:szCs w:val="21"/>
          <w:highlight w:val="none"/>
        </w:rPr>
        <w:t>附相关证明材料</w:t>
      </w:r>
    </w:p>
    <w:p w14:paraId="7B1FF204">
      <w:pPr>
        <w:topLinePunct/>
        <w:spacing w:line="440" w:lineRule="exact"/>
        <w:rPr>
          <w:rFonts w:hint="eastAsia" w:ascii="宋体" w:hAnsi="宋体"/>
          <w:color w:val="auto"/>
          <w:highlight w:val="none"/>
        </w:rPr>
      </w:pPr>
    </w:p>
    <w:p w14:paraId="139486A8">
      <w:pPr>
        <w:topLinePunct/>
        <w:spacing w:line="440" w:lineRule="exact"/>
        <w:rPr>
          <w:rFonts w:hint="eastAsia" w:ascii="宋体" w:hAnsi="宋体"/>
          <w:color w:val="auto"/>
          <w:highlight w:val="none"/>
        </w:rPr>
      </w:pPr>
      <w:r>
        <w:rPr>
          <w:rFonts w:hint="eastAsia" w:ascii="宋体" w:hAnsi="宋体"/>
          <w:color w:val="auto"/>
          <w:highlight w:val="none"/>
        </w:rPr>
        <w:t>　　</w:t>
      </w:r>
    </w:p>
    <w:p w14:paraId="43FE909B">
      <w:pPr>
        <w:topLinePunct/>
        <w:spacing w:line="440" w:lineRule="exact"/>
        <w:jc w:val="center"/>
        <w:rPr>
          <w:rFonts w:hint="eastAsia" w:ascii="宋体" w:hAnsi="宋体"/>
          <w:color w:val="auto"/>
          <w:sz w:val="24"/>
          <w:highlight w:val="none"/>
        </w:rPr>
      </w:pPr>
    </w:p>
    <w:p w14:paraId="17FE5F48">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30"/>
          <w:szCs w:val="21"/>
          <w:highlight w:val="none"/>
        </w:rPr>
        <w:br w:type="page"/>
      </w:r>
      <w:bookmarkStart w:id="1522" w:name="_Toc5094"/>
      <w:bookmarkStart w:id="1523" w:name="_Toc15730"/>
      <w:bookmarkStart w:id="1524" w:name="_Toc8242"/>
      <w:bookmarkStart w:id="1525" w:name="_Toc18553"/>
      <w:r>
        <w:rPr>
          <w:rFonts w:hint="eastAsia" w:ascii="宋体" w:hAnsi="宋体" w:cs="宋体"/>
          <w:b/>
          <w:color w:val="auto"/>
          <w:sz w:val="28"/>
          <w:szCs w:val="28"/>
          <w:highlight w:val="none"/>
        </w:rPr>
        <w:t>（</w:t>
      </w:r>
      <w:r>
        <w:rPr>
          <w:rFonts w:hint="eastAsia" w:cs="宋体"/>
          <w:b/>
          <w:color w:val="auto"/>
          <w:sz w:val="28"/>
          <w:szCs w:val="28"/>
          <w:highlight w:val="none"/>
        </w:rPr>
        <w:t>六</w:t>
      </w:r>
      <w:r>
        <w:rPr>
          <w:rFonts w:hint="eastAsia" w:ascii="宋体" w:hAnsi="宋体" w:cs="宋体"/>
          <w:b/>
          <w:color w:val="auto"/>
          <w:sz w:val="28"/>
          <w:szCs w:val="28"/>
          <w:highlight w:val="none"/>
        </w:rPr>
        <w:t>）</w:t>
      </w:r>
      <w:bookmarkEnd w:id="1522"/>
      <w:bookmarkEnd w:id="1523"/>
      <w:bookmarkEnd w:id="1524"/>
      <w:bookmarkEnd w:id="1525"/>
      <w:bookmarkStart w:id="1526" w:name="_Toc39698078"/>
      <w:r>
        <w:rPr>
          <w:rFonts w:hint="eastAsia" w:ascii="宋体" w:hAnsi="宋体" w:cs="宋体"/>
          <w:b/>
          <w:color w:val="auto"/>
          <w:sz w:val="28"/>
          <w:szCs w:val="28"/>
          <w:highlight w:val="none"/>
        </w:rPr>
        <w:t>投标人声明</w:t>
      </w:r>
    </w:p>
    <w:p w14:paraId="1499FFE3">
      <w:pPr>
        <w:pStyle w:val="35"/>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14:paraId="72FA59D0">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（项目名称）</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0954832B">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0A38ACD1">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3B4A7723">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32C94FCF">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14:paraId="700786B9">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（2）为本标段前期准备提供设计或咨询服务或者与本项目设计人或提供咨询服务的机构存在附属关系的；</w:t>
      </w:r>
    </w:p>
    <w:p w14:paraId="6BC84ED5">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（3）为本项目监理人或者与本项目监理人存在隶属关系或者其他利害关系；</w:t>
      </w:r>
    </w:p>
    <w:p w14:paraId="7E85234F">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（4）为本标段的代建人；</w:t>
      </w:r>
    </w:p>
    <w:p w14:paraId="54A8771F">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（5）为本标段提供招标代理服务的；</w:t>
      </w:r>
    </w:p>
    <w:p w14:paraId="5DEECFFA">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（6）与本标段的监理人或代建人或招标代理机构同为一个法定代表人的；</w:t>
      </w:r>
    </w:p>
    <w:p w14:paraId="2DADA35B">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（7）与本标段的监理人或代建人或招标代理机构互相控股或参股的；</w:t>
      </w:r>
    </w:p>
    <w:p w14:paraId="7960A55C">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（8）与本标段的监理人或代建人或招标代理机构相互任职或工作的；</w:t>
      </w:r>
    </w:p>
    <w:p w14:paraId="0BB4A952">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（9）与本标段的检测机构、建设、监理单位以及建筑材料、建筑构配件和设备供应商有隶属关系或者其他利害关系；</w:t>
      </w:r>
    </w:p>
    <w:p w14:paraId="2CD05BAC">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（10）与招标人存在利害关系且可能影响招标公正性；</w:t>
      </w:r>
    </w:p>
    <w:p w14:paraId="5059A7C1">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A8581E4">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（12）被责令停产停业、暂扣或者吊销许可证、暂扣或者吊销执照的（本项事实应当以根据《中华人民共和国行政处罚法》依法作出并已经生效的行政处罚决定为认定依据。）；</w:t>
      </w:r>
    </w:p>
    <w:p w14:paraId="0ED4B517">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（13）进入清算程序，或被宣布破产，或其他丧失履约能力的情形；</w:t>
      </w:r>
    </w:p>
    <w:p w14:paraId="1133DBBF">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D81DE32">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（15）法律法规规定的其他情形。</w:t>
      </w:r>
    </w:p>
    <w:p w14:paraId="4A35D34B">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四、本公司保证：本项目拟派的项目负责人没有在其他在建项目中任施工单位项目负责人，本项目拟派的专职安全员没有在其他在建项目中任职。</w:t>
      </w:r>
    </w:p>
    <w:p w14:paraId="0DF7C7C1">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5B6F2FA">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694660C">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061B8C57">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9E39F00">
      <w:pPr>
        <w:pStyle w:val="35"/>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C57A21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特此声明。</w:t>
      </w:r>
    </w:p>
    <w:p w14:paraId="28F1ECBA">
      <w:pPr>
        <w:pStyle w:val="36"/>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14:paraId="64136107">
      <w:pPr>
        <w:pStyle w:val="35"/>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法定代表人（签字或签章）：</w:t>
      </w:r>
    </w:p>
    <w:p w14:paraId="567E31FE">
      <w:pPr>
        <w:pStyle w:val="35"/>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项目负责人（签字或签章）:</w:t>
      </w:r>
    </w:p>
    <w:p w14:paraId="4250BF0E">
      <w:pPr>
        <w:pStyle w:val="35"/>
        <w:ind w:right="879" w:firstLine="1890" w:firstLineChars="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技术负责人（签字或签章）：</w:t>
      </w:r>
    </w:p>
    <w:p w14:paraId="2EBE5780">
      <w:pPr>
        <w:pStyle w:val="35"/>
        <w:ind w:right="8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72F940D">
      <w:pPr>
        <w:spacing w:before="1" w:line="360" w:lineRule="auto"/>
        <w:ind w:left="8" w:right="2" w:firstLine="563"/>
        <w:jc w:val="right"/>
        <w:rPr>
          <w:rFonts w:hint="eastAsia" w:ascii="宋体" w:hAnsi="宋体" w:cs="宋体"/>
          <w:color w:val="auto"/>
          <w:spacing w:val="15"/>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（盖投标人单位章）</w:t>
      </w:r>
    </w:p>
    <w:p w14:paraId="574FACA9">
      <w:pPr>
        <w:pStyle w:val="11"/>
        <w:rPr>
          <w:color w:val="auto"/>
          <w:highlight w:val="none"/>
        </w:rPr>
      </w:pPr>
    </w:p>
    <w:p w14:paraId="269FA57D">
      <w:pPr>
        <w:pStyle w:val="4"/>
        <w:spacing w:after="0"/>
        <w:jc w:val="center"/>
        <w:rPr>
          <w:rFonts w:hint="eastAsia" w:ascii="宋体" w:hAnsi="宋体" w:eastAsia="宋体"/>
          <w:b/>
          <w:color w:val="auto"/>
          <w:sz w:val="28"/>
          <w:szCs w:val="28"/>
          <w:highlight w:val="none"/>
        </w:rPr>
      </w:pPr>
      <w:r>
        <w:rPr>
          <w:rFonts w:ascii="宋体" w:hAnsi="宋体" w:eastAsia="宋体" w:cs="宋体"/>
          <w:color w:val="auto"/>
          <w:spacing w:val="1"/>
          <w:sz w:val="22"/>
          <w:szCs w:val="22"/>
          <w:highlight w:val="none"/>
        </w:rPr>
        <w:br w:type="page"/>
      </w:r>
      <w:bookmarkEnd w:id="1462"/>
      <w:bookmarkEnd w:id="1463"/>
      <w:bookmarkEnd w:id="1464"/>
      <w:bookmarkEnd w:id="1465"/>
      <w:bookmarkEnd w:id="1466"/>
      <w:bookmarkEnd w:id="1467"/>
      <w:bookmarkEnd w:id="1468"/>
      <w:bookmarkEnd w:id="1469"/>
      <w:bookmarkEnd w:id="1470"/>
      <w:bookmarkEnd w:id="1471"/>
      <w:bookmarkEnd w:id="1472"/>
      <w:bookmarkEnd w:id="1526"/>
      <w:bookmarkStart w:id="1527" w:name="_Toc4173"/>
      <w:bookmarkStart w:id="1528" w:name="_Toc1201"/>
      <w:bookmarkStart w:id="1529" w:name="_Toc251511634"/>
      <w:bookmarkStart w:id="1530" w:name="_Toc272312442"/>
      <w:bookmarkStart w:id="1531" w:name="_Toc8685"/>
      <w:bookmarkStart w:id="1532" w:name="_Toc144974881"/>
      <w:bookmarkStart w:id="1533" w:name="_Toc21072"/>
      <w:bookmarkStart w:id="1534" w:name="_Toc152042602"/>
      <w:bookmarkStart w:id="1535" w:name="_Toc9794"/>
      <w:bookmarkStart w:id="1536" w:name="_Toc39698079"/>
      <w:bookmarkStart w:id="1537" w:name="_Toc18991"/>
      <w:bookmarkStart w:id="1538" w:name="_Toc152045813"/>
      <w:bookmarkStart w:id="1539" w:name="_Toc271277814"/>
      <w:r>
        <w:rPr>
          <w:rFonts w:hint="eastAsia" w:ascii="宋体" w:hAnsi="宋体" w:eastAsia="宋体"/>
          <w:b/>
          <w:color w:val="auto"/>
          <w:sz w:val="28"/>
          <w:szCs w:val="28"/>
          <w:highlight w:val="none"/>
        </w:rPr>
        <w:t>五</w:t>
      </w:r>
      <w:r>
        <w:rPr>
          <w:rFonts w:ascii="宋体" w:hAnsi="宋体" w:eastAsia="宋体"/>
          <w:b/>
          <w:color w:val="auto"/>
          <w:sz w:val="28"/>
          <w:szCs w:val="28"/>
          <w:highlight w:val="none"/>
        </w:rPr>
        <w:t>、其他</w:t>
      </w:r>
      <w:r>
        <w:rPr>
          <w:rFonts w:hint="eastAsia" w:ascii="宋体" w:hAnsi="宋体" w:eastAsia="宋体"/>
          <w:b/>
          <w:color w:val="auto"/>
          <w:sz w:val="28"/>
          <w:szCs w:val="28"/>
          <w:highlight w:val="none"/>
        </w:rPr>
        <w:t>资</w:t>
      </w:r>
      <w:r>
        <w:rPr>
          <w:rFonts w:ascii="宋体" w:hAnsi="宋体" w:eastAsia="宋体"/>
          <w:b/>
          <w:color w:val="auto"/>
          <w:sz w:val="28"/>
          <w:szCs w:val="28"/>
          <w:highlight w:val="none"/>
        </w:rPr>
        <w:t>料</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559C7AEF">
      <w:pPr>
        <w:snapToGrid w:val="0"/>
        <w:spacing w:line="440" w:lineRule="exact"/>
        <w:textAlignment w:val="baseline"/>
        <w:rPr>
          <w:color w:val="auto"/>
          <w:sz w:val="20"/>
          <w:highlight w:val="none"/>
        </w:rPr>
      </w:pPr>
      <w:r>
        <w:rPr>
          <w:rFonts w:ascii="宋体" w:hAnsi="宋体" w:cs="宋体"/>
          <w:color w:val="auto"/>
          <w:spacing w:val="22"/>
          <w:sz w:val="22"/>
          <w:szCs w:val="22"/>
          <w:highlight w:val="none"/>
        </w:rPr>
        <w:t>投</w:t>
      </w:r>
      <w:r>
        <w:rPr>
          <w:rFonts w:ascii="宋体" w:hAnsi="宋体" w:cs="宋体"/>
          <w:color w:val="auto"/>
          <w:spacing w:val="17"/>
          <w:sz w:val="22"/>
          <w:szCs w:val="22"/>
          <w:highlight w:val="none"/>
        </w:rPr>
        <w:t>标人根据招标文件要求认为需提交的其他材料。</w:t>
      </w:r>
      <w:r>
        <w:rPr>
          <w:rFonts w:ascii="宋体" w:hAnsi="宋体"/>
          <w:b/>
          <w:color w:val="auto"/>
          <w:highlight w:val="none"/>
        </w:rPr>
        <w:br w:type="page"/>
      </w:r>
    </w:p>
    <w:p w14:paraId="6F250A73">
      <w:pPr>
        <w:snapToGrid w:val="0"/>
        <w:spacing w:line="440" w:lineRule="exact"/>
        <w:textAlignment w:val="baseline"/>
        <w:rPr>
          <w:color w:val="auto"/>
          <w:sz w:val="20"/>
          <w:highlight w:val="none"/>
        </w:rPr>
      </w:pPr>
    </w:p>
    <w:p w14:paraId="7B0EBFA1">
      <w:pPr>
        <w:pStyle w:val="4"/>
        <w:spacing w:after="0"/>
        <w:jc w:val="center"/>
        <w:rPr>
          <w:rFonts w:hint="eastAsia" w:ascii="宋体" w:hAnsi="宋体" w:eastAsia="宋体"/>
          <w:b/>
          <w:color w:val="auto"/>
          <w:sz w:val="28"/>
          <w:szCs w:val="28"/>
          <w:highlight w:val="none"/>
        </w:rPr>
      </w:pPr>
      <w:bookmarkStart w:id="1540" w:name="_Toc22714"/>
      <w:bookmarkStart w:id="1541" w:name="_Toc9260"/>
      <w:bookmarkStart w:id="1542" w:name="_Toc6409"/>
      <w:bookmarkStart w:id="1543" w:name="_Toc10956"/>
      <w:bookmarkStart w:id="1544" w:name="_Toc1004"/>
      <w:bookmarkStart w:id="1545" w:name="_Toc3906"/>
      <w:r>
        <w:rPr>
          <w:rFonts w:hint="eastAsia" w:ascii="宋体" w:hAnsi="宋体" w:eastAsia="宋体"/>
          <w:b/>
          <w:color w:val="auto"/>
          <w:sz w:val="28"/>
          <w:szCs w:val="28"/>
          <w:highlight w:val="none"/>
        </w:rPr>
        <w:t>六、施工组织设计方案</w:t>
      </w:r>
      <w:bookmarkEnd w:id="1540"/>
      <w:bookmarkEnd w:id="1541"/>
      <w:bookmarkEnd w:id="1542"/>
      <w:bookmarkEnd w:id="1543"/>
      <w:bookmarkEnd w:id="1544"/>
      <w:bookmarkEnd w:id="1545"/>
    </w:p>
    <w:p w14:paraId="7FDA8C61">
      <w:pPr>
        <w:spacing w:line="360" w:lineRule="auto"/>
        <w:jc w:val="center"/>
        <w:rPr>
          <w:rFonts w:hint="eastAsia" w:ascii="宋体" w:hAnsi="宋体"/>
          <w:b/>
          <w:bCs/>
          <w:color w:val="auto"/>
          <w:sz w:val="24"/>
          <w:highlight w:val="none"/>
        </w:rPr>
      </w:pPr>
    </w:p>
    <w:p w14:paraId="7E48600B">
      <w:pPr>
        <w:rPr>
          <w:rFonts w:hint="eastAsia" w:ascii="宋体" w:hAnsi="宋体"/>
          <w:color w:val="auto"/>
          <w:sz w:val="28"/>
          <w:szCs w:val="28"/>
          <w:highlight w:val="none"/>
        </w:rPr>
      </w:pPr>
      <w:r>
        <w:rPr>
          <w:rFonts w:hint="eastAsia" w:ascii="宋体" w:hAnsi="宋体"/>
          <w:color w:val="auto"/>
          <w:sz w:val="28"/>
          <w:szCs w:val="28"/>
          <w:highlight w:val="none"/>
        </w:rPr>
        <w:t>1.投标人编制施工组织设计的要求（格式自拟，应控制在 300 页以内，具体由招标根据项目情况确定），具体内容包括但不限于以下内容：</w:t>
      </w:r>
    </w:p>
    <w:p w14:paraId="39997B1C">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（1）总体概述：施工程序总体设想及施工段划分</w:t>
      </w:r>
    </w:p>
    <w:p w14:paraId="5014B76A">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（2）施工进度计划和各阶段进度的保证措施及违约责任承诺</w:t>
      </w:r>
    </w:p>
    <w:p w14:paraId="45CD39F8">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（3）劳动力和材料投入计划及其保证措施</w:t>
      </w:r>
    </w:p>
    <w:p w14:paraId="6D35BE7A">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（4）机械设备投入计划及检测设备</w:t>
      </w:r>
    </w:p>
    <w:p w14:paraId="41D930ED">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（5）施工平面布置和临时设施布置</w:t>
      </w:r>
    </w:p>
    <w:p w14:paraId="4436CF6F">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（6）关键施工技术、工艺及工程项目实施的重点、难点和解决方案</w:t>
      </w:r>
    </w:p>
    <w:p w14:paraId="05C0BF47">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（7）安全文明措施</w:t>
      </w:r>
    </w:p>
    <w:p w14:paraId="4E76B420">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（8）质量保证与承诺</w:t>
      </w:r>
    </w:p>
    <w:p w14:paraId="3AE90558">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（9）扬尘污染防治方案</w:t>
      </w:r>
    </w:p>
    <w:p w14:paraId="187ED305">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（10）用工实名管理方案</w:t>
      </w:r>
    </w:p>
    <w:p w14:paraId="54721652">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（11）服务方案</w:t>
      </w:r>
    </w:p>
    <w:p w14:paraId="37CF27C6">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2.图表及格式要求： </w:t>
      </w:r>
    </w:p>
    <w:p w14:paraId="66704FD5">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附表一 拟投入本项目的主要施工设备表 </w:t>
      </w:r>
    </w:p>
    <w:p w14:paraId="21F6BC52">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附表二 拟投入本项目的实验和检测仪器设备表 </w:t>
      </w:r>
    </w:p>
    <w:p w14:paraId="11A35C60">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附表三 拟投入本项目的劳动力计划表 </w:t>
      </w:r>
    </w:p>
    <w:p w14:paraId="431B8666">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附表四 计划开工日期、完工日期和施工进度网络图 </w:t>
      </w:r>
    </w:p>
    <w:p w14:paraId="11FFC163">
      <w:pPr>
        <w:spacing w:line="500" w:lineRule="exact"/>
        <w:rPr>
          <w:color w:val="auto"/>
          <w:highlight w:val="none"/>
        </w:rPr>
      </w:pPr>
      <w:r>
        <w:rPr>
          <w:rFonts w:hint="eastAsia" w:ascii="宋体" w:hAnsi="宋体"/>
          <w:color w:val="auto"/>
          <w:sz w:val="28"/>
          <w:szCs w:val="28"/>
          <w:highlight w:val="none"/>
        </w:rPr>
        <w:t>附表五 施工总平面图</w:t>
      </w:r>
    </w:p>
    <w:sectPr>
      <w:pgSz w:w="11906" w:h="16838"/>
      <w:pgMar w:top="1440" w:right="1800" w:bottom="1440" w:left="180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7D5E">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2FDA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E2FDA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85F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FB1273">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AFB1273">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C641">
    <w:pPr>
      <w:pStyle w:val="12"/>
      <w:pBdr>
        <w:left w:val="none" w:color="auto" w:sz="0" w:space="4"/>
        <w:bottom w:val="none" w:color="auto" w:sz="0" w:space="1"/>
        <w:right w:val="none" w:color="auto" w:sz="0" w:space="4"/>
      </w:pBdr>
      <w:wordWrap w:val="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644251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AOEq4xgEAAIs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W1Dryhx3OLATz++n37+Pv36&#10;Rq6yPH2AGrMeAual4a0fcGnOfkBnZj2oaPMX+RCMo7jHi7hySETkR/PlosIiAkOL65vrZUFnj49D&#10;hPROekuy0dCIsyuS8sMHSNgIpp5Tci3n77UxZX7G/ePAxOxhufOxw2ylYTtMdLa+PSKbHsfeUIdb&#10;Tol571DVvCFnI56N7WTkGhDu9gkLl34y6gg1FcMZlTanfcpL8Pe9ZD3+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42PWdEAAAADAQAADwAAAAAAAAABACAAAAAiAAAAZHJzL2Rvd25yZXYueG1s&#10;UEsBAhQAFAAAAAgAh07iQEA4SrjGAQAAiwMAAA4AAAAAAAAAAQAgAAAAIAEAAGRycy9lMm9Eb2Mu&#10;eG1sUEsFBgAAAAAGAAYAWQEAAFgFAAAAAA==&#10;">
              <v:fill on="f" focussize="0,0"/>
              <v:stroke on="f"/>
              <v:imagedata o:title=""/>
              <o:lock v:ext="edit" aspectratio="f"/>
              <v:textbox inset="0mm,0mm,0mm,0mm" style="mso-fit-shape-to-text:t;">
                <w:txbxContent>
                  <w:p w14:paraId="644251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23BF">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03654"/>
    <w:multiLevelType w:val="singleLevel"/>
    <w:tmpl w:val="86403654"/>
    <w:lvl w:ilvl="0" w:tentative="0">
      <w:start w:val="1"/>
      <w:numFmt w:val="chineseCounting"/>
      <w:suff w:val="nothing"/>
      <w:lvlText w:val="%1、"/>
      <w:lvlJc w:val="left"/>
      <w:rPr>
        <w:rFonts w:hint="eastAsia"/>
      </w:rPr>
    </w:lvl>
  </w:abstractNum>
  <w:abstractNum w:abstractNumId="1">
    <w:nsid w:val="CA49A2B6"/>
    <w:multiLevelType w:val="singleLevel"/>
    <w:tmpl w:val="CA49A2B6"/>
    <w:lvl w:ilvl="0" w:tentative="0">
      <w:start w:val="3"/>
      <w:numFmt w:val="chineseCounting"/>
      <w:suff w:val="space"/>
      <w:lvlText w:val="第%1节"/>
      <w:lvlJc w:val="left"/>
      <w:rPr>
        <w:rFonts w:hint="eastAsia"/>
      </w:rPr>
    </w:lvl>
  </w:abstractNum>
  <w:abstractNum w:abstractNumId="2">
    <w:nsid w:val="CE8A3961"/>
    <w:multiLevelType w:val="singleLevel"/>
    <w:tmpl w:val="CE8A3961"/>
    <w:lvl w:ilvl="0" w:tentative="0">
      <w:start w:val="1"/>
      <w:numFmt w:val="decimal"/>
      <w:suff w:val="nothing"/>
      <w:lvlText w:val="%1、"/>
      <w:lvlJc w:val="left"/>
    </w:lvl>
  </w:abstractNum>
  <w:abstractNum w:abstractNumId="3">
    <w:nsid w:val="00000005"/>
    <w:multiLevelType w:val="singleLevel"/>
    <w:tmpl w:val="00000005"/>
    <w:lvl w:ilvl="0" w:tentative="0">
      <w:start w:val="3"/>
      <w:numFmt w:val="decimal"/>
      <w:suff w:val="nothing"/>
      <w:lvlText w:val="%1."/>
      <w:lvlJc w:val="left"/>
    </w:lvl>
  </w:abstractNum>
  <w:abstractNum w:abstractNumId="4">
    <w:nsid w:val="033F41B8"/>
    <w:multiLevelType w:val="singleLevel"/>
    <w:tmpl w:val="033F41B8"/>
    <w:lvl w:ilvl="0" w:tentative="0">
      <w:start w:val="1"/>
      <w:numFmt w:val="decimal"/>
      <w:suff w:val="space"/>
      <w:lvlText w:val="%1."/>
      <w:lvlJc w:val="left"/>
    </w:lvl>
  </w:abstractNum>
  <w:abstractNum w:abstractNumId="5">
    <w:nsid w:val="11E4547A"/>
    <w:multiLevelType w:val="singleLevel"/>
    <w:tmpl w:val="11E4547A"/>
    <w:lvl w:ilvl="0" w:tentative="0">
      <w:start w:val="1"/>
      <w:numFmt w:val="decimal"/>
      <w:suff w:val="nothing"/>
      <w:lvlText w:val="%1、"/>
      <w:lvlJc w:val="left"/>
    </w:lvl>
  </w:abstractNum>
  <w:abstractNum w:abstractNumId="6">
    <w:nsid w:val="598492E5"/>
    <w:multiLevelType w:val="singleLevel"/>
    <w:tmpl w:val="598492E5"/>
    <w:lvl w:ilvl="0" w:tentative="0">
      <w:start w:val="8"/>
      <w:numFmt w:val="chineseCounting"/>
      <w:suff w:val="space"/>
      <w:lvlText w:val="第%1章"/>
      <w:lvlJc w:val="left"/>
      <w:rPr>
        <w:rFonts w:hint="eastAsia"/>
      </w:rPr>
    </w:lvl>
  </w:abstractNum>
  <w:abstractNum w:abstractNumId="7">
    <w:nsid w:val="633872A1"/>
    <w:multiLevelType w:val="singleLevel"/>
    <w:tmpl w:val="633872A1"/>
    <w:lvl w:ilvl="0" w:tentative="0">
      <w:start w:val="1"/>
      <w:numFmt w:val="decimal"/>
      <w:suff w:val="nothing"/>
      <w:lvlText w:val="（%1）"/>
      <w:lvlJc w:val="left"/>
    </w:lvl>
  </w:abstractNum>
  <w:num w:numId="1">
    <w:abstractNumId w:val="5"/>
  </w:num>
  <w:num w:numId="2">
    <w:abstractNumId w:val="4"/>
  </w:num>
  <w:num w:numId="3">
    <w:abstractNumId w:val="7"/>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OTVkMDlmNDhmNjkyODFmOTljMGNjZDY0OTI5MWQifQ=="/>
  </w:docVars>
  <w:rsids>
    <w:rsidRoot w:val="6DB95E12"/>
    <w:rsid w:val="009B0832"/>
    <w:rsid w:val="00B37EDA"/>
    <w:rsid w:val="00C10DF9"/>
    <w:rsid w:val="00E21F7D"/>
    <w:rsid w:val="00E54B51"/>
    <w:rsid w:val="02387A29"/>
    <w:rsid w:val="02B90658"/>
    <w:rsid w:val="02D50F69"/>
    <w:rsid w:val="02E85B96"/>
    <w:rsid w:val="03392A8F"/>
    <w:rsid w:val="0340264E"/>
    <w:rsid w:val="03876F7F"/>
    <w:rsid w:val="038C592B"/>
    <w:rsid w:val="043E423A"/>
    <w:rsid w:val="046B727E"/>
    <w:rsid w:val="04C6091C"/>
    <w:rsid w:val="051A7370"/>
    <w:rsid w:val="05F96BD7"/>
    <w:rsid w:val="06066EC9"/>
    <w:rsid w:val="06316315"/>
    <w:rsid w:val="067376E6"/>
    <w:rsid w:val="070E664D"/>
    <w:rsid w:val="076F7C20"/>
    <w:rsid w:val="0813359F"/>
    <w:rsid w:val="084F0595"/>
    <w:rsid w:val="0860381B"/>
    <w:rsid w:val="08A3719F"/>
    <w:rsid w:val="09C77C38"/>
    <w:rsid w:val="09E55C70"/>
    <w:rsid w:val="0AAB3335"/>
    <w:rsid w:val="0BDA7FFE"/>
    <w:rsid w:val="0C6E67CA"/>
    <w:rsid w:val="0C714917"/>
    <w:rsid w:val="0D21373C"/>
    <w:rsid w:val="0DAA6D09"/>
    <w:rsid w:val="0E100F06"/>
    <w:rsid w:val="0E113704"/>
    <w:rsid w:val="0E3D317F"/>
    <w:rsid w:val="0E5704C1"/>
    <w:rsid w:val="0E581732"/>
    <w:rsid w:val="0F35700D"/>
    <w:rsid w:val="10085054"/>
    <w:rsid w:val="10660796"/>
    <w:rsid w:val="12011A86"/>
    <w:rsid w:val="122F22A3"/>
    <w:rsid w:val="132F1868"/>
    <w:rsid w:val="138F5B45"/>
    <w:rsid w:val="13E27610"/>
    <w:rsid w:val="13FD15FB"/>
    <w:rsid w:val="152120A1"/>
    <w:rsid w:val="16081CF8"/>
    <w:rsid w:val="16C30074"/>
    <w:rsid w:val="175F7670"/>
    <w:rsid w:val="18F34162"/>
    <w:rsid w:val="192F0105"/>
    <w:rsid w:val="19A00C90"/>
    <w:rsid w:val="1ABE616C"/>
    <w:rsid w:val="1B455B16"/>
    <w:rsid w:val="1B7C6034"/>
    <w:rsid w:val="1BF71F7B"/>
    <w:rsid w:val="1C0539CF"/>
    <w:rsid w:val="1CD37203"/>
    <w:rsid w:val="1D081CB0"/>
    <w:rsid w:val="1D220E2C"/>
    <w:rsid w:val="1D803E0F"/>
    <w:rsid w:val="1EC463DE"/>
    <w:rsid w:val="1F576995"/>
    <w:rsid w:val="212A11F0"/>
    <w:rsid w:val="21625939"/>
    <w:rsid w:val="22F43983"/>
    <w:rsid w:val="23DB6807"/>
    <w:rsid w:val="23DE1E47"/>
    <w:rsid w:val="241B4B85"/>
    <w:rsid w:val="24B76D91"/>
    <w:rsid w:val="250061E4"/>
    <w:rsid w:val="251F61A7"/>
    <w:rsid w:val="25FA26E9"/>
    <w:rsid w:val="265D1F7E"/>
    <w:rsid w:val="28866DB6"/>
    <w:rsid w:val="28D6244E"/>
    <w:rsid w:val="29677C6C"/>
    <w:rsid w:val="29D27296"/>
    <w:rsid w:val="2A20101A"/>
    <w:rsid w:val="2A850927"/>
    <w:rsid w:val="2AAE2EE9"/>
    <w:rsid w:val="2AF41BB4"/>
    <w:rsid w:val="2AFC661B"/>
    <w:rsid w:val="2BAE7312"/>
    <w:rsid w:val="2BE956AF"/>
    <w:rsid w:val="2C662D84"/>
    <w:rsid w:val="2D0351C5"/>
    <w:rsid w:val="2F356E15"/>
    <w:rsid w:val="2F77513E"/>
    <w:rsid w:val="2FF87331"/>
    <w:rsid w:val="30A37F49"/>
    <w:rsid w:val="313C117D"/>
    <w:rsid w:val="31783057"/>
    <w:rsid w:val="31CD6F8B"/>
    <w:rsid w:val="32B06173"/>
    <w:rsid w:val="32FF4F93"/>
    <w:rsid w:val="334B6650"/>
    <w:rsid w:val="337C2EF9"/>
    <w:rsid w:val="33D738AE"/>
    <w:rsid w:val="346A50BA"/>
    <w:rsid w:val="346D20EE"/>
    <w:rsid w:val="367766D6"/>
    <w:rsid w:val="386D0CD8"/>
    <w:rsid w:val="39865752"/>
    <w:rsid w:val="3A5D795E"/>
    <w:rsid w:val="3A7263F9"/>
    <w:rsid w:val="3AEF7F72"/>
    <w:rsid w:val="3B105125"/>
    <w:rsid w:val="3B76457C"/>
    <w:rsid w:val="3B9A4219"/>
    <w:rsid w:val="3BD64F66"/>
    <w:rsid w:val="3CC800A8"/>
    <w:rsid w:val="3DB63CA8"/>
    <w:rsid w:val="3E624FA1"/>
    <w:rsid w:val="3EEB418D"/>
    <w:rsid w:val="408E5CD7"/>
    <w:rsid w:val="40A25D9C"/>
    <w:rsid w:val="40B7508E"/>
    <w:rsid w:val="40C9690D"/>
    <w:rsid w:val="41466CEB"/>
    <w:rsid w:val="414747AD"/>
    <w:rsid w:val="416F7716"/>
    <w:rsid w:val="423746D8"/>
    <w:rsid w:val="42802B51"/>
    <w:rsid w:val="42C33C46"/>
    <w:rsid w:val="43762FDE"/>
    <w:rsid w:val="438C3F49"/>
    <w:rsid w:val="45FC3821"/>
    <w:rsid w:val="46460635"/>
    <w:rsid w:val="46981E35"/>
    <w:rsid w:val="47ED258A"/>
    <w:rsid w:val="487E16BE"/>
    <w:rsid w:val="48F47497"/>
    <w:rsid w:val="4BEC330E"/>
    <w:rsid w:val="4C177634"/>
    <w:rsid w:val="4D04165B"/>
    <w:rsid w:val="4D57302C"/>
    <w:rsid w:val="4D9E43D7"/>
    <w:rsid w:val="4EEB1EA2"/>
    <w:rsid w:val="4F8E5B53"/>
    <w:rsid w:val="4FB01837"/>
    <w:rsid w:val="502033FA"/>
    <w:rsid w:val="51BE53A9"/>
    <w:rsid w:val="52304E77"/>
    <w:rsid w:val="52BB4E21"/>
    <w:rsid w:val="536B081A"/>
    <w:rsid w:val="54807A68"/>
    <w:rsid w:val="54AA55C0"/>
    <w:rsid w:val="54DC3C74"/>
    <w:rsid w:val="557269A7"/>
    <w:rsid w:val="55BE45BA"/>
    <w:rsid w:val="55F72D55"/>
    <w:rsid w:val="56407E5C"/>
    <w:rsid w:val="57092DF8"/>
    <w:rsid w:val="58CE6FC1"/>
    <w:rsid w:val="599E6C51"/>
    <w:rsid w:val="59A36020"/>
    <w:rsid w:val="59B457CB"/>
    <w:rsid w:val="5BE865EB"/>
    <w:rsid w:val="5BFE5D5C"/>
    <w:rsid w:val="5C1448A9"/>
    <w:rsid w:val="5C2E2250"/>
    <w:rsid w:val="5C722592"/>
    <w:rsid w:val="60EF29AE"/>
    <w:rsid w:val="616805DD"/>
    <w:rsid w:val="617147B5"/>
    <w:rsid w:val="61C34F67"/>
    <w:rsid w:val="62C4089A"/>
    <w:rsid w:val="631D5BB9"/>
    <w:rsid w:val="63325E72"/>
    <w:rsid w:val="63DE7D66"/>
    <w:rsid w:val="64A03C9B"/>
    <w:rsid w:val="6515185E"/>
    <w:rsid w:val="6580300C"/>
    <w:rsid w:val="6607508D"/>
    <w:rsid w:val="669B6922"/>
    <w:rsid w:val="670F05EC"/>
    <w:rsid w:val="67F012C2"/>
    <w:rsid w:val="68CA23D1"/>
    <w:rsid w:val="68CF6795"/>
    <w:rsid w:val="69106840"/>
    <w:rsid w:val="69A332A2"/>
    <w:rsid w:val="69A92F3B"/>
    <w:rsid w:val="6BF94AA1"/>
    <w:rsid w:val="6C210048"/>
    <w:rsid w:val="6C5B6DD1"/>
    <w:rsid w:val="6CEE66F6"/>
    <w:rsid w:val="6DB95E12"/>
    <w:rsid w:val="6DFE450F"/>
    <w:rsid w:val="6E171B79"/>
    <w:rsid w:val="6E410CB3"/>
    <w:rsid w:val="6F543739"/>
    <w:rsid w:val="6F981017"/>
    <w:rsid w:val="6FF93466"/>
    <w:rsid w:val="702F00A4"/>
    <w:rsid w:val="70341B60"/>
    <w:rsid w:val="725325B9"/>
    <w:rsid w:val="7280260A"/>
    <w:rsid w:val="72C25180"/>
    <w:rsid w:val="74587B30"/>
    <w:rsid w:val="7642033F"/>
    <w:rsid w:val="77611FFF"/>
    <w:rsid w:val="7890052D"/>
    <w:rsid w:val="789F2675"/>
    <w:rsid w:val="78AC111F"/>
    <w:rsid w:val="79202959"/>
    <w:rsid w:val="793C2872"/>
    <w:rsid w:val="793D1FED"/>
    <w:rsid w:val="7A700CE8"/>
    <w:rsid w:val="7ABC422C"/>
    <w:rsid w:val="7BAE1077"/>
    <w:rsid w:val="7CBC508A"/>
    <w:rsid w:val="7DFF48CD"/>
    <w:rsid w:val="7EF41647"/>
    <w:rsid w:val="7F710522"/>
    <w:rsid w:val="7FE1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Cs/>
      <w:sz w:val="24"/>
      <w:szCs w:val="32"/>
    </w:rPr>
  </w:style>
  <w:style w:type="paragraph" w:styleId="5">
    <w:name w:val="heading 3"/>
    <w:basedOn w:val="1"/>
    <w:next w:val="1"/>
    <w:link w:val="34"/>
    <w:qFormat/>
    <w:uiPriority w:val="0"/>
    <w:pPr>
      <w:keepNext/>
      <w:keepLines/>
      <w:spacing w:before="120" w:after="120"/>
      <w:jc w:val="center"/>
      <w:outlineLvl w:val="2"/>
    </w:pPr>
    <w:rPr>
      <w:rFonts w:ascii="宋体" w:hAnsi="宋体"/>
      <w:b/>
      <w:bCs/>
      <w:sz w:val="3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Body Text 3"/>
    <w:basedOn w:val="1"/>
    <w:qFormat/>
    <w:uiPriority w:val="0"/>
    <w:rPr>
      <w:rFonts w:ascii="宋体"/>
      <w:sz w:val="24"/>
    </w:rPr>
  </w:style>
  <w:style w:type="paragraph" w:styleId="9">
    <w:name w:val="Body Text"/>
    <w:basedOn w:val="1"/>
    <w:qFormat/>
    <w:uiPriority w:val="0"/>
    <w:pPr>
      <w:spacing w:after="120"/>
    </w:pPr>
  </w:style>
  <w:style w:type="paragraph" w:styleId="10">
    <w:name w:val="toc 3"/>
    <w:basedOn w:val="1"/>
    <w:next w:val="1"/>
    <w:qFormat/>
    <w:uiPriority w:val="39"/>
    <w:pPr>
      <w:ind w:left="420"/>
      <w:jc w:val="left"/>
    </w:pPr>
    <w:rPr>
      <w:i/>
      <w:iCs/>
      <w:sz w:val="20"/>
      <w:szCs w:val="20"/>
    </w:rPr>
  </w:style>
  <w:style w:type="paragraph" w:styleId="11">
    <w:name w:val="Plain Text"/>
    <w:basedOn w:val="1"/>
    <w:next w:val="6"/>
    <w:qFormat/>
    <w:uiPriority w:val="0"/>
    <w:rPr>
      <w:rFonts w:ascii="Courier New"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2"/>
    <w:basedOn w:val="1"/>
    <w:next w:val="1"/>
    <w:qFormat/>
    <w:uiPriority w:val="39"/>
    <w:pPr>
      <w:ind w:left="210"/>
      <w:jc w:val="left"/>
    </w:pPr>
    <w:rPr>
      <w:smallCaps/>
      <w:sz w:val="20"/>
      <w:szCs w:val="20"/>
    </w:rPr>
  </w:style>
  <w:style w:type="paragraph" w:styleId="16">
    <w:name w:val="Body Text First Indent"/>
    <w:basedOn w:val="9"/>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qFormat/>
    <w:uiPriority w:val="0"/>
    <w:rPr>
      <w:color w:val="0000FF"/>
      <w:u w:val="single"/>
    </w:rPr>
  </w:style>
  <w:style w:type="paragraph" w:customStyle="1" w:styleId="22">
    <w:name w:val="样式 宋体 小四 行距: 1.5 倍行距"/>
    <w:basedOn w:val="1"/>
    <w:qFormat/>
    <w:uiPriority w:val="0"/>
    <w:rPr>
      <w:rFonts w:ascii="宋体" w:hAnsi="宋体" w:cs="宋体"/>
      <w:sz w:val="28"/>
    </w:rPr>
  </w:style>
  <w:style w:type="paragraph" w:customStyle="1" w:styleId="23">
    <w:name w:val="Plain Text1"/>
    <w:basedOn w:val="1"/>
    <w:qFormat/>
    <w:uiPriority w:val="0"/>
    <w:pPr>
      <w:adjustRightInd w:val="0"/>
      <w:textAlignment w:val="baseline"/>
    </w:pPr>
    <w:rPr>
      <w:rFonts w:ascii="宋体"/>
      <w:kern w:val="0"/>
      <w:sz w:val="24"/>
      <w:szCs w:val="20"/>
    </w:rPr>
  </w:style>
  <w:style w:type="paragraph" w:customStyle="1" w:styleId="24">
    <w:name w:val="正文首行缩进1"/>
    <w:basedOn w:val="9"/>
    <w:qFormat/>
    <w:uiPriority w:val="0"/>
    <w:pPr>
      <w:spacing w:after="0"/>
      <w:ind w:firstLine="420" w:firstLineChars="100"/>
    </w:pPr>
  </w:style>
  <w:style w:type="paragraph" w:customStyle="1" w:styleId="25">
    <w:name w:val="CM96"/>
    <w:basedOn w:val="26"/>
    <w:next w:val="26"/>
    <w:qFormat/>
    <w:uiPriority w:val="0"/>
    <w:pPr>
      <w:spacing w:after="298"/>
    </w:pPr>
    <w:rPr>
      <w:color w:val="auto"/>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M99"/>
    <w:basedOn w:val="26"/>
    <w:next w:val="26"/>
    <w:qFormat/>
    <w:uiPriority w:val="0"/>
    <w:pPr>
      <w:spacing w:after="443"/>
    </w:pPr>
    <w:rPr>
      <w:color w:val="auto"/>
    </w:rPr>
  </w:style>
  <w:style w:type="paragraph" w:customStyle="1" w:styleId="28">
    <w:name w:val="CM80"/>
    <w:basedOn w:val="26"/>
    <w:next w:val="26"/>
    <w:qFormat/>
    <w:uiPriority w:val="0"/>
    <w:pPr>
      <w:spacing w:line="440" w:lineRule="atLeast"/>
    </w:pPr>
    <w:rPr>
      <w:color w:val="auto"/>
    </w:rPr>
  </w:style>
  <w:style w:type="paragraph" w:customStyle="1" w:styleId="29">
    <w:name w:val="CM44"/>
    <w:basedOn w:val="26"/>
    <w:next w:val="26"/>
    <w:qFormat/>
    <w:uiPriority w:val="0"/>
    <w:pPr>
      <w:spacing w:line="440" w:lineRule="atLeast"/>
    </w:pPr>
    <w:rPr>
      <w:color w:val="auto"/>
    </w:rPr>
  </w:style>
  <w:style w:type="paragraph" w:customStyle="1" w:styleId="30">
    <w:name w:val="CM91"/>
    <w:basedOn w:val="26"/>
    <w:next w:val="26"/>
    <w:qFormat/>
    <w:uiPriority w:val="0"/>
    <w:pPr>
      <w:spacing w:after="160"/>
    </w:pPr>
    <w:rPr>
      <w:color w:val="auto"/>
    </w:rPr>
  </w:style>
  <w:style w:type="paragraph" w:customStyle="1" w:styleId="31">
    <w:name w:val="王正慧－正文 Char1"/>
    <w:basedOn w:val="1"/>
    <w:qFormat/>
    <w:uiPriority w:val="0"/>
    <w:pPr>
      <w:spacing w:line="360" w:lineRule="auto"/>
      <w:ind w:firstLine="480" w:firstLineChars="200"/>
    </w:pPr>
    <w:rPr>
      <w:rFonts w:hAnsi="宋体"/>
      <w:sz w:val="24"/>
      <w:szCs w:val="20"/>
    </w:rPr>
  </w:style>
  <w:style w:type="paragraph" w:customStyle="1" w:styleId="32">
    <w:name w:val="Table Paragraph"/>
    <w:basedOn w:val="1"/>
    <w:qFormat/>
    <w:uiPriority w:val="1"/>
    <w:rPr>
      <w:rFonts w:ascii="Calibri" w:hAnsi="Calibri"/>
      <w:kern w:val="0"/>
      <w:sz w:val="22"/>
      <w:szCs w:val="22"/>
      <w:lang w:eastAsia="en-US"/>
    </w:rPr>
  </w:style>
  <w:style w:type="table" w:customStyle="1" w:styleId="33">
    <w:name w:val="Table Normal"/>
    <w:unhideWhenUsed/>
    <w:qFormat/>
    <w:uiPriority w:val="0"/>
    <w:tblPr>
      <w:tblCellMar>
        <w:top w:w="0" w:type="dxa"/>
        <w:left w:w="0" w:type="dxa"/>
        <w:bottom w:w="0" w:type="dxa"/>
        <w:right w:w="0" w:type="dxa"/>
      </w:tblCellMar>
    </w:tblPr>
  </w:style>
  <w:style w:type="character" w:customStyle="1" w:styleId="34">
    <w:name w:val="标题 3 字符"/>
    <w:link w:val="5"/>
    <w:qFormat/>
    <w:locked/>
    <w:uiPriority w:val="99"/>
    <w:rPr>
      <w:rFonts w:ascii="宋体" w:hAnsi="宋体"/>
      <w:b/>
      <w:bCs/>
      <w:sz w:val="30"/>
    </w:rPr>
  </w:style>
  <w:style w:type="paragraph" w:customStyle="1" w:styleId="3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6">
    <w:name w:val="发文落款"/>
    <w:basedOn w:val="35"/>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18277</Words>
  <Characters>19659</Characters>
  <Lines>2597</Lines>
  <Paragraphs>2524</Paragraphs>
  <TotalTime>1</TotalTime>
  <ScaleCrop>false</ScaleCrop>
  <LinksUpToDate>false</LinksUpToDate>
  <CharactersWithSpaces>20135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2025-05-18T11:37:00Z</dcterms:created>
  <dc:creator>Administrator</dc:creator>
  <cp:lastModifiedBy>yao</cp:lastModifiedBy>
  <cp:lastPrinted>2025-05-15T23:52:00Z</cp:lastPrinted>
  <dcterms:modified xsi:type="dcterms:W3CDTF">2025-05-30T01:04:14Z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4F57210314834F0AA0EF49B2C36403E7_13</vt:lpwstr>
  </property>
  <property fmtid="{D5CDD505-2E9C-101B-9397-08002B2CF9AE}" pid="4" name="KSOTemplateDocerSaveRecord">
    <vt:lpwstr>eyJoZGlkIjoiYzdhOTVkMDlmNDhmNjkyODFmOTljMGNjZDY0OTI5MWQiLCJ1c2VySWQiOiIyMzE2NzY1MTQifQ==</vt:lpwstr>
  </property>
</Properties>
</file>