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0475E">
      <w:pPr>
        <w:tabs>
          <w:tab w:val="left" w:pos="3296"/>
        </w:tabs>
        <w:adjustRightInd w:val="0"/>
        <w:snapToGrid w:val="0"/>
        <w:spacing w:line="360" w:lineRule="auto"/>
        <w:jc w:val="center"/>
        <w:rPr>
          <w:rFonts w:hint="eastAsia" w:ascii="宋体" w:hAnsi="宋体" w:eastAsia="宋体" w:cs="宋体"/>
          <w:b/>
          <w:bCs/>
          <w:color w:val="auto"/>
          <w:sz w:val="52"/>
          <w:szCs w:val="52"/>
          <w:highlight w:val="none"/>
          <w:lang w:eastAsia="zh-CN"/>
        </w:rPr>
      </w:pPr>
    </w:p>
    <w:p w14:paraId="2721534F">
      <w:pPr>
        <w:tabs>
          <w:tab w:val="left" w:pos="3296"/>
        </w:tabs>
        <w:adjustRightInd w:val="0"/>
        <w:snapToGrid w:val="0"/>
        <w:spacing w:line="360" w:lineRule="auto"/>
        <w:jc w:val="center"/>
        <w:rPr>
          <w:rFonts w:hint="eastAsia" w:ascii="宋体" w:hAnsi="宋体" w:eastAsia="宋体" w:cs="宋体"/>
          <w:b/>
          <w:bCs/>
          <w:color w:val="auto"/>
          <w:sz w:val="52"/>
          <w:szCs w:val="52"/>
          <w:highlight w:val="none"/>
        </w:rPr>
      </w:pPr>
    </w:p>
    <w:p w14:paraId="22640BC7">
      <w:pPr>
        <w:tabs>
          <w:tab w:val="left" w:pos="3296"/>
        </w:tabs>
        <w:adjustRightInd w:val="0"/>
        <w:snapToGrid w:val="0"/>
        <w:spacing w:line="360" w:lineRule="auto"/>
        <w:jc w:val="center"/>
        <w:rPr>
          <w:rFonts w:hint="eastAsia" w:ascii="宋体" w:hAnsi="宋体" w:eastAsia="宋体" w:cs="宋体"/>
          <w:b/>
          <w:bCs/>
          <w:color w:val="auto"/>
          <w:kern w:val="2"/>
          <w:sz w:val="52"/>
          <w:szCs w:val="52"/>
          <w:highlight w:val="none"/>
          <w:lang w:val="en-US" w:eastAsia="zh-CN" w:bidi="ar-SA"/>
        </w:rPr>
      </w:pPr>
      <w:bookmarkStart w:id="0" w:name="OLE_LINK23"/>
      <w:r>
        <w:rPr>
          <w:rFonts w:hint="eastAsia" w:ascii="宋体" w:hAnsi="宋体" w:eastAsia="宋体" w:cs="宋体"/>
          <w:b/>
          <w:bCs/>
          <w:color w:val="auto"/>
          <w:kern w:val="2"/>
          <w:sz w:val="52"/>
          <w:szCs w:val="52"/>
          <w:highlight w:val="none"/>
          <w:lang w:val="en-US" w:eastAsia="zh-CN" w:bidi="ar-SA"/>
        </w:rPr>
        <w:t>金沙洲新社区、聚德花园纯公租房</w:t>
      </w:r>
    </w:p>
    <w:p w14:paraId="56FED296">
      <w:pPr>
        <w:tabs>
          <w:tab w:val="left" w:pos="3296"/>
        </w:tabs>
        <w:adjustRightInd w:val="0"/>
        <w:snapToGrid w:val="0"/>
        <w:spacing w:line="360" w:lineRule="auto"/>
        <w:jc w:val="center"/>
        <w:rPr>
          <w:rFonts w:hint="eastAsia"/>
          <w:color w:val="auto"/>
          <w:highlight w:val="none"/>
          <w:lang w:eastAsia="zh-CN"/>
        </w:rPr>
      </w:pPr>
      <w:r>
        <w:rPr>
          <w:rFonts w:hint="eastAsia" w:ascii="宋体" w:hAnsi="宋体" w:eastAsia="宋体" w:cs="宋体"/>
          <w:b/>
          <w:bCs/>
          <w:color w:val="auto"/>
          <w:kern w:val="2"/>
          <w:sz w:val="52"/>
          <w:szCs w:val="52"/>
          <w:highlight w:val="none"/>
          <w:lang w:val="en-US" w:eastAsia="zh-CN" w:bidi="ar-SA"/>
        </w:rPr>
        <w:t>楼栋更换电梯项目</w:t>
      </w:r>
      <w:r>
        <w:rPr>
          <w:rFonts w:hint="eastAsia" w:ascii="宋体" w:hAnsi="宋体" w:eastAsia="宋体" w:cs="宋体"/>
          <w:b/>
          <w:bCs/>
          <w:color w:val="auto"/>
          <w:sz w:val="52"/>
          <w:szCs w:val="52"/>
          <w:highlight w:val="none"/>
          <w:lang w:eastAsia="zh-CN"/>
        </w:rPr>
        <w:t>合同</w:t>
      </w:r>
      <w:bookmarkEnd w:id="0"/>
    </w:p>
    <w:p w14:paraId="4A55BE31">
      <w:pPr>
        <w:pStyle w:val="2"/>
        <w:rPr>
          <w:rFonts w:hint="eastAsia"/>
          <w:color w:val="auto"/>
          <w:highlight w:val="none"/>
          <w:lang w:eastAsia="zh-CN"/>
        </w:rPr>
      </w:pPr>
    </w:p>
    <w:p w14:paraId="5E828B8F">
      <w:pPr>
        <w:tabs>
          <w:tab w:val="left" w:pos="3296"/>
        </w:tabs>
        <w:adjustRightInd w:val="0"/>
        <w:snapToGrid w:val="0"/>
        <w:spacing w:line="360" w:lineRule="auto"/>
        <w:jc w:val="center"/>
        <w:rPr>
          <w:rFonts w:hint="eastAsia" w:ascii="宋体" w:hAnsi="宋体" w:eastAsia="宋体" w:cs="宋体"/>
          <w:b/>
          <w:bCs/>
          <w:color w:val="auto"/>
          <w:sz w:val="52"/>
          <w:szCs w:val="52"/>
          <w:highlight w:val="none"/>
        </w:rPr>
      </w:pPr>
    </w:p>
    <w:p w14:paraId="47FCCB6C">
      <w:pPr>
        <w:jc w:val="both"/>
        <w:rPr>
          <w:rFonts w:hint="eastAsia" w:ascii="宋体" w:hAnsi="宋体" w:eastAsia="宋体" w:cs="宋体"/>
          <w:b/>
          <w:bCs/>
          <w:color w:val="auto"/>
          <w:sz w:val="52"/>
          <w:highlight w:val="none"/>
        </w:rPr>
      </w:pPr>
    </w:p>
    <w:p w14:paraId="2E7FE0A0">
      <w:pPr>
        <w:jc w:val="center"/>
        <w:rPr>
          <w:rFonts w:hint="eastAsia" w:ascii="宋体" w:hAnsi="宋体" w:eastAsia="宋体" w:cs="宋体"/>
          <w:b/>
          <w:bCs/>
          <w:color w:val="auto"/>
          <w:sz w:val="52"/>
          <w:highlight w:val="none"/>
        </w:rPr>
      </w:pPr>
    </w:p>
    <w:p w14:paraId="00BE9FF4">
      <w:pPr>
        <w:tabs>
          <w:tab w:val="left" w:pos="3296"/>
        </w:tabs>
        <w:adjustRightInd w:val="0"/>
        <w:snapToGrid w:val="0"/>
        <w:spacing w:line="600" w:lineRule="exact"/>
        <w:ind w:left="279" w:leftChars="133" w:firstLine="557" w:firstLineChars="199"/>
        <w:rPr>
          <w:rFonts w:hint="eastAsia" w:ascii="宋体" w:hAnsi="宋体" w:eastAsia="宋体" w:cs="宋体"/>
          <w:b w:val="0"/>
          <w:bCs w:val="0"/>
          <w:snapToGrid w:val="0"/>
          <w:color w:val="auto"/>
          <w:kern w:val="0"/>
          <w:sz w:val="28"/>
          <w:szCs w:val="28"/>
          <w:highlight w:val="none"/>
        </w:rPr>
      </w:pPr>
      <w:r>
        <w:rPr>
          <w:rFonts w:hint="eastAsia" w:ascii="宋体" w:hAnsi="宋体" w:eastAsia="宋体" w:cs="宋体"/>
          <w:b w:val="0"/>
          <w:bCs w:val="0"/>
          <w:snapToGrid w:val="0"/>
          <w:color w:val="auto"/>
          <w:kern w:val="0"/>
          <w:sz w:val="28"/>
          <w:szCs w:val="28"/>
          <w:highlight w:val="none"/>
        </w:rPr>
        <w:t>合同编号：</w:t>
      </w:r>
      <w:r>
        <w:rPr>
          <w:rFonts w:hint="eastAsia" w:ascii="宋体" w:hAnsi="宋体" w:eastAsia="宋体" w:cs="宋体"/>
          <w:b w:val="0"/>
          <w:bCs w:val="0"/>
          <w:snapToGrid w:val="0"/>
          <w:color w:val="auto"/>
          <w:kern w:val="0"/>
          <w:sz w:val="28"/>
          <w:szCs w:val="28"/>
          <w:highlight w:val="none"/>
          <w:u w:val="single"/>
        </w:rPr>
        <w:t xml:space="preserve">                         </w:t>
      </w:r>
      <w:r>
        <w:rPr>
          <w:rFonts w:hint="eastAsia" w:ascii="宋体" w:hAnsi="宋体" w:cs="宋体"/>
          <w:b w:val="0"/>
          <w:bCs w:val="0"/>
          <w:snapToGrid w:val="0"/>
          <w:color w:val="auto"/>
          <w:kern w:val="0"/>
          <w:sz w:val="28"/>
          <w:szCs w:val="28"/>
          <w:highlight w:val="none"/>
          <w:u w:val="single"/>
          <w:lang w:val="en-US" w:eastAsia="zh-CN"/>
        </w:rPr>
        <w:t xml:space="preserve">  </w:t>
      </w:r>
      <w:r>
        <w:rPr>
          <w:rFonts w:hint="eastAsia" w:ascii="宋体" w:hAnsi="宋体" w:eastAsia="宋体" w:cs="宋体"/>
          <w:b w:val="0"/>
          <w:bCs w:val="0"/>
          <w:snapToGrid w:val="0"/>
          <w:color w:val="auto"/>
          <w:kern w:val="0"/>
          <w:sz w:val="28"/>
          <w:szCs w:val="28"/>
          <w:highlight w:val="none"/>
          <w:u w:val="single"/>
        </w:rPr>
        <w:t xml:space="preserve">   </w:t>
      </w:r>
      <w:r>
        <w:rPr>
          <w:rFonts w:hint="eastAsia" w:ascii="宋体" w:hAnsi="宋体" w:eastAsia="宋体" w:cs="宋体"/>
          <w:b w:val="0"/>
          <w:bCs w:val="0"/>
          <w:snapToGrid w:val="0"/>
          <w:color w:val="auto"/>
          <w:kern w:val="0"/>
          <w:sz w:val="28"/>
          <w:szCs w:val="28"/>
          <w:highlight w:val="none"/>
        </w:rPr>
        <w:t xml:space="preserve"> </w:t>
      </w:r>
    </w:p>
    <w:p w14:paraId="240754AF">
      <w:pPr>
        <w:tabs>
          <w:tab w:val="left" w:pos="3296"/>
        </w:tabs>
        <w:adjustRightInd w:val="0"/>
        <w:snapToGrid w:val="0"/>
        <w:spacing w:line="600" w:lineRule="exact"/>
        <w:ind w:left="279" w:leftChars="133" w:firstLine="557" w:firstLineChars="199"/>
        <w:rPr>
          <w:rFonts w:hint="eastAsia" w:ascii="宋体" w:hAnsi="宋体" w:eastAsia="宋体" w:cs="宋体"/>
          <w:b w:val="0"/>
          <w:bCs w:val="0"/>
          <w:snapToGrid w:val="0"/>
          <w:color w:val="auto"/>
          <w:kern w:val="0"/>
          <w:sz w:val="28"/>
          <w:szCs w:val="28"/>
          <w:highlight w:val="none"/>
          <w:u w:val="single"/>
          <w:lang w:val="en-US" w:eastAsia="zh-CN"/>
        </w:rPr>
      </w:pPr>
      <w:r>
        <w:rPr>
          <w:rFonts w:hint="eastAsia" w:ascii="宋体" w:hAnsi="宋体" w:eastAsia="宋体" w:cs="宋体"/>
          <w:b w:val="0"/>
          <w:bCs w:val="0"/>
          <w:snapToGrid w:val="0"/>
          <w:color w:val="auto"/>
          <w:kern w:val="0"/>
          <w:sz w:val="28"/>
          <w:szCs w:val="28"/>
          <w:highlight w:val="none"/>
        </w:rPr>
        <w:t>项目名称：</w:t>
      </w:r>
      <w:r>
        <w:rPr>
          <w:rFonts w:hint="eastAsia" w:ascii="宋体" w:hAnsi="宋体" w:eastAsia="宋体" w:cs="宋体"/>
          <w:b w:val="0"/>
          <w:bCs w:val="0"/>
          <w:snapToGrid w:val="0"/>
          <w:color w:val="auto"/>
          <w:kern w:val="0"/>
          <w:sz w:val="28"/>
          <w:szCs w:val="28"/>
          <w:highlight w:val="none"/>
          <w:u w:val="single"/>
          <w:lang w:val="en-US" w:eastAsia="zh-CN"/>
        </w:rPr>
        <w:t>金沙洲新社区、聚德花园纯公租房</w:t>
      </w:r>
    </w:p>
    <w:p w14:paraId="28148706">
      <w:pPr>
        <w:tabs>
          <w:tab w:val="left" w:pos="3296"/>
        </w:tabs>
        <w:adjustRightInd w:val="0"/>
        <w:snapToGrid w:val="0"/>
        <w:spacing w:line="600" w:lineRule="exact"/>
        <w:ind w:left="279" w:leftChars="133" w:firstLine="1954" w:firstLineChars="698"/>
        <w:rPr>
          <w:rFonts w:hint="eastAsia" w:ascii="宋体" w:hAnsi="宋体" w:eastAsia="宋体" w:cs="宋体"/>
          <w:b w:val="0"/>
          <w:bCs w:val="0"/>
          <w:snapToGrid w:val="0"/>
          <w:color w:val="auto"/>
          <w:kern w:val="0"/>
          <w:sz w:val="28"/>
          <w:szCs w:val="28"/>
          <w:highlight w:val="none"/>
        </w:rPr>
      </w:pPr>
      <w:r>
        <w:rPr>
          <w:rFonts w:hint="eastAsia" w:ascii="宋体" w:hAnsi="宋体" w:eastAsia="宋体" w:cs="宋体"/>
          <w:b w:val="0"/>
          <w:bCs w:val="0"/>
          <w:snapToGrid w:val="0"/>
          <w:color w:val="auto"/>
          <w:kern w:val="0"/>
          <w:sz w:val="28"/>
          <w:szCs w:val="28"/>
          <w:highlight w:val="none"/>
          <w:u w:val="single"/>
          <w:lang w:val="en-US" w:eastAsia="zh-CN"/>
        </w:rPr>
        <w:t>楼栋更换电梯</w:t>
      </w:r>
      <w:r>
        <w:rPr>
          <w:rFonts w:hint="eastAsia" w:ascii="宋体" w:hAnsi="宋体" w:eastAsia="宋体" w:cs="宋体"/>
          <w:b w:val="0"/>
          <w:bCs w:val="0"/>
          <w:snapToGrid w:val="0"/>
          <w:color w:val="auto"/>
          <w:kern w:val="0"/>
          <w:sz w:val="28"/>
          <w:szCs w:val="28"/>
          <w:highlight w:val="none"/>
          <w:u w:val="single"/>
        </w:rPr>
        <w:t>项目</w:t>
      </w:r>
      <w:r>
        <w:rPr>
          <w:rFonts w:hint="eastAsia" w:ascii="宋体" w:hAnsi="宋体" w:eastAsia="宋体" w:cs="宋体"/>
          <w:b w:val="0"/>
          <w:bCs w:val="0"/>
          <w:snapToGrid w:val="0"/>
          <w:color w:val="auto"/>
          <w:kern w:val="0"/>
          <w:sz w:val="28"/>
          <w:szCs w:val="28"/>
          <w:highlight w:val="none"/>
        </w:rPr>
        <w:t xml:space="preserve"> </w:t>
      </w:r>
    </w:p>
    <w:p w14:paraId="006DD7E3">
      <w:pPr>
        <w:tabs>
          <w:tab w:val="left" w:pos="3296"/>
        </w:tabs>
        <w:adjustRightInd w:val="0"/>
        <w:snapToGrid w:val="0"/>
        <w:spacing w:line="600" w:lineRule="exact"/>
        <w:ind w:left="279" w:leftChars="133" w:firstLine="557" w:firstLineChars="199"/>
        <w:rPr>
          <w:rFonts w:hint="eastAsia" w:ascii="宋体" w:hAnsi="宋体" w:eastAsia="宋体" w:cs="宋体"/>
          <w:b w:val="0"/>
          <w:bCs w:val="0"/>
          <w:snapToGrid w:val="0"/>
          <w:color w:val="auto"/>
          <w:kern w:val="0"/>
          <w:sz w:val="28"/>
          <w:szCs w:val="28"/>
          <w:highlight w:val="none"/>
        </w:rPr>
      </w:pPr>
      <w:r>
        <w:rPr>
          <w:rFonts w:hint="eastAsia" w:ascii="宋体" w:hAnsi="宋体" w:eastAsia="宋体" w:cs="宋体"/>
          <w:b w:val="0"/>
          <w:bCs w:val="0"/>
          <w:snapToGrid w:val="0"/>
          <w:color w:val="auto"/>
          <w:kern w:val="0"/>
          <w:sz w:val="28"/>
          <w:szCs w:val="28"/>
          <w:highlight w:val="none"/>
        </w:rPr>
        <w:t>项目地点：</w:t>
      </w:r>
      <w:r>
        <w:rPr>
          <w:rFonts w:hint="eastAsia" w:ascii="宋体" w:hAnsi="宋体" w:cs="宋体"/>
          <w:color w:val="auto"/>
          <w:sz w:val="28"/>
          <w:szCs w:val="28"/>
          <w:highlight w:val="none"/>
          <w:u w:val="single"/>
          <w:lang w:val="en-US" w:eastAsia="zh-CN"/>
        </w:rPr>
        <w:t>广州市白云区、海珠区</w:t>
      </w:r>
    </w:p>
    <w:p w14:paraId="06D07D17">
      <w:pPr>
        <w:tabs>
          <w:tab w:val="left" w:pos="3296"/>
        </w:tabs>
        <w:adjustRightInd w:val="0"/>
        <w:snapToGrid w:val="0"/>
        <w:spacing w:line="600" w:lineRule="exact"/>
        <w:ind w:left="279" w:leftChars="133" w:firstLine="557" w:firstLineChars="199"/>
        <w:rPr>
          <w:rFonts w:hint="eastAsia" w:ascii="宋体" w:hAnsi="宋体" w:eastAsia="宋体" w:cs="宋体"/>
          <w:b w:val="0"/>
          <w:bCs w:val="0"/>
          <w:snapToGrid w:val="0"/>
          <w:color w:val="auto"/>
          <w:kern w:val="0"/>
          <w:sz w:val="28"/>
          <w:szCs w:val="28"/>
          <w:highlight w:val="none"/>
        </w:rPr>
      </w:pPr>
      <w:r>
        <w:rPr>
          <w:rFonts w:hint="eastAsia" w:ascii="宋体" w:hAnsi="宋体" w:cs="宋体"/>
          <w:b w:val="0"/>
          <w:bCs w:val="0"/>
          <w:snapToGrid w:val="0"/>
          <w:color w:val="auto"/>
          <w:kern w:val="0"/>
          <w:sz w:val="28"/>
          <w:szCs w:val="28"/>
          <w:highlight w:val="none"/>
          <w:lang w:eastAsia="zh-CN"/>
        </w:rPr>
        <w:t>发包人（</w:t>
      </w:r>
      <w:r>
        <w:rPr>
          <w:rFonts w:hint="eastAsia" w:ascii="宋体" w:hAnsi="宋体" w:eastAsia="宋体" w:cs="宋体"/>
          <w:b w:val="0"/>
          <w:bCs w:val="0"/>
          <w:snapToGrid w:val="0"/>
          <w:color w:val="auto"/>
          <w:kern w:val="0"/>
          <w:sz w:val="28"/>
          <w:szCs w:val="28"/>
          <w:highlight w:val="none"/>
        </w:rPr>
        <w:t>甲方</w:t>
      </w:r>
      <w:r>
        <w:rPr>
          <w:rFonts w:hint="eastAsia" w:ascii="宋体" w:hAnsi="宋体" w:cs="宋体"/>
          <w:b w:val="0"/>
          <w:bCs w:val="0"/>
          <w:snapToGrid w:val="0"/>
          <w:color w:val="auto"/>
          <w:kern w:val="0"/>
          <w:sz w:val="28"/>
          <w:szCs w:val="28"/>
          <w:highlight w:val="none"/>
          <w:lang w:eastAsia="zh-CN"/>
        </w:rPr>
        <w:t>）</w:t>
      </w:r>
      <w:r>
        <w:rPr>
          <w:rFonts w:hint="eastAsia" w:ascii="宋体" w:hAnsi="宋体" w:eastAsia="宋体" w:cs="宋体"/>
          <w:b w:val="0"/>
          <w:bCs w:val="0"/>
          <w:snapToGrid w:val="0"/>
          <w:color w:val="auto"/>
          <w:kern w:val="0"/>
          <w:sz w:val="28"/>
          <w:szCs w:val="28"/>
          <w:highlight w:val="none"/>
        </w:rPr>
        <w:t>：</w:t>
      </w:r>
      <w:r>
        <w:rPr>
          <w:rFonts w:hint="eastAsia" w:ascii="宋体" w:hAnsi="宋体" w:eastAsia="宋体" w:cs="宋体"/>
          <w:b w:val="0"/>
          <w:bCs w:val="0"/>
          <w:snapToGrid w:val="0"/>
          <w:color w:val="auto"/>
          <w:kern w:val="0"/>
          <w:sz w:val="28"/>
          <w:szCs w:val="28"/>
          <w:highlight w:val="none"/>
          <w:u w:val="single"/>
          <w:lang w:val="en-US" w:eastAsia="zh-CN"/>
        </w:rPr>
        <w:t>广州安居住房置业有限公司</w:t>
      </w:r>
      <w:r>
        <w:rPr>
          <w:rFonts w:hint="eastAsia" w:ascii="宋体" w:hAnsi="宋体" w:eastAsia="宋体" w:cs="宋体"/>
          <w:b w:val="0"/>
          <w:bCs w:val="0"/>
          <w:snapToGrid w:val="0"/>
          <w:color w:val="auto"/>
          <w:kern w:val="0"/>
          <w:sz w:val="28"/>
          <w:szCs w:val="28"/>
          <w:highlight w:val="none"/>
        </w:rPr>
        <w:t xml:space="preserve"> </w:t>
      </w:r>
    </w:p>
    <w:p w14:paraId="171E5F33">
      <w:pPr>
        <w:tabs>
          <w:tab w:val="left" w:pos="3296"/>
        </w:tabs>
        <w:adjustRightInd w:val="0"/>
        <w:snapToGrid w:val="0"/>
        <w:spacing w:line="600" w:lineRule="exact"/>
        <w:ind w:left="279" w:leftChars="133" w:firstLine="557" w:firstLineChars="199"/>
        <w:rPr>
          <w:rFonts w:hint="default" w:ascii="宋体" w:hAnsi="宋体" w:eastAsia="宋体" w:cs="宋体"/>
          <w:b w:val="0"/>
          <w:bCs w:val="0"/>
          <w:snapToGrid w:val="0"/>
          <w:color w:val="auto"/>
          <w:kern w:val="0"/>
          <w:sz w:val="28"/>
          <w:szCs w:val="28"/>
          <w:highlight w:val="none"/>
          <w:lang w:val="en-US" w:eastAsia="zh-CN"/>
        </w:rPr>
      </w:pPr>
      <w:r>
        <w:rPr>
          <w:rFonts w:hint="eastAsia" w:ascii="宋体" w:hAnsi="宋体" w:cs="宋体"/>
          <w:b w:val="0"/>
          <w:bCs w:val="0"/>
          <w:snapToGrid w:val="0"/>
          <w:color w:val="auto"/>
          <w:kern w:val="0"/>
          <w:sz w:val="28"/>
          <w:szCs w:val="28"/>
          <w:highlight w:val="none"/>
          <w:lang w:eastAsia="zh-CN"/>
        </w:rPr>
        <w:t>承包人（</w:t>
      </w:r>
      <w:r>
        <w:rPr>
          <w:rFonts w:hint="eastAsia" w:ascii="宋体" w:hAnsi="宋体" w:eastAsia="宋体" w:cs="宋体"/>
          <w:b w:val="0"/>
          <w:bCs w:val="0"/>
          <w:snapToGrid w:val="0"/>
          <w:color w:val="auto"/>
          <w:kern w:val="0"/>
          <w:sz w:val="28"/>
          <w:szCs w:val="28"/>
          <w:highlight w:val="none"/>
        </w:rPr>
        <w:t>乙方</w:t>
      </w:r>
      <w:r>
        <w:rPr>
          <w:rFonts w:hint="eastAsia" w:ascii="宋体" w:hAnsi="宋体" w:cs="宋体"/>
          <w:b w:val="0"/>
          <w:bCs w:val="0"/>
          <w:snapToGrid w:val="0"/>
          <w:color w:val="auto"/>
          <w:kern w:val="0"/>
          <w:sz w:val="28"/>
          <w:szCs w:val="28"/>
          <w:highlight w:val="none"/>
          <w:lang w:eastAsia="zh-CN"/>
        </w:rPr>
        <w:t>）</w:t>
      </w:r>
      <w:r>
        <w:rPr>
          <w:rFonts w:hint="eastAsia" w:ascii="宋体" w:hAnsi="宋体" w:eastAsia="宋体" w:cs="宋体"/>
          <w:b w:val="0"/>
          <w:bCs w:val="0"/>
          <w:snapToGrid w:val="0"/>
          <w:color w:val="auto"/>
          <w:kern w:val="0"/>
          <w:sz w:val="28"/>
          <w:szCs w:val="28"/>
          <w:highlight w:val="none"/>
        </w:rPr>
        <w:t>：</w:t>
      </w:r>
      <w:r>
        <w:rPr>
          <w:rFonts w:hint="eastAsia" w:ascii="宋体" w:hAnsi="宋体" w:eastAsia="宋体" w:cs="宋体"/>
          <w:b w:val="0"/>
          <w:bCs w:val="0"/>
          <w:snapToGrid w:val="0"/>
          <w:color w:val="auto"/>
          <w:kern w:val="0"/>
          <w:sz w:val="28"/>
          <w:szCs w:val="28"/>
          <w:highlight w:val="none"/>
          <w:u w:val="single"/>
        </w:rPr>
        <w:t xml:space="preserve">                        </w:t>
      </w:r>
    </w:p>
    <w:p w14:paraId="073DBA66">
      <w:pPr>
        <w:spacing w:line="600" w:lineRule="exact"/>
        <w:ind w:left="279" w:leftChars="133" w:firstLine="557" w:firstLineChars="199"/>
        <w:rPr>
          <w:rFonts w:hint="eastAsia" w:ascii="宋体" w:hAnsi="宋体" w:eastAsia="宋体" w:cs="宋体"/>
          <w:b w:val="0"/>
          <w:bCs w:val="0"/>
          <w:snapToGrid w:val="0"/>
          <w:color w:val="auto"/>
          <w:kern w:val="0"/>
          <w:sz w:val="28"/>
          <w:szCs w:val="28"/>
          <w:highlight w:val="none"/>
        </w:rPr>
      </w:pPr>
      <w:r>
        <w:rPr>
          <w:rFonts w:hint="eastAsia" w:ascii="宋体" w:hAnsi="宋体" w:eastAsia="宋体" w:cs="宋体"/>
          <w:b w:val="0"/>
          <w:bCs w:val="0"/>
          <w:snapToGrid w:val="0"/>
          <w:color w:val="auto"/>
          <w:kern w:val="0"/>
          <w:sz w:val="28"/>
          <w:szCs w:val="28"/>
          <w:highlight w:val="none"/>
        </w:rPr>
        <w:t>签订日期：</w:t>
      </w:r>
      <w:r>
        <w:rPr>
          <w:rFonts w:hint="eastAsia" w:ascii="宋体" w:hAnsi="宋体" w:eastAsia="宋体" w:cs="宋体"/>
          <w:b w:val="0"/>
          <w:bCs w:val="0"/>
          <w:snapToGrid w:val="0"/>
          <w:color w:val="auto"/>
          <w:kern w:val="0"/>
          <w:sz w:val="28"/>
          <w:szCs w:val="28"/>
          <w:highlight w:val="none"/>
          <w:u w:val="single"/>
        </w:rPr>
        <w:t xml:space="preserve">     年   月   日        </w:t>
      </w:r>
      <w:r>
        <w:rPr>
          <w:rFonts w:hint="eastAsia" w:ascii="宋体" w:hAnsi="宋体" w:cs="宋体"/>
          <w:b w:val="0"/>
          <w:bCs w:val="0"/>
          <w:snapToGrid w:val="0"/>
          <w:color w:val="auto"/>
          <w:kern w:val="0"/>
          <w:sz w:val="28"/>
          <w:szCs w:val="28"/>
          <w:highlight w:val="none"/>
          <w:u w:val="single"/>
          <w:lang w:val="en-US" w:eastAsia="zh-CN"/>
        </w:rPr>
        <w:t xml:space="preserve">  </w:t>
      </w:r>
      <w:r>
        <w:rPr>
          <w:rFonts w:hint="eastAsia" w:ascii="宋体" w:hAnsi="宋体" w:eastAsia="宋体" w:cs="宋体"/>
          <w:b w:val="0"/>
          <w:bCs w:val="0"/>
          <w:snapToGrid w:val="0"/>
          <w:color w:val="auto"/>
          <w:kern w:val="0"/>
          <w:sz w:val="28"/>
          <w:szCs w:val="28"/>
          <w:highlight w:val="none"/>
          <w:u w:val="single"/>
        </w:rPr>
        <w:t xml:space="preserve">   </w:t>
      </w:r>
    </w:p>
    <w:p w14:paraId="5CE88456">
      <w:pPr>
        <w:spacing w:line="600" w:lineRule="exact"/>
        <w:ind w:left="279" w:leftChars="133" w:firstLine="557" w:firstLineChars="199"/>
        <w:rPr>
          <w:rFonts w:hint="eastAsia" w:ascii="宋体" w:hAnsi="宋体" w:eastAsia="宋体" w:cs="宋体"/>
          <w:b w:val="0"/>
          <w:bCs w:val="0"/>
          <w:snapToGrid w:val="0"/>
          <w:color w:val="auto"/>
          <w:kern w:val="0"/>
          <w:sz w:val="28"/>
          <w:szCs w:val="28"/>
          <w:highlight w:val="none"/>
        </w:rPr>
      </w:pPr>
      <w:r>
        <w:rPr>
          <w:rFonts w:hint="eastAsia" w:ascii="宋体" w:hAnsi="宋体" w:eastAsia="宋体" w:cs="宋体"/>
          <w:b w:val="0"/>
          <w:bCs w:val="0"/>
          <w:snapToGrid w:val="0"/>
          <w:color w:val="auto"/>
          <w:kern w:val="0"/>
          <w:sz w:val="28"/>
          <w:szCs w:val="28"/>
          <w:highlight w:val="none"/>
        </w:rPr>
        <w:t>签订地点：</w:t>
      </w:r>
      <w:r>
        <w:rPr>
          <w:rFonts w:hint="eastAsia" w:ascii="宋体" w:hAnsi="宋体" w:eastAsia="宋体" w:cs="宋体"/>
          <w:b w:val="0"/>
          <w:bCs w:val="0"/>
          <w:snapToGrid w:val="0"/>
          <w:color w:val="auto"/>
          <w:kern w:val="0"/>
          <w:sz w:val="28"/>
          <w:szCs w:val="28"/>
          <w:highlight w:val="none"/>
          <w:u w:val="single"/>
        </w:rPr>
        <w:t>中国</w:t>
      </w:r>
      <w:r>
        <w:rPr>
          <w:rFonts w:hint="eastAsia" w:ascii="宋体" w:hAnsi="宋体" w:eastAsia="宋体" w:cs="宋体"/>
          <w:b w:val="0"/>
          <w:bCs w:val="0"/>
          <w:snapToGrid w:val="0"/>
          <w:color w:val="auto"/>
          <w:kern w:val="0"/>
          <w:sz w:val="28"/>
          <w:szCs w:val="28"/>
          <w:highlight w:val="none"/>
          <w:u w:val="single"/>
          <w:lang w:eastAsia="zh-CN"/>
        </w:rPr>
        <w:t>广东省</w:t>
      </w:r>
      <w:r>
        <w:rPr>
          <w:rFonts w:hint="eastAsia" w:ascii="宋体" w:hAnsi="宋体" w:eastAsia="宋体" w:cs="宋体"/>
          <w:b w:val="0"/>
          <w:bCs w:val="0"/>
          <w:snapToGrid w:val="0"/>
          <w:color w:val="auto"/>
          <w:kern w:val="0"/>
          <w:sz w:val="28"/>
          <w:szCs w:val="28"/>
          <w:highlight w:val="none"/>
          <w:u w:val="single"/>
        </w:rPr>
        <w:t xml:space="preserve">广州市        </w:t>
      </w:r>
      <w:r>
        <w:rPr>
          <w:rFonts w:hint="eastAsia" w:ascii="宋体" w:hAnsi="宋体" w:cs="宋体"/>
          <w:b w:val="0"/>
          <w:bCs w:val="0"/>
          <w:snapToGrid w:val="0"/>
          <w:color w:val="auto"/>
          <w:kern w:val="0"/>
          <w:sz w:val="28"/>
          <w:szCs w:val="28"/>
          <w:highlight w:val="none"/>
          <w:u w:val="single"/>
          <w:lang w:val="en-US" w:eastAsia="zh-CN"/>
        </w:rPr>
        <w:t xml:space="preserve">  </w:t>
      </w:r>
      <w:r>
        <w:rPr>
          <w:rFonts w:hint="eastAsia" w:ascii="宋体" w:hAnsi="宋体" w:eastAsia="宋体" w:cs="宋体"/>
          <w:b w:val="0"/>
          <w:bCs w:val="0"/>
          <w:snapToGrid w:val="0"/>
          <w:color w:val="auto"/>
          <w:kern w:val="0"/>
          <w:sz w:val="28"/>
          <w:szCs w:val="28"/>
          <w:highlight w:val="none"/>
          <w:u w:val="single"/>
        </w:rPr>
        <w:t xml:space="preserve">    </w:t>
      </w:r>
    </w:p>
    <w:p w14:paraId="6A6861BD">
      <w:pPr>
        <w:tabs>
          <w:tab w:val="left" w:pos="7035"/>
        </w:tabs>
        <w:spacing w:line="260" w:lineRule="exact"/>
        <w:ind w:firstLine="2100"/>
        <w:rPr>
          <w:rFonts w:hint="eastAsia" w:ascii="宋体" w:hAnsi="宋体" w:eastAsia="宋体" w:cs="宋体"/>
          <w:color w:val="auto"/>
          <w:highlight w:val="none"/>
        </w:rPr>
      </w:pPr>
    </w:p>
    <w:p w14:paraId="586D5D16">
      <w:pPr>
        <w:rPr>
          <w:rFonts w:hint="eastAsia" w:ascii="宋体" w:hAnsi="宋体" w:eastAsia="宋体" w:cs="宋体"/>
          <w:color w:val="auto"/>
          <w:highlight w:val="none"/>
        </w:rPr>
        <w:sectPr>
          <w:headerReference r:id="rId3" w:type="default"/>
          <w:footerReference r:id="rId4" w:type="default"/>
          <w:pgSz w:w="11907" w:h="16840"/>
          <w:pgMar w:top="1531" w:right="1588" w:bottom="907" w:left="1361" w:header="851" w:footer="992" w:gutter="510"/>
          <w:cols w:space="720" w:num="1"/>
          <w:docGrid w:type="lines" w:linePitch="312" w:charSpace="0"/>
        </w:sectPr>
      </w:pPr>
    </w:p>
    <w:p w14:paraId="75CA5905">
      <w:pPr>
        <w:tabs>
          <w:tab w:val="left" w:pos="3296"/>
        </w:tabs>
        <w:adjustRightInd w:val="0"/>
        <w:snapToGrid w:val="0"/>
        <w:spacing w:line="360" w:lineRule="auto"/>
        <w:jc w:val="center"/>
        <w:rPr>
          <w:rFonts w:hint="eastAsia" w:ascii="宋体" w:hAnsi="宋体" w:eastAsia="宋体" w:cs="宋体"/>
          <w:b/>
          <w:bCs/>
          <w:color w:val="auto"/>
          <w:kern w:val="2"/>
          <w:sz w:val="44"/>
          <w:szCs w:val="44"/>
          <w:highlight w:val="none"/>
          <w:lang w:val="en-US" w:eastAsia="zh-CN" w:bidi="ar-SA"/>
        </w:rPr>
      </w:pPr>
      <w:r>
        <w:rPr>
          <w:rFonts w:hint="eastAsia" w:ascii="宋体" w:hAnsi="宋体" w:eastAsia="宋体" w:cs="宋体"/>
          <w:b/>
          <w:bCs/>
          <w:color w:val="auto"/>
          <w:kern w:val="2"/>
          <w:sz w:val="44"/>
          <w:szCs w:val="44"/>
          <w:highlight w:val="none"/>
          <w:lang w:val="en-US" w:eastAsia="zh-CN" w:bidi="ar-SA"/>
        </w:rPr>
        <w:t>金沙洲新社区、聚德花园纯公租房楼栋</w:t>
      </w:r>
    </w:p>
    <w:p w14:paraId="7FDF8BF8">
      <w:pPr>
        <w:pStyle w:val="2"/>
        <w:jc w:val="center"/>
        <w:rPr>
          <w:rFonts w:hint="eastAsia" w:eastAsia="宋体"/>
          <w:color w:val="auto"/>
          <w:highlight w:val="none"/>
          <w:lang w:eastAsia="zh-CN"/>
        </w:rPr>
      </w:pPr>
      <w:r>
        <w:rPr>
          <w:rFonts w:hint="eastAsia" w:ascii="宋体" w:hAnsi="宋体" w:eastAsia="宋体" w:cs="宋体"/>
          <w:b/>
          <w:bCs/>
          <w:color w:val="auto"/>
          <w:kern w:val="2"/>
          <w:sz w:val="44"/>
          <w:szCs w:val="44"/>
          <w:highlight w:val="none"/>
          <w:lang w:val="en-US" w:eastAsia="zh-CN" w:bidi="ar-SA"/>
        </w:rPr>
        <w:t>更换电梯项目</w:t>
      </w:r>
      <w:r>
        <w:rPr>
          <w:rFonts w:hint="eastAsia" w:ascii="宋体" w:hAnsi="宋体" w:eastAsia="宋体" w:cs="宋体"/>
          <w:b/>
          <w:bCs/>
          <w:color w:val="auto"/>
          <w:sz w:val="44"/>
          <w:szCs w:val="44"/>
          <w:highlight w:val="none"/>
          <w:lang w:eastAsia="zh-CN"/>
        </w:rPr>
        <w:t>合同</w:t>
      </w:r>
    </w:p>
    <w:p w14:paraId="15D436BA">
      <w:pPr>
        <w:spacing w:line="360" w:lineRule="auto"/>
        <w:ind w:left="0" w:leftChars="0" w:right="-473" w:rightChars="-225" w:firstLine="0" w:firstLineChars="0"/>
        <w:jc w:val="left"/>
        <w:rPr>
          <w:rFonts w:hint="eastAsia" w:ascii="宋体" w:hAnsi="宋体" w:eastAsia="宋体" w:cs="宋体"/>
          <w:b/>
          <w:bCs/>
          <w:color w:val="auto"/>
          <w:sz w:val="28"/>
          <w:szCs w:val="28"/>
          <w:highlight w:val="none"/>
        </w:rPr>
      </w:pPr>
    </w:p>
    <w:p w14:paraId="094ED9D0">
      <w:pPr>
        <w:spacing w:line="360" w:lineRule="auto"/>
        <w:ind w:left="0" w:leftChars="0" w:right="-473" w:rightChars="-225" w:firstLine="0" w:firstLineChars="0"/>
        <w:jc w:val="left"/>
        <w:rPr>
          <w:rFonts w:hint="eastAsia" w:ascii="宋体" w:hAnsi="宋体" w:eastAsia="宋体" w:cs="宋体"/>
          <w:b/>
          <w:bCs/>
          <w:color w:val="auto"/>
          <w:sz w:val="28"/>
          <w:szCs w:val="28"/>
          <w:highlight w:val="none"/>
        </w:rPr>
      </w:pPr>
      <w:r>
        <w:rPr>
          <w:rFonts w:hint="eastAsia" w:ascii="宋体" w:hAnsi="宋体" w:cs="宋体"/>
          <w:b/>
          <w:bCs/>
          <w:snapToGrid w:val="0"/>
          <w:color w:val="auto"/>
          <w:kern w:val="0"/>
          <w:sz w:val="28"/>
          <w:szCs w:val="28"/>
          <w:highlight w:val="none"/>
          <w:lang w:eastAsia="zh-CN"/>
        </w:rPr>
        <w:t>发包人（</w:t>
      </w:r>
      <w:r>
        <w:rPr>
          <w:rFonts w:hint="eastAsia" w:ascii="宋体" w:hAnsi="宋体" w:eastAsia="宋体" w:cs="宋体"/>
          <w:b/>
          <w:bCs/>
          <w:snapToGrid w:val="0"/>
          <w:color w:val="auto"/>
          <w:kern w:val="0"/>
          <w:sz w:val="28"/>
          <w:szCs w:val="28"/>
          <w:highlight w:val="none"/>
        </w:rPr>
        <w:t>甲方</w:t>
      </w:r>
      <w:r>
        <w:rPr>
          <w:rFonts w:hint="eastAsia" w:ascii="宋体" w:hAnsi="宋体" w:cs="宋体"/>
          <w:b/>
          <w:bCs/>
          <w:snapToGrid w:val="0"/>
          <w:color w:val="auto"/>
          <w:kern w:val="0"/>
          <w:sz w:val="28"/>
          <w:szCs w:val="28"/>
          <w:highlight w:val="none"/>
          <w:lang w:eastAsia="zh-CN"/>
        </w:rPr>
        <w:t>）</w:t>
      </w:r>
      <w:r>
        <w:rPr>
          <w:rFonts w:hint="eastAsia" w:ascii="宋体" w:hAnsi="宋体" w:eastAsia="宋体" w:cs="宋体"/>
          <w:b/>
          <w:bCs/>
          <w:color w:val="auto"/>
          <w:sz w:val="28"/>
          <w:szCs w:val="28"/>
          <w:highlight w:val="none"/>
        </w:rPr>
        <w:t>：</w:t>
      </w:r>
      <w:r>
        <w:rPr>
          <w:rFonts w:hint="eastAsia" w:ascii="宋体" w:hAnsi="宋体" w:eastAsia="宋体" w:cs="宋体"/>
          <w:b/>
          <w:bCs/>
          <w:snapToGrid w:val="0"/>
          <w:color w:val="auto"/>
          <w:kern w:val="0"/>
          <w:sz w:val="28"/>
          <w:szCs w:val="28"/>
          <w:highlight w:val="none"/>
          <w:u w:val="single"/>
          <w:lang w:val="en-US" w:eastAsia="zh-CN" w:bidi="ar-SA"/>
        </w:rPr>
        <w:t>广州安居住房置业有限公司</w:t>
      </w:r>
      <w:r>
        <w:rPr>
          <w:rFonts w:hint="eastAsia" w:ascii="宋体" w:hAnsi="宋体" w:eastAsia="宋体" w:cs="宋体"/>
          <w:b/>
          <w:bCs/>
          <w:snapToGrid w:val="0"/>
          <w:color w:val="auto"/>
          <w:kern w:val="0"/>
          <w:sz w:val="28"/>
          <w:szCs w:val="28"/>
          <w:highlight w:val="none"/>
          <w:u w:val="single"/>
        </w:rPr>
        <w:t xml:space="preserve"> </w:t>
      </w:r>
      <w:r>
        <w:rPr>
          <w:rFonts w:hint="eastAsia" w:ascii="宋体" w:hAnsi="宋体" w:eastAsia="宋体" w:cs="宋体"/>
          <w:b/>
          <w:bCs/>
          <w:snapToGrid w:val="0"/>
          <w:color w:val="auto"/>
          <w:kern w:val="0"/>
          <w:sz w:val="28"/>
          <w:szCs w:val="28"/>
          <w:highlight w:val="none"/>
        </w:rPr>
        <w:t xml:space="preserve">    </w:t>
      </w:r>
      <w:r>
        <w:rPr>
          <w:rFonts w:hint="eastAsia" w:ascii="宋体" w:hAnsi="宋体" w:eastAsia="宋体" w:cs="宋体"/>
          <w:b/>
          <w:bCs/>
          <w:color w:val="auto"/>
          <w:sz w:val="28"/>
          <w:szCs w:val="28"/>
          <w:highlight w:val="none"/>
        </w:rPr>
        <w:t xml:space="preserve">       </w:t>
      </w:r>
    </w:p>
    <w:p w14:paraId="71FE7195">
      <w:pPr>
        <w:pStyle w:val="17"/>
        <w:adjustRightInd w:val="0"/>
        <w:snapToGrid w:val="0"/>
        <w:spacing w:line="360" w:lineRule="auto"/>
        <w:ind w:left="0" w:firstLine="0" w:firstLineChars="0"/>
        <w:rPr>
          <w:rFonts w:hint="eastAsia" w:ascii="宋体" w:hAnsi="宋体" w:eastAsia="宋体" w:cs="宋体"/>
          <w:b/>
          <w:bCs/>
          <w:snapToGrid w:val="0"/>
          <w:color w:val="auto"/>
          <w:kern w:val="0"/>
          <w:sz w:val="28"/>
          <w:szCs w:val="28"/>
          <w:highlight w:val="none"/>
          <w:lang w:val="en-US" w:eastAsia="zh-CN" w:bidi="ar-SA"/>
        </w:rPr>
      </w:pPr>
      <w:r>
        <w:rPr>
          <w:rFonts w:hint="eastAsia" w:ascii="宋体" w:hAnsi="宋体" w:cs="宋体"/>
          <w:b/>
          <w:bCs/>
          <w:snapToGrid w:val="0"/>
          <w:color w:val="auto"/>
          <w:kern w:val="0"/>
          <w:sz w:val="28"/>
          <w:szCs w:val="28"/>
          <w:highlight w:val="none"/>
          <w:lang w:eastAsia="zh-CN"/>
        </w:rPr>
        <w:t>法定代表人：</w:t>
      </w:r>
      <w:r>
        <w:rPr>
          <w:rFonts w:hint="eastAsia" w:ascii="宋体" w:hAnsi="宋体" w:eastAsia="宋体" w:cs="宋体"/>
          <w:b/>
          <w:bCs/>
          <w:snapToGrid w:val="0"/>
          <w:color w:val="auto"/>
          <w:kern w:val="0"/>
          <w:sz w:val="28"/>
          <w:szCs w:val="28"/>
          <w:highlight w:val="none"/>
          <w:u w:val="single"/>
          <w:lang w:val="en-US" w:eastAsia="zh-CN" w:bidi="ar-SA"/>
        </w:rPr>
        <w:t>张建业</w:t>
      </w:r>
    </w:p>
    <w:p w14:paraId="52F1D71B">
      <w:pPr>
        <w:pStyle w:val="17"/>
        <w:adjustRightInd w:val="0"/>
        <w:snapToGrid w:val="0"/>
        <w:spacing w:line="360" w:lineRule="auto"/>
        <w:ind w:left="0" w:firstLine="0" w:firstLineChars="0"/>
        <w:rPr>
          <w:rFonts w:hint="eastAsia" w:ascii="宋体" w:hAnsi="宋体" w:cs="宋体"/>
          <w:b/>
          <w:bCs/>
          <w:color w:val="auto"/>
          <w:sz w:val="28"/>
          <w:szCs w:val="28"/>
          <w:highlight w:val="none"/>
          <w:lang w:eastAsia="zh-CN"/>
        </w:rPr>
      </w:pPr>
      <w:bookmarkStart w:id="1" w:name="OLE_LINK14"/>
      <w:r>
        <w:rPr>
          <w:rFonts w:hint="eastAsia" w:ascii="宋体" w:hAnsi="宋体" w:cs="宋体"/>
          <w:b/>
          <w:bCs/>
          <w:color w:val="auto"/>
          <w:sz w:val="28"/>
          <w:szCs w:val="28"/>
          <w:highlight w:val="none"/>
          <w:lang w:eastAsia="zh-CN"/>
        </w:rPr>
        <w:t>地址：</w:t>
      </w:r>
    </w:p>
    <w:p w14:paraId="5A718567">
      <w:pPr>
        <w:pStyle w:val="17"/>
        <w:adjustRightInd w:val="0"/>
        <w:snapToGrid w:val="0"/>
        <w:spacing w:line="360" w:lineRule="auto"/>
        <w:ind w:left="0" w:firstLine="0" w:firstLineChars="0"/>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统一社会信用代码：</w:t>
      </w:r>
    </w:p>
    <w:bookmarkEnd w:id="1"/>
    <w:p w14:paraId="60FF86F3">
      <w:pPr>
        <w:spacing w:line="360" w:lineRule="auto"/>
        <w:ind w:left="0" w:leftChars="0" w:right="-473" w:rightChars="-225" w:firstLine="0" w:firstLineChars="0"/>
        <w:jc w:val="left"/>
        <w:rPr>
          <w:rFonts w:hint="eastAsia" w:ascii="宋体" w:hAnsi="宋体" w:eastAsia="宋体" w:cs="宋体"/>
          <w:b/>
          <w:bCs/>
          <w:color w:val="auto"/>
          <w:sz w:val="28"/>
          <w:szCs w:val="28"/>
          <w:highlight w:val="none"/>
        </w:rPr>
      </w:pPr>
      <w:r>
        <w:rPr>
          <w:rFonts w:hint="eastAsia" w:ascii="宋体" w:hAnsi="宋体" w:cs="宋体"/>
          <w:b/>
          <w:bCs/>
          <w:snapToGrid w:val="0"/>
          <w:color w:val="auto"/>
          <w:kern w:val="0"/>
          <w:sz w:val="28"/>
          <w:szCs w:val="28"/>
          <w:highlight w:val="none"/>
          <w:lang w:eastAsia="zh-CN"/>
        </w:rPr>
        <w:t>承包人（</w:t>
      </w:r>
      <w:r>
        <w:rPr>
          <w:rFonts w:hint="eastAsia" w:ascii="宋体" w:hAnsi="宋体" w:eastAsia="宋体" w:cs="宋体"/>
          <w:b/>
          <w:bCs/>
          <w:snapToGrid w:val="0"/>
          <w:color w:val="auto"/>
          <w:kern w:val="0"/>
          <w:sz w:val="28"/>
          <w:szCs w:val="28"/>
          <w:highlight w:val="none"/>
        </w:rPr>
        <w:t>乙方</w:t>
      </w:r>
      <w:r>
        <w:rPr>
          <w:rFonts w:hint="eastAsia" w:ascii="宋体" w:hAnsi="宋体" w:cs="宋体"/>
          <w:b/>
          <w:bCs/>
          <w:snapToGrid w:val="0"/>
          <w:color w:val="auto"/>
          <w:kern w:val="0"/>
          <w:sz w:val="28"/>
          <w:szCs w:val="28"/>
          <w:highlight w:val="none"/>
          <w:lang w:eastAsia="zh-CN"/>
        </w:rPr>
        <w:t>）</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p>
    <w:p w14:paraId="339947C6">
      <w:pPr>
        <w:pStyle w:val="17"/>
        <w:adjustRightInd w:val="0"/>
        <w:snapToGrid w:val="0"/>
        <w:spacing w:line="360" w:lineRule="auto"/>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snapToGrid w:val="0"/>
          <w:color w:val="auto"/>
          <w:kern w:val="0"/>
          <w:sz w:val="28"/>
          <w:szCs w:val="28"/>
          <w:highlight w:val="none"/>
          <w:lang w:eastAsia="zh-CN"/>
        </w:rPr>
        <w:t>法定代表人：</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   </w:t>
      </w:r>
    </w:p>
    <w:p w14:paraId="5CFE6802">
      <w:pPr>
        <w:pStyle w:val="17"/>
        <w:adjustRightInd w:val="0"/>
        <w:snapToGrid w:val="0"/>
        <w:spacing w:line="360" w:lineRule="auto"/>
        <w:ind w:left="0" w:firstLine="0" w:firstLineChars="0"/>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地址：</w:t>
      </w:r>
    </w:p>
    <w:p w14:paraId="7C6E466B">
      <w:pPr>
        <w:pStyle w:val="17"/>
        <w:adjustRightInd w:val="0"/>
        <w:snapToGrid w:val="0"/>
        <w:spacing w:line="360" w:lineRule="auto"/>
        <w:ind w:left="0" w:firstLine="0" w:firstLineChars="0"/>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统一社会信用代码：</w:t>
      </w:r>
    </w:p>
    <w:p w14:paraId="24101CDC">
      <w:pPr>
        <w:pStyle w:val="17"/>
        <w:adjustRightInd w:val="0"/>
        <w:snapToGrid w:val="0"/>
        <w:spacing w:line="360" w:lineRule="auto"/>
        <w:ind w:left="0" w:firstLine="0" w:firstLineChars="0"/>
        <w:rPr>
          <w:rFonts w:hint="eastAsia" w:ascii="宋体" w:hAnsi="宋体" w:cs="宋体"/>
          <w:b/>
          <w:color w:val="auto"/>
          <w:sz w:val="28"/>
          <w:szCs w:val="28"/>
          <w:highlight w:val="none"/>
          <w:lang w:eastAsia="zh-CN"/>
        </w:rPr>
      </w:pPr>
    </w:p>
    <w:p w14:paraId="22D1FC17">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甲乙双方依据《中华人民共和国民法典》，《中华人民共和国建筑法》、《中华人民共和国特种设备安全法》及其他有关法律法规</w:t>
      </w:r>
      <w:r>
        <w:rPr>
          <w:rFonts w:hint="eastAsia" w:ascii="宋体" w:hAnsi="宋体" w:eastAsia="宋体" w:cs="宋体"/>
          <w:color w:val="auto"/>
          <w:sz w:val="28"/>
          <w:szCs w:val="28"/>
          <w:highlight w:val="none"/>
          <w:lang w:eastAsia="zh-CN"/>
        </w:rPr>
        <w:t>，遵循平等、自愿、公平和诚实信用的原则，</w:t>
      </w:r>
      <w:r>
        <w:rPr>
          <w:rFonts w:hint="eastAsia" w:ascii="宋体" w:hAnsi="宋体" w:eastAsia="宋体" w:cs="宋体"/>
          <w:color w:val="auto"/>
          <w:sz w:val="28"/>
          <w:szCs w:val="28"/>
          <w:highlight w:val="none"/>
        </w:rPr>
        <w:t>就</w:t>
      </w:r>
      <w:r>
        <w:rPr>
          <w:rFonts w:hint="eastAsia" w:ascii="宋体" w:hAnsi="宋体" w:eastAsia="宋体" w:cs="宋体"/>
          <w:bCs/>
          <w:color w:val="auto"/>
          <w:sz w:val="28"/>
          <w:szCs w:val="28"/>
          <w:highlight w:val="none"/>
          <w:u w:val="single"/>
          <w:lang w:val="en-US" w:eastAsia="zh-CN"/>
        </w:rPr>
        <w:t>金沙洲新社区、聚德花园纯公租房楼栋更换电梯</w:t>
      </w:r>
      <w:r>
        <w:rPr>
          <w:rFonts w:hint="eastAsia" w:ascii="宋体" w:hAnsi="宋体" w:eastAsia="宋体" w:cs="宋体"/>
          <w:bCs/>
          <w:color w:val="auto"/>
          <w:sz w:val="28"/>
          <w:szCs w:val="28"/>
          <w:highlight w:val="none"/>
          <w:u w:val="single"/>
        </w:rPr>
        <w:t>项目</w:t>
      </w:r>
      <w:r>
        <w:rPr>
          <w:rFonts w:hint="eastAsia" w:ascii="宋体" w:hAnsi="宋体" w:eastAsia="宋体" w:cs="宋体"/>
          <w:color w:val="auto"/>
          <w:sz w:val="28"/>
          <w:szCs w:val="28"/>
          <w:highlight w:val="none"/>
        </w:rPr>
        <w:t>，经双方协商一致，签订本合同</w:t>
      </w:r>
      <w:r>
        <w:rPr>
          <w:rFonts w:hint="eastAsia" w:ascii="宋体" w:hAnsi="宋体" w:eastAsia="宋体" w:cs="宋体"/>
          <w:color w:val="auto"/>
          <w:sz w:val="28"/>
          <w:szCs w:val="28"/>
          <w:highlight w:val="none"/>
          <w:lang w:eastAsia="zh-CN"/>
        </w:rPr>
        <w:t>。</w:t>
      </w:r>
    </w:p>
    <w:p w14:paraId="69A33B89">
      <w:pPr>
        <w:keepNext w:val="0"/>
        <w:keepLines w:val="0"/>
        <w:pageBreakBefore w:val="0"/>
        <w:kinsoku/>
        <w:wordWrap/>
        <w:overflowPunct/>
        <w:bidi w:val="0"/>
        <w:adjustRightInd/>
        <w:snapToGrid/>
        <w:spacing w:line="360" w:lineRule="auto"/>
        <w:ind w:firstLine="562"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一、项目概况</w:t>
      </w:r>
    </w:p>
    <w:p w14:paraId="51326E33">
      <w:pPr>
        <w:pStyle w:val="2"/>
        <w:keepNext w:val="0"/>
        <w:keepLines w:val="0"/>
        <w:pageBreakBefore w:val="0"/>
        <w:kinsoku/>
        <w:wordWrap/>
        <w:overflowPunct/>
        <w:bidi w:val="0"/>
        <w:adjustRightInd/>
        <w:snapToGrid/>
        <w:spacing w:line="360" w:lineRule="auto"/>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rPr>
        <w:t>名称：</w:t>
      </w:r>
      <w:r>
        <w:rPr>
          <w:rFonts w:hint="eastAsia" w:ascii="宋体" w:hAnsi="宋体" w:eastAsia="宋体" w:cs="宋体"/>
          <w:bCs/>
          <w:color w:val="auto"/>
          <w:sz w:val="28"/>
          <w:szCs w:val="28"/>
          <w:highlight w:val="none"/>
          <w:u w:val="single"/>
          <w:lang w:val="en-US" w:eastAsia="zh-CN"/>
        </w:rPr>
        <w:t>金沙洲新社区、聚德花园纯公租房楼栋更换电梯</w:t>
      </w:r>
      <w:r>
        <w:rPr>
          <w:rFonts w:hint="eastAsia" w:ascii="宋体" w:hAnsi="宋体" w:eastAsia="宋体" w:cs="宋体"/>
          <w:color w:val="auto"/>
          <w:kern w:val="2"/>
          <w:sz w:val="28"/>
          <w:szCs w:val="28"/>
          <w:highlight w:val="none"/>
          <w:u w:val="single"/>
          <w:lang w:val="en-US" w:eastAsia="zh-CN" w:bidi="ar-SA"/>
        </w:rPr>
        <w:t>项目</w:t>
      </w:r>
      <w:bookmarkStart w:id="2" w:name="OLE_LINK27"/>
      <w:r>
        <w:rPr>
          <w:rFonts w:hint="eastAsia" w:ascii="宋体" w:hAnsi="宋体" w:eastAsia="宋体" w:cs="宋体"/>
          <w:color w:val="auto"/>
          <w:kern w:val="2"/>
          <w:sz w:val="28"/>
          <w:szCs w:val="28"/>
          <w:highlight w:val="none"/>
          <w:u w:val="single"/>
          <w:lang w:val="en-US" w:eastAsia="zh-CN" w:bidi="ar-SA"/>
        </w:rPr>
        <w:t>（以下简称“本项目”）</w:t>
      </w:r>
      <w:bookmarkEnd w:id="2"/>
      <w:r>
        <w:rPr>
          <w:rFonts w:hint="eastAsia" w:ascii="宋体" w:hAnsi="宋体" w:eastAsia="宋体" w:cs="宋体"/>
          <w:color w:val="auto"/>
          <w:kern w:val="2"/>
          <w:sz w:val="28"/>
          <w:szCs w:val="28"/>
          <w:highlight w:val="none"/>
          <w:u w:val="single"/>
          <w:lang w:val="en-US" w:eastAsia="zh-CN" w:bidi="ar-SA"/>
        </w:rPr>
        <w:t xml:space="preserve">。 </w:t>
      </w:r>
    </w:p>
    <w:p w14:paraId="2219DB6B">
      <w:pPr>
        <w:pStyle w:val="2"/>
        <w:keepNext w:val="0"/>
        <w:keepLines w:val="0"/>
        <w:pageBreakBefore w:val="0"/>
        <w:kinsoku/>
        <w:wordWrap/>
        <w:overflowPunct/>
        <w:bidi w:val="0"/>
        <w:adjustRightInd/>
        <w:snapToGrid/>
        <w:spacing w:line="360" w:lineRule="auto"/>
        <w:ind w:firstLine="560" w:firstLineChars="200"/>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rPr>
        <w:t>地点：</w:t>
      </w:r>
      <w:r>
        <w:rPr>
          <w:rFonts w:hint="eastAsia" w:ascii="宋体" w:hAnsi="宋体" w:cs="宋体"/>
          <w:color w:val="auto"/>
          <w:sz w:val="28"/>
          <w:szCs w:val="28"/>
          <w:highlight w:val="none"/>
          <w:u w:val="single"/>
          <w:lang w:val="en-US" w:eastAsia="zh-CN"/>
        </w:rPr>
        <w:t>广州市白云区、海珠区</w:t>
      </w:r>
      <w:r>
        <w:rPr>
          <w:rFonts w:hint="eastAsia" w:ascii="宋体" w:hAnsi="宋体" w:eastAsia="宋体" w:cs="宋体"/>
          <w:color w:val="auto"/>
          <w:sz w:val="28"/>
          <w:szCs w:val="28"/>
          <w:highlight w:val="none"/>
          <w:lang w:eastAsia="zh-CN"/>
        </w:rPr>
        <w:t>。</w:t>
      </w:r>
    </w:p>
    <w:p w14:paraId="1119A19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val="en-US" w:eastAsia="zh-CN"/>
        </w:rPr>
        <w:t>1.3</w:t>
      </w:r>
      <w:r>
        <w:rPr>
          <w:rFonts w:hint="eastAsia" w:ascii="宋体" w:hAnsi="宋体" w:eastAsia="宋体" w:cs="宋体"/>
          <w:color w:val="auto"/>
          <w:sz w:val="28"/>
          <w:szCs w:val="28"/>
          <w:highlight w:val="none"/>
          <w:lang w:eastAsia="zh-CN"/>
        </w:rPr>
        <w:t>项目概况：</w:t>
      </w:r>
      <w:r>
        <w:rPr>
          <w:rFonts w:hint="eastAsia" w:ascii="宋体" w:hAnsi="宋体" w:cs="宋体"/>
          <w:color w:val="auto"/>
          <w:sz w:val="28"/>
          <w:szCs w:val="28"/>
          <w:highlight w:val="none"/>
          <w:u w:val="single"/>
          <w:lang w:val="en-US" w:eastAsia="zh-CN"/>
        </w:rPr>
        <w:t>金沙洲新社区和聚德花园属于安居住房公司管理的保障性住房小区，其中春和一巷1号、春和一巷7号、春和二巷3号、春和二巷5号、春和一巷3号、民和二巷6号、春和一巷8号、春和一巷6号、聚德中街6号、聚德中街8号和聚德中街10号等11个纯公租房楼栋，合计15台电梯设备，投入使用时间为2008年，至今已达17年。</w:t>
      </w:r>
    </w:p>
    <w:p w14:paraId="13C4CC24">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二、承包范围</w:t>
      </w:r>
    </w:p>
    <w:p w14:paraId="20BB876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u w:val="single"/>
          <w:lang w:eastAsia="zh-CN"/>
        </w:rPr>
        <w:t>对</w:t>
      </w:r>
      <w:r>
        <w:rPr>
          <w:rFonts w:hint="eastAsia" w:ascii="宋体" w:hAnsi="宋体" w:eastAsia="宋体" w:cs="宋体"/>
          <w:color w:val="auto"/>
          <w:sz w:val="28"/>
          <w:szCs w:val="28"/>
          <w:highlight w:val="none"/>
          <w:u w:val="single"/>
          <w:lang w:val="en-US" w:eastAsia="zh-CN"/>
        </w:rPr>
        <w:t>金沙洲新社区、聚德花园纯公租房楼栋</w:t>
      </w:r>
      <w:r>
        <w:rPr>
          <w:rFonts w:hint="eastAsia" w:ascii="宋体" w:hAnsi="宋体" w:eastAsia="宋体" w:cs="宋体"/>
          <w:color w:val="auto"/>
          <w:sz w:val="28"/>
          <w:szCs w:val="28"/>
          <w:highlight w:val="none"/>
          <w:u w:val="single"/>
          <w:lang w:eastAsia="zh-CN"/>
        </w:rPr>
        <w:t>共计</w:t>
      </w:r>
      <w:r>
        <w:rPr>
          <w:rFonts w:hint="eastAsia" w:ascii="宋体" w:hAnsi="宋体" w:eastAsia="宋体" w:cs="宋体"/>
          <w:color w:val="auto"/>
          <w:sz w:val="28"/>
          <w:szCs w:val="28"/>
          <w:highlight w:val="none"/>
          <w:u w:val="single"/>
          <w:lang w:val="en-US" w:eastAsia="zh-CN"/>
        </w:rPr>
        <w:t>15台垂直</w:t>
      </w:r>
      <w:r>
        <w:rPr>
          <w:rFonts w:hint="eastAsia" w:ascii="宋体" w:hAnsi="宋体" w:eastAsia="宋体" w:cs="宋体"/>
          <w:color w:val="auto"/>
          <w:sz w:val="28"/>
          <w:szCs w:val="28"/>
          <w:highlight w:val="none"/>
          <w:u w:val="single"/>
        </w:rPr>
        <w:t>电梯</w:t>
      </w:r>
      <w:r>
        <w:rPr>
          <w:rFonts w:hint="eastAsia" w:ascii="宋体" w:hAnsi="宋体" w:eastAsia="宋体" w:cs="宋体"/>
          <w:color w:val="auto"/>
          <w:sz w:val="28"/>
          <w:szCs w:val="28"/>
          <w:highlight w:val="none"/>
          <w:u w:val="single"/>
          <w:lang w:eastAsia="zh-CN"/>
        </w:rPr>
        <w:t>（</w:t>
      </w:r>
      <w:r>
        <w:rPr>
          <w:rFonts w:hint="eastAsia" w:ascii="宋体" w:hAnsi="宋体" w:cs="宋体"/>
          <w:color w:val="auto"/>
          <w:sz w:val="28"/>
          <w:szCs w:val="28"/>
          <w:highlight w:val="none"/>
          <w:u w:val="single"/>
          <w:lang w:eastAsia="zh-CN"/>
        </w:rPr>
        <w:t>具体参数详见附件</w:t>
      </w:r>
      <w:r>
        <w:rPr>
          <w:rFonts w:hint="eastAsia" w:ascii="宋体" w:hAnsi="宋体" w:cs="宋体"/>
          <w:color w:val="auto"/>
          <w:sz w:val="28"/>
          <w:szCs w:val="28"/>
          <w:highlight w:val="none"/>
          <w:u w:val="single"/>
          <w:lang w:val="en-US" w:eastAsia="zh-CN"/>
        </w:rPr>
        <w:t>1《</w:t>
      </w:r>
      <w:r>
        <w:rPr>
          <w:rFonts w:hint="eastAsia" w:ascii="宋体" w:hAnsi="宋体" w:eastAsia="宋体" w:cs="宋体"/>
          <w:color w:val="auto"/>
          <w:sz w:val="30"/>
          <w:szCs w:val="30"/>
          <w:highlight w:val="none"/>
          <w:u w:val="single"/>
          <w:lang w:val="en-US" w:eastAsia="zh-CN"/>
        </w:rPr>
        <w:t>金沙洲新社区、聚德花园纯公租房楼栋更换电梯项目采购需求书</w:t>
      </w:r>
      <w:r>
        <w:rPr>
          <w:rFonts w:hint="eastAsia" w:ascii="宋体" w:hAnsi="宋体" w:cs="宋体"/>
          <w:color w:val="auto"/>
          <w:sz w:val="28"/>
          <w:szCs w:val="28"/>
          <w:highlight w:val="none"/>
          <w:u w:val="single"/>
          <w:lang w:val="en-US" w:eastAsia="zh-CN"/>
        </w:rPr>
        <w:t>》</w:t>
      </w:r>
      <w:r>
        <w:rPr>
          <w:rFonts w:hint="eastAsia" w:ascii="宋体" w:hAnsi="宋体" w:eastAsia="宋体" w:cs="宋体"/>
          <w:color w:val="auto"/>
          <w:kern w:val="2"/>
          <w:sz w:val="28"/>
          <w:szCs w:val="28"/>
          <w:highlight w:val="none"/>
          <w:u w:val="single"/>
          <w:lang w:val="en-US" w:eastAsia="zh-CN" w:bidi="ar-SA"/>
        </w:rPr>
        <w:t>以下简称“</w:t>
      </w:r>
      <w:bookmarkStart w:id="3" w:name="OLE_LINK28"/>
      <w:r>
        <w:rPr>
          <w:rFonts w:hint="eastAsia" w:ascii="宋体" w:hAnsi="宋体" w:cs="宋体"/>
          <w:color w:val="auto"/>
          <w:kern w:val="2"/>
          <w:sz w:val="28"/>
          <w:szCs w:val="28"/>
          <w:highlight w:val="none"/>
          <w:u w:val="single"/>
          <w:lang w:val="en-US" w:eastAsia="zh-CN" w:bidi="ar-SA"/>
        </w:rPr>
        <w:t>采购需求书</w:t>
      </w:r>
      <w:bookmarkEnd w:id="3"/>
      <w:r>
        <w:rPr>
          <w:rFonts w:hint="eastAsia" w:ascii="宋体" w:hAnsi="宋体" w:eastAsia="宋体" w:cs="宋体"/>
          <w:color w:val="auto"/>
          <w:kern w:val="2"/>
          <w:sz w:val="28"/>
          <w:szCs w:val="28"/>
          <w:highlight w:val="none"/>
          <w:u w:val="single"/>
          <w:lang w:val="en-US" w:eastAsia="zh-CN" w:bidi="ar-SA"/>
        </w:rPr>
        <w:t>”</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t>设备采购和安装及相关服务，包括但不限于对</w:t>
      </w:r>
      <w:r>
        <w:rPr>
          <w:rFonts w:hint="eastAsia" w:ascii="宋体" w:hAnsi="宋体" w:eastAsia="宋体" w:cs="宋体"/>
          <w:color w:val="auto"/>
          <w:sz w:val="28"/>
          <w:szCs w:val="28"/>
          <w:highlight w:val="none"/>
          <w:u w:val="single"/>
          <w:lang w:val="en-US" w:eastAsia="zh-CN"/>
        </w:rPr>
        <w:t>本项目</w:t>
      </w:r>
      <w:r>
        <w:rPr>
          <w:rFonts w:hint="eastAsia" w:ascii="宋体" w:hAnsi="宋体" w:eastAsia="宋体" w:cs="宋体"/>
          <w:color w:val="auto"/>
          <w:sz w:val="28"/>
          <w:szCs w:val="28"/>
          <w:highlight w:val="none"/>
          <w:u w:val="single"/>
        </w:rPr>
        <w:t>旧有电梯的拆除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lang w:val="en-US" w:eastAsia="zh-CN"/>
        </w:rPr>
        <w:t>新装</w:t>
      </w:r>
      <w:r>
        <w:rPr>
          <w:rFonts w:hint="eastAsia" w:ascii="宋体" w:hAnsi="宋体" w:eastAsia="宋体" w:cs="宋体"/>
          <w:color w:val="auto"/>
          <w:sz w:val="28"/>
          <w:szCs w:val="28"/>
          <w:highlight w:val="none"/>
          <w:u w:val="single"/>
        </w:rPr>
        <w:t>电梯设备及随机附件的设计、制造、包装、仓储、运输(包括装卸)、</w:t>
      </w:r>
      <w:r>
        <w:rPr>
          <w:rFonts w:hint="eastAsia" w:ascii="宋体" w:hAnsi="宋体" w:eastAsia="宋体" w:cs="宋体"/>
          <w:color w:val="auto"/>
          <w:sz w:val="28"/>
          <w:szCs w:val="28"/>
          <w:highlight w:val="none"/>
          <w:u w:val="single"/>
          <w:lang w:val="en-US" w:eastAsia="zh-CN"/>
        </w:rPr>
        <w:t>保险、</w:t>
      </w:r>
      <w:r>
        <w:rPr>
          <w:rFonts w:hint="eastAsia" w:ascii="宋体" w:hAnsi="宋体" w:eastAsia="宋体" w:cs="宋体"/>
          <w:color w:val="auto"/>
          <w:sz w:val="28"/>
          <w:szCs w:val="28"/>
          <w:highlight w:val="none"/>
          <w:u w:val="single"/>
        </w:rPr>
        <w:t>安装、调试、验收、验收后的移交、结算、培训、技术服务（包括设计联络）、质保期</w:t>
      </w:r>
      <w:r>
        <w:rPr>
          <w:rFonts w:hint="eastAsia" w:ascii="宋体" w:hAnsi="宋体" w:eastAsia="宋体" w:cs="宋体"/>
          <w:color w:val="auto"/>
          <w:sz w:val="28"/>
          <w:szCs w:val="28"/>
          <w:highlight w:val="none"/>
          <w:u w:val="single"/>
          <w:lang w:val="en-US" w:eastAsia="zh-CN"/>
        </w:rPr>
        <w:t>服务</w:t>
      </w:r>
      <w:r>
        <w:rPr>
          <w:rFonts w:hint="eastAsia" w:ascii="宋体" w:hAnsi="宋体" w:eastAsia="宋体" w:cs="宋体"/>
          <w:color w:val="auto"/>
          <w:sz w:val="28"/>
          <w:szCs w:val="28"/>
          <w:highlight w:val="none"/>
          <w:u w:val="single"/>
        </w:rPr>
        <w:t>保障、</w:t>
      </w:r>
      <w:r>
        <w:rPr>
          <w:rFonts w:hint="eastAsia" w:ascii="宋体" w:hAnsi="宋体" w:eastAsia="宋体" w:cs="宋体"/>
          <w:color w:val="auto"/>
          <w:sz w:val="28"/>
          <w:szCs w:val="28"/>
          <w:highlight w:val="none"/>
          <w:u w:val="single"/>
          <w:lang w:val="en-US" w:eastAsia="zh-CN"/>
        </w:rPr>
        <w:t>电梯报装、报验及</w:t>
      </w:r>
      <w:r>
        <w:rPr>
          <w:rFonts w:hint="eastAsia" w:ascii="宋体" w:hAnsi="宋体" w:eastAsia="宋体" w:cs="宋体"/>
          <w:color w:val="auto"/>
          <w:sz w:val="28"/>
          <w:szCs w:val="28"/>
          <w:highlight w:val="none"/>
          <w:u w:val="single"/>
        </w:rPr>
        <w:t>取得《电梯使用登记证》和《安全检验合格证》及其他相关服务。</w:t>
      </w:r>
      <w:r>
        <w:rPr>
          <w:rFonts w:hint="eastAsia" w:ascii="宋体" w:hAnsi="宋体" w:eastAsia="宋体" w:cs="宋体"/>
          <w:color w:val="auto"/>
          <w:sz w:val="28"/>
          <w:szCs w:val="28"/>
          <w:highlight w:val="none"/>
          <w:u w:val="single"/>
          <w:lang w:eastAsia="zh-CN"/>
        </w:rPr>
        <w:t>具体内容详见</w:t>
      </w:r>
      <w:r>
        <w:rPr>
          <w:rFonts w:hint="eastAsia" w:ascii="宋体" w:hAnsi="宋体" w:cs="宋体"/>
          <w:color w:val="auto"/>
          <w:sz w:val="28"/>
          <w:szCs w:val="28"/>
          <w:highlight w:val="none"/>
          <w:u w:val="single"/>
          <w:lang w:eastAsia="zh-CN"/>
        </w:rPr>
        <w:t>采购</w:t>
      </w:r>
      <w:r>
        <w:rPr>
          <w:rFonts w:hint="eastAsia" w:ascii="宋体" w:hAnsi="宋体" w:eastAsia="宋体" w:cs="宋体"/>
          <w:color w:val="auto"/>
          <w:sz w:val="28"/>
          <w:szCs w:val="28"/>
          <w:highlight w:val="none"/>
          <w:u w:val="single"/>
          <w:lang w:eastAsia="zh-CN"/>
        </w:rPr>
        <w:t>需求书。</w:t>
      </w:r>
    </w:p>
    <w:p w14:paraId="37BE54B1">
      <w:pPr>
        <w:pStyle w:val="2"/>
        <w:keepNext w:val="0"/>
        <w:keepLines w:val="0"/>
        <w:pageBreakBefore w:val="0"/>
        <w:numPr>
          <w:ilvl w:val="-1"/>
          <w:numId w:val="0"/>
        </w:numPr>
        <w:kinsoku/>
        <w:wordWrap/>
        <w:overflowPunct/>
        <w:bidi w:val="0"/>
        <w:adjustRightInd/>
        <w:snapToGrid/>
        <w:spacing w:line="360" w:lineRule="auto"/>
        <w:ind w:firstLine="562" w:firstLineChars="200"/>
        <w:jc w:val="both"/>
        <w:textAlignment w:val="auto"/>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三、</w:t>
      </w:r>
      <w:r>
        <w:rPr>
          <w:rFonts w:hint="eastAsia" w:ascii="宋体" w:hAnsi="宋体" w:eastAsia="宋体" w:cs="宋体"/>
          <w:b/>
          <w:bCs/>
          <w:color w:val="auto"/>
          <w:sz w:val="28"/>
          <w:szCs w:val="28"/>
          <w:highlight w:val="none"/>
          <w:lang w:eastAsia="zh-CN"/>
        </w:rPr>
        <w:t>工作内容</w:t>
      </w:r>
    </w:p>
    <w:p w14:paraId="244133A1">
      <w:pPr>
        <w:pStyle w:val="2"/>
        <w:keepNext w:val="0"/>
        <w:keepLines w:val="0"/>
        <w:pageBreakBefore w:val="0"/>
        <w:kinsoku/>
        <w:wordWrap/>
        <w:overflowPunct/>
        <w:bidi w:val="0"/>
        <w:adjustRightInd/>
        <w:snapToGrid/>
        <w:spacing w:after="0" w:line="360" w:lineRule="auto"/>
        <w:ind w:firstLine="56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.1拆除原有电梯所有部件（包括楼层踏板及门套）</w:t>
      </w:r>
      <w:r>
        <w:rPr>
          <w:rFonts w:hint="eastAsia" w:ascii="宋体" w:hAnsi="宋体" w:cs="宋体"/>
          <w:color w:val="auto"/>
          <w:sz w:val="28"/>
          <w:szCs w:val="28"/>
          <w:highlight w:val="none"/>
          <w:lang w:val="en-US" w:eastAsia="zh-CN"/>
        </w:rPr>
        <w:t>并对</w:t>
      </w:r>
      <w:r>
        <w:rPr>
          <w:rFonts w:hint="eastAsia" w:ascii="宋体" w:hAnsi="宋体" w:eastAsia="宋体" w:cs="宋体"/>
          <w:color w:val="auto"/>
          <w:sz w:val="28"/>
          <w:szCs w:val="28"/>
          <w:highlight w:val="none"/>
        </w:rPr>
        <w:t>除首层以外所有厅门门套除锈</w:t>
      </w:r>
      <w:r>
        <w:rPr>
          <w:rFonts w:hint="eastAsia" w:ascii="宋体" w:hAnsi="宋体" w:cs="宋体"/>
          <w:color w:val="auto"/>
          <w:sz w:val="28"/>
          <w:szCs w:val="28"/>
          <w:highlight w:val="none"/>
          <w:lang w:eastAsia="zh-CN"/>
        </w:rPr>
        <w:t>打磨</w:t>
      </w:r>
      <w:r>
        <w:rPr>
          <w:rFonts w:hint="eastAsia" w:ascii="宋体" w:hAnsi="宋体" w:eastAsia="宋体" w:cs="宋体"/>
          <w:color w:val="auto"/>
          <w:sz w:val="28"/>
          <w:szCs w:val="28"/>
          <w:highlight w:val="none"/>
        </w:rPr>
        <w:t>翻新处理，并负责清运、处理和残值回收。</w:t>
      </w:r>
    </w:p>
    <w:p w14:paraId="297F0E7C">
      <w:pPr>
        <w:pStyle w:val="2"/>
        <w:keepNext w:val="0"/>
        <w:keepLines w:val="0"/>
        <w:pageBreakBefore w:val="0"/>
        <w:kinsoku/>
        <w:wordWrap/>
        <w:overflowPunct/>
        <w:bidi w:val="0"/>
        <w:adjustRightInd/>
        <w:snapToGrid/>
        <w:spacing w:after="0" w:line="360" w:lineRule="auto"/>
        <w:ind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.2对原有电梯底坑、井道、机房等改造修整，满足新电梯安装要求。</w:t>
      </w:r>
    </w:p>
    <w:p w14:paraId="6C39466C">
      <w:pPr>
        <w:pStyle w:val="2"/>
        <w:keepNext w:val="0"/>
        <w:keepLines w:val="0"/>
        <w:pageBreakBefore w:val="0"/>
        <w:kinsoku/>
        <w:wordWrap/>
        <w:overflowPunct/>
        <w:bidi w:val="0"/>
        <w:adjustRightInd/>
        <w:snapToGrid/>
        <w:spacing w:after="0" w:line="360" w:lineRule="auto"/>
        <w:ind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.3新装电梯设备采购、安装，新装电梯的档次、品质原则上应相当于</w:t>
      </w:r>
    </w:p>
    <w:p w14:paraId="391AF31F">
      <w:pPr>
        <w:pStyle w:val="2"/>
        <w:keepNext w:val="0"/>
        <w:keepLines w:val="0"/>
        <w:pageBreakBefore w:val="0"/>
        <w:kinsoku/>
        <w:wordWrap/>
        <w:overflowPunct/>
        <w:bidi w:val="0"/>
        <w:adjustRightInd/>
        <w:snapToGrid/>
        <w:spacing w:after="0" w:line="360" w:lineRule="auto"/>
        <w:ind w:firstLine="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或高于原有电梯。</w:t>
      </w:r>
    </w:p>
    <w:p w14:paraId="2D82FB36">
      <w:pPr>
        <w:pStyle w:val="2"/>
        <w:keepNext w:val="0"/>
        <w:keepLines w:val="0"/>
        <w:pageBreakBefore w:val="0"/>
        <w:kinsoku/>
        <w:wordWrap/>
        <w:overflowPunct/>
        <w:bidi w:val="0"/>
        <w:adjustRightInd/>
        <w:snapToGrid/>
        <w:spacing w:after="0" w:line="360" w:lineRule="auto"/>
        <w:ind w:firstLine="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具体内容及相关要求</w:t>
      </w:r>
      <w:r>
        <w:rPr>
          <w:rFonts w:hint="eastAsia" w:ascii="宋体" w:hAnsi="宋体" w:eastAsia="宋体" w:cs="宋体"/>
          <w:color w:val="auto"/>
          <w:sz w:val="28"/>
          <w:szCs w:val="28"/>
          <w:highlight w:val="none"/>
          <w:u w:val="none"/>
          <w:lang w:eastAsia="zh-CN"/>
        </w:rPr>
        <w:t>详见</w:t>
      </w:r>
      <w:r>
        <w:rPr>
          <w:rFonts w:hint="eastAsia" w:ascii="宋体" w:hAnsi="宋体" w:cs="宋体"/>
          <w:color w:val="auto"/>
          <w:sz w:val="28"/>
          <w:szCs w:val="28"/>
          <w:highlight w:val="none"/>
          <w:lang w:val="en-US" w:eastAsia="zh-CN"/>
        </w:rPr>
        <w:t>采购</w:t>
      </w:r>
      <w:bookmarkStart w:id="4" w:name="OLE_LINK26"/>
      <w:r>
        <w:rPr>
          <w:rFonts w:hint="eastAsia" w:ascii="宋体" w:hAnsi="宋体" w:eastAsia="宋体" w:cs="宋体"/>
          <w:color w:val="auto"/>
          <w:sz w:val="28"/>
          <w:szCs w:val="28"/>
          <w:highlight w:val="none"/>
          <w:lang w:eastAsia="zh-CN"/>
        </w:rPr>
        <w:t>需求书</w:t>
      </w:r>
      <w:bookmarkEnd w:id="4"/>
      <w:r>
        <w:rPr>
          <w:rFonts w:hint="eastAsia" w:ascii="宋体" w:hAnsi="宋体" w:eastAsia="宋体" w:cs="宋体"/>
          <w:color w:val="auto"/>
          <w:sz w:val="28"/>
          <w:szCs w:val="28"/>
          <w:highlight w:val="none"/>
          <w:lang w:eastAsia="zh-CN"/>
        </w:rPr>
        <w:t>。</w:t>
      </w:r>
    </w:p>
    <w:p w14:paraId="24A05FAD">
      <w:pPr>
        <w:pStyle w:val="2"/>
        <w:keepNext w:val="0"/>
        <w:keepLines w:val="0"/>
        <w:pageBreakBefore w:val="0"/>
        <w:numPr>
          <w:ilvl w:val="0"/>
          <w:numId w:val="0"/>
        </w:numPr>
        <w:kinsoku/>
        <w:wordWrap/>
        <w:overflowPunct/>
        <w:bidi w:val="0"/>
        <w:adjustRightInd/>
        <w:snapToGrid/>
        <w:spacing w:line="360" w:lineRule="auto"/>
        <w:ind w:firstLine="562" w:firstLineChars="200"/>
        <w:jc w:val="both"/>
        <w:textAlignment w:val="auto"/>
        <w:rPr>
          <w:rFonts w:hint="eastAsia" w:ascii="宋体" w:hAnsi="宋体" w:eastAsia="宋体" w:cs="宋体"/>
          <w:b/>
          <w:bCs/>
          <w:color w:val="auto"/>
          <w:szCs w:val="28"/>
          <w:highlight w:val="none"/>
          <w:lang w:eastAsia="zh-CN"/>
        </w:rPr>
      </w:pPr>
      <w:r>
        <w:rPr>
          <w:rFonts w:hint="eastAsia" w:ascii="宋体" w:hAnsi="宋体" w:eastAsia="宋体" w:cs="宋体"/>
          <w:b/>
          <w:bCs/>
          <w:color w:val="auto"/>
          <w:sz w:val="28"/>
          <w:szCs w:val="28"/>
          <w:highlight w:val="none"/>
          <w:lang w:eastAsia="zh-CN"/>
        </w:rPr>
        <w:t>四、工期要求</w:t>
      </w:r>
    </w:p>
    <w:p w14:paraId="33F89B03">
      <w:pPr>
        <w:keepNext w:val="0"/>
        <w:keepLines w:val="0"/>
        <w:pageBreakBefore w:val="0"/>
        <w:kinsoku/>
        <w:wordWrap/>
        <w:overflowPunct/>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根据现场实际条件分批分期施工，合同签订后</w:t>
      </w:r>
      <w:r>
        <w:rPr>
          <w:rFonts w:hint="eastAsia" w:ascii="宋体" w:hAnsi="宋体" w:cs="宋体"/>
          <w:color w:val="auto"/>
          <w:sz w:val="28"/>
          <w:szCs w:val="28"/>
          <w:highlight w:val="none"/>
          <w:lang w:eastAsia="zh-CN"/>
        </w:rPr>
        <w:t>1</w:t>
      </w:r>
      <w:r>
        <w:rPr>
          <w:rFonts w:hint="eastAsia" w:ascii="宋体" w:hAnsi="宋体" w:eastAsia="宋体" w:cs="宋体"/>
          <w:color w:val="auto"/>
          <w:sz w:val="28"/>
          <w:szCs w:val="28"/>
          <w:highlight w:val="none"/>
        </w:rPr>
        <w:t>个月内</w:t>
      </w:r>
      <w:bookmarkStart w:id="5" w:name="OLE_LINK5"/>
      <w:r>
        <w:rPr>
          <w:rFonts w:hint="eastAsia" w:ascii="宋体" w:hAnsi="宋体" w:eastAsia="宋体" w:cs="宋体"/>
          <w:color w:val="auto"/>
          <w:sz w:val="28"/>
          <w:szCs w:val="28"/>
          <w:highlight w:val="none"/>
        </w:rPr>
        <w:t>首批设备</w:t>
      </w:r>
      <w:bookmarkEnd w:id="5"/>
      <w:r>
        <w:rPr>
          <w:rFonts w:hint="eastAsia" w:ascii="宋体" w:hAnsi="宋体" w:eastAsia="宋体" w:cs="宋体"/>
          <w:color w:val="auto"/>
          <w:sz w:val="28"/>
          <w:szCs w:val="28"/>
          <w:highlight w:val="none"/>
        </w:rPr>
        <w:t>进场安装，在此后</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个</w:t>
      </w:r>
      <w:r>
        <w:rPr>
          <w:rFonts w:hint="eastAsia" w:ascii="宋体" w:hAnsi="宋体" w:eastAsia="宋体" w:cs="宋体"/>
          <w:color w:val="auto"/>
          <w:sz w:val="28"/>
          <w:szCs w:val="28"/>
          <w:highlight w:val="none"/>
        </w:rPr>
        <w:t>月内完成全部设备安装并取得质量技术监督部门安全质量验收合格证书；施工过程有两台电梯的栋楼至少保留一台可正常使用的电梯供住户使用，保障住户出行需求。</w:t>
      </w:r>
    </w:p>
    <w:p w14:paraId="08511BEA">
      <w:pPr>
        <w:pStyle w:val="2"/>
        <w:keepNext w:val="0"/>
        <w:keepLines w:val="0"/>
        <w:pageBreakBefore w:val="0"/>
        <w:kinsoku/>
        <w:wordWrap/>
        <w:overflowPunct/>
        <w:bidi w:val="0"/>
        <w:adjustRightInd/>
        <w:snapToGrid/>
        <w:spacing w:line="360" w:lineRule="auto"/>
        <w:jc w:val="left"/>
        <w:textAlignment w:val="auto"/>
        <w:rPr>
          <w:rFonts w:hint="default" w:eastAsia="宋体"/>
          <w:color w:val="auto"/>
          <w:highlight w:val="none"/>
          <w:lang w:val="en-US" w:eastAsia="zh-CN"/>
        </w:rPr>
      </w:pPr>
      <w:r>
        <w:rPr>
          <w:rFonts w:hint="eastAsia" w:ascii="宋体" w:hAnsi="宋体" w:eastAsia="宋体" w:cs="宋体"/>
          <w:color w:val="auto"/>
          <w:sz w:val="28"/>
          <w:szCs w:val="28"/>
          <w:highlight w:val="none"/>
          <w:lang w:val="en-US" w:eastAsia="zh-CN"/>
        </w:rPr>
        <w:t xml:space="preserve">    乙方进场后须根据现场情况编制详细的货物排产建造、进场计划，以及旧电梯拆除、井道整改、电梯安装计划，现场施工进度计划经监理单位、甲方审核后须经小区物业管理公司向住户公示，如公示期间住户提出合理的诉求，乙方应配合进行适当调整或做出解释。</w:t>
      </w:r>
    </w:p>
    <w:p w14:paraId="56EFC60C">
      <w:pPr>
        <w:pStyle w:val="10"/>
        <w:keepNext w:val="0"/>
        <w:keepLines w:val="0"/>
        <w:pageBreakBefore w:val="0"/>
        <w:kinsoku/>
        <w:wordWrap/>
        <w:overflowPunct/>
        <w:bidi w:val="0"/>
        <w:adjustRightInd/>
        <w:snapToGrid/>
        <w:spacing w:line="360" w:lineRule="auto"/>
        <w:ind w:firstLine="562" w:firstLineChars="200"/>
        <w:jc w:val="left"/>
        <w:textAlignment w:val="auto"/>
        <w:rPr>
          <w:rFonts w:hint="eastAsia" w:ascii="宋体" w:hAnsi="宋体" w:eastAsia="宋体" w:cs="宋体"/>
          <w:b/>
          <w:color w:val="auto"/>
          <w:sz w:val="28"/>
          <w:szCs w:val="28"/>
          <w:highlight w:val="none"/>
        </w:rPr>
      </w:pPr>
      <w:r>
        <w:rPr>
          <w:rFonts w:hint="eastAsia"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产品名称、数量</w:t>
      </w:r>
      <w:r>
        <w:rPr>
          <w:rFonts w:hint="eastAsia" w:hAnsi="宋体" w:eastAsia="宋体" w:cs="宋体"/>
          <w:b/>
          <w:color w:val="auto"/>
          <w:sz w:val="28"/>
          <w:szCs w:val="28"/>
          <w:highlight w:val="none"/>
          <w:lang w:eastAsia="zh-CN"/>
        </w:rPr>
        <w:t>及合同价款</w:t>
      </w:r>
      <w:r>
        <w:rPr>
          <w:rFonts w:hint="eastAsia" w:ascii="宋体" w:hAnsi="宋体" w:eastAsia="宋体" w:cs="宋体"/>
          <w:color w:val="auto"/>
          <w:sz w:val="28"/>
          <w:szCs w:val="28"/>
          <w:highlight w:val="none"/>
        </w:rPr>
        <w:t xml:space="preserve">                 </w:t>
      </w:r>
    </w:p>
    <w:p w14:paraId="05793064">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.1 乙方根据甲方要求</w:t>
      </w:r>
      <w:r>
        <w:rPr>
          <w:rFonts w:hint="eastAsia" w:ascii="宋体" w:hAnsi="宋体" w:eastAsia="宋体" w:cs="宋体"/>
          <w:color w:val="auto"/>
          <w:sz w:val="28"/>
          <w:szCs w:val="28"/>
          <w:highlight w:val="none"/>
          <w:lang w:eastAsia="zh-CN"/>
        </w:rPr>
        <w:t>（详见</w:t>
      </w:r>
      <w:r>
        <w:rPr>
          <w:rFonts w:hint="eastAsia" w:ascii="宋体" w:hAnsi="宋体" w:cs="宋体"/>
          <w:color w:val="auto"/>
          <w:sz w:val="28"/>
          <w:szCs w:val="28"/>
          <w:highlight w:val="none"/>
          <w:lang w:eastAsia="zh-CN"/>
        </w:rPr>
        <w:t>采购需求书</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提供</w:t>
      </w:r>
      <w:r>
        <w:rPr>
          <w:rFonts w:hint="eastAsia" w:ascii="宋体" w:hAnsi="宋体" w:eastAsia="宋体" w:cs="宋体"/>
          <w:color w:val="auto"/>
          <w:sz w:val="28"/>
          <w:szCs w:val="28"/>
          <w:highlight w:val="none"/>
          <w:lang w:eastAsia="zh-CN"/>
        </w:rPr>
        <w:t>合同附件</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所列电梯设备（交货标准必须全部满足或不低于招标文件和澄清公告要求的电梯技术参数要求）：乙方同意甲方根据工程实际需要，有权对合同采购数量</w:t>
      </w:r>
      <w:r>
        <w:rPr>
          <w:rFonts w:hint="eastAsia" w:ascii="宋体" w:hAnsi="宋体" w:eastAsia="宋体" w:cs="宋体"/>
          <w:color w:val="auto"/>
          <w:sz w:val="28"/>
          <w:szCs w:val="28"/>
          <w:highlight w:val="none"/>
          <w:lang w:val="en-US" w:eastAsia="zh-CN"/>
        </w:rPr>
        <w:t>增减</w:t>
      </w:r>
      <w:r>
        <w:rPr>
          <w:rFonts w:hint="eastAsia" w:ascii="宋体" w:hAnsi="宋体" w:eastAsia="宋体" w:cs="宋体"/>
          <w:color w:val="auto"/>
          <w:sz w:val="28"/>
          <w:szCs w:val="28"/>
          <w:highlight w:val="none"/>
        </w:rPr>
        <w:t>或货品变更</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如有</w:t>
      </w:r>
      <w:r>
        <w:rPr>
          <w:rFonts w:hint="eastAsia" w:ascii="宋体" w:hAnsi="宋体" w:eastAsia="宋体" w:cs="宋体"/>
          <w:color w:val="auto"/>
          <w:sz w:val="28"/>
          <w:szCs w:val="28"/>
          <w:highlight w:val="none"/>
        </w:rPr>
        <w:t>上述</w:t>
      </w:r>
      <w:r>
        <w:rPr>
          <w:rFonts w:hint="eastAsia" w:ascii="宋体" w:hAnsi="宋体" w:eastAsia="宋体" w:cs="宋体"/>
          <w:color w:val="auto"/>
          <w:sz w:val="28"/>
          <w:szCs w:val="28"/>
          <w:highlight w:val="none"/>
          <w:lang w:val="en-US" w:eastAsia="zh-CN"/>
        </w:rPr>
        <w:t>调整</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甲方</w:t>
      </w:r>
      <w:r>
        <w:rPr>
          <w:rFonts w:hint="eastAsia" w:ascii="宋体" w:hAnsi="宋体" w:eastAsia="宋体" w:cs="宋体"/>
          <w:color w:val="auto"/>
          <w:sz w:val="28"/>
          <w:szCs w:val="28"/>
          <w:highlight w:val="none"/>
          <w:lang w:val="en-US" w:eastAsia="zh-CN"/>
        </w:rPr>
        <w:t>将以</w:t>
      </w:r>
      <w:r>
        <w:rPr>
          <w:rFonts w:hint="eastAsia" w:ascii="宋体" w:hAnsi="宋体" w:eastAsia="宋体" w:cs="宋体"/>
          <w:color w:val="auto"/>
          <w:sz w:val="28"/>
          <w:szCs w:val="28"/>
          <w:highlight w:val="none"/>
        </w:rPr>
        <w:t>书面通知</w:t>
      </w:r>
      <w:r>
        <w:rPr>
          <w:rFonts w:hint="eastAsia" w:ascii="宋体" w:hAnsi="宋体" w:eastAsia="宋体" w:cs="宋体"/>
          <w:color w:val="auto"/>
          <w:sz w:val="28"/>
          <w:szCs w:val="28"/>
          <w:highlight w:val="none"/>
          <w:lang w:val="en-US" w:eastAsia="zh-CN"/>
        </w:rPr>
        <w:t>方式</w:t>
      </w:r>
      <w:r>
        <w:rPr>
          <w:rFonts w:hint="eastAsia" w:ascii="宋体" w:hAnsi="宋体" w:eastAsia="宋体" w:cs="宋体"/>
          <w:color w:val="auto"/>
          <w:sz w:val="28"/>
          <w:szCs w:val="28"/>
          <w:highlight w:val="none"/>
        </w:rPr>
        <w:t>确定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合同价款按第</w:t>
      </w:r>
      <w:r>
        <w:rPr>
          <w:rFonts w:hint="eastAsia" w:ascii="宋体" w:hAnsi="宋体" w:eastAsia="宋体" w:cs="宋体"/>
          <w:color w:val="auto"/>
          <w:sz w:val="28"/>
          <w:szCs w:val="28"/>
          <w:highlight w:val="none"/>
          <w:lang w:eastAsia="zh-CN"/>
        </w:rPr>
        <w:t>1</w:t>
      </w:r>
      <w:r>
        <w:rPr>
          <w:rFonts w:hint="eastAsia" w:ascii="宋体" w:hAnsi="宋体" w:eastAsia="宋体" w:cs="宋体"/>
          <w:color w:val="auto"/>
          <w:sz w:val="28"/>
          <w:szCs w:val="28"/>
          <w:highlight w:val="none"/>
          <w:lang w:val="en-US" w:eastAsia="zh-CN"/>
        </w:rPr>
        <w:t>0.7</w:t>
      </w:r>
      <w:r>
        <w:rPr>
          <w:rFonts w:hint="eastAsia" w:ascii="宋体" w:hAnsi="宋体" w:eastAsia="宋体" w:cs="宋体"/>
          <w:color w:val="auto"/>
          <w:sz w:val="28"/>
          <w:szCs w:val="28"/>
          <w:highlight w:val="none"/>
        </w:rPr>
        <w:t>条约定</w:t>
      </w:r>
      <w:r>
        <w:rPr>
          <w:rFonts w:hint="eastAsia" w:ascii="宋体" w:hAnsi="宋体" w:eastAsia="宋体" w:cs="宋体"/>
          <w:color w:val="auto"/>
          <w:sz w:val="28"/>
          <w:szCs w:val="28"/>
          <w:highlight w:val="none"/>
          <w:lang w:val="en-US" w:eastAsia="zh-CN"/>
        </w:rPr>
        <w:t>的相应原则</w:t>
      </w:r>
      <w:r>
        <w:rPr>
          <w:rFonts w:hint="eastAsia" w:ascii="宋体" w:hAnsi="宋体" w:eastAsia="宋体" w:cs="宋体"/>
          <w:color w:val="auto"/>
          <w:sz w:val="28"/>
          <w:szCs w:val="28"/>
          <w:highlight w:val="none"/>
        </w:rPr>
        <w:t>调整</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该调整</w:t>
      </w:r>
      <w:r>
        <w:rPr>
          <w:rFonts w:hint="eastAsia" w:ascii="宋体" w:hAnsi="宋体" w:eastAsia="宋体" w:cs="宋体"/>
          <w:color w:val="auto"/>
          <w:sz w:val="28"/>
          <w:szCs w:val="28"/>
          <w:highlight w:val="none"/>
        </w:rPr>
        <w:t>甲方不承担</w:t>
      </w:r>
      <w:r>
        <w:rPr>
          <w:rFonts w:hint="eastAsia" w:ascii="宋体" w:hAnsi="宋体" w:eastAsia="宋体" w:cs="宋体"/>
          <w:color w:val="auto"/>
          <w:sz w:val="28"/>
          <w:szCs w:val="28"/>
          <w:highlight w:val="none"/>
          <w:lang w:val="en-US" w:eastAsia="zh-CN"/>
        </w:rPr>
        <w:t>任何</w:t>
      </w:r>
      <w:r>
        <w:rPr>
          <w:rFonts w:hint="eastAsia" w:ascii="宋体" w:hAnsi="宋体" w:eastAsia="宋体" w:cs="宋体"/>
          <w:color w:val="auto"/>
          <w:sz w:val="28"/>
          <w:szCs w:val="28"/>
          <w:highlight w:val="none"/>
        </w:rPr>
        <w:t>违约责任。</w:t>
      </w:r>
    </w:p>
    <w:p w14:paraId="2BBD4438">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.2 电梯名称、数量、合</w:t>
      </w:r>
      <w:bookmarkStart w:id="6" w:name="OLE_LINK24"/>
      <w:r>
        <w:rPr>
          <w:rFonts w:hint="eastAsia" w:ascii="宋体" w:hAnsi="宋体" w:eastAsia="宋体" w:cs="宋体"/>
          <w:color w:val="auto"/>
          <w:sz w:val="28"/>
          <w:szCs w:val="28"/>
          <w:highlight w:val="none"/>
        </w:rPr>
        <w:t>同价格见</w:t>
      </w:r>
      <w:r>
        <w:rPr>
          <w:rFonts w:hint="eastAsia" w:ascii="宋体" w:hAnsi="宋体" w:eastAsia="宋体" w:cs="宋体"/>
          <w:color w:val="auto"/>
          <w:sz w:val="28"/>
          <w:szCs w:val="28"/>
          <w:highlight w:val="none"/>
          <w:lang w:eastAsia="zh-CN"/>
        </w:rPr>
        <w:t>合同</w:t>
      </w:r>
      <w:bookmarkEnd w:id="6"/>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3。</w:t>
      </w:r>
    </w:p>
    <w:p w14:paraId="7526A27A">
      <w:pPr>
        <w:pStyle w:val="10"/>
        <w:keepNext w:val="0"/>
        <w:keepLines w:val="0"/>
        <w:pageBreakBefore w:val="0"/>
        <w:kinsoku/>
        <w:wordWrap/>
        <w:overflowPunct/>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bCs/>
          <w:color w:val="auto"/>
          <w:sz w:val="28"/>
          <w:szCs w:val="28"/>
          <w:highlight w:val="none"/>
          <w:lang w:val="en-US" w:eastAsia="zh-CN"/>
        </w:rPr>
        <w:t>本项目</w:t>
      </w:r>
      <w:r>
        <w:rPr>
          <w:rFonts w:hint="eastAsia" w:asciiTheme="minorEastAsia" w:hAnsiTheme="minorEastAsia" w:eastAsiaTheme="minorEastAsia" w:cstheme="minorEastAsia"/>
          <w:bCs/>
          <w:color w:val="auto"/>
          <w:sz w:val="28"/>
          <w:szCs w:val="28"/>
          <w:highlight w:val="none"/>
        </w:rPr>
        <w:t>承包方式</w:t>
      </w:r>
      <w:r>
        <w:rPr>
          <w:rFonts w:hint="eastAsia" w:asciiTheme="minorEastAsia" w:hAnsiTheme="minorEastAsia" w:eastAsiaTheme="minorEastAsia" w:cstheme="minorEastAsia"/>
          <w:bCs/>
          <w:color w:val="auto"/>
          <w:sz w:val="28"/>
          <w:szCs w:val="28"/>
          <w:highlight w:val="none"/>
          <w:lang w:eastAsia="zh-CN"/>
        </w:rPr>
        <w:t>为：</w:t>
      </w:r>
      <w:r>
        <w:rPr>
          <w:rFonts w:hint="eastAsia" w:asciiTheme="minorEastAsia" w:hAnsiTheme="minorEastAsia" w:eastAsiaTheme="minorEastAsia" w:cstheme="minorEastAsia"/>
          <w:bCs/>
          <w:color w:val="auto"/>
          <w:sz w:val="28"/>
          <w:szCs w:val="28"/>
          <w:highlight w:val="none"/>
        </w:rPr>
        <w:t>固定总价包干</w:t>
      </w:r>
      <w:r>
        <w:rPr>
          <w:rFonts w:hint="eastAsia" w:asciiTheme="minorEastAsia" w:hAnsiTheme="minorEastAsia" w:eastAsiaTheme="minorEastAsia" w:cstheme="minorEastAsia"/>
          <w:bCs/>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合同含税</w:t>
      </w:r>
      <w:r>
        <w:rPr>
          <w:rFonts w:hint="eastAsia" w:asciiTheme="minorEastAsia" w:hAnsiTheme="minorEastAsia" w:eastAsiaTheme="minorEastAsia" w:cstheme="minorEastAsia"/>
          <w:color w:val="auto"/>
          <w:sz w:val="28"/>
          <w:szCs w:val="28"/>
          <w:highlight w:val="none"/>
          <w:lang w:eastAsia="zh-CN"/>
        </w:rPr>
        <w:t>总</w:t>
      </w:r>
      <w:r>
        <w:rPr>
          <w:rFonts w:hint="eastAsia" w:asciiTheme="minorEastAsia" w:hAnsiTheme="minorEastAsia" w:eastAsiaTheme="minorEastAsia" w:cstheme="minorEastAsia"/>
          <w:color w:val="auto"/>
          <w:sz w:val="28"/>
          <w:szCs w:val="28"/>
          <w:highlight w:val="none"/>
        </w:rPr>
        <w:t>金额为：</w:t>
      </w:r>
      <w:r>
        <w:rPr>
          <w:rFonts w:hint="eastAsia" w:asciiTheme="minorEastAsia" w:hAnsiTheme="minorEastAsia" w:eastAsiaTheme="minorEastAsia" w:cstheme="minorEastAsia"/>
          <w:b w:val="0"/>
          <w:bCs w:val="0"/>
          <w:color w:val="auto"/>
          <w:sz w:val="28"/>
          <w:szCs w:val="28"/>
          <w:highlight w:val="none"/>
          <w:u w:val="single"/>
        </w:rPr>
        <w:t xml:space="preserve">￥        </w:t>
      </w:r>
      <w:r>
        <w:rPr>
          <w:rFonts w:hint="eastAsia" w:asciiTheme="minorEastAsia" w:hAnsiTheme="minorEastAsia" w:eastAsiaTheme="minorEastAsia" w:cstheme="minorEastAsia"/>
          <w:b w:val="0"/>
          <w:bCs w:val="0"/>
          <w:color w:val="auto"/>
          <w:sz w:val="28"/>
          <w:szCs w:val="28"/>
          <w:highlight w:val="none"/>
        </w:rPr>
        <w:t>元（大写：</w:t>
      </w:r>
      <w:r>
        <w:rPr>
          <w:rFonts w:hint="eastAsia" w:asciiTheme="minorEastAsia" w:hAnsiTheme="minorEastAsia" w:eastAsiaTheme="minorEastAsia" w:cstheme="minorEastAsia"/>
          <w:b w:val="0"/>
          <w:bCs w:val="0"/>
          <w:color w:val="auto"/>
          <w:sz w:val="28"/>
          <w:szCs w:val="28"/>
          <w:highlight w:val="none"/>
          <w:u w:val="single"/>
        </w:rPr>
        <w:t>人民币               元整</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color w:val="auto"/>
          <w:sz w:val="28"/>
          <w:szCs w:val="28"/>
          <w:highlight w:val="none"/>
        </w:rPr>
        <w:t>，不含税</w:t>
      </w:r>
      <w:r>
        <w:rPr>
          <w:rFonts w:hint="eastAsia" w:asciiTheme="minorEastAsia" w:hAnsiTheme="minorEastAsia" w:eastAsiaTheme="minorEastAsia" w:cstheme="minorEastAsia"/>
          <w:color w:val="auto"/>
          <w:sz w:val="28"/>
          <w:szCs w:val="28"/>
          <w:highlight w:val="none"/>
          <w:lang w:eastAsia="zh-CN"/>
        </w:rPr>
        <w:t>总</w:t>
      </w:r>
      <w:r>
        <w:rPr>
          <w:rFonts w:hint="eastAsia" w:asciiTheme="minorEastAsia" w:hAnsiTheme="minorEastAsia" w:eastAsiaTheme="minorEastAsia" w:cstheme="minorEastAsia"/>
          <w:color w:val="auto"/>
          <w:sz w:val="28"/>
          <w:szCs w:val="28"/>
          <w:highlight w:val="none"/>
        </w:rPr>
        <w:t>金额为</w:t>
      </w:r>
      <w:r>
        <w:rPr>
          <w:rFonts w:hint="eastAsia" w:asciiTheme="minorEastAsia" w:hAnsiTheme="minorEastAsia" w:eastAsiaTheme="minorEastAsia" w:cstheme="minorEastAsia"/>
          <w:b w:val="0"/>
          <w:bCs/>
          <w:color w:val="auto"/>
          <w:sz w:val="28"/>
          <w:szCs w:val="28"/>
          <w:highlight w:val="none"/>
          <w:u w:val="single"/>
        </w:rPr>
        <w:t xml:space="preserve">￥        </w:t>
      </w:r>
      <w:r>
        <w:rPr>
          <w:rFonts w:hint="eastAsia" w:asciiTheme="minorEastAsia" w:hAnsiTheme="minorEastAsia" w:eastAsiaTheme="minorEastAsia" w:cstheme="minorEastAsia"/>
          <w:b w:val="0"/>
          <w:bCs/>
          <w:color w:val="auto"/>
          <w:sz w:val="28"/>
          <w:szCs w:val="28"/>
          <w:highlight w:val="none"/>
        </w:rPr>
        <w:t>元（大写：人民币</w:t>
      </w:r>
      <w:r>
        <w:rPr>
          <w:rFonts w:hint="eastAsia" w:asciiTheme="minorEastAsia" w:hAnsiTheme="minorEastAsia" w:eastAsiaTheme="minorEastAsia" w:cstheme="minorEastAsia"/>
          <w:b w:val="0"/>
          <w:bCs/>
          <w:color w:val="auto"/>
          <w:sz w:val="28"/>
          <w:szCs w:val="28"/>
          <w:highlight w:val="none"/>
          <w:u w:val="single"/>
        </w:rPr>
        <w:t xml:space="preserve">               </w:t>
      </w:r>
      <w:r>
        <w:rPr>
          <w:rFonts w:hint="eastAsia" w:asciiTheme="minorEastAsia" w:hAnsiTheme="minorEastAsia" w:eastAsiaTheme="minorEastAsia" w:cstheme="minorEastAsia"/>
          <w:b w:val="0"/>
          <w:bCs/>
          <w:color w:val="auto"/>
          <w:sz w:val="28"/>
          <w:szCs w:val="28"/>
          <w:highlight w:val="none"/>
        </w:rPr>
        <w:t>元整）。</w:t>
      </w:r>
    </w:p>
    <w:p w14:paraId="6373CA88">
      <w:pPr>
        <w:pStyle w:val="10"/>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其中：</w:t>
      </w:r>
    </w:p>
    <w:p w14:paraId="7499B1AF">
      <w:pPr>
        <w:pStyle w:val="10"/>
        <w:keepNext w:val="0"/>
        <w:keepLines w:val="0"/>
        <w:pageBreakBefore w:val="0"/>
        <w:numPr>
          <w:ilvl w:val="0"/>
          <w:numId w:val="1"/>
        </w:numPr>
        <w:kinsoku/>
        <w:wordWrap/>
        <w:overflowPunct/>
        <w:bidi w:val="0"/>
        <w:adjustRightInd/>
        <w:snapToGrid/>
        <w:spacing w:line="360" w:lineRule="auto"/>
        <w:ind w:firstLine="560" w:firstLineChars="200"/>
        <w:jc w:val="left"/>
        <w:textAlignment w:val="auto"/>
        <w:rPr>
          <w:rFonts w:hint="eastAsia"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eastAsia="zh-CN"/>
        </w:rPr>
        <w:t>电梯设备费含税总金额为：</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rPr>
        <w:t>元（大写：人民币</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rPr>
        <w:t>元整）</w:t>
      </w:r>
      <w:r>
        <w:rPr>
          <w:rFonts w:hint="eastAsia"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不含税</w:t>
      </w:r>
      <w:r>
        <w:rPr>
          <w:rFonts w:hint="eastAsia" w:hAnsi="宋体" w:eastAsia="宋体" w:cs="宋体"/>
          <w:b w:val="0"/>
          <w:bCs/>
          <w:color w:val="auto"/>
          <w:sz w:val="28"/>
          <w:szCs w:val="28"/>
          <w:highlight w:val="none"/>
          <w:lang w:eastAsia="zh-CN"/>
        </w:rPr>
        <w:t>总</w:t>
      </w:r>
      <w:r>
        <w:rPr>
          <w:rFonts w:hint="eastAsia" w:ascii="宋体" w:hAnsi="宋体" w:eastAsia="宋体" w:cs="宋体"/>
          <w:b w:val="0"/>
          <w:bCs/>
          <w:color w:val="auto"/>
          <w:sz w:val="28"/>
          <w:szCs w:val="28"/>
          <w:highlight w:val="none"/>
        </w:rPr>
        <w:t>金额为</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rPr>
        <w:t>元（大写：人民币</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rPr>
        <w:t>元整）</w:t>
      </w:r>
      <w:r>
        <w:rPr>
          <w:rFonts w:hint="eastAsia" w:hAnsi="宋体" w:eastAsia="宋体" w:cs="宋体"/>
          <w:b w:val="0"/>
          <w:bCs/>
          <w:color w:val="auto"/>
          <w:sz w:val="28"/>
          <w:szCs w:val="28"/>
          <w:highlight w:val="none"/>
          <w:lang w:eastAsia="zh-CN"/>
        </w:rPr>
        <w:t>，税率为</w:t>
      </w:r>
      <w:r>
        <w:rPr>
          <w:rFonts w:hint="eastAsia" w:ascii="宋体" w:hAnsi="宋体" w:eastAsia="宋体" w:cs="宋体"/>
          <w:b w:val="0"/>
          <w:bCs/>
          <w:color w:val="auto"/>
          <w:sz w:val="28"/>
          <w:szCs w:val="28"/>
          <w:highlight w:val="none"/>
          <w:u w:val="single"/>
        </w:rPr>
        <w:t xml:space="preserve">    </w:t>
      </w:r>
      <w:r>
        <w:rPr>
          <w:rFonts w:hint="eastAsia" w:hAnsi="宋体" w:eastAsia="宋体" w:cs="宋体"/>
          <w:b w:val="0"/>
          <w:bCs/>
          <w:color w:val="auto"/>
          <w:sz w:val="28"/>
          <w:szCs w:val="28"/>
          <w:highlight w:val="none"/>
          <w:lang w:val="en-US" w:eastAsia="zh-CN"/>
        </w:rPr>
        <w:t>%</w:t>
      </w:r>
      <w:r>
        <w:rPr>
          <w:rFonts w:hint="eastAsia" w:ascii="宋体" w:hAnsi="宋体" w:cs="宋体"/>
          <w:b w:val="0"/>
          <w:bCs/>
          <w:color w:val="auto"/>
          <w:sz w:val="28"/>
          <w:szCs w:val="28"/>
          <w:highlight w:val="none"/>
          <w:lang w:val="en-US" w:eastAsia="zh-CN"/>
        </w:rPr>
        <w:t>；</w:t>
      </w:r>
    </w:p>
    <w:p w14:paraId="7133C6BA">
      <w:pPr>
        <w:pStyle w:val="10"/>
        <w:keepNext w:val="0"/>
        <w:keepLines w:val="0"/>
        <w:pageBreakBefore w:val="0"/>
        <w:numPr>
          <w:ilvl w:val="0"/>
          <w:numId w:val="1"/>
        </w:numPr>
        <w:kinsoku/>
        <w:wordWrap/>
        <w:overflowPunct/>
        <w:bidi w:val="0"/>
        <w:adjustRightInd/>
        <w:snapToGrid/>
        <w:spacing w:line="360" w:lineRule="auto"/>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cs="宋体"/>
          <w:b w:val="0"/>
          <w:bCs/>
          <w:color w:val="auto"/>
          <w:sz w:val="28"/>
          <w:szCs w:val="28"/>
          <w:highlight w:val="none"/>
          <w:lang w:eastAsia="zh-CN"/>
        </w:rPr>
        <w:t>电梯安装费含税总金额为：</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rPr>
        <w:t>元（大写：人民币</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rPr>
        <w:t>元整）</w:t>
      </w:r>
      <w:r>
        <w:rPr>
          <w:rFonts w:hint="eastAsia"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不含税</w:t>
      </w:r>
      <w:r>
        <w:rPr>
          <w:rFonts w:hint="eastAsia" w:hAnsi="宋体" w:eastAsia="宋体" w:cs="宋体"/>
          <w:b w:val="0"/>
          <w:bCs/>
          <w:color w:val="auto"/>
          <w:sz w:val="28"/>
          <w:szCs w:val="28"/>
          <w:highlight w:val="none"/>
          <w:lang w:eastAsia="zh-CN"/>
        </w:rPr>
        <w:t>总</w:t>
      </w:r>
      <w:r>
        <w:rPr>
          <w:rFonts w:hint="eastAsia" w:ascii="宋体" w:hAnsi="宋体" w:eastAsia="宋体" w:cs="宋体"/>
          <w:b w:val="0"/>
          <w:bCs/>
          <w:color w:val="auto"/>
          <w:sz w:val="28"/>
          <w:szCs w:val="28"/>
          <w:highlight w:val="none"/>
        </w:rPr>
        <w:t>金额为</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rPr>
        <w:t>元（大写：人民币</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rPr>
        <w:t>元整）</w:t>
      </w:r>
      <w:r>
        <w:rPr>
          <w:rFonts w:hint="eastAsia" w:hAnsi="宋体" w:eastAsia="宋体" w:cs="宋体"/>
          <w:b w:val="0"/>
          <w:bCs/>
          <w:color w:val="auto"/>
          <w:sz w:val="28"/>
          <w:szCs w:val="28"/>
          <w:highlight w:val="none"/>
          <w:lang w:eastAsia="zh-CN"/>
        </w:rPr>
        <w:t>，税率为</w:t>
      </w:r>
      <w:r>
        <w:rPr>
          <w:rFonts w:hint="eastAsia" w:ascii="宋体" w:hAnsi="宋体" w:eastAsia="宋体" w:cs="宋体"/>
          <w:b w:val="0"/>
          <w:bCs/>
          <w:color w:val="auto"/>
          <w:sz w:val="28"/>
          <w:szCs w:val="28"/>
          <w:highlight w:val="none"/>
          <w:u w:val="single"/>
        </w:rPr>
        <w:t xml:space="preserve">    </w:t>
      </w:r>
      <w:r>
        <w:rPr>
          <w:rFonts w:hint="eastAsia" w:hAnsi="宋体" w:eastAsia="宋体" w:cs="宋体"/>
          <w:b w:val="0"/>
          <w:bCs/>
          <w:color w:val="auto"/>
          <w:sz w:val="28"/>
          <w:szCs w:val="28"/>
          <w:highlight w:val="none"/>
          <w:lang w:val="en-US" w:eastAsia="zh-CN"/>
        </w:rPr>
        <w:t>%</w:t>
      </w:r>
      <w:r>
        <w:rPr>
          <w:rFonts w:hint="eastAsia" w:ascii="宋体" w:hAnsi="宋体" w:cs="宋体"/>
          <w:b w:val="0"/>
          <w:bCs/>
          <w:color w:val="auto"/>
          <w:sz w:val="28"/>
          <w:szCs w:val="28"/>
          <w:highlight w:val="none"/>
          <w:lang w:val="en-US" w:eastAsia="zh-CN"/>
        </w:rPr>
        <w:t>；</w:t>
      </w:r>
    </w:p>
    <w:p w14:paraId="686D88C5">
      <w:pPr>
        <w:pStyle w:val="10"/>
        <w:keepNext w:val="0"/>
        <w:keepLines w:val="0"/>
        <w:pageBreakBefore w:val="0"/>
        <w:numPr>
          <w:ilvl w:val="0"/>
          <w:numId w:val="1"/>
        </w:numPr>
        <w:kinsoku/>
        <w:wordWrap/>
        <w:overflowPunct/>
        <w:bidi w:val="0"/>
        <w:adjustRightInd/>
        <w:snapToGrid/>
        <w:spacing w:line="360" w:lineRule="auto"/>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cs="宋体"/>
          <w:b w:val="0"/>
          <w:bCs/>
          <w:color w:val="auto"/>
          <w:sz w:val="28"/>
          <w:szCs w:val="28"/>
          <w:highlight w:val="none"/>
          <w:lang w:eastAsia="zh-CN"/>
        </w:rPr>
        <w:t>原电梯拆卸及土建整改</w:t>
      </w:r>
      <w:r>
        <w:rPr>
          <w:rFonts w:hint="eastAsia" w:ascii="宋体" w:hAnsi="宋体" w:cs="宋体"/>
          <w:b w:val="0"/>
          <w:bCs/>
          <w:color w:val="auto"/>
          <w:sz w:val="28"/>
          <w:szCs w:val="28"/>
          <w:highlight w:val="none"/>
          <w:lang w:val="en-US" w:eastAsia="zh-CN"/>
        </w:rPr>
        <w:t>费含税总金额为</w:t>
      </w:r>
      <w:r>
        <w:rPr>
          <w:rFonts w:hint="eastAsia" w:ascii="宋体" w:hAnsi="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rPr>
        <w:t>元（大写：人民币</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rPr>
        <w:t>元整）</w:t>
      </w:r>
      <w:r>
        <w:rPr>
          <w:rFonts w:hint="eastAsia"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不含税</w:t>
      </w:r>
      <w:r>
        <w:rPr>
          <w:rFonts w:hint="eastAsia" w:hAnsi="宋体" w:eastAsia="宋体" w:cs="宋体"/>
          <w:b w:val="0"/>
          <w:bCs/>
          <w:color w:val="auto"/>
          <w:sz w:val="28"/>
          <w:szCs w:val="28"/>
          <w:highlight w:val="none"/>
          <w:lang w:eastAsia="zh-CN"/>
        </w:rPr>
        <w:t>总</w:t>
      </w:r>
      <w:r>
        <w:rPr>
          <w:rFonts w:hint="eastAsia" w:ascii="宋体" w:hAnsi="宋体" w:eastAsia="宋体" w:cs="宋体"/>
          <w:b w:val="0"/>
          <w:bCs/>
          <w:color w:val="auto"/>
          <w:sz w:val="28"/>
          <w:szCs w:val="28"/>
          <w:highlight w:val="none"/>
        </w:rPr>
        <w:t>金额为</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rPr>
        <w:t>元（大写：人民币</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rPr>
        <w:t>元整）</w:t>
      </w:r>
      <w:r>
        <w:rPr>
          <w:rFonts w:hint="eastAsia" w:hAnsi="宋体" w:eastAsia="宋体" w:cs="宋体"/>
          <w:b w:val="0"/>
          <w:bCs/>
          <w:color w:val="auto"/>
          <w:sz w:val="28"/>
          <w:szCs w:val="28"/>
          <w:highlight w:val="none"/>
          <w:lang w:eastAsia="zh-CN"/>
        </w:rPr>
        <w:t>，税率为</w:t>
      </w:r>
      <w:r>
        <w:rPr>
          <w:rFonts w:hint="eastAsia" w:ascii="宋体" w:hAnsi="宋体" w:eastAsia="宋体" w:cs="宋体"/>
          <w:b w:val="0"/>
          <w:bCs/>
          <w:color w:val="auto"/>
          <w:sz w:val="28"/>
          <w:szCs w:val="28"/>
          <w:highlight w:val="none"/>
          <w:u w:val="single"/>
        </w:rPr>
        <w:t xml:space="preserve">    </w:t>
      </w:r>
      <w:r>
        <w:rPr>
          <w:rFonts w:hint="eastAsia" w:hAnsi="宋体" w:eastAsia="宋体" w:cs="宋体"/>
          <w:b w:val="0"/>
          <w:bCs/>
          <w:color w:val="auto"/>
          <w:sz w:val="28"/>
          <w:szCs w:val="28"/>
          <w:highlight w:val="none"/>
          <w:lang w:val="en-US" w:eastAsia="zh-CN"/>
        </w:rPr>
        <w:t>%；</w:t>
      </w:r>
    </w:p>
    <w:p w14:paraId="2EC0AAE4">
      <w:pPr>
        <w:pStyle w:val="10"/>
        <w:keepNext w:val="0"/>
        <w:keepLines w:val="0"/>
        <w:pageBreakBefore w:val="0"/>
        <w:numPr>
          <w:ilvl w:val="0"/>
          <w:numId w:val="1"/>
        </w:numPr>
        <w:kinsoku/>
        <w:wordWrap/>
        <w:overflowPunct/>
        <w:bidi w:val="0"/>
        <w:adjustRightInd/>
        <w:snapToGrid/>
        <w:spacing w:line="360" w:lineRule="auto"/>
        <w:ind w:firstLine="560" w:firstLineChars="200"/>
        <w:jc w:val="left"/>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暂列金额</w:t>
      </w:r>
      <w:r>
        <w:rPr>
          <w:rFonts w:hint="eastAsia" w:hAnsi="宋体" w:eastAsia="宋体" w:cs="宋体"/>
          <w:color w:val="auto"/>
          <w:sz w:val="28"/>
          <w:szCs w:val="28"/>
          <w:highlight w:val="none"/>
          <w:lang w:eastAsia="zh-CN"/>
        </w:rPr>
        <w:t>（含税）</w:t>
      </w:r>
      <w:r>
        <w:rPr>
          <w:rFonts w:hint="eastAsia" w:ascii="宋体" w:hAnsi="宋体" w:eastAsia="宋体" w:cs="宋体"/>
          <w:color w:val="auto"/>
          <w:sz w:val="28"/>
          <w:szCs w:val="28"/>
          <w:highlight w:val="none"/>
        </w:rPr>
        <w:t>为：</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rPr>
        <w:t>元（大写：人民币</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rPr>
        <w:t>元整）</w:t>
      </w:r>
      <w:r>
        <w:rPr>
          <w:rFonts w:hint="eastAsia" w:ascii="宋体" w:hAnsi="宋体" w:eastAsia="宋体" w:cs="宋体"/>
          <w:bCs/>
          <w:color w:val="auto"/>
          <w:sz w:val="28"/>
          <w:szCs w:val="28"/>
          <w:highlight w:val="none"/>
        </w:rPr>
        <w:t>。</w:t>
      </w:r>
    </w:p>
    <w:p w14:paraId="0C3A9F12">
      <w:pPr>
        <w:pStyle w:val="10"/>
        <w:keepNext w:val="0"/>
        <w:keepLines w:val="0"/>
        <w:pageBreakBefore w:val="0"/>
        <w:numPr>
          <w:ilvl w:val="0"/>
          <w:numId w:val="1"/>
        </w:numPr>
        <w:kinsoku/>
        <w:wordWrap/>
        <w:overflowPunct/>
        <w:bidi w:val="0"/>
        <w:adjustRightInd/>
        <w:snapToGrid/>
        <w:spacing w:line="360" w:lineRule="auto"/>
        <w:ind w:firstLine="560" w:firstLineChars="200"/>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i w:val="0"/>
          <w:iCs w:val="0"/>
          <w:color w:val="auto"/>
          <w:kern w:val="2"/>
          <w:sz w:val="28"/>
          <w:szCs w:val="28"/>
          <w:highlight w:val="none"/>
          <w:u w:val="none"/>
          <w:lang w:val="en-US" w:eastAsia="zh-CN" w:bidi="ar"/>
        </w:rPr>
        <w:t>残值回收费用含税总金额为：</w:t>
      </w:r>
      <w:r>
        <w:rPr>
          <w:rFonts w:hint="eastAsia" w:ascii="宋体" w:hAnsi="宋体" w:eastAsia="宋体" w:cs="宋体"/>
          <w:bCs/>
          <w:i w:val="0"/>
          <w:iCs w:val="0"/>
          <w:color w:val="auto"/>
          <w:kern w:val="2"/>
          <w:sz w:val="28"/>
          <w:szCs w:val="28"/>
          <w:highlight w:val="none"/>
          <w:u w:val="single"/>
          <w:lang w:val="en-US" w:eastAsia="zh-CN" w:bidi="ar"/>
        </w:rPr>
        <w:t xml:space="preserve">￥        </w:t>
      </w:r>
      <w:r>
        <w:rPr>
          <w:rFonts w:hint="eastAsia" w:ascii="宋体" w:hAnsi="宋体" w:eastAsia="宋体" w:cs="宋体"/>
          <w:bCs/>
          <w:i w:val="0"/>
          <w:iCs w:val="0"/>
          <w:color w:val="auto"/>
          <w:kern w:val="2"/>
          <w:sz w:val="28"/>
          <w:szCs w:val="28"/>
          <w:highlight w:val="none"/>
          <w:u w:val="none"/>
          <w:lang w:val="en-US" w:eastAsia="zh-CN" w:bidi="ar"/>
        </w:rPr>
        <w:t>元（大写：人民币               元整），不含税总金额为</w:t>
      </w:r>
      <w:r>
        <w:rPr>
          <w:rFonts w:hint="eastAsia" w:ascii="宋体" w:hAnsi="宋体" w:eastAsia="宋体" w:cs="宋体"/>
          <w:bCs/>
          <w:i w:val="0"/>
          <w:iCs w:val="0"/>
          <w:color w:val="auto"/>
          <w:kern w:val="2"/>
          <w:sz w:val="28"/>
          <w:szCs w:val="28"/>
          <w:highlight w:val="none"/>
          <w:u w:val="single"/>
          <w:lang w:val="en-US" w:eastAsia="zh-CN" w:bidi="ar"/>
        </w:rPr>
        <w:t xml:space="preserve">￥        </w:t>
      </w:r>
      <w:r>
        <w:rPr>
          <w:rFonts w:hint="eastAsia" w:ascii="宋体" w:hAnsi="宋体" w:eastAsia="宋体" w:cs="宋体"/>
          <w:bCs/>
          <w:i w:val="0"/>
          <w:iCs w:val="0"/>
          <w:color w:val="auto"/>
          <w:kern w:val="2"/>
          <w:sz w:val="28"/>
          <w:szCs w:val="28"/>
          <w:highlight w:val="none"/>
          <w:u w:val="none"/>
          <w:lang w:val="en-US" w:eastAsia="zh-CN" w:bidi="ar"/>
        </w:rPr>
        <w:t>元（大写：人民币</w:t>
      </w:r>
      <w:r>
        <w:rPr>
          <w:rFonts w:hint="eastAsia" w:ascii="宋体" w:hAnsi="宋体" w:eastAsia="宋体" w:cs="宋体"/>
          <w:bCs/>
          <w:i w:val="0"/>
          <w:iCs w:val="0"/>
          <w:color w:val="auto"/>
          <w:kern w:val="2"/>
          <w:sz w:val="28"/>
          <w:szCs w:val="28"/>
          <w:highlight w:val="none"/>
          <w:u w:val="single"/>
          <w:lang w:val="en-US" w:eastAsia="zh-CN" w:bidi="ar"/>
        </w:rPr>
        <w:t xml:space="preserve">               </w:t>
      </w:r>
      <w:r>
        <w:rPr>
          <w:rFonts w:hint="eastAsia" w:ascii="宋体" w:hAnsi="宋体" w:eastAsia="宋体" w:cs="宋体"/>
          <w:bCs/>
          <w:i w:val="0"/>
          <w:iCs w:val="0"/>
          <w:color w:val="auto"/>
          <w:kern w:val="2"/>
          <w:sz w:val="28"/>
          <w:szCs w:val="28"/>
          <w:highlight w:val="none"/>
          <w:u w:val="none"/>
          <w:lang w:val="en-US" w:eastAsia="zh-CN" w:bidi="ar"/>
        </w:rPr>
        <w:t>元整），税率为</w:t>
      </w:r>
      <w:r>
        <w:rPr>
          <w:rFonts w:hint="eastAsia" w:ascii="宋体" w:hAnsi="宋体" w:eastAsia="宋体" w:cs="宋体"/>
          <w:bCs/>
          <w:i w:val="0"/>
          <w:iCs w:val="0"/>
          <w:color w:val="auto"/>
          <w:kern w:val="2"/>
          <w:sz w:val="28"/>
          <w:szCs w:val="28"/>
          <w:highlight w:val="none"/>
          <w:u w:val="single"/>
          <w:lang w:val="en-US" w:eastAsia="zh-CN" w:bidi="ar"/>
        </w:rPr>
        <w:t xml:space="preserve">    </w:t>
      </w:r>
      <w:r>
        <w:rPr>
          <w:rFonts w:hint="eastAsia" w:ascii="宋体" w:hAnsi="宋体" w:eastAsia="宋体" w:cs="宋体"/>
          <w:bCs/>
          <w:i w:val="0"/>
          <w:iCs w:val="0"/>
          <w:color w:val="auto"/>
          <w:kern w:val="2"/>
          <w:sz w:val="28"/>
          <w:szCs w:val="28"/>
          <w:highlight w:val="none"/>
          <w:u w:val="none"/>
          <w:lang w:val="en-US" w:eastAsia="zh-CN" w:bidi="ar"/>
        </w:rPr>
        <w:t>%</w:t>
      </w:r>
      <w:r>
        <w:rPr>
          <w:rFonts w:hint="eastAsia" w:hAnsi="宋体" w:eastAsia="宋体" w:cs="宋体"/>
          <w:bCs/>
          <w:i w:val="0"/>
          <w:iCs w:val="0"/>
          <w:color w:val="auto"/>
          <w:kern w:val="2"/>
          <w:sz w:val="28"/>
          <w:szCs w:val="28"/>
          <w:highlight w:val="none"/>
          <w:u w:val="none"/>
          <w:lang w:val="en-US" w:eastAsia="zh-CN" w:bidi="ar"/>
        </w:rPr>
        <w:t>。</w:t>
      </w:r>
    </w:p>
    <w:p w14:paraId="72F4E01F">
      <w:pPr>
        <w:pStyle w:val="10"/>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w:t>
      </w:r>
      <w:r>
        <w:rPr>
          <w:rFonts w:hint="default" w:ascii="Calibri" w:hAnsi="Calibri" w:eastAsia="宋体" w:cs="Calibri"/>
          <w:color w:val="auto"/>
          <w:sz w:val="28"/>
          <w:szCs w:val="28"/>
          <w:highlight w:val="none"/>
          <w:lang w:eastAsia="zh-CN"/>
        </w:rPr>
        <w:t>①</w:t>
      </w:r>
      <w:r>
        <w:rPr>
          <w:rFonts w:hint="eastAsia" w:ascii="宋体" w:hAnsi="宋体" w:eastAsia="宋体" w:cs="宋体"/>
          <w:color w:val="auto"/>
          <w:sz w:val="28"/>
          <w:szCs w:val="28"/>
          <w:highlight w:val="none"/>
        </w:rPr>
        <w:t>产品之详细规格见合同附件</w:t>
      </w:r>
      <w:r>
        <w:rPr>
          <w:rFonts w:hint="eastAsia"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，合同附件</w:t>
      </w:r>
      <w:r>
        <w:rPr>
          <w:rFonts w:hint="eastAsia"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金沙洲新社区、聚德花园纯公租房楼栋更换电梯项目投标报价表</w:t>
      </w:r>
      <w:r>
        <w:rPr>
          <w:rFonts w:hint="eastAsia" w:ascii="宋体" w:hAnsi="宋体" w:eastAsia="宋体" w:cs="宋体"/>
          <w:color w:val="auto"/>
          <w:sz w:val="28"/>
          <w:szCs w:val="28"/>
          <w:highlight w:val="none"/>
        </w:rPr>
        <w:t>》、招标文件、投标文件三者技术参数、标准如有不一致的，以标准要求高者为准。实际生产以甲方、乙方双方盖章确认的技术规格表为准。</w:t>
      </w:r>
    </w:p>
    <w:p w14:paraId="04CD3839">
      <w:pPr>
        <w:pStyle w:val="7"/>
        <w:keepNext w:val="0"/>
        <w:keepLines w:val="0"/>
        <w:pageBreakBefore w:val="0"/>
        <w:kinsoku/>
        <w:wordWrap/>
        <w:overflowPunct/>
        <w:bidi w:val="0"/>
        <w:adjustRightInd/>
        <w:snapToGrid/>
        <w:spacing w:line="360" w:lineRule="auto"/>
        <w:ind w:firstLine="560" w:firstLineChars="200"/>
        <w:textAlignment w:val="auto"/>
        <w:rPr>
          <w:rFonts w:hint="eastAsia" w:ascii="宋体" w:hAnsi="宋体" w:eastAsia="宋体" w:cs="宋体"/>
          <w:b w:val="0"/>
          <w:color w:val="auto"/>
          <w:sz w:val="28"/>
          <w:szCs w:val="28"/>
          <w:highlight w:val="none"/>
        </w:rPr>
      </w:pPr>
      <w:r>
        <w:rPr>
          <w:rFonts w:hint="default" w:ascii="Calibri" w:hAnsi="Calibri" w:eastAsia="宋体" w:cs="Calibri"/>
          <w:color w:val="auto"/>
          <w:sz w:val="28"/>
          <w:szCs w:val="28"/>
          <w:highlight w:val="none"/>
          <w:lang w:eastAsia="zh-CN"/>
        </w:rPr>
        <w:t>②</w:t>
      </w:r>
      <w:r>
        <w:rPr>
          <w:rFonts w:hint="eastAsia" w:ascii="宋体" w:hAnsi="宋体" w:eastAsia="宋体" w:cs="宋体"/>
          <w:bCs w:val="0"/>
          <w:color w:val="auto"/>
          <w:sz w:val="28"/>
          <w:szCs w:val="28"/>
          <w:highlight w:val="none"/>
        </w:rPr>
        <w:t>该合同总价</w:t>
      </w:r>
      <w:r>
        <w:rPr>
          <w:rFonts w:hint="eastAsia" w:ascii="宋体" w:hAnsi="宋体" w:cs="宋体"/>
          <w:color w:val="auto"/>
          <w:sz w:val="28"/>
          <w:szCs w:val="28"/>
          <w:highlight w:val="none"/>
        </w:rPr>
        <w:t>包</w:t>
      </w:r>
      <w:bookmarkStart w:id="7" w:name="OLE_LINK6"/>
      <w:r>
        <w:rPr>
          <w:rFonts w:hint="eastAsia" w:ascii="宋体" w:hAnsi="宋体" w:cs="宋体"/>
          <w:color w:val="auto"/>
          <w:sz w:val="28"/>
          <w:szCs w:val="28"/>
          <w:highlight w:val="none"/>
        </w:rPr>
        <w:t>含新电梯设备费</w:t>
      </w:r>
      <w:bookmarkEnd w:id="7"/>
      <w:r>
        <w:rPr>
          <w:rFonts w:hint="eastAsia" w:ascii="宋体" w:hAnsi="宋体" w:cs="宋体"/>
          <w:color w:val="auto"/>
          <w:sz w:val="28"/>
          <w:szCs w:val="28"/>
          <w:highlight w:val="none"/>
        </w:rPr>
        <w:t>、安装费、运输费、调试验收费、政府部门验收费、24个月维护保养费、楼层踏板、五方通话（含视频电缆）、井道照明费、圾清理费，拆卸原电梯费用及残值回收，底坑、井道、机房等土建整改费用。</w:t>
      </w:r>
      <w:r>
        <w:rPr>
          <w:rFonts w:hint="eastAsia" w:ascii="宋体" w:hAnsi="宋体" w:eastAsia="宋体" w:cs="宋体"/>
          <w:bCs w:val="0"/>
          <w:color w:val="auto"/>
          <w:sz w:val="28"/>
          <w:szCs w:val="28"/>
          <w:highlight w:val="none"/>
        </w:rPr>
        <w:t>包括</w:t>
      </w:r>
      <w:r>
        <w:rPr>
          <w:rFonts w:hint="eastAsia" w:ascii="宋体" w:hAnsi="宋体" w:eastAsia="宋体" w:cs="宋体"/>
          <w:bCs w:val="0"/>
          <w:color w:val="auto"/>
          <w:sz w:val="28"/>
          <w:szCs w:val="28"/>
          <w:highlight w:val="none"/>
          <w:lang w:eastAsia="zh-CN"/>
        </w:rPr>
        <w:t>但不限于</w:t>
      </w:r>
      <w:r>
        <w:rPr>
          <w:rFonts w:hint="eastAsia" w:ascii="宋体" w:hAnsi="宋体" w:eastAsia="宋体" w:cs="宋体"/>
          <w:bCs w:val="0"/>
          <w:color w:val="auto"/>
          <w:sz w:val="28"/>
          <w:szCs w:val="28"/>
          <w:highlight w:val="none"/>
        </w:rPr>
        <w:t>货物</w:t>
      </w:r>
      <w:r>
        <w:rPr>
          <w:rFonts w:hint="eastAsia" w:ascii="宋体" w:hAnsi="宋体" w:eastAsia="宋体" w:cs="宋体"/>
          <w:color w:val="auto"/>
          <w:sz w:val="28"/>
          <w:szCs w:val="28"/>
          <w:highlight w:val="none"/>
        </w:rPr>
        <w:t>价格、</w:t>
      </w:r>
      <w:r>
        <w:rPr>
          <w:rFonts w:hint="eastAsia" w:ascii="宋体" w:hAnsi="宋体" w:eastAsia="宋体" w:cs="宋体"/>
          <w:bCs w:val="0"/>
          <w:color w:val="auto"/>
          <w:sz w:val="28"/>
          <w:szCs w:val="28"/>
          <w:highlight w:val="none"/>
        </w:rPr>
        <w:t>设计、制造、包装、运输</w:t>
      </w:r>
      <w:r>
        <w:rPr>
          <w:rFonts w:hint="eastAsia" w:ascii="宋体" w:hAnsi="宋体" w:eastAsia="宋体" w:cs="宋体"/>
          <w:bCs w:val="0"/>
          <w:color w:val="auto"/>
          <w:sz w:val="28"/>
          <w:szCs w:val="28"/>
          <w:highlight w:val="none"/>
          <w:lang w:eastAsia="zh-CN"/>
        </w:rPr>
        <w:t>（含二次运输）</w:t>
      </w:r>
      <w:r>
        <w:rPr>
          <w:rFonts w:hint="eastAsia" w:ascii="宋体" w:hAnsi="宋体" w:eastAsia="宋体" w:cs="宋体"/>
          <w:bCs w:val="0"/>
          <w:color w:val="auto"/>
          <w:sz w:val="28"/>
          <w:szCs w:val="28"/>
          <w:highlight w:val="none"/>
        </w:rPr>
        <w:t>、</w:t>
      </w:r>
      <w:r>
        <w:rPr>
          <w:rFonts w:hint="eastAsia" w:ascii="宋体" w:hAnsi="宋体" w:eastAsia="宋体" w:cs="宋体"/>
          <w:bCs w:val="0"/>
          <w:color w:val="auto"/>
          <w:sz w:val="28"/>
          <w:szCs w:val="28"/>
          <w:highlight w:val="none"/>
          <w:lang w:eastAsia="zh-CN"/>
        </w:rPr>
        <w:t>装卸、仓储、安装</w:t>
      </w:r>
      <w:r>
        <w:rPr>
          <w:rFonts w:hint="eastAsia" w:ascii="宋体" w:hAnsi="宋体" w:eastAsia="宋体" w:cs="宋体"/>
          <w:color w:val="auto"/>
          <w:kern w:val="0"/>
          <w:sz w:val="28"/>
          <w:szCs w:val="28"/>
          <w:highlight w:val="none"/>
        </w:rPr>
        <w:t>（包括但不仅限于人工、辅材、机械等，包括</w:t>
      </w:r>
      <w:r>
        <w:rPr>
          <w:rFonts w:hint="eastAsia" w:ascii="宋体" w:hAnsi="宋体" w:eastAsia="宋体" w:cs="宋体"/>
          <w:color w:val="auto"/>
          <w:sz w:val="28"/>
          <w:szCs w:val="28"/>
          <w:highlight w:val="none"/>
        </w:rPr>
        <w:t>电梯电源柜(含)以后的电线、电缆及电气柜、控制柜的安装</w:t>
      </w:r>
      <w:r>
        <w:rPr>
          <w:rFonts w:hint="eastAsia" w:ascii="宋体" w:hAnsi="宋体" w:eastAsia="宋体" w:cs="宋体"/>
          <w:color w:val="auto"/>
          <w:kern w:val="0"/>
          <w:sz w:val="28"/>
          <w:szCs w:val="28"/>
          <w:highlight w:val="none"/>
        </w:rPr>
        <w:t>）及调试</w:t>
      </w: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rPr>
        <w:t>保险、</w:t>
      </w:r>
      <w:r>
        <w:rPr>
          <w:rFonts w:hint="eastAsia" w:ascii="宋体" w:hAnsi="宋体" w:eastAsia="宋体" w:cs="宋体"/>
          <w:bCs w:val="0"/>
          <w:color w:val="auto"/>
          <w:sz w:val="28"/>
          <w:szCs w:val="28"/>
          <w:highlight w:val="none"/>
          <w:lang w:eastAsia="zh-CN"/>
        </w:rPr>
        <w:t>项目管理、</w:t>
      </w:r>
      <w:r>
        <w:rPr>
          <w:rFonts w:hint="eastAsia" w:ascii="宋体" w:hAnsi="宋体" w:eastAsia="宋体" w:cs="宋体"/>
          <w:color w:val="auto"/>
          <w:kern w:val="0"/>
          <w:sz w:val="28"/>
          <w:szCs w:val="28"/>
          <w:highlight w:val="none"/>
        </w:rPr>
        <w:t>水电</w:t>
      </w:r>
      <w:r>
        <w:rPr>
          <w:rFonts w:hint="eastAsia" w:ascii="宋体" w:hAnsi="宋体" w:eastAsia="宋体" w:cs="宋体"/>
          <w:color w:val="auto"/>
          <w:kern w:val="0"/>
          <w:sz w:val="28"/>
          <w:szCs w:val="28"/>
          <w:highlight w:val="none"/>
          <w:lang w:eastAsia="zh-CN"/>
        </w:rPr>
        <w:t>、</w:t>
      </w:r>
      <w:r>
        <w:rPr>
          <w:rFonts w:hint="eastAsia" w:ascii="宋体" w:hAnsi="宋体" w:eastAsia="宋体" w:cs="宋体"/>
          <w:bCs w:val="0"/>
          <w:color w:val="auto"/>
          <w:sz w:val="28"/>
          <w:szCs w:val="28"/>
          <w:highlight w:val="none"/>
          <w:lang w:eastAsia="zh-CN"/>
        </w:rPr>
        <w:t>竣工</w:t>
      </w:r>
      <w:r>
        <w:rPr>
          <w:rFonts w:hint="eastAsia" w:ascii="宋体" w:hAnsi="宋体" w:eastAsia="宋体" w:cs="宋体"/>
          <w:bCs w:val="0"/>
          <w:color w:val="auto"/>
          <w:sz w:val="28"/>
          <w:szCs w:val="28"/>
          <w:highlight w:val="none"/>
        </w:rPr>
        <w:t>验收、</w:t>
      </w:r>
      <w:r>
        <w:rPr>
          <w:rFonts w:hint="eastAsia" w:ascii="宋体" w:hAnsi="宋体" w:eastAsia="宋体" w:cs="宋体"/>
          <w:bCs w:val="0"/>
          <w:color w:val="auto"/>
          <w:sz w:val="28"/>
          <w:szCs w:val="28"/>
          <w:highlight w:val="none"/>
          <w:lang w:eastAsia="zh-CN"/>
        </w:rPr>
        <w:t>竣工资料收集整理及移交、</w:t>
      </w:r>
      <w:r>
        <w:rPr>
          <w:rFonts w:hint="eastAsia" w:ascii="宋体" w:hAnsi="宋体" w:eastAsia="宋体" w:cs="宋体"/>
          <w:bCs w:val="0"/>
          <w:color w:val="auto"/>
          <w:sz w:val="28"/>
          <w:szCs w:val="28"/>
          <w:highlight w:val="none"/>
        </w:rPr>
        <w:t>质保期服务及备品备件费</w:t>
      </w:r>
      <w:bookmarkStart w:id="8" w:name="OLE_LINK19"/>
      <w:r>
        <w:rPr>
          <w:rFonts w:hint="eastAsia" w:ascii="宋体" w:hAnsi="宋体" w:eastAsia="宋体" w:cs="宋体"/>
          <w:bCs w:val="0"/>
          <w:color w:val="auto"/>
          <w:sz w:val="28"/>
          <w:szCs w:val="28"/>
          <w:highlight w:val="none"/>
        </w:rPr>
        <w:t>（2年）</w:t>
      </w:r>
      <w:bookmarkEnd w:id="8"/>
      <w:r>
        <w:rPr>
          <w:rFonts w:hint="eastAsia" w:ascii="宋体" w:hAnsi="宋体" w:eastAsia="宋体" w:cs="宋体"/>
          <w:bCs w:val="0"/>
          <w:color w:val="auto"/>
          <w:sz w:val="28"/>
          <w:szCs w:val="28"/>
          <w:highlight w:val="none"/>
        </w:rPr>
        <w:t>、专用工具（2套）</w:t>
      </w:r>
      <w:r>
        <w:rPr>
          <w:rFonts w:hint="eastAsia" w:ascii="宋体" w:hAnsi="宋体" w:eastAsia="宋体" w:cs="宋体"/>
          <w:color w:val="auto"/>
          <w:sz w:val="28"/>
          <w:szCs w:val="28"/>
          <w:highlight w:val="none"/>
        </w:rPr>
        <w:t>、电梯监控专用视频电缆（含五方通话和视频电缆）、电源柜（含）以后的电线、电缆、电气柜</w:t>
      </w:r>
      <w:r>
        <w:rPr>
          <w:rFonts w:hint="eastAsia" w:ascii="宋体" w:hAnsi="宋体" w:eastAsia="宋体" w:cs="宋体"/>
          <w:bCs w:val="0"/>
          <w:color w:val="auto"/>
          <w:sz w:val="28"/>
          <w:szCs w:val="28"/>
          <w:highlight w:val="none"/>
        </w:rPr>
        <w:t>、培训费、其他服务费、</w:t>
      </w:r>
      <w:r>
        <w:rPr>
          <w:rFonts w:hint="eastAsia" w:ascii="宋体" w:hAnsi="宋体" w:eastAsia="宋体" w:cs="宋体"/>
          <w:bCs w:val="0"/>
          <w:color w:val="auto"/>
          <w:sz w:val="28"/>
          <w:szCs w:val="28"/>
          <w:highlight w:val="none"/>
          <w:lang w:val="en-US" w:eastAsia="zh-CN"/>
        </w:rPr>
        <w:t>电梯机房空调、轿厢空调、更换厅门门套、</w:t>
      </w:r>
      <w:r>
        <w:rPr>
          <w:rFonts w:hint="eastAsia" w:ascii="宋体" w:hAnsi="宋体" w:eastAsia="宋体" w:cs="宋体"/>
          <w:bCs w:val="0"/>
          <w:color w:val="auto"/>
          <w:sz w:val="28"/>
          <w:szCs w:val="28"/>
          <w:highlight w:val="none"/>
        </w:rPr>
        <w:t>电梯视频电缆、电梯电源柜以后的电线、电缆及电气柜</w:t>
      </w:r>
      <w:r>
        <w:rPr>
          <w:rFonts w:hint="eastAsia" w:ascii="宋体" w:hAnsi="宋体" w:eastAsia="宋体" w:cs="宋体"/>
          <w:color w:val="auto"/>
          <w:sz w:val="28"/>
          <w:szCs w:val="28"/>
          <w:highlight w:val="none"/>
        </w:rPr>
        <w:t>、控制柜</w:t>
      </w:r>
      <w:r>
        <w:rPr>
          <w:rFonts w:hint="eastAsia" w:ascii="宋体" w:hAnsi="宋体" w:eastAsia="宋体" w:cs="宋体"/>
          <w:bCs w:val="0"/>
          <w:color w:val="auto"/>
          <w:sz w:val="28"/>
          <w:szCs w:val="28"/>
          <w:highlight w:val="none"/>
        </w:rPr>
        <w:t>的安装、电梯井道照明、钢结构牛腿以及每层井道壁的安全防护挡板、检修钢梯、检修插座及符合双方确认的电梯设计图在安装时如需修改电梯设备的费用、电梯安装施工及调试用电缆、照明、防护栏杆等设施、技术资料、图纸的提供等全部费用，</w:t>
      </w:r>
      <w:r>
        <w:rPr>
          <w:rFonts w:hint="eastAsia" w:ascii="宋体" w:hAnsi="宋体" w:eastAsia="宋体" w:cs="宋体"/>
          <w:bCs w:val="0"/>
          <w:color w:val="auto"/>
          <w:sz w:val="28"/>
          <w:szCs w:val="28"/>
          <w:highlight w:val="none"/>
          <w:lang w:eastAsia="zh-CN"/>
        </w:rPr>
        <w:t>风险及其他一切不可预见因素等电梯设备供应及正常运作所需的全部费用，满足本合同文件所有的技术要求、供货期的费用，保修费用及质量保修期零部件更换等费用，协调、管理费以及办理有关部门规定的安装、使用电梯设备的所有许可、批准手续的费用，保证甲方取得全部电梯设备的验收证、使用证及乙方完成本合同范围内全部义务所需的全部费用。</w:t>
      </w:r>
      <w:r>
        <w:rPr>
          <w:rFonts w:hint="eastAsia" w:ascii="宋体" w:hAnsi="宋体" w:eastAsia="宋体" w:cs="宋体"/>
          <w:bCs w:val="0"/>
          <w:color w:val="auto"/>
          <w:sz w:val="28"/>
          <w:szCs w:val="28"/>
          <w:highlight w:val="none"/>
        </w:rPr>
        <w:t>除非经甲方批准的设备台套变化或主要技术参数标准变化（载重量、速度、层站、内装标准），本合同执行期间合同总价（不含暂列金额）不变。发生台套变化的，合同价格调整按本合同第</w:t>
      </w:r>
      <w:r>
        <w:rPr>
          <w:rFonts w:hint="eastAsia" w:ascii="宋体" w:hAnsi="宋体" w:eastAsia="宋体" w:cs="宋体"/>
          <w:bCs w:val="0"/>
          <w:color w:val="auto"/>
          <w:sz w:val="28"/>
          <w:szCs w:val="28"/>
          <w:highlight w:val="none"/>
          <w:lang w:eastAsia="zh-CN"/>
        </w:rPr>
        <w:t>十</w:t>
      </w:r>
      <w:r>
        <w:rPr>
          <w:rFonts w:hint="eastAsia" w:ascii="宋体" w:hAnsi="宋体" w:eastAsia="宋体" w:cs="宋体"/>
          <w:bCs w:val="0"/>
          <w:color w:val="auto"/>
          <w:sz w:val="28"/>
          <w:szCs w:val="28"/>
          <w:highlight w:val="none"/>
        </w:rPr>
        <w:t>条约定执行。</w:t>
      </w:r>
      <w:r>
        <w:rPr>
          <w:rFonts w:hint="eastAsia" w:ascii="宋体" w:hAnsi="宋体" w:eastAsia="宋体" w:cs="宋体"/>
          <w:b w:val="0"/>
          <w:color w:val="auto"/>
          <w:sz w:val="28"/>
          <w:szCs w:val="28"/>
          <w:highlight w:val="none"/>
        </w:rPr>
        <w:t xml:space="preserve">  </w:t>
      </w:r>
    </w:p>
    <w:p w14:paraId="58100472">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bCs/>
          <w:color w:val="auto"/>
          <w:sz w:val="28"/>
          <w:szCs w:val="28"/>
          <w:highlight w:val="none"/>
        </w:rPr>
      </w:pPr>
      <w:r>
        <w:rPr>
          <w:rFonts w:hint="default" w:ascii="Calibri" w:hAnsi="Calibri" w:eastAsia="宋体" w:cs="Calibri"/>
          <w:color w:val="auto"/>
          <w:sz w:val="28"/>
          <w:szCs w:val="28"/>
          <w:highlight w:val="none"/>
          <w:lang w:eastAsia="zh-CN"/>
        </w:rPr>
        <w:t>③</w:t>
      </w:r>
      <w:r>
        <w:rPr>
          <w:rFonts w:hint="eastAsia" w:ascii="宋体" w:hAnsi="宋体" w:eastAsia="宋体" w:cs="宋体"/>
          <w:bCs/>
          <w:color w:val="auto"/>
          <w:sz w:val="28"/>
          <w:szCs w:val="28"/>
          <w:highlight w:val="none"/>
        </w:rPr>
        <w:t>暂列金额是甲方为可能发生的工程量变</w:t>
      </w:r>
      <w:r>
        <w:rPr>
          <w:rFonts w:hint="eastAsia" w:ascii="宋体" w:hAnsi="宋体" w:eastAsia="宋体" w:cs="宋体"/>
          <w:bCs/>
          <w:color w:val="auto"/>
          <w:sz w:val="28"/>
          <w:szCs w:val="28"/>
          <w:highlight w:val="none"/>
          <w:lang w:eastAsia="zh-CN"/>
        </w:rPr>
        <w:t>更</w:t>
      </w:r>
      <w:r>
        <w:rPr>
          <w:rFonts w:hint="eastAsia" w:ascii="宋体" w:hAnsi="宋体" w:eastAsia="宋体" w:cs="宋体"/>
          <w:bCs/>
          <w:color w:val="auto"/>
          <w:sz w:val="28"/>
          <w:szCs w:val="28"/>
          <w:highlight w:val="none"/>
        </w:rPr>
        <w:t>而预留的金额，按第</w:t>
      </w:r>
      <w:r>
        <w:rPr>
          <w:rFonts w:hint="eastAsia" w:ascii="宋体" w:hAnsi="宋体" w:eastAsia="宋体" w:cs="宋体"/>
          <w:bCs/>
          <w:color w:val="auto"/>
          <w:sz w:val="28"/>
          <w:szCs w:val="28"/>
          <w:highlight w:val="none"/>
          <w:lang w:eastAsia="zh-CN"/>
        </w:rPr>
        <w:t>十</w:t>
      </w:r>
      <w:r>
        <w:rPr>
          <w:rFonts w:hint="eastAsia" w:ascii="宋体" w:hAnsi="宋体" w:eastAsia="宋体" w:cs="宋体"/>
          <w:bCs/>
          <w:color w:val="auto"/>
          <w:sz w:val="28"/>
          <w:szCs w:val="28"/>
          <w:highlight w:val="none"/>
        </w:rPr>
        <w:t>条合同变</w:t>
      </w:r>
      <w:r>
        <w:rPr>
          <w:rFonts w:hint="eastAsia" w:ascii="宋体" w:hAnsi="宋体" w:eastAsia="宋体" w:cs="宋体"/>
          <w:bCs/>
          <w:color w:val="auto"/>
          <w:sz w:val="28"/>
          <w:szCs w:val="28"/>
          <w:highlight w:val="none"/>
          <w:lang w:eastAsia="zh-CN"/>
        </w:rPr>
        <w:t>更</w:t>
      </w:r>
      <w:r>
        <w:rPr>
          <w:rFonts w:hint="eastAsia" w:ascii="宋体" w:hAnsi="宋体" w:eastAsia="宋体" w:cs="宋体"/>
          <w:bCs/>
          <w:color w:val="auto"/>
          <w:sz w:val="28"/>
          <w:szCs w:val="28"/>
          <w:highlight w:val="none"/>
        </w:rPr>
        <w:t>结算原则进行结算列表，如不发生变更则不予支付。</w:t>
      </w:r>
    </w:p>
    <w:p w14:paraId="75714A79">
      <w:pPr>
        <w:pStyle w:val="2"/>
        <w:keepNext w:val="0"/>
        <w:keepLines w:val="0"/>
        <w:pageBreakBefore w:val="0"/>
        <w:kinsoku/>
        <w:wordWrap/>
        <w:overflowPunct/>
        <w:bidi w:val="0"/>
        <w:adjustRightInd/>
        <w:snapToGrid/>
        <w:spacing w:line="360" w:lineRule="auto"/>
        <w:jc w:val="left"/>
        <w:textAlignment w:val="auto"/>
        <w:rPr>
          <w:rFonts w:hint="default" w:eastAsia="宋体"/>
          <w:color w:val="auto"/>
          <w:highlight w:val="none"/>
          <w:lang w:val="en-US" w:eastAsia="zh-CN"/>
        </w:rPr>
      </w:pPr>
      <w:r>
        <w:rPr>
          <w:rFonts w:hint="eastAsia" w:ascii="宋体" w:hAnsi="宋体" w:eastAsia="宋体" w:cs="宋体"/>
          <w:bCs/>
          <w:color w:val="auto"/>
          <w:sz w:val="28"/>
          <w:szCs w:val="28"/>
          <w:highlight w:val="none"/>
          <w:lang w:val="en-US" w:eastAsia="zh-CN"/>
        </w:rPr>
        <w:t xml:space="preserve">    </w:t>
      </w:r>
      <w:r>
        <w:rPr>
          <w:rFonts w:hint="default" w:ascii="Calibri" w:hAnsi="Calibri" w:eastAsia="宋体" w:cs="Calibri"/>
          <w:bCs w:val="0"/>
          <w:color w:val="auto"/>
          <w:sz w:val="28"/>
          <w:szCs w:val="28"/>
          <w:highlight w:val="none"/>
          <w:lang w:val="en-US" w:eastAsia="zh-CN"/>
        </w:rPr>
        <w:t>④</w:t>
      </w:r>
      <w:r>
        <w:rPr>
          <w:rFonts w:hint="eastAsia" w:ascii="宋体" w:hAnsi="宋体" w:eastAsia="宋体" w:cs="宋体"/>
          <w:bCs/>
          <w:color w:val="auto"/>
          <w:sz w:val="28"/>
          <w:szCs w:val="28"/>
          <w:highlight w:val="none"/>
          <w:lang w:val="en-US" w:eastAsia="zh-CN"/>
        </w:rPr>
        <w:t>本合同含税总金额=（1）+（2）+（3）+（4）-（5）。</w:t>
      </w:r>
    </w:p>
    <w:p w14:paraId="20140301">
      <w:pPr>
        <w:pStyle w:val="10"/>
        <w:keepNext w:val="0"/>
        <w:keepLines w:val="0"/>
        <w:pageBreakBefore w:val="0"/>
        <w:kinsoku/>
        <w:wordWrap/>
        <w:overflowPunct/>
        <w:bidi w:val="0"/>
        <w:adjustRightInd/>
        <w:snapToGrid/>
        <w:spacing w:line="360" w:lineRule="auto"/>
        <w:ind w:right="481" w:rightChars="229" w:firstLine="562" w:firstLineChars="200"/>
        <w:jc w:val="left"/>
        <w:textAlignment w:val="auto"/>
        <w:rPr>
          <w:rFonts w:hint="eastAsia" w:ascii="宋体" w:hAnsi="宋体" w:eastAsia="宋体" w:cs="宋体"/>
          <w:b/>
          <w:color w:val="auto"/>
          <w:sz w:val="28"/>
          <w:szCs w:val="28"/>
          <w:highlight w:val="none"/>
          <w:lang w:eastAsia="zh-CN"/>
        </w:rPr>
      </w:pPr>
      <w:r>
        <w:rPr>
          <w:rFonts w:hint="eastAsia" w:hAnsi="宋体" w:eastAsia="宋体" w:cs="宋体"/>
          <w:b/>
          <w:color w:val="auto"/>
          <w:sz w:val="28"/>
          <w:szCs w:val="28"/>
          <w:highlight w:val="none"/>
          <w:lang w:eastAsia="zh-CN"/>
        </w:rPr>
        <w:t>六、价款支付</w:t>
      </w:r>
    </w:p>
    <w:p w14:paraId="15FEB0CA">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本项目资金来源为</w:t>
      </w:r>
      <w:r>
        <w:rPr>
          <w:rFonts w:hint="eastAsia" w:ascii="宋体" w:hAnsi="宋体" w:eastAsia="宋体" w:cs="宋体"/>
          <w:color w:val="auto"/>
          <w:kern w:val="0"/>
          <w:sz w:val="28"/>
          <w:szCs w:val="28"/>
          <w:highlight w:val="none"/>
          <w:lang w:eastAsia="zh-CN"/>
        </w:rPr>
        <w:t>企业自筹资金</w:t>
      </w:r>
      <w:r>
        <w:rPr>
          <w:rFonts w:hint="eastAsia" w:ascii="宋体" w:hAnsi="宋体" w:eastAsia="宋体" w:cs="宋体"/>
          <w:color w:val="auto"/>
          <w:kern w:val="0"/>
          <w:sz w:val="28"/>
          <w:szCs w:val="28"/>
          <w:highlight w:val="none"/>
        </w:rPr>
        <w:t>。因此本合同的付款方式为：达到合同约定的付款条件时，乙方</w:t>
      </w:r>
      <w:r>
        <w:rPr>
          <w:rFonts w:hint="eastAsia" w:ascii="宋体" w:hAnsi="宋体" w:eastAsia="宋体" w:cs="宋体"/>
          <w:color w:val="auto"/>
          <w:kern w:val="0"/>
          <w:sz w:val="28"/>
          <w:szCs w:val="28"/>
          <w:highlight w:val="none"/>
          <w:lang w:eastAsia="zh-CN"/>
        </w:rPr>
        <w:t>向甲方</w:t>
      </w:r>
      <w:r>
        <w:rPr>
          <w:rFonts w:hint="eastAsia" w:ascii="宋体" w:hAnsi="宋体" w:eastAsia="宋体" w:cs="宋体"/>
          <w:color w:val="auto"/>
          <w:kern w:val="0"/>
          <w:sz w:val="28"/>
          <w:szCs w:val="28"/>
          <w:highlight w:val="none"/>
        </w:rPr>
        <w:t>提交付款申请</w:t>
      </w:r>
      <w:r>
        <w:rPr>
          <w:rFonts w:hint="eastAsia" w:ascii="宋体" w:hAnsi="宋体" w:cs="宋体"/>
          <w:color w:val="auto"/>
          <w:kern w:val="0"/>
          <w:sz w:val="28"/>
          <w:szCs w:val="28"/>
          <w:highlight w:val="none"/>
          <w:lang w:eastAsia="zh-CN"/>
        </w:rPr>
        <w:t>和等额增值税专用发票</w:t>
      </w:r>
      <w:r>
        <w:rPr>
          <w:rFonts w:hint="eastAsia" w:ascii="宋体" w:hAnsi="宋体" w:eastAsia="宋体" w:cs="宋体"/>
          <w:color w:val="auto"/>
          <w:kern w:val="0"/>
          <w:sz w:val="28"/>
          <w:szCs w:val="28"/>
          <w:highlight w:val="none"/>
        </w:rPr>
        <w:t>，甲方在约定时间内审核确认后直接支付给乙方。具体约定如下：</w:t>
      </w:r>
      <w:bookmarkStart w:id="44" w:name="_GoBack"/>
      <w:bookmarkEnd w:id="44"/>
    </w:p>
    <w:p w14:paraId="440F71E1">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.1</w:t>
      </w:r>
      <w:r>
        <w:rPr>
          <w:rFonts w:hint="eastAsia" w:ascii="宋体" w:hAnsi="宋体" w:cs="宋体"/>
          <w:b w:val="0"/>
          <w:bCs/>
          <w:color w:val="auto"/>
          <w:sz w:val="28"/>
          <w:szCs w:val="28"/>
          <w:highlight w:val="none"/>
          <w:lang w:eastAsia="zh-CN"/>
        </w:rPr>
        <w:t>电梯设备费支付方式：</w:t>
      </w:r>
    </w:p>
    <w:p w14:paraId="2924A057">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合同生效后首次付款前，乙方向甲方提交受益人为甲方、金额为</w:t>
      </w:r>
      <w:r>
        <w:rPr>
          <w:rFonts w:hint="eastAsia" w:ascii="宋体" w:hAnsi="宋体" w:cs="宋体"/>
          <w:b w:val="0"/>
          <w:bCs/>
          <w:color w:val="auto"/>
          <w:sz w:val="28"/>
          <w:szCs w:val="28"/>
          <w:highlight w:val="none"/>
          <w:lang w:eastAsia="zh-CN"/>
        </w:rPr>
        <w:t>电梯设备费含税总金额</w:t>
      </w:r>
      <w:r>
        <w:rPr>
          <w:rFonts w:hint="eastAsia" w:ascii="宋体" w:hAnsi="宋体" w:eastAsia="宋体" w:cs="宋体"/>
          <w:b w:val="0"/>
          <w:bCs/>
          <w:color w:val="auto"/>
          <w:sz w:val="28"/>
          <w:szCs w:val="28"/>
          <w:highlight w:val="none"/>
        </w:rPr>
        <w:t>10%</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计</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rPr>
        <w:t>元（大写：人民币</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rPr>
        <w:t>元整</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的不可撤销的</w:t>
      </w:r>
      <w:r>
        <w:rPr>
          <w:rFonts w:hint="eastAsia" w:ascii="宋体" w:hAnsi="宋体" w:cs="宋体"/>
          <w:b w:val="0"/>
          <w:bCs/>
          <w:color w:val="auto"/>
          <w:sz w:val="28"/>
          <w:szCs w:val="28"/>
          <w:highlight w:val="none"/>
          <w:lang w:eastAsia="zh-CN"/>
        </w:rPr>
        <w:t>见索即付</w:t>
      </w:r>
      <w:r>
        <w:rPr>
          <w:rFonts w:hint="eastAsia" w:ascii="宋体" w:hAnsi="宋体" w:eastAsia="宋体" w:cs="宋体"/>
          <w:b w:val="0"/>
          <w:bCs/>
          <w:color w:val="auto"/>
          <w:sz w:val="28"/>
          <w:szCs w:val="28"/>
          <w:highlight w:val="none"/>
        </w:rPr>
        <w:t>银行履约保函</w:t>
      </w:r>
      <w:r>
        <w:rPr>
          <w:rFonts w:hint="eastAsia" w:ascii="宋体" w:hAnsi="宋体" w:eastAsia="宋体" w:cs="宋体"/>
          <w:b w:val="0"/>
          <w:bCs/>
          <w:color w:val="auto"/>
          <w:sz w:val="28"/>
          <w:szCs w:val="28"/>
          <w:highlight w:val="none"/>
          <w:lang w:eastAsia="zh-CN"/>
        </w:rPr>
        <w:t>，保函有效期限为合同签订之日起至质量保修期结束之日止</w:t>
      </w:r>
      <w:r>
        <w:rPr>
          <w:rFonts w:hint="eastAsia" w:ascii="宋体" w:hAnsi="宋体" w:eastAsia="宋体" w:cs="宋体"/>
          <w:b w:val="0"/>
          <w:bCs/>
          <w:color w:val="auto"/>
          <w:sz w:val="28"/>
          <w:szCs w:val="28"/>
          <w:highlight w:val="none"/>
        </w:rPr>
        <w:t>。</w:t>
      </w:r>
      <w:r>
        <w:rPr>
          <w:rFonts w:hint="eastAsia" w:ascii="宋体" w:hAnsi="宋体" w:cs="宋体"/>
          <w:b w:val="0"/>
          <w:bCs/>
          <w:color w:val="auto"/>
          <w:sz w:val="28"/>
          <w:szCs w:val="28"/>
          <w:highlight w:val="none"/>
          <w:lang w:eastAsia="zh-CN"/>
        </w:rPr>
        <w:t>乙方按合同约定提交</w:t>
      </w:r>
      <w:r>
        <w:rPr>
          <w:rFonts w:hint="eastAsia" w:ascii="宋体" w:hAnsi="宋体" w:eastAsia="宋体" w:cs="宋体"/>
          <w:b w:val="0"/>
          <w:bCs/>
          <w:color w:val="auto"/>
          <w:sz w:val="28"/>
          <w:szCs w:val="28"/>
          <w:highlight w:val="none"/>
        </w:rPr>
        <w:t>上述保函和付款申请</w:t>
      </w:r>
      <w:r>
        <w:rPr>
          <w:rFonts w:hint="eastAsia" w:ascii="宋体" w:hAnsi="宋体" w:cs="宋体"/>
          <w:b w:val="0"/>
          <w:bCs/>
          <w:color w:val="auto"/>
          <w:sz w:val="28"/>
          <w:szCs w:val="28"/>
          <w:highlight w:val="none"/>
          <w:lang w:eastAsia="zh-CN"/>
        </w:rPr>
        <w:t>，经监理单位和甲方确认</w:t>
      </w:r>
      <w:r>
        <w:rPr>
          <w:rFonts w:hint="eastAsia" w:ascii="宋体" w:hAnsi="宋体" w:eastAsia="宋体" w:cs="宋体"/>
          <w:b w:val="0"/>
          <w:bCs/>
          <w:color w:val="auto"/>
          <w:sz w:val="28"/>
          <w:szCs w:val="28"/>
          <w:highlight w:val="none"/>
        </w:rPr>
        <w:t>后</w:t>
      </w:r>
      <w:r>
        <w:rPr>
          <w:rFonts w:hint="eastAsia" w:ascii="宋体" w:hAnsi="宋体" w:cs="宋体"/>
          <w:b w:val="0"/>
          <w:bCs/>
          <w:color w:val="auto"/>
          <w:sz w:val="28"/>
          <w:szCs w:val="28"/>
          <w:highlight w:val="none"/>
          <w:lang w:val="en-US" w:eastAsia="zh-CN"/>
        </w:rPr>
        <w:t>30个工作</w:t>
      </w:r>
      <w:r>
        <w:rPr>
          <w:rFonts w:hint="eastAsia" w:ascii="宋体" w:hAnsi="宋体" w:eastAsia="宋体" w:cs="宋体"/>
          <w:b w:val="0"/>
          <w:bCs/>
          <w:color w:val="auto"/>
          <w:sz w:val="28"/>
          <w:szCs w:val="28"/>
          <w:highlight w:val="none"/>
          <w:lang w:val="en-US" w:eastAsia="zh-CN"/>
        </w:rPr>
        <w:t>日</w:t>
      </w:r>
      <w:r>
        <w:rPr>
          <w:rFonts w:hint="eastAsia" w:ascii="宋体" w:hAnsi="宋体" w:eastAsia="宋体" w:cs="宋体"/>
          <w:b w:val="0"/>
          <w:bCs/>
          <w:color w:val="auto"/>
          <w:sz w:val="28"/>
          <w:szCs w:val="28"/>
          <w:highlight w:val="none"/>
        </w:rPr>
        <w:t>内，</w:t>
      </w:r>
      <w:r>
        <w:rPr>
          <w:rFonts w:hint="eastAsia" w:ascii="宋体" w:hAnsi="宋体" w:cs="宋体"/>
          <w:b w:val="0"/>
          <w:bCs/>
          <w:color w:val="auto"/>
          <w:sz w:val="28"/>
          <w:szCs w:val="28"/>
          <w:highlight w:val="none"/>
          <w:lang w:eastAsia="zh-CN"/>
        </w:rPr>
        <w:t>甲方</w:t>
      </w:r>
      <w:r>
        <w:rPr>
          <w:rFonts w:hint="eastAsia" w:ascii="宋体" w:hAnsi="宋体" w:eastAsia="宋体" w:cs="宋体"/>
          <w:b w:val="0"/>
          <w:bCs/>
          <w:color w:val="auto"/>
          <w:sz w:val="28"/>
          <w:szCs w:val="28"/>
          <w:highlight w:val="none"/>
        </w:rPr>
        <w:t>支付</w:t>
      </w:r>
      <w:r>
        <w:rPr>
          <w:rFonts w:hint="eastAsia" w:ascii="宋体" w:hAnsi="宋体" w:cs="宋体"/>
          <w:b w:val="0"/>
          <w:bCs/>
          <w:color w:val="auto"/>
          <w:sz w:val="28"/>
          <w:szCs w:val="28"/>
          <w:highlight w:val="none"/>
          <w:lang w:eastAsia="zh-CN"/>
        </w:rPr>
        <w:t>电梯设备费含税总金额</w:t>
      </w:r>
      <w:r>
        <w:rPr>
          <w:rFonts w:hint="eastAsia" w:ascii="宋体" w:hAnsi="宋体" w:eastAsia="宋体" w:cs="宋体"/>
          <w:b w:val="0"/>
          <w:bCs/>
          <w:color w:val="auto"/>
          <w:sz w:val="28"/>
          <w:szCs w:val="28"/>
          <w:highlight w:val="none"/>
        </w:rPr>
        <w:t>的5%</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计</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u w:val="single"/>
          <w:lang w:val="en-US" w:eastAsia="zh-CN"/>
        </w:rPr>
        <w:t xml:space="preserve">  </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rPr>
        <w:t>元（大写：人民币</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rPr>
        <w:t>元整</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作为定金。</w:t>
      </w:r>
    </w:p>
    <w:p w14:paraId="59755786">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甲方发出每期书面供货通知（约定供货时间、地点，提前</w:t>
      </w:r>
      <w:r>
        <w:rPr>
          <w:rFonts w:hint="eastAsia" w:ascii="宋体" w:hAnsi="宋体" w:cs="宋体"/>
          <w:bCs/>
          <w:color w:val="auto"/>
          <w:sz w:val="28"/>
          <w:szCs w:val="28"/>
          <w:highlight w:val="none"/>
          <w:lang w:eastAsia="zh-CN"/>
        </w:rPr>
        <w:t>1</w:t>
      </w:r>
      <w:r>
        <w:rPr>
          <w:rFonts w:hint="eastAsia" w:ascii="宋体" w:hAnsi="宋体" w:cs="宋体"/>
          <w:bCs/>
          <w:color w:val="auto"/>
          <w:sz w:val="28"/>
          <w:szCs w:val="28"/>
          <w:highlight w:val="none"/>
          <w:lang w:val="en-US" w:eastAsia="zh-CN"/>
        </w:rPr>
        <w:t>0</w:t>
      </w:r>
      <w:r>
        <w:rPr>
          <w:rFonts w:hint="eastAsia" w:ascii="宋体" w:hAnsi="宋体" w:eastAsia="宋体" w:cs="宋体"/>
          <w:bCs/>
          <w:color w:val="auto"/>
          <w:sz w:val="28"/>
          <w:szCs w:val="28"/>
          <w:highlight w:val="none"/>
          <w:lang w:val="en-US" w:eastAsia="zh-CN"/>
        </w:rPr>
        <w:t>天</w:t>
      </w:r>
      <w:r>
        <w:rPr>
          <w:rFonts w:hint="eastAsia" w:ascii="宋体" w:hAnsi="宋体" w:eastAsia="宋体" w:cs="宋体"/>
          <w:color w:val="auto"/>
          <w:sz w:val="28"/>
          <w:szCs w:val="28"/>
          <w:highlight w:val="none"/>
        </w:rPr>
        <w:t>通知)</w:t>
      </w:r>
      <w:r>
        <w:rPr>
          <w:rFonts w:hint="eastAsia" w:ascii="宋体" w:hAnsi="宋体" w:eastAsia="宋体" w:cs="宋体"/>
          <w:color w:val="auto"/>
          <w:sz w:val="28"/>
          <w:szCs w:val="28"/>
          <w:highlight w:val="none"/>
          <w:lang w:eastAsia="zh-CN"/>
        </w:rPr>
        <w:t>、收到</w:t>
      </w:r>
      <w:r>
        <w:rPr>
          <w:rFonts w:hint="eastAsia" w:ascii="宋体" w:hAnsi="宋体" w:eastAsia="宋体" w:cs="宋体"/>
          <w:b w:val="0"/>
          <w:bCs/>
          <w:color w:val="auto"/>
          <w:sz w:val="28"/>
          <w:szCs w:val="28"/>
          <w:highlight w:val="none"/>
        </w:rPr>
        <w:t>乙方</w:t>
      </w:r>
      <w:r>
        <w:rPr>
          <w:rFonts w:hint="eastAsia" w:ascii="宋体" w:hAnsi="宋体" w:eastAsia="宋体" w:cs="宋体"/>
          <w:b w:val="0"/>
          <w:bCs/>
          <w:color w:val="auto"/>
          <w:sz w:val="28"/>
          <w:szCs w:val="28"/>
          <w:highlight w:val="none"/>
          <w:lang w:eastAsia="zh-CN"/>
        </w:rPr>
        <w:t>该笔货物</w:t>
      </w:r>
      <w:r>
        <w:rPr>
          <w:rFonts w:hint="eastAsia" w:ascii="宋体" w:hAnsi="宋体" w:eastAsia="宋体" w:cs="宋体"/>
          <w:b w:val="0"/>
          <w:bCs/>
          <w:color w:val="auto"/>
          <w:sz w:val="28"/>
          <w:szCs w:val="28"/>
          <w:highlight w:val="none"/>
        </w:rPr>
        <w:t>付款申请</w:t>
      </w:r>
      <w:r>
        <w:rPr>
          <w:rFonts w:hint="eastAsia" w:ascii="宋体" w:hAnsi="宋体" w:eastAsia="宋体" w:cs="宋体"/>
          <w:color w:val="auto"/>
          <w:sz w:val="28"/>
          <w:szCs w:val="28"/>
          <w:highlight w:val="none"/>
        </w:rPr>
        <w:t>后1</w:t>
      </w:r>
      <w:r>
        <w:rPr>
          <w:rFonts w:hint="eastAsia" w:ascii="宋体" w:hAnsi="宋体" w:eastAsia="宋体" w:cs="宋体"/>
          <w:color w:val="auto"/>
          <w:sz w:val="28"/>
          <w:szCs w:val="28"/>
          <w:highlight w:val="none"/>
          <w:lang w:val="en-US" w:eastAsia="zh-CN"/>
        </w:rPr>
        <w:t>4日</w:t>
      </w:r>
      <w:r>
        <w:rPr>
          <w:rFonts w:hint="eastAsia" w:ascii="宋体" w:hAnsi="宋体" w:eastAsia="宋体" w:cs="宋体"/>
          <w:color w:val="auto"/>
          <w:sz w:val="28"/>
          <w:szCs w:val="28"/>
          <w:highlight w:val="none"/>
        </w:rPr>
        <w:t>内</w:t>
      </w:r>
      <w:r>
        <w:rPr>
          <w:rFonts w:hint="eastAsia" w:ascii="宋体" w:hAnsi="宋体" w:eastAsia="宋体" w:cs="宋体"/>
          <w:b w:val="0"/>
          <w:bCs/>
          <w:color w:val="auto"/>
          <w:sz w:val="28"/>
          <w:szCs w:val="28"/>
          <w:highlight w:val="none"/>
          <w:lang w:eastAsia="zh-CN"/>
        </w:rPr>
        <w:t>审核确认</w:t>
      </w:r>
      <w:r>
        <w:rPr>
          <w:rFonts w:hint="eastAsia" w:ascii="宋体" w:hAnsi="宋体" w:eastAsia="宋体" w:cs="宋体"/>
          <w:b w:val="0"/>
          <w:bCs/>
          <w:color w:val="auto"/>
          <w:sz w:val="28"/>
          <w:szCs w:val="28"/>
          <w:highlight w:val="none"/>
        </w:rPr>
        <w:t>，</w:t>
      </w:r>
      <w:r>
        <w:rPr>
          <w:rFonts w:hint="eastAsia" w:ascii="宋体" w:hAnsi="宋体" w:eastAsia="宋体" w:cs="宋体"/>
          <w:color w:val="auto"/>
          <w:sz w:val="28"/>
          <w:szCs w:val="28"/>
          <w:highlight w:val="none"/>
        </w:rPr>
        <w:t>支付该期</w:t>
      </w:r>
      <w:r>
        <w:rPr>
          <w:rFonts w:hint="eastAsia" w:ascii="宋体" w:hAnsi="宋体" w:cs="宋体"/>
          <w:b w:val="0"/>
          <w:bCs/>
          <w:color w:val="auto"/>
          <w:sz w:val="28"/>
          <w:szCs w:val="28"/>
          <w:highlight w:val="none"/>
          <w:lang w:eastAsia="zh-CN"/>
        </w:rPr>
        <w:t>电梯设备费含税总金额</w:t>
      </w:r>
      <w:r>
        <w:rPr>
          <w:rFonts w:hint="eastAsia" w:ascii="宋体" w:hAnsi="宋体" w:eastAsia="宋体" w:cs="宋体"/>
          <w:color w:val="auto"/>
          <w:sz w:val="28"/>
          <w:szCs w:val="28"/>
          <w:highlight w:val="none"/>
        </w:rPr>
        <w:t>的</w:t>
      </w:r>
      <w:r>
        <w:rPr>
          <w:rFonts w:hint="eastAsia" w:ascii="宋体" w:hAnsi="宋体" w:eastAsia="宋体" w:cs="宋体"/>
          <w:bCs/>
          <w:color w:val="auto"/>
          <w:sz w:val="28"/>
          <w:szCs w:val="28"/>
          <w:highlight w:val="none"/>
        </w:rPr>
        <w:t>25%</w:t>
      </w:r>
      <w:r>
        <w:rPr>
          <w:rFonts w:hint="eastAsia" w:ascii="宋体" w:hAnsi="宋体" w:eastAsia="宋体" w:cs="宋体"/>
          <w:color w:val="auto"/>
          <w:sz w:val="28"/>
          <w:szCs w:val="28"/>
          <w:highlight w:val="none"/>
        </w:rPr>
        <w:t>。</w:t>
      </w:r>
    </w:p>
    <w:p w14:paraId="650E524E">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每期电梯货到现场，经</w:t>
      </w:r>
      <w:r>
        <w:rPr>
          <w:rFonts w:hint="eastAsia" w:ascii="宋体" w:hAnsi="宋体" w:eastAsia="宋体" w:cs="宋体"/>
          <w:color w:val="auto"/>
          <w:sz w:val="28"/>
          <w:szCs w:val="28"/>
          <w:highlight w:val="none"/>
          <w:lang w:val="en-US" w:eastAsia="zh-CN"/>
        </w:rPr>
        <w:t>开箱验收</w:t>
      </w:r>
      <w:r>
        <w:rPr>
          <w:rFonts w:hint="eastAsia" w:ascii="宋体" w:hAnsi="宋体" w:eastAsia="宋体" w:cs="宋体"/>
          <w:color w:val="auto"/>
          <w:sz w:val="28"/>
          <w:szCs w:val="28"/>
          <w:highlight w:val="none"/>
        </w:rPr>
        <w:t>合格后</w:t>
      </w:r>
      <w:r>
        <w:rPr>
          <w:rFonts w:hint="eastAsia" w:ascii="宋体" w:hAnsi="宋体" w:eastAsia="宋体" w:cs="宋体"/>
          <w:color w:val="auto"/>
          <w:sz w:val="28"/>
          <w:szCs w:val="28"/>
          <w:highlight w:val="none"/>
          <w:lang w:eastAsia="zh-CN"/>
        </w:rPr>
        <w:t>、收到</w:t>
      </w:r>
      <w:r>
        <w:rPr>
          <w:rFonts w:hint="eastAsia" w:ascii="宋体" w:hAnsi="宋体" w:eastAsia="宋体" w:cs="宋体"/>
          <w:b w:val="0"/>
          <w:bCs/>
          <w:color w:val="auto"/>
          <w:sz w:val="28"/>
          <w:szCs w:val="28"/>
          <w:highlight w:val="none"/>
        </w:rPr>
        <w:t>乙方</w:t>
      </w:r>
      <w:r>
        <w:rPr>
          <w:rFonts w:hint="eastAsia" w:ascii="宋体" w:hAnsi="宋体" w:eastAsia="宋体" w:cs="宋体"/>
          <w:b w:val="0"/>
          <w:bCs/>
          <w:color w:val="auto"/>
          <w:sz w:val="28"/>
          <w:szCs w:val="28"/>
          <w:highlight w:val="none"/>
          <w:lang w:eastAsia="zh-CN"/>
        </w:rPr>
        <w:t>该笔货物</w:t>
      </w:r>
      <w:r>
        <w:rPr>
          <w:rFonts w:hint="eastAsia" w:ascii="宋体" w:hAnsi="宋体" w:eastAsia="宋体" w:cs="宋体"/>
          <w:b w:val="0"/>
          <w:bCs/>
          <w:color w:val="auto"/>
          <w:sz w:val="28"/>
          <w:szCs w:val="28"/>
          <w:highlight w:val="none"/>
        </w:rPr>
        <w:t>付款申请后</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日内</w:t>
      </w:r>
      <w:r>
        <w:rPr>
          <w:rFonts w:hint="eastAsia" w:ascii="宋体" w:hAnsi="宋体" w:eastAsia="宋体" w:cs="宋体"/>
          <w:b w:val="0"/>
          <w:bCs/>
          <w:color w:val="auto"/>
          <w:sz w:val="28"/>
          <w:szCs w:val="28"/>
          <w:highlight w:val="none"/>
          <w:lang w:eastAsia="zh-CN"/>
        </w:rPr>
        <w:t>审核确认</w:t>
      </w:r>
      <w:r>
        <w:rPr>
          <w:rFonts w:hint="eastAsia" w:ascii="宋体" w:hAnsi="宋体" w:eastAsia="宋体" w:cs="宋体"/>
          <w:b w:val="0"/>
          <w:bCs/>
          <w:color w:val="auto"/>
          <w:sz w:val="28"/>
          <w:szCs w:val="28"/>
          <w:highlight w:val="none"/>
        </w:rPr>
        <w:t>，</w:t>
      </w:r>
      <w:r>
        <w:rPr>
          <w:rFonts w:hint="eastAsia" w:ascii="宋体" w:hAnsi="宋体" w:eastAsia="宋体" w:cs="宋体"/>
          <w:color w:val="auto"/>
          <w:sz w:val="28"/>
          <w:szCs w:val="28"/>
          <w:highlight w:val="none"/>
        </w:rPr>
        <w:t>支付该期</w:t>
      </w:r>
      <w:r>
        <w:rPr>
          <w:rFonts w:hint="eastAsia" w:ascii="宋体" w:hAnsi="宋体" w:cs="宋体"/>
          <w:b w:val="0"/>
          <w:bCs/>
          <w:color w:val="auto"/>
          <w:sz w:val="28"/>
          <w:szCs w:val="28"/>
          <w:highlight w:val="none"/>
          <w:lang w:eastAsia="zh-CN"/>
        </w:rPr>
        <w:t>电梯设备费含税总金额</w:t>
      </w:r>
      <w:r>
        <w:rPr>
          <w:rFonts w:hint="eastAsia" w:ascii="宋体" w:hAnsi="宋体" w:eastAsia="宋体" w:cs="宋体"/>
          <w:color w:val="auto"/>
          <w:sz w:val="28"/>
          <w:szCs w:val="28"/>
          <w:highlight w:val="none"/>
        </w:rPr>
        <w:t>的</w:t>
      </w:r>
      <w:r>
        <w:rPr>
          <w:rFonts w:hint="eastAsia" w:ascii="宋体" w:hAnsi="宋体" w:eastAsia="宋体" w:cs="宋体"/>
          <w:bCs/>
          <w:color w:val="auto"/>
          <w:sz w:val="28"/>
          <w:szCs w:val="28"/>
          <w:highlight w:val="none"/>
        </w:rPr>
        <w:t>25％</w:t>
      </w:r>
      <w:r>
        <w:rPr>
          <w:rFonts w:hint="eastAsia" w:ascii="宋体" w:hAnsi="宋体" w:eastAsia="宋体" w:cs="宋体"/>
          <w:color w:val="auto"/>
          <w:sz w:val="28"/>
          <w:szCs w:val="28"/>
          <w:highlight w:val="none"/>
          <w:lang w:val="en-US" w:eastAsia="zh-CN"/>
        </w:rPr>
        <w:t>并抵扣残值回收总费用的50%</w:t>
      </w:r>
      <w:r>
        <w:rPr>
          <w:rFonts w:hint="eastAsia" w:ascii="宋体" w:hAnsi="宋体" w:eastAsia="宋体" w:cs="宋体"/>
          <w:color w:val="auto"/>
          <w:sz w:val="28"/>
          <w:szCs w:val="28"/>
          <w:highlight w:val="none"/>
        </w:rPr>
        <w:t>。</w:t>
      </w:r>
    </w:p>
    <w:p w14:paraId="7DB5F099">
      <w:pPr>
        <w:pStyle w:val="10"/>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hAnsi="宋体" w:eastAsia="宋体" w:cs="宋体"/>
          <w:color w:val="auto"/>
          <w:sz w:val="28"/>
          <w:szCs w:val="28"/>
          <w:highlight w:val="none"/>
          <w:lang w:eastAsia="zh-CN"/>
        </w:rPr>
        <w:t>（</w:t>
      </w:r>
      <w:r>
        <w:rPr>
          <w:rFonts w:hint="eastAsia" w:hAnsi="宋体" w:eastAsia="宋体" w:cs="宋体"/>
          <w:color w:val="auto"/>
          <w:sz w:val="28"/>
          <w:szCs w:val="28"/>
          <w:highlight w:val="none"/>
          <w:lang w:val="en-US" w:eastAsia="zh-CN"/>
        </w:rPr>
        <w:t>4</w:t>
      </w:r>
      <w:r>
        <w:rPr>
          <w:rFonts w:hint="eastAsia"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每期设备安装、调试、检验合格，通过广州特种机电设备检测研究院的检测验收并取得验收检验报告、《检验标志》和区市场监督管理局发的《广州市特种设备使用登记证》</w:t>
      </w:r>
      <w:r>
        <w:rPr>
          <w:rFonts w:hint="eastAsia" w:ascii="宋体" w:hAnsi="宋体" w:eastAsia="宋体" w:cs="宋体"/>
          <w:color w:val="auto"/>
          <w:sz w:val="28"/>
          <w:szCs w:val="28"/>
          <w:highlight w:val="none"/>
          <w:lang w:eastAsia="zh-CN"/>
        </w:rPr>
        <w:t>、收到</w:t>
      </w:r>
      <w:r>
        <w:rPr>
          <w:rFonts w:hint="eastAsia" w:ascii="宋体" w:hAnsi="宋体" w:eastAsia="宋体" w:cs="宋体"/>
          <w:b w:val="0"/>
          <w:bCs/>
          <w:color w:val="auto"/>
          <w:sz w:val="28"/>
          <w:szCs w:val="28"/>
          <w:highlight w:val="none"/>
        </w:rPr>
        <w:t>乙方</w:t>
      </w:r>
      <w:r>
        <w:rPr>
          <w:rFonts w:hint="eastAsia" w:ascii="宋体" w:hAnsi="宋体" w:eastAsia="宋体" w:cs="宋体"/>
          <w:b w:val="0"/>
          <w:bCs/>
          <w:color w:val="auto"/>
          <w:sz w:val="28"/>
          <w:szCs w:val="28"/>
          <w:highlight w:val="none"/>
          <w:lang w:eastAsia="zh-CN"/>
        </w:rPr>
        <w:t>该笔货物</w:t>
      </w:r>
      <w:r>
        <w:rPr>
          <w:rFonts w:hint="eastAsia" w:ascii="宋体" w:hAnsi="宋体" w:eastAsia="宋体" w:cs="宋体"/>
          <w:b w:val="0"/>
          <w:bCs/>
          <w:color w:val="auto"/>
          <w:sz w:val="28"/>
          <w:szCs w:val="28"/>
          <w:highlight w:val="none"/>
        </w:rPr>
        <w:t>付款申请</w:t>
      </w:r>
      <w:r>
        <w:rPr>
          <w:rFonts w:hint="eastAsia" w:ascii="宋体" w:hAnsi="宋体" w:eastAsia="宋体" w:cs="宋体"/>
          <w:color w:val="auto"/>
          <w:sz w:val="28"/>
          <w:szCs w:val="28"/>
          <w:highlight w:val="none"/>
        </w:rPr>
        <w:t>后1</w:t>
      </w:r>
      <w:r>
        <w:rPr>
          <w:rFonts w:hint="eastAsia"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日内</w:t>
      </w:r>
      <w:r>
        <w:rPr>
          <w:rFonts w:hint="eastAsia" w:ascii="宋体" w:hAnsi="宋体" w:eastAsia="宋体" w:cs="宋体"/>
          <w:b w:val="0"/>
          <w:bCs/>
          <w:color w:val="auto"/>
          <w:sz w:val="28"/>
          <w:szCs w:val="28"/>
          <w:highlight w:val="none"/>
          <w:lang w:eastAsia="zh-CN"/>
        </w:rPr>
        <w:t>审核确认</w:t>
      </w:r>
      <w:r>
        <w:rPr>
          <w:rFonts w:hint="eastAsia" w:ascii="宋体" w:hAnsi="宋体" w:eastAsia="宋体" w:cs="宋体"/>
          <w:b w:val="0"/>
          <w:bCs/>
          <w:color w:val="auto"/>
          <w:sz w:val="28"/>
          <w:szCs w:val="28"/>
          <w:highlight w:val="none"/>
        </w:rPr>
        <w:t>，</w:t>
      </w:r>
      <w:r>
        <w:rPr>
          <w:rFonts w:hint="eastAsia" w:ascii="宋体" w:hAnsi="宋体" w:eastAsia="宋体" w:cs="宋体"/>
          <w:color w:val="auto"/>
          <w:sz w:val="28"/>
          <w:szCs w:val="28"/>
          <w:highlight w:val="none"/>
        </w:rPr>
        <w:t>支付该期</w:t>
      </w:r>
      <w:r>
        <w:rPr>
          <w:rFonts w:hint="eastAsia" w:ascii="宋体" w:hAnsi="宋体" w:cs="宋体"/>
          <w:b w:val="0"/>
          <w:bCs/>
          <w:color w:val="auto"/>
          <w:sz w:val="28"/>
          <w:szCs w:val="28"/>
          <w:highlight w:val="none"/>
          <w:lang w:eastAsia="zh-CN"/>
        </w:rPr>
        <w:t>电梯设备费含税总金额</w:t>
      </w:r>
      <w:r>
        <w:rPr>
          <w:rFonts w:hint="eastAsia" w:ascii="宋体" w:hAnsi="宋体" w:eastAsia="宋体" w:cs="宋体"/>
          <w:color w:val="auto"/>
          <w:sz w:val="28"/>
          <w:szCs w:val="28"/>
          <w:highlight w:val="none"/>
        </w:rPr>
        <w:t>的</w:t>
      </w:r>
      <w:r>
        <w:rPr>
          <w:rFonts w:hint="eastAsia" w:ascii="宋体" w:hAnsi="宋体" w:eastAsia="宋体" w:cs="宋体"/>
          <w:bCs/>
          <w:color w:val="auto"/>
          <w:sz w:val="28"/>
          <w:szCs w:val="28"/>
          <w:highlight w:val="none"/>
        </w:rPr>
        <w:t>30％</w:t>
      </w:r>
      <w:r>
        <w:rPr>
          <w:rFonts w:hint="eastAsia" w:ascii="宋体" w:hAnsi="宋体" w:eastAsia="宋体" w:cs="宋体"/>
          <w:color w:val="auto"/>
          <w:sz w:val="28"/>
          <w:szCs w:val="28"/>
          <w:highlight w:val="none"/>
          <w:lang w:val="en-US" w:eastAsia="zh-CN"/>
        </w:rPr>
        <w:t>并抵扣残值回收总费用的50%</w:t>
      </w:r>
      <w:r>
        <w:rPr>
          <w:rFonts w:hint="eastAsia" w:ascii="宋体" w:hAnsi="宋体" w:eastAsia="宋体" w:cs="宋体"/>
          <w:bCs/>
          <w:color w:val="auto"/>
          <w:sz w:val="28"/>
          <w:szCs w:val="28"/>
          <w:highlight w:val="none"/>
        </w:rPr>
        <w:t>。</w:t>
      </w:r>
    </w:p>
    <w:p w14:paraId="6CFC3146">
      <w:pPr>
        <w:keepNext w:val="0"/>
        <w:keepLines w:val="0"/>
        <w:pageBreakBefore w:val="0"/>
        <w:kinsoku/>
        <w:wordWrap/>
        <w:overflowPunct/>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全部工程完成，乙方提交完整的工程结算资料，甲方将第</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条所述履约保函归还乙方；结算经</w:t>
      </w:r>
      <w:r>
        <w:rPr>
          <w:rFonts w:hint="eastAsia" w:ascii="宋体" w:hAnsi="宋体" w:cs="宋体"/>
          <w:color w:val="auto"/>
          <w:sz w:val="28"/>
          <w:szCs w:val="28"/>
          <w:highlight w:val="none"/>
          <w:lang w:val="en-US" w:eastAsia="zh-CN"/>
        </w:rPr>
        <w:t>有权终审部门</w:t>
      </w:r>
      <w:r>
        <w:rPr>
          <w:rFonts w:hint="eastAsia" w:ascii="宋体" w:hAnsi="宋体" w:eastAsia="宋体" w:cs="宋体"/>
          <w:color w:val="auto"/>
          <w:sz w:val="28"/>
          <w:szCs w:val="28"/>
          <w:highlight w:val="none"/>
        </w:rPr>
        <w:t>审定</w:t>
      </w:r>
      <w:r>
        <w:rPr>
          <w:rFonts w:hint="eastAsia" w:ascii="宋体" w:hAnsi="宋体" w:eastAsia="宋体" w:cs="宋体"/>
          <w:color w:val="auto"/>
          <w:sz w:val="28"/>
          <w:szCs w:val="28"/>
          <w:highlight w:val="none"/>
          <w:lang w:eastAsia="zh-CN"/>
        </w:rPr>
        <w:t>、收到乙方结算付款申请后</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日内</w:t>
      </w:r>
      <w:r>
        <w:rPr>
          <w:rFonts w:hint="eastAsia" w:ascii="宋体" w:hAnsi="宋体" w:eastAsia="宋体" w:cs="宋体"/>
          <w:b w:val="0"/>
          <w:bCs/>
          <w:color w:val="auto"/>
          <w:sz w:val="28"/>
          <w:szCs w:val="28"/>
          <w:highlight w:val="none"/>
          <w:lang w:eastAsia="zh-CN"/>
        </w:rPr>
        <w:t>审核确认</w:t>
      </w:r>
      <w:r>
        <w:rPr>
          <w:rFonts w:hint="eastAsia" w:ascii="宋体" w:hAnsi="宋体" w:eastAsia="宋体" w:cs="宋体"/>
          <w:b w:val="0"/>
          <w:bCs/>
          <w:color w:val="auto"/>
          <w:sz w:val="28"/>
          <w:szCs w:val="28"/>
          <w:highlight w:val="none"/>
        </w:rPr>
        <w:t>，</w:t>
      </w:r>
      <w:r>
        <w:rPr>
          <w:rFonts w:hint="eastAsia" w:ascii="宋体" w:hAnsi="宋体" w:eastAsia="宋体" w:cs="宋体"/>
          <w:color w:val="auto"/>
          <w:sz w:val="28"/>
          <w:szCs w:val="28"/>
          <w:highlight w:val="none"/>
        </w:rPr>
        <w:t>支付至</w:t>
      </w:r>
      <w:r>
        <w:rPr>
          <w:rFonts w:hint="eastAsia" w:ascii="宋体" w:hAnsi="宋体" w:cs="宋体"/>
          <w:b w:val="0"/>
          <w:bCs/>
          <w:color w:val="auto"/>
          <w:sz w:val="28"/>
          <w:szCs w:val="28"/>
          <w:highlight w:val="none"/>
          <w:lang w:eastAsia="zh-CN"/>
        </w:rPr>
        <w:t>电梯设备费</w:t>
      </w:r>
      <w:r>
        <w:rPr>
          <w:rFonts w:hint="eastAsia" w:ascii="宋体" w:hAnsi="宋体" w:eastAsia="宋体" w:cs="宋体"/>
          <w:color w:val="auto"/>
          <w:sz w:val="28"/>
          <w:szCs w:val="28"/>
          <w:highlight w:val="none"/>
        </w:rPr>
        <w:t>结算总价的97％；</w:t>
      </w:r>
      <w:r>
        <w:rPr>
          <w:rFonts w:hint="eastAsia" w:ascii="宋体" w:hAnsi="宋体" w:cs="宋体"/>
          <w:b w:val="0"/>
          <w:bCs/>
          <w:color w:val="auto"/>
          <w:sz w:val="28"/>
          <w:szCs w:val="28"/>
          <w:highlight w:val="none"/>
          <w:lang w:eastAsia="zh-CN"/>
        </w:rPr>
        <w:t>电梯设备费</w:t>
      </w:r>
      <w:r>
        <w:rPr>
          <w:rFonts w:hint="eastAsia" w:ascii="宋体" w:hAnsi="宋体" w:eastAsia="宋体" w:cs="宋体"/>
          <w:color w:val="auto"/>
          <w:sz w:val="28"/>
          <w:szCs w:val="28"/>
          <w:highlight w:val="none"/>
        </w:rPr>
        <w:t>结算总价的3%作为质量保证金。</w:t>
      </w:r>
    </w:p>
    <w:p w14:paraId="3451BD21">
      <w:pPr>
        <w:pStyle w:val="10"/>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hAnsi="宋体" w:eastAsia="宋体" w:cs="宋体"/>
          <w:color w:val="auto"/>
          <w:sz w:val="28"/>
          <w:szCs w:val="28"/>
          <w:highlight w:val="none"/>
          <w:lang w:eastAsia="zh-CN"/>
        </w:rPr>
        <w:t>（</w:t>
      </w:r>
      <w:r>
        <w:rPr>
          <w:rFonts w:hint="eastAsia" w:hAnsi="宋体" w:eastAsia="宋体" w:cs="宋体"/>
          <w:color w:val="auto"/>
          <w:sz w:val="28"/>
          <w:szCs w:val="28"/>
          <w:highlight w:val="none"/>
          <w:lang w:val="en-US" w:eastAsia="zh-CN"/>
        </w:rPr>
        <w:t>6</w:t>
      </w:r>
      <w:r>
        <w:rPr>
          <w:rFonts w:hint="eastAsia"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质量保修期2年，自取得验收检验报告及《广州市特种设备使用登记证》之日起计算。保修期结束后30日内，扣除乙方应承担的各项费用（如有）后，剩余款项一次性无息支付给乙方。</w:t>
      </w:r>
    </w:p>
    <w:p w14:paraId="71AB9225">
      <w:pPr>
        <w:pStyle w:val="10"/>
        <w:keepNext w:val="0"/>
        <w:keepLines w:val="0"/>
        <w:pageBreakBefore w:val="0"/>
        <w:kinsoku/>
        <w:wordWrap/>
        <w:overflowPunct/>
        <w:bidi w:val="0"/>
        <w:adjustRightInd/>
        <w:snapToGrid/>
        <w:spacing w:line="360" w:lineRule="auto"/>
        <w:ind w:firstLine="560" w:firstLineChars="200"/>
        <w:jc w:val="left"/>
        <w:textAlignment w:val="auto"/>
        <w:rPr>
          <w:rFonts w:hint="eastAsia" w:hAnsi="宋体" w:cs="宋体"/>
          <w:b w:val="0"/>
          <w:bCs/>
          <w:color w:val="auto"/>
          <w:sz w:val="28"/>
          <w:szCs w:val="28"/>
          <w:highlight w:val="none"/>
          <w:lang w:eastAsia="zh-CN"/>
        </w:rPr>
      </w:pPr>
      <w:r>
        <w:rPr>
          <w:rFonts w:hint="eastAsia" w:hAnsi="宋体" w:eastAsia="宋体" w:cs="宋体"/>
          <w:color w:val="auto"/>
          <w:sz w:val="28"/>
          <w:szCs w:val="28"/>
          <w:highlight w:val="none"/>
          <w:lang w:val="en-US" w:eastAsia="zh-CN"/>
        </w:rPr>
        <w:t xml:space="preserve">6.2 </w:t>
      </w:r>
      <w:r>
        <w:rPr>
          <w:rFonts w:hint="eastAsia" w:ascii="宋体" w:hAnsi="宋体" w:cs="宋体"/>
          <w:b w:val="0"/>
          <w:bCs/>
          <w:color w:val="auto"/>
          <w:sz w:val="28"/>
          <w:szCs w:val="28"/>
          <w:highlight w:val="none"/>
          <w:lang w:eastAsia="zh-CN"/>
        </w:rPr>
        <w:t>电梯安装费</w:t>
      </w:r>
      <w:r>
        <w:rPr>
          <w:rFonts w:hint="eastAsia" w:hAnsi="宋体" w:cs="宋体"/>
          <w:b w:val="0"/>
          <w:bCs/>
          <w:color w:val="auto"/>
          <w:sz w:val="28"/>
          <w:szCs w:val="28"/>
          <w:highlight w:val="none"/>
          <w:lang w:eastAsia="zh-CN"/>
        </w:rPr>
        <w:t>支付方式：</w:t>
      </w:r>
    </w:p>
    <w:p w14:paraId="6E5F8FE1">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1</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合同生效后首次付款前，乙方向甲方提供受益人为甲方、金额为</w:t>
      </w:r>
      <w:r>
        <w:rPr>
          <w:rFonts w:hint="eastAsia" w:ascii="宋体" w:hAnsi="宋体" w:cs="宋体"/>
          <w:b w:val="0"/>
          <w:bCs/>
          <w:color w:val="auto"/>
          <w:sz w:val="28"/>
          <w:szCs w:val="28"/>
          <w:highlight w:val="none"/>
          <w:lang w:eastAsia="zh-CN"/>
        </w:rPr>
        <w:t>电梯安装费</w:t>
      </w:r>
      <w:r>
        <w:rPr>
          <w:rFonts w:hint="eastAsia" w:ascii="宋体" w:hAnsi="宋体" w:eastAsia="宋体" w:cs="宋体"/>
          <w:color w:val="auto"/>
          <w:kern w:val="0"/>
          <w:sz w:val="28"/>
          <w:szCs w:val="28"/>
          <w:highlight w:val="none"/>
        </w:rPr>
        <w:t>总额</w:t>
      </w:r>
      <w:r>
        <w:rPr>
          <w:rFonts w:hint="eastAsia" w:ascii="宋体" w:hAnsi="宋体" w:eastAsia="宋体" w:cs="宋体"/>
          <w:bCs/>
          <w:color w:val="auto"/>
          <w:kern w:val="2"/>
          <w:sz w:val="28"/>
          <w:szCs w:val="28"/>
          <w:highlight w:val="none"/>
        </w:rPr>
        <w:t>10%</w:t>
      </w:r>
      <w:r>
        <w:rPr>
          <w:rFonts w:hint="eastAsia" w:ascii="宋体" w:hAnsi="宋体" w:eastAsia="宋体" w:cs="宋体"/>
          <w:color w:val="auto"/>
          <w:kern w:val="0"/>
          <w:sz w:val="28"/>
          <w:szCs w:val="28"/>
          <w:highlight w:val="none"/>
        </w:rPr>
        <w:t>的不可撤销的银行履约保函</w:t>
      </w:r>
      <w:r>
        <w:rPr>
          <w:rFonts w:hint="eastAsia" w:ascii="宋体" w:hAnsi="宋体" w:eastAsia="宋体" w:cs="宋体"/>
          <w:color w:val="auto"/>
          <w:kern w:val="0"/>
          <w:sz w:val="28"/>
          <w:szCs w:val="28"/>
          <w:highlight w:val="none"/>
          <w:lang w:eastAsia="zh-CN"/>
        </w:rPr>
        <w:t>，</w:t>
      </w:r>
      <w:r>
        <w:rPr>
          <w:rFonts w:hint="eastAsia" w:ascii="宋体" w:hAnsi="宋体" w:eastAsia="宋体" w:cs="宋体"/>
          <w:b w:val="0"/>
          <w:bCs/>
          <w:color w:val="auto"/>
          <w:sz w:val="28"/>
          <w:szCs w:val="28"/>
          <w:highlight w:val="none"/>
          <w:lang w:eastAsia="zh-CN"/>
        </w:rPr>
        <w:t>保函有效期限为合同签订之日起至质量保修期结束之日止</w:t>
      </w:r>
      <w:r>
        <w:rPr>
          <w:rFonts w:hint="eastAsia" w:ascii="宋体" w:hAnsi="宋体" w:eastAsia="宋体" w:cs="宋体"/>
          <w:color w:val="auto"/>
          <w:kern w:val="0"/>
          <w:sz w:val="28"/>
          <w:szCs w:val="28"/>
          <w:highlight w:val="none"/>
        </w:rPr>
        <w:t>。甲方</w:t>
      </w:r>
      <w:r>
        <w:rPr>
          <w:rFonts w:hint="eastAsia" w:ascii="宋体" w:hAnsi="宋体" w:eastAsia="宋体" w:cs="宋体"/>
          <w:color w:val="auto"/>
          <w:kern w:val="0"/>
          <w:sz w:val="28"/>
          <w:szCs w:val="28"/>
          <w:highlight w:val="none"/>
          <w:lang w:eastAsia="zh-CN"/>
        </w:rPr>
        <w:t>收到</w:t>
      </w:r>
      <w:r>
        <w:rPr>
          <w:rFonts w:hint="eastAsia" w:ascii="宋体" w:hAnsi="宋体" w:eastAsia="宋体" w:cs="宋体"/>
          <w:color w:val="auto"/>
          <w:kern w:val="0"/>
          <w:sz w:val="28"/>
          <w:szCs w:val="28"/>
          <w:highlight w:val="none"/>
        </w:rPr>
        <w:t>上述保函和付款申请后</w:t>
      </w:r>
      <w:r>
        <w:rPr>
          <w:rFonts w:hint="eastAsia" w:ascii="宋体" w:hAnsi="宋体" w:eastAsia="宋体" w:cs="宋体"/>
          <w:bCs/>
          <w:color w:val="auto"/>
          <w:kern w:val="2"/>
          <w:sz w:val="28"/>
          <w:szCs w:val="28"/>
          <w:highlight w:val="none"/>
          <w:lang w:val="en-US" w:eastAsia="zh-CN"/>
        </w:rPr>
        <w:t>14日</w:t>
      </w:r>
      <w:r>
        <w:rPr>
          <w:rFonts w:hint="eastAsia" w:ascii="宋体" w:hAnsi="宋体" w:eastAsia="宋体" w:cs="宋体"/>
          <w:color w:val="auto"/>
          <w:kern w:val="0"/>
          <w:sz w:val="28"/>
          <w:szCs w:val="28"/>
          <w:highlight w:val="none"/>
          <w:lang w:val="en-US" w:eastAsia="zh-CN"/>
        </w:rPr>
        <w:t>内</w:t>
      </w:r>
      <w:r>
        <w:rPr>
          <w:rFonts w:hint="eastAsia" w:ascii="宋体" w:hAnsi="宋体" w:eastAsia="宋体" w:cs="宋体"/>
          <w:b w:val="0"/>
          <w:bCs/>
          <w:color w:val="auto"/>
          <w:sz w:val="28"/>
          <w:szCs w:val="28"/>
          <w:highlight w:val="none"/>
          <w:lang w:eastAsia="zh-CN"/>
        </w:rPr>
        <w:t>审核确认</w:t>
      </w:r>
      <w:r>
        <w:rPr>
          <w:rFonts w:hint="eastAsia" w:ascii="宋体" w:hAnsi="宋体" w:eastAsia="宋体" w:cs="宋体"/>
          <w:b w:val="0"/>
          <w:bCs/>
          <w:color w:val="auto"/>
          <w:sz w:val="28"/>
          <w:szCs w:val="28"/>
          <w:highlight w:val="none"/>
        </w:rPr>
        <w:t>，</w:t>
      </w:r>
      <w:r>
        <w:rPr>
          <w:rFonts w:hint="eastAsia" w:ascii="宋体" w:hAnsi="宋体" w:eastAsia="宋体" w:cs="宋体"/>
          <w:color w:val="auto"/>
          <w:kern w:val="0"/>
          <w:sz w:val="28"/>
          <w:szCs w:val="28"/>
          <w:highlight w:val="none"/>
        </w:rPr>
        <w:t>支付</w:t>
      </w:r>
      <w:r>
        <w:rPr>
          <w:rFonts w:hint="eastAsia" w:ascii="宋体" w:hAnsi="宋体" w:cs="宋体"/>
          <w:b w:val="0"/>
          <w:bCs/>
          <w:color w:val="auto"/>
          <w:sz w:val="28"/>
          <w:szCs w:val="28"/>
          <w:highlight w:val="none"/>
          <w:lang w:eastAsia="zh-CN"/>
        </w:rPr>
        <w:t>电梯安装费</w:t>
      </w:r>
      <w:r>
        <w:rPr>
          <w:rFonts w:hint="eastAsia" w:ascii="宋体" w:hAnsi="宋体" w:cs="宋体"/>
          <w:b w:val="0"/>
          <w:bCs/>
          <w:color w:val="auto"/>
          <w:sz w:val="28"/>
          <w:szCs w:val="28"/>
          <w:highlight w:val="none"/>
          <w:lang w:val="en-US" w:eastAsia="zh-CN"/>
        </w:rPr>
        <w:t>含税</w:t>
      </w:r>
      <w:r>
        <w:rPr>
          <w:rFonts w:hint="eastAsia" w:ascii="宋体" w:hAnsi="宋体" w:eastAsia="宋体" w:cs="宋体"/>
          <w:color w:val="auto"/>
          <w:kern w:val="0"/>
          <w:sz w:val="28"/>
          <w:szCs w:val="28"/>
          <w:highlight w:val="none"/>
        </w:rPr>
        <w:t>总额的</w:t>
      </w:r>
      <w:r>
        <w:rPr>
          <w:rFonts w:hint="eastAsia" w:ascii="宋体" w:hAnsi="宋体" w:eastAsia="宋体" w:cs="宋体"/>
          <w:bCs/>
          <w:color w:val="auto"/>
          <w:kern w:val="2"/>
          <w:sz w:val="28"/>
          <w:szCs w:val="28"/>
          <w:highlight w:val="none"/>
        </w:rPr>
        <w:t>5%，</w:t>
      </w:r>
      <w:r>
        <w:rPr>
          <w:rFonts w:hint="eastAsia" w:ascii="宋体" w:hAnsi="宋体" w:eastAsia="宋体" w:cs="宋体"/>
          <w:b w:val="0"/>
          <w:bCs w:val="0"/>
          <w:color w:val="auto"/>
          <w:kern w:val="0"/>
          <w:sz w:val="28"/>
          <w:szCs w:val="28"/>
          <w:highlight w:val="none"/>
        </w:rPr>
        <w:t>计</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元（</w:t>
      </w:r>
      <w:r>
        <w:rPr>
          <w:rFonts w:hint="eastAsia" w:ascii="宋体" w:hAnsi="宋体" w:eastAsia="宋体" w:cs="宋体"/>
          <w:b w:val="0"/>
          <w:bCs w:val="0"/>
          <w:color w:val="auto"/>
          <w:kern w:val="0"/>
          <w:sz w:val="28"/>
          <w:szCs w:val="28"/>
          <w:highlight w:val="none"/>
        </w:rPr>
        <w:t>人民币</w:t>
      </w:r>
      <w:r>
        <w:rPr>
          <w:rFonts w:hint="eastAsia" w:ascii="宋体" w:hAnsi="宋体" w:eastAsia="宋体" w:cs="宋体"/>
          <w:b w:val="0"/>
          <w:bCs w:val="0"/>
          <w:color w:val="auto"/>
          <w:kern w:val="0"/>
          <w:sz w:val="28"/>
          <w:szCs w:val="28"/>
          <w:highlight w:val="none"/>
          <w:u w:val="single"/>
        </w:rPr>
        <w:t xml:space="preserve">        </w:t>
      </w:r>
      <w:r>
        <w:rPr>
          <w:rFonts w:hint="eastAsia" w:ascii="宋体" w:hAnsi="宋体" w:eastAsia="宋体" w:cs="宋体"/>
          <w:b w:val="0"/>
          <w:bCs w:val="0"/>
          <w:color w:val="auto"/>
          <w:kern w:val="0"/>
          <w:sz w:val="28"/>
          <w:szCs w:val="28"/>
          <w:highlight w:val="none"/>
        </w:rPr>
        <w:t>元）</w:t>
      </w:r>
      <w:r>
        <w:rPr>
          <w:rFonts w:hint="eastAsia" w:ascii="宋体" w:hAnsi="宋体" w:eastAsia="宋体" w:cs="宋体"/>
          <w:color w:val="auto"/>
          <w:kern w:val="0"/>
          <w:sz w:val="28"/>
          <w:szCs w:val="28"/>
          <w:highlight w:val="none"/>
        </w:rPr>
        <w:t>作为定金。</w:t>
      </w:r>
    </w:p>
    <w:p w14:paraId="1566D723">
      <w:pPr>
        <w:keepNext w:val="0"/>
        <w:keepLines w:val="0"/>
        <w:pageBreakBefore w:val="0"/>
        <w:kinsoku/>
        <w:wordWrap/>
        <w:overflowPunct/>
        <w:topLinePunct/>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每期电梯安装进场前</w:t>
      </w:r>
      <w:r>
        <w:rPr>
          <w:rFonts w:hint="eastAsia" w:ascii="宋体" w:hAnsi="宋体" w:eastAsia="宋体" w:cs="宋体"/>
          <w:bCs/>
          <w:color w:val="auto"/>
          <w:kern w:val="2"/>
          <w:sz w:val="28"/>
          <w:szCs w:val="28"/>
          <w:highlight w:val="none"/>
        </w:rPr>
        <w:t>20日</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甲方收到乙方付款申请后</w:t>
      </w:r>
      <w:r>
        <w:rPr>
          <w:rFonts w:hint="eastAsia" w:ascii="宋体" w:hAnsi="宋体" w:eastAsia="宋体" w:cs="宋体"/>
          <w:color w:val="auto"/>
          <w:kern w:val="0"/>
          <w:sz w:val="28"/>
          <w:szCs w:val="28"/>
          <w:highlight w:val="none"/>
          <w:lang w:val="en-US" w:eastAsia="zh-CN"/>
        </w:rPr>
        <w:t>14日内审核确认，</w:t>
      </w:r>
      <w:r>
        <w:rPr>
          <w:rFonts w:hint="eastAsia" w:ascii="宋体" w:hAnsi="宋体" w:eastAsia="宋体" w:cs="宋体"/>
          <w:color w:val="auto"/>
          <w:kern w:val="0"/>
          <w:sz w:val="28"/>
          <w:szCs w:val="28"/>
          <w:highlight w:val="none"/>
        </w:rPr>
        <w:t>支付该期</w:t>
      </w:r>
      <w:r>
        <w:rPr>
          <w:rFonts w:hint="eastAsia" w:ascii="宋体" w:hAnsi="宋体" w:cs="宋体"/>
          <w:b w:val="0"/>
          <w:bCs/>
          <w:color w:val="auto"/>
          <w:sz w:val="28"/>
          <w:szCs w:val="28"/>
          <w:highlight w:val="none"/>
          <w:lang w:eastAsia="zh-CN"/>
        </w:rPr>
        <w:t>电梯安装费</w:t>
      </w:r>
      <w:r>
        <w:rPr>
          <w:rFonts w:hint="eastAsia" w:ascii="宋体" w:hAnsi="宋体" w:cs="宋体"/>
          <w:b w:val="0"/>
          <w:bCs/>
          <w:color w:val="auto"/>
          <w:sz w:val="28"/>
          <w:szCs w:val="28"/>
          <w:highlight w:val="none"/>
          <w:lang w:val="en-US" w:eastAsia="zh-CN"/>
        </w:rPr>
        <w:t>含税</w:t>
      </w:r>
      <w:r>
        <w:rPr>
          <w:rFonts w:hint="eastAsia" w:ascii="宋体" w:hAnsi="宋体" w:eastAsia="宋体" w:cs="宋体"/>
          <w:color w:val="auto"/>
          <w:kern w:val="0"/>
          <w:sz w:val="28"/>
          <w:szCs w:val="28"/>
          <w:highlight w:val="none"/>
        </w:rPr>
        <w:t>总额的</w:t>
      </w:r>
      <w:r>
        <w:rPr>
          <w:rFonts w:hint="eastAsia" w:ascii="宋体" w:hAnsi="宋体" w:eastAsia="宋体" w:cs="宋体"/>
          <w:bCs/>
          <w:color w:val="auto"/>
          <w:kern w:val="2"/>
          <w:sz w:val="28"/>
          <w:szCs w:val="28"/>
          <w:highlight w:val="none"/>
        </w:rPr>
        <w:t>15%作</w:t>
      </w:r>
      <w:r>
        <w:rPr>
          <w:rFonts w:hint="eastAsia" w:ascii="宋体" w:hAnsi="宋体" w:eastAsia="宋体" w:cs="宋体"/>
          <w:color w:val="auto"/>
          <w:kern w:val="0"/>
          <w:sz w:val="28"/>
          <w:szCs w:val="28"/>
          <w:highlight w:val="none"/>
        </w:rPr>
        <w:t>为预付款。乙方按约定日期进场安装。</w:t>
      </w:r>
    </w:p>
    <w:p w14:paraId="5E40B64C">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每期设备安装、调试、检验合格，</w:t>
      </w:r>
      <w:r>
        <w:rPr>
          <w:rFonts w:hint="eastAsia" w:ascii="宋体" w:hAnsi="宋体" w:eastAsia="宋体" w:cs="宋体"/>
          <w:color w:val="auto"/>
          <w:sz w:val="28"/>
          <w:szCs w:val="28"/>
          <w:highlight w:val="none"/>
        </w:rPr>
        <w:t>通过广州特种机电设备检测研究院的检测验收并取得验收检验报告、《检验标志》和区市场监督管理局发的《广州市特种设备使用登记证》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kern w:val="0"/>
          <w:sz w:val="28"/>
          <w:szCs w:val="28"/>
          <w:highlight w:val="none"/>
          <w:lang w:eastAsia="zh-CN"/>
        </w:rPr>
        <w:t>甲方收到乙方付款申请后</w:t>
      </w:r>
      <w:r>
        <w:rPr>
          <w:rFonts w:hint="eastAsia" w:ascii="宋体" w:hAnsi="宋体" w:eastAsia="宋体" w:cs="宋体"/>
          <w:color w:val="auto"/>
          <w:kern w:val="0"/>
          <w:sz w:val="28"/>
          <w:szCs w:val="28"/>
          <w:highlight w:val="none"/>
          <w:lang w:val="en-US" w:eastAsia="zh-CN"/>
        </w:rPr>
        <w:t>14日内审核确认，</w:t>
      </w:r>
      <w:r>
        <w:rPr>
          <w:rFonts w:hint="eastAsia" w:ascii="宋体" w:hAnsi="宋体" w:eastAsia="宋体" w:cs="宋体"/>
          <w:color w:val="auto"/>
          <w:kern w:val="0"/>
          <w:sz w:val="28"/>
          <w:szCs w:val="28"/>
          <w:highlight w:val="none"/>
        </w:rPr>
        <w:t>支付该期</w:t>
      </w:r>
      <w:r>
        <w:rPr>
          <w:rFonts w:hint="eastAsia" w:ascii="宋体" w:hAnsi="宋体" w:cs="宋体"/>
          <w:b w:val="0"/>
          <w:bCs/>
          <w:color w:val="auto"/>
          <w:sz w:val="28"/>
          <w:szCs w:val="28"/>
          <w:highlight w:val="none"/>
          <w:lang w:eastAsia="zh-CN"/>
        </w:rPr>
        <w:t>电梯安装费</w:t>
      </w:r>
      <w:r>
        <w:rPr>
          <w:rFonts w:hint="eastAsia" w:ascii="宋体" w:hAnsi="宋体" w:cs="宋体"/>
          <w:b w:val="0"/>
          <w:bCs/>
          <w:color w:val="auto"/>
          <w:sz w:val="28"/>
          <w:szCs w:val="28"/>
          <w:highlight w:val="none"/>
          <w:lang w:val="en-US" w:eastAsia="zh-CN"/>
        </w:rPr>
        <w:t>含税</w:t>
      </w:r>
      <w:r>
        <w:rPr>
          <w:rFonts w:hint="eastAsia" w:ascii="宋体" w:hAnsi="宋体" w:eastAsia="宋体" w:cs="宋体"/>
          <w:color w:val="auto"/>
          <w:kern w:val="0"/>
          <w:sz w:val="28"/>
          <w:szCs w:val="28"/>
          <w:highlight w:val="none"/>
        </w:rPr>
        <w:t>总额的</w:t>
      </w:r>
      <w:r>
        <w:rPr>
          <w:rFonts w:hint="eastAsia" w:ascii="宋体" w:hAnsi="宋体" w:eastAsia="宋体" w:cs="宋体"/>
          <w:bCs/>
          <w:color w:val="auto"/>
          <w:kern w:val="2"/>
          <w:sz w:val="28"/>
          <w:szCs w:val="28"/>
          <w:highlight w:val="none"/>
        </w:rPr>
        <w:t>60％。</w:t>
      </w:r>
      <w:r>
        <w:rPr>
          <w:rFonts w:hint="eastAsia" w:ascii="宋体" w:hAnsi="宋体" w:eastAsia="宋体" w:cs="宋体"/>
          <w:color w:val="auto"/>
          <w:kern w:val="0"/>
          <w:sz w:val="28"/>
          <w:szCs w:val="28"/>
          <w:highlight w:val="none"/>
        </w:rPr>
        <w:t xml:space="preserve">      </w:t>
      </w:r>
    </w:p>
    <w:p w14:paraId="5814F510">
      <w:pPr>
        <w:keepNext w:val="0"/>
        <w:keepLines w:val="0"/>
        <w:pageBreakBefore w:val="0"/>
        <w:kinsoku/>
        <w:wordWrap/>
        <w:overflowPunct/>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全部电梯安装完成，乙方按甲方进度要求办理工程竣工验收结算，</w:t>
      </w:r>
      <w:r>
        <w:rPr>
          <w:rFonts w:hint="eastAsia" w:ascii="宋体" w:hAnsi="宋体" w:eastAsia="宋体" w:cs="宋体"/>
          <w:color w:val="auto"/>
          <w:sz w:val="28"/>
          <w:szCs w:val="28"/>
          <w:highlight w:val="none"/>
        </w:rPr>
        <w:t>甲方将第</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条所述履约保函归还乙方。</w:t>
      </w:r>
      <w:r>
        <w:rPr>
          <w:rFonts w:hint="eastAsia" w:ascii="宋体" w:hAnsi="宋体" w:eastAsia="宋体" w:cs="宋体"/>
          <w:color w:val="auto"/>
          <w:kern w:val="0"/>
          <w:sz w:val="28"/>
          <w:szCs w:val="28"/>
          <w:highlight w:val="none"/>
        </w:rPr>
        <w:t>结算</w:t>
      </w:r>
      <w:r>
        <w:rPr>
          <w:rFonts w:hint="eastAsia" w:ascii="宋体" w:hAnsi="宋体" w:eastAsia="宋体" w:cs="宋体"/>
          <w:bCs/>
          <w:color w:val="auto"/>
          <w:kern w:val="2"/>
          <w:sz w:val="28"/>
          <w:szCs w:val="28"/>
          <w:highlight w:val="none"/>
        </w:rPr>
        <w:t>经</w:t>
      </w:r>
      <w:r>
        <w:rPr>
          <w:rFonts w:hint="eastAsia" w:ascii="宋体" w:hAnsi="宋体" w:cs="宋体"/>
          <w:color w:val="auto"/>
          <w:sz w:val="28"/>
          <w:szCs w:val="28"/>
          <w:highlight w:val="none"/>
          <w:lang w:val="en-US" w:eastAsia="zh-CN"/>
        </w:rPr>
        <w:t>有权终审部门</w:t>
      </w:r>
      <w:r>
        <w:rPr>
          <w:rFonts w:hint="eastAsia" w:ascii="宋体" w:hAnsi="宋体" w:eastAsia="宋体" w:cs="宋体"/>
          <w:color w:val="auto"/>
          <w:kern w:val="0"/>
          <w:sz w:val="28"/>
          <w:szCs w:val="28"/>
          <w:highlight w:val="none"/>
        </w:rPr>
        <w:t>审定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kern w:val="0"/>
          <w:sz w:val="28"/>
          <w:szCs w:val="28"/>
          <w:highlight w:val="none"/>
          <w:lang w:eastAsia="zh-CN"/>
        </w:rPr>
        <w:t>甲方收到乙方结算付款申请后</w:t>
      </w:r>
      <w:r>
        <w:rPr>
          <w:rFonts w:hint="eastAsia" w:ascii="宋体" w:hAnsi="宋体" w:eastAsia="宋体" w:cs="宋体"/>
          <w:color w:val="auto"/>
          <w:kern w:val="0"/>
          <w:sz w:val="28"/>
          <w:szCs w:val="28"/>
          <w:highlight w:val="none"/>
          <w:lang w:val="en-US" w:eastAsia="zh-CN"/>
        </w:rPr>
        <w:t>14日内审核确认，</w:t>
      </w:r>
      <w:r>
        <w:rPr>
          <w:rFonts w:hint="eastAsia" w:ascii="宋体" w:hAnsi="宋体" w:eastAsia="宋体" w:cs="宋体"/>
          <w:color w:val="auto"/>
          <w:sz w:val="28"/>
          <w:szCs w:val="28"/>
          <w:highlight w:val="none"/>
        </w:rPr>
        <w:t>支付至</w:t>
      </w:r>
      <w:r>
        <w:rPr>
          <w:rFonts w:hint="eastAsia" w:ascii="宋体" w:hAnsi="宋体" w:cs="宋体"/>
          <w:b w:val="0"/>
          <w:bCs/>
          <w:color w:val="auto"/>
          <w:sz w:val="28"/>
          <w:szCs w:val="28"/>
          <w:highlight w:val="none"/>
          <w:lang w:eastAsia="zh-CN"/>
        </w:rPr>
        <w:t>电梯安装费</w:t>
      </w:r>
      <w:r>
        <w:rPr>
          <w:rFonts w:hint="eastAsia" w:ascii="宋体" w:hAnsi="宋体" w:eastAsia="宋体" w:cs="宋体"/>
          <w:color w:val="auto"/>
          <w:sz w:val="28"/>
          <w:szCs w:val="28"/>
          <w:highlight w:val="none"/>
        </w:rPr>
        <w:t>结算总价的97％；</w:t>
      </w:r>
      <w:r>
        <w:rPr>
          <w:rFonts w:hint="eastAsia" w:ascii="宋体" w:hAnsi="宋体" w:cs="宋体"/>
          <w:b w:val="0"/>
          <w:bCs/>
          <w:color w:val="auto"/>
          <w:sz w:val="28"/>
          <w:szCs w:val="28"/>
          <w:highlight w:val="none"/>
          <w:lang w:eastAsia="zh-CN"/>
        </w:rPr>
        <w:t>电梯安装费</w:t>
      </w:r>
      <w:r>
        <w:rPr>
          <w:rFonts w:hint="eastAsia" w:ascii="宋体" w:hAnsi="宋体" w:eastAsia="宋体" w:cs="宋体"/>
          <w:color w:val="auto"/>
          <w:sz w:val="28"/>
          <w:szCs w:val="28"/>
          <w:highlight w:val="none"/>
        </w:rPr>
        <w:t>结算总价金额的3%作为质量保证金。</w:t>
      </w:r>
    </w:p>
    <w:p w14:paraId="1A6CCEFF">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hAnsi="宋体" w:eastAsia="宋体" w:cs="宋体"/>
          <w:color w:val="auto"/>
          <w:kern w:val="0"/>
          <w:sz w:val="28"/>
          <w:szCs w:val="28"/>
          <w:highlight w:val="none"/>
          <w:lang w:eastAsia="zh-CN"/>
        </w:rPr>
        <w:t>（</w:t>
      </w:r>
      <w:r>
        <w:rPr>
          <w:rFonts w:hint="eastAsia" w:hAnsi="宋体" w:eastAsia="宋体" w:cs="宋体"/>
          <w:color w:val="auto"/>
          <w:kern w:val="0"/>
          <w:sz w:val="28"/>
          <w:szCs w:val="28"/>
          <w:highlight w:val="none"/>
          <w:lang w:val="en-US" w:eastAsia="zh-CN"/>
        </w:rPr>
        <w:t>5</w:t>
      </w:r>
      <w:r>
        <w:rPr>
          <w:rFonts w:hint="eastAsia" w:hAnsi="宋体" w:eastAsia="宋体" w:cs="宋体"/>
          <w:color w:val="auto"/>
          <w:kern w:val="0"/>
          <w:sz w:val="28"/>
          <w:szCs w:val="28"/>
          <w:highlight w:val="none"/>
          <w:lang w:eastAsia="zh-CN"/>
        </w:rPr>
        <w:t>）</w:t>
      </w:r>
      <w:bookmarkStart w:id="9" w:name="OLE_LINK15"/>
      <w:r>
        <w:rPr>
          <w:rFonts w:hint="eastAsia" w:ascii="宋体" w:hAnsi="宋体" w:eastAsia="宋体" w:cs="宋体"/>
          <w:color w:val="auto"/>
          <w:kern w:val="0"/>
          <w:sz w:val="28"/>
          <w:szCs w:val="28"/>
          <w:highlight w:val="none"/>
        </w:rPr>
        <w:t>质量</w:t>
      </w:r>
      <w:r>
        <w:rPr>
          <w:rFonts w:hint="eastAsia" w:ascii="宋体" w:hAnsi="宋体" w:eastAsia="宋体" w:cs="宋体"/>
          <w:color w:val="auto"/>
          <w:sz w:val="28"/>
          <w:szCs w:val="28"/>
          <w:highlight w:val="none"/>
        </w:rPr>
        <w:t>保修期</w:t>
      </w:r>
      <w:bookmarkEnd w:id="9"/>
      <w:r>
        <w:rPr>
          <w:rFonts w:hint="eastAsia" w:ascii="宋体" w:hAnsi="宋体" w:eastAsia="宋体" w:cs="宋体"/>
          <w:color w:val="auto"/>
          <w:sz w:val="28"/>
          <w:szCs w:val="28"/>
          <w:highlight w:val="none"/>
        </w:rPr>
        <w:t>2年，自取得验收检验报告及《广州市特种设备使用登记证》之日起计算，保修期结束后30日内，扣除乙方应承担的各项费用（如有）后，剩余款项一次性无息支付给乙方。</w:t>
      </w:r>
    </w:p>
    <w:p w14:paraId="2A99C0D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6.3原电梯拆卸及土建整改费支付方式：</w:t>
      </w:r>
    </w:p>
    <w:p w14:paraId="0C52E14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（1）合同生效后，甲方在收到乙方付款申请后的14日内支付原电梯拆卸及土建整改费的</w:t>
      </w:r>
      <w:r>
        <w:rPr>
          <w:rFonts w:hint="eastAsia" w:ascii="宋体" w:hAnsi="宋体" w:eastAsia="宋体" w:cs="宋体"/>
          <w:bCs/>
          <w:color w:val="auto"/>
          <w:sz w:val="28"/>
          <w:szCs w:val="28"/>
          <w:highlight w:val="none"/>
          <w:lang w:val="en-US" w:eastAsia="zh-CN"/>
        </w:rPr>
        <w:t>30%</w:t>
      </w:r>
      <w:r>
        <w:rPr>
          <w:rFonts w:hint="eastAsia" w:ascii="宋体" w:hAnsi="宋体" w:eastAsia="宋体" w:cs="宋体"/>
          <w:color w:val="auto"/>
          <w:sz w:val="28"/>
          <w:szCs w:val="28"/>
          <w:highlight w:val="none"/>
          <w:lang w:val="en-US" w:eastAsia="zh-CN"/>
        </w:rPr>
        <w:t>作为工程预付款</w:t>
      </w:r>
      <w:r>
        <w:rPr>
          <w:rFonts w:hint="default" w:ascii="宋体" w:hAnsi="宋体" w:eastAsia="宋体" w:cs="宋体"/>
          <w:color w:val="auto"/>
          <w:sz w:val="28"/>
          <w:szCs w:val="28"/>
          <w:highlight w:val="none"/>
          <w:lang w:val="en-US" w:eastAsia="zh-CN"/>
        </w:rPr>
        <w:t>。</w:t>
      </w:r>
    </w:p>
    <w:p w14:paraId="646D2EF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r>
        <w:rPr>
          <w:rFonts w:hint="default" w:ascii="宋体" w:hAnsi="宋体" w:eastAsia="宋体" w:cs="宋体"/>
          <w:color w:val="auto"/>
          <w:sz w:val="28"/>
          <w:szCs w:val="28"/>
          <w:highlight w:val="none"/>
          <w:lang w:val="en-US" w:eastAsia="zh-CN"/>
        </w:rPr>
        <w:t>旧电梯拆除</w:t>
      </w:r>
      <w:r>
        <w:rPr>
          <w:rFonts w:hint="eastAsia" w:ascii="宋体" w:hAnsi="宋体" w:eastAsia="宋体" w:cs="宋体"/>
          <w:color w:val="auto"/>
          <w:sz w:val="28"/>
          <w:szCs w:val="28"/>
          <w:highlight w:val="none"/>
          <w:lang w:val="en-US" w:eastAsia="zh-CN"/>
        </w:rPr>
        <w:t>、整改完成达到安装条件</w:t>
      </w:r>
      <w:r>
        <w:rPr>
          <w:rFonts w:hint="default" w:ascii="宋体" w:hAnsi="宋体" w:eastAsia="宋体" w:cs="宋体"/>
          <w:color w:val="auto"/>
          <w:sz w:val="28"/>
          <w:szCs w:val="28"/>
          <w:highlight w:val="none"/>
          <w:lang w:val="en-US" w:eastAsia="zh-CN"/>
        </w:rPr>
        <w:t>并</w:t>
      </w:r>
      <w:r>
        <w:rPr>
          <w:rFonts w:hint="eastAsia" w:ascii="宋体" w:hAnsi="宋体" w:eastAsia="宋体" w:cs="宋体"/>
          <w:color w:val="auto"/>
          <w:sz w:val="28"/>
          <w:szCs w:val="28"/>
          <w:highlight w:val="none"/>
          <w:lang w:val="en-US" w:eastAsia="zh-CN"/>
        </w:rPr>
        <w:t>经</w:t>
      </w:r>
      <w:r>
        <w:rPr>
          <w:rFonts w:hint="default" w:ascii="宋体" w:hAnsi="宋体" w:eastAsia="宋体" w:cs="宋体"/>
          <w:color w:val="auto"/>
          <w:sz w:val="28"/>
          <w:szCs w:val="28"/>
          <w:highlight w:val="none"/>
          <w:lang w:val="en-US" w:eastAsia="zh-CN"/>
        </w:rPr>
        <w:t>监理单位确认后，</w:t>
      </w:r>
      <w:r>
        <w:rPr>
          <w:rFonts w:hint="eastAsia" w:ascii="宋体" w:hAnsi="宋体" w:cs="宋体"/>
          <w:color w:val="auto"/>
          <w:sz w:val="28"/>
          <w:szCs w:val="28"/>
          <w:highlight w:val="none"/>
          <w:lang w:val="en-US" w:eastAsia="zh-CN"/>
        </w:rPr>
        <w:t>甲方</w:t>
      </w:r>
      <w:r>
        <w:rPr>
          <w:rFonts w:hint="eastAsia" w:ascii="宋体" w:hAnsi="宋体" w:eastAsia="宋体" w:cs="宋体"/>
          <w:color w:val="auto"/>
          <w:sz w:val="28"/>
          <w:szCs w:val="28"/>
          <w:highlight w:val="none"/>
          <w:lang w:val="en-US" w:eastAsia="zh-CN"/>
        </w:rPr>
        <w:t>人</w:t>
      </w:r>
      <w:r>
        <w:rPr>
          <w:rFonts w:hint="default" w:ascii="宋体" w:hAnsi="宋体" w:eastAsia="宋体" w:cs="宋体"/>
          <w:color w:val="auto"/>
          <w:sz w:val="28"/>
          <w:szCs w:val="28"/>
          <w:highlight w:val="none"/>
          <w:lang w:val="en-US" w:eastAsia="zh-CN"/>
        </w:rPr>
        <w:t>在收到</w:t>
      </w:r>
      <w:r>
        <w:rPr>
          <w:rFonts w:hint="eastAsia" w:ascii="宋体" w:hAnsi="宋体" w:cs="宋体"/>
          <w:color w:val="auto"/>
          <w:sz w:val="28"/>
          <w:szCs w:val="28"/>
          <w:highlight w:val="none"/>
          <w:lang w:val="en-US" w:eastAsia="zh-CN"/>
        </w:rPr>
        <w:t>乙方</w:t>
      </w:r>
      <w:r>
        <w:rPr>
          <w:rFonts w:hint="default" w:ascii="宋体" w:hAnsi="宋体" w:eastAsia="宋体" w:cs="宋体"/>
          <w:color w:val="auto"/>
          <w:sz w:val="28"/>
          <w:szCs w:val="28"/>
          <w:highlight w:val="none"/>
          <w:lang w:val="en-US" w:eastAsia="zh-CN"/>
        </w:rPr>
        <w:t>支付申请</w:t>
      </w:r>
      <w:r>
        <w:rPr>
          <w:rFonts w:hint="eastAsia" w:ascii="宋体" w:hAnsi="宋体" w:eastAsia="宋体" w:cs="宋体"/>
          <w:color w:val="auto"/>
          <w:kern w:val="0"/>
          <w:sz w:val="28"/>
          <w:szCs w:val="28"/>
          <w:highlight w:val="none"/>
          <w:lang w:eastAsia="zh-CN"/>
        </w:rPr>
        <w:t>后</w:t>
      </w:r>
      <w:r>
        <w:rPr>
          <w:rFonts w:hint="eastAsia" w:ascii="宋体" w:hAnsi="宋体" w:eastAsia="宋体" w:cs="宋体"/>
          <w:color w:val="auto"/>
          <w:kern w:val="0"/>
          <w:sz w:val="28"/>
          <w:szCs w:val="28"/>
          <w:highlight w:val="none"/>
          <w:lang w:val="en-US" w:eastAsia="zh-CN"/>
        </w:rPr>
        <w:t>14日内审核确认，</w:t>
      </w:r>
      <w:r>
        <w:rPr>
          <w:rFonts w:hint="default" w:ascii="宋体" w:hAnsi="宋体" w:eastAsia="宋体" w:cs="宋体"/>
          <w:color w:val="auto"/>
          <w:sz w:val="28"/>
          <w:szCs w:val="28"/>
          <w:highlight w:val="none"/>
          <w:lang w:val="en-US" w:eastAsia="zh-CN"/>
        </w:rPr>
        <w:t>支付至</w:t>
      </w:r>
      <w:r>
        <w:rPr>
          <w:rFonts w:hint="eastAsia" w:ascii="宋体" w:hAnsi="宋体" w:eastAsia="宋体" w:cs="宋体"/>
          <w:color w:val="auto"/>
          <w:sz w:val="28"/>
          <w:szCs w:val="28"/>
          <w:highlight w:val="none"/>
          <w:lang w:val="en-US" w:eastAsia="zh-CN"/>
        </w:rPr>
        <w:t>原电梯拆卸及土建整改费</w:t>
      </w:r>
      <w:r>
        <w:rPr>
          <w:rFonts w:hint="default" w:ascii="宋体" w:hAnsi="宋体" w:eastAsia="宋体" w:cs="宋体"/>
          <w:color w:val="auto"/>
          <w:sz w:val="28"/>
          <w:szCs w:val="28"/>
          <w:highlight w:val="none"/>
          <w:lang w:val="en-US" w:eastAsia="zh-CN"/>
        </w:rPr>
        <w:t xml:space="preserve">的90%。 </w:t>
      </w:r>
    </w:p>
    <w:p w14:paraId="4903643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（3）工程结算报告经有权终审部门审定、</w:t>
      </w:r>
      <w:r>
        <w:rPr>
          <w:rFonts w:hint="eastAsia" w:ascii="宋体" w:hAnsi="宋体" w:eastAsia="宋体" w:cs="宋体"/>
          <w:color w:val="auto"/>
          <w:kern w:val="0"/>
          <w:sz w:val="28"/>
          <w:szCs w:val="28"/>
          <w:highlight w:val="none"/>
          <w:lang w:eastAsia="zh-CN"/>
        </w:rPr>
        <w:t>甲方收到乙方结算付款申请后</w:t>
      </w:r>
      <w:r>
        <w:rPr>
          <w:rFonts w:hint="eastAsia" w:ascii="宋体" w:hAnsi="宋体" w:eastAsia="宋体" w:cs="宋体"/>
          <w:color w:val="auto"/>
          <w:kern w:val="0"/>
          <w:sz w:val="28"/>
          <w:szCs w:val="28"/>
          <w:highlight w:val="none"/>
          <w:lang w:val="en-US" w:eastAsia="zh-CN"/>
        </w:rPr>
        <w:t>14日内审核确认，</w:t>
      </w:r>
      <w:r>
        <w:rPr>
          <w:rFonts w:hint="eastAsia" w:ascii="宋体" w:hAnsi="宋体" w:eastAsia="宋体" w:cs="宋体"/>
          <w:color w:val="auto"/>
          <w:sz w:val="28"/>
          <w:szCs w:val="28"/>
          <w:highlight w:val="none"/>
          <w:lang w:val="en-US" w:eastAsia="zh-CN"/>
        </w:rPr>
        <w:t xml:space="preserve">支付至原电梯拆卸及土建整改费结算价款的100%。 </w:t>
      </w:r>
    </w:p>
    <w:p w14:paraId="5961D36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lang w:eastAsia="zh-CN"/>
        </w:rPr>
      </w:pPr>
      <w:r>
        <w:rPr>
          <w:rFonts w:hint="eastAsia" w:ascii="宋体" w:hAnsi="宋体" w:eastAsia="宋体" w:cs="宋体"/>
          <w:b w:val="0"/>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6.4</w:t>
      </w:r>
      <w:r>
        <w:rPr>
          <w:rFonts w:hint="eastAsia" w:ascii="宋体" w:hAnsi="宋体" w:eastAsia="宋体" w:cs="宋体"/>
          <w:b w:val="0"/>
          <w:bCs w:val="0"/>
          <w:color w:val="auto"/>
          <w:sz w:val="28"/>
          <w:szCs w:val="28"/>
          <w:highlight w:val="none"/>
          <w:u w:val="none"/>
          <w:lang w:val="en-US" w:eastAsia="zh-CN"/>
        </w:rPr>
        <w:t>开票信息</w:t>
      </w:r>
      <w:r>
        <w:rPr>
          <w:rFonts w:hint="eastAsia" w:ascii="宋体" w:hAnsi="宋体" w:eastAsia="宋体" w:cs="宋体"/>
          <w:color w:val="auto"/>
          <w:highlight w:val="none"/>
          <w:lang w:eastAsia="zh-CN"/>
        </w:rPr>
        <w:t>：</w:t>
      </w:r>
    </w:p>
    <w:p w14:paraId="0DBB5A99">
      <w:pPr>
        <w:pStyle w:val="2"/>
        <w:ind w:firstLine="1120" w:firstLineChars="400"/>
        <w:jc w:val="both"/>
        <w:rPr>
          <w:rFonts w:hint="eastAsia" w:ascii="宋体" w:hAnsi="宋体" w:eastAsia="宋体" w:cs="宋体"/>
          <w:color w:val="auto"/>
          <w:sz w:val="28"/>
          <w:szCs w:val="36"/>
          <w:highlight w:val="none"/>
          <w:lang w:val="en-US" w:eastAsia="zh-CN"/>
        </w:rPr>
      </w:pPr>
      <w:r>
        <w:rPr>
          <w:rFonts w:hint="eastAsia" w:ascii="宋体" w:hAnsi="宋体" w:eastAsia="宋体" w:cs="宋体"/>
          <w:color w:val="auto"/>
          <w:sz w:val="28"/>
          <w:szCs w:val="36"/>
          <w:highlight w:val="none"/>
          <w:lang w:val="en-US" w:eastAsia="zh-CN"/>
        </w:rPr>
        <w:t>名称：广州安居住房置业有限公司</w:t>
      </w:r>
    </w:p>
    <w:p w14:paraId="4C663E0C">
      <w:pPr>
        <w:pStyle w:val="2"/>
        <w:ind w:firstLine="1120" w:firstLineChars="400"/>
        <w:jc w:val="both"/>
        <w:rPr>
          <w:rFonts w:hint="eastAsia" w:ascii="宋体" w:hAnsi="宋体" w:eastAsia="宋体" w:cs="宋体"/>
          <w:color w:val="auto"/>
          <w:sz w:val="28"/>
          <w:szCs w:val="36"/>
          <w:highlight w:val="none"/>
          <w:lang w:val="en-US" w:eastAsia="zh-CN"/>
        </w:rPr>
      </w:pPr>
      <w:r>
        <w:rPr>
          <w:rFonts w:hint="eastAsia" w:ascii="宋体" w:hAnsi="宋体" w:eastAsia="宋体" w:cs="宋体"/>
          <w:color w:val="auto"/>
          <w:sz w:val="28"/>
          <w:szCs w:val="36"/>
          <w:highlight w:val="none"/>
          <w:lang w:val="en-US" w:eastAsia="zh-CN"/>
        </w:rPr>
        <w:t>税号：91440112MADRXJAJ65</w:t>
      </w:r>
    </w:p>
    <w:p w14:paraId="4627E58F">
      <w:pPr>
        <w:pStyle w:val="2"/>
        <w:jc w:val="both"/>
        <w:rPr>
          <w:rFonts w:hint="eastAsia" w:ascii="宋体" w:hAnsi="宋体" w:eastAsia="宋体" w:cs="宋体"/>
          <w:color w:val="auto"/>
          <w:sz w:val="28"/>
          <w:szCs w:val="36"/>
          <w:highlight w:val="none"/>
          <w:lang w:val="en-US" w:eastAsia="zh-CN"/>
        </w:rPr>
      </w:pPr>
      <w:r>
        <w:rPr>
          <w:rFonts w:hint="eastAsia" w:ascii="宋体" w:hAnsi="宋体" w:eastAsia="宋体" w:cs="宋体"/>
          <w:color w:val="auto"/>
          <w:sz w:val="28"/>
          <w:szCs w:val="36"/>
          <w:highlight w:val="none"/>
          <w:lang w:val="en-US" w:eastAsia="zh-CN"/>
        </w:rPr>
        <w:t xml:space="preserve">        地址：广州市黄埔区（中新广州知识城）亿创街1号406房之1172</w:t>
      </w:r>
    </w:p>
    <w:p w14:paraId="05D20991">
      <w:pPr>
        <w:pStyle w:val="2"/>
        <w:ind w:firstLine="1120" w:firstLineChars="400"/>
        <w:jc w:val="both"/>
        <w:rPr>
          <w:rFonts w:hint="eastAsia" w:ascii="宋体" w:hAnsi="宋体" w:eastAsia="宋体" w:cs="宋体"/>
          <w:color w:val="auto"/>
          <w:sz w:val="28"/>
          <w:szCs w:val="36"/>
          <w:highlight w:val="none"/>
          <w:lang w:val="en-US" w:eastAsia="zh-CN"/>
        </w:rPr>
      </w:pPr>
      <w:r>
        <w:rPr>
          <w:rFonts w:hint="eastAsia" w:ascii="宋体" w:hAnsi="宋体" w:eastAsia="宋体" w:cs="宋体"/>
          <w:color w:val="auto"/>
          <w:sz w:val="28"/>
          <w:szCs w:val="36"/>
          <w:highlight w:val="none"/>
          <w:lang w:val="en-US" w:eastAsia="zh-CN"/>
        </w:rPr>
        <w:t xml:space="preserve">开户银行：中国农业银行股份有限公司广州房建支行     </w:t>
      </w:r>
    </w:p>
    <w:p w14:paraId="3770CAD8">
      <w:pPr>
        <w:pStyle w:val="2"/>
        <w:ind w:firstLine="1120" w:firstLineChars="400"/>
        <w:jc w:val="both"/>
        <w:rPr>
          <w:rFonts w:hint="eastAsia" w:ascii="宋体" w:hAnsi="宋体" w:eastAsia="宋体" w:cs="宋体"/>
          <w:color w:val="auto"/>
          <w:sz w:val="28"/>
          <w:szCs w:val="36"/>
          <w:highlight w:val="none"/>
          <w:lang w:val="en-US" w:eastAsia="zh-CN"/>
        </w:rPr>
      </w:pPr>
      <w:r>
        <w:rPr>
          <w:rFonts w:hint="eastAsia" w:ascii="宋体" w:hAnsi="宋体" w:eastAsia="宋体" w:cs="宋体"/>
          <w:color w:val="auto"/>
          <w:sz w:val="28"/>
          <w:szCs w:val="36"/>
          <w:highlight w:val="none"/>
          <w:lang w:val="en-US" w:eastAsia="zh-CN"/>
        </w:rPr>
        <w:t>银行账户：44044301040013591</w:t>
      </w:r>
    </w:p>
    <w:p w14:paraId="1A2355EE">
      <w:pPr>
        <w:keepNext w:val="0"/>
        <w:keepLines w:val="0"/>
        <w:pageBreakBefore w:val="0"/>
        <w:kinsoku/>
        <w:wordWrap/>
        <w:overflowPunct/>
        <w:bidi w:val="0"/>
        <w:adjustRightInd/>
        <w:snapToGrid/>
        <w:spacing w:line="360" w:lineRule="auto"/>
        <w:ind w:firstLine="560" w:firstLineChars="200"/>
        <w:jc w:val="both"/>
        <w:textAlignment w:val="auto"/>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6.5</w:t>
      </w:r>
      <w:r>
        <w:rPr>
          <w:rFonts w:hint="eastAsia" w:ascii="宋体" w:hAnsi="宋体" w:eastAsia="宋体" w:cs="宋体"/>
          <w:b w:val="0"/>
          <w:bCs w:val="0"/>
          <w:color w:val="auto"/>
          <w:sz w:val="28"/>
          <w:szCs w:val="28"/>
          <w:highlight w:val="none"/>
          <w:u w:val="none"/>
          <w:lang w:val="en-US" w:eastAsia="zh-CN"/>
        </w:rPr>
        <w:t>乙方收款账户</w:t>
      </w:r>
      <w:r>
        <w:rPr>
          <w:rFonts w:hint="eastAsia" w:ascii="宋体" w:hAnsi="宋体" w:eastAsia="宋体" w:cs="宋体"/>
          <w:b w:val="0"/>
          <w:color w:val="auto"/>
          <w:kern w:val="2"/>
          <w:sz w:val="28"/>
          <w:szCs w:val="28"/>
          <w:highlight w:val="none"/>
          <w:lang w:val="en-US" w:eastAsia="zh-CN" w:bidi="ar-SA"/>
        </w:rPr>
        <w:t>：</w:t>
      </w:r>
    </w:p>
    <w:p w14:paraId="27B55FAE">
      <w:pPr>
        <w:keepNext w:val="0"/>
        <w:keepLines w:val="0"/>
        <w:pageBreakBefore w:val="0"/>
        <w:kinsoku/>
        <w:wordWrap/>
        <w:overflowPunct/>
        <w:bidi w:val="0"/>
        <w:adjustRightInd/>
        <w:snapToGrid/>
        <w:spacing w:line="360" w:lineRule="auto"/>
        <w:ind w:firstLine="1120" w:firstLineChars="4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开户银行：     </w:t>
      </w:r>
    </w:p>
    <w:p w14:paraId="61221BA3">
      <w:pPr>
        <w:keepNext w:val="0"/>
        <w:keepLines w:val="0"/>
        <w:pageBreakBefore w:val="0"/>
        <w:kinsoku/>
        <w:wordWrap/>
        <w:overflowPunct/>
        <w:bidi w:val="0"/>
        <w:adjustRightInd/>
        <w:snapToGrid/>
        <w:spacing w:line="360" w:lineRule="auto"/>
        <w:ind w:firstLine="1120" w:firstLineChars="4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户    名：</w:t>
      </w:r>
    </w:p>
    <w:p w14:paraId="6E307E55">
      <w:pPr>
        <w:keepNext w:val="0"/>
        <w:keepLines w:val="0"/>
        <w:pageBreakBefore w:val="0"/>
        <w:kinsoku/>
        <w:wordWrap/>
        <w:overflowPunct/>
        <w:bidi w:val="0"/>
        <w:adjustRightInd/>
        <w:snapToGrid/>
        <w:spacing w:line="360" w:lineRule="auto"/>
        <w:ind w:firstLine="1120" w:firstLineChars="4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账    号：</w:t>
      </w:r>
    </w:p>
    <w:p w14:paraId="5FB2DAF0">
      <w:pPr>
        <w:keepNext w:val="0"/>
        <w:keepLines w:val="0"/>
        <w:pageBreakBefore w:val="0"/>
        <w:kinsoku/>
        <w:wordWrap/>
        <w:overflowPunct/>
        <w:bidi w:val="0"/>
        <w:adjustRightInd/>
        <w:snapToGrid/>
        <w:spacing w:line="360" w:lineRule="auto"/>
        <w:ind w:firstLine="1120" w:firstLineChars="4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税    号：</w:t>
      </w:r>
    </w:p>
    <w:p w14:paraId="281401A0">
      <w:pPr>
        <w:adjustRightInd/>
        <w:snapToGrid/>
        <w:spacing w:line="360" w:lineRule="auto"/>
        <w:ind w:firstLine="560" w:firstLineChars="200"/>
        <w:rPr>
          <w:rFonts w:ascii="宋体" w:hAnsi="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rPr>
        <w:t>6.6</w:t>
      </w:r>
      <w:r>
        <w:rPr>
          <w:rFonts w:hint="eastAsia" w:ascii="宋体" w:hAnsi="宋体" w:eastAsia="宋体" w:cs="宋体"/>
          <w:color w:val="auto"/>
          <w:kern w:val="2"/>
          <w:sz w:val="28"/>
          <w:szCs w:val="28"/>
          <w:highlight w:val="none"/>
        </w:rPr>
        <w:t>如本项目建设资金为申请专项债券资金支付，为配合资金监管，保障政府专项债券资金支付款项的安全、有效使用，提高专项债券资金支付的透明度和规范性，乙方理解并同意其收款账户银行与项</w:t>
      </w:r>
      <w:r>
        <w:rPr>
          <w:rFonts w:hint="default" w:ascii="宋体" w:hAnsi="宋体" w:cs="宋体"/>
          <w:color w:val="auto"/>
          <w:kern w:val="2"/>
          <w:sz w:val="28"/>
          <w:szCs w:val="28"/>
          <w:highlight w:val="none"/>
        </w:rPr>
        <w:t>目申请政府专项债的甲方拨款账户银行保持一致。</w:t>
      </w:r>
    </w:p>
    <w:p w14:paraId="0AF010C0">
      <w:pPr>
        <w:keepNext w:val="0"/>
        <w:keepLines w:val="0"/>
        <w:pageBreakBefore w:val="0"/>
        <w:kinsoku/>
        <w:wordWrap/>
        <w:overflowPunct/>
        <w:bidi w:val="0"/>
        <w:adjustRightInd/>
        <w:snapToGrid/>
        <w:spacing w:line="360" w:lineRule="auto"/>
        <w:ind w:firstLine="560" w:firstLineChars="200"/>
        <w:jc w:val="left"/>
        <w:textAlignment w:val="auto"/>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如本项目资金来源涉及财政资金、专项债劵资金或其他政府专项资金的，则甲方向乙方支付条件还应包括前述资金获得政府或相关部门批准且拨付到位，若由于政府或相关部门审批、拨付资金未完成等非甲方原因导致甲方向乙方付款超过本合同约定支付期限的，甲方不承担任何违约责任，且乙方仍须按本合同约定履行义务。</w:t>
      </w:r>
    </w:p>
    <w:p w14:paraId="664445D4">
      <w:pPr>
        <w:pStyle w:val="10"/>
        <w:keepNext w:val="0"/>
        <w:keepLines w:val="0"/>
        <w:pageBreakBefore w:val="0"/>
        <w:kinsoku/>
        <w:wordWrap/>
        <w:overflowPunct/>
        <w:bidi w:val="0"/>
        <w:adjustRightInd/>
        <w:snapToGrid/>
        <w:spacing w:line="360" w:lineRule="auto"/>
        <w:ind w:firstLine="562" w:firstLineChars="200"/>
        <w:jc w:val="left"/>
        <w:textAlignment w:val="auto"/>
        <w:rPr>
          <w:rFonts w:hint="eastAsia" w:ascii="宋体" w:hAnsi="宋体" w:eastAsia="宋体" w:cs="宋体"/>
          <w:b/>
          <w:color w:val="auto"/>
          <w:sz w:val="28"/>
          <w:szCs w:val="28"/>
          <w:highlight w:val="none"/>
        </w:rPr>
      </w:pPr>
      <w:r>
        <w:rPr>
          <w:rFonts w:hint="eastAsia" w:hAnsi="宋体" w:eastAsia="宋体" w:cs="宋体"/>
          <w:b/>
          <w:color w:val="auto"/>
          <w:sz w:val="28"/>
          <w:szCs w:val="28"/>
          <w:highlight w:val="none"/>
          <w:lang w:eastAsia="zh-CN"/>
        </w:rPr>
        <w:t>七、双方</w:t>
      </w:r>
      <w:r>
        <w:rPr>
          <w:rFonts w:hint="eastAsia" w:ascii="宋体" w:hAnsi="宋体" w:eastAsia="宋体" w:cs="宋体"/>
          <w:b/>
          <w:color w:val="auto"/>
          <w:sz w:val="28"/>
          <w:szCs w:val="28"/>
          <w:highlight w:val="none"/>
        </w:rPr>
        <w:t>责任和费用</w:t>
      </w:r>
    </w:p>
    <w:p w14:paraId="21997840">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.1 甲方责任和费用</w:t>
      </w:r>
    </w:p>
    <w:p w14:paraId="5CD05E78">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.1.1提供本项目总建筑平面图，配合乙方对现状电梯及其底坑、井道、机房进行勘察。</w:t>
      </w:r>
    </w:p>
    <w:p w14:paraId="6EE58F1E">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lang w:eastAsia="zh-CN"/>
        </w:rPr>
        <w:t>按要求安排工程人员或委托监理单位参与开箱验收、过程及最终验收等，签署相关验收文件，对设备从到货至运抵安装现场全过程实施安全监理。</w:t>
      </w:r>
    </w:p>
    <w:p w14:paraId="6DE3319D">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lang w:val="en-US" w:eastAsia="zh-CN"/>
        </w:rPr>
        <w:t xml:space="preserve">7.1.3 </w:t>
      </w:r>
      <w:r>
        <w:rPr>
          <w:rFonts w:hint="eastAsia" w:ascii="宋体" w:hAnsi="宋体" w:eastAsia="宋体" w:cs="宋体"/>
          <w:color w:val="auto"/>
          <w:sz w:val="28"/>
          <w:szCs w:val="28"/>
          <w:highlight w:val="none"/>
        </w:rPr>
        <w:t>协助乙方按有关部门要求办理安装施工报批、开工许可证及有关安全施工手续。</w:t>
      </w:r>
    </w:p>
    <w:p w14:paraId="63278FAF">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lang w:val="en-US" w:eastAsia="zh-CN"/>
        </w:rPr>
        <w:t xml:space="preserve">7.1.4 </w:t>
      </w:r>
      <w:r>
        <w:rPr>
          <w:rFonts w:hint="eastAsia" w:ascii="宋体" w:hAnsi="宋体" w:eastAsia="宋体" w:cs="宋体"/>
          <w:color w:val="auto"/>
          <w:kern w:val="0"/>
          <w:sz w:val="28"/>
          <w:szCs w:val="28"/>
          <w:highlight w:val="none"/>
        </w:rPr>
        <w:t>协调物业管理单位，提供电梯保管场地（每台电梯需10米×10米），该场地应设置在能确保电梯导轨（5米长）搬去候梯厅通路的地方</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如需占用小区公共经营性场地，费用由乙方承担</w:t>
      </w:r>
      <w:r>
        <w:rPr>
          <w:rFonts w:hint="eastAsia" w:ascii="宋体" w:hAnsi="宋体" w:eastAsia="宋体" w:cs="宋体"/>
          <w:color w:val="auto"/>
          <w:kern w:val="0"/>
          <w:sz w:val="28"/>
          <w:szCs w:val="28"/>
          <w:highlight w:val="none"/>
        </w:rPr>
        <w:t>。乙方应自行妥善保管货物，由于保管不当造成的货物毁损、灭失责任及其相关修理和更换费用，由乙方承担。</w:t>
      </w:r>
    </w:p>
    <w:p w14:paraId="71FFA3B0">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提供安装用临时电源接驳点并安装电表计量，所产生的费用由乙方支付。</w:t>
      </w:r>
    </w:p>
    <w:p w14:paraId="235649B7">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7.1.6</w:t>
      </w:r>
      <w:r>
        <w:rPr>
          <w:rFonts w:hint="eastAsia" w:ascii="宋体" w:hAnsi="宋体" w:eastAsia="宋体" w:cs="宋体"/>
          <w:color w:val="auto"/>
          <w:kern w:val="0"/>
          <w:sz w:val="28"/>
          <w:szCs w:val="28"/>
          <w:highlight w:val="none"/>
        </w:rPr>
        <w:t>在乙方进行安装施工时，甲方的义务是：</w:t>
      </w:r>
    </w:p>
    <w:p w14:paraId="4A7C5190">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1</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sz w:val="28"/>
          <w:szCs w:val="28"/>
          <w:highlight w:val="none"/>
        </w:rPr>
        <w:t>在安装施工现场提供堆放材料场地和放置工具的库房。乙方应自行妥善保管物资，由于保管不当造成的货物毁损、灭失责任及其相关修理和更换费用，由乙方承担。</w:t>
      </w:r>
    </w:p>
    <w:p w14:paraId="5E6BBCAF">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委托物业公司</w:t>
      </w:r>
      <w:r>
        <w:rPr>
          <w:rFonts w:hint="eastAsia" w:ascii="宋体" w:hAnsi="宋体" w:eastAsia="宋体" w:cs="宋体"/>
          <w:color w:val="auto"/>
          <w:sz w:val="28"/>
          <w:szCs w:val="28"/>
          <w:highlight w:val="none"/>
        </w:rPr>
        <w:t>协调乙方安装施工期间</w:t>
      </w:r>
      <w:r>
        <w:rPr>
          <w:rFonts w:hint="eastAsia" w:ascii="宋体" w:hAnsi="宋体" w:eastAsia="宋体" w:cs="宋体"/>
          <w:color w:val="auto"/>
          <w:sz w:val="28"/>
          <w:szCs w:val="28"/>
          <w:highlight w:val="none"/>
          <w:lang w:val="en-US" w:eastAsia="zh-CN"/>
        </w:rPr>
        <w:t>相关通知、公告，协调住户出行不便及正常施工扰民事项等</w:t>
      </w:r>
      <w:r>
        <w:rPr>
          <w:rFonts w:hint="eastAsia" w:ascii="宋体" w:hAnsi="宋体" w:eastAsia="宋体" w:cs="宋体"/>
          <w:color w:val="auto"/>
          <w:sz w:val="28"/>
          <w:szCs w:val="28"/>
          <w:highlight w:val="none"/>
        </w:rPr>
        <w:t>。</w:t>
      </w:r>
    </w:p>
    <w:p w14:paraId="414D5F07">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在调试开始时，提供用于调试的电源接驳点。</w:t>
      </w:r>
    </w:p>
    <w:p w14:paraId="5DE1DA39">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7.1.7</w:t>
      </w:r>
      <w:r>
        <w:rPr>
          <w:rFonts w:hint="eastAsia" w:ascii="宋体" w:hAnsi="宋体" w:eastAsia="宋体" w:cs="宋体"/>
          <w:color w:val="auto"/>
          <w:kern w:val="0"/>
          <w:sz w:val="28"/>
          <w:szCs w:val="28"/>
          <w:highlight w:val="none"/>
        </w:rPr>
        <w:t>在乙方完工后，甲方的义务是：</w:t>
      </w:r>
    </w:p>
    <w:p w14:paraId="7EDFE813">
      <w:pPr>
        <w:pStyle w:val="11"/>
        <w:keepNext w:val="0"/>
        <w:keepLines w:val="0"/>
        <w:pageBreakBefore w:val="0"/>
        <w:kinsoku/>
        <w:wordWrap/>
        <w:overflowPunct/>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配合验收。</w:t>
      </w:r>
    </w:p>
    <w:p w14:paraId="107701C3">
      <w:pPr>
        <w:pStyle w:val="11"/>
        <w:keepNext w:val="0"/>
        <w:keepLines w:val="0"/>
        <w:pageBreakBefore w:val="0"/>
        <w:kinsoku/>
        <w:wordWrap/>
        <w:overflowPunct/>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在双方验收合格后10</w:t>
      </w:r>
      <w:r>
        <w:rPr>
          <w:rFonts w:hint="eastAsia" w:ascii="宋体" w:hAnsi="宋体" w:eastAsia="宋体" w:cs="宋体"/>
          <w:color w:val="auto"/>
          <w:sz w:val="28"/>
          <w:szCs w:val="28"/>
          <w:highlight w:val="none"/>
          <w:lang w:eastAsia="zh-CN"/>
        </w:rPr>
        <w:t>日</w:t>
      </w:r>
      <w:r>
        <w:rPr>
          <w:rFonts w:hint="eastAsia" w:ascii="宋体" w:hAnsi="宋体" w:eastAsia="宋体" w:cs="宋体"/>
          <w:color w:val="auto"/>
          <w:sz w:val="28"/>
          <w:szCs w:val="28"/>
          <w:highlight w:val="none"/>
        </w:rPr>
        <w:t>内，</w:t>
      </w:r>
      <w:r>
        <w:rPr>
          <w:rFonts w:hint="eastAsia" w:ascii="宋体" w:hAnsi="宋体" w:cs="宋体"/>
          <w:color w:val="auto"/>
          <w:sz w:val="28"/>
          <w:szCs w:val="28"/>
          <w:highlight w:val="none"/>
          <w:lang w:eastAsia="zh-CN"/>
        </w:rPr>
        <w:t>配合乙方</w:t>
      </w:r>
      <w:r>
        <w:rPr>
          <w:rFonts w:hint="eastAsia" w:ascii="宋体" w:hAnsi="宋体" w:eastAsia="宋体" w:cs="宋体"/>
          <w:color w:val="auto"/>
          <w:sz w:val="28"/>
          <w:szCs w:val="28"/>
          <w:highlight w:val="none"/>
        </w:rPr>
        <w:t>向当地政府主管部门办理申报。</w:t>
      </w:r>
    </w:p>
    <w:p w14:paraId="1E1C8133">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7.1.8</w:t>
      </w:r>
      <w:r>
        <w:rPr>
          <w:rFonts w:hint="eastAsia" w:ascii="宋体" w:hAnsi="宋体" w:eastAsia="宋体" w:cs="宋体"/>
          <w:color w:val="auto"/>
          <w:sz w:val="28"/>
          <w:szCs w:val="28"/>
          <w:highlight w:val="none"/>
          <w:lang w:eastAsia="zh-CN"/>
        </w:rPr>
        <w:t>收到乙方付款申请后，</w:t>
      </w:r>
      <w:r>
        <w:rPr>
          <w:rFonts w:hint="eastAsia" w:ascii="宋体" w:hAnsi="宋体" w:eastAsia="宋体" w:cs="宋体"/>
          <w:color w:val="auto"/>
          <w:sz w:val="28"/>
          <w:szCs w:val="28"/>
          <w:highlight w:val="none"/>
        </w:rPr>
        <w:t>按合同约定</w:t>
      </w:r>
      <w:r>
        <w:rPr>
          <w:rFonts w:hint="eastAsia" w:ascii="宋体" w:hAnsi="宋体" w:eastAsia="宋体" w:cs="宋体"/>
          <w:color w:val="auto"/>
          <w:sz w:val="28"/>
          <w:szCs w:val="28"/>
          <w:highlight w:val="none"/>
          <w:lang w:eastAsia="zh-CN"/>
        </w:rPr>
        <w:t>进行审核确认</w:t>
      </w:r>
      <w:r>
        <w:rPr>
          <w:rFonts w:hint="eastAsia" w:ascii="宋体" w:hAnsi="宋体" w:cs="宋体"/>
          <w:color w:val="auto"/>
          <w:sz w:val="28"/>
          <w:szCs w:val="28"/>
          <w:highlight w:val="none"/>
          <w:lang w:eastAsia="zh-CN"/>
        </w:rPr>
        <w:t>后</w:t>
      </w:r>
      <w:r>
        <w:rPr>
          <w:rFonts w:hint="eastAsia" w:ascii="宋体" w:hAnsi="宋体" w:eastAsia="宋体" w:cs="宋体"/>
          <w:color w:val="auto"/>
          <w:sz w:val="28"/>
          <w:szCs w:val="28"/>
          <w:highlight w:val="none"/>
        </w:rPr>
        <w:t>支付</w:t>
      </w:r>
      <w:r>
        <w:rPr>
          <w:rFonts w:hint="eastAsia" w:ascii="宋体" w:hAnsi="宋体" w:eastAsia="宋体" w:cs="宋体"/>
          <w:color w:val="auto"/>
          <w:sz w:val="28"/>
          <w:szCs w:val="28"/>
          <w:highlight w:val="none"/>
          <w:lang w:eastAsia="zh-CN"/>
        </w:rPr>
        <w:t>合同价款</w:t>
      </w:r>
      <w:r>
        <w:rPr>
          <w:rFonts w:hint="eastAsia" w:ascii="宋体" w:hAnsi="宋体" w:eastAsia="宋体" w:cs="宋体"/>
          <w:color w:val="auto"/>
          <w:sz w:val="28"/>
          <w:szCs w:val="28"/>
          <w:highlight w:val="none"/>
        </w:rPr>
        <w:t>。</w:t>
      </w:r>
    </w:p>
    <w:p w14:paraId="3E285671">
      <w:pPr>
        <w:pStyle w:val="5"/>
        <w:keepNext w:val="0"/>
        <w:keepLines w:val="0"/>
        <w:pageBreakBefore w:val="0"/>
        <w:kinsoku/>
        <w:wordWrap/>
        <w:overflowPunct/>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7.1.9 </w:t>
      </w:r>
      <w:r>
        <w:rPr>
          <w:rFonts w:hint="eastAsia" w:ascii="宋体" w:hAnsi="宋体" w:eastAsia="宋体" w:cs="宋体"/>
          <w:color w:val="auto"/>
          <w:sz w:val="28"/>
          <w:szCs w:val="28"/>
          <w:highlight w:val="none"/>
        </w:rPr>
        <w:t>对验收合格的工程按相关规定的要求审核乙方编制的结算，在接到乙方提交符合要求的结算资料之日起的</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日内提出意见，双方均无意见后，进行结算</w:t>
      </w:r>
      <w:r>
        <w:rPr>
          <w:rFonts w:hint="eastAsia" w:ascii="宋体" w:hAnsi="宋体" w:cs="宋体"/>
          <w:color w:val="auto"/>
          <w:sz w:val="28"/>
          <w:szCs w:val="28"/>
          <w:highlight w:val="none"/>
          <w:lang w:eastAsia="zh-CN"/>
        </w:rPr>
        <w:t>，结算价以最终有权部门审定为准</w:t>
      </w:r>
      <w:r>
        <w:rPr>
          <w:rFonts w:hint="eastAsia" w:ascii="宋体" w:hAnsi="宋体" w:eastAsia="宋体" w:cs="宋体"/>
          <w:color w:val="auto"/>
          <w:sz w:val="28"/>
          <w:szCs w:val="28"/>
          <w:highlight w:val="none"/>
        </w:rPr>
        <w:t>。</w:t>
      </w:r>
    </w:p>
    <w:p w14:paraId="6BFFB17C">
      <w:pPr>
        <w:pStyle w:val="5"/>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7.1.10有权对乙方的拆除回收工作进行监督和检测。</w:t>
      </w:r>
    </w:p>
    <w:p w14:paraId="12389A50">
      <w:pPr>
        <w:pStyle w:val="5"/>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委派</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为项目现场管理代表，负责监督检查工程质量、进度和现场的变更签证，以及负责与其他单位的工作协调事宜。</w:t>
      </w:r>
    </w:p>
    <w:p w14:paraId="07F9E64E">
      <w:pPr>
        <w:pStyle w:val="5"/>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7.1.11</w:t>
      </w:r>
      <w:r>
        <w:rPr>
          <w:rFonts w:hint="eastAsia" w:ascii="宋体" w:hAnsi="宋体" w:eastAsia="宋体" w:cs="宋体"/>
          <w:color w:val="auto"/>
          <w:sz w:val="28"/>
          <w:szCs w:val="28"/>
          <w:highlight w:val="none"/>
        </w:rPr>
        <w:t>如因甲方原因导致工程中途停建、缓建或建设规模调整，甲方应采取措施弥补或减少损失，工期调整或顺延，甲方不承担违约责任，双方可签订补充协议。</w:t>
      </w:r>
    </w:p>
    <w:p w14:paraId="6AE357C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.2乙方的责任和费用</w:t>
      </w:r>
    </w:p>
    <w:p w14:paraId="14DBFFF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.2.1负责对现状电梯及其底坑、井道、机房进行勘察，并根据勘察情况和甲方需求设计、提供新装电梯。</w:t>
      </w:r>
    </w:p>
    <w:p w14:paraId="14D34BFD">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lang w:val="en-US" w:eastAsia="zh-CN"/>
        </w:rPr>
        <w:t>7.2.2</w:t>
      </w:r>
      <w:r>
        <w:rPr>
          <w:rFonts w:hint="eastAsia" w:ascii="宋体" w:hAnsi="宋体" w:eastAsia="宋体" w:cs="宋体"/>
          <w:color w:val="auto"/>
          <w:sz w:val="28"/>
          <w:szCs w:val="28"/>
          <w:highlight w:val="none"/>
        </w:rPr>
        <w:t>开工前5日内，乙方编制开工报告和材料、设备进场计划，报送甲方审批。</w:t>
      </w:r>
    </w:p>
    <w:p w14:paraId="1D37913A">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如因乙方责任，导致电梯机房、井道与安装、吊装要求不符，整改修正的费用及工期延误引起的甲方损失，由乙方承担。</w:t>
      </w:r>
    </w:p>
    <w:p w14:paraId="5FB66112">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严格按照甲方书面通知本项目供货时间供货到指定地点。按货物需求一览表及技术规格规定参加本工程的设备及材料在工地现场到达后的到货验收。</w:t>
      </w:r>
    </w:p>
    <w:p w14:paraId="6619D53E">
      <w:pPr>
        <w:pStyle w:val="2"/>
        <w:jc w:val="both"/>
        <w:rPr>
          <w:rFonts w:hint="default" w:eastAsia="宋体"/>
          <w:color w:val="auto"/>
          <w:highlight w:val="none"/>
          <w:lang w:val="en-US" w:eastAsia="zh-CN"/>
        </w:rPr>
      </w:pPr>
      <w:r>
        <w:rPr>
          <w:rFonts w:hint="eastAsia" w:ascii="宋体" w:hAnsi="宋体" w:cs="宋体"/>
          <w:color w:val="auto"/>
          <w:sz w:val="28"/>
          <w:szCs w:val="28"/>
          <w:highlight w:val="none"/>
          <w:lang w:val="en-US" w:eastAsia="zh-CN"/>
        </w:rPr>
        <w:t xml:space="preserve">    7.2.5对于非主体、非关键性工程，乙方不具备相应资质的，需经甲方审核批准后分包给具有相应资质和能力的专业单位实施。乙方应当对其专业分包工程履行监督管理义务，按其专业分包合同的约定及时支付价款，乙方与其专业分包单位就专业分包工程承担连带责任。</w:t>
      </w:r>
    </w:p>
    <w:p w14:paraId="2AB81947">
      <w:pPr>
        <w:pStyle w:val="2"/>
        <w:keepNext w:val="0"/>
        <w:keepLines w:val="0"/>
        <w:pageBreakBefore w:val="0"/>
        <w:kinsoku/>
        <w:wordWrap/>
        <w:overflowPunct/>
        <w:bidi w:val="0"/>
        <w:adjustRightInd/>
        <w:snapToGrid/>
        <w:spacing w:line="360" w:lineRule="auto"/>
        <w:ind w:firstLine="560" w:firstLineChars="200"/>
        <w:jc w:val="both"/>
        <w:textAlignment w:val="auto"/>
        <w:rPr>
          <w:rFonts w:hint="default" w:eastAsia="宋体"/>
          <w:color w:val="auto"/>
          <w:highlight w:val="none"/>
          <w:lang w:val="en-US" w:eastAsia="zh-CN"/>
        </w:rPr>
      </w:pPr>
      <w:r>
        <w:rPr>
          <w:rFonts w:hint="eastAsia" w:ascii="宋体" w:hAnsi="宋体" w:eastAsia="宋体" w:cs="宋体"/>
          <w:color w:val="auto"/>
          <w:sz w:val="28"/>
          <w:szCs w:val="28"/>
          <w:highlight w:val="none"/>
          <w:lang w:val="en-US" w:eastAsia="zh-CN"/>
        </w:rPr>
        <w:t>7.2.</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在安装开工前，向当地政府主管部门申报电梯设备安装开工许可证，并承担有关的费用。</w:t>
      </w:r>
    </w:p>
    <w:p w14:paraId="2C8B0266">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向甲方办理电梯工程移交手续前（包括安装期间），负责设备及材料的保管工作，直至设备验收合格、正常运行并向甲方办理移交手续。</w:t>
      </w:r>
    </w:p>
    <w:p w14:paraId="03FB6A24">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必须服从甲方和项目监理机构（如有）管理，遵守施工现场的有关规章制度。按时参加项目管理工作会议（不限于工地例会）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参加现场施工协调会议；制定措施、教育施工人员遵守甲方的工地管理有关制度，安全生产和文明施工制度，针对安装中出现的问题提供专业建议。施工期间应符合防火要求，否则甲方有权停止施工，一切后果由乙方负责。</w:t>
      </w:r>
    </w:p>
    <w:p w14:paraId="376F9352">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负责为乙方进入安装现场人员购买生命财产保险</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并支付一切费用。乙方要对</w:t>
      </w:r>
      <w:r>
        <w:rPr>
          <w:rFonts w:hint="eastAsia" w:ascii="宋体" w:hAnsi="宋体" w:eastAsia="宋体" w:cs="宋体"/>
          <w:color w:val="auto"/>
          <w:sz w:val="28"/>
          <w:szCs w:val="28"/>
          <w:highlight w:val="none"/>
          <w:lang w:eastAsia="zh-CN"/>
        </w:rPr>
        <w:t>乙方（含分包商）</w:t>
      </w:r>
      <w:r>
        <w:rPr>
          <w:rFonts w:hint="eastAsia" w:ascii="宋体" w:hAnsi="宋体" w:eastAsia="宋体" w:cs="宋体"/>
          <w:color w:val="auto"/>
          <w:sz w:val="28"/>
          <w:szCs w:val="28"/>
          <w:highlight w:val="none"/>
        </w:rPr>
        <w:t>人员的安全、使用设备的安全负全责，出现的任何问题均由乙方负责，甲方不负任何责任</w:t>
      </w:r>
      <w:r>
        <w:rPr>
          <w:rFonts w:hint="eastAsia" w:ascii="宋体" w:hAnsi="宋体" w:eastAsia="宋体" w:cs="宋体"/>
          <w:color w:val="auto"/>
          <w:sz w:val="28"/>
          <w:szCs w:val="28"/>
          <w:highlight w:val="none"/>
          <w:lang w:eastAsia="zh-CN"/>
        </w:rPr>
        <w:t>和费用</w:t>
      </w:r>
      <w:r>
        <w:rPr>
          <w:rFonts w:hint="eastAsia" w:ascii="宋体" w:hAnsi="宋体" w:eastAsia="宋体" w:cs="宋体"/>
          <w:color w:val="auto"/>
          <w:sz w:val="28"/>
          <w:szCs w:val="28"/>
          <w:highlight w:val="none"/>
        </w:rPr>
        <w:t>。</w:t>
      </w:r>
    </w:p>
    <w:p w14:paraId="2EDDF83F">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负责本合同所规定之工程内容和安装后调试工作，直至符合相关的设计要求和国家相关的电梯设备安装规范，按需求书规定进行竣工验收。</w:t>
      </w:r>
      <w:r>
        <w:rPr>
          <w:rFonts w:hint="eastAsia" w:ascii="宋体" w:hAnsi="宋体" w:eastAsia="宋体" w:cs="宋体"/>
          <w:color w:val="auto"/>
          <w:kern w:val="0"/>
          <w:sz w:val="28"/>
          <w:szCs w:val="28"/>
          <w:highlight w:val="none"/>
        </w:rPr>
        <w:t>移交备用件和随机资料一套。如甲方要求提供超过一套随机资料，乙方可有偿提供，价格另定。</w:t>
      </w:r>
    </w:p>
    <w:p w14:paraId="5B51FC02">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向当地电梯设备检测机构报验并通过验收，为甲方取得许可证并负责所有费用。</w:t>
      </w:r>
    </w:p>
    <w:p w14:paraId="6CA89FBC">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在本项目经政府部门验收合格发出电梯设备准用证后一个月内向甲方办理电梯移交手续，提交有关技术文件和验收文件一式六套（包括电子文本和声像档案），并满足《城市建设档案管理规定》及《广州城市建设档案管理办法》的要求。</w:t>
      </w:r>
    </w:p>
    <w:p w14:paraId="70D9C147">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.2.1</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自取得《广州市特种设备使用登记证》之日起计，提供为期</w:t>
      </w:r>
      <w:r>
        <w:rPr>
          <w:rFonts w:hint="eastAsia" w:ascii="宋体" w:hAnsi="宋体" w:eastAsia="宋体" w:cs="宋体"/>
          <w:color w:val="auto"/>
          <w:sz w:val="28"/>
          <w:szCs w:val="28"/>
          <w:highlight w:val="none"/>
          <w:lang w:eastAsia="zh-CN"/>
        </w:rPr>
        <w:t>两</w:t>
      </w:r>
      <w:r>
        <w:rPr>
          <w:rFonts w:hint="eastAsia" w:ascii="宋体" w:hAnsi="宋体" w:eastAsia="宋体" w:cs="宋体"/>
          <w:color w:val="auto"/>
          <w:sz w:val="28"/>
          <w:szCs w:val="28"/>
          <w:highlight w:val="none"/>
        </w:rPr>
        <w:t>年的质保期服务。电梯五大部件：①主机、②控制柜、③安全钳、④限速器、⑤门机，</w:t>
      </w:r>
      <w:bookmarkStart w:id="10" w:name="OLE_LINK29"/>
      <w:r>
        <w:rPr>
          <w:rFonts w:hint="eastAsia" w:ascii="宋体" w:hAnsi="宋体" w:eastAsia="宋体" w:cs="宋体"/>
          <w:color w:val="auto"/>
          <w:sz w:val="28"/>
          <w:szCs w:val="28"/>
          <w:highlight w:val="none"/>
        </w:rPr>
        <w:t>质保期</w:t>
      </w:r>
      <w:bookmarkEnd w:id="10"/>
      <w:r>
        <w:rPr>
          <w:rFonts w:hint="eastAsia" w:ascii="宋体" w:hAnsi="宋体" w:eastAsia="宋体" w:cs="宋体"/>
          <w:color w:val="auto"/>
          <w:sz w:val="28"/>
          <w:szCs w:val="28"/>
          <w:highlight w:val="none"/>
        </w:rPr>
        <w:t>不低于六年。</w:t>
      </w:r>
    </w:p>
    <w:p w14:paraId="6107C028">
      <w:pPr>
        <w:keepNext w:val="0"/>
        <w:keepLines w:val="0"/>
        <w:pageBreakBefore w:val="0"/>
        <w:kinsoku/>
        <w:wordWrap/>
        <w:overflowPunct/>
        <w:bidi w:val="0"/>
        <w:adjustRightInd/>
        <w:snapToGrid/>
        <w:spacing w:line="360" w:lineRule="auto"/>
        <w:ind w:left="2" w:leftChars="1" w:firstLine="557" w:firstLineChars="19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.2.1</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负责电梯设备使用及维护技术培训。在本项目电梯验收合格后,乙方负责对甲</w:t>
      </w:r>
      <w:r>
        <w:rPr>
          <w:rFonts w:hint="eastAsia" w:ascii="宋体" w:hAnsi="宋体" w:eastAsia="宋体" w:cs="宋体"/>
          <w:color w:val="auto"/>
          <w:sz w:val="28"/>
          <w:szCs w:val="28"/>
          <w:highlight w:val="none"/>
          <w:lang w:eastAsia="zh-CN"/>
        </w:rPr>
        <w:t>方及</w:t>
      </w:r>
      <w:r>
        <w:rPr>
          <w:rFonts w:hint="eastAsia" w:ascii="宋体" w:hAnsi="宋体" w:eastAsia="宋体" w:cs="宋体"/>
          <w:color w:val="auto"/>
          <w:sz w:val="28"/>
          <w:szCs w:val="28"/>
          <w:highlight w:val="none"/>
        </w:rPr>
        <w:t>有关操作、维护人员进行专业培训</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培训费用、教材、师资由乙方负责。</w:t>
      </w:r>
    </w:p>
    <w:p w14:paraId="30B8A42A">
      <w:pPr>
        <w:pStyle w:val="2"/>
        <w:keepNext w:val="0"/>
        <w:keepLines w:val="0"/>
        <w:pageBreakBefore w:val="0"/>
        <w:kinsoku/>
        <w:wordWrap/>
        <w:overflowPunct/>
        <w:bidi w:val="0"/>
        <w:adjustRightInd/>
        <w:snapToGrid/>
        <w:spacing w:line="360" w:lineRule="auto"/>
        <w:ind w:left="2" w:leftChars="1"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.2.1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自本合同签订之日起</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因乙方在旧电梯拆除、新电梯运输、安装施工或设计缺陷等履约过程中的</w:t>
      </w:r>
      <w:r>
        <w:rPr>
          <w:rFonts w:hint="eastAsia" w:ascii="宋体" w:hAnsi="宋体" w:cs="宋体"/>
          <w:color w:val="auto"/>
          <w:sz w:val="28"/>
          <w:szCs w:val="28"/>
          <w:highlight w:val="none"/>
          <w:lang w:val="en-US" w:eastAsia="zh-CN"/>
        </w:rPr>
        <w:t>乙方原因</w:t>
      </w:r>
      <w:r>
        <w:rPr>
          <w:rFonts w:hint="eastAsia" w:ascii="宋体" w:hAnsi="宋体" w:eastAsia="宋体" w:cs="宋体"/>
          <w:color w:val="auto"/>
          <w:sz w:val="28"/>
          <w:szCs w:val="28"/>
          <w:highlight w:val="none"/>
          <w:lang w:val="en-US" w:eastAsia="zh-CN"/>
        </w:rPr>
        <w:t>（包括但不限于电梯设备质量不合格、运输保管不当、安装工艺缺陷、设计方案错误或施工管理疏漏）导致的安全责任事故或造成甲方或第三方设施或财物损坏，乙方应承担全部法律责任及后果</w:t>
      </w:r>
      <w:r>
        <w:rPr>
          <w:rFonts w:hint="eastAsia" w:ascii="宋体" w:hAnsi="宋体" w:cs="宋体"/>
          <w:color w:val="auto"/>
          <w:sz w:val="28"/>
          <w:szCs w:val="28"/>
          <w:highlight w:val="none"/>
          <w:lang w:val="en-US" w:eastAsia="zh-CN"/>
        </w:rPr>
        <w:t>。</w:t>
      </w:r>
    </w:p>
    <w:p w14:paraId="287DE751">
      <w:pPr>
        <w:keepNext w:val="0"/>
        <w:keepLines w:val="0"/>
        <w:pageBreakBefore w:val="0"/>
        <w:tabs>
          <w:tab w:val="left" w:pos="525"/>
          <w:tab w:val="left" w:pos="735"/>
          <w:tab w:val="left" w:pos="840"/>
        </w:tabs>
        <w:kinsoku/>
        <w:wordWrap/>
        <w:overflowPunct/>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rPr>
        <w:t>7.2.1</w:t>
      </w:r>
      <w:r>
        <w:rPr>
          <w:rFonts w:hint="eastAsia" w:ascii="宋体" w:hAnsi="宋体" w:cs="宋体"/>
          <w:color w:val="auto"/>
          <w:kern w:val="2"/>
          <w:sz w:val="28"/>
          <w:szCs w:val="28"/>
          <w:highlight w:val="none"/>
          <w:lang w:val="en-US" w:eastAsia="zh-CN"/>
        </w:rPr>
        <w:t>6</w:t>
      </w:r>
      <w:r>
        <w:rPr>
          <w:rFonts w:hint="eastAsia" w:ascii="宋体" w:hAnsi="宋体" w:eastAsia="宋体" w:cs="宋体"/>
          <w:color w:val="auto"/>
          <w:kern w:val="2"/>
          <w:sz w:val="28"/>
          <w:szCs w:val="28"/>
          <w:highlight w:val="none"/>
          <w:lang w:val="en-US" w:eastAsia="zh-CN"/>
        </w:rPr>
        <w:t xml:space="preserve"> </w:t>
      </w:r>
      <w:r>
        <w:rPr>
          <w:rFonts w:hint="eastAsia" w:ascii="宋体" w:hAnsi="宋体" w:eastAsia="宋体" w:cs="宋体"/>
          <w:color w:val="auto"/>
          <w:sz w:val="28"/>
          <w:szCs w:val="28"/>
          <w:highlight w:val="none"/>
        </w:rPr>
        <w:t>本工程是在已建成的楼栋内作业，乙方施工必须遵守小区物业管理制度，落实安全文明施工措施、做好安全防护、施工隔离及防止扰民措施，并合理安排作业时间，避免引发突发事件或投诉。乙方在施工过程中需避免出现事故隐患，一旦发生由于乙方原因所造成的任何事故，乙方须承担相关事故责任和损失费用。</w:t>
      </w:r>
    </w:p>
    <w:p w14:paraId="23783E3F">
      <w:pPr>
        <w:pStyle w:val="5"/>
        <w:keepNext w:val="0"/>
        <w:keepLines w:val="0"/>
        <w:pageBreakBefore w:val="0"/>
        <w:kinsoku/>
        <w:wordWrap/>
        <w:overflowPunct/>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7.2.1</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乙方应按相关规定或协议及时向材料设备、其所雇用的工人支付相应款项。因乙方未及时支付相应款项而引起以甲方为被告的诉讼，乙方应承担因此给甲方造成的损失（包括但不限于诉讼费、律师费、工期损失和其它赔偿金）。</w:t>
      </w:r>
    </w:p>
    <w:p w14:paraId="3D4E80F1">
      <w:pPr>
        <w:pStyle w:val="17"/>
        <w:keepNext w:val="0"/>
        <w:keepLines w:val="0"/>
        <w:pageBreakBefore w:val="0"/>
        <w:kinsoku/>
        <w:wordWrap/>
        <w:overflowPunct/>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7.2.1</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拆除工作完成后，向甲方提供拆除工作的相关报告和证明文件</w:t>
      </w:r>
      <w:r>
        <w:rPr>
          <w:rFonts w:hint="eastAsia" w:ascii="宋体" w:hAnsi="宋体" w:cs="宋体"/>
          <w:color w:val="auto"/>
          <w:sz w:val="28"/>
          <w:szCs w:val="28"/>
          <w:highlight w:val="none"/>
          <w:lang w:val="en-US" w:eastAsia="zh-CN"/>
        </w:rPr>
        <w:t>，并按相关规定办理核销和备案等手续</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乙方应在工程竣工验收后10日内编制工程结算。</w:t>
      </w:r>
    </w:p>
    <w:p w14:paraId="550ACE1D">
      <w:pPr>
        <w:pStyle w:val="17"/>
        <w:keepNext w:val="0"/>
        <w:keepLines w:val="0"/>
        <w:pageBreakBefore w:val="0"/>
        <w:kinsoku/>
        <w:wordWrap/>
        <w:overflowPunct/>
        <w:bidi w:val="0"/>
        <w:adjustRightInd/>
        <w:snapToGrid/>
        <w:spacing w:line="360" w:lineRule="auto"/>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7.2.1</w:t>
      </w:r>
      <w:r>
        <w:rPr>
          <w:rFonts w:hint="eastAsia" w:ascii="宋体" w:hAnsi="宋体" w:cs="宋体"/>
          <w:color w:val="auto"/>
          <w:sz w:val="28"/>
          <w:szCs w:val="28"/>
          <w:highlight w:val="none"/>
          <w:lang w:val="en-US" w:eastAsia="zh-CN"/>
        </w:rPr>
        <w:t>9</w:t>
      </w:r>
      <w:r>
        <w:rPr>
          <w:rFonts w:hint="eastAsia" w:ascii="宋体" w:hAnsi="宋体" w:eastAsia="宋体" w:cs="宋体"/>
          <w:i w:val="0"/>
          <w:iCs w:val="0"/>
          <w:caps w:val="0"/>
          <w:color w:val="auto"/>
          <w:spacing w:val="0"/>
          <w:sz w:val="28"/>
          <w:szCs w:val="28"/>
          <w:highlight w:val="none"/>
          <w:shd w:val="clear" w:color="auto" w:fill="auto"/>
        </w:rPr>
        <w:t>负责在甲方</w:t>
      </w:r>
      <w:r>
        <w:rPr>
          <w:rFonts w:hint="eastAsia" w:ascii="宋体" w:hAnsi="宋体" w:cs="宋体"/>
          <w:i w:val="0"/>
          <w:iCs w:val="0"/>
          <w:caps w:val="0"/>
          <w:color w:val="auto"/>
          <w:spacing w:val="0"/>
          <w:sz w:val="28"/>
          <w:szCs w:val="28"/>
          <w:highlight w:val="none"/>
          <w:shd w:val="clear" w:color="auto" w:fill="auto"/>
          <w:lang w:eastAsia="zh-CN"/>
        </w:rPr>
        <w:t>指定地点</w:t>
      </w:r>
      <w:r>
        <w:rPr>
          <w:rFonts w:hint="eastAsia" w:ascii="宋体" w:hAnsi="宋体" w:eastAsia="宋体" w:cs="宋体"/>
          <w:i w:val="0"/>
          <w:iCs w:val="0"/>
          <w:caps w:val="0"/>
          <w:color w:val="auto"/>
          <w:spacing w:val="0"/>
          <w:sz w:val="28"/>
          <w:szCs w:val="28"/>
          <w:highlight w:val="none"/>
          <w:shd w:val="clear" w:color="auto" w:fill="auto"/>
        </w:rPr>
        <w:t>将废弃物分类、集中收集；乙方保证其已具备所有国家相关部门的批准，具备为甲方提供本合同服务的资质；保证提供的服务符合国家所有适用的相关法规及标准，满足甲方的废物处理要求；</w:t>
      </w:r>
      <w:r>
        <w:rPr>
          <w:rFonts w:hint="eastAsia" w:ascii="宋体" w:hAnsi="宋体" w:eastAsia="宋体" w:cs="宋体"/>
          <w:i w:val="0"/>
          <w:iCs w:val="0"/>
          <w:caps w:val="0"/>
          <w:color w:val="auto"/>
          <w:spacing w:val="0"/>
          <w:sz w:val="28"/>
          <w:szCs w:val="28"/>
          <w:highlight w:val="none"/>
          <w:shd w:val="clear" w:color="auto" w:fill="auto"/>
          <w:lang w:val="en-US" w:eastAsia="zh-CN"/>
        </w:rPr>
        <w:t>并</w:t>
      </w:r>
      <w:r>
        <w:rPr>
          <w:rFonts w:hint="eastAsia" w:ascii="宋体" w:hAnsi="宋体" w:eastAsia="宋体" w:cs="宋体"/>
          <w:i w:val="0"/>
          <w:iCs w:val="0"/>
          <w:caps w:val="0"/>
          <w:color w:val="auto"/>
          <w:spacing w:val="0"/>
          <w:sz w:val="28"/>
          <w:szCs w:val="28"/>
          <w:highlight w:val="none"/>
          <w:shd w:val="clear" w:color="auto" w:fill="auto"/>
        </w:rPr>
        <w:t>按照国家的各项环保法律、法规及项目环保设计标准及规程妥善处理与处置废物，不对环境产生污染</w:t>
      </w:r>
      <w:r>
        <w:rPr>
          <w:rFonts w:hint="eastAsia" w:ascii="宋体" w:hAnsi="宋体" w:eastAsia="宋体" w:cs="宋体"/>
          <w:i w:val="0"/>
          <w:iCs w:val="0"/>
          <w:caps w:val="0"/>
          <w:color w:val="auto"/>
          <w:spacing w:val="0"/>
          <w:sz w:val="28"/>
          <w:szCs w:val="28"/>
          <w:highlight w:val="none"/>
          <w:shd w:val="clear" w:color="auto" w:fill="auto"/>
          <w:lang w:eastAsia="zh-CN"/>
        </w:rPr>
        <w:t>。</w:t>
      </w:r>
    </w:p>
    <w:p w14:paraId="59B498BF">
      <w:pPr>
        <w:pStyle w:val="10"/>
        <w:keepNext w:val="0"/>
        <w:keepLines w:val="0"/>
        <w:pageBreakBefore w:val="0"/>
        <w:kinsoku/>
        <w:wordWrap/>
        <w:overflowPunct/>
        <w:bidi w:val="0"/>
        <w:adjustRightInd/>
        <w:snapToGrid/>
        <w:spacing w:line="360" w:lineRule="auto"/>
        <w:ind w:firstLine="562" w:firstLineChars="200"/>
        <w:jc w:val="left"/>
        <w:textAlignment w:val="auto"/>
        <w:rPr>
          <w:rFonts w:hint="eastAsia" w:ascii="宋体" w:hAnsi="宋体" w:eastAsia="宋体" w:cs="宋体"/>
          <w:b/>
          <w:color w:val="auto"/>
          <w:sz w:val="28"/>
          <w:szCs w:val="28"/>
          <w:highlight w:val="none"/>
        </w:rPr>
      </w:pPr>
      <w:r>
        <w:rPr>
          <w:rFonts w:hint="eastAsia" w:hAnsi="宋体" w:eastAsia="宋体" w:cs="宋体"/>
          <w:b/>
          <w:color w:val="auto"/>
          <w:sz w:val="28"/>
          <w:szCs w:val="28"/>
          <w:highlight w:val="none"/>
          <w:lang w:eastAsia="zh-CN"/>
        </w:rPr>
        <w:t>八、</w:t>
      </w:r>
      <w:r>
        <w:rPr>
          <w:rFonts w:hint="eastAsia" w:ascii="宋体" w:hAnsi="宋体" w:eastAsia="宋体" w:cs="宋体"/>
          <w:b/>
          <w:color w:val="auto"/>
          <w:sz w:val="28"/>
          <w:szCs w:val="28"/>
          <w:highlight w:val="none"/>
        </w:rPr>
        <w:t>验收和移交</w:t>
      </w:r>
    </w:p>
    <w:p w14:paraId="79B1C183">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原电梯拆除工程验收标准：</w:t>
      </w:r>
      <w:r>
        <w:rPr>
          <w:rFonts w:hint="eastAsia" w:ascii="宋体" w:hAnsi="宋体" w:eastAsia="宋体" w:cs="宋体"/>
          <w:i w:val="0"/>
          <w:iCs w:val="0"/>
          <w:caps w:val="0"/>
          <w:color w:val="auto"/>
          <w:spacing w:val="0"/>
          <w:sz w:val="28"/>
          <w:szCs w:val="28"/>
          <w:highlight w:val="none"/>
          <w:shd w:val="clear" w:color="auto" w:fill="auto"/>
        </w:rPr>
        <w:t>满足下一道工序工作要求，由监理单位确认</w:t>
      </w:r>
      <w:r>
        <w:rPr>
          <w:rFonts w:hint="eastAsia" w:ascii="宋体" w:hAnsi="宋体" w:eastAsia="宋体" w:cs="宋体"/>
          <w:color w:val="auto"/>
          <w:sz w:val="28"/>
          <w:szCs w:val="28"/>
          <w:highlight w:val="none"/>
        </w:rPr>
        <w:t>。</w:t>
      </w:r>
    </w:p>
    <w:p w14:paraId="4D809327">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8.2</w:t>
      </w:r>
      <w:r>
        <w:rPr>
          <w:rFonts w:hint="eastAsia" w:ascii="宋体" w:hAnsi="宋体" w:eastAsia="宋体" w:cs="宋体"/>
          <w:color w:val="auto"/>
          <w:sz w:val="28"/>
          <w:szCs w:val="28"/>
          <w:highlight w:val="none"/>
        </w:rPr>
        <w:t>到货验收</w:t>
      </w:r>
    </w:p>
    <w:p w14:paraId="34A72676">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1货物运抵工地后，由甲方、乙方和监理公司（如有）三方清点货物，三方签署到货验收书。如发现缺少、损坏部件，乙方须及时补齐，如因此造成工期拖延，甲方有权按延期交货索赔。在整个安装调试期间，设备部件（货物）由乙方指定的安装队伍负责保管，甲方提供保管场地等方便条件。若</w:t>
      </w:r>
      <w:r>
        <w:rPr>
          <w:rFonts w:hint="eastAsia" w:ascii="宋体" w:hAnsi="宋体" w:cs="宋体"/>
          <w:color w:val="auto"/>
          <w:sz w:val="28"/>
          <w:szCs w:val="28"/>
          <w:highlight w:val="none"/>
          <w:lang w:val="en-US" w:eastAsia="zh-CN"/>
        </w:rPr>
        <w:t>货物</w:t>
      </w:r>
      <w:r>
        <w:rPr>
          <w:rFonts w:hint="eastAsia" w:ascii="宋体" w:hAnsi="宋体" w:eastAsia="宋体" w:cs="宋体"/>
          <w:color w:val="auto"/>
          <w:sz w:val="28"/>
          <w:szCs w:val="28"/>
          <w:highlight w:val="none"/>
        </w:rPr>
        <w:t>存在根本性缺陷（无法实现合同目的</w:t>
      </w:r>
      <w:r>
        <w:rPr>
          <w:rFonts w:hint="eastAsia" w:ascii="宋体" w:hAnsi="宋体" w:cs="宋体"/>
          <w:color w:val="auto"/>
          <w:sz w:val="28"/>
          <w:szCs w:val="28"/>
          <w:highlight w:val="none"/>
          <w:lang w:val="en-US" w:eastAsia="zh-CN"/>
        </w:rPr>
        <w:t>或货物质量和投标文件与合同约定不符合</w:t>
      </w:r>
      <w:r>
        <w:rPr>
          <w:rFonts w:hint="eastAsia" w:ascii="宋体" w:hAnsi="宋体" w:eastAsia="宋体" w:cs="宋体"/>
          <w:color w:val="auto"/>
          <w:sz w:val="28"/>
          <w:szCs w:val="28"/>
          <w:highlight w:val="none"/>
        </w:rPr>
        <w:t>），甲方有权拒收</w:t>
      </w:r>
      <w:r>
        <w:rPr>
          <w:rFonts w:hint="eastAsia" w:ascii="宋体" w:hAnsi="宋体" w:eastAsia="宋体" w:cs="宋体"/>
          <w:color w:val="auto"/>
          <w:sz w:val="28"/>
          <w:szCs w:val="28"/>
          <w:highlight w:val="none"/>
          <w:lang w:val="en-US" w:eastAsia="zh-CN"/>
        </w:rPr>
        <w:t>并且</w:t>
      </w:r>
      <w:r>
        <w:rPr>
          <w:rFonts w:hint="eastAsia" w:ascii="宋体" w:hAnsi="宋体" w:eastAsia="宋体" w:cs="宋体"/>
          <w:color w:val="auto"/>
          <w:sz w:val="28"/>
          <w:szCs w:val="28"/>
          <w:highlight w:val="none"/>
        </w:rPr>
        <w:t>解除合同，并由乙方承担相关损失。</w:t>
      </w:r>
    </w:p>
    <w:p w14:paraId="7BD0DB0B">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.2汽车运输的以下单证原件在交货同时交给甲方，其单证副本（或复印件）则应在交货前三天交给甲方：</w:t>
      </w:r>
    </w:p>
    <w:p w14:paraId="0C201BF1">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（1）装箱单一式三份，注明合同号、装运标志、货物内容、每件包装尺码及重量；</w:t>
      </w:r>
    </w:p>
    <w:p w14:paraId="483DC779">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（2）制造厂出具的质量及数量证明书各一式一份。</w:t>
      </w:r>
    </w:p>
    <w:p w14:paraId="55CE5CF0">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.3乙方货物不符质量要求，致使不能实现合同目的，甲方可拒收货物或解除合同。甲方拒收货物或者解除合同时，标的物毁损、丢失的风险由乙方承担。</w:t>
      </w:r>
    </w:p>
    <w:p w14:paraId="00620983">
      <w:pPr>
        <w:pStyle w:val="35"/>
        <w:keepNext w:val="0"/>
        <w:keepLines w:val="0"/>
        <w:pageBreakBefore w:val="0"/>
        <w:numPr>
          <w:ilvl w:val="0"/>
          <w:numId w:val="0"/>
        </w:numPr>
        <w:kinsoku/>
        <w:wordWrap/>
        <w:overflowPunct/>
        <w:bidi w:val="0"/>
        <w:adjustRightInd/>
        <w:snapToGrid/>
        <w:spacing w:line="360" w:lineRule="auto"/>
        <w:ind w:firstLine="560" w:firstLineChars="200"/>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 xml:space="preserve">.4 </w:t>
      </w:r>
      <w:r>
        <w:rPr>
          <w:rFonts w:hint="eastAsia" w:ascii="宋体" w:hAnsi="宋体" w:eastAsia="宋体" w:cs="宋体"/>
          <w:color w:val="auto"/>
          <w:kern w:val="2"/>
          <w:sz w:val="28"/>
          <w:szCs w:val="28"/>
          <w:highlight w:val="none"/>
        </w:rPr>
        <w:t>乙方应将所提供货物的装箱清单、用户手册、原厂保修卡、随机资料应包括（机房、井道布置图、电气线路控制原理图、电气线路控制元件明细说明、电气原理说明书、电气安装敷线图、电气安装接线图、电气调试说明书、控制柜内主板操作键盘（控钮）的操作方法及说明、电梯安装调试说明书、电梯部件安装图册、使用维护说明书、产品合格证、电梯功能表、装箱单、最终图纸光盘等）及配件、随机工具等交付给甲方；乙方不能完整交付货物及本款规定的单证和工具的，视为未按合同约定</w:t>
      </w:r>
      <w:r>
        <w:rPr>
          <w:rFonts w:hint="eastAsia" w:ascii="宋体" w:hAnsi="宋体" w:eastAsia="宋体" w:cs="宋体"/>
          <w:color w:val="auto"/>
          <w:kern w:val="2"/>
          <w:sz w:val="28"/>
          <w:szCs w:val="28"/>
          <w:highlight w:val="none"/>
          <w:lang w:eastAsia="zh-CN"/>
        </w:rPr>
        <w:t>交</w:t>
      </w:r>
      <w:r>
        <w:rPr>
          <w:rFonts w:hint="eastAsia" w:ascii="宋体" w:hAnsi="宋体" w:eastAsia="宋体" w:cs="宋体"/>
          <w:color w:val="auto"/>
          <w:kern w:val="2"/>
          <w:sz w:val="28"/>
          <w:szCs w:val="28"/>
          <w:highlight w:val="none"/>
        </w:rPr>
        <w:t>付</w:t>
      </w:r>
      <w:r>
        <w:rPr>
          <w:rFonts w:hint="eastAsia" w:ascii="宋体" w:hAnsi="宋体" w:eastAsia="宋体" w:cs="宋体"/>
          <w:color w:val="auto"/>
          <w:spacing w:val="6"/>
          <w:kern w:val="2"/>
          <w:sz w:val="28"/>
          <w:szCs w:val="28"/>
          <w:highlight w:val="none"/>
        </w:rPr>
        <w:t>货</w:t>
      </w:r>
      <w:r>
        <w:rPr>
          <w:rFonts w:hint="eastAsia" w:ascii="宋体" w:hAnsi="宋体" w:eastAsia="宋体" w:cs="宋体"/>
          <w:color w:val="auto"/>
          <w:spacing w:val="6"/>
          <w:kern w:val="2"/>
          <w:sz w:val="28"/>
          <w:szCs w:val="28"/>
          <w:highlight w:val="none"/>
          <w:lang w:eastAsia="zh-CN"/>
        </w:rPr>
        <w:t>物</w:t>
      </w:r>
      <w:r>
        <w:rPr>
          <w:rFonts w:hint="eastAsia" w:ascii="宋体" w:hAnsi="宋体" w:eastAsia="宋体" w:cs="宋体"/>
          <w:color w:val="auto"/>
          <w:spacing w:val="6"/>
          <w:kern w:val="2"/>
          <w:sz w:val="28"/>
          <w:szCs w:val="28"/>
          <w:highlight w:val="none"/>
        </w:rPr>
        <w:t>，乙方必须负责补齐，因此导致逾期交付的，由乙方承担相关的违约责任。</w:t>
      </w:r>
    </w:p>
    <w:p w14:paraId="4FB0D450">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现场测试</w:t>
      </w:r>
    </w:p>
    <w:p w14:paraId="6350C9A8">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现场测试前，乙方必须提交一份现场测试计划供甲方批准，内容包括测试项目、测试方案。任何一个设备在发生不能满足设计要求或最后的制作工艺有缺陷时</w:t>
      </w:r>
      <w:r>
        <w:rPr>
          <w:rFonts w:hint="eastAsia" w:ascii="宋体" w:hAnsi="宋体" w:cs="宋体"/>
          <w:color w:val="auto"/>
          <w:sz w:val="28"/>
          <w:szCs w:val="28"/>
          <w:highlight w:val="none"/>
          <w:lang w:val="en-US" w:eastAsia="zh-CN"/>
        </w:rPr>
        <w:t>或</w:t>
      </w:r>
      <w:r>
        <w:rPr>
          <w:rFonts w:hint="eastAsia" w:ascii="宋体" w:hAnsi="宋体" w:cs="宋体"/>
          <w:color w:val="auto"/>
          <w:sz w:val="28"/>
          <w:szCs w:val="28"/>
          <w:highlight w:val="none"/>
          <w:lang w:eastAsia="zh-CN"/>
        </w:rPr>
        <w:t>测试结果未达标的</w:t>
      </w:r>
      <w:r>
        <w:rPr>
          <w:rFonts w:hint="eastAsia" w:ascii="宋体" w:hAnsi="宋体" w:eastAsia="宋体" w:cs="宋体"/>
          <w:color w:val="auto"/>
          <w:sz w:val="28"/>
          <w:szCs w:val="28"/>
          <w:highlight w:val="none"/>
        </w:rPr>
        <w:t>，乙方应立即采取措施纠正，直至甲方满意。</w:t>
      </w:r>
    </w:p>
    <w:p w14:paraId="409D2BD2">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技术培训</w:t>
      </w:r>
    </w:p>
    <w:p w14:paraId="14D64B14">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.1乙方应负责安排专业工程师在项目建设现场对甲方</w:t>
      </w:r>
      <w:r>
        <w:rPr>
          <w:rFonts w:hint="eastAsia" w:ascii="宋体" w:hAnsi="宋体" w:eastAsia="宋体" w:cs="宋体"/>
          <w:color w:val="auto"/>
          <w:sz w:val="28"/>
          <w:szCs w:val="28"/>
          <w:highlight w:val="none"/>
          <w:lang w:eastAsia="zh-CN"/>
        </w:rPr>
        <w:t>及</w:t>
      </w:r>
      <w:r>
        <w:rPr>
          <w:rFonts w:hint="eastAsia" w:ascii="宋体" w:hAnsi="宋体" w:eastAsia="宋体" w:cs="宋体"/>
          <w:color w:val="auto"/>
          <w:sz w:val="28"/>
          <w:szCs w:val="28"/>
          <w:highlight w:val="none"/>
        </w:rPr>
        <w:t>相关操作人员进行操作、管理、维修培训。此费用</w:t>
      </w:r>
      <w:r>
        <w:rPr>
          <w:rFonts w:hint="eastAsia" w:ascii="宋体" w:hAnsi="宋体" w:cs="宋体"/>
          <w:color w:val="auto"/>
          <w:sz w:val="28"/>
          <w:szCs w:val="28"/>
          <w:highlight w:val="none"/>
          <w:lang w:eastAsia="zh-CN"/>
        </w:rPr>
        <w:t>已在</w:t>
      </w:r>
      <w:r>
        <w:rPr>
          <w:rFonts w:hint="eastAsia" w:ascii="宋体" w:hAnsi="宋体" w:cs="宋体"/>
          <w:color w:val="auto"/>
          <w:sz w:val="28"/>
          <w:szCs w:val="28"/>
          <w:highlight w:val="none"/>
          <w:lang w:val="en-US" w:eastAsia="zh-CN"/>
        </w:rPr>
        <w:t>投标</w:t>
      </w:r>
      <w:r>
        <w:rPr>
          <w:rFonts w:hint="eastAsia" w:ascii="宋体" w:hAnsi="宋体" w:cs="宋体"/>
          <w:color w:val="auto"/>
          <w:sz w:val="28"/>
          <w:szCs w:val="28"/>
          <w:highlight w:val="none"/>
          <w:lang w:eastAsia="zh-CN"/>
        </w:rPr>
        <w:t>报</w:t>
      </w:r>
      <w:r>
        <w:rPr>
          <w:rFonts w:hint="eastAsia" w:ascii="宋体" w:hAnsi="宋体" w:eastAsia="宋体" w:cs="宋体"/>
          <w:color w:val="auto"/>
          <w:sz w:val="28"/>
          <w:szCs w:val="28"/>
          <w:highlight w:val="none"/>
        </w:rPr>
        <w:t>价中</w:t>
      </w:r>
      <w:r>
        <w:rPr>
          <w:rFonts w:hint="eastAsia" w:ascii="宋体" w:hAnsi="宋体" w:cs="宋体"/>
          <w:color w:val="auto"/>
          <w:sz w:val="28"/>
          <w:szCs w:val="28"/>
          <w:highlight w:val="none"/>
          <w:lang w:eastAsia="zh-CN"/>
        </w:rPr>
        <w:t>考虑</w:t>
      </w:r>
      <w:r>
        <w:rPr>
          <w:rFonts w:hint="eastAsia" w:ascii="宋体" w:hAnsi="宋体" w:eastAsia="宋体" w:cs="宋体"/>
          <w:color w:val="auto"/>
          <w:sz w:val="28"/>
          <w:szCs w:val="28"/>
          <w:highlight w:val="none"/>
        </w:rPr>
        <w:t>。</w:t>
      </w:r>
    </w:p>
    <w:p w14:paraId="461E72FC">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.2乙方派出的技术培训人员必须至少有设计、制造、安装和调试同类设备5年以上的经验。在向甲方提交指导人员的姓名以获批准的同时，应提交指导人员许可的技术学历或资历证书。</w:t>
      </w:r>
    </w:p>
    <w:p w14:paraId="779F1700">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.3在安装调试验收现场完成上述培训后才能撤走现场服务人员。</w:t>
      </w:r>
    </w:p>
    <w:p w14:paraId="0610559D">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本条第</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和第</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款到货验收和现场测试不作为本合同的最终验收，最终验收符合下列约定：</w:t>
      </w:r>
    </w:p>
    <w:p w14:paraId="5C7887BA">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.1电梯及自动扶梯按招标文件要求的国家相应的规范标准指标进行验收。</w:t>
      </w:r>
    </w:p>
    <w:p w14:paraId="75962C5E">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.2通过广州特种机电设备检测研究院的检测验收并取得验收检验报告、《检验标志》和区市场监督管理局发的《广州市特种设备使用登记证》。</w:t>
      </w:r>
    </w:p>
    <w:p w14:paraId="1AEF6031">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.3 在全部电梯设备安装完工后7个工作日内，乙方向当地政府主管部门提出验收申请。甲方配合乙方进行验收。</w:t>
      </w:r>
    </w:p>
    <w:p w14:paraId="09B69AC8">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乙方收到本合同第</w:t>
      </w:r>
      <w:r>
        <w:rPr>
          <w:rFonts w:hint="eastAsia" w:ascii="宋体" w:hAnsi="宋体" w:eastAsia="宋体" w:cs="宋体"/>
          <w:color w:val="auto"/>
          <w:sz w:val="28"/>
          <w:szCs w:val="28"/>
          <w:highlight w:val="none"/>
          <w:lang w:eastAsia="zh-CN"/>
        </w:rPr>
        <w:t>六</w:t>
      </w:r>
      <w:r>
        <w:rPr>
          <w:rFonts w:hint="eastAsia" w:ascii="宋体" w:hAnsi="宋体" w:eastAsia="宋体" w:cs="宋体"/>
          <w:color w:val="auto"/>
          <w:sz w:val="28"/>
          <w:szCs w:val="28"/>
          <w:highlight w:val="none"/>
        </w:rPr>
        <w:t xml:space="preserve">条规定的款额后，甲、乙双方办理电梯设备移交手续。 </w:t>
      </w:r>
    </w:p>
    <w:p w14:paraId="2128629A">
      <w:pPr>
        <w:pStyle w:val="10"/>
        <w:keepNext w:val="0"/>
        <w:keepLines w:val="0"/>
        <w:pageBreakBefore w:val="0"/>
        <w:kinsoku/>
        <w:wordWrap/>
        <w:overflowPunct/>
        <w:bidi w:val="0"/>
        <w:adjustRightInd/>
        <w:snapToGrid/>
        <w:spacing w:line="360" w:lineRule="auto"/>
        <w:ind w:firstLine="562" w:firstLineChars="200"/>
        <w:jc w:val="left"/>
        <w:textAlignment w:val="auto"/>
        <w:rPr>
          <w:rFonts w:hint="eastAsia" w:ascii="宋体" w:hAnsi="宋体" w:eastAsia="宋体" w:cs="宋体"/>
          <w:b/>
          <w:color w:val="auto"/>
          <w:sz w:val="28"/>
          <w:szCs w:val="28"/>
          <w:highlight w:val="none"/>
        </w:rPr>
      </w:pPr>
      <w:r>
        <w:rPr>
          <w:rFonts w:hint="eastAsia" w:hAnsi="宋体" w:eastAsia="宋体" w:cs="宋体"/>
          <w:b/>
          <w:color w:val="auto"/>
          <w:sz w:val="28"/>
          <w:szCs w:val="28"/>
          <w:highlight w:val="none"/>
          <w:lang w:eastAsia="zh-CN"/>
        </w:rPr>
        <w:t>九、</w:t>
      </w:r>
      <w:r>
        <w:rPr>
          <w:rFonts w:hint="eastAsia" w:ascii="宋体" w:hAnsi="宋体" w:eastAsia="宋体" w:cs="宋体"/>
          <w:b/>
          <w:color w:val="auto"/>
          <w:sz w:val="28"/>
          <w:szCs w:val="28"/>
          <w:highlight w:val="none"/>
        </w:rPr>
        <w:t>质量保证</w:t>
      </w:r>
    </w:p>
    <w:p w14:paraId="6C7E6B85">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.1货物为</w:t>
      </w:r>
      <w:r>
        <w:rPr>
          <w:rFonts w:hint="eastAsia" w:ascii="宋体" w:hAnsi="宋体" w:eastAsia="宋体" w:cs="宋体"/>
          <w:color w:val="auto"/>
          <w:sz w:val="28"/>
          <w:szCs w:val="28"/>
          <w:highlight w:val="none"/>
          <w:u w:val="single"/>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color w:val="auto"/>
          <w:sz w:val="28"/>
          <w:szCs w:val="28"/>
          <w:highlight w:val="none"/>
        </w:rPr>
        <w:t>品牌全新的产品</w:t>
      </w:r>
      <w:r>
        <w:rPr>
          <w:rFonts w:hint="eastAsia" w:ascii="宋体" w:hAnsi="宋体" w:eastAsia="宋体" w:cs="宋体"/>
          <w:color w:val="auto"/>
          <w:sz w:val="28"/>
          <w:szCs w:val="28"/>
          <w:highlight w:val="none"/>
          <w:lang w:eastAsia="zh-CN"/>
        </w:rPr>
        <w:t>，各项参数要求均符合甲方需求。</w:t>
      </w:r>
    </w:p>
    <w:p w14:paraId="5B367C3C">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.2标准：</w:t>
      </w:r>
    </w:p>
    <w:p w14:paraId="68541B39">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乙方</w:t>
      </w:r>
      <w:r>
        <w:rPr>
          <w:rFonts w:hint="eastAsia" w:ascii="宋体" w:hAnsi="宋体" w:eastAsia="宋体" w:cs="宋体"/>
          <w:color w:val="auto"/>
          <w:sz w:val="28"/>
          <w:szCs w:val="28"/>
          <w:highlight w:val="none"/>
        </w:rPr>
        <w:t>提供的所有产品和服务须符合下列规范、条例及标准：</w:t>
      </w:r>
    </w:p>
    <w:p w14:paraId="6C8E354B">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（1）《电梯、自动扶梯、自动人行道术语》GB/T7024-2008</w:t>
      </w:r>
    </w:p>
    <w:p w14:paraId="4D97B738">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（2）《电梯试验方法》 GB/T10059-2009</w:t>
      </w:r>
    </w:p>
    <w:p w14:paraId="28A44B0A">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（3）《电梯技术条件》 GB10058-2009</w:t>
      </w:r>
    </w:p>
    <w:p w14:paraId="5F7916AA">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（4）《电梯制造与安装安全规范》 GB7588</w:t>
      </w:r>
    </w:p>
    <w:p w14:paraId="0595F4B8">
      <w:pPr>
        <w:keepNext w:val="0"/>
        <w:keepLines w:val="0"/>
        <w:pageBreakBefore w:val="0"/>
        <w:kinsoku/>
        <w:wordWrap/>
        <w:overflowPunct/>
        <w:bidi w:val="0"/>
        <w:adjustRightInd/>
        <w:snapToGrid/>
        <w:spacing w:line="360" w:lineRule="auto"/>
        <w:ind w:left="1399" w:leftChars="266" w:hanging="840" w:hangingChars="3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（5）《电梯监督检验和定期检验规则-曳引与强制驱动电梯》 TSG/T7001-20</w:t>
      </w:r>
      <w:r>
        <w:rPr>
          <w:rFonts w:hint="eastAsia" w:ascii="宋体" w:hAnsi="宋体" w:eastAsia="宋体" w:cs="宋体"/>
          <w:color w:val="auto"/>
          <w:sz w:val="28"/>
          <w:szCs w:val="28"/>
          <w:highlight w:val="none"/>
          <w:lang w:val="en-US" w:eastAsia="zh-CN"/>
        </w:rPr>
        <w:t>23</w:t>
      </w:r>
    </w:p>
    <w:p w14:paraId="235082C3">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（6）《住宅电梯的配置和选择》 JG/T5010-92</w:t>
      </w:r>
    </w:p>
    <w:p w14:paraId="011706FC">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（7）《电梯安装验收规范》  GB/T10060-20</w:t>
      </w:r>
      <w:r>
        <w:rPr>
          <w:rFonts w:hint="eastAsia" w:ascii="宋体" w:hAnsi="宋体" w:eastAsia="宋体" w:cs="宋体"/>
          <w:color w:val="auto"/>
          <w:sz w:val="28"/>
          <w:szCs w:val="28"/>
          <w:highlight w:val="none"/>
          <w:lang w:val="en-US" w:eastAsia="zh-CN"/>
        </w:rPr>
        <w:t>23</w:t>
      </w:r>
    </w:p>
    <w:p w14:paraId="1282DE2F">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（8）《电梯工程施工质量验收规范》  GB50310-20</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2</w:t>
      </w:r>
    </w:p>
    <w:p w14:paraId="7E6A1F92">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（9）《电梯操作装置、信号及附件》  GB/T 30560-2014</w:t>
      </w:r>
    </w:p>
    <w:p w14:paraId="727AA1F2">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（10）《电梯主参数及轿厢、井道、机房的型式与尺寸》  GB/T 7025</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lang w:val="en-US" w:eastAsia="zh-CN"/>
        </w:rPr>
        <w:t>23</w:t>
      </w:r>
    </w:p>
    <w:p w14:paraId="1E6C8DB9">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（11）《电梯用钢丝绳》 GB8903-20</w:t>
      </w:r>
      <w:r>
        <w:rPr>
          <w:rFonts w:hint="eastAsia" w:ascii="宋体" w:hAnsi="宋体" w:eastAsia="宋体" w:cs="宋体"/>
          <w:color w:val="auto"/>
          <w:sz w:val="28"/>
          <w:szCs w:val="28"/>
          <w:highlight w:val="none"/>
          <w:lang w:val="en-US" w:eastAsia="zh-CN"/>
        </w:rPr>
        <w:t>18</w:t>
      </w:r>
    </w:p>
    <w:p w14:paraId="6BC441FC">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（12）《电梯曳引机》 GB/T24478-2009</w:t>
      </w:r>
    </w:p>
    <w:p w14:paraId="1CBE94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bidi w:val="0"/>
        <w:adjustRightInd/>
        <w:snapToGrid/>
        <w:spacing w:before="0" w:beforeAutospacing="0" w:after="60" w:afterAutospacing="0" w:line="360" w:lineRule="auto"/>
        <w:ind w:left="0" w:right="0" w:firstLine="560" w:firstLineChars="200"/>
        <w:textAlignment w:val="auto"/>
        <w:rPr>
          <w:rFonts w:ascii="宋体" w:hAnsi="宋体" w:eastAsia="宋体" w:cs="宋体"/>
          <w:caps w:val="0"/>
          <w:color w:val="auto"/>
          <w:spacing w:val="0"/>
          <w:sz w:val="27"/>
          <w:szCs w:val="27"/>
          <w:highlight w:val="none"/>
        </w:rPr>
      </w:pPr>
      <w:r>
        <w:rPr>
          <w:rFonts w:hint="eastAsia" w:ascii="宋体" w:hAnsi="宋体" w:eastAsia="宋体" w:cs="宋体"/>
          <w:color w:val="auto"/>
          <w:sz w:val="28"/>
          <w:szCs w:val="28"/>
          <w:highlight w:val="none"/>
        </w:rPr>
        <w:t>（13）</w:t>
      </w:r>
      <w:r>
        <w:rPr>
          <w:rFonts w:hint="eastAsia" w:ascii="宋体" w:hAnsi="宋体" w:eastAsia="宋体" w:cs="宋体"/>
          <w:caps w:val="0"/>
          <w:color w:val="auto"/>
          <w:spacing w:val="0"/>
          <w:sz w:val="28"/>
          <w:szCs w:val="28"/>
          <w:highlight w:val="none"/>
          <w:u w:val="none"/>
          <w:shd w:val="clear" w:color="auto" w:fill="auto"/>
        </w:rPr>
        <w:fldChar w:fldCharType="begin"/>
      </w:r>
      <w:r>
        <w:rPr>
          <w:rFonts w:hint="eastAsia" w:ascii="宋体" w:hAnsi="宋体" w:eastAsia="宋体" w:cs="宋体"/>
          <w:caps w:val="0"/>
          <w:color w:val="auto"/>
          <w:spacing w:val="0"/>
          <w:sz w:val="28"/>
          <w:szCs w:val="28"/>
          <w:highlight w:val="none"/>
          <w:u w:val="none"/>
          <w:shd w:val="clear" w:color="auto" w:fill="auto"/>
        </w:rPr>
        <w:instrText xml:space="preserve"> HYPERLINK "https://www.baidu.com/link?url=qbd-V18s4AGRCk3QD5MdF5UOPDOAxXzOWmGolAxFUpKyp2peTmfr1dL5MpDUMDii5jrhY7C1IN3X5-X-UHxZz_&amp;wd=&amp;eqid=df4443b90019f84e00000006655489ce" \t "https://www.baidu.com/_blank" </w:instrText>
      </w:r>
      <w:r>
        <w:rPr>
          <w:rFonts w:hint="eastAsia" w:ascii="宋体" w:hAnsi="宋体" w:eastAsia="宋体" w:cs="宋体"/>
          <w:caps w:val="0"/>
          <w:color w:val="auto"/>
          <w:spacing w:val="0"/>
          <w:sz w:val="28"/>
          <w:szCs w:val="28"/>
          <w:highlight w:val="none"/>
          <w:u w:val="none"/>
          <w:shd w:val="clear" w:color="auto" w:fill="auto"/>
        </w:rPr>
        <w:fldChar w:fldCharType="separate"/>
      </w:r>
      <w:r>
        <w:rPr>
          <w:rFonts w:hint="eastAsia" w:ascii="宋体" w:hAnsi="宋体" w:eastAsia="宋体" w:cs="宋体"/>
          <w:i w:val="0"/>
          <w:caps w:val="0"/>
          <w:color w:val="auto"/>
          <w:spacing w:val="0"/>
          <w:sz w:val="28"/>
          <w:szCs w:val="28"/>
          <w:highlight w:val="none"/>
          <w:u w:val="none"/>
          <w:shd w:val="clear" w:color="auto" w:fill="auto"/>
        </w:rPr>
        <w:t>GB</w:t>
      </w:r>
      <w:r>
        <w:rPr>
          <w:rFonts w:hint="eastAsia" w:ascii="宋体" w:hAnsi="宋体" w:eastAsia="宋体" w:cs="宋体"/>
          <w:caps w:val="0"/>
          <w:color w:val="auto"/>
          <w:spacing w:val="0"/>
          <w:sz w:val="28"/>
          <w:szCs w:val="28"/>
          <w:highlight w:val="none"/>
          <w:u w:val="none"/>
          <w:shd w:val="clear" w:color="auto" w:fill="auto"/>
        </w:rPr>
        <w:t>/T </w:t>
      </w:r>
      <w:r>
        <w:rPr>
          <w:rFonts w:hint="eastAsia" w:ascii="宋体" w:hAnsi="宋体" w:eastAsia="宋体" w:cs="宋体"/>
          <w:i w:val="0"/>
          <w:caps w:val="0"/>
          <w:color w:val="auto"/>
          <w:spacing w:val="0"/>
          <w:sz w:val="28"/>
          <w:szCs w:val="28"/>
          <w:highlight w:val="none"/>
          <w:u w:val="none"/>
          <w:shd w:val="clear" w:color="auto" w:fill="auto"/>
        </w:rPr>
        <w:t>9445</w:t>
      </w:r>
      <w:r>
        <w:rPr>
          <w:rFonts w:hint="eastAsia" w:ascii="宋体" w:hAnsi="宋体" w:eastAsia="宋体" w:cs="宋体"/>
          <w:caps w:val="0"/>
          <w:color w:val="auto"/>
          <w:spacing w:val="0"/>
          <w:sz w:val="28"/>
          <w:szCs w:val="28"/>
          <w:highlight w:val="none"/>
          <w:u w:val="none"/>
          <w:shd w:val="clear" w:color="auto" w:fill="auto"/>
        </w:rPr>
        <w:t>-2015 无损检测人员资格鉴定与认证</w:t>
      </w:r>
      <w:r>
        <w:rPr>
          <w:rFonts w:hint="eastAsia" w:ascii="宋体" w:hAnsi="宋体" w:eastAsia="宋体" w:cs="宋体"/>
          <w:caps w:val="0"/>
          <w:color w:val="auto"/>
          <w:spacing w:val="0"/>
          <w:sz w:val="28"/>
          <w:szCs w:val="28"/>
          <w:highlight w:val="none"/>
          <w:u w:val="none"/>
          <w:shd w:val="clear" w:color="auto" w:fill="auto"/>
        </w:rPr>
        <w:fldChar w:fldCharType="end"/>
      </w:r>
    </w:p>
    <w:p w14:paraId="764AF1F2">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（14）《建筑设计防火规范》GB50016-2014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2018年版</w:t>
      </w:r>
      <w:r>
        <w:rPr>
          <w:rFonts w:hint="eastAsia" w:ascii="宋体" w:hAnsi="宋体" w:eastAsia="宋体" w:cs="宋体"/>
          <w:color w:val="auto"/>
          <w:sz w:val="28"/>
          <w:szCs w:val="28"/>
          <w:highlight w:val="none"/>
          <w:lang w:eastAsia="zh-CN"/>
        </w:rPr>
        <w:t>）</w:t>
      </w:r>
    </w:p>
    <w:p w14:paraId="0E5CF25A">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）广东省消防部门的条例及相关的中国国家消防规范</w:t>
      </w:r>
    </w:p>
    <w:p w14:paraId="793CE20D">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）电力供应部门的供电规章条例</w:t>
      </w:r>
    </w:p>
    <w:p w14:paraId="56B64D3A">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）其他有关的中国规定</w:t>
      </w:r>
    </w:p>
    <w:p w14:paraId="6B796CDF">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18</w:t>
      </w:r>
      <w:r>
        <w:rPr>
          <w:rFonts w:hint="eastAsia" w:ascii="宋体" w:hAnsi="宋体" w:eastAsia="宋体" w:cs="宋体"/>
          <w:color w:val="auto"/>
          <w:sz w:val="28"/>
          <w:szCs w:val="28"/>
          <w:highlight w:val="none"/>
        </w:rPr>
        <w:t>）由</w:t>
      </w:r>
      <w:r>
        <w:rPr>
          <w:rFonts w:hint="eastAsia" w:ascii="宋体" w:hAnsi="宋体" w:cs="宋体"/>
          <w:color w:val="auto"/>
          <w:sz w:val="28"/>
          <w:szCs w:val="28"/>
          <w:highlight w:val="none"/>
          <w:lang w:eastAsia="zh-CN"/>
        </w:rPr>
        <w:t>甲</w:t>
      </w:r>
      <w:r>
        <w:rPr>
          <w:rFonts w:hint="eastAsia" w:ascii="宋体" w:hAnsi="宋体" w:eastAsia="宋体" w:cs="宋体"/>
          <w:color w:val="auto"/>
          <w:sz w:val="28"/>
          <w:szCs w:val="28"/>
          <w:highlight w:val="none"/>
          <w:lang w:eastAsia="zh-CN"/>
        </w:rPr>
        <w:t>方</w:t>
      </w:r>
      <w:r>
        <w:rPr>
          <w:rFonts w:hint="eastAsia" w:ascii="宋体" w:hAnsi="宋体" w:eastAsia="宋体" w:cs="宋体"/>
          <w:color w:val="auto"/>
          <w:sz w:val="28"/>
          <w:szCs w:val="28"/>
          <w:highlight w:val="none"/>
        </w:rPr>
        <w:t>认可的其它国家的其它权威标准。</w:t>
      </w:r>
    </w:p>
    <w:p w14:paraId="420E9A0D">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以上标准及规范如有更新版本，按更新后的标准执行。</w:t>
      </w:r>
    </w:p>
    <w:p w14:paraId="67B45F74">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.3设备的</w:t>
      </w:r>
      <w:bookmarkStart w:id="11" w:name="OLE_LINK31"/>
      <w:r>
        <w:rPr>
          <w:rFonts w:hint="eastAsia" w:ascii="宋体" w:hAnsi="宋体" w:eastAsia="宋体" w:cs="宋体"/>
          <w:color w:val="auto"/>
          <w:sz w:val="28"/>
          <w:szCs w:val="28"/>
          <w:highlight w:val="none"/>
        </w:rPr>
        <w:t>防护</w:t>
      </w:r>
      <w:bookmarkEnd w:id="11"/>
      <w:r>
        <w:rPr>
          <w:rFonts w:hint="eastAsia" w:ascii="宋体" w:hAnsi="宋体" w:eastAsia="宋体" w:cs="宋体"/>
          <w:color w:val="auto"/>
          <w:sz w:val="28"/>
          <w:szCs w:val="28"/>
          <w:highlight w:val="none"/>
        </w:rPr>
        <w:t>、包装及运输</w:t>
      </w:r>
    </w:p>
    <w:p w14:paraId="720BD395">
      <w:pPr>
        <w:keepNext w:val="0"/>
        <w:keepLines w:val="0"/>
        <w:pageBreakBefore w:val="0"/>
        <w:tabs>
          <w:tab w:val="left" w:pos="7536"/>
        </w:tabs>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.3.1设备的防护及油漆</w:t>
      </w:r>
      <w:r>
        <w:rPr>
          <w:rFonts w:hint="eastAsia" w:ascii="宋体" w:hAnsi="宋体" w:eastAsia="宋体" w:cs="宋体"/>
          <w:color w:val="auto"/>
          <w:sz w:val="28"/>
          <w:szCs w:val="28"/>
          <w:highlight w:val="none"/>
          <w:lang w:eastAsia="zh-CN"/>
        </w:rPr>
        <w:tab/>
      </w:r>
    </w:p>
    <w:p w14:paraId="408541BD">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设备内、外表面应洁净。</w:t>
      </w:r>
      <w:r>
        <w:rPr>
          <w:rFonts w:hint="eastAsia" w:ascii="宋体" w:hAnsi="宋体" w:eastAsia="宋体" w:cs="宋体"/>
          <w:color w:val="auto"/>
          <w:sz w:val="28"/>
          <w:szCs w:val="28"/>
          <w:highlight w:val="none"/>
          <w:lang w:eastAsia="zh-CN"/>
        </w:rPr>
        <w:t>乙方</w:t>
      </w:r>
      <w:r>
        <w:rPr>
          <w:rFonts w:hint="eastAsia" w:ascii="宋体" w:hAnsi="宋体" w:eastAsia="宋体" w:cs="宋体"/>
          <w:color w:val="auto"/>
          <w:sz w:val="28"/>
          <w:szCs w:val="28"/>
          <w:highlight w:val="none"/>
        </w:rPr>
        <w:t>在供货时须提供设备的具体防护措施供</w:t>
      </w:r>
      <w:r>
        <w:rPr>
          <w:rFonts w:hint="eastAsia" w:ascii="宋体" w:hAnsi="宋体" w:cs="宋体"/>
          <w:color w:val="auto"/>
          <w:sz w:val="28"/>
          <w:szCs w:val="28"/>
          <w:highlight w:val="none"/>
          <w:lang w:eastAsia="zh-CN"/>
        </w:rPr>
        <w:t>甲方</w:t>
      </w:r>
      <w:r>
        <w:rPr>
          <w:rFonts w:hint="eastAsia" w:ascii="宋体" w:hAnsi="宋体" w:eastAsia="宋体" w:cs="宋体"/>
          <w:color w:val="auto"/>
          <w:sz w:val="28"/>
          <w:szCs w:val="28"/>
          <w:highlight w:val="none"/>
        </w:rPr>
        <w:t>认可，并对此工作负责。油漆表面应光洁，无折皱和剥落。</w:t>
      </w:r>
    </w:p>
    <w:p w14:paraId="0FF3BE8E">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.3.2所有设备应合理、有效包装，以使其有效防止各种损坏，如受潮、受热、剥落、腐蚀、变形等。</w:t>
      </w:r>
    </w:p>
    <w:p w14:paraId="451CFF47">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3.3对不油漆且易磨损的零件应涂上高熔点或脂肪酸或其他保护功能的油脂以得到保护，并得到妥善包装后固定。机组所有开口处应封闭保护起来，以防止在运输人搬运途中异物进入。电动机、控制中心、排气装置和机组的控制器等均应加保护罩。</w:t>
      </w:r>
    </w:p>
    <w:p w14:paraId="0514BB60">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.3.4随机的零部件、备品备件等散件应木箱包装。这些箱盒应适合于储存，储存年限应在包装上予以说明。</w:t>
      </w:r>
    </w:p>
    <w:p w14:paraId="3367F949">
      <w:pPr>
        <w:keepNext w:val="0"/>
        <w:keepLines w:val="0"/>
        <w:pageBreakBefore w:val="0"/>
        <w:kinsoku/>
        <w:wordWrap/>
        <w:overflowPunct/>
        <w:bidi w:val="0"/>
        <w:adjustRightInd w:val="0"/>
        <w:snapToGrid w:val="0"/>
        <w:spacing w:line="360" w:lineRule="auto"/>
        <w:ind w:firstLine="480" w:firstLineChars="0"/>
        <w:jc w:val="left"/>
        <w:textAlignment w:val="auto"/>
        <w:rPr>
          <w:rFonts w:hint="eastAsia" w:ascii="宋体" w:hAnsi="宋体" w:eastAsia="宋体" w:cs="宋体"/>
          <w:color w:val="auto"/>
          <w:spacing w:val="-6"/>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.3.5</w:t>
      </w:r>
      <w:r>
        <w:rPr>
          <w:rFonts w:hint="eastAsia" w:ascii="宋体" w:hAnsi="宋体" w:eastAsia="宋体" w:cs="宋体"/>
          <w:color w:val="auto"/>
          <w:spacing w:val="-6"/>
          <w:sz w:val="28"/>
          <w:szCs w:val="28"/>
          <w:highlight w:val="none"/>
        </w:rPr>
        <w:t>设备的包装费应包括在投标总价中</w:t>
      </w:r>
      <w:r>
        <w:rPr>
          <w:rFonts w:hint="eastAsia" w:ascii="宋体" w:hAnsi="宋体" w:eastAsia="宋体" w:cs="宋体"/>
          <w:bCs/>
          <w:color w:val="auto"/>
          <w:sz w:val="28"/>
          <w:szCs w:val="28"/>
          <w:highlight w:val="none"/>
        </w:rPr>
        <w:t>，这些包装材料应属于采购人所有。</w:t>
      </w:r>
    </w:p>
    <w:p w14:paraId="772F4124">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3.6在包装箱中，应附有产品合格证书（包括机组合格证、部件合格证、材料合格证等）、产品说明书、装箱单、易损件、备件及专用工具清单，一套完整的经批准的图纸及有关技术文件资料。包装箱外面应注明数量、设备名称、编号、起吊位置、警示标志、外形尺寸、毛重等。所有文字应为中文或中、英文对照两种。以中文为准。</w:t>
      </w:r>
    </w:p>
    <w:p w14:paraId="2705D79E">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.3.7</w:t>
      </w:r>
      <w:r>
        <w:rPr>
          <w:rFonts w:hint="eastAsia" w:ascii="宋体" w:hAnsi="宋体" w:eastAsia="宋体" w:cs="宋体"/>
          <w:color w:val="auto"/>
          <w:sz w:val="28"/>
          <w:szCs w:val="28"/>
          <w:highlight w:val="none"/>
          <w:lang w:eastAsia="zh-CN"/>
        </w:rPr>
        <w:t>乙方</w:t>
      </w:r>
      <w:r>
        <w:rPr>
          <w:rFonts w:hint="eastAsia" w:ascii="宋体" w:hAnsi="宋体" w:eastAsia="宋体" w:cs="宋体"/>
          <w:color w:val="auto"/>
          <w:sz w:val="28"/>
          <w:szCs w:val="28"/>
          <w:highlight w:val="none"/>
        </w:rPr>
        <w:t>应对设备的整个交货过程负责，包括运输、装卸、安装调试、装潢的安全。</w:t>
      </w:r>
    </w:p>
    <w:p w14:paraId="5BE9E8B8">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.3.8随包装箱带的文件、资料应防潮密封，并放置在包装箱内明显处。</w:t>
      </w:r>
    </w:p>
    <w:p w14:paraId="04BD9054">
      <w:pPr>
        <w:keepNext w:val="0"/>
        <w:keepLines w:val="0"/>
        <w:pageBreakBefore w:val="0"/>
        <w:kinsoku/>
        <w:wordWrap/>
        <w:overflowPunct/>
        <w:bidi w:val="0"/>
        <w:adjustRightInd/>
        <w:snapToGrid/>
        <w:spacing w:line="360" w:lineRule="auto"/>
        <w:ind w:right="25" w:rightChars="12"/>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进口产品必须具备原产地证明或商检局的检验证明及合法进货渠道证明。</w:t>
      </w:r>
    </w:p>
    <w:p w14:paraId="5C9EA6A2">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.4乙方应保证满足甲方对电梯及附件的性能要求，应保证该电梯及附件能长期连续、安全、稳定、可靠的运行。</w:t>
      </w:r>
    </w:p>
    <w:p w14:paraId="4A53EF84">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.5外购配套件的供应商，应具有与制造厂相同的资格，并须取得甲方认可。</w:t>
      </w:r>
    </w:p>
    <w:p w14:paraId="68418D55">
      <w:pPr>
        <w:keepNext w:val="0"/>
        <w:keepLines w:val="0"/>
        <w:pageBreakBefore w:val="0"/>
        <w:tabs>
          <w:tab w:val="left" w:pos="0"/>
        </w:tabs>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.6乙方承诺自</w:t>
      </w:r>
      <w:bookmarkStart w:id="12" w:name="OLE_LINK32"/>
      <w:r>
        <w:rPr>
          <w:rFonts w:hint="eastAsia" w:ascii="宋体" w:hAnsi="宋体" w:eastAsia="宋体" w:cs="宋体"/>
          <w:color w:val="auto"/>
          <w:sz w:val="28"/>
          <w:szCs w:val="28"/>
          <w:highlight w:val="none"/>
        </w:rPr>
        <w:t>电梯质保期结束</w:t>
      </w:r>
      <w:bookmarkEnd w:id="12"/>
      <w:r>
        <w:rPr>
          <w:rFonts w:hint="eastAsia" w:ascii="宋体" w:hAnsi="宋体" w:eastAsia="宋体" w:cs="宋体"/>
          <w:color w:val="auto"/>
          <w:sz w:val="28"/>
          <w:szCs w:val="28"/>
          <w:highlight w:val="none"/>
        </w:rPr>
        <w:t>之日起</w:t>
      </w:r>
      <w:r>
        <w:rPr>
          <w:rFonts w:hint="eastAsia" w:ascii="宋体" w:hAnsi="宋体" w:cs="宋体"/>
          <w:color w:val="auto"/>
          <w:sz w:val="28"/>
          <w:szCs w:val="28"/>
          <w:highlight w:val="none"/>
          <w:lang w:eastAsia="zh-CN"/>
        </w:rPr>
        <w:t>，应为甲方长期优惠提供所需备品备件。</w:t>
      </w:r>
    </w:p>
    <w:p w14:paraId="55102BA3">
      <w:pPr>
        <w:keepNext w:val="0"/>
        <w:keepLines w:val="0"/>
        <w:pageBreakBefore w:val="0"/>
        <w:tabs>
          <w:tab w:val="left" w:pos="0"/>
        </w:tabs>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.6.1乙方须针对设备的正常损耗，按照招标文件规定向</w:t>
      </w:r>
      <w:r>
        <w:rPr>
          <w:rFonts w:hint="eastAsia" w:ascii="宋体" w:hAnsi="宋体" w:cs="宋体"/>
          <w:color w:val="auto"/>
          <w:sz w:val="28"/>
          <w:szCs w:val="28"/>
          <w:highlight w:val="none"/>
          <w:lang w:eastAsia="zh-CN"/>
        </w:rPr>
        <w:t>甲</w:t>
      </w:r>
      <w:r>
        <w:rPr>
          <w:rFonts w:hint="eastAsia" w:ascii="宋体" w:hAnsi="宋体" w:eastAsia="宋体" w:cs="宋体"/>
          <w:color w:val="auto"/>
          <w:sz w:val="28"/>
          <w:szCs w:val="28"/>
          <w:highlight w:val="none"/>
        </w:rPr>
        <w:t>方提供备品备件，所供备品备件的质量保证期自其安装调试合格之日起计算24个月，因乙方原厂配件质量缺陷引发的故障，乙方应免费更换并重新计算质保期。</w:t>
      </w:r>
    </w:p>
    <w:p w14:paraId="7AA912F5">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.6.2乙方应提供一份认为在当地条件下、在规定期限内运行所需备件及其数量的推荐目录表。</w:t>
      </w:r>
    </w:p>
    <w:p w14:paraId="359AA4AF">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.7</w:t>
      </w:r>
      <w:bookmarkStart w:id="13" w:name="OLE_LINK33"/>
      <w:r>
        <w:rPr>
          <w:rFonts w:hint="eastAsia" w:ascii="宋体" w:hAnsi="宋体" w:eastAsia="宋体" w:cs="宋体"/>
          <w:color w:val="auto"/>
          <w:sz w:val="28"/>
          <w:szCs w:val="28"/>
          <w:highlight w:val="none"/>
        </w:rPr>
        <w:t>自取得</w:t>
      </w:r>
      <w:bookmarkEnd w:id="13"/>
      <w:r>
        <w:rPr>
          <w:rFonts w:hint="eastAsia" w:ascii="宋体" w:hAnsi="宋体" w:eastAsia="宋体" w:cs="宋体"/>
          <w:color w:val="auto"/>
          <w:sz w:val="28"/>
          <w:szCs w:val="28"/>
          <w:highlight w:val="none"/>
        </w:rPr>
        <w:t>《广州市特种设备使用登记证》之日起，乙方向甲方提供为期两年的质保期服务</w:t>
      </w:r>
      <w:r>
        <w:rPr>
          <w:rFonts w:hint="eastAsia" w:ascii="宋体" w:hAnsi="宋体" w:eastAsia="宋体" w:cs="宋体"/>
          <w:color w:val="auto"/>
          <w:kern w:val="0"/>
          <w:sz w:val="28"/>
          <w:szCs w:val="28"/>
          <w:highlight w:val="none"/>
        </w:rPr>
        <w:t>。</w:t>
      </w:r>
      <w:r>
        <w:rPr>
          <w:rFonts w:hint="eastAsia" w:ascii="宋体" w:hAnsi="宋体" w:eastAsia="宋体" w:cs="宋体"/>
          <w:color w:val="auto"/>
          <w:sz w:val="28"/>
          <w:szCs w:val="28"/>
          <w:highlight w:val="none"/>
        </w:rPr>
        <w:t>保质期内非人为原因损坏、失效或已达到报废标准的零部件除无偿更换外，对更换上的零部件还应有继续</w:t>
      </w:r>
      <w:r>
        <w:rPr>
          <w:rFonts w:hint="eastAsia" w:ascii="宋体" w:hAnsi="宋体" w:cs="宋体"/>
          <w:color w:val="auto"/>
          <w:sz w:val="28"/>
          <w:szCs w:val="28"/>
          <w:highlight w:val="none"/>
          <w:lang w:val="en-US" w:eastAsia="zh-CN"/>
        </w:rPr>
        <w:t>24个月</w:t>
      </w:r>
      <w:r>
        <w:rPr>
          <w:rFonts w:hint="eastAsia" w:ascii="宋体" w:hAnsi="宋体" w:eastAsia="宋体" w:cs="宋体"/>
          <w:color w:val="auto"/>
          <w:sz w:val="28"/>
          <w:szCs w:val="28"/>
          <w:highlight w:val="none"/>
        </w:rPr>
        <w:t>的质量保证期。如因甲方原因不能于乙方按甲方通知的供货时间</w:t>
      </w:r>
      <w:bookmarkStart w:id="14" w:name="OLE_LINK11"/>
      <w:r>
        <w:rPr>
          <w:rFonts w:hint="eastAsia" w:ascii="宋体" w:hAnsi="宋体" w:eastAsia="宋体" w:cs="宋体"/>
          <w:color w:val="auto"/>
          <w:sz w:val="28"/>
          <w:szCs w:val="28"/>
          <w:highlight w:val="none"/>
        </w:rPr>
        <w:t>交付货</w:t>
      </w:r>
      <w:bookmarkEnd w:id="14"/>
      <w:r>
        <w:rPr>
          <w:rFonts w:hint="eastAsia" w:ascii="宋体" w:hAnsi="宋体" w:eastAsia="宋体" w:cs="宋体"/>
          <w:color w:val="auto"/>
          <w:sz w:val="28"/>
          <w:szCs w:val="28"/>
          <w:highlight w:val="none"/>
        </w:rPr>
        <w:t>物后6个月内完成安装，则保修期从货物到工地后起36个月后失效。</w:t>
      </w:r>
    </w:p>
    <w:p w14:paraId="09007E78">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.8质保期服务内容及售后服务。</w:t>
      </w:r>
    </w:p>
    <w:p w14:paraId="3BE80CE5">
      <w:pPr>
        <w:keepNext w:val="0"/>
        <w:keepLines w:val="0"/>
        <w:pageBreakBefore w:val="0"/>
        <w:tabs>
          <w:tab w:val="left" w:pos="360"/>
        </w:tabs>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.8.1指派专人负责售后服务事宜，在使用中出现故障，维修人员接到紧急故障（维修电话）后须在1小时内赶到现场，8小时内修不好的设备应以同类设备更换，提供不间断的维修服务直到</w:t>
      </w:r>
      <w:r>
        <w:rPr>
          <w:rFonts w:hint="eastAsia" w:ascii="宋体" w:hAnsi="宋体" w:eastAsia="宋体" w:cs="宋体"/>
          <w:color w:val="auto"/>
          <w:sz w:val="28"/>
          <w:szCs w:val="28"/>
          <w:highlight w:val="none"/>
          <w:lang w:eastAsia="zh-CN"/>
        </w:rPr>
        <w:t>保修期</w:t>
      </w:r>
      <w:r>
        <w:rPr>
          <w:rFonts w:hint="eastAsia" w:ascii="宋体" w:hAnsi="宋体" w:eastAsia="宋体" w:cs="宋体"/>
          <w:color w:val="auto"/>
          <w:sz w:val="28"/>
          <w:szCs w:val="28"/>
          <w:highlight w:val="none"/>
        </w:rPr>
        <w:t>结束，同时承担一切所需费用。否则甲方有权安排第三方单位进行维修，维修费用由乙方承担。因此造成的一切损失由乙方负全部责任并承担一切费用。</w:t>
      </w:r>
    </w:p>
    <w:p w14:paraId="1AF6286C">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.8.2保修期内必须进行质量“三包”，免费提供每月不少于两次的定期巡检和保养服务并协助甲方电梯的年检工作，提供正常消耗磨损的电梯零部件（包括照明灯具）。</w:t>
      </w:r>
    </w:p>
    <w:p w14:paraId="4202156B">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.8.3协助甲方电梯的年检工作</w:t>
      </w:r>
      <w:r>
        <w:rPr>
          <w:rFonts w:hint="eastAsia" w:ascii="宋体" w:hAnsi="宋体" w:cs="宋体"/>
          <w:color w:val="auto"/>
          <w:sz w:val="28"/>
          <w:szCs w:val="28"/>
          <w:highlight w:val="none"/>
          <w:lang w:eastAsia="zh-CN"/>
        </w:rPr>
        <w:t>，直至本合同货物全生命周期结束</w:t>
      </w:r>
      <w:r>
        <w:rPr>
          <w:rFonts w:hint="eastAsia" w:ascii="宋体" w:hAnsi="宋体" w:eastAsia="宋体" w:cs="宋体"/>
          <w:color w:val="auto"/>
          <w:sz w:val="28"/>
          <w:szCs w:val="28"/>
          <w:highlight w:val="none"/>
        </w:rPr>
        <w:t>。</w:t>
      </w:r>
    </w:p>
    <w:p w14:paraId="04636DE9">
      <w:pPr>
        <w:pStyle w:val="2"/>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 w:val="28"/>
          <w:szCs w:val="28"/>
          <w:highlight w:val="none"/>
          <w:lang w:val="en-US" w:eastAsia="zh-CN"/>
        </w:rPr>
        <w:t>9.</w:t>
      </w:r>
      <w:r>
        <w:rPr>
          <w:rFonts w:hint="eastAsia" w:ascii="宋体" w:hAnsi="宋体" w:cs="宋体"/>
          <w:b w:val="0"/>
          <w:bCs w:val="0"/>
          <w:color w:val="auto"/>
          <w:sz w:val="28"/>
          <w:szCs w:val="28"/>
          <w:highlight w:val="none"/>
          <w:lang w:val="en-US" w:eastAsia="zh-CN"/>
        </w:rPr>
        <w:t>9</w:t>
      </w:r>
      <w:r>
        <w:rPr>
          <w:rFonts w:hint="eastAsia" w:ascii="宋体" w:hAnsi="宋体" w:eastAsia="宋体" w:cs="宋体"/>
          <w:b w:val="0"/>
          <w:bCs w:val="0"/>
          <w:color w:val="auto"/>
          <w:sz w:val="28"/>
          <w:szCs w:val="28"/>
          <w:highlight w:val="none"/>
          <w:lang w:val="en-US" w:eastAsia="zh-CN"/>
        </w:rPr>
        <w:t>质保期满，乙方应继续提供电梯使用或维修方面的咨询及配套零配件</w:t>
      </w:r>
      <w:r>
        <w:rPr>
          <w:rFonts w:hint="eastAsia" w:ascii="宋体" w:hAnsi="宋体" w:cs="宋体"/>
          <w:b w:val="0"/>
          <w:bCs w:val="0"/>
          <w:color w:val="auto"/>
          <w:sz w:val="28"/>
          <w:szCs w:val="28"/>
          <w:highlight w:val="none"/>
          <w:lang w:val="en-US" w:eastAsia="zh-CN"/>
        </w:rPr>
        <w:t>供货</w:t>
      </w:r>
      <w:r>
        <w:rPr>
          <w:rFonts w:hint="eastAsia" w:ascii="宋体" w:hAnsi="宋体" w:eastAsia="宋体" w:cs="宋体"/>
          <w:b w:val="0"/>
          <w:bCs w:val="0"/>
          <w:color w:val="auto"/>
          <w:sz w:val="28"/>
          <w:szCs w:val="28"/>
          <w:highlight w:val="none"/>
          <w:lang w:val="en-US" w:eastAsia="zh-CN"/>
        </w:rPr>
        <w:t>服务，直至本合同货物全生命周期结束。电梯零配件价格应不高于乙方市场供货价。</w:t>
      </w:r>
    </w:p>
    <w:p w14:paraId="6E71B59B">
      <w:pPr>
        <w:pStyle w:val="10"/>
        <w:keepNext w:val="0"/>
        <w:keepLines w:val="0"/>
        <w:pageBreakBefore w:val="0"/>
        <w:kinsoku/>
        <w:wordWrap/>
        <w:overflowPunct/>
        <w:bidi w:val="0"/>
        <w:adjustRightInd/>
        <w:snapToGrid/>
        <w:spacing w:line="360" w:lineRule="auto"/>
        <w:ind w:firstLine="562" w:firstLineChars="200"/>
        <w:jc w:val="left"/>
        <w:textAlignment w:val="auto"/>
        <w:rPr>
          <w:rFonts w:hint="eastAsia" w:ascii="宋体" w:hAnsi="宋体" w:eastAsia="宋体" w:cs="宋体"/>
          <w:b/>
          <w:color w:val="auto"/>
          <w:sz w:val="28"/>
          <w:szCs w:val="28"/>
          <w:highlight w:val="none"/>
        </w:rPr>
      </w:pPr>
      <w:r>
        <w:rPr>
          <w:rFonts w:hint="eastAsia" w:hAnsi="宋体" w:eastAsia="宋体" w:cs="宋体"/>
          <w:b/>
          <w:color w:val="auto"/>
          <w:sz w:val="28"/>
          <w:szCs w:val="28"/>
          <w:highlight w:val="none"/>
          <w:lang w:eastAsia="zh-CN"/>
        </w:rPr>
        <w:t>十、</w:t>
      </w:r>
      <w:r>
        <w:rPr>
          <w:rFonts w:hint="eastAsia" w:ascii="宋体" w:hAnsi="宋体" w:eastAsia="宋体" w:cs="宋体"/>
          <w:b/>
          <w:color w:val="auto"/>
          <w:sz w:val="28"/>
          <w:szCs w:val="28"/>
          <w:highlight w:val="none"/>
        </w:rPr>
        <w:t>合同的变更</w:t>
      </w:r>
    </w:p>
    <w:p w14:paraId="42420A66">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.1乙方根据现场实际情况，确实需变更原合同约定的货物，乙方应预先提出变更清单对照表及其变更的理</w:t>
      </w:r>
      <w:r>
        <w:rPr>
          <w:rFonts w:hint="eastAsia" w:ascii="宋体" w:hAnsi="宋体" w:eastAsia="宋体" w:cs="宋体"/>
          <w:color w:val="auto"/>
          <w:sz w:val="28"/>
          <w:szCs w:val="28"/>
          <w:highlight w:val="none"/>
          <w:lang w:eastAsia="zh-CN"/>
        </w:rPr>
        <w:t>据</w:t>
      </w:r>
      <w:r>
        <w:rPr>
          <w:rFonts w:hint="eastAsia" w:ascii="宋体" w:hAnsi="宋体" w:eastAsia="宋体" w:cs="宋体"/>
          <w:color w:val="auto"/>
          <w:sz w:val="28"/>
          <w:szCs w:val="28"/>
          <w:highlight w:val="none"/>
        </w:rPr>
        <w:t>，经甲方确认后实施（双方签署的文件作为合同附件）。</w:t>
      </w:r>
    </w:p>
    <w:p w14:paraId="32B5C1E2">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.2无论乙方提供的货物是按原合同的要求或根据现场实际情况变更后的货物，乙方都不能免除对货物应承担的责任。</w:t>
      </w:r>
    </w:p>
    <w:p w14:paraId="72E0F8AD">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.3因甲方的原因变更合同的，甲方应书面通知乙方，双方协商后签署有关变更文件。如造成乙方损失的，由甲方承担。</w:t>
      </w:r>
    </w:p>
    <w:p w14:paraId="19B24B45">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.4甲方在工程施工中途，</w:t>
      </w:r>
      <w:r>
        <w:rPr>
          <w:rFonts w:hint="eastAsia" w:ascii="宋体" w:hAnsi="宋体" w:eastAsia="宋体" w:cs="宋体"/>
          <w:i w:val="0"/>
          <w:iCs w:val="0"/>
          <w:caps w:val="0"/>
          <w:color w:val="auto"/>
          <w:spacing w:val="0"/>
          <w:sz w:val="28"/>
          <w:szCs w:val="28"/>
          <w:highlight w:val="none"/>
          <w:shd w:val="clear" w:color="auto" w:fill="auto"/>
        </w:rPr>
        <w:t>无故或者恶意</w:t>
      </w:r>
      <w:r>
        <w:rPr>
          <w:rFonts w:hint="eastAsia" w:ascii="宋体" w:hAnsi="宋体" w:eastAsia="宋体" w:cs="宋体"/>
          <w:color w:val="auto"/>
          <w:sz w:val="28"/>
          <w:szCs w:val="28"/>
          <w:highlight w:val="none"/>
        </w:rPr>
        <w:t>变更合同内容以致造成乙方损失的，乙方有权要求甲方进行补偿或赔偿。</w:t>
      </w:r>
    </w:p>
    <w:p w14:paraId="72DA6415">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.5乙方根据现场施工情况，发现合同原计划或方案不尽合理的，应及时通知甲方，并采取必要的措施修正计划或方案，经双方协商后签署有关文件，方能继续下一阶段工作。</w:t>
      </w:r>
    </w:p>
    <w:p w14:paraId="2D62F8BC">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.6乙方在施工期间，发现甲方提供的施工现场情况与实际有不符的，应及时向甲方反映，并及时提出确保工程的顺利进行的应变方案。经双方协商签署有关文件后，继续下一阶段工作。</w:t>
      </w:r>
    </w:p>
    <w:p w14:paraId="5B3CEF57">
      <w:pPr>
        <w:keepNext w:val="0"/>
        <w:keepLines w:val="0"/>
        <w:pageBreakBefore w:val="0"/>
        <w:widowControl/>
        <w:tabs>
          <w:tab w:val="left" w:pos="360"/>
        </w:tabs>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.7当本合同项下货物数量发生变化时，乙方同意按以下办法处理：</w:t>
      </w:r>
    </w:p>
    <w:p w14:paraId="1EDC4D0E">
      <w:pPr>
        <w:keepNext w:val="0"/>
        <w:keepLines w:val="0"/>
        <w:pageBreakBefore w:val="0"/>
        <w:widowControl/>
        <w:tabs>
          <w:tab w:val="left" w:pos="360"/>
        </w:tabs>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（1）货物数量减少：按本合同相应的电梯的货物单价及减少数量计算扣减合同金额；</w:t>
      </w:r>
    </w:p>
    <w:p w14:paraId="510CE616">
      <w:pPr>
        <w:keepNext w:val="0"/>
        <w:keepLines w:val="0"/>
        <w:pageBreakBefore w:val="0"/>
        <w:widowControl/>
        <w:tabs>
          <w:tab w:val="left" w:pos="360"/>
        </w:tabs>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（2）货物数量增加：按照本合同项下同规格的电梯的货物单价及增加数量计算增加合同金额；</w:t>
      </w:r>
    </w:p>
    <w:p w14:paraId="73249A34">
      <w:pPr>
        <w:keepNext w:val="0"/>
        <w:keepLines w:val="0"/>
        <w:pageBreakBefore w:val="0"/>
        <w:widowControl/>
        <w:tabs>
          <w:tab w:val="left" w:pos="360"/>
        </w:tabs>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（3）如果增加的电梯规格不在原合同货物规格范围以内，则由双方协商确定。</w:t>
      </w:r>
    </w:p>
    <w:p w14:paraId="7CF6A123">
      <w:pPr>
        <w:pStyle w:val="10"/>
        <w:keepNext w:val="0"/>
        <w:keepLines w:val="0"/>
        <w:pageBreakBefore w:val="0"/>
        <w:kinsoku/>
        <w:wordWrap/>
        <w:overflowPunct/>
        <w:bidi w:val="0"/>
        <w:adjustRightInd/>
        <w:snapToGrid/>
        <w:spacing w:line="360" w:lineRule="auto"/>
        <w:ind w:firstLine="562" w:firstLineChars="200"/>
        <w:jc w:val="left"/>
        <w:textAlignment w:val="auto"/>
        <w:rPr>
          <w:rFonts w:hint="eastAsia" w:ascii="宋体" w:hAnsi="宋体" w:eastAsia="宋体" w:cs="宋体"/>
          <w:b/>
          <w:color w:val="auto"/>
          <w:sz w:val="28"/>
          <w:szCs w:val="28"/>
          <w:highlight w:val="none"/>
        </w:rPr>
      </w:pPr>
      <w:r>
        <w:rPr>
          <w:rFonts w:hint="eastAsia" w:hAnsi="宋体" w:eastAsia="宋体" w:cs="宋体"/>
          <w:b/>
          <w:color w:val="auto"/>
          <w:sz w:val="28"/>
          <w:szCs w:val="28"/>
          <w:highlight w:val="none"/>
          <w:lang w:eastAsia="zh-CN"/>
        </w:rPr>
        <w:t>十一、</w:t>
      </w:r>
      <w:r>
        <w:rPr>
          <w:rFonts w:hint="eastAsia" w:ascii="宋体" w:hAnsi="宋体" w:eastAsia="宋体" w:cs="宋体"/>
          <w:b/>
          <w:color w:val="auto"/>
          <w:sz w:val="28"/>
          <w:szCs w:val="28"/>
          <w:highlight w:val="none"/>
        </w:rPr>
        <w:t>纠纷解决</w:t>
      </w:r>
    </w:p>
    <w:p w14:paraId="490566F2">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.1凡与本合同有关规则引起的一切争议，甲乙双方应首先通过友好的协商解决，如经协商后仍不能达成协议时，争议应提交甲方所在地人民法院诉讼。</w:t>
      </w:r>
    </w:p>
    <w:p w14:paraId="556FF589">
      <w:pPr>
        <w:keepNext w:val="0"/>
        <w:keepLines w:val="0"/>
        <w:pageBreakBefore w:val="0"/>
        <w:kinsoku/>
        <w:wordWrap/>
        <w:overflowPunct/>
        <w:bidi w:val="0"/>
        <w:adjustRightInd/>
        <w:snapToGrid/>
        <w:spacing w:line="360" w:lineRule="auto"/>
        <w:ind w:right="-368" w:rightChars="-175"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.2在诉讼期间，除正在进行诉讼的部分外，本合同其它部分仍应继续执行。</w:t>
      </w:r>
    </w:p>
    <w:p w14:paraId="6F8FF7E9">
      <w:pPr>
        <w:keepNext w:val="0"/>
        <w:keepLines w:val="0"/>
        <w:pageBreakBefore w:val="0"/>
        <w:kinsoku/>
        <w:wordWrap/>
        <w:overflowPunct/>
        <w:bidi w:val="0"/>
        <w:adjustRightInd/>
        <w:snapToGrid/>
        <w:spacing w:line="360" w:lineRule="auto"/>
        <w:ind w:right="-368" w:rightChars="-175"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.3本合同按照中华人民共和国的法律进行解释。</w:t>
      </w:r>
    </w:p>
    <w:p w14:paraId="76699C21">
      <w:pPr>
        <w:pStyle w:val="10"/>
        <w:keepNext w:val="0"/>
        <w:keepLines w:val="0"/>
        <w:pageBreakBefore w:val="0"/>
        <w:kinsoku/>
        <w:wordWrap/>
        <w:overflowPunct/>
        <w:bidi w:val="0"/>
        <w:adjustRightInd/>
        <w:snapToGrid/>
        <w:spacing w:line="360" w:lineRule="auto"/>
        <w:ind w:firstLine="562" w:firstLineChars="200"/>
        <w:jc w:val="left"/>
        <w:textAlignment w:val="auto"/>
        <w:rPr>
          <w:rFonts w:hint="eastAsia" w:ascii="宋体" w:hAnsi="宋体" w:eastAsia="宋体" w:cs="宋体"/>
          <w:b/>
          <w:color w:val="auto"/>
          <w:sz w:val="28"/>
          <w:szCs w:val="28"/>
          <w:highlight w:val="none"/>
        </w:rPr>
      </w:pPr>
      <w:r>
        <w:rPr>
          <w:rFonts w:hint="eastAsia" w:hAnsi="宋体" w:eastAsia="宋体" w:cs="宋体"/>
          <w:b/>
          <w:color w:val="auto"/>
          <w:sz w:val="28"/>
          <w:szCs w:val="28"/>
          <w:highlight w:val="none"/>
          <w:lang w:eastAsia="zh-CN"/>
        </w:rPr>
        <w:t>十二、</w:t>
      </w:r>
      <w:r>
        <w:rPr>
          <w:rFonts w:hint="eastAsia" w:ascii="宋体" w:hAnsi="宋体" w:eastAsia="宋体" w:cs="宋体"/>
          <w:b/>
          <w:color w:val="auto"/>
          <w:sz w:val="28"/>
          <w:szCs w:val="28"/>
          <w:highlight w:val="none"/>
        </w:rPr>
        <w:t>不可抗力</w:t>
      </w:r>
    </w:p>
    <w:p w14:paraId="52FD1A8A">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本合同下的不可抗力是指：战争、类似战争行为、敌对行为、武装冲突、恐怖活动、谋反、政变、罢工、暴动、民众骚乱、政府</w:t>
      </w:r>
      <w:r>
        <w:rPr>
          <w:rFonts w:hint="eastAsia" w:ascii="宋体" w:hAnsi="宋体" w:cs="宋体"/>
          <w:color w:val="auto"/>
          <w:sz w:val="28"/>
          <w:szCs w:val="28"/>
          <w:highlight w:val="none"/>
          <w:lang w:val="en-US" w:eastAsia="zh-CN"/>
        </w:rPr>
        <w:t>政策</w:t>
      </w:r>
      <w:r>
        <w:rPr>
          <w:rFonts w:hint="eastAsia" w:ascii="宋体" w:hAnsi="宋体" w:eastAsia="宋体" w:cs="宋体"/>
          <w:color w:val="auto"/>
          <w:sz w:val="28"/>
          <w:szCs w:val="28"/>
          <w:highlight w:val="none"/>
        </w:rPr>
        <w:t>、水灾、冰雹、地震、海啸、台风及其它经双方一致同意的事件。</w:t>
      </w:r>
    </w:p>
    <w:p w14:paraId="613503C1">
      <w:pPr>
        <w:pStyle w:val="10"/>
        <w:keepNext w:val="0"/>
        <w:keepLines w:val="0"/>
        <w:pageBreakBefore w:val="0"/>
        <w:kinsoku/>
        <w:wordWrap/>
        <w:overflowPunct/>
        <w:bidi w:val="0"/>
        <w:adjustRightInd/>
        <w:snapToGrid/>
        <w:spacing w:line="360" w:lineRule="auto"/>
        <w:ind w:firstLine="562" w:firstLineChars="200"/>
        <w:jc w:val="left"/>
        <w:textAlignment w:val="auto"/>
        <w:rPr>
          <w:rFonts w:hint="eastAsia" w:ascii="宋体" w:hAnsi="宋体" w:eastAsia="宋体" w:cs="宋体"/>
          <w:b/>
          <w:color w:val="auto"/>
          <w:sz w:val="28"/>
          <w:szCs w:val="28"/>
          <w:highlight w:val="none"/>
        </w:rPr>
      </w:pPr>
      <w:r>
        <w:rPr>
          <w:rFonts w:hint="eastAsia" w:hAnsi="宋体" w:eastAsia="宋体" w:cs="宋体"/>
          <w:b/>
          <w:color w:val="auto"/>
          <w:sz w:val="28"/>
          <w:szCs w:val="28"/>
          <w:highlight w:val="none"/>
          <w:lang w:eastAsia="zh-CN"/>
        </w:rPr>
        <w:t>十三、</w:t>
      </w:r>
      <w:r>
        <w:rPr>
          <w:rFonts w:hint="eastAsia" w:ascii="宋体" w:hAnsi="宋体" w:eastAsia="宋体" w:cs="宋体"/>
          <w:b/>
          <w:color w:val="auto"/>
          <w:sz w:val="28"/>
          <w:szCs w:val="28"/>
          <w:highlight w:val="none"/>
        </w:rPr>
        <w:t>违约条款</w:t>
      </w:r>
    </w:p>
    <w:p w14:paraId="529FD178">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.1如乙方未按甲方书面通知的供货时间供货，提前供货的保管责任由乙方承担，且甲方有权不提供相关的场地与库房。乙方</w:t>
      </w:r>
      <w:r>
        <w:rPr>
          <w:rFonts w:hint="eastAsia" w:ascii="宋体" w:hAnsi="宋体" w:eastAsia="宋体" w:cs="宋体"/>
          <w:color w:val="auto"/>
          <w:kern w:val="0"/>
          <w:sz w:val="28"/>
          <w:szCs w:val="28"/>
          <w:highlight w:val="none"/>
        </w:rPr>
        <w:t>逾期供货的，违约金按该批次</w:t>
      </w:r>
      <w:r>
        <w:rPr>
          <w:rFonts w:hint="eastAsia" w:ascii="宋体" w:hAnsi="宋体" w:cs="宋体"/>
          <w:b w:val="0"/>
          <w:bCs/>
          <w:color w:val="auto"/>
          <w:sz w:val="28"/>
          <w:szCs w:val="28"/>
          <w:highlight w:val="none"/>
          <w:lang w:eastAsia="zh-CN"/>
        </w:rPr>
        <w:t>电梯设备费</w:t>
      </w:r>
      <w:r>
        <w:rPr>
          <w:rFonts w:hint="eastAsia" w:ascii="宋体" w:hAnsi="宋体" w:eastAsia="宋体" w:cs="宋体"/>
          <w:color w:val="auto"/>
          <w:kern w:val="0"/>
          <w:sz w:val="28"/>
          <w:szCs w:val="28"/>
          <w:highlight w:val="none"/>
        </w:rPr>
        <w:t>每日万分之五计算，</w:t>
      </w:r>
      <w:r>
        <w:rPr>
          <w:rFonts w:hint="eastAsia" w:ascii="宋体" w:hAnsi="宋体" w:eastAsia="宋体" w:cs="宋体"/>
          <w:color w:val="auto"/>
          <w:sz w:val="28"/>
          <w:szCs w:val="28"/>
          <w:highlight w:val="none"/>
        </w:rPr>
        <w:t>不足一天的以一天计。逾期三十天后货物仍未到场的，则甲方有权解除合同，而乙方除向甲方支付违约金（计付时间由乙方收到预付款日起至支付违约金日止）外，仍须立即按双倍于已付款金额计得的赔偿金支付给甲方，如上述违约金与赔偿金金额仍不足以补偿甲方因乙方违约造成的损失，甲方有权进一步向乙方提出索赔。</w:t>
      </w:r>
    </w:p>
    <w:p w14:paraId="7D2DED18">
      <w:pPr>
        <w:pStyle w:val="2"/>
        <w:keepNext w:val="0"/>
        <w:keepLines w:val="0"/>
        <w:pageBreakBefore w:val="0"/>
        <w:kinsoku/>
        <w:wordWrap/>
        <w:overflowPunct/>
        <w:bidi w:val="0"/>
        <w:adjustRightInd/>
        <w:snapToGrid/>
        <w:spacing w:line="360" w:lineRule="auto"/>
        <w:ind w:firstLine="560"/>
        <w:jc w:val="left"/>
        <w:textAlignment w:val="auto"/>
        <w:rPr>
          <w:rFonts w:hint="default" w:eastAsia="宋体"/>
          <w:color w:val="auto"/>
          <w:highlight w:val="none"/>
          <w:lang w:val="en-US" w:eastAsia="zh-CN"/>
        </w:rPr>
      </w:pPr>
      <w:r>
        <w:rPr>
          <w:rFonts w:hint="eastAsia" w:ascii="宋体" w:hAnsi="宋体" w:eastAsia="宋体" w:cs="宋体"/>
          <w:color w:val="auto"/>
          <w:sz w:val="28"/>
          <w:szCs w:val="28"/>
          <w:highlight w:val="none"/>
          <w:lang w:val="en-US" w:eastAsia="zh-CN"/>
        </w:rPr>
        <w:t>13.2</w:t>
      </w:r>
      <w:r>
        <w:rPr>
          <w:rFonts w:hint="eastAsia" w:ascii="宋体" w:hAnsi="宋体" w:eastAsia="宋体" w:cs="宋体"/>
          <w:color w:val="auto"/>
          <w:sz w:val="28"/>
          <w:szCs w:val="28"/>
          <w:highlight w:val="none"/>
        </w:rPr>
        <w:t>如乙方</w:t>
      </w:r>
      <w:r>
        <w:rPr>
          <w:rFonts w:hint="eastAsia" w:ascii="宋体" w:hAnsi="宋体" w:cs="宋体"/>
          <w:color w:val="auto"/>
          <w:sz w:val="28"/>
          <w:szCs w:val="28"/>
          <w:highlight w:val="none"/>
          <w:lang w:eastAsia="zh-CN"/>
        </w:rPr>
        <w:t>不能</w:t>
      </w:r>
      <w:r>
        <w:rPr>
          <w:rFonts w:hint="eastAsia" w:ascii="宋体" w:hAnsi="宋体" w:cs="宋体"/>
          <w:color w:val="auto"/>
          <w:sz w:val="28"/>
          <w:szCs w:val="28"/>
          <w:highlight w:val="none"/>
          <w:lang w:val="en-US" w:eastAsia="zh-CN"/>
        </w:rPr>
        <w:t>按照合同约定的时间节点</w:t>
      </w:r>
      <w:r>
        <w:rPr>
          <w:rFonts w:hint="eastAsia" w:ascii="宋体" w:hAnsi="宋体" w:eastAsia="宋体" w:cs="宋体"/>
          <w:color w:val="auto"/>
          <w:sz w:val="28"/>
          <w:szCs w:val="28"/>
          <w:highlight w:val="none"/>
        </w:rPr>
        <w:t>完成电梯设备</w:t>
      </w:r>
      <w:r>
        <w:rPr>
          <w:rFonts w:hint="eastAsia" w:ascii="宋体" w:hAnsi="宋体" w:cs="宋体"/>
          <w:color w:val="auto"/>
          <w:sz w:val="28"/>
          <w:szCs w:val="28"/>
          <w:highlight w:val="none"/>
          <w:lang w:val="en-US" w:eastAsia="zh-CN"/>
        </w:rPr>
        <w:t>运输、</w:t>
      </w:r>
      <w:r>
        <w:rPr>
          <w:rFonts w:hint="eastAsia" w:ascii="宋体" w:hAnsi="宋体" w:eastAsia="宋体" w:cs="宋体"/>
          <w:color w:val="auto"/>
          <w:sz w:val="28"/>
          <w:szCs w:val="28"/>
          <w:highlight w:val="none"/>
        </w:rPr>
        <w:t>安装或不能按时完工</w:t>
      </w:r>
      <w:r>
        <w:rPr>
          <w:rFonts w:hint="eastAsia" w:ascii="宋体" w:hAnsi="宋体" w:eastAsia="宋体" w:cs="宋体"/>
          <w:color w:val="auto"/>
          <w:sz w:val="28"/>
          <w:szCs w:val="28"/>
          <w:highlight w:val="none"/>
          <w:lang w:eastAsia="zh-CN"/>
        </w:rPr>
        <w:t>并</w:t>
      </w:r>
      <w:r>
        <w:rPr>
          <w:rFonts w:hint="eastAsia" w:ascii="宋体" w:hAnsi="宋体" w:eastAsia="宋体" w:cs="宋体"/>
          <w:color w:val="auto"/>
          <w:sz w:val="28"/>
          <w:szCs w:val="28"/>
          <w:highlight w:val="none"/>
        </w:rPr>
        <w:t>通过验收，不能取得电梯设备使用许可证，则乙方应向甲方支付违约金。具体计付方法为：每延误一天，违约金为该批次</w:t>
      </w:r>
      <w:r>
        <w:rPr>
          <w:rFonts w:hint="eastAsia" w:ascii="宋体" w:hAnsi="宋体" w:cs="宋体"/>
          <w:b w:val="0"/>
          <w:bCs/>
          <w:color w:val="auto"/>
          <w:sz w:val="28"/>
          <w:szCs w:val="28"/>
          <w:highlight w:val="none"/>
          <w:lang w:eastAsia="zh-CN"/>
        </w:rPr>
        <w:t>电梯安装费</w:t>
      </w:r>
      <w:r>
        <w:rPr>
          <w:rFonts w:hint="eastAsia" w:ascii="宋体" w:hAnsi="宋体" w:eastAsia="宋体" w:cs="宋体"/>
          <w:color w:val="auto"/>
          <w:sz w:val="28"/>
          <w:szCs w:val="28"/>
          <w:highlight w:val="none"/>
        </w:rPr>
        <w:t>的千分之五，不足一天的以一天计。如超过合同规定交付期限三十天后乙方仍不能通过验收，则甲方有权解除合同，而乙方除向甲方支付违约金（计付时间由乙方收到预付款日起至支付违约金日止）外，仍须立即按双倍于已付款金额计得的赔偿金支付给甲方，如上述违约金与赔偿金金额仍不足以补偿甲方因乙方违约造成的损失，甲方有权进一步向乙方提出索赔。</w:t>
      </w:r>
    </w:p>
    <w:p w14:paraId="1E7EF738">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.2甲方未按合同约定的付款方式付款，</w:t>
      </w:r>
      <w:r>
        <w:rPr>
          <w:rFonts w:hint="eastAsia" w:ascii="宋体" w:hAnsi="宋体" w:cs="宋体"/>
          <w:color w:val="auto"/>
          <w:sz w:val="28"/>
          <w:szCs w:val="28"/>
          <w:highlight w:val="none"/>
          <w:lang w:val="en-US" w:eastAsia="zh-CN"/>
        </w:rPr>
        <w:t>逾期30日后，</w:t>
      </w:r>
      <w:r>
        <w:rPr>
          <w:rFonts w:hint="eastAsia" w:ascii="宋体" w:hAnsi="宋体" w:eastAsia="宋体" w:cs="宋体"/>
          <w:color w:val="auto"/>
          <w:sz w:val="28"/>
          <w:szCs w:val="28"/>
          <w:highlight w:val="none"/>
        </w:rPr>
        <w:t>每逾期一天，按应付未付款项金额的万分之五支付违约金，工期顺延。</w:t>
      </w:r>
    </w:p>
    <w:p w14:paraId="26AF4EC3">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.3如乙方违反了本合同第</w:t>
      </w:r>
      <w:r>
        <w:rPr>
          <w:rFonts w:hint="eastAsia" w:ascii="宋体" w:hAnsi="宋体" w:eastAsia="宋体" w:cs="宋体"/>
          <w:color w:val="auto"/>
          <w:sz w:val="28"/>
          <w:szCs w:val="28"/>
          <w:highlight w:val="none"/>
          <w:lang w:eastAsia="zh-CN"/>
        </w:rPr>
        <w:t>十</w:t>
      </w:r>
      <w:r>
        <w:rPr>
          <w:rFonts w:hint="eastAsia" w:ascii="宋体" w:hAnsi="宋体" w:eastAsia="宋体" w:cs="宋体"/>
          <w:color w:val="auto"/>
          <w:sz w:val="28"/>
          <w:szCs w:val="28"/>
          <w:highlight w:val="none"/>
        </w:rPr>
        <w:t>条的规定或将已验收的产品</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包括零部件</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擅自更换的，经甲方发现后，乙方除按符合验收清单的产品安装外，甲方对乙方进行</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000元/次的罚款。同时，乙方仍要承担由此造成的经济损失责任。</w:t>
      </w:r>
    </w:p>
    <w:p w14:paraId="437C94E8">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.4乙方违反本合同的保密约定，要承担违约责任，甲方有权通过任何合理方式追究乙方的责任并终止</w:t>
      </w:r>
      <w:r>
        <w:rPr>
          <w:rFonts w:hint="eastAsia" w:ascii="宋体" w:hAnsi="宋体" w:cs="宋体"/>
          <w:color w:val="auto"/>
          <w:sz w:val="28"/>
          <w:szCs w:val="28"/>
          <w:highlight w:val="none"/>
          <w:lang w:eastAsia="zh-CN"/>
        </w:rPr>
        <w:t>本</w:t>
      </w:r>
      <w:r>
        <w:rPr>
          <w:rFonts w:hint="eastAsia" w:ascii="宋体" w:hAnsi="宋体" w:eastAsia="宋体" w:cs="宋体"/>
          <w:color w:val="auto"/>
          <w:sz w:val="28"/>
          <w:szCs w:val="28"/>
          <w:highlight w:val="none"/>
        </w:rPr>
        <w:t>服务合同。造成损失的，甲方有权要求乙方进行赔偿并追究乙方其他的法律责任。</w:t>
      </w:r>
    </w:p>
    <w:p w14:paraId="029BC454">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pacing w:val="-6"/>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.5合同生效后，甲乙双方任何一方无故终止合同的，须向另一方偿</w:t>
      </w:r>
      <w:r>
        <w:rPr>
          <w:rFonts w:hint="eastAsia" w:ascii="宋体" w:hAnsi="宋体" w:eastAsia="宋体" w:cs="宋体"/>
          <w:color w:val="auto"/>
          <w:spacing w:val="-6"/>
          <w:sz w:val="28"/>
          <w:szCs w:val="28"/>
          <w:highlight w:val="none"/>
        </w:rPr>
        <w:t>付已付合同款50%的违约金。</w:t>
      </w:r>
      <w:r>
        <w:rPr>
          <w:rFonts w:hint="eastAsia" w:ascii="宋体" w:hAnsi="宋体" w:eastAsia="宋体" w:cs="宋体"/>
          <w:color w:val="auto"/>
          <w:spacing w:val="-6"/>
          <w:sz w:val="28"/>
          <w:szCs w:val="28"/>
          <w:highlight w:val="none"/>
          <w:lang w:eastAsia="zh-CN"/>
        </w:rPr>
        <w:t>如乙方无故终止合同的，还需退还已收甲方款项。</w:t>
      </w:r>
    </w:p>
    <w:p w14:paraId="6DB2EF4D">
      <w:pPr>
        <w:pStyle w:val="10"/>
        <w:keepNext w:val="0"/>
        <w:keepLines w:val="0"/>
        <w:pageBreakBefore w:val="0"/>
        <w:kinsoku/>
        <w:wordWrap/>
        <w:overflowPunct/>
        <w:bidi w:val="0"/>
        <w:adjustRightInd/>
        <w:snapToGrid/>
        <w:spacing w:line="360" w:lineRule="auto"/>
        <w:ind w:firstLine="562" w:firstLineChars="200"/>
        <w:jc w:val="left"/>
        <w:textAlignment w:val="auto"/>
        <w:rPr>
          <w:rFonts w:hint="eastAsia" w:ascii="宋体" w:hAnsi="宋体" w:eastAsia="宋体" w:cs="宋体"/>
          <w:b/>
          <w:color w:val="auto"/>
          <w:sz w:val="28"/>
          <w:szCs w:val="28"/>
          <w:highlight w:val="none"/>
        </w:rPr>
      </w:pPr>
      <w:r>
        <w:rPr>
          <w:rFonts w:hint="eastAsia" w:hAnsi="宋体" w:eastAsia="宋体" w:cs="宋体"/>
          <w:b/>
          <w:color w:val="auto"/>
          <w:sz w:val="28"/>
          <w:szCs w:val="28"/>
          <w:highlight w:val="none"/>
          <w:lang w:eastAsia="zh-CN"/>
        </w:rPr>
        <w:t>十四、</w:t>
      </w:r>
      <w:r>
        <w:rPr>
          <w:rFonts w:hint="eastAsia" w:ascii="宋体" w:hAnsi="宋体" w:eastAsia="宋体" w:cs="宋体"/>
          <w:b/>
          <w:color w:val="auto"/>
          <w:sz w:val="28"/>
          <w:szCs w:val="28"/>
          <w:highlight w:val="none"/>
        </w:rPr>
        <w:t>争议索赔</w:t>
      </w:r>
    </w:p>
    <w:p w14:paraId="29C3E6F0">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乙方同意甲方选择下述方法解决索赔事宜：</w:t>
      </w:r>
    </w:p>
    <w:p w14:paraId="66423190">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1乙方所提供的设备与合同要求不符的，甲方有权拒收货物。乙方应将被拒收的货物的金额以合同规定的同类货币退给甲方，乙方负担由此发生的一切损失和费用，包括银行利息、运输和保险费、检验费、仓储和装卸费以及为保管和保护被拒绝货物所需要的其它必要费用。</w:t>
      </w:r>
    </w:p>
    <w:p w14:paraId="6448146F">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.2如货物到达后发现有受损和有疵劣，根据货物的疵劣和受损程度以及甲方遭受损失的金额，甲方可选择降低货物价格，或要求重新更换货物，相关费用和损失由乙方承担。</w:t>
      </w:r>
    </w:p>
    <w:p w14:paraId="46E185C4">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.3对有缺陷的电梯及其附件，乙方应及时更换，以达到合同规定的规格、质量和性能，</w:t>
      </w:r>
      <w:bookmarkStart w:id="15" w:name="OLE_LINK30"/>
      <w:r>
        <w:rPr>
          <w:rFonts w:hint="eastAsia" w:ascii="宋体" w:hAnsi="宋体" w:eastAsia="宋体" w:cs="宋体"/>
          <w:color w:val="auto"/>
          <w:sz w:val="28"/>
          <w:szCs w:val="28"/>
          <w:highlight w:val="none"/>
        </w:rPr>
        <w:t>同时乙方应相应顺延被更换货物的质保期。</w:t>
      </w:r>
      <w:bookmarkEnd w:id="15"/>
    </w:p>
    <w:p w14:paraId="71BFF442">
      <w:pPr>
        <w:spacing w:line="360" w:lineRule="auto"/>
        <w:ind w:firstLine="560" w:firstLineChars="200"/>
        <w:jc w:val="left"/>
        <w:rPr>
          <w:rFonts w:hint="eastAsia"/>
          <w:color w:val="auto"/>
          <w:highlight w:val="none"/>
        </w:rPr>
      </w:pPr>
      <w:r>
        <w:rPr>
          <w:rFonts w:hint="eastAsia" w:ascii="宋体" w:hAnsi="宋体" w:eastAsia="宋体" w:cs="宋体"/>
          <w:color w:val="auto"/>
          <w:sz w:val="28"/>
          <w:szCs w:val="28"/>
          <w:highlight w:val="none"/>
        </w:rPr>
        <w:t>若</w:t>
      </w:r>
      <w:r>
        <w:rPr>
          <w:rFonts w:hint="eastAsia" w:ascii="宋体" w:hAnsi="宋体" w:cs="宋体"/>
          <w:color w:val="auto"/>
          <w:sz w:val="28"/>
          <w:szCs w:val="28"/>
          <w:highlight w:val="none"/>
          <w:lang w:val="en-US" w:eastAsia="zh-CN"/>
        </w:rPr>
        <w:t>货物</w:t>
      </w:r>
      <w:r>
        <w:rPr>
          <w:rFonts w:hint="eastAsia" w:ascii="宋体" w:hAnsi="宋体" w:eastAsia="宋体" w:cs="宋体"/>
          <w:color w:val="auto"/>
          <w:sz w:val="28"/>
          <w:szCs w:val="28"/>
          <w:highlight w:val="none"/>
        </w:rPr>
        <w:t>存在根本性缺陷（无法实现合同目的</w:t>
      </w:r>
      <w:r>
        <w:rPr>
          <w:rFonts w:hint="eastAsia" w:ascii="宋体" w:hAnsi="宋体" w:cs="宋体"/>
          <w:color w:val="auto"/>
          <w:sz w:val="28"/>
          <w:szCs w:val="28"/>
          <w:highlight w:val="none"/>
          <w:lang w:val="en-US" w:eastAsia="zh-CN"/>
        </w:rPr>
        <w:t>或货物质量和投标文件与约定不符合</w:t>
      </w:r>
      <w:r>
        <w:rPr>
          <w:rFonts w:hint="eastAsia" w:ascii="宋体" w:hAnsi="宋体" w:eastAsia="宋体" w:cs="宋体"/>
          <w:color w:val="auto"/>
          <w:sz w:val="28"/>
          <w:szCs w:val="28"/>
          <w:highlight w:val="none"/>
        </w:rPr>
        <w:t>），甲方有权拒收</w:t>
      </w:r>
      <w:r>
        <w:rPr>
          <w:rFonts w:hint="eastAsia" w:ascii="宋体" w:hAnsi="宋体" w:eastAsia="宋体" w:cs="宋体"/>
          <w:color w:val="auto"/>
          <w:sz w:val="28"/>
          <w:szCs w:val="28"/>
          <w:highlight w:val="none"/>
          <w:lang w:val="en-US" w:eastAsia="zh-CN"/>
        </w:rPr>
        <w:t>并且</w:t>
      </w:r>
      <w:r>
        <w:rPr>
          <w:rFonts w:hint="eastAsia" w:ascii="宋体" w:hAnsi="宋体" w:eastAsia="宋体" w:cs="宋体"/>
          <w:color w:val="auto"/>
          <w:sz w:val="28"/>
          <w:szCs w:val="28"/>
          <w:highlight w:val="none"/>
        </w:rPr>
        <w:t>解除合同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乙方承担一切费用和风险并负担甲方遭受的一切损失</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甲方还有权主张相当于合同总价款30%的违约金。</w:t>
      </w:r>
    </w:p>
    <w:p w14:paraId="6C495D8F">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.4如经乙方更换，货物仍不能达到合同约定标准的，甲方有权退货</w:t>
      </w:r>
      <w:r>
        <w:rPr>
          <w:rFonts w:hint="eastAsia" w:ascii="宋体" w:hAnsi="宋体" w:cs="宋体"/>
          <w:color w:val="auto"/>
          <w:sz w:val="28"/>
          <w:szCs w:val="28"/>
          <w:highlight w:val="none"/>
          <w:lang w:val="en-US" w:eastAsia="zh-CN"/>
        </w:rPr>
        <w:t>并且</w:t>
      </w:r>
      <w:r>
        <w:rPr>
          <w:rFonts w:hint="eastAsia" w:ascii="宋体" w:hAnsi="宋体" w:eastAsia="宋体" w:cs="宋体"/>
          <w:color w:val="auto"/>
          <w:sz w:val="28"/>
          <w:szCs w:val="28"/>
          <w:highlight w:val="none"/>
        </w:rPr>
        <w:t>解除合同，要求乙方退回全部货款，并赔偿甲方因此遭受的损失</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甲方还有权主张相当于合同总价款30%的违约金</w:t>
      </w:r>
      <w:r>
        <w:rPr>
          <w:rFonts w:hint="eastAsia" w:ascii="宋体" w:hAnsi="宋体" w:eastAsia="宋体" w:cs="宋体"/>
          <w:color w:val="auto"/>
          <w:sz w:val="28"/>
          <w:szCs w:val="28"/>
          <w:highlight w:val="none"/>
        </w:rPr>
        <w:t>。</w:t>
      </w:r>
    </w:p>
    <w:p w14:paraId="0D850434">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5如果乙方在收到索赔通知后十天内未作答复，上述索赔应视为已被乙方接受。如乙方未能在乙方收到索赔通知后十天内或征得甲方同意的延长期限内，按照甲方选择的方法解决索赔事宜，甲方将有权从预付货款或从乙方开具的履约保证金中扣回索赔金额，同时保留进一步要求索赔的权利。</w:t>
      </w:r>
    </w:p>
    <w:p w14:paraId="08A1243E">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.6事故索赔：凡与乙方或其分包商为本合同目的而雇佣的任何人员的伤亡有关而导致的所有损失、开支或索赔，乙方应对之负责并保证甲方免于上述损失、开支或赔偿。</w:t>
      </w:r>
    </w:p>
    <w:p w14:paraId="326F2B2B">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.7因货物的质量问题</w:t>
      </w:r>
      <w:r>
        <w:rPr>
          <w:rFonts w:hint="eastAsia" w:ascii="宋体" w:hAnsi="宋体" w:eastAsia="宋体" w:cs="宋体"/>
          <w:color w:val="auto"/>
          <w:kern w:val="0"/>
          <w:sz w:val="28"/>
          <w:szCs w:val="28"/>
          <w:highlight w:val="none"/>
          <w:lang w:eastAsia="zh-CN"/>
        </w:rPr>
        <w:t>或</w:t>
      </w:r>
      <w:r>
        <w:rPr>
          <w:rFonts w:hint="eastAsia" w:ascii="宋体" w:hAnsi="宋体" w:eastAsia="宋体" w:cs="宋体"/>
          <w:color w:val="auto"/>
          <w:kern w:val="0"/>
          <w:sz w:val="28"/>
          <w:szCs w:val="28"/>
          <w:highlight w:val="none"/>
        </w:rPr>
        <w:t>安装施工质量问题发生争议，由广州市质量技术监督局或其指定的质量鉴定单位进行质量鉴定。货物质量</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工程质量符合标准的，鉴定费由甲方承担；货物质量</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工程质量不符合标准的，鉴定费由乙方承担。</w:t>
      </w:r>
    </w:p>
    <w:p w14:paraId="63C1BBF1">
      <w:pPr>
        <w:pStyle w:val="2"/>
        <w:keepNext w:val="0"/>
        <w:keepLines w:val="0"/>
        <w:pageBreakBefore w:val="0"/>
        <w:kinsoku/>
        <w:wordWrap/>
        <w:overflowPunct/>
        <w:bidi w:val="0"/>
        <w:adjustRightInd/>
        <w:snapToGrid/>
        <w:spacing w:line="360" w:lineRule="auto"/>
        <w:ind w:firstLine="560" w:firstLineChars="200"/>
        <w:jc w:val="both"/>
        <w:textAlignment w:val="auto"/>
        <w:rPr>
          <w:rFonts w:hint="eastAsia" w:ascii="宋体" w:hAnsi="宋体" w:eastAsia="宋体" w:cs="宋体"/>
          <w:color w:val="auto"/>
          <w:kern w:val="0"/>
          <w:szCs w:val="28"/>
          <w:highlight w:val="none"/>
          <w:lang w:val="en-US" w:eastAsia="zh-CN"/>
        </w:rPr>
      </w:pPr>
      <w:r>
        <w:rPr>
          <w:rFonts w:hint="eastAsia" w:ascii="宋体" w:hAnsi="宋体" w:eastAsia="宋体" w:cs="宋体"/>
          <w:color w:val="auto"/>
          <w:kern w:val="0"/>
          <w:sz w:val="28"/>
          <w:szCs w:val="28"/>
          <w:highlight w:val="none"/>
          <w:lang w:val="en-US" w:eastAsia="zh-CN"/>
        </w:rPr>
        <w:t>14.8</w:t>
      </w:r>
      <w:r>
        <w:rPr>
          <w:rFonts w:hint="eastAsia" w:ascii="宋体" w:hAnsi="宋体" w:eastAsia="宋体" w:cs="宋体"/>
          <w:color w:val="auto"/>
          <w:kern w:val="0"/>
          <w:sz w:val="28"/>
          <w:szCs w:val="28"/>
          <w:highlight w:val="none"/>
        </w:rPr>
        <w:t>本合同发生争议，由双方协商解决，协商不成时</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向甲方所在地人民法院提起诉讼。</w:t>
      </w:r>
    </w:p>
    <w:p w14:paraId="58850078">
      <w:pPr>
        <w:pStyle w:val="10"/>
        <w:keepNext w:val="0"/>
        <w:keepLines w:val="0"/>
        <w:pageBreakBefore w:val="0"/>
        <w:kinsoku/>
        <w:wordWrap/>
        <w:overflowPunct/>
        <w:bidi w:val="0"/>
        <w:adjustRightInd/>
        <w:snapToGrid/>
        <w:spacing w:line="360" w:lineRule="auto"/>
        <w:ind w:firstLine="562" w:firstLineChars="200"/>
        <w:jc w:val="left"/>
        <w:textAlignment w:val="auto"/>
        <w:rPr>
          <w:rFonts w:hint="eastAsia" w:ascii="宋体" w:hAnsi="宋体" w:eastAsia="宋体" w:cs="宋体"/>
          <w:b/>
          <w:color w:val="auto"/>
          <w:sz w:val="28"/>
          <w:szCs w:val="28"/>
          <w:highlight w:val="none"/>
        </w:rPr>
      </w:pPr>
      <w:r>
        <w:rPr>
          <w:rFonts w:hint="eastAsia" w:hAnsi="宋体" w:eastAsia="宋体" w:cs="宋体"/>
          <w:b/>
          <w:color w:val="auto"/>
          <w:sz w:val="28"/>
          <w:szCs w:val="28"/>
          <w:highlight w:val="none"/>
          <w:lang w:eastAsia="zh-CN"/>
        </w:rPr>
        <w:t>十五、</w:t>
      </w:r>
      <w:r>
        <w:rPr>
          <w:rFonts w:hint="eastAsia" w:ascii="宋体" w:hAnsi="宋体" w:eastAsia="宋体" w:cs="宋体"/>
          <w:b/>
          <w:color w:val="auto"/>
          <w:sz w:val="28"/>
          <w:szCs w:val="28"/>
          <w:highlight w:val="none"/>
        </w:rPr>
        <w:t>产权与风险转移</w:t>
      </w:r>
    </w:p>
    <w:p w14:paraId="54D21CBA">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.1货物的产权自政府部门验收合格取得《广州市特种设备使用登记证》后并经双方书面移交完毕由乙方转移至甲方。</w:t>
      </w:r>
    </w:p>
    <w:p w14:paraId="442C618B">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.2货物损坏、灭失</w:t>
      </w:r>
      <w:r>
        <w:rPr>
          <w:rFonts w:hint="eastAsia" w:ascii="宋体" w:hAnsi="宋体" w:eastAsia="宋体" w:cs="宋体"/>
          <w:i w:val="0"/>
          <w:iCs w:val="0"/>
          <w:caps w:val="0"/>
          <w:color w:val="auto"/>
          <w:spacing w:val="0"/>
          <w:sz w:val="28"/>
          <w:szCs w:val="28"/>
          <w:highlight w:val="none"/>
          <w:shd w:val="clear" w:color="auto" w:fill="auto"/>
        </w:rPr>
        <w:t>等一切风险和费用</w:t>
      </w:r>
      <w:r>
        <w:rPr>
          <w:rFonts w:hint="eastAsia" w:ascii="宋体" w:hAnsi="宋体" w:eastAsia="宋体" w:cs="宋体"/>
          <w:color w:val="auto"/>
          <w:sz w:val="28"/>
          <w:szCs w:val="28"/>
          <w:highlight w:val="none"/>
        </w:rPr>
        <w:t>在电梯经政府部门验收合格取得《广州市特种设备使用登记证》后并经双方书面移交完毕由乙方转移至甲方。但不排除在整个安装调试期间，设备部件（含货物）由乙方或乙方指定的安装单位承担的保管责任。</w:t>
      </w:r>
    </w:p>
    <w:p w14:paraId="46A9B52C">
      <w:pPr>
        <w:keepNext w:val="0"/>
        <w:keepLines w:val="0"/>
        <w:pageBreakBefore w:val="0"/>
        <w:kinsoku/>
        <w:wordWrap/>
        <w:overflowPunct/>
        <w:bidi w:val="0"/>
        <w:adjustRightInd/>
        <w:snapToGrid/>
        <w:spacing w:line="360" w:lineRule="auto"/>
        <w:ind w:right="-227" w:rightChars="-108" w:firstLine="560" w:firstLineChars="200"/>
        <w:jc w:val="left"/>
        <w:textAlignment w:val="auto"/>
        <w:rPr>
          <w:rFonts w:hint="eastAsia" w:ascii="宋体" w:hAnsi="宋体" w:eastAsia="宋体" w:cs="宋体"/>
          <w:color w:val="auto"/>
          <w:spacing w:val="-6"/>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.3</w:t>
      </w:r>
      <w:r>
        <w:rPr>
          <w:rFonts w:hint="eastAsia" w:ascii="宋体" w:hAnsi="宋体" w:eastAsia="宋体" w:cs="宋体"/>
          <w:color w:val="auto"/>
          <w:spacing w:val="-6"/>
          <w:sz w:val="28"/>
          <w:szCs w:val="28"/>
          <w:highlight w:val="none"/>
        </w:rPr>
        <w:t>在拒收情况下，或者解除合同时，货物毁损、灭失的风险由乙方承担。</w:t>
      </w:r>
    </w:p>
    <w:p w14:paraId="5454A0D2">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.4 产权和风险的转移，不影响因乙方不按约定履行义务时，甲方要求其承担违约责任的权利。</w:t>
      </w:r>
    </w:p>
    <w:p w14:paraId="20F670E2">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 xml:space="preserve">.5 </w:t>
      </w:r>
      <w:r>
        <w:rPr>
          <w:rFonts w:hint="eastAsia" w:ascii="宋体" w:hAnsi="宋体" w:eastAsia="宋体" w:cs="宋体"/>
          <w:i w:val="0"/>
          <w:iCs w:val="0"/>
          <w:caps w:val="0"/>
          <w:color w:val="auto"/>
          <w:spacing w:val="0"/>
          <w:sz w:val="28"/>
          <w:szCs w:val="28"/>
          <w:highlight w:val="none"/>
          <w:shd w:val="clear" w:color="auto" w:fill="auto"/>
        </w:rPr>
        <w:t>乙方及其委托承运人在运输、装卸、安装调试、装潢、售后等服务过程中造成的一切人员伤亡、物品损失等均由乙方自行负责。</w:t>
      </w:r>
    </w:p>
    <w:p w14:paraId="0C59A05B">
      <w:pPr>
        <w:pStyle w:val="10"/>
        <w:keepNext w:val="0"/>
        <w:keepLines w:val="0"/>
        <w:pageBreakBefore w:val="0"/>
        <w:kinsoku/>
        <w:wordWrap/>
        <w:overflowPunct/>
        <w:bidi w:val="0"/>
        <w:adjustRightInd/>
        <w:snapToGrid/>
        <w:spacing w:line="360" w:lineRule="auto"/>
        <w:ind w:firstLine="562" w:firstLineChars="200"/>
        <w:jc w:val="left"/>
        <w:textAlignment w:val="auto"/>
        <w:rPr>
          <w:rFonts w:hint="eastAsia" w:ascii="宋体" w:hAnsi="宋体" w:eastAsia="宋体" w:cs="宋体"/>
          <w:b/>
          <w:color w:val="auto"/>
          <w:sz w:val="28"/>
          <w:szCs w:val="28"/>
          <w:highlight w:val="none"/>
        </w:rPr>
      </w:pPr>
      <w:r>
        <w:rPr>
          <w:rFonts w:hint="eastAsia" w:hAnsi="宋体" w:eastAsia="宋体" w:cs="宋体"/>
          <w:b/>
          <w:color w:val="auto"/>
          <w:sz w:val="28"/>
          <w:szCs w:val="28"/>
          <w:highlight w:val="none"/>
          <w:lang w:eastAsia="zh-CN"/>
        </w:rPr>
        <w:t>十六、</w:t>
      </w:r>
      <w:r>
        <w:rPr>
          <w:rFonts w:hint="eastAsia" w:ascii="宋体" w:hAnsi="宋体" w:eastAsia="宋体" w:cs="宋体"/>
          <w:b/>
          <w:color w:val="auto"/>
          <w:sz w:val="28"/>
          <w:szCs w:val="28"/>
          <w:highlight w:val="none"/>
        </w:rPr>
        <w:t>保险</w:t>
      </w:r>
    </w:p>
    <w:p w14:paraId="7B68040D">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货物到达交货地点之前的所有保险费用（按货物总价的100％价值投保）和为派往甲方进行服务的人员投保人身险和其它工程有关险种的费用，由乙方负责。</w:t>
      </w:r>
    </w:p>
    <w:p w14:paraId="23927071">
      <w:pPr>
        <w:pStyle w:val="10"/>
        <w:keepNext w:val="0"/>
        <w:keepLines w:val="0"/>
        <w:pageBreakBefore w:val="0"/>
        <w:kinsoku/>
        <w:wordWrap/>
        <w:overflowPunct/>
        <w:bidi w:val="0"/>
        <w:adjustRightInd/>
        <w:snapToGrid/>
        <w:spacing w:line="360" w:lineRule="auto"/>
        <w:ind w:firstLine="562" w:firstLineChars="200"/>
        <w:jc w:val="left"/>
        <w:textAlignment w:val="auto"/>
        <w:rPr>
          <w:rFonts w:hint="eastAsia" w:ascii="宋体" w:hAnsi="宋体" w:eastAsia="宋体" w:cs="宋体"/>
          <w:b/>
          <w:color w:val="auto"/>
          <w:sz w:val="28"/>
          <w:szCs w:val="28"/>
          <w:highlight w:val="none"/>
        </w:rPr>
      </w:pPr>
      <w:r>
        <w:rPr>
          <w:rFonts w:hint="eastAsia" w:hAnsi="宋体" w:eastAsia="宋体" w:cs="宋体"/>
          <w:b/>
          <w:color w:val="auto"/>
          <w:sz w:val="28"/>
          <w:szCs w:val="28"/>
          <w:highlight w:val="none"/>
          <w:lang w:eastAsia="zh-CN"/>
        </w:rPr>
        <w:t>十七、</w:t>
      </w:r>
      <w:r>
        <w:rPr>
          <w:rFonts w:hint="eastAsia" w:ascii="宋体" w:hAnsi="宋体" w:eastAsia="宋体" w:cs="宋体"/>
          <w:b/>
          <w:color w:val="auto"/>
          <w:sz w:val="28"/>
          <w:szCs w:val="28"/>
          <w:highlight w:val="none"/>
        </w:rPr>
        <w:t>知识产权</w:t>
      </w:r>
    </w:p>
    <w:p w14:paraId="07FDB8B5">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.1乙方应保证，甲方在中华人民共和国使用该货物或货物的任何一部分时，免受第三方提出的侵犯其专利权、商标权或其它知识产权的起诉。如发生此类纠纷，由乙方承担一切责任。</w:t>
      </w:r>
    </w:p>
    <w:p w14:paraId="621F8F12">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pacing w:val="-6"/>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.2</w:t>
      </w:r>
      <w:r>
        <w:rPr>
          <w:rFonts w:hint="eastAsia" w:ascii="宋体" w:hAnsi="宋体" w:eastAsia="宋体" w:cs="宋体"/>
          <w:color w:val="auto"/>
          <w:spacing w:val="-6"/>
          <w:sz w:val="28"/>
          <w:szCs w:val="28"/>
          <w:highlight w:val="none"/>
        </w:rPr>
        <w:t>乙方为执行本合同而提供的技术资料、软件的使用权归甲方所有。</w:t>
      </w:r>
    </w:p>
    <w:p w14:paraId="0E73CC07">
      <w:pPr>
        <w:keepNext w:val="0"/>
        <w:keepLines w:val="0"/>
        <w:pageBreakBefore w:val="0"/>
        <w:kinsoku/>
        <w:wordWrap/>
        <w:overflowPunct/>
        <w:bidi w:val="0"/>
        <w:adjustRightInd/>
        <w:snapToGrid/>
        <w:spacing w:line="360" w:lineRule="auto"/>
        <w:ind w:firstLine="56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8"/>
          <w:szCs w:val="28"/>
          <w:highlight w:val="none"/>
          <w:lang w:eastAsia="zh-CN"/>
        </w:rPr>
        <w:t>十</w:t>
      </w:r>
      <w:r>
        <w:rPr>
          <w:rFonts w:hint="eastAsia" w:ascii="宋体" w:hAnsi="宋体" w:cs="宋体"/>
          <w:b/>
          <w:color w:val="auto"/>
          <w:sz w:val="28"/>
          <w:szCs w:val="28"/>
          <w:highlight w:val="none"/>
          <w:lang w:eastAsia="zh-CN"/>
        </w:rPr>
        <w:t>八</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保密约定</w:t>
      </w:r>
    </w:p>
    <w:p w14:paraId="35EA17EC">
      <w:pPr>
        <w:pStyle w:val="10"/>
        <w:keepNext w:val="0"/>
        <w:keepLines w:val="0"/>
        <w:pageBreakBefore w:val="0"/>
        <w:kinsoku/>
        <w:wordWrap/>
        <w:overflowPunct/>
        <w:bidi w:val="0"/>
        <w:adjustRightInd/>
        <w:snapToGrid/>
        <w:spacing w:line="360" w:lineRule="auto"/>
        <w:ind w:firstLine="548" w:firstLineChars="196"/>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hAnsi="宋体" w:cs="宋体"/>
          <w:color w:val="auto"/>
          <w:sz w:val="28"/>
          <w:szCs w:val="28"/>
          <w:highlight w:val="none"/>
          <w:lang w:val="en-US" w:eastAsia="zh-CN"/>
        </w:rPr>
        <w:t>8</w:t>
      </w:r>
      <w:r>
        <w:rPr>
          <w:rFonts w:hint="eastAsia" w:ascii="宋体" w:hAnsi="宋体" w:eastAsia="宋体" w:cs="宋体"/>
          <w:color w:val="auto"/>
          <w:sz w:val="28"/>
          <w:szCs w:val="28"/>
          <w:highlight w:val="none"/>
        </w:rPr>
        <w:t>.1甲方申明的保密事项和期限：</w:t>
      </w:r>
    </w:p>
    <w:p w14:paraId="2A717464">
      <w:pPr>
        <w:keepNext w:val="0"/>
        <w:keepLines w:val="0"/>
        <w:pageBreakBefore w:val="0"/>
        <w:kinsoku/>
        <w:wordWrap/>
        <w:overflowPunct/>
        <w:autoSpaceDE w:val="0"/>
        <w:autoSpaceDN w:val="0"/>
        <w:bidi w:val="0"/>
        <w:adjustRightInd/>
        <w:snapToGrid/>
        <w:spacing w:line="360" w:lineRule="auto"/>
        <w:ind w:firstLine="54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1.1“保密信息”是指乙方在为甲方提供服务工作的过程中所获取的重要工作信息。该保密信息包括但不限于投资计划、项目规模、项目计划、项目相关数据和图纸、招标文件资料及信息、合同、价格、成本、研究报告、会议资料和文件。不论以何种形式或载于何种载体，无论在披露时是否以口头、图像或以书面方式表明其具有保密性，都视为甲方的保密信息。</w:t>
      </w:r>
    </w:p>
    <w:p w14:paraId="7432C091">
      <w:pPr>
        <w:keepNext w:val="0"/>
        <w:keepLines w:val="0"/>
        <w:pageBreakBefore w:val="0"/>
        <w:kinsoku/>
        <w:wordWrap/>
        <w:overflowPunct/>
        <w:autoSpaceDE w:val="0"/>
        <w:autoSpaceDN w:val="0"/>
        <w:bidi w:val="0"/>
        <w:adjustRightInd/>
        <w:snapToGrid/>
        <w:spacing w:line="360" w:lineRule="auto"/>
        <w:ind w:firstLine="54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.1.2保密期限包括但不限于：从获知甲方保密信息时起，至保密信息已由甲方通过合法途径让普通公众知悉时止。</w:t>
      </w:r>
    </w:p>
    <w:p w14:paraId="7C445412">
      <w:pPr>
        <w:keepNext w:val="0"/>
        <w:keepLines w:val="0"/>
        <w:pageBreakBefore w:val="0"/>
        <w:kinsoku/>
        <w:wordWrap/>
        <w:overflowPunct/>
        <w:autoSpaceDE w:val="0"/>
        <w:autoSpaceDN w:val="0"/>
        <w:bidi w:val="0"/>
        <w:adjustRightInd/>
        <w:snapToGrid/>
        <w:spacing w:line="360" w:lineRule="auto"/>
        <w:ind w:firstLine="54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.2乙方对已知悉的甲方保密信息，在此同意：</w:t>
      </w:r>
    </w:p>
    <w:p w14:paraId="2A8A506D">
      <w:pPr>
        <w:keepNext w:val="0"/>
        <w:keepLines w:val="0"/>
        <w:pageBreakBefore w:val="0"/>
        <w:kinsoku/>
        <w:wordWrap/>
        <w:overflowPunct/>
        <w:autoSpaceDE w:val="0"/>
        <w:autoSpaceDN w:val="0"/>
        <w:bidi w:val="0"/>
        <w:adjustRightInd/>
        <w:snapToGrid/>
        <w:spacing w:line="360" w:lineRule="auto"/>
        <w:ind w:firstLine="54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.2.1未经甲方事前书面批准，不论服务期间或以后，乙方及其工作人员不得以任何方式泄漏甲方的保密信息。</w:t>
      </w:r>
    </w:p>
    <w:p w14:paraId="64B0AED3">
      <w:pPr>
        <w:keepNext w:val="0"/>
        <w:keepLines w:val="0"/>
        <w:pageBreakBefore w:val="0"/>
        <w:kinsoku/>
        <w:wordWrap/>
        <w:overflowPunct/>
        <w:autoSpaceDE w:val="0"/>
        <w:autoSpaceDN w:val="0"/>
        <w:bidi w:val="0"/>
        <w:adjustRightInd/>
        <w:snapToGrid/>
        <w:spacing w:line="360" w:lineRule="auto"/>
        <w:ind w:firstLine="540"/>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.2.2一旦服务工作终止，乙方及其工作人员将退还保存的属于甲方的所有保密信息及资料，如方案、制度、报告、合同等。</w:t>
      </w:r>
    </w:p>
    <w:p w14:paraId="4B9E04DB">
      <w:pPr>
        <w:pStyle w:val="10"/>
        <w:keepNext w:val="0"/>
        <w:keepLines w:val="0"/>
        <w:pageBreakBefore w:val="0"/>
        <w:kinsoku/>
        <w:wordWrap/>
        <w:overflowPunct/>
        <w:bidi w:val="0"/>
        <w:adjustRightInd/>
        <w:snapToGrid/>
        <w:spacing w:line="360" w:lineRule="auto"/>
        <w:ind w:firstLine="562" w:firstLineChars="200"/>
        <w:jc w:val="left"/>
        <w:textAlignment w:val="auto"/>
        <w:rPr>
          <w:rFonts w:hint="eastAsia" w:ascii="宋体" w:hAnsi="宋体" w:eastAsia="宋体" w:cs="宋体"/>
          <w:b/>
          <w:color w:val="auto"/>
          <w:sz w:val="28"/>
          <w:szCs w:val="28"/>
          <w:highlight w:val="none"/>
        </w:rPr>
      </w:pPr>
      <w:r>
        <w:rPr>
          <w:rFonts w:hint="eastAsia" w:hAnsi="宋体" w:cs="宋体"/>
          <w:b/>
          <w:color w:val="auto"/>
          <w:sz w:val="28"/>
          <w:szCs w:val="28"/>
          <w:highlight w:val="none"/>
          <w:lang w:eastAsia="zh-CN"/>
        </w:rPr>
        <w:t>十九</w:t>
      </w:r>
      <w:r>
        <w:rPr>
          <w:rFonts w:hint="eastAsia"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其他事项</w:t>
      </w:r>
    </w:p>
    <w:p w14:paraId="39968CE5">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19</w:t>
      </w:r>
      <w:r>
        <w:rPr>
          <w:rFonts w:hint="eastAsia" w:ascii="宋体" w:hAnsi="宋体" w:eastAsia="宋体" w:cs="宋体"/>
          <w:color w:val="auto"/>
          <w:sz w:val="28"/>
          <w:szCs w:val="28"/>
          <w:highlight w:val="none"/>
        </w:rPr>
        <w:t>.1本合同条款如有更改，须另行签署补充协议附后。任何修改须经双方代表共同签署并盖章。</w:t>
      </w:r>
    </w:p>
    <w:p w14:paraId="66FB050E">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19</w:t>
      </w:r>
      <w:r>
        <w:rPr>
          <w:rFonts w:hint="eastAsia" w:ascii="宋体" w:hAnsi="宋体" w:eastAsia="宋体" w:cs="宋体"/>
          <w:color w:val="auto"/>
          <w:sz w:val="28"/>
          <w:szCs w:val="28"/>
          <w:highlight w:val="none"/>
        </w:rPr>
        <w:t>.2本合同自双方签字盖章之日起生效。</w:t>
      </w:r>
    </w:p>
    <w:p w14:paraId="7E3281B4">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19</w:t>
      </w:r>
      <w:r>
        <w:rPr>
          <w:rFonts w:hint="eastAsia" w:ascii="宋体" w:hAnsi="宋体" w:eastAsia="宋体" w:cs="宋体"/>
          <w:color w:val="auto"/>
          <w:sz w:val="28"/>
          <w:szCs w:val="28"/>
          <w:highlight w:val="none"/>
        </w:rPr>
        <w:t>.3本合同一式</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份，甲方执</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份，乙方执</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份，均具同等法律效力。</w:t>
      </w:r>
    </w:p>
    <w:p w14:paraId="083D7548">
      <w:pPr>
        <w:keepNext w:val="0"/>
        <w:keepLines w:val="0"/>
        <w:pageBreakBefore w:val="0"/>
        <w:kinsoku/>
        <w:wordWrap/>
        <w:overflowPunct/>
        <w:bidi w:val="0"/>
        <w:adjustRightInd/>
        <w:snapToGrid/>
        <w:spacing w:line="360" w:lineRule="auto"/>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（以下无正文）</w:t>
      </w:r>
    </w:p>
    <w:p w14:paraId="5C255A56">
      <w:pPr>
        <w:pStyle w:val="3"/>
        <w:keepNext w:val="0"/>
        <w:keepLines w:val="0"/>
        <w:pageBreakBefore w:val="0"/>
        <w:kinsoku/>
        <w:wordWrap/>
        <w:overflowPunct/>
        <w:bidi w:val="0"/>
        <w:adjustRightInd/>
        <w:snapToGrid/>
        <w:spacing w:before="0" w:after="0" w:line="360" w:lineRule="auto"/>
        <w:ind w:firstLine="560" w:firstLineChars="200"/>
        <w:jc w:val="both"/>
        <w:textAlignment w:val="auto"/>
        <w:rPr>
          <w:rFonts w:hint="eastAsia" w:ascii="宋体" w:hAnsi="宋体" w:eastAsia="宋体" w:cs="宋体"/>
          <w:b w:val="0"/>
          <w:color w:val="auto"/>
          <w:sz w:val="28"/>
          <w:szCs w:val="28"/>
          <w:highlight w:val="none"/>
        </w:rPr>
      </w:pPr>
    </w:p>
    <w:p w14:paraId="1E1B525F">
      <w:pPr>
        <w:pStyle w:val="3"/>
        <w:keepNext w:val="0"/>
        <w:keepLines w:val="0"/>
        <w:pageBreakBefore w:val="0"/>
        <w:kinsoku/>
        <w:wordWrap/>
        <w:overflowPunct/>
        <w:bidi w:val="0"/>
        <w:adjustRightInd/>
        <w:snapToGrid/>
        <w:spacing w:before="0" w:after="0" w:line="360" w:lineRule="auto"/>
        <w:ind w:firstLine="560" w:firstLineChars="200"/>
        <w:jc w:val="both"/>
        <w:textAlignment w:val="auto"/>
        <w:rPr>
          <w:rFonts w:hint="eastAsia" w:ascii="宋体" w:hAnsi="宋体" w:eastAsia="宋体" w:cs="宋体"/>
          <w:b w:val="0"/>
          <w:color w:val="auto"/>
          <w:sz w:val="28"/>
          <w:szCs w:val="28"/>
          <w:highlight w:val="none"/>
        </w:rPr>
      </w:pPr>
    </w:p>
    <w:p w14:paraId="3A23472E">
      <w:pPr>
        <w:pStyle w:val="3"/>
        <w:keepNext w:val="0"/>
        <w:keepLines w:val="0"/>
        <w:pageBreakBefore w:val="0"/>
        <w:kinsoku/>
        <w:wordWrap/>
        <w:overflowPunct/>
        <w:bidi w:val="0"/>
        <w:adjustRightInd/>
        <w:snapToGrid/>
        <w:spacing w:before="0" w:after="0" w:line="360" w:lineRule="auto"/>
        <w:ind w:firstLine="560" w:firstLineChars="200"/>
        <w:jc w:val="both"/>
        <w:textAlignment w:val="auto"/>
        <w:rPr>
          <w:rFonts w:hint="eastAsia" w:ascii="宋体" w:hAnsi="宋体" w:eastAsia="宋体" w:cs="宋体"/>
          <w:b w:val="0"/>
          <w:color w:val="auto"/>
          <w:sz w:val="28"/>
          <w:szCs w:val="28"/>
          <w:highlight w:val="none"/>
        </w:rPr>
      </w:pPr>
    </w:p>
    <w:p w14:paraId="6E4D4401">
      <w:pPr>
        <w:pStyle w:val="3"/>
        <w:keepNext w:val="0"/>
        <w:keepLines w:val="0"/>
        <w:pageBreakBefore w:val="0"/>
        <w:kinsoku/>
        <w:wordWrap/>
        <w:overflowPunct/>
        <w:bidi w:val="0"/>
        <w:adjustRightInd/>
        <w:snapToGrid/>
        <w:spacing w:before="0" w:after="0" w:line="360" w:lineRule="auto"/>
        <w:ind w:firstLine="560" w:firstLineChars="200"/>
        <w:jc w:val="both"/>
        <w:textAlignment w:val="auto"/>
        <w:rPr>
          <w:rFonts w:hint="eastAsia" w:ascii="宋体" w:hAnsi="宋体" w:eastAsia="宋体" w:cs="宋体"/>
          <w:color w:val="auto"/>
          <w:spacing w:val="-11"/>
          <w:sz w:val="28"/>
          <w:szCs w:val="28"/>
          <w:highlight w:val="none"/>
          <w:lang w:eastAsia="zh-CN"/>
        </w:rPr>
      </w:pPr>
      <w:r>
        <w:rPr>
          <w:rFonts w:hint="eastAsia" w:ascii="宋体" w:hAnsi="宋体" w:eastAsia="宋体" w:cs="宋体"/>
          <w:b w:val="0"/>
          <w:color w:val="auto"/>
          <w:sz w:val="28"/>
          <w:szCs w:val="28"/>
          <w:highlight w:val="none"/>
        </w:rPr>
        <w:t>附件</w:t>
      </w:r>
      <w:r>
        <w:rPr>
          <w:rFonts w:hint="eastAsia" w:ascii="宋体" w:hAnsi="宋体" w:eastAsia="宋体" w:cs="宋体"/>
          <w:b w:val="0"/>
          <w:color w:val="auto"/>
          <w:sz w:val="28"/>
          <w:szCs w:val="28"/>
          <w:highlight w:val="none"/>
          <w:lang w:eastAsia="zh-CN"/>
        </w:rPr>
        <w:t>：</w:t>
      </w:r>
      <w:r>
        <w:rPr>
          <w:rFonts w:hint="eastAsia" w:ascii="宋体" w:hAnsi="宋体" w:eastAsia="宋体" w:cs="宋体"/>
          <w:b w:val="0"/>
          <w:color w:val="auto"/>
          <w:sz w:val="28"/>
          <w:szCs w:val="28"/>
          <w:highlight w:val="none"/>
          <w:lang w:val="en-US" w:eastAsia="zh-CN"/>
        </w:rPr>
        <w:t>1.</w:t>
      </w:r>
      <w:r>
        <w:rPr>
          <w:rFonts w:hint="eastAsia" w:ascii="宋体" w:hAnsi="宋体" w:eastAsia="宋体" w:cs="宋体"/>
          <w:b w:val="0"/>
          <w:bCs w:val="0"/>
          <w:color w:val="auto"/>
          <w:spacing w:val="-11"/>
          <w:sz w:val="28"/>
          <w:szCs w:val="28"/>
          <w:highlight w:val="none"/>
          <w:lang w:val="en-US" w:eastAsia="zh-CN"/>
        </w:rPr>
        <w:t>金沙洲新社区、聚德花园纯公租房楼栋更换电梯项目采购需求书</w:t>
      </w:r>
    </w:p>
    <w:p w14:paraId="29A706D9">
      <w:pPr>
        <w:keepNext w:val="0"/>
        <w:keepLines w:val="0"/>
        <w:pageBreakBefore w:val="0"/>
        <w:widowControl w:val="0"/>
        <w:kinsoku/>
        <w:wordWrap/>
        <w:overflowPunct/>
        <w:topLinePunct w:val="0"/>
        <w:autoSpaceDE/>
        <w:autoSpaceDN/>
        <w:bidi w:val="0"/>
        <w:adjustRightInd/>
        <w:snapToGrid/>
        <w:spacing w:line="360" w:lineRule="auto"/>
        <w:ind w:firstLine="1425" w:firstLineChars="509"/>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rPr>
        <w:t>廉政合同</w:t>
      </w:r>
    </w:p>
    <w:p w14:paraId="5F1D5780">
      <w:pPr>
        <w:keepNext w:val="0"/>
        <w:keepLines w:val="0"/>
        <w:pageBreakBefore w:val="0"/>
        <w:widowControl w:val="0"/>
        <w:kinsoku/>
        <w:wordWrap/>
        <w:overflowPunct/>
        <w:topLinePunct w:val="0"/>
        <w:autoSpaceDE/>
        <w:autoSpaceDN/>
        <w:bidi w:val="0"/>
        <w:adjustRightInd/>
        <w:snapToGrid/>
        <w:spacing w:line="360" w:lineRule="auto"/>
        <w:ind w:firstLine="1420" w:firstLineChars="530"/>
        <w:jc w:val="left"/>
        <w:textAlignment w:val="auto"/>
        <w:rPr>
          <w:rFonts w:hint="eastAsia" w:ascii="宋体" w:hAnsi="宋体" w:eastAsia="宋体" w:cs="宋体"/>
          <w:color w:val="auto"/>
          <w:spacing w:val="-6"/>
          <w:sz w:val="28"/>
          <w:szCs w:val="28"/>
          <w:highlight w:val="none"/>
          <w:lang w:val="en-US" w:eastAsia="zh-CN"/>
        </w:rPr>
      </w:pPr>
      <w:r>
        <w:rPr>
          <w:rFonts w:hint="eastAsia" w:ascii="宋体" w:hAnsi="宋体" w:eastAsia="宋体" w:cs="宋体"/>
          <w:color w:val="auto"/>
          <w:spacing w:val="-6"/>
          <w:sz w:val="28"/>
          <w:szCs w:val="28"/>
          <w:highlight w:val="none"/>
          <w:lang w:val="en-US" w:eastAsia="zh-CN"/>
        </w:rPr>
        <w:t>3</w:t>
      </w:r>
      <w:r>
        <w:rPr>
          <w:rFonts w:hint="eastAsia" w:ascii="宋体" w:hAnsi="宋体" w:cs="宋体"/>
          <w:color w:val="auto"/>
          <w:spacing w:val="-6"/>
          <w:sz w:val="28"/>
          <w:szCs w:val="28"/>
          <w:highlight w:val="none"/>
          <w:lang w:val="en-US" w:eastAsia="zh-CN"/>
        </w:rPr>
        <w:t>.</w:t>
      </w:r>
      <w:r>
        <w:rPr>
          <w:rFonts w:hint="eastAsia" w:ascii="宋体" w:hAnsi="宋体" w:eastAsia="宋体" w:cs="宋体"/>
          <w:color w:val="auto"/>
          <w:spacing w:val="-6"/>
          <w:sz w:val="28"/>
          <w:szCs w:val="28"/>
          <w:highlight w:val="none"/>
          <w:lang w:val="en-US" w:eastAsia="zh-CN"/>
        </w:rPr>
        <w:t>金沙洲新社区、聚德花园纯公租房楼栋更换电梯项目投标报价表</w:t>
      </w:r>
    </w:p>
    <w:p w14:paraId="1B017898">
      <w:pPr>
        <w:pStyle w:val="2"/>
        <w:rPr>
          <w:rFonts w:hint="eastAsia"/>
          <w:color w:val="auto"/>
          <w:highlight w:val="none"/>
        </w:rPr>
      </w:pPr>
    </w:p>
    <w:p w14:paraId="4BFDDCCA">
      <w:pPr>
        <w:rPr>
          <w:rFonts w:hint="eastAsia"/>
          <w:color w:val="auto"/>
          <w:highlight w:val="none"/>
        </w:rPr>
      </w:pPr>
    </w:p>
    <w:p w14:paraId="6B7E9A0A">
      <w:pPr>
        <w:pStyle w:val="2"/>
        <w:rPr>
          <w:rFonts w:hint="eastAsia"/>
          <w:color w:val="auto"/>
          <w:highlight w:val="none"/>
        </w:rPr>
      </w:pPr>
    </w:p>
    <w:p w14:paraId="6534A757">
      <w:pPr>
        <w:rPr>
          <w:rFonts w:hint="eastAsia"/>
          <w:color w:val="auto"/>
          <w:highlight w:val="none"/>
        </w:rPr>
      </w:pPr>
    </w:p>
    <w:p w14:paraId="6E9E4953">
      <w:pPr>
        <w:pStyle w:val="2"/>
        <w:rPr>
          <w:rFonts w:hint="eastAsia"/>
          <w:color w:val="auto"/>
          <w:highlight w:val="none"/>
        </w:rPr>
      </w:pPr>
    </w:p>
    <w:p w14:paraId="304D7D98">
      <w:pPr>
        <w:rPr>
          <w:rFonts w:hint="eastAsia"/>
          <w:color w:val="auto"/>
          <w:highlight w:val="none"/>
        </w:rPr>
      </w:pPr>
    </w:p>
    <w:p w14:paraId="36844FB6">
      <w:pPr>
        <w:pStyle w:val="2"/>
        <w:rPr>
          <w:rFonts w:hint="eastAsia"/>
          <w:color w:val="auto"/>
          <w:highlight w:val="none"/>
        </w:rPr>
      </w:pPr>
    </w:p>
    <w:p w14:paraId="4C519E0F">
      <w:pPr>
        <w:rPr>
          <w:rFonts w:hint="eastAsia"/>
        </w:rPr>
      </w:pPr>
    </w:p>
    <w:p w14:paraId="0FD3C9B1">
      <w:pPr>
        <w:spacing w:line="360" w:lineRule="auto"/>
        <w:ind w:right="92" w:rightChars="44"/>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发包人</w:t>
      </w:r>
      <w:r>
        <w:rPr>
          <w:rFonts w:hint="eastAsia" w:ascii="宋体" w:hAnsi="宋体" w:eastAsia="宋体" w:cs="宋体"/>
          <w:color w:val="auto"/>
          <w:sz w:val="28"/>
          <w:szCs w:val="28"/>
          <w:highlight w:val="none"/>
        </w:rPr>
        <w:t xml:space="preserve">（甲方）：                   </w:t>
      </w:r>
      <w:r>
        <w:rPr>
          <w:rFonts w:hint="eastAsia" w:ascii="宋体" w:hAnsi="宋体" w:cs="宋体"/>
          <w:color w:val="auto"/>
          <w:sz w:val="28"/>
          <w:szCs w:val="28"/>
          <w:highlight w:val="none"/>
          <w:lang w:eastAsia="zh-CN"/>
        </w:rPr>
        <w:t>承包人</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乙</w:t>
      </w:r>
      <w:r>
        <w:rPr>
          <w:rFonts w:hint="eastAsia" w:ascii="宋体" w:hAnsi="宋体" w:eastAsia="宋体" w:cs="宋体"/>
          <w:color w:val="auto"/>
          <w:sz w:val="28"/>
          <w:szCs w:val="28"/>
          <w:highlight w:val="none"/>
        </w:rPr>
        <w:t xml:space="preserve">方）： </w:t>
      </w:r>
    </w:p>
    <w:p w14:paraId="05A4B3CD">
      <w:pPr>
        <w:spacing w:line="360" w:lineRule="auto"/>
        <w:ind w:right="92" w:rightChars="44"/>
        <w:jc w:val="left"/>
        <w:rPr>
          <w:rFonts w:hint="eastAsia" w:ascii="宋体" w:hAnsi="宋体" w:eastAsia="宋体" w:cs="宋体"/>
          <w:color w:val="auto"/>
          <w:sz w:val="28"/>
          <w:szCs w:val="28"/>
          <w:highlight w:val="none"/>
        </w:rPr>
      </w:pPr>
    </w:p>
    <w:p w14:paraId="7D2D4B75">
      <w:pPr>
        <w:spacing w:line="360" w:lineRule="auto"/>
        <w:ind w:right="92" w:rightChars="44"/>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法定代表人：</w:t>
      </w:r>
    </w:p>
    <w:p w14:paraId="78D5F590">
      <w:pPr>
        <w:spacing w:line="360" w:lineRule="auto"/>
        <w:ind w:right="92" w:rightChars="44"/>
        <w:jc w:val="left"/>
        <w:rPr>
          <w:rFonts w:hint="eastAsia" w:ascii="宋体" w:hAnsi="宋体" w:eastAsia="宋体" w:cs="宋体"/>
          <w:color w:val="auto"/>
          <w:sz w:val="28"/>
          <w:szCs w:val="28"/>
          <w:highlight w:val="none"/>
        </w:rPr>
      </w:pPr>
    </w:p>
    <w:p w14:paraId="3BC8608E">
      <w:pPr>
        <w:spacing w:line="360" w:lineRule="auto"/>
        <w:ind w:right="92" w:rightChars="44"/>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委托代理人：</w:t>
      </w:r>
    </w:p>
    <w:p w14:paraId="1BB403E4">
      <w:pPr>
        <w:spacing w:line="360" w:lineRule="auto"/>
        <w:ind w:right="92" w:rightChars="44"/>
        <w:jc w:val="left"/>
        <w:rPr>
          <w:rFonts w:hint="eastAsia" w:ascii="宋体" w:hAnsi="宋体" w:eastAsia="宋体" w:cs="宋体"/>
          <w:color w:val="auto"/>
          <w:sz w:val="28"/>
          <w:szCs w:val="28"/>
          <w:highlight w:val="none"/>
        </w:rPr>
      </w:pPr>
    </w:p>
    <w:p w14:paraId="28514FFE">
      <w:pPr>
        <w:spacing w:line="360" w:lineRule="auto"/>
        <w:ind w:right="92" w:rightChars="44"/>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签订日期：   年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月   日</w:t>
      </w:r>
    </w:p>
    <w:p w14:paraId="06C81554">
      <w:pPr>
        <w:pStyle w:val="3"/>
        <w:adjustRightInd w:val="0"/>
        <w:snapToGrid w:val="0"/>
        <w:spacing w:before="0" w:after="0" w:line="360" w:lineRule="auto"/>
        <w:ind w:right="0" w:firstLine="0" w:firstLineChars="0"/>
        <w:jc w:val="both"/>
        <w:outlineLvl w:val="0"/>
        <w:rPr>
          <w:rFonts w:hint="eastAsia" w:asciiTheme="minorEastAsia" w:hAnsiTheme="minorEastAsia" w:eastAsiaTheme="minorEastAsia" w:cstheme="minorEastAsia"/>
          <w:b/>
          <w:color w:val="auto"/>
          <w:sz w:val="24"/>
          <w:szCs w:val="24"/>
          <w:highlight w:val="none"/>
          <w:lang w:eastAsia="zh-CN"/>
        </w:rPr>
      </w:pPr>
      <w:r>
        <w:rPr>
          <w:rFonts w:hint="eastAsia" w:ascii="宋体" w:hAnsi="宋体" w:eastAsia="宋体" w:cs="宋体"/>
          <w:b/>
          <w:color w:val="auto"/>
          <w:sz w:val="28"/>
          <w:szCs w:val="28"/>
          <w:highlight w:val="none"/>
          <w:lang w:eastAsia="zh-CN"/>
        </w:rPr>
        <w:br w:type="page"/>
      </w:r>
      <w:r>
        <w:rPr>
          <w:rFonts w:hint="eastAsia" w:ascii="宋体" w:hAnsi="宋体" w:eastAsia="宋体" w:cs="宋体"/>
          <w:b/>
          <w:color w:val="auto"/>
          <w:sz w:val="28"/>
          <w:szCs w:val="28"/>
          <w:highlight w:val="none"/>
          <w:lang w:eastAsia="zh-CN"/>
        </w:rPr>
        <w:t>附件</w:t>
      </w:r>
      <w:r>
        <w:rPr>
          <w:rFonts w:hint="eastAsia" w:ascii="宋体" w:hAnsi="宋体" w:eastAsia="宋体" w:cs="宋体"/>
          <w:b/>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金沙洲新社区、聚德花园纯公租房楼栋更换电梯项目采购需求书</w:t>
      </w:r>
    </w:p>
    <w:p w14:paraId="4DE03693">
      <w:pPr>
        <w:pStyle w:val="3"/>
        <w:pageBreakBefore w:val="0"/>
        <w:widowControl w:val="0"/>
        <w:kinsoku/>
        <w:wordWrap/>
        <w:overflowPunct/>
        <w:topLinePunct w:val="0"/>
        <w:autoSpaceDE/>
        <w:autoSpaceDN/>
        <w:bidi w:val="0"/>
        <w:adjustRightInd w:val="0"/>
        <w:snapToGrid w:val="0"/>
        <w:spacing w:before="0" w:after="0" w:line="360" w:lineRule="auto"/>
        <w:ind w:right="0" w:firstLine="643" w:firstLineChars="200"/>
        <w:jc w:val="center"/>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金沙洲新社区、聚德花园纯公租房楼栋更换电梯项目</w:t>
      </w:r>
    </w:p>
    <w:p w14:paraId="192917BE">
      <w:pPr>
        <w:pStyle w:val="3"/>
        <w:pageBreakBefore w:val="0"/>
        <w:widowControl w:val="0"/>
        <w:kinsoku/>
        <w:wordWrap/>
        <w:overflowPunct/>
        <w:topLinePunct w:val="0"/>
        <w:autoSpaceDE/>
        <w:autoSpaceDN/>
        <w:bidi w:val="0"/>
        <w:adjustRightInd w:val="0"/>
        <w:snapToGrid w:val="0"/>
        <w:spacing w:before="0" w:after="0" w:line="360" w:lineRule="auto"/>
        <w:ind w:right="0" w:firstLine="643" w:firstLineChars="200"/>
        <w:jc w:val="center"/>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2"/>
          <w:szCs w:val="32"/>
          <w:highlight w:val="none"/>
          <w:lang w:val="en-US" w:eastAsia="zh-CN"/>
        </w:rPr>
        <w:t>采购需求书</w:t>
      </w:r>
    </w:p>
    <w:p w14:paraId="527B0C98">
      <w:pPr>
        <w:pStyle w:val="2"/>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p>
    <w:p w14:paraId="7187C778">
      <w:pPr>
        <w:pStyle w:val="3"/>
        <w:numPr>
          <w:ilvl w:val="0"/>
          <w:numId w:val="0"/>
        </w:numPr>
        <w:adjustRightInd w:val="0"/>
        <w:snapToGrid w:val="0"/>
        <w:spacing w:before="0" w:after="0" w:line="360" w:lineRule="auto"/>
        <w:ind w:left="0" w:leftChars="0" w:firstLine="482" w:firstLineChars="200"/>
        <w:rPr>
          <w:rFonts w:hint="eastAsia" w:ascii="宋体" w:hAnsi="宋体" w:eastAsia="宋体" w:cs="宋体"/>
          <w:color w:val="auto"/>
          <w:sz w:val="24"/>
          <w:szCs w:val="24"/>
          <w:highlight w:val="none"/>
        </w:rPr>
      </w:pPr>
      <w:bookmarkStart w:id="16" w:name="_Toc7454663"/>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基本情况</w:t>
      </w:r>
    </w:p>
    <w:p w14:paraId="5BF190F1">
      <w:pPr>
        <w:pageBreakBefore w:val="0"/>
        <w:widowControl w:val="0"/>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金沙洲新社区和聚德花园属于安居住房公司管理的保障性住房小区，其中春和一巷1号、春和一巷7号、春和二巷3号、春和二巷5号、春和一巷3号、民和二巷6号、春和一巷8号、春和一巷6号、聚德中街6号、聚德中街8号和聚德中街10号等11个纯公租房楼栋，合计15台电梯设备，投入使用时间为2008年，至今已达17年。因设备使用时间较长，近年来已陆续出现故障率高、甚至局部停梯影响居民正常出行。经综合评估，拟对上述15台电梯设备采取整体更换措施，</w:t>
      </w:r>
      <w:r>
        <w:rPr>
          <w:rFonts w:hint="eastAsia" w:ascii="宋体" w:hAnsi="宋体" w:eastAsia="宋体" w:cs="宋体"/>
          <w:color w:val="auto"/>
          <w:sz w:val="24"/>
          <w:szCs w:val="24"/>
          <w:highlight w:val="none"/>
        </w:rPr>
        <w:t>现状电梯型号及主要规格、参数如下：</w:t>
      </w:r>
    </w:p>
    <w:tbl>
      <w:tblPr>
        <w:tblStyle w:val="20"/>
        <w:tblW w:w="560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3"/>
        <w:gridCol w:w="659"/>
        <w:gridCol w:w="2024"/>
        <w:gridCol w:w="879"/>
        <w:gridCol w:w="838"/>
        <w:gridCol w:w="2387"/>
        <w:gridCol w:w="1293"/>
        <w:gridCol w:w="1508"/>
      </w:tblGrid>
      <w:tr w14:paraId="36F6C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blHeader/>
          <w:jc w:val="center"/>
        </w:trPr>
        <w:tc>
          <w:tcPr>
            <w:tcW w:w="395" w:type="pct"/>
            <w:tcBorders>
              <w:top w:val="single" w:color="000000" w:sz="4" w:space="0"/>
              <w:left w:val="single" w:color="000000" w:sz="4" w:space="0"/>
              <w:bottom w:val="single" w:color="000000" w:sz="4" w:space="0"/>
              <w:right w:val="single" w:color="000000" w:sz="4" w:space="0"/>
            </w:tcBorders>
            <w:noWrap w:val="0"/>
            <w:vAlign w:val="center"/>
          </w:tcPr>
          <w:p w14:paraId="5BBF96C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小区名称</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148D4D1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7780B60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小区楼栋地址</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2F84854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楼栋层数</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07C3CD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电梯数量(台)</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5FF5B0C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原有电梯型号</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2E18478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原有电梯载重量（kg）</w:t>
            </w:r>
          </w:p>
        </w:tc>
        <w:tc>
          <w:tcPr>
            <w:tcW w:w="724" w:type="pct"/>
            <w:tcBorders>
              <w:top w:val="single" w:color="000000" w:sz="4" w:space="0"/>
              <w:left w:val="single" w:color="000000" w:sz="4" w:space="0"/>
              <w:bottom w:val="single" w:color="000000" w:sz="4" w:space="0"/>
              <w:right w:val="single" w:color="000000" w:sz="4" w:space="0"/>
            </w:tcBorders>
            <w:noWrap w:val="0"/>
            <w:vAlign w:val="center"/>
          </w:tcPr>
          <w:p w14:paraId="07A97EE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原有电梯速度（m/min)</w:t>
            </w:r>
          </w:p>
        </w:tc>
      </w:tr>
      <w:tr w14:paraId="214B6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5" w:type="pct"/>
            <w:vMerge w:val="restart"/>
            <w:tcBorders>
              <w:top w:val="single" w:color="000000" w:sz="4" w:space="0"/>
              <w:left w:val="single" w:color="000000" w:sz="4" w:space="0"/>
              <w:bottom w:val="single" w:color="000000" w:sz="4" w:space="0"/>
              <w:right w:val="single" w:color="000000" w:sz="4" w:space="0"/>
            </w:tcBorders>
            <w:noWrap w:val="0"/>
            <w:vAlign w:val="center"/>
          </w:tcPr>
          <w:p w14:paraId="74888DC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金沙洲新社区</w:t>
            </w:r>
          </w:p>
        </w:tc>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14:paraId="40224D7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972" w:type="pct"/>
            <w:vMerge w:val="restart"/>
            <w:tcBorders>
              <w:top w:val="single" w:color="000000" w:sz="4" w:space="0"/>
              <w:left w:val="single" w:color="000000" w:sz="4" w:space="0"/>
              <w:bottom w:val="single" w:color="000000" w:sz="4" w:space="0"/>
              <w:right w:val="single" w:color="000000" w:sz="4" w:space="0"/>
            </w:tcBorders>
            <w:noWrap w:val="0"/>
            <w:vAlign w:val="center"/>
          </w:tcPr>
          <w:p w14:paraId="30AD9CA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春和一巷1号</w:t>
            </w:r>
          </w:p>
        </w:tc>
        <w:tc>
          <w:tcPr>
            <w:tcW w:w="4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D572CF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402" w:type="pct"/>
            <w:vMerge w:val="restart"/>
            <w:tcBorders>
              <w:top w:val="single" w:color="000000" w:sz="4" w:space="0"/>
              <w:left w:val="single" w:color="000000" w:sz="4" w:space="0"/>
              <w:bottom w:val="single" w:color="000000" w:sz="4" w:space="0"/>
              <w:right w:val="single" w:color="000000" w:sz="4" w:space="0"/>
            </w:tcBorders>
            <w:noWrap w:val="0"/>
            <w:vAlign w:val="center"/>
          </w:tcPr>
          <w:p w14:paraId="3ADEC3C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5DC153D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GVF-II 1000-C0105</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6DC3EEF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724" w:type="pct"/>
            <w:tcBorders>
              <w:top w:val="single" w:color="000000" w:sz="4" w:space="0"/>
              <w:left w:val="single" w:color="000000" w:sz="4" w:space="0"/>
              <w:bottom w:val="single" w:color="000000" w:sz="4" w:space="0"/>
              <w:right w:val="single" w:color="000000" w:sz="4" w:space="0"/>
            </w:tcBorders>
            <w:noWrap w:val="0"/>
            <w:vAlign w:val="center"/>
          </w:tcPr>
          <w:p w14:paraId="38F88AB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105</w:t>
            </w:r>
          </w:p>
        </w:tc>
      </w:tr>
      <w:tr w14:paraId="02DF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632404">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263EAB">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9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388129">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4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89E174">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4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45A831">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2CC621D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GVF-II 1000-C0105</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33C39B5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724" w:type="pct"/>
            <w:tcBorders>
              <w:top w:val="single" w:color="000000" w:sz="4" w:space="0"/>
              <w:left w:val="single" w:color="000000" w:sz="4" w:space="0"/>
              <w:bottom w:val="single" w:color="000000" w:sz="4" w:space="0"/>
              <w:right w:val="single" w:color="000000" w:sz="4" w:space="0"/>
            </w:tcBorders>
            <w:noWrap w:val="0"/>
            <w:vAlign w:val="center"/>
          </w:tcPr>
          <w:p w14:paraId="32C512F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105</w:t>
            </w:r>
          </w:p>
        </w:tc>
      </w:tr>
      <w:tr w14:paraId="7CFA8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AF198A">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14:paraId="68FA9CA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972" w:type="pct"/>
            <w:vMerge w:val="restart"/>
            <w:tcBorders>
              <w:top w:val="single" w:color="000000" w:sz="4" w:space="0"/>
              <w:left w:val="single" w:color="000000" w:sz="4" w:space="0"/>
              <w:bottom w:val="single" w:color="000000" w:sz="4" w:space="0"/>
              <w:right w:val="single" w:color="000000" w:sz="4" w:space="0"/>
            </w:tcBorders>
            <w:noWrap w:val="0"/>
            <w:vAlign w:val="center"/>
          </w:tcPr>
          <w:p w14:paraId="7BBA426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春和一巷7号</w:t>
            </w:r>
          </w:p>
        </w:tc>
        <w:tc>
          <w:tcPr>
            <w:tcW w:w="422" w:type="pct"/>
            <w:vMerge w:val="restart"/>
            <w:tcBorders>
              <w:top w:val="single" w:color="000000" w:sz="4" w:space="0"/>
              <w:left w:val="single" w:color="000000" w:sz="4" w:space="0"/>
              <w:bottom w:val="single" w:color="000000" w:sz="4" w:space="0"/>
              <w:right w:val="single" w:color="000000" w:sz="4" w:space="0"/>
            </w:tcBorders>
            <w:noWrap w:val="0"/>
            <w:vAlign w:val="center"/>
          </w:tcPr>
          <w:p w14:paraId="41E87B8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402" w:type="pct"/>
            <w:vMerge w:val="restart"/>
            <w:tcBorders>
              <w:top w:val="single" w:color="000000" w:sz="4" w:space="0"/>
              <w:left w:val="single" w:color="000000" w:sz="4" w:space="0"/>
              <w:bottom w:val="single" w:color="000000" w:sz="4" w:space="0"/>
              <w:right w:val="single" w:color="000000" w:sz="4" w:space="0"/>
            </w:tcBorders>
            <w:noWrap w:val="0"/>
            <w:vAlign w:val="center"/>
          </w:tcPr>
          <w:p w14:paraId="5242AEE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068D37E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GVF-II 1000-C0105</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3D700EE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724" w:type="pct"/>
            <w:tcBorders>
              <w:top w:val="single" w:color="000000" w:sz="4" w:space="0"/>
              <w:left w:val="single" w:color="000000" w:sz="4" w:space="0"/>
              <w:bottom w:val="single" w:color="000000" w:sz="4" w:space="0"/>
              <w:right w:val="single" w:color="000000" w:sz="4" w:space="0"/>
            </w:tcBorders>
            <w:noWrap w:val="0"/>
            <w:vAlign w:val="center"/>
          </w:tcPr>
          <w:p w14:paraId="3FDF102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105</w:t>
            </w:r>
          </w:p>
        </w:tc>
      </w:tr>
      <w:tr w14:paraId="67A2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64104F">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905C87">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9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015414">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4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782B28">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4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9B31C6">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17999B6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GVF-II 1000-C0105</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282CE4C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724" w:type="pct"/>
            <w:tcBorders>
              <w:top w:val="single" w:color="000000" w:sz="4" w:space="0"/>
              <w:left w:val="single" w:color="000000" w:sz="4" w:space="0"/>
              <w:bottom w:val="single" w:color="000000" w:sz="4" w:space="0"/>
              <w:right w:val="single" w:color="000000" w:sz="4" w:space="0"/>
            </w:tcBorders>
            <w:noWrap w:val="0"/>
            <w:vAlign w:val="center"/>
          </w:tcPr>
          <w:p w14:paraId="31966B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105</w:t>
            </w:r>
          </w:p>
        </w:tc>
      </w:tr>
      <w:tr w14:paraId="56EF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5A1455">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79187E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3BF6B8F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春和二巷3号</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0A1818D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6029E3F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146" w:type="pct"/>
            <w:tcBorders>
              <w:top w:val="single" w:color="000000" w:sz="4" w:space="0"/>
              <w:left w:val="single" w:color="000000" w:sz="4" w:space="0"/>
              <w:bottom w:val="single" w:color="000000" w:sz="4" w:space="0"/>
              <w:right w:val="single" w:color="000000" w:sz="4" w:space="0"/>
            </w:tcBorders>
            <w:noWrap/>
            <w:vAlign w:val="center"/>
          </w:tcPr>
          <w:p w14:paraId="5875F52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GVF-II 800-C090</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67907C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800</w:t>
            </w:r>
          </w:p>
        </w:tc>
        <w:tc>
          <w:tcPr>
            <w:tcW w:w="724" w:type="pct"/>
            <w:tcBorders>
              <w:top w:val="single" w:color="000000" w:sz="4" w:space="0"/>
              <w:left w:val="single" w:color="000000" w:sz="4" w:space="0"/>
              <w:bottom w:val="single" w:color="000000" w:sz="4" w:space="0"/>
              <w:right w:val="single" w:color="000000" w:sz="4" w:space="0"/>
            </w:tcBorders>
            <w:noWrap w:val="0"/>
            <w:vAlign w:val="center"/>
          </w:tcPr>
          <w:p w14:paraId="29B839E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90</w:t>
            </w:r>
          </w:p>
        </w:tc>
      </w:tr>
      <w:tr w14:paraId="1C5B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48E36E">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420599E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59512AE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春和二巷5号</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4646C3F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7231AF5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146" w:type="pct"/>
            <w:tcBorders>
              <w:top w:val="single" w:color="000000" w:sz="4" w:space="0"/>
              <w:left w:val="single" w:color="000000" w:sz="4" w:space="0"/>
              <w:bottom w:val="single" w:color="000000" w:sz="4" w:space="0"/>
              <w:right w:val="single" w:color="000000" w:sz="4" w:space="0"/>
            </w:tcBorders>
            <w:noWrap/>
            <w:vAlign w:val="center"/>
          </w:tcPr>
          <w:p w14:paraId="0C5A42E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GVF-II 800-C090</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1F18964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800</w:t>
            </w:r>
          </w:p>
        </w:tc>
        <w:tc>
          <w:tcPr>
            <w:tcW w:w="724" w:type="pct"/>
            <w:tcBorders>
              <w:top w:val="single" w:color="000000" w:sz="4" w:space="0"/>
              <w:left w:val="single" w:color="000000" w:sz="4" w:space="0"/>
              <w:bottom w:val="single" w:color="000000" w:sz="4" w:space="0"/>
              <w:right w:val="single" w:color="000000" w:sz="4" w:space="0"/>
            </w:tcBorders>
            <w:noWrap w:val="0"/>
            <w:vAlign w:val="center"/>
          </w:tcPr>
          <w:p w14:paraId="7AC89C0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90</w:t>
            </w:r>
          </w:p>
        </w:tc>
      </w:tr>
      <w:tr w14:paraId="1E0E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CCCDD6">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14:paraId="172A541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972" w:type="pct"/>
            <w:vMerge w:val="restart"/>
            <w:tcBorders>
              <w:top w:val="single" w:color="000000" w:sz="4" w:space="0"/>
              <w:left w:val="single" w:color="000000" w:sz="4" w:space="0"/>
              <w:bottom w:val="single" w:color="000000" w:sz="4" w:space="0"/>
              <w:right w:val="single" w:color="000000" w:sz="4" w:space="0"/>
            </w:tcBorders>
            <w:noWrap w:val="0"/>
            <w:vAlign w:val="center"/>
          </w:tcPr>
          <w:p w14:paraId="21A45CA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春和一巷3号</w:t>
            </w:r>
          </w:p>
        </w:tc>
        <w:tc>
          <w:tcPr>
            <w:tcW w:w="422" w:type="pct"/>
            <w:vMerge w:val="restart"/>
            <w:tcBorders>
              <w:top w:val="single" w:color="000000" w:sz="4" w:space="0"/>
              <w:left w:val="single" w:color="000000" w:sz="4" w:space="0"/>
              <w:bottom w:val="single" w:color="000000" w:sz="4" w:space="0"/>
              <w:right w:val="single" w:color="000000" w:sz="4" w:space="0"/>
            </w:tcBorders>
            <w:noWrap/>
            <w:vAlign w:val="center"/>
          </w:tcPr>
          <w:p w14:paraId="14C5BFD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402" w:type="pct"/>
            <w:vMerge w:val="restart"/>
            <w:tcBorders>
              <w:top w:val="single" w:color="000000" w:sz="4" w:space="0"/>
              <w:left w:val="single" w:color="000000" w:sz="4" w:space="0"/>
              <w:bottom w:val="single" w:color="000000" w:sz="4" w:space="0"/>
              <w:right w:val="single" w:color="000000" w:sz="4" w:space="0"/>
            </w:tcBorders>
            <w:noWrap w:val="0"/>
            <w:vAlign w:val="center"/>
          </w:tcPr>
          <w:p w14:paraId="4952D3A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146" w:type="pct"/>
            <w:tcBorders>
              <w:top w:val="single" w:color="000000" w:sz="4" w:space="0"/>
              <w:left w:val="single" w:color="000000" w:sz="4" w:space="0"/>
              <w:bottom w:val="single" w:color="000000" w:sz="4" w:space="0"/>
              <w:right w:val="single" w:color="000000" w:sz="4" w:space="0"/>
            </w:tcBorders>
            <w:noWrap/>
            <w:vAlign w:val="center"/>
          </w:tcPr>
          <w:p w14:paraId="0F2ECE6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GVF-II 1000-C0105</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6EBEE31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724" w:type="pct"/>
            <w:tcBorders>
              <w:top w:val="single" w:color="000000" w:sz="4" w:space="0"/>
              <w:left w:val="single" w:color="000000" w:sz="4" w:space="0"/>
              <w:bottom w:val="single" w:color="000000" w:sz="4" w:space="0"/>
              <w:right w:val="single" w:color="000000" w:sz="4" w:space="0"/>
            </w:tcBorders>
            <w:noWrap w:val="0"/>
            <w:vAlign w:val="center"/>
          </w:tcPr>
          <w:p w14:paraId="207E29B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105</w:t>
            </w:r>
          </w:p>
        </w:tc>
      </w:tr>
      <w:tr w14:paraId="7DF3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1956A6">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9A4079">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9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D11EEA">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422" w:type="pct"/>
            <w:vMerge w:val="continue"/>
            <w:tcBorders>
              <w:top w:val="single" w:color="000000" w:sz="4" w:space="0"/>
              <w:left w:val="single" w:color="000000" w:sz="4" w:space="0"/>
              <w:bottom w:val="single" w:color="000000" w:sz="4" w:space="0"/>
              <w:right w:val="single" w:color="000000" w:sz="4" w:space="0"/>
            </w:tcBorders>
            <w:noWrap/>
            <w:vAlign w:val="center"/>
          </w:tcPr>
          <w:p w14:paraId="2A2A5F05">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4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F95C82">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1146" w:type="pct"/>
            <w:tcBorders>
              <w:top w:val="single" w:color="000000" w:sz="4" w:space="0"/>
              <w:left w:val="single" w:color="000000" w:sz="4" w:space="0"/>
              <w:bottom w:val="single" w:color="000000" w:sz="4" w:space="0"/>
              <w:right w:val="single" w:color="000000" w:sz="4" w:space="0"/>
            </w:tcBorders>
            <w:noWrap/>
            <w:vAlign w:val="center"/>
          </w:tcPr>
          <w:p w14:paraId="20FAC60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GVF-II 1000-C0105</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77DB624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724" w:type="pct"/>
            <w:tcBorders>
              <w:top w:val="single" w:color="000000" w:sz="4" w:space="0"/>
              <w:left w:val="single" w:color="000000" w:sz="4" w:space="0"/>
              <w:bottom w:val="single" w:color="000000" w:sz="4" w:space="0"/>
              <w:right w:val="single" w:color="000000" w:sz="4" w:space="0"/>
            </w:tcBorders>
            <w:noWrap w:val="0"/>
            <w:vAlign w:val="center"/>
          </w:tcPr>
          <w:p w14:paraId="0997C7F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105</w:t>
            </w:r>
          </w:p>
        </w:tc>
      </w:tr>
      <w:tr w14:paraId="06684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7C2762">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14:paraId="051D478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972" w:type="pct"/>
            <w:vMerge w:val="restart"/>
            <w:tcBorders>
              <w:top w:val="single" w:color="000000" w:sz="4" w:space="0"/>
              <w:left w:val="single" w:color="000000" w:sz="4" w:space="0"/>
              <w:bottom w:val="single" w:color="000000" w:sz="4" w:space="0"/>
              <w:right w:val="single" w:color="000000" w:sz="4" w:space="0"/>
            </w:tcBorders>
            <w:noWrap w:val="0"/>
            <w:vAlign w:val="center"/>
          </w:tcPr>
          <w:p w14:paraId="78020B8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民和二巷6号</w:t>
            </w:r>
          </w:p>
        </w:tc>
        <w:tc>
          <w:tcPr>
            <w:tcW w:w="422" w:type="pct"/>
            <w:vMerge w:val="restart"/>
            <w:tcBorders>
              <w:top w:val="single" w:color="000000" w:sz="4" w:space="0"/>
              <w:left w:val="single" w:color="000000" w:sz="4" w:space="0"/>
              <w:bottom w:val="single" w:color="000000" w:sz="4" w:space="0"/>
              <w:right w:val="single" w:color="000000" w:sz="4" w:space="0"/>
            </w:tcBorders>
            <w:noWrap/>
            <w:vAlign w:val="center"/>
          </w:tcPr>
          <w:p w14:paraId="29EE641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402" w:type="pct"/>
            <w:vMerge w:val="restart"/>
            <w:tcBorders>
              <w:top w:val="single" w:color="000000" w:sz="4" w:space="0"/>
              <w:left w:val="single" w:color="000000" w:sz="4" w:space="0"/>
              <w:bottom w:val="single" w:color="000000" w:sz="4" w:space="0"/>
              <w:right w:val="single" w:color="000000" w:sz="4" w:space="0"/>
            </w:tcBorders>
            <w:noWrap w:val="0"/>
            <w:vAlign w:val="center"/>
          </w:tcPr>
          <w:p w14:paraId="40D63FA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146" w:type="pct"/>
            <w:tcBorders>
              <w:top w:val="single" w:color="000000" w:sz="4" w:space="0"/>
              <w:left w:val="single" w:color="000000" w:sz="4" w:space="0"/>
              <w:bottom w:val="single" w:color="000000" w:sz="4" w:space="0"/>
              <w:right w:val="single" w:color="000000" w:sz="4" w:space="0"/>
            </w:tcBorders>
            <w:noWrap/>
            <w:vAlign w:val="center"/>
          </w:tcPr>
          <w:p w14:paraId="2ED3CAA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GVF-II 1000-C0105</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52D8C15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724" w:type="pct"/>
            <w:tcBorders>
              <w:top w:val="single" w:color="000000" w:sz="4" w:space="0"/>
              <w:left w:val="single" w:color="000000" w:sz="4" w:space="0"/>
              <w:bottom w:val="single" w:color="000000" w:sz="4" w:space="0"/>
              <w:right w:val="single" w:color="000000" w:sz="4" w:space="0"/>
            </w:tcBorders>
            <w:noWrap w:val="0"/>
            <w:vAlign w:val="center"/>
          </w:tcPr>
          <w:p w14:paraId="6E9A071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105</w:t>
            </w:r>
          </w:p>
        </w:tc>
      </w:tr>
      <w:tr w14:paraId="79C14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3A23BB">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A53D5D">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9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5E787D">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422" w:type="pct"/>
            <w:vMerge w:val="continue"/>
            <w:tcBorders>
              <w:top w:val="single" w:color="000000" w:sz="4" w:space="0"/>
              <w:left w:val="single" w:color="000000" w:sz="4" w:space="0"/>
              <w:bottom w:val="single" w:color="000000" w:sz="4" w:space="0"/>
              <w:right w:val="single" w:color="000000" w:sz="4" w:space="0"/>
            </w:tcBorders>
            <w:noWrap/>
            <w:vAlign w:val="center"/>
          </w:tcPr>
          <w:p w14:paraId="285CE805">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4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543E00">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1146" w:type="pct"/>
            <w:tcBorders>
              <w:top w:val="single" w:color="000000" w:sz="4" w:space="0"/>
              <w:left w:val="single" w:color="000000" w:sz="4" w:space="0"/>
              <w:bottom w:val="single" w:color="000000" w:sz="4" w:space="0"/>
              <w:right w:val="single" w:color="000000" w:sz="4" w:space="0"/>
            </w:tcBorders>
            <w:noWrap/>
            <w:vAlign w:val="center"/>
          </w:tcPr>
          <w:p w14:paraId="4805561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GVF-II 1000-C0105</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65BD1AA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724" w:type="pct"/>
            <w:tcBorders>
              <w:top w:val="single" w:color="000000" w:sz="4" w:space="0"/>
              <w:left w:val="single" w:color="000000" w:sz="4" w:space="0"/>
              <w:bottom w:val="single" w:color="000000" w:sz="4" w:space="0"/>
              <w:right w:val="single" w:color="000000" w:sz="4" w:space="0"/>
            </w:tcBorders>
            <w:noWrap w:val="0"/>
            <w:vAlign w:val="center"/>
          </w:tcPr>
          <w:p w14:paraId="1847DB8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105</w:t>
            </w:r>
          </w:p>
        </w:tc>
      </w:tr>
      <w:tr w14:paraId="2686F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B57A11">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786D0BD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0AF4026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春和一巷8号</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25035A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24007EE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146" w:type="pct"/>
            <w:tcBorders>
              <w:top w:val="single" w:color="000000" w:sz="4" w:space="0"/>
              <w:left w:val="single" w:color="000000" w:sz="4" w:space="0"/>
              <w:bottom w:val="single" w:color="000000" w:sz="4" w:space="0"/>
              <w:right w:val="single" w:color="000000" w:sz="4" w:space="0"/>
            </w:tcBorders>
            <w:noWrap/>
            <w:vAlign w:val="center"/>
          </w:tcPr>
          <w:p w14:paraId="2CA2C6F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GVF-II 800-C090</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53A8626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800</w:t>
            </w:r>
          </w:p>
        </w:tc>
        <w:tc>
          <w:tcPr>
            <w:tcW w:w="724" w:type="pct"/>
            <w:tcBorders>
              <w:top w:val="single" w:color="000000" w:sz="4" w:space="0"/>
              <w:left w:val="single" w:color="000000" w:sz="4" w:space="0"/>
              <w:bottom w:val="single" w:color="000000" w:sz="4" w:space="0"/>
              <w:right w:val="single" w:color="000000" w:sz="4" w:space="0"/>
            </w:tcBorders>
            <w:noWrap w:val="0"/>
            <w:vAlign w:val="center"/>
          </w:tcPr>
          <w:p w14:paraId="6E02319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90</w:t>
            </w:r>
          </w:p>
        </w:tc>
      </w:tr>
      <w:tr w14:paraId="57B51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07338E">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4FE8344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1C6827C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春和一巷6号</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D96B80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23A266A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146" w:type="pct"/>
            <w:tcBorders>
              <w:top w:val="single" w:color="000000" w:sz="4" w:space="0"/>
              <w:left w:val="single" w:color="000000" w:sz="4" w:space="0"/>
              <w:bottom w:val="single" w:color="000000" w:sz="4" w:space="0"/>
              <w:right w:val="single" w:color="000000" w:sz="4" w:space="0"/>
            </w:tcBorders>
            <w:noWrap/>
            <w:vAlign w:val="center"/>
          </w:tcPr>
          <w:p w14:paraId="229D9BE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GVF-II 800-C090</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0B65F34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800</w:t>
            </w:r>
          </w:p>
        </w:tc>
        <w:tc>
          <w:tcPr>
            <w:tcW w:w="724" w:type="pct"/>
            <w:tcBorders>
              <w:top w:val="single" w:color="000000" w:sz="4" w:space="0"/>
              <w:left w:val="single" w:color="000000" w:sz="4" w:space="0"/>
              <w:bottom w:val="single" w:color="000000" w:sz="4" w:space="0"/>
              <w:right w:val="single" w:color="000000" w:sz="4" w:space="0"/>
            </w:tcBorders>
            <w:noWrap w:val="0"/>
            <w:vAlign w:val="center"/>
          </w:tcPr>
          <w:p w14:paraId="2173253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90</w:t>
            </w:r>
          </w:p>
        </w:tc>
      </w:tr>
      <w:tr w14:paraId="0137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395" w:type="pct"/>
            <w:vMerge w:val="restart"/>
            <w:tcBorders>
              <w:top w:val="single" w:color="000000" w:sz="4" w:space="0"/>
              <w:left w:val="single" w:color="000000" w:sz="4" w:space="0"/>
              <w:bottom w:val="single" w:color="000000" w:sz="4" w:space="0"/>
              <w:right w:val="single" w:color="000000" w:sz="4" w:space="0"/>
            </w:tcBorders>
            <w:noWrap w:val="0"/>
            <w:vAlign w:val="center"/>
          </w:tcPr>
          <w:p w14:paraId="17FADA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聚德花园</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3066823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972" w:type="pct"/>
            <w:tcBorders>
              <w:top w:val="single" w:color="000000" w:sz="4" w:space="0"/>
              <w:left w:val="single" w:color="000000" w:sz="4" w:space="0"/>
              <w:bottom w:val="single" w:color="000000" w:sz="4" w:space="0"/>
              <w:right w:val="single" w:color="000000" w:sz="4" w:space="0"/>
            </w:tcBorders>
            <w:noWrap w:val="0"/>
            <w:vAlign w:val="bottom"/>
          </w:tcPr>
          <w:p w14:paraId="5F533F10">
            <w:pPr>
              <w:keepNext w:val="0"/>
              <w:keepLines w:val="0"/>
              <w:widowControl/>
              <w:suppressLineNumbers w:val="0"/>
              <w:spacing w:line="360" w:lineRule="auto"/>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海珠区聚德中街6号</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884EF9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4752741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146" w:type="pct"/>
            <w:tcBorders>
              <w:top w:val="single" w:color="000000" w:sz="4" w:space="0"/>
              <w:left w:val="single" w:color="000000" w:sz="4" w:space="0"/>
              <w:bottom w:val="single" w:color="000000" w:sz="4" w:space="0"/>
              <w:right w:val="single" w:color="000000" w:sz="4" w:space="0"/>
            </w:tcBorders>
            <w:noWrap/>
            <w:vAlign w:val="center"/>
          </w:tcPr>
          <w:p w14:paraId="7510324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HGP-630-CO60</w:t>
            </w: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2179698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630</w:t>
            </w:r>
          </w:p>
        </w:tc>
        <w:tc>
          <w:tcPr>
            <w:tcW w:w="724" w:type="pct"/>
            <w:tcBorders>
              <w:top w:val="single" w:color="000000" w:sz="4" w:space="0"/>
              <w:left w:val="single" w:color="000000" w:sz="4" w:space="0"/>
              <w:bottom w:val="single" w:color="000000" w:sz="4" w:space="0"/>
              <w:right w:val="single" w:color="000000" w:sz="4" w:space="0"/>
            </w:tcBorders>
            <w:noWrap/>
            <w:vAlign w:val="center"/>
          </w:tcPr>
          <w:p w14:paraId="4C63B17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r>
      <w:tr w14:paraId="1392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82A56E">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1E6814F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972" w:type="pct"/>
            <w:tcBorders>
              <w:top w:val="single" w:color="000000" w:sz="4" w:space="0"/>
              <w:left w:val="single" w:color="000000" w:sz="4" w:space="0"/>
              <w:bottom w:val="single" w:color="000000" w:sz="4" w:space="0"/>
              <w:right w:val="single" w:color="000000" w:sz="4" w:space="0"/>
            </w:tcBorders>
            <w:noWrap w:val="0"/>
            <w:vAlign w:val="bottom"/>
          </w:tcPr>
          <w:p w14:paraId="3D41A631">
            <w:pPr>
              <w:keepNext w:val="0"/>
              <w:keepLines w:val="0"/>
              <w:widowControl/>
              <w:suppressLineNumbers w:val="0"/>
              <w:spacing w:line="360" w:lineRule="auto"/>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海珠区聚德中街8号</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1328E9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5EA6376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146" w:type="pct"/>
            <w:tcBorders>
              <w:top w:val="single" w:color="000000" w:sz="4" w:space="0"/>
              <w:left w:val="single" w:color="000000" w:sz="4" w:space="0"/>
              <w:bottom w:val="single" w:color="000000" w:sz="4" w:space="0"/>
              <w:right w:val="single" w:color="000000" w:sz="4" w:space="0"/>
            </w:tcBorders>
            <w:noWrap/>
            <w:vAlign w:val="center"/>
          </w:tcPr>
          <w:p w14:paraId="2427540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HGP-630-CO60</w:t>
            </w: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741277A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630</w:t>
            </w:r>
          </w:p>
        </w:tc>
        <w:tc>
          <w:tcPr>
            <w:tcW w:w="724" w:type="pct"/>
            <w:tcBorders>
              <w:top w:val="single" w:color="000000" w:sz="4" w:space="0"/>
              <w:left w:val="single" w:color="000000" w:sz="4" w:space="0"/>
              <w:bottom w:val="single" w:color="000000" w:sz="4" w:space="0"/>
              <w:right w:val="single" w:color="000000" w:sz="4" w:space="0"/>
            </w:tcBorders>
            <w:noWrap/>
            <w:vAlign w:val="center"/>
          </w:tcPr>
          <w:p w14:paraId="15E3320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r>
      <w:tr w14:paraId="570A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3DFC63">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608E8CC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972" w:type="pct"/>
            <w:tcBorders>
              <w:top w:val="single" w:color="000000" w:sz="4" w:space="0"/>
              <w:left w:val="single" w:color="000000" w:sz="4" w:space="0"/>
              <w:bottom w:val="single" w:color="000000" w:sz="4" w:space="0"/>
              <w:right w:val="single" w:color="000000" w:sz="4" w:space="0"/>
            </w:tcBorders>
            <w:noWrap w:val="0"/>
            <w:vAlign w:val="bottom"/>
          </w:tcPr>
          <w:p w14:paraId="7C032433">
            <w:pPr>
              <w:keepNext w:val="0"/>
              <w:keepLines w:val="0"/>
              <w:widowControl/>
              <w:suppressLineNumbers w:val="0"/>
              <w:spacing w:line="360" w:lineRule="auto"/>
              <w:jc w:val="center"/>
              <w:textAlignment w:val="bottom"/>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海珠区聚德中街10号</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B0BDB6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1B2FD03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146" w:type="pct"/>
            <w:tcBorders>
              <w:top w:val="single" w:color="000000" w:sz="4" w:space="0"/>
              <w:left w:val="single" w:color="000000" w:sz="4" w:space="0"/>
              <w:bottom w:val="single" w:color="000000" w:sz="4" w:space="0"/>
              <w:right w:val="single" w:color="000000" w:sz="4" w:space="0"/>
            </w:tcBorders>
            <w:noWrap/>
            <w:vAlign w:val="center"/>
          </w:tcPr>
          <w:p w14:paraId="36B90DB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HGP-630-CO60</w:t>
            </w: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1F5DE4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630</w:t>
            </w:r>
          </w:p>
        </w:tc>
        <w:tc>
          <w:tcPr>
            <w:tcW w:w="724" w:type="pct"/>
            <w:tcBorders>
              <w:top w:val="single" w:color="000000" w:sz="4" w:space="0"/>
              <w:left w:val="single" w:color="000000" w:sz="4" w:space="0"/>
              <w:bottom w:val="single" w:color="000000" w:sz="4" w:space="0"/>
              <w:right w:val="single" w:color="000000" w:sz="4" w:space="0"/>
            </w:tcBorders>
            <w:noWrap/>
            <w:vAlign w:val="center"/>
          </w:tcPr>
          <w:p w14:paraId="5E63DC1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r>
      <w:tr w14:paraId="09FF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683" w:type="pct"/>
            <w:gridSpan w:val="3"/>
            <w:tcBorders>
              <w:top w:val="single" w:color="000000" w:sz="4" w:space="0"/>
              <w:left w:val="single" w:color="000000" w:sz="4" w:space="0"/>
              <w:bottom w:val="single" w:color="000000" w:sz="4" w:space="0"/>
              <w:right w:val="single" w:color="000000" w:sz="4" w:space="0"/>
            </w:tcBorders>
            <w:noWrap w:val="0"/>
            <w:vAlign w:val="center"/>
          </w:tcPr>
          <w:p w14:paraId="469D72B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合计</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C6DFB37">
            <w:pPr>
              <w:spacing w:line="360" w:lineRule="auto"/>
              <w:jc w:val="center"/>
              <w:rPr>
                <w:rFonts w:hint="eastAsia" w:asciiTheme="minorEastAsia" w:hAnsiTheme="minorEastAsia" w:eastAsiaTheme="minorEastAsia" w:cstheme="minorEastAsia"/>
                <w:b/>
                <w:bCs/>
                <w:i w:val="0"/>
                <w:iCs w:val="0"/>
                <w:color w:val="auto"/>
                <w:sz w:val="24"/>
                <w:szCs w:val="24"/>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53B891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15</w:t>
            </w:r>
          </w:p>
        </w:tc>
        <w:tc>
          <w:tcPr>
            <w:tcW w:w="1146" w:type="pct"/>
            <w:tcBorders>
              <w:top w:val="single" w:color="000000" w:sz="4" w:space="0"/>
              <w:left w:val="single" w:color="000000" w:sz="4" w:space="0"/>
              <w:bottom w:val="single" w:color="000000" w:sz="4" w:space="0"/>
              <w:right w:val="single" w:color="000000" w:sz="4" w:space="0"/>
            </w:tcBorders>
            <w:noWrap/>
            <w:vAlign w:val="center"/>
          </w:tcPr>
          <w:p w14:paraId="5708507E">
            <w:pPr>
              <w:spacing w:line="360" w:lineRule="auto"/>
              <w:jc w:val="center"/>
              <w:rPr>
                <w:rFonts w:hint="eastAsia" w:asciiTheme="minorEastAsia" w:hAnsiTheme="minorEastAsia" w:eastAsiaTheme="minorEastAsia" w:cstheme="minorEastAsia"/>
                <w:b/>
                <w:bCs/>
                <w:i w:val="0"/>
                <w:iCs w:val="0"/>
                <w:color w:val="auto"/>
                <w:sz w:val="24"/>
                <w:szCs w:val="24"/>
                <w:highlight w:val="none"/>
                <w:u w:val="none"/>
              </w:rPr>
            </w:pP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522277B0">
            <w:pPr>
              <w:spacing w:line="360" w:lineRule="auto"/>
              <w:jc w:val="center"/>
              <w:rPr>
                <w:rFonts w:hint="eastAsia" w:asciiTheme="minorEastAsia" w:hAnsiTheme="minorEastAsia" w:eastAsiaTheme="minorEastAsia" w:cstheme="minorEastAsia"/>
                <w:b/>
                <w:bCs/>
                <w:i w:val="0"/>
                <w:iCs w:val="0"/>
                <w:color w:val="auto"/>
                <w:sz w:val="24"/>
                <w:szCs w:val="24"/>
                <w:highlight w:val="none"/>
                <w:u w:val="none"/>
              </w:rPr>
            </w:pPr>
          </w:p>
        </w:tc>
        <w:tc>
          <w:tcPr>
            <w:tcW w:w="724" w:type="pct"/>
            <w:tcBorders>
              <w:top w:val="single" w:color="000000" w:sz="4" w:space="0"/>
              <w:left w:val="single" w:color="000000" w:sz="4" w:space="0"/>
              <w:bottom w:val="single" w:color="000000" w:sz="4" w:space="0"/>
              <w:right w:val="single" w:color="000000" w:sz="4" w:space="0"/>
            </w:tcBorders>
            <w:noWrap/>
            <w:vAlign w:val="center"/>
          </w:tcPr>
          <w:p w14:paraId="6C7CE7B1">
            <w:pPr>
              <w:spacing w:line="360" w:lineRule="auto"/>
              <w:jc w:val="center"/>
              <w:rPr>
                <w:rFonts w:hint="eastAsia" w:asciiTheme="minorEastAsia" w:hAnsiTheme="minorEastAsia" w:eastAsiaTheme="minorEastAsia" w:cstheme="minorEastAsia"/>
                <w:b/>
                <w:bCs/>
                <w:i w:val="0"/>
                <w:iCs w:val="0"/>
                <w:color w:val="auto"/>
                <w:sz w:val="24"/>
                <w:szCs w:val="24"/>
                <w:highlight w:val="none"/>
                <w:u w:val="none"/>
              </w:rPr>
            </w:pPr>
          </w:p>
        </w:tc>
      </w:tr>
    </w:tbl>
    <w:p w14:paraId="45DF76EE">
      <w:pPr>
        <w:spacing w:line="360" w:lineRule="auto"/>
        <w:rPr>
          <w:rFonts w:hint="eastAsia" w:asciiTheme="minorEastAsia" w:hAnsiTheme="minorEastAsia" w:eastAsiaTheme="minorEastAsia" w:cstheme="minorEastAsia"/>
          <w:color w:val="auto"/>
          <w:sz w:val="24"/>
          <w:szCs w:val="24"/>
          <w:highlight w:val="none"/>
        </w:rPr>
      </w:pPr>
      <w:bookmarkStart w:id="17" w:name="OLE_LINK20"/>
      <w:bookmarkStart w:id="18" w:name="OLE_LINK21"/>
      <w:r>
        <w:rPr>
          <w:rFonts w:hint="eastAsia" w:asciiTheme="minorEastAsia" w:hAnsiTheme="minorEastAsia" w:eastAsiaTheme="minorEastAsia" w:cstheme="minorEastAsia"/>
          <w:color w:val="auto"/>
          <w:sz w:val="24"/>
          <w:szCs w:val="24"/>
          <w:highlight w:val="none"/>
        </w:rPr>
        <w:t>注：以上数据仅供参考，投标人自行现场踏勘，记录、了解、熟悉底坑、井道、机房的具体情况。</w:t>
      </w:r>
    </w:p>
    <w:bookmarkEnd w:id="17"/>
    <w:p w14:paraId="64D8B1F4">
      <w:pPr>
        <w:pStyle w:val="3"/>
        <w:keepNext w:val="0"/>
        <w:keepLines w:val="0"/>
        <w:adjustRightInd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二、工作内容及技术需求</w:t>
      </w:r>
    </w:p>
    <w:p w14:paraId="1BAAA3CD">
      <w:pPr>
        <w:pStyle w:val="36"/>
        <w:numPr>
          <w:ilvl w:val="0"/>
          <w:numId w:val="0"/>
        </w:num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工作内容</w:t>
      </w:r>
    </w:p>
    <w:p w14:paraId="38E4DCC2">
      <w:pPr>
        <w:pStyle w:val="36"/>
        <w:numPr>
          <w:ilvl w:val="0"/>
          <w:numId w:val="0"/>
        </w:numPr>
        <w:adjustRightInd w:val="0"/>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（1）拆除原有电梯所有部件（包括楼层踏板及门套，除首层厅门门套除锈打磨翻新处理），并负责清运、处理和残值回收。</w:t>
      </w:r>
    </w:p>
    <w:p w14:paraId="00F38C41">
      <w:pPr>
        <w:pStyle w:val="2"/>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（2）对原有电梯底坑、井道、机房等改造修整，满足新电梯安装要求。</w:t>
      </w:r>
    </w:p>
    <w:p w14:paraId="63F69F94">
      <w:pPr>
        <w:pStyle w:val="2"/>
        <w:adjustRightInd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（3）新装电梯设备采购、安装，新装电梯的档次、品质原则上应相当于或高于原有电梯。</w:t>
      </w:r>
    </w:p>
    <w:p w14:paraId="205A2873">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报价应包含新电梯设备费、安装费、运输费、调试验收费、政府部门验收费、24个月维护保养费、楼层踏板、五方通话（含视频电缆）、井道照明费、垃圾清理费，拆卸原电梯费用及残值回收，底坑、井道、机房等土建整改费用。</w:t>
      </w:r>
    </w:p>
    <w:p w14:paraId="4768E6C4">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2、技术参数、内部装饰及功能要求</w:t>
      </w:r>
    </w:p>
    <w:p w14:paraId="5F141C4F">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电梯规格及数量（</w:t>
      </w:r>
      <w:r>
        <w:rPr>
          <w:rFonts w:hint="eastAsia" w:ascii="宋体" w:hAnsi="宋体" w:eastAsia="宋体" w:cs="宋体"/>
          <w:b/>
          <w:color w:val="auto"/>
          <w:sz w:val="24"/>
          <w:szCs w:val="24"/>
          <w:highlight w:val="none"/>
          <w:lang w:val="en-US" w:eastAsia="zh-CN"/>
        </w:rPr>
        <w:t>聚德中街6号、8号、10号不下地下室外，其它</w:t>
      </w:r>
      <w:r>
        <w:rPr>
          <w:rFonts w:hint="eastAsia" w:ascii="宋体" w:hAnsi="宋体" w:eastAsia="宋体" w:cs="宋体"/>
          <w:b/>
          <w:color w:val="auto"/>
          <w:sz w:val="24"/>
          <w:szCs w:val="24"/>
          <w:highlight w:val="none"/>
        </w:rPr>
        <w:t>楼栋1#梯为消防及无障碍梯，可下地下室</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w:t>
      </w:r>
    </w:p>
    <w:bookmarkEnd w:id="18"/>
    <w:tbl>
      <w:tblPr>
        <w:tblStyle w:val="20"/>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5475"/>
        <w:gridCol w:w="1729"/>
        <w:gridCol w:w="777"/>
        <w:gridCol w:w="915"/>
      </w:tblGrid>
      <w:tr w14:paraId="3DC6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jc w:val="center"/>
        </w:trPr>
        <w:tc>
          <w:tcPr>
            <w:tcW w:w="764" w:type="dxa"/>
            <w:noWrap w:val="0"/>
            <w:vAlign w:val="center"/>
          </w:tcPr>
          <w:p w14:paraId="5F60E067">
            <w:pPr>
              <w:spacing w:line="360" w:lineRule="auto"/>
              <w:jc w:val="center"/>
              <w:rPr>
                <w:rFonts w:hint="eastAsia" w:asciiTheme="minorEastAsia" w:hAnsiTheme="minorEastAsia" w:eastAsiaTheme="minorEastAsia" w:cstheme="minorEastAsia"/>
                <w:b/>
                <w:color w:val="auto"/>
                <w:kern w:val="0"/>
                <w:sz w:val="24"/>
                <w:szCs w:val="24"/>
                <w:highlight w:val="none"/>
              </w:rPr>
            </w:pPr>
            <w:bookmarkStart w:id="19" w:name="OLE_LINK22"/>
            <w:r>
              <w:rPr>
                <w:rFonts w:hint="eastAsia" w:asciiTheme="minorEastAsia" w:hAnsiTheme="minorEastAsia" w:eastAsiaTheme="minorEastAsia" w:cstheme="minorEastAsia"/>
                <w:b/>
                <w:color w:val="auto"/>
                <w:kern w:val="0"/>
                <w:sz w:val="24"/>
                <w:szCs w:val="24"/>
                <w:highlight w:val="none"/>
              </w:rPr>
              <w:t>序号</w:t>
            </w:r>
          </w:p>
        </w:tc>
        <w:tc>
          <w:tcPr>
            <w:tcW w:w="5475" w:type="dxa"/>
            <w:noWrap w:val="0"/>
            <w:vAlign w:val="center"/>
          </w:tcPr>
          <w:p w14:paraId="3B1980F2">
            <w:pPr>
              <w:spacing w:line="360" w:lineRule="auto"/>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楼栋及电梯编号</w:t>
            </w:r>
          </w:p>
        </w:tc>
        <w:tc>
          <w:tcPr>
            <w:tcW w:w="1729" w:type="dxa"/>
            <w:noWrap w:val="0"/>
            <w:vAlign w:val="center"/>
          </w:tcPr>
          <w:p w14:paraId="04322B02">
            <w:pPr>
              <w:spacing w:line="360" w:lineRule="auto"/>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规格</w:t>
            </w:r>
          </w:p>
        </w:tc>
        <w:tc>
          <w:tcPr>
            <w:tcW w:w="777" w:type="dxa"/>
            <w:noWrap w:val="0"/>
            <w:vAlign w:val="center"/>
          </w:tcPr>
          <w:p w14:paraId="43A2257F">
            <w:pPr>
              <w:spacing w:line="360" w:lineRule="auto"/>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单位</w:t>
            </w:r>
          </w:p>
        </w:tc>
        <w:tc>
          <w:tcPr>
            <w:tcW w:w="915" w:type="dxa"/>
            <w:noWrap w:val="0"/>
            <w:vAlign w:val="center"/>
          </w:tcPr>
          <w:p w14:paraId="024F9E41">
            <w:pPr>
              <w:spacing w:line="360" w:lineRule="auto"/>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数量</w:t>
            </w:r>
          </w:p>
        </w:tc>
      </w:tr>
      <w:tr w14:paraId="5D1D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4" w:type="dxa"/>
            <w:noWrap w:val="0"/>
            <w:vAlign w:val="center"/>
          </w:tcPr>
          <w:p w14:paraId="1F47AEDE">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5475" w:type="dxa"/>
            <w:noWrap w:val="0"/>
            <w:vAlign w:val="center"/>
          </w:tcPr>
          <w:p w14:paraId="7299BF44">
            <w:pPr>
              <w:spacing w:line="360" w:lineRule="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春和一巷1号、3号、7号2#，民和二巷6号2#</w:t>
            </w:r>
          </w:p>
        </w:tc>
        <w:tc>
          <w:tcPr>
            <w:tcW w:w="1729" w:type="dxa"/>
            <w:noWrap w:val="0"/>
            <w:vAlign w:val="center"/>
          </w:tcPr>
          <w:p w14:paraId="25EAF1D8">
            <w:pPr>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层/站/门：18/18/18</w:t>
            </w:r>
          </w:p>
        </w:tc>
        <w:tc>
          <w:tcPr>
            <w:tcW w:w="777" w:type="dxa"/>
            <w:noWrap w:val="0"/>
            <w:vAlign w:val="center"/>
          </w:tcPr>
          <w:p w14:paraId="2E044CDB">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台</w:t>
            </w:r>
          </w:p>
        </w:tc>
        <w:tc>
          <w:tcPr>
            <w:tcW w:w="915" w:type="dxa"/>
            <w:noWrap w:val="0"/>
            <w:vAlign w:val="center"/>
          </w:tcPr>
          <w:p w14:paraId="6214012A">
            <w:pPr>
              <w:spacing w:line="360" w:lineRule="auto"/>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4</w:t>
            </w:r>
          </w:p>
        </w:tc>
      </w:tr>
      <w:tr w14:paraId="0554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64" w:type="dxa"/>
            <w:noWrap w:val="0"/>
            <w:vAlign w:val="center"/>
          </w:tcPr>
          <w:p w14:paraId="0FB6ED67">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5475" w:type="dxa"/>
            <w:noWrap w:val="0"/>
            <w:vAlign w:val="center"/>
          </w:tcPr>
          <w:p w14:paraId="118937C7">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春和一巷1号、3号、7号1#，民和二巷6号1#</w:t>
            </w:r>
          </w:p>
        </w:tc>
        <w:tc>
          <w:tcPr>
            <w:tcW w:w="1729" w:type="dxa"/>
            <w:noWrap w:val="0"/>
            <w:vAlign w:val="center"/>
          </w:tcPr>
          <w:p w14:paraId="474CAE97">
            <w:pPr>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层/站/门：19/19/19</w:t>
            </w:r>
          </w:p>
        </w:tc>
        <w:tc>
          <w:tcPr>
            <w:tcW w:w="777" w:type="dxa"/>
            <w:noWrap w:val="0"/>
            <w:vAlign w:val="center"/>
          </w:tcPr>
          <w:p w14:paraId="02681142">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台</w:t>
            </w:r>
          </w:p>
        </w:tc>
        <w:tc>
          <w:tcPr>
            <w:tcW w:w="915" w:type="dxa"/>
            <w:noWrap w:val="0"/>
            <w:vAlign w:val="center"/>
          </w:tcPr>
          <w:p w14:paraId="4A731326">
            <w:pPr>
              <w:spacing w:line="360" w:lineRule="auto"/>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4</w:t>
            </w:r>
          </w:p>
        </w:tc>
      </w:tr>
      <w:tr w14:paraId="5026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64" w:type="dxa"/>
            <w:noWrap w:val="0"/>
            <w:vAlign w:val="center"/>
          </w:tcPr>
          <w:p w14:paraId="32A3C1C9">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5475" w:type="dxa"/>
            <w:noWrap w:val="0"/>
            <w:vAlign w:val="center"/>
          </w:tcPr>
          <w:p w14:paraId="437FA5C5">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春和一巷6号、8号，春和二巷3号、5号1#</w:t>
            </w:r>
          </w:p>
        </w:tc>
        <w:tc>
          <w:tcPr>
            <w:tcW w:w="1729" w:type="dxa"/>
            <w:noWrap w:val="0"/>
            <w:vAlign w:val="center"/>
          </w:tcPr>
          <w:p w14:paraId="64C917A4">
            <w:pPr>
              <w:spacing w:line="360" w:lineRule="auto"/>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层/站/门：</w:t>
            </w:r>
            <w:r>
              <w:rPr>
                <w:rFonts w:hint="eastAsia" w:asciiTheme="minorEastAsia" w:hAnsiTheme="minorEastAsia" w:eastAsiaTheme="minorEastAsia" w:cstheme="minorEastAsia"/>
                <w:color w:val="auto"/>
                <w:kern w:val="0"/>
                <w:sz w:val="24"/>
                <w:szCs w:val="24"/>
                <w:highlight w:val="none"/>
                <w:lang w:val="en-US" w:eastAsia="zh-CN"/>
              </w:rPr>
              <w:t>12</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12</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12</w:t>
            </w:r>
          </w:p>
        </w:tc>
        <w:tc>
          <w:tcPr>
            <w:tcW w:w="777" w:type="dxa"/>
            <w:noWrap w:val="0"/>
            <w:vAlign w:val="center"/>
          </w:tcPr>
          <w:p w14:paraId="73F7D1D3">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台</w:t>
            </w:r>
          </w:p>
        </w:tc>
        <w:tc>
          <w:tcPr>
            <w:tcW w:w="915" w:type="dxa"/>
            <w:noWrap w:val="0"/>
            <w:vAlign w:val="center"/>
          </w:tcPr>
          <w:p w14:paraId="681B0CF2">
            <w:pPr>
              <w:spacing w:line="360" w:lineRule="auto"/>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4</w:t>
            </w:r>
          </w:p>
        </w:tc>
      </w:tr>
      <w:tr w14:paraId="7A24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64" w:type="dxa"/>
            <w:noWrap w:val="0"/>
            <w:vAlign w:val="center"/>
          </w:tcPr>
          <w:p w14:paraId="42FF9EFE">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5475" w:type="dxa"/>
            <w:noWrap w:val="0"/>
            <w:vAlign w:val="center"/>
          </w:tcPr>
          <w:p w14:paraId="05CF8126">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聚德中街6号</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8号、10号1#</w:t>
            </w:r>
          </w:p>
        </w:tc>
        <w:tc>
          <w:tcPr>
            <w:tcW w:w="1729" w:type="dxa"/>
            <w:noWrap w:val="0"/>
            <w:vAlign w:val="center"/>
          </w:tcPr>
          <w:p w14:paraId="0618B724">
            <w:pPr>
              <w:spacing w:line="360" w:lineRule="auto"/>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层/站/门：</w:t>
            </w: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7</w:t>
            </w:r>
          </w:p>
        </w:tc>
        <w:tc>
          <w:tcPr>
            <w:tcW w:w="777" w:type="dxa"/>
            <w:noWrap w:val="0"/>
            <w:vAlign w:val="center"/>
          </w:tcPr>
          <w:p w14:paraId="3D9A990A">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台</w:t>
            </w:r>
          </w:p>
        </w:tc>
        <w:tc>
          <w:tcPr>
            <w:tcW w:w="915" w:type="dxa"/>
            <w:noWrap w:val="0"/>
            <w:vAlign w:val="center"/>
          </w:tcPr>
          <w:p w14:paraId="3EBFFA66">
            <w:pPr>
              <w:spacing w:line="360" w:lineRule="auto"/>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w:t>
            </w:r>
          </w:p>
        </w:tc>
      </w:tr>
      <w:tr w14:paraId="474C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968" w:type="dxa"/>
            <w:gridSpan w:val="3"/>
            <w:noWrap w:val="0"/>
            <w:vAlign w:val="center"/>
          </w:tcPr>
          <w:p w14:paraId="46CFD1ED">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电梯小计：</w:t>
            </w:r>
          </w:p>
        </w:tc>
        <w:tc>
          <w:tcPr>
            <w:tcW w:w="777" w:type="dxa"/>
            <w:noWrap w:val="0"/>
            <w:vAlign w:val="center"/>
          </w:tcPr>
          <w:p w14:paraId="1346866A">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台</w:t>
            </w:r>
          </w:p>
        </w:tc>
        <w:tc>
          <w:tcPr>
            <w:tcW w:w="915" w:type="dxa"/>
            <w:noWrap w:val="0"/>
            <w:vAlign w:val="center"/>
          </w:tcPr>
          <w:p w14:paraId="522A8A47">
            <w:pPr>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15</w:t>
            </w:r>
          </w:p>
        </w:tc>
      </w:tr>
      <w:bookmarkEnd w:id="19"/>
    </w:tbl>
    <w:p w14:paraId="44B52433">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春和一巷1号、3号、7号、民和二巷6号1#、2#</w:t>
      </w:r>
      <w:r>
        <w:rPr>
          <w:rFonts w:hint="eastAsia" w:asciiTheme="minorEastAsia" w:hAnsiTheme="minorEastAsia" w:eastAsiaTheme="minorEastAsia" w:cstheme="minorEastAsia"/>
          <w:b/>
          <w:color w:val="auto"/>
          <w:sz w:val="24"/>
          <w:szCs w:val="24"/>
          <w:highlight w:val="none"/>
        </w:rPr>
        <w:t>技术参数要求（配置不低于以下要求）：</w:t>
      </w:r>
    </w:p>
    <w:tbl>
      <w:tblPr>
        <w:tblStyle w:val="20"/>
        <w:tblW w:w="89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5670"/>
        <w:gridCol w:w="2552"/>
      </w:tblGrid>
      <w:tr w14:paraId="01038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709" w:type="dxa"/>
            <w:noWrap w:val="0"/>
            <w:vAlign w:val="center"/>
          </w:tcPr>
          <w:p w14:paraId="0818005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5670" w:type="dxa"/>
            <w:noWrap w:val="0"/>
            <w:vAlign w:val="center"/>
          </w:tcPr>
          <w:p w14:paraId="23C95AC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技术规格、参数及要求</w:t>
            </w:r>
          </w:p>
        </w:tc>
        <w:tc>
          <w:tcPr>
            <w:tcW w:w="2552" w:type="dxa"/>
            <w:noWrap w:val="0"/>
            <w:vAlign w:val="center"/>
          </w:tcPr>
          <w:p w14:paraId="2769F54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备注</w:t>
            </w:r>
          </w:p>
        </w:tc>
      </w:tr>
      <w:tr w14:paraId="4BF56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400821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670" w:type="dxa"/>
            <w:noWrap w:val="0"/>
            <w:vAlign w:val="center"/>
          </w:tcPr>
          <w:p w14:paraId="6A83A70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额定载重量</w:t>
            </w: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0kg。</w:t>
            </w:r>
          </w:p>
        </w:tc>
        <w:tc>
          <w:tcPr>
            <w:tcW w:w="2552" w:type="dxa"/>
            <w:noWrap w:val="0"/>
            <w:vAlign w:val="center"/>
          </w:tcPr>
          <w:p w14:paraId="1AA07F42">
            <w:pPr>
              <w:spacing w:line="360" w:lineRule="auto"/>
              <w:rPr>
                <w:rFonts w:hint="eastAsia" w:asciiTheme="minorEastAsia" w:hAnsiTheme="minorEastAsia" w:eastAsiaTheme="minorEastAsia" w:cstheme="minorEastAsia"/>
                <w:color w:val="auto"/>
                <w:sz w:val="24"/>
                <w:szCs w:val="24"/>
                <w:highlight w:val="none"/>
              </w:rPr>
            </w:pPr>
          </w:p>
        </w:tc>
      </w:tr>
      <w:tr w14:paraId="774D4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74D77D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5670" w:type="dxa"/>
            <w:noWrap w:val="0"/>
            <w:vAlign w:val="center"/>
          </w:tcPr>
          <w:p w14:paraId="713A8DC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产品：有机房电梯</w:t>
            </w:r>
            <w:r>
              <w:rPr>
                <w:rFonts w:hint="eastAsia" w:asciiTheme="minorEastAsia" w:hAnsiTheme="minorEastAsia" w:eastAsiaTheme="minorEastAsia" w:cstheme="minorEastAsia"/>
                <w:color w:val="auto"/>
                <w:sz w:val="24"/>
                <w:szCs w:val="24"/>
                <w:highlight w:val="none"/>
              </w:rPr>
              <w:t>。</w:t>
            </w:r>
          </w:p>
        </w:tc>
        <w:tc>
          <w:tcPr>
            <w:tcW w:w="2552" w:type="dxa"/>
            <w:noWrap w:val="0"/>
            <w:vAlign w:val="center"/>
          </w:tcPr>
          <w:p w14:paraId="7942D5E7">
            <w:pPr>
              <w:spacing w:line="360" w:lineRule="auto"/>
              <w:rPr>
                <w:rFonts w:hint="eastAsia" w:asciiTheme="minorEastAsia" w:hAnsiTheme="minorEastAsia" w:eastAsiaTheme="minorEastAsia" w:cstheme="minorEastAsia"/>
                <w:color w:val="auto"/>
                <w:sz w:val="24"/>
                <w:szCs w:val="24"/>
                <w:highlight w:val="none"/>
              </w:rPr>
            </w:pPr>
          </w:p>
        </w:tc>
      </w:tr>
      <w:tr w14:paraId="4AE50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6EE5FF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5670" w:type="dxa"/>
            <w:noWrap w:val="0"/>
            <w:vAlign w:val="center"/>
          </w:tcPr>
          <w:p w14:paraId="0EA2E5E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额定</w:t>
            </w:r>
            <w:r>
              <w:rPr>
                <w:rFonts w:hint="eastAsia" w:asciiTheme="minorEastAsia" w:hAnsiTheme="minorEastAsia" w:eastAsiaTheme="minorEastAsia" w:cstheme="minorEastAsia"/>
                <w:color w:val="auto"/>
                <w:sz w:val="24"/>
                <w:szCs w:val="24"/>
                <w:highlight w:val="none"/>
              </w:rPr>
              <w:t>速度≥</w:t>
            </w:r>
            <w:r>
              <w:rPr>
                <w:rFonts w:hint="eastAsia" w:asciiTheme="minorEastAsia" w:hAnsiTheme="minorEastAsia" w:eastAsiaTheme="minorEastAsia" w:cstheme="minorEastAsia"/>
                <w:color w:val="auto"/>
                <w:sz w:val="24"/>
                <w:szCs w:val="24"/>
                <w:highlight w:val="none"/>
                <w:lang w:val="en-US" w:eastAsia="zh-CN"/>
              </w:rPr>
              <w:t>1.75</w:t>
            </w:r>
            <w:r>
              <w:rPr>
                <w:rFonts w:hint="eastAsia" w:asciiTheme="minorEastAsia" w:hAnsiTheme="minorEastAsia" w:eastAsiaTheme="minorEastAsia" w:cstheme="minorEastAsia"/>
                <w:color w:val="auto"/>
                <w:sz w:val="24"/>
                <w:szCs w:val="24"/>
                <w:highlight w:val="none"/>
              </w:rPr>
              <w:t>m/s。</w:t>
            </w:r>
          </w:p>
        </w:tc>
        <w:tc>
          <w:tcPr>
            <w:tcW w:w="2552" w:type="dxa"/>
            <w:noWrap w:val="0"/>
            <w:vAlign w:val="center"/>
          </w:tcPr>
          <w:p w14:paraId="46BBD62B">
            <w:pPr>
              <w:spacing w:line="360" w:lineRule="auto"/>
              <w:rPr>
                <w:rFonts w:hint="eastAsia" w:asciiTheme="minorEastAsia" w:hAnsiTheme="minorEastAsia" w:eastAsiaTheme="minorEastAsia" w:cstheme="minorEastAsia"/>
                <w:color w:val="auto"/>
                <w:sz w:val="24"/>
                <w:szCs w:val="24"/>
                <w:highlight w:val="none"/>
              </w:rPr>
            </w:pPr>
          </w:p>
        </w:tc>
      </w:tr>
      <w:tr w14:paraId="605AF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D43E42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5670" w:type="dxa"/>
            <w:noWrap w:val="0"/>
            <w:vAlign w:val="center"/>
          </w:tcPr>
          <w:p w14:paraId="3DCF994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层站门：详见电梯现状参数表</w:t>
            </w:r>
          </w:p>
        </w:tc>
        <w:tc>
          <w:tcPr>
            <w:tcW w:w="2552" w:type="dxa"/>
            <w:noWrap w:val="0"/>
            <w:vAlign w:val="center"/>
          </w:tcPr>
          <w:p w14:paraId="7E0995B1">
            <w:pPr>
              <w:spacing w:line="360" w:lineRule="auto"/>
              <w:rPr>
                <w:rFonts w:hint="eastAsia" w:asciiTheme="minorEastAsia" w:hAnsiTheme="minorEastAsia" w:eastAsiaTheme="minorEastAsia" w:cstheme="minorEastAsia"/>
                <w:color w:val="auto"/>
                <w:sz w:val="24"/>
                <w:szCs w:val="24"/>
                <w:highlight w:val="none"/>
              </w:rPr>
            </w:pPr>
          </w:p>
        </w:tc>
      </w:tr>
      <w:tr w14:paraId="66DE2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0A10CE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5670" w:type="dxa"/>
            <w:noWrap w:val="0"/>
            <w:vAlign w:val="center"/>
          </w:tcPr>
          <w:p w14:paraId="79A191A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服务楼层：详见电梯现状参数表</w:t>
            </w:r>
          </w:p>
        </w:tc>
        <w:tc>
          <w:tcPr>
            <w:tcW w:w="2552" w:type="dxa"/>
            <w:noWrap w:val="0"/>
            <w:vAlign w:val="center"/>
          </w:tcPr>
          <w:p w14:paraId="723F8C48">
            <w:pPr>
              <w:spacing w:line="360" w:lineRule="auto"/>
              <w:rPr>
                <w:rFonts w:hint="eastAsia" w:asciiTheme="minorEastAsia" w:hAnsiTheme="minorEastAsia" w:eastAsiaTheme="minorEastAsia" w:cstheme="minorEastAsia"/>
                <w:color w:val="auto"/>
                <w:sz w:val="24"/>
                <w:szCs w:val="24"/>
                <w:highlight w:val="none"/>
              </w:rPr>
            </w:pPr>
          </w:p>
        </w:tc>
      </w:tr>
      <w:tr w14:paraId="7A541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48B5CA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5670" w:type="dxa"/>
            <w:noWrap w:val="0"/>
            <w:vAlign w:val="center"/>
          </w:tcPr>
          <w:p w14:paraId="1B55C30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有基站。</w:t>
            </w:r>
          </w:p>
        </w:tc>
        <w:tc>
          <w:tcPr>
            <w:tcW w:w="2552" w:type="dxa"/>
            <w:noWrap w:val="0"/>
            <w:vAlign w:val="center"/>
          </w:tcPr>
          <w:p w14:paraId="0B7A0430">
            <w:pPr>
              <w:spacing w:line="360" w:lineRule="auto"/>
              <w:rPr>
                <w:rFonts w:hint="eastAsia" w:asciiTheme="minorEastAsia" w:hAnsiTheme="minorEastAsia" w:eastAsiaTheme="minorEastAsia" w:cstheme="minorEastAsia"/>
                <w:color w:val="auto"/>
                <w:sz w:val="24"/>
                <w:szCs w:val="24"/>
                <w:highlight w:val="none"/>
              </w:rPr>
            </w:pPr>
          </w:p>
        </w:tc>
      </w:tr>
      <w:tr w14:paraId="4F996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47BF79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5670" w:type="dxa"/>
            <w:noWrap w:val="0"/>
            <w:vAlign w:val="center"/>
          </w:tcPr>
          <w:p w14:paraId="6B5A2608">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驱动方式：微机控制交流变频调压调速</w:t>
            </w:r>
            <w:r>
              <w:rPr>
                <w:rFonts w:hint="eastAsia" w:asciiTheme="minorEastAsia" w:hAnsiTheme="minorEastAsia" w:eastAsiaTheme="minorEastAsia" w:cstheme="minorEastAsia"/>
                <w:color w:val="auto"/>
                <w:sz w:val="24"/>
                <w:szCs w:val="24"/>
                <w:highlight w:val="none"/>
                <w:lang w:eastAsia="zh-CN"/>
              </w:rPr>
              <w:t>。</w:t>
            </w:r>
          </w:p>
        </w:tc>
        <w:tc>
          <w:tcPr>
            <w:tcW w:w="2552" w:type="dxa"/>
            <w:noWrap w:val="0"/>
            <w:vAlign w:val="center"/>
          </w:tcPr>
          <w:p w14:paraId="78706FA5">
            <w:pPr>
              <w:spacing w:line="360" w:lineRule="auto"/>
              <w:rPr>
                <w:rFonts w:hint="eastAsia" w:asciiTheme="minorEastAsia" w:hAnsiTheme="minorEastAsia" w:eastAsiaTheme="minorEastAsia" w:cstheme="minorEastAsia"/>
                <w:color w:val="auto"/>
                <w:sz w:val="24"/>
                <w:szCs w:val="24"/>
                <w:highlight w:val="none"/>
              </w:rPr>
            </w:pPr>
          </w:p>
        </w:tc>
      </w:tr>
      <w:tr w14:paraId="6A6AB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05CA04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5670" w:type="dxa"/>
            <w:noWrap w:val="0"/>
            <w:vAlign w:val="center"/>
          </w:tcPr>
          <w:p w14:paraId="72CD11A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动力电源：</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相AC380V 50Hz。</w:t>
            </w:r>
          </w:p>
        </w:tc>
        <w:tc>
          <w:tcPr>
            <w:tcW w:w="2552" w:type="dxa"/>
            <w:noWrap w:val="0"/>
            <w:vAlign w:val="center"/>
          </w:tcPr>
          <w:p w14:paraId="42F04FDF">
            <w:pPr>
              <w:spacing w:line="360" w:lineRule="auto"/>
              <w:rPr>
                <w:rFonts w:hint="eastAsia" w:asciiTheme="minorEastAsia" w:hAnsiTheme="minorEastAsia" w:eastAsiaTheme="minorEastAsia" w:cstheme="minorEastAsia"/>
                <w:color w:val="auto"/>
                <w:sz w:val="24"/>
                <w:szCs w:val="24"/>
                <w:highlight w:val="none"/>
              </w:rPr>
            </w:pPr>
          </w:p>
        </w:tc>
      </w:tr>
      <w:tr w14:paraId="11966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4EE5CA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5670" w:type="dxa"/>
            <w:noWrap w:val="0"/>
            <w:vAlign w:val="center"/>
          </w:tcPr>
          <w:p w14:paraId="032A530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照明电源：</w:t>
            </w:r>
            <w:r>
              <w:rPr>
                <w:rFonts w:hint="eastAsia" w:asciiTheme="minorEastAsia" w:hAnsiTheme="minorEastAsia" w:eastAsiaTheme="minorEastAsia" w:cstheme="minorEastAsia"/>
                <w:color w:val="auto"/>
                <w:sz w:val="24"/>
                <w:szCs w:val="24"/>
                <w:highlight w:val="none"/>
                <w:lang w:val="en-US" w:eastAsia="zh-CN"/>
              </w:rPr>
              <w:t>单相</w:t>
            </w:r>
            <w:r>
              <w:rPr>
                <w:rFonts w:hint="eastAsia" w:asciiTheme="minorEastAsia" w:hAnsiTheme="minorEastAsia" w:eastAsiaTheme="minorEastAsia" w:cstheme="minorEastAsia"/>
                <w:color w:val="auto"/>
                <w:sz w:val="24"/>
                <w:szCs w:val="24"/>
                <w:highlight w:val="none"/>
              </w:rPr>
              <w:t>AC220V 50Hz。</w:t>
            </w:r>
          </w:p>
        </w:tc>
        <w:tc>
          <w:tcPr>
            <w:tcW w:w="2552" w:type="dxa"/>
            <w:noWrap w:val="0"/>
            <w:vAlign w:val="center"/>
          </w:tcPr>
          <w:p w14:paraId="5C2EB2E6">
            <w:pPr>
              <w:spacing w:line="360" w:lineRule="auto"/>
              <w:rPr>
                <w:rFonts w:hint="eastAsia" w:asciiTheme="minorEastAsia" w:hAnsiTheme="minorEastAsia" w:eastAsiaTheme="minorEastAsia" w:cstheme="minorEastAsia"/>
                <w:color w:val="auto"/>
                <w:sz w:val="24"/>
                <w:szCs w:val="24"/>
                <w:highlight w:val="none"/>
              </w:rPr>
            </w:pPr>
          </w:p>
        </w:tc>
      </w:tr>
      <w:tr w14:paraId="444AC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207BEF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5670" w:type="dxa"/>
            <w:noWrap w:val="0"/>
            <w:vAlign w:val="center"/>
          </w:tcPr>
          <w:p w14:paraId="0B048A3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控制方式：同一栋2台电梯并联。</w:t>
            </w:r>
          </w:p>
        </w:tc>
        <w:tc>
          <w:tcPr>
            <w:tcW w:w="2552" w:type="dxa"/>
            <w:noWrap w:val="0"/>
            <w:vAlign w:val="center"/>
          </w:tcPr>
          <w:p w14:paraId="66D706CA">
            <w:pPr>
              <w:spacing w:line="360" w:lineRule="auto"/>
              <w:rPr>
                <w:rFonts w:hint="eastAsia" w:asciiTheme="minorEastAsia" w:hAnsiTheme="minorEastAsia" w:eastAsiaTheme="minorEastAsia" w:cstheme="minorEastAsia"/>
                <w:color w:val="auto"/>
                <w:sz w:val="24"/>
                <w:szCs w:val="24"/>
                <w:highlight w:val="none"/>
              </w:rPr>
            </w:pPr>
          </w:p>
        </w:tc>
      </w:tr>
      <w:tr w14:paraId="64439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F98188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5670" w:type="dxa"/>
            <w:noWrap w:val="0"/>
            <w:vAlign w:val="center"/>
          </w:tcPr>
          <w:p w14:paraId="105435D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制作标准：满足国家现行标准。</w:t>
            </w:r>
          </w:p>
        </w:tc>
        <w:tc>
          <w:tcPr>
            <w:tcW w:w="2552" w:type="dxa"/>
            <w:noWrap w:val="0"/>
            <w:vAlign w:val="center"/>
          </w:tcPr>
          <w:p w14:paraId="67DE1CE1">
            <w:pPr>
              <w:spacing w:line="360" w:lineRule="auto"/>
              <w:rPr>
                <w:rFonts w:hint="eastAsia" w:asciiTheme="minorEastAsia" w:hAnsiTheme="minorEastAsia" w:eastAsiaTheme="minorEastAsia" w:cstheme="minorEastAsia"/>
                <w:color w:val="auto"/>
                <w:sz w:val="24"/>
                <w:szCs w:val="24"/>
                <w:highlight w:val="none"/>
              </w:rPr>
            </w:pPr>
          </w:p>
        </w:tc>
      </w:tr>
      <w:tr w14:paraId="320FE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0A5BA0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5670" w:type="dxa"/>
            <w:noWrap w:val="0"/>
            <w:vAlign w:val="center"/>
          </w:tcPr>
          <w:p w14:paraId="36499EE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井道尺寸(宽×深)(mm)：以现场实测为准。</w:t>
            </w:r>
          </w:p>
        </w:tc>
        <w:tc>
          <w:tcPr>
            <w:tcW w:w="2552" w:type="dxa"/>
            <w:noWrap w:val="0"/>
            <w:vAlign w:val="center"/>
          </w:tcPr>
          <w:p w14:paraId="44B9C1D2">
            <w:pPr>
              <w:spacing w:line="360" w:lineRule="auto"/>
              <w:rPr>
                <w:rFonts w:hint="eastAsia" w:asciiTheme="minorEastAsia" w:hAnsiTheme="minorEastAsia" w:eastAsiaTheme="minorEastAsia" w:cstheme="minorEastAsia"/>
                <w:color w:val="auto"/>
                <w:sz w:val="24"/>
                <w:szCs w:val="24"/>
                <w:highlight w:val="none"/>
              </w:rPr>
            </w:pPr>
          </w:p>
        </w:tc>
      </w:tr>
      <w:tr w14:paraId="26CD0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3A9D28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5670" w:type="dxa"/>
            <w:noWrap w:val="0"/>
            <w:vAlign w:val="center"/>
          </w:tcPr>
          <w:p w14:paraId="1E39959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机房尺寸(宽×深×高)(mm)：以现场实测为准。</w:t>
            </w:r>
          </w:p>
        </w:tc>
        <w:tc>
          <w:tcPr>
            <w:tcW w:w="2552" w:type="dxa"/>
            <w:noWrap w:val="0"/>
            <w:vAlign w:val="center"/>
          </w:tcPr>
          <w:p w14:paraId="6205199D">
            <w:pPr>
              <w:spacing w:line="360" w:lineRule="auto"/>
              <w:rPr>
                <w:rFonts w:hint="eastAsia" w:asciiTheme="minorEastAsia" w:hAnsiTheme="minorEastAsia" w:eastAsiaTheme="minorEastAsia" w:cstheme="minorEastAsia"/>
                <w:color w:val="auto"/>
                <w:sz w:val="24"/>
                <w:szCs w:val="24"/>
                <w:highlight w:val="none"/>
              </w:rPr>
            </w:pPr>
          </w:p>
        </w:tc>
      </w:tr>
      <w:tr w14:paraId="702C2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9C3F72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5670" w:type="dxa"/>
            <w:noWrap w:val="0"/>
            <w:vAlign w:val="center"/>
          </w:tcPr>
          <w:p w14:paraId="53CBB25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井道总高(m) ：以现场实测为准</w:t>
            </w:r>
          </w:p>
        </w:tc>
        <w:tc>
          <w:tcPr>
            <w:tcW w:w="2552" w:type="dxa"/>
            <w:noWrap w:val="0"/>
            <w:vAlign w:val="center"/>
          </w:tcPr>
          <w:p w14:paraId="330DD83F">
            <w:pPr>
              <w:spacing w:line="360" w:lineRule="auto"/>
              <w:rPr>
                <w:rFonts w:hint="eastAsia" w:asciiTheme="minorEastAsia" w:hAnsiTheme="minorEastAsia" w:eastAsiaTheme="minorEastAsia" w:cstheme="minorEastAsia"/>
                <w:color w:val="auto"/>
                <w:sz w:val="24"/>
                <w:szCs w:val="24"/>
                <w:highlight w:val="none"/>
              </w:rPr>
            </w:pPr>
          </w:p>
        </w:tc>
      </w:tr>
      <w:tr w14:paraId="52588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BE78CF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5670" w:type="dxa"/>
            <w:noWrap w:val="0"/>
            <w:vAlign w:val="center"/>
          </w:tcPr>
          <w:p w14:paraId="399425C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提升高度(m)：以现场实测为准。</w:t>
            </w:r>
          </w:p>
        </w:tc>
        <w:tc>
          <w:tcPr>
            <w:tcW w:w="2552" w:type="dxa"/>
            <w:noWrap w:val="0"/>
            <w:vAlign w:val="center"/>
          </w:tcPr>
          <w:p w14:paraId="3C18F64A">
            <w:pPr>
              <w:spacing w:line="360" w:lineRule="auto"/>
              <w:rPr>
                <w:rFonts w:hint="eastAsia" w:asciiTheme="minorEastAsia" w:hAnsiTheme="minorEastAsia" w:eastAsiaTheme="minorEastAsia" w:cstheme="minorEastAsia"/>
                <w:color w:val="auto"/>
                <w:sz w:val="24"/>
                <w:szCs w:val="24"/>
                <w:highlight w:val="none"/>
              </w:rPr>
            </w:pPr>
          </w:p>
        </w:tc>
      </w:tr>
      <w:tr w14:paraId="35614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68EC66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5670" w:type="dxa"/>
            <w:noWrap w:val="0"/>
            <w:vAlign w:val="center"/>
          </w:tcPr>
          <w:p w14:paraId="6581B6B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顶层净高(mm)：以现场实测为准。</w:t>
            </w:r>
          </w:p>
        </w:tc>
        <w:tc>
          <w:tcPr>
            <w:tcW w:w="2552" w:type="dxa"/>
            <w:noWrap w:val="0"/>
            <w:vAlign w:val="center"/>
          </w:tcPr>
          <w:p w14:paraId="56CAC88C">
            <w:pPr>
              <w:spacing w:line="360" w:lineRule="auto"/>
              <w:rPr>
                <w:rFonts w:hint="eastAsia" w:asciiTheme="minorEastAsia" w:hAnsiTheme="minorEastAsia" w:eastAsiaTheme="minorEastAsia" w:cstheme="minorEastAsia"/>
                <w:color w:val="auto"/>
                <w:sz w:val="24"/>
                <w:szCs w:val="24"/>
                <w:highlight w:val="none"/>
              </w:rPr>
            </w:pPr>
          </w:p>
        </w:tc>
      </w:tr>
      <w:tr w14:paraId="193B6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AA9038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5670" w:type="dxa"/>
            <w:noWrap w:val="0"/>
            <w:vAlign w:val="center"/>
          </w:tcPr>
          <w:p w14:paraId="50B982F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底坑深度(mm)：以现场实测为准。</w:t>
            </w:r>
          </w:p>
        </w:tc>
        <w:tc>
          <w:tcPr>
            <w:tcW w:w="2552" w:type="dxa"/>
            <w:noWrap w:val="0"/>
            <w:vAlign w:val="center"/>
          </w:tcPr>
          <w:p w14:paraId="17833B5F">
            <w:pPr>
              <w:spacing w:line="360" w:lineRule="auto"/>
              <w:rPr>
                <w:rFonts w:hint="eastAsia" w:asciiTheme="minorEastAsia" w:hAnsiTheme="minorEastAsia" w:eastAsiaTheme="minorEastAsia" w:cstheme="minorEastAsia"/>
                <w:color w:val="auto"/>
                <w:sz w:val="24"/>
                <w:szCs w:val="24"/>
                <w:highlight w:val="none"/>
              </w:rPr>
            </w:pPr>
          </w:p>
        </w:tc>
      </w:tr>
      <w:tr w14:paraId="1A939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B0E5A8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5670" w:type="dxa"/>
            <w:noWrap w:val="0"/>
            <w:vAlign w:val="center"/>
          </w:tcPr>
          <w:p w14:paraId="71E3C42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轿厢尺寸(宽×深)(mm) ：以现场实测可满足条件为准。</w:t>
            </w:r>
          </w:p>
        </w:tc>
        <w:tc>
          <w:tcPr>
            <w:tcW w:w="2552" w:type="dxa"/>
            <w:noWrap w:val="0"/>
            <w:vAlign w:val="center"/>
          </w:tcPr>
          <w:p w14:paraId="52070DF1">
            <w:pPr>
              <w:spacing w:line="360" w:lineRule="auto"/>
              <w:rPr>
                <w:rFonts w:hint="eastAsia" w:asciiTheme="minorEastAsia" w:hAnsiTheme="minorEastAsia" w:eastAsiaTheme="minorEastAsia" w:cstheme="minorEastAsia"/>
                <w:color w:val="auto"/>
                <w:sz w:val="24"/>
                <w:szCs w:val="24"/>
                <w:highlight w:val="none"/>
              </w:rPr>
            </w:pPr>
          </w:p>
        </w:tc>
      </w:tr>
      <w:tr w14:paraId="67C0A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357DC2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5670" w:type="dxa"/>
            <w:noWrap w:val="0"/>
            <w:vAlign w:val="center"/>
          </w:tcPr>
          <w:p w14:paraId="70059D6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轿厢天花：风扇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照明。</w:t>
            </w:r>
          </w:p>
        </w:tc>
        <w:tc>
          <w:tcPr>
            <w:tcW w:w="2552" w:type="dxa"/>
            <w:noWrap w:val="0"/>
            <w:vAlign w:val="center"/>
          </w:tcPr>
          <w:p w14:paraId="34A05BC3">
            <w:pPr>
              <w:spacing w:line="360" w:lineRule="auto"/>
              <w:rPr>
                <w:rFonts w:hint="eastAsia" w:asciiTheme="minorEastAsia" w:hAnsiTheme="minorEastAsia" w:eastAsiaTheme="minorEastAsia" w:cstheme="minorEastAsia"/>
                <w:color w:val="auto"/>
                <w:sz w:val="24"/>
                <w:szCs w:val="24"/>
                <w:highlight w:val="none"/>
                <w:lang w:val="en-US" w:eastAsia="zh-CN"/>
              </w:rPr>
            </w:pPr>
          </w:p>
        </w:tc>
      </w:tr>
      <w:tr w14:paraId="1A1AC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AAB70D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5670" w:type="dxa"/>
            <w:noWrap w:val="0"/>
            <w:vAlign w:val="center"/>
          </w:tcPr>
          <w:p w14:paraId="1F5DB7B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轿厢高度：以现场实测可满足条件为准。</w:t>
            </w:r>
          </w:p>
        </w:tc>
        <w:tc>
          <w:tcPr>
            <w:tcW w:w="2552" w:type="dxa"/>
            <w:noWrap w:val="0"/>
            <w:vAlign w:val="center"/>
          </w:tcPr>
          <w:p w14:paraId="168C731A">
            <w:pPr>
              <w:spacing w:line="360" w:lineRule="auto"/>
              <w:rPr>
                <w:rFonts w:hint="eastAsia" w:asciiTheme="minorEastAsia" w:hAnsiTheme="minorEastAsia" w:eastAsiaTheme="minorEastAsia" w:cstheme="minorEastAsia"/>
                <w:color w:val="auto"/>
                <w:sz w:val="24"/>
                <w:szCs w:val="24"/>
                <w:highlight w:val="none"/>
              </w:rPr>
            </w:pPr>
          </w:p>
        </w:tc>
      </w:tr>
      <w:tr w14:paraId="7EA4F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3A6CBA6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5670" w:type="dxa"/>
            <w:noWrap w:val="0"/>
            <w:vAlign w:val="center"/>
          </w:tcPr>
          <w:p w14:paraId="1288400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轿厢前壁：304发纹不锈钢厚度1.5mm。</w:t>
            </w:r>
          </w:p>
        </w:tc>
        <w:tc>
          <w:tcPr>
            <w:tcW w:w="2552" w:type="dxa"/>
            <w:noWrap w:val="0"/>
            <w:vAlign w:val="center"/>
          </w:tcPr>
          <w:p w14:paraId="69DF5101">
            <w:pPr>
              <w:spacing w:line="360" w:lineRule="auto"/>
              <w:rPr>
                <w:rFonts w:hint="eastAsia" w:asciiTheme="minorEastAsia" w:hAnsiTheme="minorEastAsia" w:eastAsiaTheme="minorEastAsia" w:cstheme="minorEastAsia"/>
                <w:color w:val="auto"/>
                <w:sz w:val="24"/>
                <w:szCs w:val="24"/>
                <w:highlight w:val="none"/>
              </w:rPr>
            </w:pPr>
          </w:p>
        </w:tc>
      </w:tr>
      <w:tr w14:paraId="51E8E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697287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5670" w:type="dxa"/>
            <w:noWrap w:val="0"/>
            <w:vAlign w:val="center"/>
          </w:tcPr>
          <w:p w14:paraId="4C66E8B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门灯横梁：304发纹不锈钢厚度1.5mm。</w:t>
            </w:r>
          </w:p>
        </w:tc>
        <w:tc>
          <w:tcPr>
            <w:tcW w:w="2552" w:type="dxa"/>
            <w:noWrap w:val="0"/>
            <w:vAlign w:val="center"/>
          </w:tcPr>
          <w:p w14:paraId="07634D64">
            <w:pPr>
              <w:spacing w:line="360" w:lineRule="auto"/>
              <w:rPr>
                <w:rFonts w:hint="eastAsia" w:asciiTheme="minorEastAsia" w:hAnsiTheme="minorEastAsia" w:eastAsiaTheme="minorEastAsia" w:cstheme="minorEastAsia"/>
                <w:color w:val="auto"/>
                <w:sz w:val="24"/>
                <w:szCs w:val="24"/>
                <w:highlight w:val="none"/>
              </w:rPr>
            </w:pPr>
          </w:p>
        </w:tc>
      </w:tr>
      <w:tr w14:paraId="693F8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63099B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5670" w:type="dxa"/>
            <w:noWrap w:val="0"/>
            <w:vAlign w:val="center"/>
          </w:tcPr>
          <w:p w14:paraId="55401ED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轿厢侧壁：304发纹不锈钢厚度1.5mm。</w:t>
            </w:r>
          </w:p>
        </w:tc>
        <w:tc>
          <w:tcPr>
            <w:tcW w:w="2552" w:type="dxa"/>
            <w:noWrap w:val="0"/>
            <w:vAlign w:val="center"/>
          </w:tcPr>
          <w:p w14:paraId="7C005E45">
            <w:pPr>
              <w:spacing w:line="360" w:lineRule="auto"/>
              <w:rPr>
                <w:rFonts w:hint="eastAsia" w:asciiTheme="minorEastAsia" w:hAnsiTheme="minorEastAsia" w:eastAsiaTheme="minorEastAsia" w:cstheme="minorEastAsia"/>
                <w:color w:val="auto"/>
                <w:sz w:val="24"/>
                <w:szCs w:val="24"/>
                <w:highlight w:val="none"/>
              </w:rPr>
            </w:pPr>
          </w:p>
        </w:tc>
      </w:tr>
      <w:tr w14:paraId="21C96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817CD2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5670" w:type="dxa"/>
            <w:noWrap w:val="0"/>
            <w:vAlign w:val="center"/>
          </w:tcPr>
          <w:p w14:paraId="66F6447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轿厢后壁：中间发纹不锈钢 SUS304+两侧镜面不锈钢。</w:t>
            </w:r>
          </w:p>
        </w:tc>
        <w:tc>
          <w:tcPr>
            <w:tcW w:w="2552" w:type="dxa"/>
            <w:noWrap w:val="0"/>
            <w:vAlign w:val="center"/>
          </w:tcPr>
          <w:p w14:paraId="5DAB2CB5">
            <w:pPr>
              <w:spacing w:line="360" w:lineRule="auto"/>
              <w:rPr>
                <w:rFonts w:hint="eastAsia" w:asciiTheme="minorEastAsia" w:hAnsiTheme="minorEastAsia" w:eastAsiaTheme="minorEastAsia" w:cstheme="minorEastAsia"/>
                <w:color w:val="auto"/>
                <w:sz w:val="24"/>
                <w:szCs w:val="24"/>
                <w:highlight w:val="none"/>
              </w:rPr>
            </w:pPr>
          </w:p>
        </w:tc>
      </w:tr>
      <w:tr w14:paraId="199DC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2DBC86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5670" w:type="dxa"/>
            <w:noWrap w:val="0"/>
            <w:vAlign w:val="center"/>
          </w:tcPr>
          <w:p w14:paraId="61CB493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轿门：304发纹不锈钢厚度1.5mm。</w:t>
            </w:r>
          </w:p>
        </w:tc>
        <w:tc>
          <w:tcPr>
            <w:tcW w:w="2552" w:type="dxa"/>
            <w:noWrap w:val="0"/>
            <w:vAlign w:val="center"/>
          </w:tcPr>
          <w:p w14:paraId="1B697FE7">
            <w:pPr>
              <w:spacing w:line="360" w:lineRule="auto"/>
              <w:rPr>
                <w:rFonts w:hint="eastAsia" w:asciiTheme="minorEastAsia" w:hAnsiTheme="minorEastAsia" w:eastAsiaTheme="minorEastAsia" w:cstheme="minorEastAsia"/>
                <w:color w:val="auto"/>
                <w:sz w:val="24"/>
                <w:szCs w:val="24"/>
                <w:highlight w:val="none"/>
              </w:rPr>
            </w:pPr>
          </w:p>
        </w:tc>
      </w:tr>
      <w:tr w14:paraId="31C9D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3F76D0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5670" w:type="dxa"/>
            <w:noWrap w:val="0"/>
            <w:vAlign w:val="center"/>
          </w:tcPr>
          <w:p w14:paraId="50593F3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轿厢地面：304发纹不锈钢。</w:t>
            </w:r>
          </w:p>
        </w:tc>
        <w:tc>
          <w:tcPr>
            <w:tcW w:w="2552" w:type="dxa"/>
            <w:noWrap w:val="0"/>
            <w:vAlign w:val="center"/>
          </w:tcPr>
          <w:p w14:paraId="0E40B996">
            <w:pPr>
              <w:spacing w:line="360" w:lineRule="auto"/>
              <w:rPr>
                <w:rFonts w:hint="eastAsia" w:asciiTheme="minorEastAsia" w:hAnsiTheme="minorEastAsia" w:eastAsiaTheme="minorEastAsia" w:cstheme="minorEastAsia"/>
                <w:color w:val="auto"/>
                <w:sz w:val="24"/>
                <w:szCs w:val="24"/>
                <w:highlight w:val="none"/>
              </w:rPr>
            </w:pPr>
          </w:p>
        </w:tc>
      </w:tr>
      <w:tr w14:paraId="38646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050DBE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5670" w:type="dxa"/>
            <w:noWrap w:val="0"/>
            <w:vAlign w:val="center"/>
          </w:tcPr>
          <w:p w14:paraId="4C097E6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开门方向：中分门。</w:t>
            </w:r>
          </w:p>
        </w:tc>
        <w:tc>
          <w:tcPr>
            <w:tcW w:w="2552" w:type="dxa"/>
            <w:noWrap w:val="0"/>
            <w:vAlign w:val="center"/>
          </w:tcPr>
          <w:p w14:paraId="181FFD0A">
            <w:pPr>
              <w:spacing w:line="360" w:lineRule="auto"/>
              <w:rPr>
                <w:rFonts w:hint="eastAsia" w:asciiTheme="minorEastAsia" w:hAnsiTheme="minorEastAsia" w:eastAsiaTheme="minorEastAsia" w:cstheme="minorEastAsia"/>
                <w:color w:val="auto"/>
                <w:sz w:val="24"/>
                <w:szCs w:val="24"/>
                <w:highlight w:val="none"/>
              </w:rPr>
            </w:pPr>
          </w:p>
        </w:tc>
      </w:tr>
      <w:tr w14:paraId="49A92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2D277C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w:t>
            </w:r>
          </w:p>
        </w:tc>
        <w:tc>
          <w:tcPr>
            <w:tcW w:w="5670" w:type="dxa"/>
            <w:noWrap w:val="0"/>
            <w:vAlign w:val="center"/>
          </w:tcPr>
          <w:p w14:paraId="0395448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★开门尺寸(宽×高)(mm)：900×2100。</w:t>
            </w:r>
          </w:p>
        </w:tc>
        <w:tc>
          <w:tcPr>
            <w:tcW w:w="2552" w:type="dxa"/>
            <w:noWrap w:val="0"/>
            <w:vAlign w:val="center"/>
          </w:tcPr>
          <w:p w14:paraId="5AD515CB">
            <w:pPr>
              <w:spacing w:line="360" w:lineRule="auto"/>
              <w:rPr>
                <w:rFonts w:hint="eastAsia" w:asciiTheme="minorEastAsia" w:hAnsiTheme="minorEastAsia" w:eastAsiaTheme="minorEastAsia" w:cstheme="minorEastAsia"/>
                <w:color w:val="auto"/>
                <w:sz w:val="24"/>
                <w:szCs w:val="24"/>
                <w:highlight w:val="none"/>
              </w:rPr>
            </w:pPr>
          </w:p>
        </w:tc>
      </w:tr>
      <w:tr w14:paraId="4550E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64D04A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w:t>
            </w:r>
          </w:p>
        </w:tc>
        <w:tc>
          <w:tcPr>
            <w:tcW w:w="5670" w:type="dxa"/>
            <w:noWrap w:val="0"/>
            <w:vAlign w:val="center"/>
          </w:tcPr>
          <w:p w14:paraId="2FF0B47E">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轿厢操纵箱：304发纹不锈钢厚度1.5mm，层显点阵显示</w:t>
            </w:r>
            <w:r>
              <w:rPr>
                <w:rFonts w:hint="eastAsia" w:asciiTheme="minorEastAsia" w:hAnsiTheme="minorEastAsia" w:eastAsiaTheme="minorEastAsia" w:cstheme="minorEastAsia"/>
                <w:color w:val="auto"/>
                <w:sz w:val="24"/>
                <w:szCs w:val="24"/>
                <w:highlight w:val="none"/>
                <w:lang w:eastAsia="zh-CN"/>
              </w:rPr>
              <w:t>。</w:t>
            </w:r>
          </w:p>
        </w:tc>
        <w:tc>
          <w:tcPr>
            <w:tcW w:w="2552" w:type="dxa"/>
            <w:noWrap w:val="0"/>
            <w:vAlign w:val="center"/>
          </w:tcPr>
          <w:p w14:paraId="14919188">
            <w:pPr>
              <w:spacing w:line="360" w:lineRule="auto"/>
              <w:rPr>
                <w:rFonts w:hint="eastAsia" w:asciiTheme="minorEastAsia" w:hAnsiTheme="minorEastAsia" w:eastAsiaTheme="minorEastAsia" w:cstheme="minorEastAsia"/>
                <w:color w:val="auto"/>
                <w:sz w:val="24"/>
                <w:szCs w:val="24"/>
                <w:highlight w:val="none"/>
              </w:rPr>
            </w:pPr>
          </w:p>
        </w:tc>
      </w:tr>
      <w:tr w14:paraId="34217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F413C5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c>
          <w:tcPr>
            <w:tcW w:w="5670" w:type="dxa"/>
            <w:noWrap w:val="0"/>
            <w:vAlign w:val="center"/>
          </w:tcPr>
          <w:p w14:paraId="5C8E17B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操纵箱按钮：不锈钢按钮。</w:t>
            </w:r>
          </w:p>
        </w:tc>
        <w:tc>
          <w:tcPr>
            <w:tcW w:w="2552" w:type="dxa"/>
            <w:noWrap w:val="0"/>
            <w:vAlign w:val="center"/>
          </w:tcPr>
          <w:p w14:paraId="70321A3C">
            <w:pPr>
              <w:spacing w:line="360" w:lineRule="auto"/>
              <w:rPr>
                <w:rFonts w:hint="eastAsia" w:asciiTheme="minorEastAsia" w:hAnsiTheme="minorEastAsia" w:eastAsiaTheme="minorEastAsia" w:cstheme="minorEastAsia"/>
                <w:color w:val="auto"/>
                <w:sz w:val="24"/>
                <w:szCs w:val="24"/>
                <w:highlight w:val="none"/>
              </w:rPr>
            </w:pPr>
          </w:p>
        </w:tc>
      </w:tr>
      <w:tr w14:paraId="2CB2C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386A17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p>
        </w:tc>
        <w:tc>
          <w:tcPr>
            <w:tcW w:w="5670" w:type="dxa"/>
            <w:noWrap w:val="0"/>
            <w:vAlign w:val="center"/>
          </w:tcPr>
          <w:p w14:paraId="14CB6E0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轿厢位置指层器：设置于操纵箱。</w:t>
            </w:r>
          </w:p>
        </w:tc>
        <w:tc>
          <w:tcPr>
            <w:tcW w:w="2552" w:type="dxa"/>
            <w:noWrap w:val="0"/>
            <w:vAlign w:val="center"/>
          </w:tcPr>
          <w:p w14:paraId="5953A01A">
            <w:pPr>
              <w:spacing w:line="360" w:lineRule="auto"/>
              <w:rPr>
                <w:rFonts w:hint="eastAsia" w:asciiTheme="minorEastAsia" w:hAnsiTheme="minorEastAsia" w:eastAsiaTheme="minorEastAsia" w:cstheme="minorEastAsia"/>
                <w:color w:val="auto"/>
                <w:sz w:val="24"/>
                <w:szCs w:val="24"/>
                <w:highlight w:val="none"/>
              </w:rPr>
            </w:pPr>
          </w:p>
        </w:tc>
      </w:tr>
      <w:tr w14:paraId="6BC9E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616461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w:t>
            </w:r>
          </w:p>
        </w:tc>
        <w:tc>
          <w:tcPr>
            <w:tcW w:w="5670" w:type="dxa"/>
            <w:noWrap w:val="0"/>
            <w:vAlign w:val="center"/>
          </w:tcPr>
          <w:p w14:paraId="5233058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门套：一楼不锈钢大门套保留，其余层厅门以现场实测为准。</w:t>
            </w:r>
          </w:p>
        </w:tc>
        <w:tc>
          <w:tcPr>
            <w:tcW w:w="2552" w:type="dxa"/>
            <w:noWrap w:val="0"/>
            <w:vAlign w:val="center"/>
          </w:tcPr>
          <w:p w14:paraId="4F4EDFFB">
            <w:pPr>
              <w:spacing w:line="360" w:lineRule="auto"/>
              <w:rPr>
                <w:rFonts w:hint="eastAsia" w:asciiTheme="minorEastAsia" w:hAnsiTheme="minorEastAsia" w:eastAsiaTheme="minorEastAsia" w:cstheme="minorEastAsia"/>
                <w:color w:val="auto"/>
                <w:sz w:val="24"/>
                <w:szCs w:val="24"/>
                <w:highlight w:val="none"/>
              </w:rPr>
            </w:pPr>
          </w:p>
        </w:tc>
      </w:tr>
      <w:tr w14:paraId="38A3F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B8D8E8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w:t>
            </w:r>
          </w:p>
        </w:tc>
        <w:tc>
          <w:tcPr>
            <w:tcW w:w="5670" w:type="dxa"/>
            <w:noWrap w:val="0"/>
            <w:vAlign w:val="center"/>
          </w:tcPr>
          <w:p w14:paraId="2866901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层（厅）门：所有层304发纹不锈钢厚度1.5mm。</w:t>
            </w:r>
          </w:p>
        </w:tc>
        <w:tc>
          <w:tcPr>
            <w:tcW w:w="2552" w:type="dxa"/>
            <w:noWrap w:val="0"/>
            <w:vAlign w:val="center"/>
          </w:tcPr>
          <w:p w14:paraId="6FE33312">
            <w:pPr>
              <w:spacing w:line="360" w:lineRule="auto"/>
              <w:rPr>
                <w:rFonts w:hint="eastAsia" w:asciiTheme="minorEastAsia" w:hAnsiTheme="minorEastAsia" w:eastAsiaTheme="minorEastAsia" w:cstheme="minorEastAsia"/>
                <w:color w:val="auto"/>
                <w:sz w:val="24"/>
                <w:szCs w:val="24"/>
                <w:highlight w:val="none"/>
              </w:rPr>
            </w:pPr>
          </w:p>
        </w:tc>
      </w:tr>
      <w:tr w14:paraId="27C3D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199C88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w:t>
            </w:r>
          </w:p>
        </w:tc>
        <w:tc>
          <w:tcPr>
            <w:tcW w:w="5670" w:type="dxa"/>
            <w:noWrap w:val="0"/>
            <w:vAlign w:val="center"/>
          </w:tcPr>
          <w:p w14:paraId="04E3B33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厅外召唤指示器：带运行方向、楼层显示及不锈钢按钮。</w:t>
            </w:r>
          </w:p>
        </w:tc>
        <w:tc>
          <w:tcPr>
            <w:tcW w:w="2552" w:type="dxa"/>
            <w:noWrap w:val="0"/>
            <w:vAlign w:val="center"/>
          </w:tcPr>
          <w:p w14:paraId="3ABBDF13">
            <w:pPr>
              <w:spacing w:line="360" w:lineRule="auto"/>
              <w:rPr>
                <w:rFonts w:hint="eastAsia" w:asciiTheme="minorEastAsia" w:hAnsiTheme="minorEastAsia" w:eastAsiaTheme="minorEastAsia" w:cstheme="minorEastAsia"/>
                <w:color w:val="auto"/>
                <w:sz w:val="24"/>
                <w:szCs w:val="24"/>
                <w:highlight w:val="none"/>
              </w:rPr>
            </w:pPr>
          </w:p>
        </w:tc>
      </w:tr>
      <w:tr w14:paraId="0F503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709" w:type="dxa"/>
            <w:noWrap w:val="0"/>
            <w:vAlign w:val="center"/>
          </w:tcPr>
          <w:p w14:paraId="40D422A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w:t>
            </w:r>
          </w:p>
        </w:tc>
        <w:tc>
          <w:tcPr>
            <w:tcW w:w="5670" w:type="dxa"/>
            <w:noWrap w:val="0"/>
            <w:vAlign w:val="center"/>
          </w:tcPr>
          <w:p w14:paraId="0676BDA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▲电梯五大部件：①主机；②控制柜；③安全钳、④限速器；⑤门机。自主技术及生产，须提供型式试验报告等证明文件。上述五大部件质保期不低于六年。</w:t>
            </w:r>
          </w:p>
        </w:tc>
        <w:tc>
          <w:tcPr>
            <w:tcW w:w="2552" w:type="dxa"/>
            <w:noWrap w:val="0"/>
            <w:vAlign w:val="center"/>
          </w:tcPr>
          <w:p w14:paraId="265F095B">
            <w:pPr>
              <w:spacing w:line="360" w:lineRule="auto"/>
              <w:rPr>
                <w:rFonts w:hint="eastAsia" w:asciiTheme="minorEastAsia" w:hAnsiTheme="minorEastAsia" w:eastAsiaTheme="minorEastAsia" w:cstheme="minorEastAsia"/>
                <w:color w:val="auto"/>
                <w:sz w:val="24"/>
                <w:szCs w:val="24"/>
                <w:highlight w:val="none"/>
              </w:rPr>
            </w:pPr>
          </w:p>
        </w:tc>
      </w:tr>
      <w:tr w14:paraId="1FED7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09" w:type="dxa"/>
            <w:noWrap w:val="0"/>
            <w:vAlign w:val="center"/>
          </w:tcPr>
          <w:p w14:paraId="7448E905">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36</w:t>
            </w:r>
          </w:p>
        </w:tc>
        <w:tc>
          <w:tcPr>
            <w:tcW w:w="5670" w:type="dxa"/>
            <w:noWrap w:val="0"/>
            <w:vAlign w:val="center"/>
          </w:tcPr>
          <w:p w14:paraId="27AADA9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配置残疾人操纵箱、盲文按钮并按相关规定设置为消防梯及无障碍梯。</w:t>
            </w:r>
          </w:p>
        </w:tc>
        <w:tc>
          <w:tcPr>
            <w:tcW w:w="2552" w:type="dxa"/>
            <w:noWrap w:val="0"/>
            <w:vAlign w:val="center"/>
          </w:tcPr>
          <w:p w14:paraId="1128399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各楼栋1#梯，可下负一层，共</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台</w:t>
            </w:r>
          </w:p>
        </w:tc>
      </w:tr>
      <w:tr w14:paraId="68EB6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72FCC3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w:t>
            </w:r>
          </w:p>
        </w:tc>
        <w:tc>
          <w:tcPr>
            <w:tcW w:w="5670" w:type="dxa"/>
            <w:noWrap w:val="0"/>
            <w:vAlign w:val="center"/>
          </w:tcPr>
          <w:p w14:paraId="6A0EC73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★导向轮的材质必须为铸铁件</w:t>
            </w:r>
          </w:p>
        </w:tc>
        <w:tc>
          <w:tcPr>
            <w:tcW w:w="2552" w:type="dxa"/>
            <w:noWrap w:val="0"/>
            <w:vAlign w:val="center"/>
          </w:tcPr>
          <w:p w14:paraId="414005E0">
            <w:pPr>
              <w:spacing w:line="360" w:lineRule="auto"/>
              <w:rPr>
                <w:rFonts w:hint="eastAsia" w:asciiTheme="minorEastAsia" w:hAnsiTheme="minorEastAsia" w:eastAsiaTheme="minorEastAsia" w:cstheme="minorEastAsia"/>
                <w:color w:val="auto"/>
                <w:sz w:val="24"/>
                <w:szCs w:val="24"/>
                <w:highlight w:val="none"/>
              </w:rPr>
            </w:pPr>
          </w:p>
        </w:tc>
      </w:tr>
      <w:tr w14:paraId="37C20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53C829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38</w:t>
            </w:r>
          </w:p>
        </w:tc>
        <w:tc>
          <w:tcPr>
            <w:tcW w:w="5670" w:type="dxa"/>
            <w:noWrap w:val="0"/>
            <w:vAlign w:val="center"/>
          </w:tcPr>
          <w:p w14:paraId="683EB69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★拆除原电梯监控并接入新梯</w:t>
            </w:r>
          </w:p>
        </w:tc>
        <w:tc>
          <w:tcPr>
            <w:tcW w:w="2552" w:type="dxa"/>
            <w:noWrap w:val="0"/>
            <w:vAlign w:val="center"/>
          </w:tcPr>
          <w:p w14:paraId="65EC0B01">
            <w:pPr>
              <w:spacing w:line="360" w:lineRule="auto"/>
              <w:rPr>
                <w:rFonts w:hint="eastAsia" w:asciiTheme="minorEastAsia" w:hAnsiTheme="minorEastAsia" w:eastAsiaTheme="minorEastAsia" w:cstheme="minorEastAsia"/>
                <w:color w:val="auto"/>
                <w:sz w:val="24"/>
                <w:szCs w:val="24"/>
                <w:highlight w:val="none"/>
              </w:rPr>
            </w:pPr>
          </w:p>
        </w:tc>
      </w:tr>
      <w:tr w14:paraId="28332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 w:hRule="atLeast"/>
        </w:trPr>
        <w:tc>
          <w:tcPr>
            <w:tcW w:w="709" w:type="dxa"/>
            <w:noWrap w:val="0"/>
            <w:vAlign w:val="center"/>
          </w:tcPr>
          <w:p w14:paraId="732FA27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39</w:t>
            </w:r>
          </w:p>
        </w:tc>
        <w:tc>
          <w:tcPr>
            <w:tcW w:w="5670" w:type="dxa"/>
            <w:noWrap w:val="0"/>
            <w:vAlign w:val="center"/>
          </w:tcPr>
          <w:p w14:paraId="77EF3D4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▲曳引部件使用寿命不低于</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年。</w:t>
            </w:r>
          </w:p>
        </w:tc>
        <w:tc>
          <w:tcPr>
            <w:tcW w:w="2552" w:type="dxa"/>
            <w:noWrap w:val="0"/>
            <w:vAlign w:val="center"/>
          </w:tcPr>
          <w:p w14:paraId="5C9636D0">
            <w:pPr>
              <w:spacing w:line="360" w:lineRule="auto"/>
              <w:rPr>
                <w:rFonts w:hint="eastAsia" w:asciiTheme="minorEastAsia" w:hAnsiTheme="minorEastAsia" w:eastAsiaTheme="minorEastAsia" w:cstheme="minorEastAsia"/>
                <w:color w:val="auto"/>
                <w:sz w:val="24"/>
                <w:szCs w:val="24"/>
                <w:highlight w:val="none"/>
              </w:rPr>
            </w:pPr>
          </w:p>
        </w:tc>
      </w:tr>
      <w:tr w14:paraId="46E22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94136E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40</w:t>
            </w:r>
          </w:p>
        </w:tc>
        <w:tc>
          <w:tcPr>
            <w:tcW w:w="5670" w:type="dxa"/>
            <w:noWrap w:val="0"/>
            <w:vAlign w:val="center"/>
          </w:tcPr>
          <w:p w14:paraId="01F3E50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▲能效认证需要达到ISO25745A级。</w:t>
            </w:r>
          </w:p>
        </w:tc>
        <w:tc>
          <w:tcPr>
            <w:tcW w:w="2552" w:type="dxa"/>
            <w:noWrap w:val="0"/>
            <w:vAlign w:val="center"/>
          </w:tcPr>
          <w:p w14:paraId="2B9B1D85">
            <w:pPr>
              <w:spacing w:line="360" w:lineRule="auto"/>
              <w:rPr>
                <w:rFonts w:hint="eastAsia" w:asciiTheme="minorEastAsia" w:hAnsiTheme="minorEastAsia" w:eastAsiaTheme="minorEastAsia" w:cstheme="minorEastAsia"/>
                <w:color w:val="auto"/>
                <w:sz w:val="24"/>
                <w:szCs w:val="24"/>
                <w:highlight w:val="none"/>
              </w:rPr>
            </w:pPr>
          </w:p>
        </w:tc>
      </w:tr>
    </w:tbl>
    <w:p w14:paraId="1E8BCB9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春和一巷6号、8号，春和二巷3号、5号1#</w:t>
      </w:r>
      <w:r>
        <w:rPr>
          <w:rFonts w:hint="eastAsia" w:asciiTheme="minorEastAsia" w:hAnsiTheme="minorEastAsia" w:eastAsiaTheme="minorEastAsia" w:cstheme="minorEastAsia"/>
          <w:b/>
          <w:color w:val="auto"/>
          <w:sz w:val="24"/>
          <w:szCs w:val="24"/>
          <w:highlight w:val="none"/>
        </w:rPr>
        <w:t>技术参数要求（配置不低于以下要求）：</w:t>
      </w:r>
    </w:p>
    <w:tbl>
      <w:tblPr>
        <w:tblStyle w:val="20"/>
        <w:tblW w:w="89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5670"/>
        <w:gridCol w:w="2552"/>
      </w:tblGrid>
      <w:tr w14:paraId="6B6D0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09" w:type="dxa"/>
            <w:noWrap w:val="0"/>
            <w:vAlign w:val="center"/>
          </w:tcPr>
          <w:p w14:paraId="12FA111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5670" w:type="dxa"/>
            <w:noWrap w:val="0"/>
            <w:vAlign w:val="center"/>
          </w:tcPr>
          <w:p w14:paraId="794EB66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技术规格、参数及要求</w:t>
            </w:r>
          </w:p>
        </w:tc>
        <w:tc>
          <w:tcPr>
            <w:tcW w:w="2552" w:type="dxa"/>
            <w:noWrap w:val="0"/>
            <w:vAlign w:val="center"/>
          </w:tcPr>
          <w:p w14:paraId="6D50941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备注</w:t>
            </w:r>
          </w:p>
        </w:tc>
      </w:tr>
      <w:tr w14:paraId="16ED1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A002C3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670" w:type="dxa"/>
            <w:noWrap w:val="0"/>
            <w:vAlign w:val="center"/>
          </w:tcPr>
          <w:p w14:paraId="0DDC975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额定载重量</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80</w:t>
            </w:r>
            <w:r>
              <w:rPr>
                <w:rFonts w:hint="eastAsia" w:asciiTheme="minorEastAsia" w:hAnsiTheme="minorEastAsia" w:eastAsiaTheme="minorEastAsia" w:cstheme="minorEastAsia"/>
                <w:color w:val="auto"/>
                <w:sz w:val="24"/>
                <w:szCs w:val="24"/>
                <w:highlight w:val="none"/>
              </w:rPr>
              <w:t>0kg。</w:t>
            </w:r>
          </w:p>
        </w:tc>
        <w:tc>
          <w:tcPr>
            <w:tcW w:w="2552" w:type="dxa"/>
            <w:noWrap w:val="0"/>
            <w:vAlign w:val="center"/>
          </w:tcPr>
          <w:p w14:paraId="2D0D2196">
            <w:pPr>
              <w:spacing w:line="360" w:lineRule="auto"/>
              <w:rPr>
                <w:rFonts w:hint="eastAsia" w:asciiTheme="minorEastAsia" w:hAnsiTheme="minorEastAsia" w:eastAsiaTheme="minorEastAsia" w:cstheme="minorEastAsia"/>
                <w:color w:val="auto"/>
                <w:sz w:val="24"/>
                <w:szCs w:val="24"/>
                <w:highlight w:val="none"/>
              </w:rPr>
            </w:pPr>
          </w:p>
        </w:tc>
      </w:tr>
      <w:tr w14:paraId="6CC98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68C085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5670" w:type="dxa"/>
            <w:noWrap w:val="0"/>
            <w:vAlign w:val="center"/>
          </w:tcPr>
          <w:p w14:paraId="1AB2338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产品：有机房电梯</w:t>
            </w:r>
            <w:r>
              <w:rPr>
                <w:rFonts w:hint="eastAsia" w:asciiTheme="minorEastAsia" w:hAnsiTheme="minorEastAsia" w:eastAsiaTheme="minorEastAsia" w:cstheme="minorEastAsia"/>
                <w:color w:val="auto"/>
                <w:sz w:val="24"/>
                <w:szCs w:val="24"/>
                <w:highlight w:val="none"/>
              </w:rPr>
              <w:t>。</w:t>
            </w:r>
          </w:p>
        </w:tc>
        <w:tc>
          <w:tcPr>
            <w:tcW w:w="2552" w:type="dxa"/>
            <w:noWrap w:val="0"/>
            <w:vAlign w:val="center"/>
          </w:tcPr>
          <w:p w14:paraId="4AB4D46F">
            <w:pPr>
              <w:spacing w:line="360" w:lineRule="auto"/>
              <w:rPr>
                <w:rFonts w:hint="eastAsia" w:asciiTheme="minorEastAsia" w:hAnsiTheme="minorEastAsia" w:eastAsiaTheme="minorEastAsia" w:cstheme="minorEastAsia"/>
                <w:color w:val="auto"/>
                <w:sz w:val="24"/>
                <w:szCs w:val="24"/>
                <w:highlight w:val="none"/>
              </w:rPr>
            </w:pPr>
          </w:p>
        </w:tc>
      </w:tr>
      <w:tr w14:paraId="0FD78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047907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5670" w:type="dxa"/>
            <w:noWrap w:val="0"/>
            <w:vAlign w:val="center"/>
          </w:tcPr>
          <w:p w14:paraId="0F72A9A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额定</w:t>
            </w:r>
            <w:r>
              <w:rPr>
                <w:rFonts w:hint="eastAsia" w:asciiTheme="minorEastAsia" w:hAnsiTheme="minorEastAsia" w:eastAsiaTheme="minorEastAsia" w:cstheme="minorEastAsia"/>
                <w:color w:val="auto"/>
                <w:sz w:val="24"/>
                <w:szCs w:val="24"/>
                <w:highlight w:val="none"/>
              </w:rPr>
              <w:t>速度≥</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m/s。</w:t>
            </w:r>
          </w:p>
        </w:tc>
        <w:tc>
          <w:tcPr>
            <w:tcW w:w="2552" w:type="dxa"/>
            <w:noWrap w:val="0"/>
            <w:vAlign w:val="center"/>
          </w:tcPr>
          <w:p w14:paraId="5643BF48">
            <w:pPr>
              <w:spacing w:line="360" w:lineRule="auto"/>
              <w:rPr>
                <w:rFonts w:hint="eastAsia" w:asciiTheme="minorEastAsia" w:hAnsiTheme="minorEastAsia" w:eastAsiaTheme="minorEastAsia" w:cstheme="minorEastAsia"/>
                <w:color w:val="auto"/>
                <w:sz w:val="24"/>
                <w:szCs w:val="24"/>
                <w:highlight w:val="none"/>
              </w:rPr>
            </w:pPr>
          </w:p>
        </w:tc>
      </w:tr>
      <w:tr w14:paraId="1AE5B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5D573A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5670" w:type="dxa"/>
            <w:noWrap w:val="0"/>
            <w:vAlign w:val="center"/>
          </w:tcPr>
          <w:p w14:paraId="6188DE2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层站门：详见电梯现状参数表</w:t>
            </w:r>
          </w:p>
        </w:tc>
        <w:tc>
          <w:tcPr>
            <w:tcW w:w="2552" w:type="dxa"/>
            <w:noWrap w:val="0"/>
            <w:vAlign w:val="center"/>
          </w:tcPr>
          <w:p w14:paraId="66CB85F2">
            <w:pPr>
              <w:spacing w:line="360" w:lineRule="auto"/>
              <w:rPr>
                <w:rFonts w:hint="eastAsia" w:asciiTheme="minorEastAsia" w:hAnsiTheme="minorEastAsia" w:eastAsiaTheme="minorEastAsia" w:cstheme="minorEastAsia"/>
                <w:color w:val="auto"/>
                <w:sz w:val="24"/>
                <w:szCs w:val="24"/>
                <w:highlight w:val="none"/>
              </w:rPr>
            </w:pPr>
          </w:p>
        </w:tc>
      </w:tr>
      <w:tr w14:paraId="793D7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3AA736A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5670" w:type="dxa"/>
            <w:noWrap w:val="0"/>
            <w:vAlign w:val="center"/>
          </w:tcPr>
          <w:p w14:paraId="2DBDD9D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服务楼层：详见电梯现状参数表</w:t>
            </w:r>
          </w:p>
        </w:tc>
        <w:tc>
          <w:tcPr>
            <w:tcW w:w="2552" w:type="dxa"/>
            <w:noWrap w:val="0"/>
            <w:vAlign w:val="center"/>
          </w:tcPr>
          <w:p w14:paraId="1C7C6F7E">
            <w:pPr>
              <w:spacing w:line="360" w:lineRule="auto"/>
              <w:rPr>
                <w:rFonts w:hint="eastAsia" w:asciiTheme="minorEastAsia" w:hAnsiTheme="minorEastAsia" w:eastAsiaTheme="minorEastAsia" w:cstheme="minorEastAsia"/>
                <w:color w:val="auto"/>
                <w:sz w:val="24"/>
                <w:szCs w:val="24"/>
                <w:highlight w:val="none"/>
              </w:rPr>
            </w:pPr>
          </w:p>
        </w:tc>
      </w:tr>
      <w:tr w14:paraId="5E333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7E789F8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5670" w:type="dxa"/>
            <w:noWrap w:val="0"/>
            <w:vAlign w:val="center"/>
          </w:tcPr>
          <w:p w14:paraId="5703818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有基站。</w:t>
            </w:r>
          </w:p>
        </w:tc>
        <w:tc>
          <w:tcPr>
            <w:tcW w:w="2552" w:type="dxa"/>
            <w:noWrap w:val="0"/>
            <w:vAlign w:val="center"/>
          </w:tcPr>
          <w:p w14:paraId="3F0CF52C">
            <w:pPr>
              <w:spacing w:line="360" w:lineRule="auto"/>
              <w:rPr>
                <w:rFonts w:hint="eastAsia" w:asciiTheme="minorEastAsia" w:hAnsiTheme="minorEastAsia" w:eastAsiaTheme="minorEastAsia" w:cstheme="minorEastAsia"/>
                <w:color w:val="auto"/>
                <w:sz w:val="24"/>
                <w:szCs w:val="24"/>
                <w:highlight w:val="none"/>
              </w:rPr>
            </w:pPr>
          </w:p>
        </w:tc>
      </w:tr>
      <w:tr w14:paraId="543C9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3C1DAB5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5670" w:type="dxa"/>
            <w:noWrap w:val="0"/>
            <w:vAlign w:val="center"/>
          </w:tcPr>
          <w:p w14:paraId="2D1BEA3C">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驱动方式：微机控制交流变频调压调速</w:t>
            </w:r>
            <w:r>
              <w:rPr>
                <w:rFonts w:hint="eastAsia" w:asciiTheme="minorEastAsia" w:hAnsiTheme="minorEastAsia" w:eastAsiaTheme="minorEastAsia" w:cstheme="minorEastAsia"/>
                <w:color w:val="auto"/>
                <w:sz w:val="24"/>
                <w:szCs w:val="24"/>
                <w:highlight w:val="none"/>
                <w:lang w:eastAsia="zh-CN"/>
              </w:rPr>
              <w:t>。</w:t>
            </w:r>
          </w:p>
        </w:tc>
        <w:tc>
          <w:tcPr>
            <w:tcW w:w="2552" w:type="dxa"/>
            <w:noWrap w:val="0"/>
            <w:vAlign w:val="center"/>
          </w:tcPr>
          <w:p w14:paraId="66BCD99E">
            <w:pPr>
              <w:spacing w:line="360" w:lineRule="auto"/>
              <w:rPr>
                <w:rFonts w:hint="eastAsia" w:asciiTheme="minorEastAsia" w:hAnsiTheme="minorEastAsia" w:eastAsiaTheme="minorEastAsia" w:cstheme="minorEastAsia"/>
                <w:color w:val="auto"/>
                <w:sz w:val="24"/>
                <w:szCs w:val="24"/>
                <w:highlight w:val="none"/>
              </w:rPr>
            </w:pPr>
          </w:p>
        </w:tc>
      </w:tr>
      <w:tr w14:paraId="47B6E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6DE659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5670" w:type="dxa"/>
            <w:noWrap w:val="0"/>
            <w:vAlign w:val="center"/>
          </w:tcPr>
          <w:p w14:paraId="4117BE3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动力电源：</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相AC380V 50Hz。</w:t>
            </w:r>
          </w:p>
        </w:tc>
        <w:tc>
          <w:tcPr>
            <w:tcW w:w="2552" w:type="dxa"/>
            <w:noWrap w:val="0"/>
            <w:vAlign w:val="center"/>
          </w:tcPr>
          <w:p w14:paraId="61221CC4">
            <w:pPr>
              <w:spacing w:line="360" w:lineRule="auto"/>
              <w:rPr>
                <w:rFonts w:hint="eastAsia" w:asciiTheme="minorEastAsia" w:hAnsiTheme="minorEastAsia" w:eastAsiaTheme="minorEastAsia" w:cstheme="minorEastAsia"/>
                <w:color w:val="auto"/>
                <w:sz w:val="24"/>
                <w:szCs w:val="24"/>
                <w:highlight w:val="none"/>
              </w:rPr>
            </w:pPr>
          </w:p>
        </w:tc>
      </w:tr>
      <w:tr w14:paraId="6C4E7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F873FE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5670" w:type="dxa"/>
            <w:noWrap w:val="0"/>
            <w:vAlign w:val="center"/>
          </w:tcPr>
          <w:p w14:paraId="47FB774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照明电源：</w:t>
            </w:r>
            <w:r>
              <w:rPr>
                <w:rFonts w:hint="eastAsia" w:asciiTheme="minorEastAsia" w:hAnsiTheme="minorEastAsia" w:eastAsiaTheme="minorEastAsia" w:cstheme="minorEastAsia"/>
                <w:color w:val="auto"/>
                <w:sz w:val="24"/>
                <w:szCs w:val="24"/>
                <w:highlight w:val="none"/>
                <w:lang w:val="en-US" w:eastAsia="zh-CN"/>
              </w:rPr>
              <w:t>单相</w:t>
            </w:r>
            <w:r>
              <w:rPr>
                <w:rFonts w:hint="eastAsia" w:asciiTheme="minorEastAsia" w:hAnsiTheme="minorEastAsia" w:eastAsiaTheme="minorEastAsia" w:cstheme="minorEastAsia"/>
                <w:color w:val="auto"/>
                <w:sz w:val="24"/>
                <w:szCs w:val="24"/>
                <w:highlight w:val="none"/>
              </w:rPr>
              <w:t>AC220V 50Hz。</w:t>
            </w:r>
          </w:p>
        </w:tc>
        <w:tc>
          <w:tcPr>
            <w:tcW w:w="2552" w:type="dxa"/>
            <w:noWrap w:val="0"/>
            <w:vAlign w:val="center"/>
          </w:tcPr>
          <w:p w14:paraId="06ED2A17">
            <w:pPr>
              <w:spacing w:line="360" w:lineRule="auto"/>
              <w:rPr>
                <w:rFonts w:hint="eastAsia" w:asciiTheme="minorEastAsia" w:hAnsiTheme="minorEastAsia" w:eastAsiaTheme="minorEastAsia" w:cstheme="minorEastAsia"/>
                <w:color w:val="auto"/>
                <w:sz w:val="24"/>
                <w:szCs w:val="24"/>
                <w:highlight w:val="none"/>
              </w:rPr>
            </w:pPr>
          </w:p>
        </w:tc>
      </w:tr>
      <w:tr w14:paraId="662A4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CA5A3E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5670" w:type="dxa"/>
            <w:noWrap w:val="0"/>
            <w:vAlign w:val="center"/>
          </w:tcPr>
          <w:p w14:paraId="4C788DB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控制方式：同一栋2台电梯并联。</w:t>
            </w:r>
          </w:p>
        </w:tc>
        <w:tc>
          <w:tcPr>
            <w:tcW w:w="2552" w:type="dxa"/>
            <w:noWrap w:val="0"/>
            <w:vAlign w:val="center"/>
          </w:tcPr>
          <w:p w14:paraId="685FE356">
            <w:pPr>
              <w:spacing w:line="360" w:lineRule="auto"/>
              <w:rPr>
                <w:rFonts w:hint="eastAsia" w:asciiTheme="minorEastAsia" w:hAnsiTheme="minorEastAsia" w:eastAsiaTheme="minorEastAsia" w:cstheme="minorEastAsia"/>
                <w:color w:val="auto"/>
                <w:sz w:val="24"/>
                <w:szCs w:val="24"/>
                <w:highlight w:val="none"/>
              </w:rPr>
            </w:pPr>
          </w:p>
        </w:tc>
      </w:tr>
      <w:tr w14:paraId="613EB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FFB959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5670" w:type="dxa"/>
            <w:noWrap w:val="0"/>
            <w:vAlign w:val="center"/>
          </w:tcPr>
          <w:p w14:paraId="48E33CA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制作标准：满足国家现行标准。</w:t>
            </w:r>
          </w:p>
        </w:tc>
        <w:tc>
          <w:tcPr>
            <w:tcW w:w="2552" w:type="dxa"/>
            <w:noWrap w:val="0"/>
            <w:vAlign w:val="center"/>
          </w:tcPr>
          <w:p w14:paraId="04467DAD">
            <w:pPr>
              <w:spacing w:line="360" w:lineRule="auto"/>
              <w:rPr>
                <w:rFonts w:hint="eastAsia" w:asciiTheme="minorEastAsia" w:hAnsiTheme="minorEastAsia" w:eastAsiaTheme="minorEastAsia" w:cstheme="minorEastAsia"/>
                <w:color w:val="auto"/>
                <w:sz w:val="24"/>
                <w:szCs w:val="24"/>
                <w:highlight w:val="none"/>
              </w:rPr>
            </w:pPr>
          </w:p>
        </w:tc>
      </w:tr>
      <w:tr w14:paraId="0D482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5F84606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5670" w:type="dxa"/>
            <w:noWrap w:val="0"/>
            <w:vAlign w:val="center"/>
          </w:tcPr>
          <w:p w14:paraId="38734F9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井道尺寸(宽×深)(mm)：以现场实测为准。</w:t>
            </w:r>
          </w:p>
        </w:tc>
        <w:tc>
          <w:tcPr>
            <w:tcW w:w="2552" w:type="dxa"/>
            <w:noWrap w:val="0"/>
            <w:vAlign w:val="center"/>
          </w:tcPr>
          <w:p w14:paraId="32A93E57">
            <w:pPr>
              <w:spacing w:line="360" w:lineRule="auto"/>
              <w:rPr>
                <w:rFonts w:hint="eastAsia" w:asciiTheme="minorEastAsia" w:hAnsiTheme="minorEastAsia" w:eastAsiaTheme="minorEastAsia" w:cstheme="minorEastAsia"/>
                <w:color w:val="auto"/>
                <w:sz w:val="24"/>
                <w:szCs w:val="24"/>
                <w:highlight w:val="none"/>
              </w:rPr>
            </w:pPr>
          </w:p>
        </w:tc>
      </w:tr>
      <w:tr w14:paraId="4596A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50BAB79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5670" w:type="dxa"/>
            <w:noWrap w:val="0"/>
            <w:vAlign w:val="center"/>
          </w:tcPr>
          <w:p w14:paraId="43E501D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机房尺寸(宽×深×高)(mm)：以现场实测为准。</w:t>
            </w:r>
          </w:p>
        </w:tc>
        <w:tc>
          <w:tcPr>
            <w:tcW w:w="2552" w:type="dxa"/>
            <w:noWrap w:val="0"/>
            <w:vAlign w:val="center"/>
          </w:tcPr>
          <w:p w14:paraId="46C5279F">
            <w:pPr>
              <w:spacing w:line="360" w:lineRule="auto"/>
              <w:rPr>
                <w:rFonts w:hint="eastAsia" w:asciiTheme="minorEastAsia" w:hAnsiTheme="minorEastAsia" w:eastAsiaTheme="minorEastAsia" w:cstheme="minorEastAsia"/>
                <w:color w:val="auto"/>
                <w:sz w:val="24"/>
                <w:szCs w:val="24"/>
                <w:highlight w:val="none"/>
              </w:rPr>
            </w:pPr>
          </w:p>
        </w:tc>
      </w:tr>
      <w:tr w14:paraId="1D33A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46258EA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5670" w:type="dxa"/>
            <w:noWrap w:val="0"/>
            <w:vAlign w:val="center"/>
          </w:tcPr>
          <w:p w14:paraId="1217438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井道总高(m) ：以现场实测为准</w:t>
            </w:r>
          </w:p>
        </w:tc>
        <w:tc>
          <w:tcPr>
            <w:tcW w:w="2552" w:type="dxa"/>
            <w:noWrap w:val="0"/>
            <w:vAlign w:val="center"/>
          </w:tcPr>
          <w:p w14:paraId="2C1C5D6F">
            <w:pPr>
              <w:spacing w:line="360" w:lineRule="auto"/>
              <w:rPr>
                <w:rFonts w:hint="eastAsia" w:asciiTheme="minorEastAsia" w:hAnsiTheme="minorEastAsia" w:eastAsiaTheme="minorEastAsia" w:cstheme="minorEastAsia"/>
                <w:color w:val="auto"/>
                <w:sz w:val="24"/>
                <w:szCs w:val="24"/>
                <w:highlight w:val="none"/>
              </w:rPr>
            </w:pPr>
          </w:p>
        </w:tc>
      </w:tr>
      <w:tr w14:paraId="3BF8D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3DD4D9F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5670" w:type="dxa"/>
            <w:noWrap w:val="0"/>
            <w:vAlign w:val="center"/>
          </w:tcPr>
          <w:p w14:paraId="76D2F6C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提升高度(m)：以现场实测为准。</w:t>
            </w:r>
          </w:p>
        </w:tc>
        <w:tc>
          <w:tcPr>
            <w:tcW w:w="2552" w:type="dxa"/>
            <w:noWrap w:val="0"/>
            <w:vAlign w:val="center"/>
          </w:tcPr>
          <w:p w14:paraId="1E276EC1">
            <w:pPr>
              <w:spacing w:line="360" w:lineRule="auto"/>
              <w:rPr>
                <w:rFonts w:hint="eastAsia" w:asciiTheme="minorEastAsia" w:hAnsiTheme="minorEastAsia" w:eastAsiaTheme="minorEastAsia" w:cstheme="minorEastAsia"/>
                <w:color w:val="auto"/>
                <w:sz w:val="24"/>
                <w:szCs w:val="24"/>
                <w:highlight w:val="none"/>
              </w:rPr>
            </w:pPr>
          </w:p>
        </w:tc>
      </w:tr>
      <w:tr w14:paraId="03C8C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07656DA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5670" w:type="dxa"/>
            <w:noWrap w:val="0"/>
            <w:vAlign w:val="center"/>
          </w:tcPr>
          <w:p w14:paraId="39B877A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顶层净高(mm)：以现场实测为准。</w:t>
            </w:r>
          </w:p>
        </w:tc>
        <w:tc>
          <w:tcPr>
            <w:tcW w:w="2552" w:type="dxa"/>
            <w:noWrap w:val="0"/>
            <w:vAlign w:val="center"/>
          </w:tcPr>
          <w:p w14:paraId="56732B95">
            <w:pPr>
              <w:spacing w:line="360" w:lineRule="auto"/>
              <w:rPr>
                <w:rFonts w:hint="eastAsia" w:asciiTheme="minorEastAsia" w:hAnsiTheme="minorEastAsia" w:eastAsiaTheme="minorEastAsia" w:cstheme="minorEastAsia"/>
                <w:color w:val="auto"/>
                <w:sz w:val="24"/>
                <w:szCs w:val="24"/>
                <w:highlight w:val="none"/>
              </w:rPr>
            </w:pPr>
          </w:p>
        </w:tc>
      </w:tr>
      <w:tr w14:paraId="4C9E3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4B824C2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5670" w:type="dxa"/>
            <w:noWrap w:val="0"/>
            <w:vAlign w:val="center"/>
          </w:tcPr>
          <w:p w14:paraId="4E7D67D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底坑深度(mm)：以现场实测为准。</w:t>
            </w:r>
          </w:p>
        </w:tc>
        <w:tc>
          <w:tcPr>
            <w:tcW w:w="2552" w:type="dxa"/>
            <w:noWrap w:val="0"/>
            <w:vAlign w:val="center"/>
          </w:tcPr>
          <w:p w14:paraId="347168D5">
            <w:pPr>
              <w:spacing w:line="360" w:lineRule="auto"/>
              <w:rPr>
                <w:rFonts w:hint="eastAsia" w:asciiTheme="minorEastAsia" w:hAnsiTheme="minorEastAsia" w:eastAsiaTheme="minorEastAsia" w:cstheme="minorEastAsia"/>
                <w:color w:val="auto"/>
                <w:sz w:val="24"/>
                <w:szCs w:val="24"/>
                <w:highlight w:val="none"/>
              </w:rPr>
            </w:pPr>
          </w:p>
        </w:tc>
      </w:tr>
      <w:tr w14:paraId="15990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052B4B2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5670" w:type="dxa"/>
            <w:noWrap w:val="0"/>
            <w:vAlign w:val="center"/>
          </w:tcPr>
          <w:p w14:paraId="4E46949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轿厢尺寸(宽×深)(mm) ：以现场实测可满足条件为准。</w:t>
            </w:r>
          </w:p>
        </w:tc>
        <w:tc>
          <w:tcPr>
            <w:tcW w:w="2552" w:type="dxa"/>
            <w:noWrap w:val="0"/>
            <w:vAlign w:val="center"/>
          </w:tcPr>
          <w:p w14:paraId="55DB4BC7">
            <w:pPr>
              <w:spacing w:line="360" w:lineRule="auto"/>
              <w:rPr>
                <w:rFonts w:hint="eastAsia" w:asciiTheme="minorEastAsia" w:hAnsiTheme="minorEastAsia" w:eastAsiaTheme="minorEastAsia" w:cstheme="minorEastAsia"/>
                <w:color w:val="auto"/>
                <w:sz w:val="24"/>
                <w:szCs w:val="24"/>
                <w:highlight w:val="none"/>
              </w:rPr>
            </w:pPr>
          </w:p>
        </w:tc>
      </w:tr>
      <w:tr w14:paraId="6D2F6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2BDCA63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5670" w:type="dxa"/>
            <w:noWrap w:val="0"/>
            <w:vAlign w:val="center"/>
          </w:tcPr>
          <w:p w14:paraId="351BF24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轿厢天花：风扇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照明。</w:t>
            </w:r>
          </w:p>
        </w:tc>
        <w:tc>
          <w:tcPr>
            <w:tcW w:w="2552" w:type="dxa"/>
            <w:noWrap w:val="0"/>
            <w:vAlign w:val="center"/>
          </w:tcPr>
          <w:p w14:paraId="4352F89D">
            <w:pPr>
              <w:spacing w:line="360" w:lineRule="auto"/>
              <w:rPr>
                <w:rFonts w:hint="eastAsia" w:asciiTheme="minorEastAsia" w:hAnsiTheme="minorEastAsia" w:eastAsiaTheme="minorEastAsia" w:cstheme="minorEastAsia"/>
                <w:color w:val="auto"/>
                <w:sz w:val="24"/>
                <w:szCs w:val="24"/>
                <w:highlight w:val="none"/>
                <w:lang w:val="en-US" w:eastAsia="zh-CN"/>
              </w:rPr>
            </w:pPr>
          </w:p>
        </w:tc>
      </w:tr>
      <w:tr w14:paraId="651FE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3AAAF3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5670" w:type="dxa"/>
            <w:noWrap w:val="0"/>
            <w:vAlign w:val="center"/>
          </w:tcPr>
          <w:p w14:paraId="3E680C7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轿厢高度：以现场实测可满足条件为准。</w:t>
            </w:r>
          </w:p>
        </w:tc>
        <w:tc>
          <w:tcPr>
            <w:tcW w:w="2552" w:type="dxa"/>
            <w:noWrap w:val="0"/>
            <w:vAlign w:val="center"/>
          </w:tcPr>
          <w:p w14:paraId="04F1BDEF">
            <w:pPr>
              <w:spacing w:line="360" w:lineRule="auto"/>
              <w:rPr>
                <w:rFonts w:hint="eastAsia" w:asciiTheme="minorEastAsia" w:hAnsiTheme="minorEastAsia" w:eastAsiaTheme="minorEastAsia" w:cstheme="minorEastAsia"/>
                <w:color w:val="auto"/>
                <w:sz w:val="24"/>
                <w:szCs w:val="24"/>
                <w:highlight w:val="none"/>
              </w:rPr>
            </w:pPr>
          </w:p>
        </w:tc>
      </w:tr>
      <w:tr w14:paraId="47951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73FBD8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5670" w:type="dxa"/>
            <w:noWrap w:val="0"/>
            <w:vAlign w:val="center"/>
          </w:tcPr>
          <w:p w14:paraId="4897887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轿厢前壁：304发纹不锈钢厚度1.5mm。</w:t>
            </w:r>
          </w:p>
        </w:tc>
        <w:tc>
          <w:tcPr>
            <w:tcW w:w="2552" w:type="dxa"/>
            <w:noWrap w:val="0"/>
            <w:vAlign w:val="center"/>
          </w:tcPr>
          <w:p w14:paraId="72D2DB16">
            <w:pPr>
              <w:spacing w:line="360" w:lineRule="auto"/>
              <w:rPr>
                <w:rFonts w:hint="eastAsia" w:asciiTheme="minorEastAsia" w:hAnsiTheme="minorEastAsia" w:eastAsiaTheme="minorEastAsia" w:cstheme="minorEastAsia"/>
                <w:color w:val="auto"/>
                <w:sz w:val="24"/>
                <w:szCs w:val="24"/>
                <w:highlight w:val="none"/>
              </w:rPr>
            </w:pPr>
          </w:p>
        </w:tc>
      </w:tr>
      <w:tr w14:paraId="38BB4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442536E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5670" w:type="dxa"/>
            <w:noWrap w:val="0"/>
            <w:vAlign w:val="center"/>
          </w:tcPr>
          <w:p w14:paraId="2254412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门灯横梁：304发纹不锈钢厚度1.5mm。</w:t>
            </w:r>
          </w:p>
        </w:tc>
        <w:tc>
          <w:tcPr>
            <w:tcW w:w="2552" w:type="dxa"/>
            <w:noWrap w:val="0"/>
            <w:vAlign w:val="center"/>
          </w:tcPr>
          <w:p w14:paraId="3ACE12C1">
            <w:pPr>
              <w:spacing w:line="360" w:lineRule="auto"/>
              <w:rPr>
                <w:rFonts w:hint="eastAsia" w:asciiTheme="minorEastAsia" w:hAnsiTheme="minorEastAsia" w:eastAsiaTheme="minorEastAsia" w:cstheme="minorEastAsia"/>
                <w:color w:val="auto"/>
                <w:sz w:val="24"/>
                <w:szCs w:val="24"/>
                <w:highlight w:val="none"/>
              </w:rPr>
            </w:pPr>
          </w:p>
        </w:tc>
      </w:tr>
      <w:tr w14:paraId="68516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2593000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5670" w:type="dxa"/>
            <w:noWrap w:val="0"/>
            <w:vAlign w:val="center"/>
          </w:tcPr>
          <w:p w14:paraId="069EF41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轿厢侧壁：304发纹不锈钢厚度1.5mm。</w:t>
            </w:r>
          </w:p>
        </w:tc>
        <w:tc>
          <w:tcPr>
            <w:tcW w:w="2552" w:type="dxa"/>
            <w:noWrap w:val="0"/>
            <w:vAlign w:val="center"/>
          </w:tcPr>
          <w:p w14:paraId="5C68A000">
            <w:pPr>
              <w:spacing w:line="360" w:lineRule="auto"/>
              <w:rPr>
                <w:rFonts w:hint="eastAsia" w:asciiTheme="minorEastAsia" w:hAnsiTheme="minorEastAsia" w:eastAsiaTheme="minorEastAsia" w:cstheme="minorEastAsia"/>
                <w:color w:val="auto"/>
                <w:sz w:val="24"/>
                <w:szCs w:val="24"/>
                <w:highlight w:val="none"/>
              </w:rPr>
            </w:pPr>
          </w:p>
        </w:tc>
      </w:tr>
      <w:tr w14:paraId="1F233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6228E17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5670" w:type="dxa"/>
            <w:noWrap w:val="0"/>
            <w:vAlign w:val="center"/>
          </w:tcPr>
          <w:p w14:paraId="6BE90DF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轿厢后壁：中间发纹不锈钢 SUS304+两侧镜面不锈钢。</w:t>
            </w:r>
          </w:p>
        </w:tc>
        <w:tc>
          <w:tcPr>
            <w:tcW w:w="2552" w:type="dxa"/>
            <w:noWrap w:val="0"/>
            <w:vAlign w:val="center"/>
          </w:tcPr>
          <w:p w14:paraId="3DA0359A">
            <w:pPr>
              <w:spacing w:line="360" w:lineRule="auto"/>
              <w:rPr>
                <w:rFonts w:hint="eastAsia" w:asciiTheme="minorEastAsia" w:hAnsiTheme="minorEastAsia" w:eastAsiaTheme="minorEastAsia" w:cstheme="minorEastAsia"/>
                <w:color w:val="auto"/>
                <w:sz w:val="24"/>
                <w:szCs w:val="24"/>
                <w:highlight w:val="none"/>
              </w:rPr>
            </w:pPr>
          </w:p>
        </w:tc>
      </w:tr>
      <w:tr w14:paraId="5712C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34863B3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5670" w:type="dxa"/>
            <w:noWrap w:val="0"/>
            <w:vAlign w:val="center"/>
          </w:tcPr>
          <w:p w14:paraId="13070B9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轿门：304发纹不锈钢厚度1.5mm。</w:t>
            </w:r>
          </w:p>
        </w:tc>
        <w:tc>
          <w:tcPr>
            <w:tcW w:w="2552" w:type="dxa"/>
            <w:noWrap w:val="0"/>
            <w:vAlign w:val="center"/>
          </w:tcPr>
          <w:p w14:paraId="623A217A">
            <w:pPr>
              <w:spacing w:line="360" w:lineRule="auto"/>
              <w:rPr>
                <w:rFonts w:hint="eastAsia" w:asciiTheme="minorEastAsia" w:hAnsiTheme="minorEastAsia" w:eastAsiaTheme="minorEastAsia" w:cstheme="minorEastAsia"/>
                <w:color w:val="auto"/>
                <w:sz w:val="24"/>
                <w:szCs w:val="24"/>
                <w:highlight w:val="none"/>
              </w:rPr>
            </w:pPr>
          </w:p>
        </w:tc>
      </w:tr>
      <w:tr w14:paraId="40C54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5EE581A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5670" w:type="dxa"/>
            <w:noWrap w:val="0"/>
            <w:vAlign w:val="center"/>
          </w:tcPr>
          <w:p w14:paraId="1D31A1E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轿厢地面：304发纹不锈钢。</w:t>
            </w:r>
          </w:p>
        </w:tc>
        <w:tc>
          <w:tcPr>
            <w:tcW w:w="2552" w:type="dxa"/>
            <w:noWrap w:val="0"/>
            <w:vAlign w:val="center"/>
          </w:tcPr>
          <w:p w14:paraId="7EB0B6A0">
            <w:pPr>
              <w:spacing w:line="360" w:lineRule="auto"/>
              <w:rPr>
                <w:rFonts w:hint="eastAsia" w:asciiTheme="minorEastAsia" w:hAnsiTheme="minorEastAsia" w:eastAsiaTheme="minorEastAsia" w:cstheme="minorEastAsia"/>
                <w:color w:val="auto"/>
                <w:sz w:val="24"/>
                <w:szCs w:val="24"/>
                <w:highlight w:val="none"/>
              </w:rPr>
            </w:pPr>
          </w:p>
        </w:tc>
      </w:tr>
      <w:tr w14:paraId="22D5D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756E3EE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5670" w:type="dxa"/>
            <w:noWrap w:val="0"/>
            <w:vAlign w:val="center"/>
          </w:tcPr>
          <w:p w14:paraId="528ECE7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开门方向：中分门。</w:t>
            </w:r>
          </w:p>
        </w:tc>
        <w:tc>
          <w:tcPr>
            <w:tcW w:w="2552" w:type="dxa"/>
            <w:noWrap w:val="0"/>
            <w:vAlign w:val="center"/>
          </w:tcPr>
          <w:p w14:paraId="5F0CFF93">
            <w:pPr>
              <w:spacing w:line="360" w:lineRule="auto"/>
              <w:rPr>
                <w:rFonts w:hint="eastAsia" w:asciiTheme="minorEastAsia" w:hAnsiTheme="minorEastAsia" w:eastAsiaTheme="minorEastAsia" w:cstheme="minorEastAsia"/>
                <w:color w:val="auto"/>
                <w:sz w:val="24"/>
                <w:szCs w:val="24"/>
                <w:highlight w:val="none"/>
              </w:rPr>
            </w:pPr>
          </w:p>
        </w:tc>
      </w:tr>
      <w:tr w14:paraId="0483E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7DB9AB9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w:t>
            </w:r>
          </w:p>
        </w:tc>
        <w:tc>
          <w:tcPr>
            <w:tcW w:w="5670" w:type="dxa"/>
            <w:noWrap w:val="0"/>
            <w:vAlign w:val="center"/>
          </w:tcPr>
          <w:p w14:paraId="639A4C7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★开门尺寸(宽×高)(mm)：</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00×2100。</w:t>
            </w:r>
          </w:p>
        </w:tc>
        <w:tc>
          <w:tcPr>
            <w:tcW w:w="2552" w:type="dxa"/>
            <w:noWrap w:val="0"/>
            <w:vAlign w:val="center"/>
          </w:tcPr>
          <w:p w14:paraId="1BC8FDE8">
            <w:pPr>
              <w:spacing w:line="360" w:lineRule="auto"/>
              <w:rPr>
                <w:rFonts w:hint="eastAsia" w:asciiTheme="minorEastAsia" w:hAnsiTheme="minorEastAsia" w:eastAsiaTheme="minorEastAsia" w:cstheme="minorEastAsia"/>
                <w:color w:val="auto"/>
                <w:sz w:val="24"/>
                <w:szCs w:val="24"/>
                <w:highlight w:val="none"/>
              </w:rPr>
            </w:pPr>
          </w:p>
        </w:tc>
      </w:tr>
      <w:tr w14:paraId="22ACF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8254E8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w:t>
            </w:r>
          </w:p>
        </w:tc>
        <w:tc>
          <w:tcPr>
            <w:tcW w:w="5670" w:type="dxa"/>
            <w:noWrap w:val="0"/>
            <w:vAlign w:val="center"/>
          </w:tcPr>
          <w:p w14:paraId="2884002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轿厢操纵箱：304发纹不锈钢厚度1.5mm，层显点阵显示</w:t>
            </w:r>
          </w:p>
        </w:tc>
        <w:tc>
          <w:tcPr>
            <w:tcW w:w="2552" w:type="dxa"/>
            <w:noWrap w:val="0"/>
            <w:vAlign w:val="center"/>
          </w:tcPr>
          <w:p w14:paraId="17D2A4FC">
            <w:pPr>
              <w:spacing w:line="360" w:lineRule="auto"/>
              <w:rPr>
                <w:rFonts w:hint="eastAsia" w:asciiTheme="minorEastAsia" w:hAnsiTheme="minorEastAsia" w:eastAsiaTheme="minorEastAsia" w:cstheme="minorEastAsia"/>
                <w:color w:val="auto"/>
                <w:sz w:val="24"/>
                <w:szCs w:val="24"/>
                <w:highlight w:val="none"/>
              </w:rPr>
            </w:pPr>
          </w:p>
        </w:tc>
      </w:tr>
      <w:tr w14:paraId="1C6A0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A2FD4D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c>
          <w:tcPr>
            <w:tcW w:w="5670" w:type="dxa"/>
            <w:noWrap w:val="0"/>
            <w:vAlign w:val="center"/>
          </w:tcPr>
          <w:p w14:paraId="69C9AE0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操纵箱按钮：不锈钢按钮。</w:t>
            </w:r>
          </w:p>
        </w:tc>
        <w:tc>
          <w:tcPr>
            <w:tcW w:w="2552" w:type="dxa"/>
            <w:noWrap w:val="0"/>
            <w:vAlign w:val="center"/>
          </w:tcPr>
          <w:p w14:paraId="1A1BFE50">
            <w:pPr>
              <w:spacing w:line="360" w:lineRule="auto"/>
              <w:rPr>
                <w:rFonts w:hint="eastAsia" w:asciiTheme="minorEastAsia" w:hAnsiTheme="minorEastAsia" w:eastAsiaTheme="minorEastAsia" w:cstheme="minorEastAsia"/>
                <w:color w:val="auto"/>
                <w:sz w:val="24"/>
                <w:szCs w:val="24"/>
                <w:highlight w:val="none"/>
              </w:rPr>
            </w:pPr>
          </w:p>
        </w:tc>
      </w:tr>
      <w:tr w14:paraId="1E773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0609EB9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p>
        </w:tc>
        <w:tc>
          <w:tcPr>
            <w:tcW w:w="5670" w:type="dxa"/>
            <w:noWrap w:val="0"/>
            <w:vAlign w:val="center"/>
          </w:tcPr>
          <w:p w14:paraId="3932A46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轿厢位置指层器：设置于操纵箱。</w:t>
            </w:r>
          </w:p>
        </w:tc>
        <w:tc>
          <w:tcPr>
            <w:tcW w:w="2552" w:type="dxa"/>
            <w:noWrap w:val="0"/>
            <w:vAlign w:val="center"/>
          </w:tcPr>
          <w:p w14:paraId="541FF3B8">
            <w:pPr>
              <w:spacing w:line="360" w:lineRule="auto"/>
              <w:rPr>
                <w:rFonts w:hint="eastAsia" w:asciiTheme="minorEastAsia" w:hAnsiTheme="minorEastAsia" w:eastAsiaTheme="minorEastAsia" w:cstheme="minorEastAsia"/>
                <w:color w:val="auto"/>
                <w:sz w:val="24"/>
                <w:szCs w:val="24"/>
                <w:highlight w:val="none"/>
              </w:rPr>
            </w:pPr>
          </w:p>
        </w:tc>
      </w:tr>
      <w:tr w14:paraId="22DE8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09060E8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w:t>
            </w:r>
          </w:p>
        </w:tc>
        <w:tc>
          <w:tcPr>
            <w:tcW w:w="5670" w:type="dxa"/>
            <w:noWrap w:val="0"/>
            <w:vAlign w:val="center"/>
          </w:tcPr>
          <w:p w14:paraId="13A0479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门套：一楼不锈钢大门套保留，其余层厅门以现场实测为准。</w:t>
            </w:r>
          </w:p>
        </w:tc>
        <w:tc>
          <w:tcPr>
            <w:tcW w:w="2552" w:type="dxa"/>
            <w:noWrap w:val="0"/>
            <w:vAlign w:val="center"/>
          </w:tcPr>
          <w:p w14:paraId="4ED303ED">
            <w:pPr>
              <w:spacing w:line="360" w:lineRule="auto"/>
              <w:rPr>
                <w:rFonts w:hint="eastAsia" w:asciiTheme="minorEastAsia" w:hAnsiTheme="minorEastAsia" w:eastAsiaTheme="minorEastAsia" w:cstheme="minorEastAsia"/>
                <w:color w:val="auto"/>
                <w:sz w:val="24"/>
                <w:szCs w:val="24"/>
                <w:highlight w:val="none"/>
              </w:rPr>
            </w:pPr>
          </w:p>
        </w:tc>
      </w:tr>
      <w:tr w14:paraId="10A39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6CF939C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w:t>
            </w:r>
          </w:p>
        </w:tc>
        <w:tc>
          <w:tcPr>
            <w:tcW w:w="5670" w:type="dxa"/>
            <w:noWrap w:val="0"/>
            <w:vAlign w:val="center"/>
          </w:tcPr>
          <w:p w14:paraId="52EB0A4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层（厅）门：所有层304发纹不锈钢厚度1.5mm。</w:t>
            </w:r>
          </w:p>
        </w:tc>
        <w:tc>
          <w:tcPr>
            <w:tcW w:w="2552" w:type="dxa"/>
            <w:noWrap w:val="0"/>
            <w:vAlign w:val="center"/>
          </w:tcPr>
          <w:p w14:paraId="24335398">
            <w:pPr>
              <w:spacing w:line="360" w:lineRule="auto"/>
              <w:rPr>
                <w:rFonts w:hint="eastAsia" w:asciiTheme="minorEastAsia" w:hAnsiTheme="minorEastAsia" w:eastAsiaTheme="minorEastAsia" w:cstheme="minorEastAsia"/>
                <w:color w:val="auto"/>
                <w:sz w:val="24"/>
                <w:szCs w:val="24"/>
                <w:highlight w:val="none"/>
              </w:rPr>
            </w:pPr>
          </w:p>
        </w:tc>
      </w:tr>
      <w:tr w14:paraId="0F365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3DA3A95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w:t>
            </w:r>
          </w:p>
        </w:tc>
        <w:tc>
          <w:tcPr>
            <w:tcW w:w="5670" w:type="dxa"/>
            <w:noWrap w:val="0"/>
            <w:vAlign w:val="center"/>
          </w:tcPr>
          <w:p w14:paraId="4219930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厅外召唤指示器：带运行方向、楼层显示及不锈钢按钮。</w:t>
            </w:r>
          </w:p>
        </w:tc>
        <w:tc>
          <w:tcPr>
            <w:tcW w:w="2552" w:type="dxa"/>
            <w:noWrap w:val="0"/>
            <w:vAlign w:val="center"/>
          </w:tcPr>
          <w:p w14:paraId="713DDC27">
            <w:pPr>
              <w:spacing w:line="360" w:lineRule="auto"/>
              <w:rPr>
                <w:rFonts w:hint="eastAsia" w:asciiTheme="minorEastAsia" w:hAnsiTheme="minorEastAsia" w:eastAsiaTheme="minorEastAsia" w:cstheme="minorEastAsia"/>
                <w:color w:val="auto"/>
                <w:sz w:val="24"/>
                <w:szCs w:val="24"/>
                <w:highlight w:val="none"/>
              </w:rPr>
            </w:pPr>
          </w:p>
        </w:tc>
      </w:tr>
      <w:tr w14:paraId="27633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709" w:type="dxa"/>
            <w:noWrap w:val="0"/>
            <w:vAlign w:val="center"/>
          </w:tcPr>
          <w:p w14:paraId="1E1FACF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w:t>
            </w:r>
          </w:p>
        </w:tc>
        <w:tc>
          <w:tcPr>
            <w:tcW w:w="5670" w:type="dxa"/>
            <w:noWrap w:val="0"/>
            <w:vAlign w:val="center"/>
          </w:tcPr>
          <w:p w14:paraId="2A6C26C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▲电梯五大部件：①主机；②控制柜；③安全钳、④限速器；⑤门机。自主技术及生产，须提供型式试验报告等证明文件。上述五大部件质保期不低于六年。</w:t>
            </w:r>
          </w:p>
        </w:tc>
        <w:tc>
          <w:tcPr>
            <w:tcW w:w="2552" w:type="dxa"/>
            <w:noWrap w:val="0"/>
            <w:vAlign w:val="center"/>
          </w:tcPr>
          <w:p w14:paraId="2727D41D">
            <w:pPr>
              <w:spacing w:line="360" w:lineRule="auto"/>
              <w:rPr>
                <w:rFonts w:hint="eastAsia" w:asciiTheme="minorEastAsia" w:hAnsiTheme="minorEastAsia" w:eastAsiaTheme="minorEastAsia" w:cstheme="minorEastAsia"/>
                <w:color w:val="auto"/>
                <w:sz w:val="24"/>
                <w:szCs w:val="24"/>
                <w:highlight w:val="none"/>
              </w:rPr>
            </w:pPr>
          </w:p>
        </w:tc>
      </w:tr>
      <w:tr w14:paraId="518CC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trPr>
        <w:tc>
          <w:tcPr>
            <w:tcW w:w="709" w:type="dxa"/>
            <w:noWrap w:val="0"/>
            <w:vAlign w:val="center"/>
          </w:tcPr>
          <w:p w14:paraId="5996F23C">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36</w:t>
            </w:r>
          </w:p>
        </w:tc>
        <w:tc>
          <w:tcPr>
            <w:tcW w:w="5670" w:type="dxa"/>
            <w:noWrap w:val="0"/>
            <w:vAlign w:val="center"/>
          </w:tcPr>
          <w:p w14:paraId="753DCBB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配置残疾人操纵箱、盲文按钮并按相关规定设置为消防梯及无障碍梯。</w:t>
            </w:r>
          </w:p>
        </w:tc>
        <w:tc>
          <w:tcPr>
            <w:tcW w:w="2552" w:type="dxa"/>
            <w:noWrap w:val="0"/>
            <w:vAlign w:val="center"/>
          </w:tcPr>
          <w:p w14:paraId="4949058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各楼栋1#梯，可下负一层，共</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台</w:t>
            </w:r>
          </w:p>
        </w:tc>
      </w:tr>
      <w:tr w14:paraId="42134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17C9A9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w:t>
            </w:r>
          </w:p>
        </w:tc>
        <w:tc>
          <w:tcPr>
            <w:tcW w:w="5670" w:type="dxa"/>
            <w:noWrap w:val="0"/>
            <w:vAlign w:val="center"/>
          </w:tcPr>
          <w:p w14:paraId="1056A66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★导向轮的材质必须为铸铁件</w:t>
            </w:r>
          </w:p>
        </w:tc>
        <w:tc>
          <w:tcPr>
            <w:tcW w:w="2552" w:type="dxa"/>
            <w:noWrap w:val="0"/>
            <w:vAlign w:val="center"/>
          </w:tcPr>
          <w:p w14:paraId="6BCC2D9A">
            <w:pPr>
              <w:spacing w:line="360" w:lineRule="auto"/>
              <w:rPr>
                <w:rFonts w:hint="eastAsia" w:asciiTheme="minorEastAsia" w:hAnsiTheme="minorEastAsia" w:eastAsiaTheme="minorEastAsia" w:cstheme="minorEastAsia"/>
                <w:color w:val="auto"/>
                <w:sz w:val="24"/>
                <w:szCs w:val="24"/>
                <w:highlight w:val="none"/>
              </w:rPr>
            </w:pPr>
          </w:p>
        </w:tc>
      </w:tr>
      <w:tr w14:paraId="4C2CE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B59C13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38</w:t>
            </w:r>
          </w:p>
        </w:tc>
        <w:tc>
          <w:tcPr>
            <w:tcW w:w="5670" w:type="dxa"/>
            <w:noWrap w:val="0"/>
            <w:vAlign w:val="center"/>
          </w:tcPr>
          <w:p w14:paraId="35F9BB9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★拆除原电梯监控并接入新梯</w:t>
            </w:r>
          </w:p>
        </w:tc>
        <w:tc>
          <w:tcPr>
            <w:tcW w:w="2552" w:type="dxa"/>
            <w:noWrap w:val="0"/>
            <w:vAlign w:val="center"/>
          </w:tcPr>
          <w:p w14:paraId="08CCB191">
            <w:pPr>
              <w:spacing w:line="360" w:lineRule="auto"/>
              <w:rPr>
                <w:rFonts w:hint="eastAsia" w:asciiTheme="minorEastAsia" w:hAnsiTheme="minorEastAsia" w:eastAsiaTheme="minorEastAsia" w:cstheme="minorEastAsia"/>
                <w:color w:val="auto"/>
                <w:sz w:val="24"/>
                <w:szCs w:val="24"/>
                <w:highlight w:val="none"/>
              </w:rPr>
            </w:pPr>
          </w:p>
        </w:tc>
      </w:tr>
      <w:tr w14:paraId="3308A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 w:hRule="atLeast"/>
        </w:trPr>
        <w:tc>
          <w:tcPr>
            <w:tcW w:w="709" w:type="dxa"/>
            <w:noWrap w:val="0"/>
            <w:vAlign w:val="center"/>
          </w:tcPr>
          <w:p w14:paraId="28F7801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39</w:t>
            </w:r>
          </w:p>
        </w:tc>
        <w:tc>
          <w:tcPr>
            <w:tcW w:w="5670" w:type="dxa"/>
            <w:noWrap w:val="0"/>
            <w:vAlign w:val="center"/>
          </w:tcPr>
          <w:p w14:paraId="1414B0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▲曳引部件使用寿命不低于</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年。</w:t>
            </w:r>
          </w:p>
        </w:tc>
        <w:tc>
          <w:tcPr>
            <w:tcW w:w="2552" w:type="dxa"/>
            <w:noWrap w:val="0"/>
            <w:vAlign w:val="center"/>
          </w:tcPr>
          <w:p w14:paraId="15C435F0">
            <w:pPr>
              <w:spacing w:line="360" w:lineRule="auto"/>
              <w:rPr>
                <w:rFonts w:hint="eastAsia" w:asciiTheme="minorEastAsia" w:hAnsiTheme="minorEastAsia" w:eastAsiaTheme="minorEastAsia" w:cstheme="minorEastAsia"/>
                <w:color w:val="auto"/>
                <w:sz w:val="24"/>
                <w:szCs w:val="24"/>
                <w:highlight w:val="none"/>
              </w:rPr>
            </w:pPr>
          </w:p>
        </w:tc>
      </w:tr>
      <w:tr w14:paraId="0EC4E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2FA089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40</w:t>
            </w:r>
          </w:p>
        </w:tc>
        <w:tc>
          <w:tcPr>
            <w:tcW w:w="5670" w:type="dxa"/>
            <w:noWrap w:val="0"/>
            <w:vAlign w:val="center"/>
          </w:tcPr>
          <w:p w14:paraId="5AEB2AC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▲能效认证需要达到ISO25745A级。</w:t>
            </w:r>
          </w:p>
        </w:tc>
        <w:tc>
          <w:tcPr>
            <w:tcW w:w="2552" w:type="dxa"/>
            <w:noWrap w:val="0"/>
            <w:vAlign w:val="center"/>
          </w:tcPr>
          <w:p w14:paraId="30337AB1">
            <w:pPr>
              <w:spacing w:line="360" w:lineRule="auto"/>
              <w:rPr>
                <w:rFonts w:hint="eastAsia" w:asciiTheme="minorEastAsia" w:hAnsiTheme="minorEastAsia" w:eastAsiaTheme="minorEastAsia" w:cstheme="minorEastAsia"/>
                <w:color w:val="auto"/>
                <w:sz w:val="24"/>
                <w:szCs w:val="24"/>
                <w:highlight w:val="none"/>
              </w:rPr>
            </w:pPr>
          </w:p>
        </w:tc>
      </w:tr>
    </w:tbl>
    <w:p w14:paraId="40A4B200">
      <w:pPr>
        <w:spacing w:line="360" w:lineRule="auto"/>
        <w:rPr>
          <w:rFonts w:hint="eastAsia" w:asciiTheme="minorEastAsia" w:hAnsiTheme="minorEastAsia" w:eastAsiaTheme="minorEastAsia" w:cstheme="minorEastAsia"/>
          <w:b/>
          <w:color w:val="auto"/>
          <w:sz w:val="24"/>
          <w:szCs w:val="24"/>
          <w:highlight w:val="none"/>
        </w:rPr>
      </w:pPr>
    </w:p>
    <w:p w14:paraId="0D49CCFB">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聚德中街6号</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8号、10号1#</w:t>
      </w:r>
      <w:r>
        <w:rPr>
          <w:rFonts w:hint="eastAsia" w:asciiTheme="minorEastAsia" w:hAnsiTheme="minorEastAsia" w:eastAsiaTheme="minorEastAsia" w:cstheme="minorEastAsia"/>
          <w:b/>
          <w:color w:val="auto"/>
          <w:sz w:val="24"/>
          <w:szCs w:val="24"/>
          <w:highlight w:val="none"/>
        </w:rPr>
        <w:t>技术参数要求（配置不低于以下要求）：</w:t>
      </w:r>
    </w:p>
    <w:tbl>
      <w:tblPr>
        <w:tblStyle w:val="20"/>
        <w:tblW w:w="89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5670"/>
        <w:gridCol w:w="2552"/>
      </w:tblGrid>
      <w:tr w14:paraId="1DCEF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09" w:type="dxa"/>
            <w:noWrap w:val="0"/>
            <w:vAlign w:val="center"/>
          </w:tcPr>
          <w:p w14:paraId="478AF23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5670" w:type="dxa"/>
            <w:noWrap w:val="0"/>
            <w:vAlign w:val="center"/>
          </w:tcPr>
          <w:p w14:paraId="7E2AD7D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技术规格、参数及要求</w:t>
            </w:r>
          </w:p>
        </w:tc>
        <w:tc>
          <w:tcPr>
            <w:tcW w:w="2552" w:type="dxa"/>
            <w:noWrap w:val="0"/>
            <w:vAlign w:val="center"/>
          </w:tcPr>
          <w:p w14:paraId="16FC03C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备注</w:t>
            </w:r>
          </w:p>
        </w:tc>
      </w:tr>
      <w:tr w14:paraId="5E757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3C7A5B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670" w:type="dxa"/>
            <w:noWrap w:val="0"/>
            <w:vAlign w:val="center"/>
          </w:tcPr>
          <w:p w14:paraId="241E62D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额定载重量</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63</w:t>
            </w:r>
            <w:r>
              <w:rPr>
                <w:rFonts w:hint="eastAsia" w:asciiTheme="minorEastAsia" w:hAnsiTheme="minorEastAsia" w:eastAsiaTheme="minorEastAsia" w:cstheme="minorEastAsia"/>
                <w:color w:val="auto"/>
                <w:sz w:val="24"/>
                <w:szCs w:val="24"/>
                <w:highlight w:val="none"/>
              </w:rPr>
              <w:t>0kg。</w:t>
            </w:r>
          </w:p>
        </w:tc>
        <w:tc>
          <w:tcPr>
            <w:tcW w:w="2552" w:type="dxa"/>
            <w:noWrap w:val="0"/>
            <w:vAlign w:val="center"/>
          </w:tcPr>
          <w:p w14:paraId="260AACAA">
            <w:pPr>
              <w:spacing w:line="360" w:lineRule="auto"/>
              <w:rPr>
                <w:rFonts w:hint="eastAsia" w:asciiTheme="minorEastAsia" w:hAnsiTheme="minorEastAsia" w:eastAsiaTheme="minorEastAsia" w:cstheme="minorEastAsia"/>
                <w:color w:val="auto"/>
                <w:sz w:val="24"/>
                <w:szCs w:val="24"/>
                <w:highlight w:val="none"/>
              </w:rPr>
            </w:pPr>
          </w:p>
        </w:tc>
      </w:tr>
      <w:tr w14:paraId="6A373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80518E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5670" w:type="dxa"/>
            <w:noWrap w:val="0"/>
            <w:vAlign w:val="center"/>
          </w:tcPr>
          <w:p w14:paraId="2D07431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产品：有机房电梯</w:t>
            </w:r>
            <w:r>
              <w:rPr>
                <w:rFonts w:hint="eastAsia" w:asciiTheme="minorEastAsia" w:hAnsiTheme="minorEastAsia" w:eastAsiaTheme="minorEastAsia" w:cstheme="minorEastAsia"/>
                <w:color w:val="auto"/>
                <w:sz w:val="24"/>
                <w:szCs w:val="24"/>
                <w:highlight w:val="none"/>
              </w:rPr>
              <w:t>。</w:t>
            </w:r>
          </w:p>
        </w:tc>
        <w:tc>
          <w:tcPr>
            <w:tcW w:w="2552" w:type="dxa"/>
            <w:noWrap w:val="0"/>
            <w:vAlign w:val="center"/>
          </w:tcPr>
          <w:p w14:paraId="64A6DA48">
            <w:pPr>
              <w:spacing w:line="360" w:lineRule="auto"/>
              <w:rPr>
                <w:rFonts w:hint="eastAsia" w:asciiTheme="minorEastAsia" w:hAnsiTheme="minorEastAsia" w:eastAsiaTheme="minorEastAsia" w:cstheme="minorEastAsia"/>
                <w:color w:val="auto"/>
                <w:sz w:val="24"/>
                <w:szCs w:val="24"/>
                <w:highlight w:val="none"/>
              </w:rPr>
            </w:pPr>
          </w:p>
        </w:tc>
      </w:tr>
      <w:tr w14:paraId="1A4E0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F9EC7C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5670" w:type="dxa"/>
            <w:noWrap w:val="0"/>
            <w:vAlign w:val="center"/>
          </w:tcPr>
          <w:p w14:paraId="1470264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额定</w:t>
            </w:r>
            <w:r>
              <w:rPr>
                <w:rFonts w:hint="eastAsia" w:asciiTheme="minorEastAsia" w:hAnsiTheme="minorEastAsia" w:eastAsiaTheme="minorEastAsia" w:cstheme="minorEastAsia"/>
                <w:color w:val="auto"/>
                <w:sz w:val="24"/>
                <w:szCs w:val="24"/>
                <w:highlight w:val="none"/>
              </w:rPr>
              <w:t>速度≥</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m/s。</w:t>
            </w:r>
          </w:p>
        </w:tc>
        <w:tc>
          <w:tcPr>
            <w:tcW w:w="2552" w:type="dxa"/>
            <w:noWrap w:val="0"/>
            <w:vAlign w:val="center"/>
          </w:tcPr>
          <w:p w14:paraId="637A836E">
            <w:pPr>
              <w:spacing w:line="360" w:lineRule="auto"/>
              <w:rPr>
                <w:rFonts w:hint="eastAsia" w:asciiTheme="minorEastAsia" w:hAnsiTheme="minorEastAsia" w:eastAsiaTheme="minorEastAsia" w:cstheme="minorEastAsia"/>
                <w:color w:val="auto"/>
                <w:sz w:val="24"/>
                <w:szCs w:val="24"/>
                <w:highlight w:val="none"/>
              </w:rPr>
            </w:pPr>
          </w:p>
        </w:tc>
      </w:tr>
      <w:tr w14:paraId="6C1BF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FCB1A1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5670" w:type="dxa"/>
            <w:noWrap w:val="0"/>
            <w:vAlign w:val="center"/>
          </w:tcPr>
          <w:p w14:paraId="41C2442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层站门：详见电梯现状参数表</w:t>
            </w:r>
          </w:p>
        </w:tc>
        <w:tc>
          <w:tcPr>
            <w:tcW w:w="2552" w:type="dxa"/>
            <w:noWrap w:val="0"/>
            <w:vAlign w:val="center"/>
          </w:tcPr>
          <w:p w14:paraId="5DF42310">
            <w:pPr>
              <w:spacing w:line="360" w:lineRule="auto"/>
              <w:rPr>
                <w:rFonts w:hint="eastAsia" w:asciiTheme="minorEastAsia" w:hAnsiTheme="minorEastAsia" w:eastAsiaTheme="minorEastAsia" w:cstheme="minorEastAsia"/>
                <w:color w:val="auto"/>
                <w:sz w:val="24"/>
                <w:szCs w:val="24"/>
                <w:highlight w:val="none"/>
              </w:rPr>
            </w:pPr>
          </w:p>
        </w:tc>
      </w:tr>
      <w:tr w14:paraId="3431C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FB39F6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5670" w:type="dxa"/>
            <w:noWrap w:val="0"/>
            <w:vAlign w:val="center"/>
          </w:tcPr>
          <w:p w14:paraId="346EABF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服务楼层：详见电梯现状参数表</w:t>
            </w:r>
          </w:p>
        </w:tc>
        <w:tc>
          <w:tcPr>
            <w:tcW w:w="2552" w:type="dxa"/>
            <w:noWrap w:val="0"/>
            <w:vAlign w:val="center"/>
          </w:tcPr>
          <w:p w14:paraId="3A2CA395">
            <w:pPr>
              <w:spacing w:line="360" w:lineRule="auto"/>
              <w:rPr>
                <w:rFonts w:hint="eastAsia" w:asciiTheme="minorEastAsia" w:hAnsiTheme="minorEastAsia" w:eastAsiaTheme="minorEastAsia" w:cstheme="minorEastAsia"/>
                <w:color w:val="auto"/>
                <w:sz w:val="24"/>
                <w:szCs w:val="24"/>
                <w:highlight w:val="none"/>
              </w:rPr>
            </w:pPr>
          </w:p>
        </w:tc>
      </w:tr>
      <w:tr w14:paraId="7EF24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222CE94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5670" w:type="dxa"/>
            <w:noWrap w:val="0"/>
            <w:vAlign w:val="center"/>
          </w:tcPr>
          <w:p w14:paraId="1CF5F9E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有基站。</w:t>
            </w:r>
          </w:p>
        </w:tc>
        <w:tc>
          <w:tcPr>
            <w:tcW w:w="2552" w:type="dxa"/>
            <w:noWrap w:val="0"/>
            <w:vAlign w:val="center"/>
          </w:tcPr>
          <w:p w14:paraId="370AD498">
            <w:pPr>
              <w:spacing w:line="360" w:lineRule="auto"/>
              <w:rPr>
                <w:rFonts w:hint="eastAsia" w:asciiTheme="minorEastAsia" w:hAnsiTheme="minorEastAsia" w:eastAsiaTheme="minorEastAsia" w:cstheme="minorEastAsia"/>
                <w:color w:val="auto"/>
                <w:sz w:val="24"/>
                <w:szCs w:val="24"/>
                <w:highlight w:val="none"/>
              </w:rPr>
            </w:pPr>
          </w:p>
        </w:tc>
      </w:tr>
      <w:tr w14:paraId="53125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0058670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5670" w:type="dxa"/>
            <w:noWrap w:val="0"/>
            <w:vAlign w:val="center"/>
          </w:tcPr>
          <w:p w14:paraId="6960EEAE">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驱动方式：微机控制交流变频调压调速</w:t>
            </w:r>
            <w:r>
              <w:rPr>
                <w:rFonts w:hint="eastAsia" w:asciiTheme="minorEastAsia" w:hAnsiTheme="minorEastAsia" w:eastAsiaTheme="minorEastAsia" w:cstheme="minorEastAsia"/>
                <w:color w:val="auto"/>
                <w:sz w:val="24"/>
                <w:szCs w:val="24"/>
                <w:highlight w:val="none"/>
                <w:lang w:eastAsia="zh-CN"/>
              </w:rPr>
              <w:t>。</w:t>
            </w:r>
          </w:p>
        </w:tc>
        <w:tc>
          <w:tcPr>
            <w:tcW w:w="2552" w:type="dxa"/>
            <w:noWrap w:val="0"/>
            <w:vAlign w:val="center"/>
          </w:tcPr>
          <w:p w14:paraId="31865161">
            <w:pPr>
              <w:spacing w:line="360" w:lineRule="auto"/>
              <w:rPr>
                <w:rFonts w:hint="eastAsia" w:asciiTheme="minorEastAsia" w:hAnsiTheme="minorEastAsia" w:eastAsiaTheme="minorEastAsia" w:cstheme="minorEastAsia"/>
                <w:color w:val="auto"/>
                <w:sz w:val="24"/>
                <w:szCs w:val="24"/>
                <w:highlight w:val="none"/>
              </w:rPr>
            </w:pPr>
          </w:p>
        </w:tc>
      </w:tr>
      <w:tr w14:paraId="51028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27E0C9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5670" w:type="dxa"/>
            <w:noWrap w:val="0"/>
            <w:vAlign w:val="center"/>
          </w:tcPr>
          <w:p w14:paraId="15B350F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动力电源：</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相AC380V 50Hz。</w:t>
            </w:r>
          </w:p>
        </w:tc>
        <w:tc>
          <w:tcPr>
            <w:tcW w:w="2552" w:type="dxa"/>
            <w:noWrap w:val="0"/>
            <w:vAlign w:val="center"/>
          </w:tcPr>
          <w:p w14:paraId="3F3E96EA">
            <w:pPr>
              <w:spacing w:line="360" w:lineRule="auto"/>
              <w:rPr>
                <w:rFonts w:hint="eastAsia" w:asciiTheme="minorEastAsia" w:hAnsiTheme="minorEastAsia" w:eastAsiaTheme="minorEastAsia" w:cstheme="minorEastAsia"/>
                <w:color w:val="auto"/>
                <w:sz w:val="24"/>
                <w:szCs w:val="24"/>
                <w:highlight w:val="none"/>
              </w:rPr>
            </w:pPr>
          </w:p>
        </w:tc>
      </w:tr>
      <w:tr w14:paraId="00F75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E0380F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5670" w:type="dxa"/>
            <w:noWrap w:val="0"/>
            <w:vAlign w:val="center"/>
          </w:tcPr>
          <w:p w14:paraId="1E3519A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照明电源：</w:t>
            </w:r>
            <w:r>
              <w:rPr>
                <w:rFonts w:hint="eastAsia" w:asciiTheme="minorEastAsia" w:hAnsiTheme="minorEastAsia" w:eastAsiaTheme="minorEastAsia" w:cstheme="minorEastAsia"/>
                <w:color w:val="auto"/>
                <w:sz w:val="24"/>
                <w:szCs w:val="24"/>
                <w:highlight w:val="none"/>
                <w:lang w:val="en-US" w:eastAsia="zh-CN"/>
              </w:rPr>
              <w:t>单相</w:t>
            </w:r>
            <w:r>
              <w:rPr>
                <w:rFonts w:hint="eastAsia" w:asciiTheme="minorEastAsia" w:hAnsiTheme="minorEastAsia" w:eastAsiaTheme="minorEastAsia" w:cstheme="minorEastAsia"/>
                <w:color w:val="auto"/>
                <w:sz w:val="24"/>
                <w:szCs w:val="24"/>
                <w:highlight w:val="none"/>
              </w:rPr>
              <w:t>AC220V 50Hz。</w:t>
            </w:r>
          </w:p>
        </w:tc>
        <w:tc>
          <w:tcPr>
            <w:tcW w:w="2552" w:type="dxa"/>
            <w:noWrap w:val="0"/>
            <w:vAlign w:val="center"/>
          </w:tcPr>
          <w:p w14:paraId="4903820B">
            <w:pPr>
              <w:spacing w:line="360" w:lineRule="auto"/>
              <w:rPr>
                <w:rFonts w:hint="eastAsia" w:asciiTheme="minorEastAsia" w:hAnsiTheme="minorEastAsia" w:eastAsiaTheme="minorEastAsia" w:cstheme="minorEastAsia"/>
                <w:color w:val="auto"/>
                <w:sz w:val="24"/>
                <w:szCs w:val="24"/>
                <w:highlight w:val="none"/>
              </w:rPr>
            </w:pPr>
          </w:p>
        </w:tc>
      </w:tr>
      <w:tr w14:paraId="414B0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9A20E9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5670" w:type="dxa"/>
            <w:noWrap w:val="0"/>
            <w:vAlign w:val="center"/>
          </w:tcPr>
          <w:p w14:paraId="61D69A2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控制方式：同一栋2台电梯并联。</w:t>
            </w:r>
          </w:p>
        </w:tc>
        <w:tc>
          <w:tcPr>
            <w:tcW w:w="2552" w:type="dxa"/>
            <w:noWrap w:val="0"/>
            <w:vAlign w:val="center"/>
          </w:tcPr>
          <w:p w14:paraId="5F52B603">
            <w:pPr>
              <w:spacing w:line="360" w:lineRule="auto"/>
              <w:rPr>
                <w:rFonts w:hint="eastAsia" w:asciiTheme="minorEastAsia" w:hAnsiTheme="minorEastAsia" w:eastAsiaTheme="minorEastAsia" w:cstheme="minorEastAsia"/>
                <w:color w:val="auto"/>
                <w:sz w:val="24"/>
                <w:szCs w:val="24"/>
                <w:highlight w:val="none"/>
              </w:rPr>
            </w:pPr>
          </w:p>
        </w:tc>
      </w:tr>
      <w:tr w14:paraId="3E36F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6C78B0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5670" w:type="dxa"/>
            <w:noWrap w:val="0"/>
            <w:vAlign w:val="center"/>
          </w:tcPr>
          <w:p w14:paraId="4A40904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制作标准：满足国家现行标准。</w:t>
            </w:r>
          </w:p>
        </w:tc>
        <w:tc>
          <w:tcPr>
            <w:tcW w:w="2552" w:type="dxa"/>
            <w:noWrap w:val="0"/>
            <w:vAlign w:val="center"/>
          </w:tcPr>
          <w:p w14:paraId="03410237">
            <w:pPr>
              <w:spacing w:line="360" w:lineRule="auto"/>
              <w:rPr>
                <w:rFonts w:hint="eastAsia" w:asciiTheme="minorEastAsia" w:hAnsiTheme="minorEastAsia" w:eastAsiaTheme="minorEastAsia" w:cstheme="minorEastAsia"/>
                <w:color w:val="auto"/>
                <w:sz w:val="24"/>
                <w:szCs w:val="24"/>
                <w:highlight w:val="none"/>
              </w:rPr>
            </w:pPr>
          </w:p>
        </w:tc>
      </w:tr>
      <w:tr w14:paraId="4EC28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535AF41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5670" w:type="dxa"/>
            <w:noWrap w:val="0"/>
            <w:vAlign w:val="center"/>
          </w:tcPr>
          <w:p w14:paraId="2BA8952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井道尺寸(宽×深)(mm)：以现场实测为准。</w:t>
            </w:r>
          </w:p>
        </w:tc>
        <w:tc>
          <w:tcPr>
            <w:tcW w:w="2552" w:type="dxa"/>
            <w:noWrap w:val="0"/>
            <w:vAlign w:val="center"/>
          </w:tcPr>
          <w:p w14:paraId="736D1B62">
            <w:pPr>
              <w:spacing w:line="360" w:lineRule="auto"/>
              <w:rPr>
                <w:rFonts w:hint="eastAsia" w:asciiTheme="minorEastAsia" w:hAnsiTheme="minorEastAsia" w:eastAsiaTheme="minorEastAsia" w:cstheme="minorEastAsia"/>
                <w:color w:val="auto"/>
                <w:sz w:val="24"/>
                <w:szCs w:val="24"/>
                <w:highlight w:val="none"/>
              </w:rPr>
            </w:pPr>
          </w:p>
        </w:tc>
      </w:tr>
      <w:tr w14:paraId="1B677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13C3ABF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5670" w:type="dxa"/>
            <w:noWrap w:val="0"/>
            <w:vAlign w:val="center"/>
          </w:tcPr>
          <w:p w14:paraId="39C6AE3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机房尺寸(宽×深×高)(mm)：以现场实测为准。</w:t>
            </w:r>
          </w:p>
        </w:tc>
        <w:tc>
          <w:tcPr>
            <w:tcW w:w="2552" w:type="dxa"/>
            <w:noWrap w:val="0"/>
            <w:vAlign w:val="center"/>
          </w:tcPr>
          <w:p w14:paraId="3B381C24">
            <w:pPr>
              <w:spacing w:line="360" w:lineRule="auto"/>
              <w:rPr>
                <w:rFonts w:hint="eastAsia" w:asciiTheme="minorEastAsia" w:hAnsiTheme="minorEastAsia" w:eastAsiaTheme="minorEastAsia" w:cstheme="minorEastAsia"/>
                <w:color w:val="auto"/>
                <w:sz w:val="24"/>
                <w:szCs w:val="24"/>
                <w:highlight w:val="none"/>
              </w:rPr>
            </w:pPr>
          </w:p>
        </w:tc>
      </w:tr>
      <w:tr w14:paraId="3A556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27E5A02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5670" w:type="dxa"/>
            <w:noWrap w:val="0"/>
            <w:vAlign w:val="center"/>
          </w:tcPr>
          <w:p w14:paraId="5AC8638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井道总高(m) ：以现场实测为准</w:t>
            </w:r>
          </w:p>
        </w:tc>
        <w:tc>
          <w:tcPr>
            <w:tcW w:w="2552" w:type="dxa"/>
            <w:noWrap w:val="0"/>
            <w:vAlign w:val="center"/>
          </w:tcPr>
          <w:p w14:paraId="1380D1CB">
            <w:pPr>
              <w:spacing w:line="360" w:lineRule="auto"/>
              <w:rPr>
                <w:rFonts w:hint="eastAsia" w:asciiTheme="minorEastAsia" w:hAnsiTheme="minorEastAsia" w:eastAsiaTheme="minorEastAsia" w:cstheme="minorEastAsia"/>
                <w:color w:val="auto"/>
                <w:sz w:val="24"/>
                <w:szCs w:val="24"/>
                <w:highlight w:val="none"/>
              </w:rPr>
            </w:pPr>
          </w:p>
        </w:tc>
      </w:tr>
      <w:tr w14:paraId="5BC99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0A601CD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5670" w:type="dxa"/>
            <w:noWrap w:val="0"/>
            <w:vAlign w:val="center"/>
          </w:tcPr>
          <w:p w14:paraId="0043457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提升高度(m)：以现场实测为准。</w:t>
            </w:r>
          </w:p>
        </w:tc>
        <w:tc>
          <w:tcPr>
            <w:tcW w:w="2552" w:type="dxa"/>
            <w:noWrap w:val="0"/>
            <w:vAlign w:val="center"/>
          </w:tcPr>
          <w:p w14:paraId="5E9D9942">
            <w:pPr>
              <w:spacing w:line="360" w:lineRule="auto"/>
              <w:rPr>
                <w:rFonts w:hint="eastAsia" w:asciiTheme="minorEastAsia" w:hAnsiTheme="minorEastAsia" w:eastAsiaTheme="minorEastAsia" w:cstheme="minorEastAsia"/>
                <w:color w:val="auto"/>
                <w:sz w:val="24"/>
                <w:szCs w:val="24"/>
                <w:highlight w:val="none"/>
              </w:rPr>
            </w:pPr>
          </w:p>
        </w:tc>
      </w:tr>
      <w:tr w14:paraId="29BDC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0FE129D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5670" w:type="dxa"/>
            <w:noWrap w:val="0"/>
            <w:vAlign w:val="center"/>
          </w:tcPr>
          <w:p w14:paraId="01686BD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顶层净高(mm)：以现场实测为准。</w:t>
            </w:r>
          </w:p>
        </w:tc>
        <w:tc>
          <w:tcPr>
            <w:tcW w:w="2552" w:type="dxa"/>
            <w:noWrap w:val="0"/>
            <w:vAlign w:val="center"/>
          </w:tcPr>
          <w:p w14:paraId="02126DF9">
            <w:pPr>
              <w:spacing w:line="360" w:lineRule="auto"/>
              <w:rPr>
                <w:rFonts w:hint="eastAsia" w:asciiTheme="minorEastAsia" w:hAnsiTheme="minorEastAsia" w:eastAsiaTheme="minorEastAsia" w:cstheme="minorEastAsia"/>
                <w:color w:val="auto"/>
                <w:sz w:val="24"/>
                <w:szCs w:val="24"/>
                <w:highlight w:val="none"/>
              </w:rPr>
            </w:pPr>
          </w:p>
        </w:tc>
      </w:tr>
      <w:tr w14:paraId="1A77F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2124F14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5670" w:type="dxa"/>
            <w:noWrap w:val="0"/>
            <w:vAlign w:val="center"/>
          </w:tcPr>
          <w:p w14:paraId="51A5D5C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底坑深度(mm)：以现场实测为准。</w:t>
            </w:r>
          </w:p>
        </w:tc>
        <w:tc>
          <w:tcPr>
            <w:tcW w:w="2552" w:type="dxa"/>
            <w:noWrap w:val="0"/>
            <w:vAlign w:val="center"/>
          </w:tcPr>
          <w:p w14:paraId="05BBF2DB">
            <w:pPr>
              <w:spacing w:line="360" w:lineRule="auto"/>
              <w:rPr>
                <w:rFonts w:hint="eastAsia" w:asciiTheme="minorEastAsia" w:hAnsiTheme="minorEastAsia" w:eastAsiaTheme="minorEastAsia" w:cstheme="minorEastAsia"/>
                <w:color w:val="auto"/>
                <w:sz w:val="24"/>
                <w:szCs w:val="24"/>
                <w:highlight w:val="none"/>
              </w:rPr>
            </w:pPr>
          </w:p>
        </w:tc>
      </w:tr>
      <w:tr w14:paraId="30B29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319BC46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5670" w:type="dxa"/>
            <w:noWrap w:val="0"/>
            <w:vAlign w:val="center"/>
          </w:tcPr>
          <w:p w14:paraId="71CD037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轿厢尺寸(宽×深)(mm) ：以现场实测可满足条件为准。</w:t>
            </w:r>
          </w:p>
        </w:tc>
        <w:tc>
          <w:tcPr>
            <w:tcW w:w="2552" w:type="dxa"/>
            <w:noWrap w:val="0"/>
            <w:vAlign w:val="center"/>
          </w:tcPr>
          <w:p w14:paraId="5C22BE56">
            <w:pPr>
              <w:spacing w:line="360" w:lineRule="auto"/>
              <w:rPr>
                <w:rFonts w:hint="eastAsia" w:asciiTheme="minorEastAsia" w:hAnsiTheme="minorEastAsia" w:eastAsiaTheme="minorEastAsia" w:cstheme="minorEastAsia"/>
                <w:color w:val="auto"/>
                <w:sz w:val="24"/>
                <w:szCs w:val="24"/>
                <w:highlight w:val="none"/>
              </w:rPr>
            </w:pPr>
          </w:p>
        </w:tc>
      </w:tr>
      <w:tr w14:paraId="6FB4B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28AB935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5670" w:type="dxa"/>
            <w:noWrap w:val="0"/>
            <w:vAlign w:val="center"/>
          </w:tcPr>
          <w:p w14:paraId="5738E69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轿厢天花：备风扇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照明。</w:t>
            </w:r>
          </w:p>
        </w:tc>
        <w:tc>
          <w:tcPr>
            <w:tcW w:w="2552" w:type="dxa"/>
            <w:noWrap w:val="0"/>
            <w:vAlign w:val="center"/>
          </w:tcPr>
          <w:p w14:paraId="26F13EED">
            <w:pPr>
              <w:spacing w:line="360" w:lineRule="auto"/>
              <w:rPr>
                <w:rFonts w:hint="eastAsia" w:asciiTheme="minorEastAsia" w:hAnsiTheme="minorEastAsia" w:eastAsiaTheme="minorEastAsia" w:cstheme="minorEastAsia"/>
                <w:color w:val="auto"/>
                <w:sz w:val="24"/>
                <w:szCs w:val="24"/>
                <w:highlight w:val="none"/>
                <w:lang w:val="en-US" w:eastAsia="zh-CN"/>
              </w:rPr>
            </w:pPr>
          </w:p>
        </w:tc>
      </w:tr>
      <w:tr w14:paraId="3598C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B78FC2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5670" w:type="dxa"/>
            <w:noWrap w:val="0"/>
            <w:vAlign w:val="center"/>
          </w:tcPr>
          <w:p w14:paraId="4EEE77E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轿厢高度：以现场实测可满足条件为准。</w:t>
            </w:r>
          </w:p>
        </w:tc>
        <w:tc>
          <w:tcPr>
            <w:tcW w:w="2552" w:type="dxa"/>
            <w:noWrap w:val="0"/>
            <w:vAlign w:val="center"/>
          </w:tcPr>
          <w:p w14:paraId="28AC890D">
            <w:pPr>
              <w:spacing w:line="360" w:lineRule="auto"/>
              <w:rPr>
                <w:rFonts w:hint="eastAsia" w:asciiTheme="minorEastAsia" w:hAnsiTheme="minorEastAsia" w:eastAsiaTheme="minorEastAsia" w:cstheme="minorEastAsia"/>
                <w:color w:val="auto"/>
                <w:sz w:val="24"/>
                <w:szCs w:val="24"/>
                <w:highlight w:val="none"/>
              </w:rPr>
            </w:pPr>
          </w:p>
        </w:tc>
      </w:tr>
      <w:tr w14:paraId="02ADB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A17C0F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5670" w:type="dxa"/>
            <w:noWrap w:val="0"/>
            <w:vAlign w:val="center"/>
          </w:tcPr>
          <w:p w14:paraId="621AFD5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轿厢前壁：304发纹不锈钢厚度1.5mm。</w:t>
            </w:r>
          </w:p>
        </w:tc>
        <w:tc>
          <w:tcPr>
            <w:tcW w:w="2552" w:type="dxa"/>
            <w:noWrap w:val="0"/>
            <w:vAlign w:val="center"/>
          </w:tcPr>
          <w:p w14:paraId="15314041">
            <w:pPr>
              <w:spacing w:line="360" w:lineRule="auto"/>
              <w:rPr>
                <w:rFonts w:hint="eastAsia" w:asciiTheme="minorEastAsia" w:hAnsiTheme="minorEastAsia" w:eastAsiaTheme="minorEastAsia" w:cstheme="minorEastAsia"/>
                <w:color w:val="auto"/>
                <w:sz w:val="24"/>
                <w:szCs w:val="24"/>
                <w:highlight w:val="none"/>
              </w:rPr>
            </w:pPr>
          </w:p>
        </w:tc>
      </w:tr>
      <w:tr w14:paraId="50D74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1574DA7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5670" w:type="dxa"/>
            <w:noWrap w:val="0"/>
            <w:vAlign w:val="center"/>
          </w:tcPr>
          <w:p w14:paraId="168593C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门灯横梁：304发纹不锈钢厚度1.5mm。</w:t>
            </w:r>
          </w:p>
        </w:tc>
        <w:tc>
          <w:tcPr>
            <w:tcW w:w="2552" w:type="dxa"/>
            <w:noWrap w:val="0"/>
            <w:vAlign w:val="center"/>
          </w:tcPr>
          <w:p w14:paraId="79FA2A67">
            <w:pPr>
              <w:spacing w:line="360" w:lineRule="auto"/>
              <w:rPr>
                <w:rFonts w:hint="eastAsia" w:asciiTheme="minorEastAsia" w:hAnsiTheme="minorEastAsia" w:eastAsiaTheme="minorEastAsia" w:cstheme="minorEastAsia"/>
                <w:color w:val="auto"/>
                <w:sz w:val="24"/>
                <w:szCs w:val="24"/>
                <w:highlight w:val="none"/>
              </w:rPr>
            </w:pPr>
          </w:p>
        </w:tc>
      </w:tr>
      <w:tr w14:paraId="2A7AE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2611E61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5670" w:type="dxa"/>
            <w:noWrap w:val="0"/>
            <w:vAlign w:val="center"/>
          </w:tcPr>
          <w:p w14:paraId="0DBA460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轿厢侧壁：304发纹不锈钢厚度1.5mm。</w:t>
            </w:r>
          </w:p>
        </w:tc>
        <w:tc>
          <w:tcPr>
            <w:tcW w:w="2552" w:type="dxa"/>
            <w:noWrap w:val="0"/>
            <w:vAlign w:val="center"/>
          </w:tcPr>
          <w:p w14:paraId="433E5FAF">
            <w:pPr>
              <w:spacing w:line="360" w:lineRule="auto"/>
              <w:rPr>
                <w:rFonts w:hint="eastAsia" w:asciiTheme="minorEastAsia" w:hAnsiTheme="minorEastAsia" w:eastAsiaTheme="minorEastAsia" w:cstheme="minorEastAsia"/>
                <w:color w:val="auto"/>
                <w:sz w:val="24"/>
                <w:szCs w:val="24"/>
                <w:highlight w:val="none"/>
              </w:rPr>
            </w:pPr>
          </w:p>
        </w:tc>
      </w:tr>
      <w:tr w14:paraId="132AD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3D8CF38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5670" w:type="dxa"/>
            <w:noWrap w:val="0"/>
            <w:vAlign w:val="center"/>
          </w:tcPr>
          <w:p w14:paraId="1CE167B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轿厢后壁：中间发纹不锈钢 SUS304+两侧镜面不锈钢。</w:t>
            </w:r>
          </w:p>
        </w:tc>
        <w:tc>
          <w:tcPr>
            <w:tcW w:w="2552" w:type="dxa"/>
            <w:noWrap w:val="0"/>
            <w:vAlign w:val="center"/>
          </w:tcPr>
          <w:p w14:paraId="37213C04">
            <w:pPr>
              <w:spacing w:line="360" w:lineRule="auto"/>
              <w:rPr>
                <w:rFonts w:hint="eastAsia" w:asciiTheme="minorEastAsia" w:hAnsiTheme="minorEastAsia" w:eastAsiaTheme="minorEastAsia" w:cstheme="minorEastAsia"/>
                <w:color w:val="auto"/>
                <w:sz w:val="24"/>
                <w:szCs w:val="24"/>
                <w:highlight w:val="none"/>
              </w:rPr>
            </w:pPr>
          </w:p>
        </w:tc>
      </w:tr>
      <w:tr w14:paraId="4E6A5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63663B9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5670" w:type="dxa"/>
            <w:noWrap w:val="0"/>
            <w:vAlign w:val="center"/>
          </w:tcPr>
          <w:p w14:paraId="32D04EA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轿门：304发纹不锈钢厚度1.5mm。</w:t>
            </w:r>
          </w:p>
        </w:tc>
        <w:tc>
          <w:tcPr>
            <w:tcW w:w="2552" w:type="dxa"/>
            <w:noWrap w:val="0"/>
            <w:vAlign w:val="center"/>
          </w:tcPr>
          <w:p w14:paraId="1635E4D8">
            <w:pPr>
              <w:spacing w:line="360" w:lineRule="auto"/>
              <w:rPr>
                <w:rFonts w:hint="eastAsia" w:asciiTheme="minorEastAsia" w:hAnsiTheme="minorEastAsia" w:eastAsiaTheme="minorEastAsia" w:cstheme="minorEastAsia"/>
                <w:color w:val="auto"/>
                <w:sz w:val="24"/>
                <w:szCs w:val="24"/>
                <w:highlight w:val="none"/>
              </w:rPr>
            </w:pPr>
          </w:p>
        </w:tc>
      </w:tr>
      <w:tr w14:paraId="27329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36B1742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5670" w:type="dxa"/>
            <w:noWrap w:val="0"/>
            <w:vAlign w:val="center"/>
          </w:tcPr>
          <w:p w14:paraId="2C05371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轿厢地面：304发纹不锈钢。</w:t>
            </w:r>
          </w:p>
        </w:tc>
        <w:tc>
          <w:tcPr>
            <w:tcW w:w="2552" w:type="dxa"/>
            <w:noWrap w:val="0"/>
            <w:vAlign w:val="center"/>
          </w:tcPr>
          <w:p w14:paraId="770DC664">
            <w:pPr>
              <w:spacing w:line="360" w:lineRule="auto"/>
              <w:rPr>
                <w:rFonts w:hint="eastAsia" w:asciiTheme="minorEastAsia" w:hAnsiTheme="minorEastAsia" w:eastAsiaTheme="minorEastAsia" w:cstheme="minorEastAsia"/>
                <w:color w:val="auto"/>
                <w:sz w:val="24"/>
                <w:szCs w:val="24"/>
                <w:highlight w:val="none"/>
              </w:rPr>
            </w:pPr>
          </w:p>
        </w:tc>
      </w:tr>
      <w:tr w14:paraId="626CF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3AA236F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5670" w:type="dxa"/>
            <w:noWrap w:val="0"/>
            <w:vAlign w:val="center"/>
          </w:tcPr>
          <w:p w14:paraId="252C4A6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开门方向：中分门。</w:t>
            </w:r>
          </w:p>
        </w:tc>
        <w:tc>
          <w:tcPr>
            <w:tcW w:w="2552" w:type="dxa"/>
            <w:noWrap w:val="0"/>
            <w:vAlign w:val="center"/>
          </w:tcPr>
          <w:p w14:paraId="793A499F">
            <w:pPr>
              <w:spacing w:line="360" w:lineRule="auto"/>
              <w:rPr>
                <w:rFonts w:hint="eastAsia" w:asciiTheme="minorEastAsia" w:hAnsiTheme="minorEastAsia" w:eastAsiaTheme="minorEastAsia" w:cstheme="minorEastAsia"/>
                <w:color w:val="auto"/>
                <w:sz w:val="24"/>
                <w:szCs w:val="24"/>
                <w:highlight w:val="none"/>
              </w:rPr>
            </w:pPr>
          </w:p>
        </w:tc>
      </w:tr>
      <w:tr w14:paraId="00C1D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2486CA4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w:t>
            </w:r>
          </w:p>
        </w:tc>
        <w:tc>
          <w:tcPr>
            <w:tcW w:w="5670" w:type="dxa"/>
            <w:noWrap w:val="0"/>
            <w:vAlign w:val="center"/>
          </w:tcPr>
          <w:p w14:paraId="17EE9EF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★开门尺寸(宽×高)(mm)：</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00×2100。</w:t>
            </w:r>
          </w:p>
        </w:tc>
        <w:tc>
          <w:tcPr>
            <w:tcW w:w="2552" w:type="dxa"/>
            <w:noWrap w:val="0"/>
            <w:vAlign w:val="center"/>
          </w:tcPr>
          <w:p w14:paraId="69BE2885">
            <w:pPr>
              <w:spacing w:line="360" w:lineRule="auto"/>
              <w:rPr>
                <w:rFonts w:hint="eastAsia" w:asciiTheme="minorEastAsia" w:hAnsiTheme="minorEastAsia" w:eastAsiaTheme="minorEastAsia" w:cstheme="minorEastAsia"/>
                <w:color w:val="auto"/>
                <w:sz w:val="24"/>
                <w:szCs w:val="24"/>
                <w:highlight w:val="none"/>
              </w:rPr>
            </w:pPr>
          </w:p>
        </w:tc>
      </w:tr>
      <w:tr w14:paraId="5D15A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B69BF7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w:t>
            </w:r>
          </w:p>
        </w:tc>
        <w:tc>
          <w:tcPr>
            <w:tcW w:w="5670" w:type="dxa"/>
            <w:noWrap w:val="0"/>
            <w:vAlign w:val="center"/>
          </w:tcPr>
          <w:p w14:paraId="321E6A0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轿厢操纵箱：304发纹不锈钢厚度1.5mm，层显点阵显示</w:t>
            </w:r>
          </w:p>
        </w:tc>
        <w:tc>
          <w:tcPr>
            <w:tcW w:w="2552" w:type="dxa"/>
            <w:noWrap w:val="0"/>
            <w:vAlign w:val="center"/>
          </w:tcPr>
          <w:p w14:paraId="4C75F268">
            <w:pPr>
              <w:spacing w:line="360" w:lineRule="auto"/>
              <w:rPr>
                <w:rFonts w:hint="eastAsia" w:asciiTheme="minorEastAsia" w:hAnsiTheme="minorEastAsia" w:eastAsiaTheme="minorEastAsia" w:cstheme="minorEastAsia"/>
                <w:color w:val="auto"/>
                <w:sz w:val="24"/>
                <w:szCs w:val="24"/>
                <w:highlight w:val="none"/>
              </w:rPr>
            </w:pPr>
          </w:p>
        </w:tc>
      </w:tr>
      <w:tr w14:paraId="58F24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3389F23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c>
          <w:tcPr>
            <w:tcW w:w="5670" w:type="dxa"/>
            <w:noWrap w:val="0"/>
            <w:vAlign w:val="center"/>
          </w:tcPr>
          <w:p w14:paraId="44479E3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操纵箱按钮：不锈钢按钮。</w:t>
            </w:r>
          </w:p>
        </w:tc>
        <w:tc>
          <w:tcPr>
            <w:tcW w:w="2552" w:type="dxa"/>
            <w:noWrap w:val="0"/>
            <w:vAlign w:val="center"/>
          </w:tcPr>
          <w:p w14:paraId="7752343F">
            <w:pPr>
              <w:spacing w:line="360" w:lineRule="auto"/>
              <w:rPr>
                <w:rFonts w:hint="eastAsia" w:asciiTheme="minorEastAsia" w:hAnsiTheme="minorEastAsia" w:eastAsiaTheme="minorEastAsia" w:cstheme="minorEastAsia"/>
                <w:color w:val="auto"/>
                <w:sz w:val="24"/>
                <w:szCs w:val="24"/>
                <w:highlight w:val="none"/>
              </w:rPr>
            </w:pPr>
          </w:p>
        </w:tc>
      </w:tr>
      <w:tr w14:paraId="185B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78A335C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p>
        </w:tc>
        <w:tc>
          <w:tcPr>
            <w:tcW w:w="5670" w:type="dxa"/>
            <w:noWrap w:val="0"/>
            <w:vAlign w:val="center"/>
          </w:tcPr>
          <w:p w14:paraId="1A5CFA2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轿厢位置指层器：设置于操纵箱。</w:t>
            </w:r>
          </w:p>
        </w:tc>
        <w:tc>
          <w:tcPr>
            <w:tcW w:w="2552" w:type="dxa"/>
            <w:noWrap w:val="0"/>
            <w:vAlign w:val="center"/>
          </w:tcPr>
          <w:p w14:paraId="07790AD2">
            <w:pPr>
              <w:spacing w:line="360" w:lineRule="auto"/>
              <w:rPr>
                <w:rFonts w:hint="eastAsia" w:asciiTheme="minorEastAsia" w:hAnsiTheme="minorEastAsia" w:eastAsiaTheme="minorEastAsia" w:cstheme="minorEastAsia"/>
                <w:color w:val="auto"/>
                <w:sz w:val="24"/>
                <w:szCs w:val="24"/>
                <w:highlight w:val="none"/>
              </w:rPr>
            </w:pPr>
          </w:p>
        </w:tc>
      </w:tr>
      <w:tr w14:paraId="1A036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4895859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w:t>
            </w:r>
          </w:p>
        </w:tc>
        <w:tc>
          <w:tcPr>
            <w:tcW w:w="5670" w:type="dxa"/>
            <w:noWrap w:val="0"/>
            <w:vAlign w:val="center"/>
          </w:tcPr>
          <w:p w14:paraId="3E2CC01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门套：一楼不锈钢大门套保留，其余层厅门以现场实测为准。</w:t>
            </w:r>
          </w:p>
        </w:tc>
        <w:tc>
          <w:tcPr>
            <w:tcW w:w="2552" w:type="dxa"/>
            <w:noWrap w:val="0"/>
            <w:vAlign w:val="center"/>
          </w:tcPr>
          <w:p w14:paraId="30FC4862">
            <w:pPr>
              <w:spacing w:line="360" w:lineRule="auto"/>
              <w:rPr>
                <w:rFonts w:hint="eastAsia" w:asciiTheme="minorEastAsia" w:hAnsiTheme="minorEastAsia" w:eastAsiaTheme="minorEastAsia" w:cstheme="minorEastAsia"/>
                <w:color w:val="auto"/>
                <w:sz w:val="24"/>
                <w:szCs w:val="24"/>
                <w:highlight w:val="none"/>
              </w:rPr>
            </w:pPr>
          </w:p>
        </w:tc>
      </w:tr>
      <w:tr w14:paraId="04DF3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2BD253B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w:t>
            </w:r>
          </w:p>
        </w:tc>
        <w:tc>
          <w:tcPr>
            <w:tcW w:w="5670" w:type="dxa"/>
            <w:noWrap w:val="0"/>
            <w:vAlign w:val="center"/>
          </w:tcPr>
          <w:p w14:paraId="0051F64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层（厅）门：所有层304发纹不锈钢厚度1.5mm。</w:t>
            </w:r>
          </w:p>
        </w:tc>
        <w:tc>
          <w:tcPr>
            <w:tcW w:w="2552" w:type="dxa"/>
            <w:noWrap w:val="0"/>
            <w:vAlign w:val="center"/>
          </w:tcPr>
          <w:p w14:paraId="1CCB8553">
            <w:pPr>
              <w:spacing w:line="360" w:lineRule="auto"/>
              <w:rPr>
                <w:rFonts w:hint="eastAsia" w:asciiTheme="minorEastAsia" w:hAnsiTheme="minorEastAsia" w:eastAsiaTheme="minorEastAsia" w:cstheme="minorEastAsia"/>
                <w:color w:val="auto"/>
                <w:sz w:val="24"/>
                <w:szCs w:val="24"/>
                <w:highlight w:val="none"/>
              </w:rPr>
            </w:pPr>
          </w:p>
        </w:tc>
      </w:tr>
      <w:tr w14:paraId="71F42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6EC34BC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w:t>
            </w:r>
          </w:p>
        </w:tc>
        <w:tc>
          <w:tcPr>
            <w:tcW w:w="5670" w:type="dxa"/>
            <w:noWrap w:val="0"/>
            <w:vAlign w:val="center"/>
          </w:tcPr>
          <w:p w14:paraId="616837F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厅外召唤指示器：带运行方向、楼层显示及不锈钢按钮。</w:t>
            </w:r>
          </w:p>
        </w:tc>
        <w:tc>
          <w:tcPr>
            <w:tcW w:w="2552" w:type="dxa"/>
            <w:noWrap w:val="0"/>
            <w:vAlign w:val="center"/>
          </w:tcPr>
          <w:p w14:paraId="637C8A25">
            <w:pPr>
              <w:spacing w:line="360" w:lineRule="auto"/>
              <w:rPr>
                <w:rFonts w:hint="eastAsia" w:asciiTheme="minorEastAsia" w:hAnsiTheme="minorEastAsia" w:eastAsiaTheme="minorEastAsia" w:cstheme="minorEastAsia"/>
                <w:color w:val="auto"/>
                <w:sz w:val="24"/>
                <w:szCs w:val="24"/>
                <w:highlight w:val="none"/>
              </w:rPr>
            </w:pPr>
          </w:p>
        </w:tc>
      </w:tr>
      <w:tr w14:paraId="64B7B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709" w:type="dxa"/>
            <w:noWrap w:val="0"/>
            <w:vAlign w:val="center"/>
          </w:tcPr>
          <w:p w14:paraId="06F5BB2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w:t>
            </w:r>
          </w:p>
        </w:tc>
        <w:tc>
          <w:tcPr>
            <w:tcW w:w="5670" w:type="dxa"/>
            <w:noWrap w:val="0"/>
            <w:vAlign w:val="center"/>
          </w:tcPr>
          <w:p w14:paraId="0AE2F9B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▲电梯五大部件：①主机；②控制柜；③安全钳、④限速器；⑤门机。自主技术及生产，须提供型式试验报告等证明文件。上述五大部件质保期不低于六年。</w:t>
            </w:r>
          </w:p>
        </w:tc>
        <w:tc>
          <w:tcPr>
            <w:tcW w:w="2552" w:type="dxa"/>
            <w:noWrap w:val="0"/>
            <w:vAlign w:val="center"/>
          </w:tcPr>
          <w:p w14:paraId="36685F5B">
            <w:pPr>
              <w:spacing w:line="360" w:lineRule="auto"/>
              <w:rPr>
                <w:rFonts w:hint="eastAsia" w:asciiTheme="minorEastAsia" w:hAnsiTheme="minorEastAsia" w:eastAsiaTheme="minorEastAsia" w:cstheme="minorEastAsia"/>
                <w:color w:val="auto"/>
                <w:sz w:val="24"/>
                <w:szCs w:val="24"/>
                <w:highlight w:val="none"/>
              </w:rPr>
            </w:pPr>
          </w:p>
        </w:tc>
      </w:tr>
      <w:tr w14:paraId="4F06B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trPr>
        <w:tc>
          <w:tcPr>
            <w:tcW w:w="709" w:type="dxa"/>
            <w:noWrap w:val="0"/>
            <w:vAlign w:val="center"/>
          </w:tcPr>
          <w:p w14:paraId="446F834B">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36</w:t>
            </w:r>
          </w:p>
        </w:tc>
        <w:tc>
          <w:tcPr>
            <w:tcW w:w="5670" w:type="dxa"/>
            <w:noWrap w:val="0"/>
            <w:vAlign w:val="center"/>
          </w:tcPr>
          <w:p w14:paraId="7A99116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配置残疾人操纵箱、盲文按钮并按相关规定设置为消防梯及无障碍梯。</w:t>
            </w:r>
          </w:p>
        </w:tc>
        <w:tc>
          <w:tcPr>
            <w:tcW w:w="2552" w:type="dxa"/>
            <w:noWrap w:val="0"/>
            <w:vAlign w:val="center"/>
          </w:tcPr>
          <w:p w14:paraId="6C7BCD3B">
            <w:pPr>
              <w:spacing w:line="360" w:lineRule="auto"/>
              <w:rPr>
                <w:rFonts w:hint="eastAsia" w:asciiTheme="minorEastAsia" w:hAnsiTheme="minorEastAsia" w:eastAsiaTheme="minorEastAsia" w:cstheme="minorEastAsia"/>
                <w:color w:val="auto"/>
                <w:sz w:val="24"/>
                <w:szCs w:val="24"/>
                <w:highlight w:val="none"/>
              </w:rPr>
            </w:pPr>
          </w:p>
        </w:tc>
      </w:tr>
      <w:tr w14:paraId="16A5A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D9882F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w:t>
            </w:r>
          </w:p>
        </w:tc>
        <w:tc>
          <w:tcPr>
            <w:tcW w:w="5670" w:type="dxa"/>
            <w:noWrap w:val="0"/>
            <w:vAlign w:val="center"/>
          </w:tcPr>
          <w:p w14:paraId="4ADC475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★导向轮的材质必须为铸铁件</w:t>
            </w:r>
          </w:p>
        </w:tc>
        <w:tc>
          <w:tcPr>
            <w:tcW w:w="2552" w:type="dxa"/>
            <w:noWrap w:val="0"/>
            <w:vAlign w:val="center"/>
          </w:tcPr>
          <w:p w14:paraId="0D85C14D">
            <w:pPr>
              <w:spacing w:line="360" w:lineRule="auto"/>
              <w:rPr>
                <w:rFonts w:hint="eastAsia" w:asciiTheme="minorEastAsia" w:hAnsiTheme="minorEastAsia" w:eastAsiaTheme="minorEastAsia" w:cstheme="minorEastAsia"/>
                <w:color w:val="auto"/>
                <w:sz w:val="24"/>
                <w:szCs w:val="24"/>
                <w:highlight w:val="none"/>
              </w:rPr>
            </w:pPr>
          </w:p>
        </w:tc>
      </w:tr>
      <w:tr w14:paraId="3EB97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A603D0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38</w:t>
            </w:r>
          </w:p>
        </w:tc>
        <w:tc>
          <w:tcPr>
            <w:tcW w:w="5670" w:type="dxa"/>
            <w:noWrap w:val="0"/>
            <w:vAlign w:val="center"/>
          </w:tcPr>
          <w:p w14:paraId="217CCEC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★拆除原电梯监控并接入新梯</w:t>
            </w:r>
          </w:p>
        </w:tc>
        <w:tc>
          <w:tcPr>
            <w:tcW w:w="2552" w:type="dxa"/>
            <w:noWrap w:val="0"/>
            <w:vAlign w:val="center"/>
          </w:tcPr>
          <w:p w14:paraId="06B14139">
            <w:pPr>
              <w:spacing w:line="360" w:lineRule="auto"/>
              <w:rPr>
                <w:rFonts w:hint="eastAsia" w:asciiTheme="minorEastAsia" w:hAnsiTheme="minorEastAsia" w:eastAsiaTheme="minorEastAsia" w:cstheme="minorEastAsia"/>
                <w:color w:val="auto"/>
                <w:sz w:val="24"/>
                <w:szCs w:val="24"/>
                <w:highlight w:val="none"/>
              </w:rPr>
            </w:pPr>
          </w:p>
        </w:tc>
      </w:tr>
      <w:tr w14:paraId="13B3B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 w:hRule="atLeast"/>
        </w:trPr>
        <w:tc>
          <w:tcPr>
            <w:tcW w:w="709" w:type="dxa"/>
            <w:noWrap w:val="0"/>
            <w:vAlign w:val="center"/>
          </w:tcPr>
          <w:p w14:paraId="6BC0E15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39</w:t>
            </w:r>
          </w:p>
        </w:tc>
        <w:tc>
          <w:tcPr>
            <w:tcW w:w="5670" w:type="dxa"/>
            <w:noWrap w:val="0"/>
            <w:vAlign w:val="center"/>
          </w:tcPr>
          <w:p w14:paraId="65757BD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▲曳引部件使用寿命不低于</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年。</w:t>
            </w:r>
          </w:p>
        </w:tc>
        <w:tc>
          <w:tcPr>
            <w:tcW w:w="2552" w:type="dxa"/>
            <w:noWrap w:val="0"/>
            <w:vAlign w:val="center"/>
          </w:tcPr>
          <w:p w14:paraId="6A0694E4">
            <w:pPr>
              <w:spacing w:line="360" w:lineRule="auto"/>
              <w:rPr>
                <w:rFonts w:hint="eastAsia" w:asciiTheme="minorEastAsia" w:hAnsiTheme="minorEastAsia" w:eastAsiaTheme="minorEastAsia" w:cstheme="minorEastAsia"/>
                <w:color w:val="auto"/>
                <w:sz w:val="24"/>
                <w:szCs w:val="24"/>
                <w:highlight w:val="none"/>
              </w:rPr>
            </w:pPr>
          </w:p>
        </w:tc>
      </w:tr>
      <w:tr w14:paraId="79505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D6D923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40</w:t>
            </w:r>
          </w:p>
        </w:tc>
        <w:tc>
          <w:tcPr>
            <w:tcW w:w="5670" w:type="dxa"/>
            <w:noWrap w:val="0"/>
            <w:vAlign w:val="center"/>
          </w:tcPr>
          <w:p w14:paraId="204C3A9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▲能效认证需要达到ISO25745A级。</w:t>
            </w:r>
          </w:p>
        </w:tc>
        <w:tc>
          <w:tcPr>
            <w:tcW w:w="2552" w:type="dxa"/>
            <w:noWrap w:val="0"/>
            <w:vAlign w:val="center"/>
          </w:tcPr>
          <w:p w14:paraId="5761B1E7">
            <w:pPr>
              <w:spacing w:line="360" w:lineRule="auto"/>
              <w:rPr>
                <w:rFonts w:hint="eastAsia" w:asciiTheme="minorEastAsia" w:hAnsiTheme="minorEastAsia" w:eastAsiaTheme="minorEastAsia" w:cstheme="minorEastAsia"/>
                <w:color w:val="auto"/>
                <w:sz w:val="24"/>
                <w:szCs w:val="24"/>
                <w:highlight w:val="none"/>
              </w:rPr>
            </w:pPr>
          </w:p>
        </w:tc>
      </w:tr>
    </w:tbl>
    <w:p w14:paraId="54791E3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“★”号条款为实质性条款，必须完全满足，否则视为未响应招标文件要求，评审时作废标处理。</w:t>
      </w:r>
    </w:p>
    <w:p w14:paraId="1CE70E1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“▲”号条款为重要技术参数，未响应，评审时加重扣减技术标得分，但不作为废标处理。</w:t>
      </w:r>
    </w:p>
    <w:p w14:paraId="54CDD957">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注：</w:t>
      </w:r>
    </w:p>
    <w:p w14:paraId="258EEA6F">
      <w:pPr>
        <w:spacing w:line="360" w:lineRule="auto"/>
        <w:ind w:firstLine="547" w:firstLineChars="228"/>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（1）最终制造、安装电梯的各项尺寸以现场环境为准，且须满足采购人实际使用需求。</w:t>
      </w:r>
    </w:p>
    <w:p w14:paraId="45DFD5FC">
      <w:pPr>
        <w:spacing w:line="360" w:lineRule="auto"/>
        <w:ind w:firstLine="547" w:firstLineChars="228"/>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（2）上述参数为最低技术要求，投标人须提供全部满足或优于上述要求的货物参与投标。</w:t>
      </w:r>
    </w:p>
    <w:p w14:paraId="2DBD0E54">
      <w:pPr>
        <w:pStyle w:val="36"/>
        <w:spacing w:line="360" w:lineRule="auto"/>
        <w:ind w:left="-199" w:leftChars="-95"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为交钥匙工程，除外部电源外其余工作及费用均由中标人承担，中标人负责完成所需电梯设备的设计、制造、供应、包装、运输、安装、调试、试运行、验收（含通过特种设备监督检验中心验收及项目整体验收）及售后服务。</w:t>
      </w:r>
    </w:p>
    <w:p w14:paraId="125FBD18">
      <w:pPr>
        <w:pStyle w:val="36"/>
        <w:numPr>
          <w:ilvl w:val="0"/>
          <w:numId w:val="2"/>
        </w:numPr>
        <w:spacing w:line="360" w:lineRule="auto"/>
        <w:ind w:left="-199" w:leftChars="-95" w:firstLine="48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工期要求：</w:t>
      </w:r>
    </w:p>
    <w:p w14:paraId="1729DA11">
      <w:pPr>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kern w:val="2"/>
          <w:sz w:val="24"/>
          <w:szCs w:val="24"/>
          <w:highlight w:val="none"/>
        </w:rPr>
        <w:t>根据现场实际条件分批分期施工，合同签订后</w:t>
      </w:r>
      <w:r>
        <w:rPr>
          <w:rFonts w:hint="eastAsia" w:asciiTheme="minorEastAsia" w:hAnsiTheme="minorEastAsia" w:eastAsiaTheme="minorEastAsia" w:cstheme="minorEastAsia"/>
          <w:color w:val="auto"/>
          <w:kern w:val="2"/>
          <w:sz w:val="24"/>
          <w:szCs w:val="24"/>
          <w:highlight w:val="none"/>
          <w:lang w:val="en-US" w:eastAsia="zh-CN"/>
        </w:rPr>
        <w:t>1</w:t>
      </w:r>
      <w:r>
        <w:rPr>
          <w:rFonts w:hint="eastAsia" w:asciiTheme="minorEastAsia" w:hAnsiTheme="minorEastAsia" w:eastAsiaTheme="minorEastAsia" w:cstheme="minorEastAsia"/>
          <w:color w:val="auto"/>
          <w:kern w:val="2"/>
          <w:sz w:val="24"/>
          <w:szCs w:val="24"/>
          <w:highlight w:val="none"/>
        </w:rPr>
        <w:t>个月内首批设备进场安装，在此后</w:t>
      </w:r>
      <w:r>
        <w:rPr>
          <w:rFonts w:hint="eastAsia" w:asciiTheme="minorEastAsia" w:hAnsiTheme="minorEastAsia" w:eastAsiaTheme="minorEastAsia" w:cstheme="minorEastAsia"/>
          <w:color w:val="auto"/>
          <w:kern w:val="2"/>
          <w:sz w:val="24"/>
          <w:szCs w:val="24"/>
          <w:highlight w:val="none"/>
          <w:u w:val="none"/>
          <w:lang w:val="en-US" w:eastAsia="zh-CN"/>
        </w:rPr>
        <w:t>2个</w:t>
      </w:r>
      <w:r>
        <w:rPr>
          <w:rFonts w:hint="eastAsia" w:asciiTheme="minorEastAsia" w:hAnsiTheme="minorEastAsia" w:eastAsiaTheme="minorEastAsia" w:cstheme="minorEastAsia"/>
          <w:color w:val="auto"/>
          <w:kern w:val="2"/>
          <w:sz w:val="24"/>
          <w:szCs w:val="24"/>
          <w:highlight w:val="none"/>
        </w:rPr>
        <w:t>月内完成全部设备安装并取得质量技术监督部门安全质量验收合格证书；施工过程</w:t>
      </w:r>
      <w:r>
        <w:rPr>
          <w:rFonts w:hint="eastAsia" w:asciiTheme="minorEastAsia" w:hAnsiTheme="minorEastAsia" w:eastAsiaTheme="minorEastAsia" w:cstheme="minorEastAsia"/>
          <w:color w:val="auto"/>
          <w:kern w:val="2"/>
          <w:sz w:val="24"/>
          <w:szCs w:val="24"/>
          <w:highlight w:val="none"/>
          <w:lang w:val="en-US" w:eastAsia="zh-CN"/>
        </w:rPr>
        <w:t>有两台电梯的</w:t>
      </w:r>
      <w:r>
        <w:rPr>
          <w:rFonts w:hint="eastAsia" w:asciiTheme="minorEastAsia" w:hAnsiTheme="minorEastAsia" w:eastAsiaTheme="minorEastAsia" w:cstheme="minorEastAsia"/>
          <w:color w:val="auto"/>
          <w:kern w:val="2"/>
          <w:sz w:val="24"/>
          <w:szCs w:val="24"/>
          <w:highlight w:val="none"/>
        </w:rPr>
        <w:t>栋楼至少保留一台可正常使用的电梯供住户使用，保障住户出行需求。</w:t>
      </w:r>
    </w:p>
    <w:p w14:paraId="709D8191">
      <w:pPr>
        <w:adjustRightInd w:val="0"/>
        <w:snapToGrid w:val="0"/>
        <w:spacing w:line="360" w:lineRule="auto"/>
        <w:ind w:firstLine="482" w:firstLineChars="200"/>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三、电梯监控系统技术参数</w:t>
      </w:r>
    </w:p>
    <w:p w14:paraId="5A8F2459">
      <w:pPr>
        <w:adjustRightInd w:val="0"/>
        <w:snapToGrid w:val="0"/>
        <w:spacing w:line="360" w:lineRule="auto"/>
        <w:ind w:firstLine="480" w:firstLineChars="200"/>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需</w:t>
      </w:r>
      <w:r>
        <w:rPr>
          <w:rFonts w:hint="eastAsia" w:asciiTheme="minorEastAsia" w:hAnsiTheme="minorEastAsia" w:eastAsiaTheme="minorEastAsia" w:cstheme="minorEastAsia"/>
          <w:b w:val="0"/>
          <w:bCs w:val="0"/>
          <w:color w:val="auto"/>
          <w:sz w:val="24"/>
          <w:szCs w:val="24"/>
          <w:highlight w:val="none"/>
          <w:lang w:val="en-US" w:eastAsia="zh-CN"/>
        </w:rPr>
        <w:t>由中标人负责拆除安装，需中标人</w:t>
      </w:r>
      <w:r>
        <w:rPr>
          <w:rFonts w:hint="eastAsia" w:asciiTheme="minorEastAsia" w:hAnsiTheme="minorEastAsia" w:eastAsiaTheme="minorEastAsia" w:cstheme="minorEastAsia"/>
          <w:b w:val="0"/>
          <w:bCs w:val="0"/>
          <w:color w:val="auto"/>
          <w:sz w:val="24"/>
          <w:szCs w:val="24"/>
          <w:highlight w:val="none"/>
        </w:rPr>
        <w:t>同视频监控维保单位对接提前预留安装尺寸，拆除旧梯摄像头后移入新梯继续使用。</w:t>
      </w:r>
    </w:p>
    <w:p w14:paraId="12323085">
      <w:pPr>
        <w:adjustRightInd w:val="0"/>
        <w:snapToGrid w:val="0"/>
        <w:spacing w:line="360" w:lineRule="auto"/>
        <w:ind w:firstLine="482" w:firstLineChars="200"/>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四、工作范围</w:t>
      </w:r>
    </w:p>
    <w:p w14:paraId="1FD67103">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4.1. 制造、安装及调试：按本招标需求及内容的要求完成设备的设计、制造、运输、装卸、拆除旧梯、安装新机、产品保护、调试运行、质量技术监督部门验收、技术培训及售后服务等所有工作。按工作顺序提交所需的资料，所有资料必须符合本招标需求及内容的要求，无论其是否被明细列在合同文件中。</w:t>
      </w:r>
    </w:p>
    <w:p w14:paraId="21FF0BB9">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4.1.1提供的设备：中标人提供的电梯须包括但不限于以下服务：</w:t>
      </w:r>
    </w:p>
    <w:p w14:paraId="655965EF">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a、提供详细构造图、设备样本和使用操作说明书；</w:t>
      </w:r>
    </w:p>
    <w:p w14:paraId="7570D1BC">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b、按采购人认可的设计方案和材料进行加工、制造、供货；</w:t>
      </w:r>
    </w:p>
    <w:p w14:paraId="1B4FFF01">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c、负责设备运至装置地点所有环节的运输。</w:t>
      </w:r>
    </w:p>
    <w:p w14:paraId="29911ECF">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4.1.2土建工作：中标人配合所有与土建相关的其他修饰与整理工作，对土建结构有变化和装饰外观变化的工作应得到采购人许可。</w:t>
      </w:r>
    </w:p>
    <w:p w14:paraId="62A6667D">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4.1.3安装工作：</w:t>
      </w:r>
      <w:r>
        <w:rPr>
          <w:rFonts w:hint="eastAsia" w:asciiTheme="minorEastAsia" w:hAnsiTheme="minorEastAsia" w:eastAsiaTheme="minorEastAsia" w:cstheme="minorEastAsia"/>
          <w:color w:val="auto"/>
          <w:sz w:val="24"/>
          <w:szCs w:val="24"/>
          <w:highlight w:val="none"/>
        </w:rPr>
        <w:t>中标人在投标前须自行进行现场踏勘，自行考虑所有安装所需的条件，直至质量技术监督部门安全质量验收合格并获得验收证书；本次电梯安装为交钥匙工程，采购人不额外支付任何费用（包括井道改造、钻孔等）。在安装期间，采购人除提供堆放场所、电源（利用现场原有）及水源（利用现场原有），其余均由中标人负责（包括电费、水费、安装、改造费用等）。</w:t>
      </w:r>
      <w:r>
        <w:rPr>
          <w:rFonts w:hint="eastAsia" w:asciiTheme="minorEastAsia" w:hAnsiTheme="minorEastAsia" w:eastAsiaTheme="minorEastAsia" w:cstheme="minorEastAsia"/>
          <w:bCs/>
          <w:color w:val="auto"/>
          <w:sz w:val="24"/>
          <w:szCs w:val="24"/>
          <w:highlight w:val="none"/>
        </w:rPr>
        <w:t>施工过程</w:t>
      </w:r>
      <w:r>
        <w:rPr>
          <w:rFonts w:hint="eastAsia" w:asciiTheme="minorEastAsia" w:hAnsiTheme="minorEastAsia" w:eastAsiaTheme="minorEastAsia" w:cstheme="minorEastAsia"/>
          <w:color w:val="auto"/>
          <w:kern w:val="2"/>
          <w:sz w:val="24"/>
          <w:szCs w:val="24"/>
          <w:highlight w:val="none"/>
          <w:lang w:val="en-US" w:eastAsia="zh-CN"/>
        </w:rPr>
        <w:t>有两台电梯的</w:t>
      </w:r>
      <w:r>
        <w:rPr>
          <w:rFonts w:hint="eastAsia" w:asciiTheme="minorEastAsia" w:hAnsiTheme="minorEastAsia" w:eastAsiaTheme="minorEastAsia" w:cstheme="minorEastAsia"/>
          <w:color w:val="auto"/>
          <w:kern w:val="2"/>
          <w:sz w:val="24"/>
          <w:szCs w:val="24"/>
          <w:highlight w:val="none"/>
        </w:rPr>
        <w:t>栋楼</w:t>
      </w:r>
      <w:r>
        <w:rPr>
          <w:rFonts w:hint="eastAsia" w:asciiTheme="minorEastAsia" w:hAnsiTheme="minorEastAsia" w:eastAsiaTheme="minorEastAsia" w:cstheme="minorEastAsia"/>
          <w:bCs/>
          <w:color w:val="auto"/>
          <w:sz w:val="24"/>
          <w:szCs w:val="24"/>
          <w:highlight w:val="none"/>
        </w:rPr>
        <w:t>至少保留一台可正常使用的电梯供住户使用，保障住户出行需求。</w:t>
      </w:r>
    </w:p>
    <w:p w14:paraId="3464C24F">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（1）安装计划：合同签定后，中标人在采购人规定的时间内提供与工程建设总进度相适应的安装计划，并由采购人认可。</w:t>
      </w:r>
    </w:p>
    <w:p w14:paraId="0BF18533">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（2）安装期：安装计划及进度由中标人和采购人共同协商后安排，确保按采购人要求的日期验收通过并移交采购人。</w:t>
      </w:r>
    </w:p>
    <w:p w14:paraId="67194B85">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（3）安装管理</w:t>
      </w:r>
    </w:p>
    <w:p w14:paraId="2762C5E9">
      <w:pPr>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①现场安装须符合国家的相关条例，服从采购人和采购人指定的管理单位的管理及检查。</w:t>
      </w:r>
    </w:p>
    <w:p w14:paraId="6BF6F44F">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②本次设备安装作业不得转包。</w:t>
      </w:r>
    </w:p>
    <w:p w14:paraId="690FA8BC">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③如因中标人原因在安装期间出现安全事故，应由中标人承担由此而引起的全部损失。</w:t>
      </w:r>
    </w:p>
    <w:p w14:paraId="288B7BAF">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（4）设备的各个部件须防火、耐压、耐用、漏电保护，易清洗及易维修，并符合有关规定。</w:t>
      </w:r>
    </w:p>
    <w:p w14:paraId="4423E8CC">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（5）设备安装须经质量技术监督部门验收，直至质量技术监督部门安全质量验收合格并获得验收证书。</w:t>
      </w:r>
    </w:p>
    <w:p w14:paraId="3E426ADC">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（6）保证设备在起吊、运输过程中的安全：在安装期间，中标人负责安装中需要的起重、运输所需辅助设备，所有这些设备都须符合安全作业要求。</w:t>
      </w:r>
    </w:p>
    <w:p w14:paraId="28708491">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完工装潢：在进入完工装潢之前，所有不需要特殊装潢并且是暴露的钢制件应在表面进行除锈防腐处理，若是非暴露的零件、部件、机器等，可在制造时进行除锈、防腐蚀处理，其防腐蚀措施必须得到采购人的认可。</w:t>
      </w:r>
    </w:p>
    <w:p w14:paraId="66EE73FA">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4.2、测试和试运行</w:t>
      </w:r>
    </w:p>
    <w:p w14:paraId="576E3C9C">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（1）工具、材料、仪器设备和劳务人员：中标人应派有工作经验的工程师在现场负责测试和调试，以检测其设计、制造、运行效果等。</w:t>
      </w:r>
    </w:p>
    <w:p w14:paraId="1FD23CF3">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（2）程序和表格：中标人在安装结束前2个星期，提交测试和调试方法及记录表格给采购人。</w:t>
      </w:r>
    </w:p>
    <w:p w14:paraId="09643A2F">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（3）测试：部分或全部测试需根据实际情况在安装期内或后进行。</w:t>
      </w:r>
    </w:p>
    <w:p w14:paraId="6BDDF2FF">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（4）试运行：设备试运行应在有关部门及采购人的监督下进行。</w:t>
      </w:r>
    </w:p>
    <w:p w14:paraId="6895ACBB">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4.3、验收</w:t>
      </w:r>
    </w:p>
    <w:p w14:paraId="3BE689CA">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（1）产品保护：工程完成后，中标人须负责全部设备的保护和清洁工作，直至设备验收合格并正常运行后为止。在安装过程中，如建筑结构或其它设备被损坏中标人将有责任修理或赔偿损失。</w:t>
      </w:r>
    </w:p>
    <w:p w14:paraId="4035904C">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（2）验收合格条件</w:t>
      </w:r>
    </w:p>
    <w:p w14:paraId="2D5D758C">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①运行结果符合产品标准和招标需求及合同要求。</w:t>
      </w:r>
    </w:p>
    <w:p w14:paraId="084808D6">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②在进行测试和验收运行过程中发生的故障已被消除并得到采购人的认可。</w:t>
      </w:r>
    </w:p>
    <w:p w14:paraId="11E36B6B">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③所有合同中规定的货物和材料都已提交。</w:t>
      </w:r>
    </w:p>
    <w:p w14:paraId="63DD44C5">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④设备在交由业主使用之前已通过质量管理部门的验收，并得到使用证书。</w:t>
      </w:r>
    </w:p>
    <w:p w14:paraId="2E20D14E">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⑤整套设备图纸及技术文件都已提交并得到接受。</w:t>
      </w:r>
    </w:p>
    <w:p w14:paraId="5D2F0B0B">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4.4、售后服务</w:t>
      </w:r>
    </w:p>
    <w:p w14:paraId="1B496E3D">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（1）维修服务机构须提供24小时全天服务。维修点需提供足够的备件以适应买方维修需求。</w:t>
      </w:r>
    </w:p>
    <w:p w14:paraId="3490C3BD">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（2）中标人须对合同中规定的所有电梯提供24个月的质保期及免费维修和保养。时间从通过技术监督局验收合格、采购人接受并使用之日算起。</w:t>
      </w:r>
    </w:p>
    <w:p w14:paraId="0EBC3417">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（3）在质保期内的工作应包括对所有电梯常规检查、调整和润滑。</w:t>
      </w:r>
    </w:p>
    <w:p w14:paraId="3195A10F">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（4）质量保修期内如重大部件(垂直电梯的曳引机、控制柜、门机及门保护系统、安全设备等)故障率超过3次/每年/台，每超过一次由卖方免费为买方延长该梯质量保修期半年。</w:t>
      </w:r>
    </w:p>
    <w:p w14:paraId="5D670D14">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（5）质保期内中标人须自行付费，负责修理和替换任何由于设备自身的质量问题造成的损坏及故障。质量保修期结束后，供应商以优惠的价格长期提供易损备品备件。</w:t>
      </w:r>
    </w:p>
    <w:p w14:paraId="029D30D8">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4.5、技术培训</w:t>
      </w:r>
    </w:p>
    <w:p w14:paraId="516FB4B1">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中标人须对采购人的技术操作人员进行项目现场免费培训直至能安全独立操作。</w:t>
      </w:r>
    </w:p>
    <w:p w14:paraId="1DC25573">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4.6、备件供应：中标人对各种型号的设备须提供足够的备件、附件和易损件并保证是原品牌厂生产的产品或配套产品，以满足设备正常运行的需要。</w:t>
      </w:r>
    </w:p>
    <w:p w14:paraId="0BDC36C5">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4.7、检验和维修设备及工具</w:t>
      </w:r>
    </w:p>
    <w:p w14:paraId="21152AC6">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4.7.1须免费提供足够的常用及专用检修设备。</w:t>
      </w:r>
    </w:p>
    <w:p w14:paraId="6CF99D75">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4.7.2所有测试需要的附件、零部件和中文操作维修手册应与检修设备一并免费提供。</w:t>
      </w:r>
    </w:p>
    <w:p w14:paraId="3385F839">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4.8、商标与铭牌：投标人提供的设备，其铭牌、使用标记、警示标记都应表示清楚。</w:t>
      </w:r>
    </w:p>
    <w:p w14:paraId="7381836B">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4.9、本招标需求及内容只是对电梯一些原则性要求，并不是详尽的要求，中标人有责任对设计符合技术规范、标准负责。</w:t>
      </w:r>
    </w:p>
    <w:p w14:paraId="1AF309B1">
      <w:pPr>
        <w:adjustRightInd w:val="0"/>
        <w:snapToGrid w:val="0"/>
        <w:spacing w:line="360" w:lineRule="auto"/>
        <w:ind w:firstLine="482" w:firstLineChars="200"/>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五、设备基本需要</w:t>
      </w:r>
    </w:p>
    <w:p w14:paraId="24B49539">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5.1、所有提供设备的安装、调试、试车运作及验收通过时间需服从采购人的安排。</w:t>
      </w:r>
    </w:p>
    <w:p w14:paraId="41A4EA0D">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5.2.1工地条件：所有合同中提供的设备应能符合下列的环境条件，因此，当投标人提供设备时应考虑相应环境的条件，但不仅限于以下。</w:t>
      </w:r>
    </w:p>
    <w:p w14:paraId="2FEAA49F">
      <w:pPr>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lang w:val="en-GB"/>
        </w:rPr>
      </w:pPr>
      <w:r>
        <w:rPr>
          <w:rFonts w:hint="eastAsia" w:asciiTheme="minorEastAsia" w:hAnsiTheme="minorEastAsia" w:eastAsiaTheme="minorEastAsia" w:cstheme="minorEastAsia"/>
          <w:bCs/>
          <w:color w:val="auto"/>
          <w:sz w:val="24"/>
          <w:szCs w:val="24"/>
          <w:highlight w:val="none"/>
        </w:rPr>
        <w:t>（1）适应性要求：所有提供的设备和元器件的安装须符合和适应当地的环境条件。</w:t>
      </w:r>
    </w:p>
    <w:p w14:paraId="3E2172EE">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5.2.2产品标准和规范：本招标文件成文时，下列所示标准和规范均有效。所有标准和规范都会被修订，投标人应达到下列标准和规范最新版本的要求。</w:t>
      </w:r>
    </w:p>
    <w:p w14:paraId="3BF24B8E">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（1）中华人民共和国标准和国外标准</w:t>
      </w:r>
    </w:p>
    <w:p w14:paraId="6CD76B6E">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由投标人提供的所有产品和服务须符合下列规范、条例及标准</w:t>
      </w:r>
    </w:p>
    <w:p w14:paraId="05AC4467">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•《电梯、自动扶梯、自动人行道术语》GB/T7024-2008</w:t>
      </w:r>
    </w:p>
    <w:p w14:paraId="4021F1F5">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•《电梯试验方法》 GB/T10059-2009</w:t>
      </w:r>
    </w:p>
    <w:p w14:paraId="29A3FB23">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•《电梯技术条件》 GB10058-2009</w:t>
      </w:r>
    </w:p>
    <w:p w14:paraId="6E46B7A2">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•《电梯制造与安装安全规范》 GB7588</w:t>
      </w:r>
    </w:p>
    <w:p w14:paraId="77B7AE02">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•《电梯监督检验和定期检验规则-曳引与强制驱动电梯》 TSG/T7001-</w:t>
      </w:r>
      <w:r>
        <w:rPr>
          <w:rFonts w:hint="eastAsia" w:asciiTheme="minorEastAsia" w:hAnsiTheme="minorEastAsia" w:eastAsiaTheme="minorEastAsia" w:cstheme="minorEastAsia"/>
          <w:bCs/>
          <w:color w:val="auto"/>
          <w:sz w:val="24"/>
          <w:szCs w:val="24"/>
          <w:highlight w:val="none"/>
          <w:lang w:val="en-US" w:eastAsia="zh-CN"/>
        </w:rPr>
        <w:t>2023</w:t>
      </w:r>
    </w:p>
    <w:p w14:paraId="556BF8DB">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•《住宅电梯的配置和选择》 JG/T5010-92</w:t>
      </w:r>
    </w:p>
    <w:p w14:paraId="7FD3699D">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•《电梯安装验收规范》  GB/T10060-</w:t>
      </w:r>
      <w:r>
        <w:rPr>
          <w:rFonts w:hint="eastAsia" w:asciiTheme="minorEastAsia" w:hAnsiTheme="minorEastAsia" w:eastAsiaTheme="minorEastAsia" w:cstheme="minorEastAsia"/>
          <w:bCs/>
          <w:color w:val="auto"/>
          <w:sz w:val="24"/>
          <w:szCs w:val="24"/>
          <w:highlight w:val="none"/>
          <w:lang w:val="en-US" w:eastAsia="zh-CN"/>
        </w:rPr>
        <w:t>2023（暂未开始实施 2024-04-01实施）</w:t>
      </w:r>
    </w:p>
    <w:p w14:paraId="2B2D38D8">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•《电梯工程施工质量验收规范》  GB50310-20</w:t>
      </w:r>
      <w:r>
        <w:rPr>
          <w:rFonts w:hint="eastAsia" w:asciiTheme="minorEastAsia" w:hAnsiTheme="minorEastAsia" w:eastAsiaTheme="minorEastAsia" w:cstheme="minorEastAsia"/>
          <w:bCs/>
          <w:color w:val="auto"/>
          <w:sz w:val="24"/>
          <w:szCs w:val="24"/>
          <w:highlight w:val="none"/>
          <w:lang w:val="en-US" w:eastAsia="zh-CN"/>
        </w:rPr>
        <w:t>22</w:t>
      </w:r>
    </w:p>
    <w:p w14:paraId="6D0C6194">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•《电梯操作装置、信号及附件》  GB/T 30560-2014</w:t>
      </w:r>
    </w:p>
    <w:p w14:paraId="7C4B8E2F">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•《电梯主参数及轿厢、井道、机房的型式与尺寸》  GB/T 7025-2008</w:t>
      </w:r>
    </w:p>
    <w:p w14:paraId="3C4E58A5">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•《电梯用钢丝绳》 GB8903-20</w:t>
      </w:r>
      <w:r>
        <w:rPr>
          <w:rFonts w:hint="eastAsia" w:asciiTheme="minorEastAsia" w:hAnsiTheme="minorEastAsia" w:eastAsiaTheme="minorEastAsia" w:cstheme="minorEastAsia"/>
          <w:bCs/>
          <w:color w:val="auto"/>
          <w:sz w:val="24"/>
          <w:szCs w:val="24"/>
          <w:highlight w:val="none"/>
          <w:lang w:val="en-US" w:eastAsia="zh-CN"/>
        </w:rPr>
        <w:t>18</w:t>
      </w:r>
    </w:p>
    <w:p w14:paraId="0C124E3C">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•《电梯曳引机》 GB/T24478-2009</w:t>
      </w:r>
    </w:p>
    <w:p w14:paraId="7022601B">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•《无损检测人员技术资格鉴定</w:t>
      </w:r>
      <w:r>
        <w:rPr>
          <w:rFonts w:hint="eastAsia" w:asciiTheme="minorEastAsia" w:hAnsiTheme="minorEastAsia" w:eastAsiaTheme="minorEastAsia" w:cstheme="minorEastAsia"/>
          <w:bCs/>
          <w:color w:val="auto"/>
          <w:sz w:val="24"/>
          <w:szCs w:val="24"/>
          <w:highlight w:val="none"/>
          <w:lang w:val="en-US" w:eastAsia="zh-CN"/>
        </w:rPr>
        <w:t>与认证</w:t>
      </w:r>
      <w:r>
        <w:rPr>
          <w:rFonts w:hint="eastAsia" w:asciiTheme="minorEastAsia" w:hAnsiTheme="minorEastAsia" w:eastAsiaTheme="minorEastAsia" w:cstheme="minorEastAsia"/>
          <w:bCs/>
          <w:color w:val="auto"/>
          <w:sz w:val="24"/>
          <w:szCs w:val="24"/>
          <w:highlight w:val="none"/>
        </w:rPr>
        <w:t>》 GB</w:t>
      </w:r>
      <w:r>
        <w:rPr>
          <w:rFonts w:hint="eastAsia" w:asciiTheme="minorEastAsia" w:hAnsiTheme="minorEastAsia" w:eastAsiaTheme="minorEastAsia" w:cstheme="minorEastAsia"/>
          <w:bCs/>
          <w:color w:val="auto"/>
          <w:sz w:val="24"/>
          <w:szCs w:val="24"/>
          <w:highlight w:val="none"/>
          <w:lang w:val="en-US" w:eastAsia="zh-CN"/>
        </w:rPr>
        <w:t>/T</w:t>
      </w:r>
      <w:r>
        <w:rPr>
          <w:rFonts w:hint="eastAsia" w:asciiTheme="minorEastAsia" w:hAnsiTheme="minorEastAsia" w:eastAsiaTheme="minorEastAsia" w:cstheme="minorEastAsia"/>
          <w:bCs/>
          <w:color w:val="auto"/>
          <w:sz w:val="24"/>
          <w:szCs w:val="24"/>
          <w:highlight w:val="none"/>
        </w:rPr>
        <w:t>9445</w:t>
      </w:r>
      <w:r>
        <w:rPr>
          <w:rFonts w:hint="eastAsia" w:asciiTheme="minorEastAsia" w:hAnsiTheme="minorEastAsia" w:eastAsiaTheme="minorEastAsia" w:cstheme="minorEastAsia"/>
          <w:bCs/>
          <w:color w:val="auto"/>
          <w:sz w:val="24"/>
          <w:szCs w:val="24"/>
          <w:highlight w:val="none"/>
          <w:lang w:val="en-US" w:eastAsia="zh-CN"/>
        </w:rPr>
        <w:t>-2015</w:t>
      </w:r>
    </w:p>
    <w:p w14:paraId="235BEB86">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•《建筑设计防火规范》GB50016-2014</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2018年版</w:t>
      </w:r>
      <w:r>
        <w:rPr>
          <w:rFonts w:hint="eastAsia" w:asciiTheme="minorEastAsia" w:hAnsiTheme="minorEastAsia" w:eastAsiaTheme="minorEastAsia" w:cstheme="minorEastAsia"/>
          <w:bCs/>
          <w:color w:val="auto"/>
          <w:sz w:val="24"/>
          <w:szCs w:val="24"/>
          <w:highlight w:val="none"/>
          <w:lang w:eastAsia="zh-CN"/>
        </w:rPr>
        <w:t>）</w:t>
      </w:r>
    </w:p>
    <w:p w14:paraId="08CA64B2">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•广东省消防部门的条例及相关的中国国家消防规范</w:t>
      </w:r>
    </w:p>
    <w:p w14:paraId="195485BC">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•电力供应部门的供电规章条例</w:t>
      </w:r>
    </w:p>
    <w:p w14:paraId="00E1B2F5">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•其他有关的中国规定</w:t>
      </w:r>
    </w:p>
    <w:p w14:paraId="748BC64D">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•由采购人认可的其它国家的其它权威标准。</w:t>
      </w:r>
    </w:p>
    <w:p w14:paraId="1BE70C12">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以上标准及规范如有更新版本，按更新后的标准执行。</w:t>
      </w:r>
    </w:p>
    <w:p w14:paraId="2F498C70">
      <w:pPr>
        <w:numPr>
          <w:ilvl w:val="0"/>
          <w:numId w:val="3"/>
        </w:num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w:t>
      </w:r>
      <w:r>
        <w:rPr>
          <w:rFonts w:hint="eastAsia" w:asciiTheme="minorEastAsia" w:hAnsiTheme="minorEastAsia" w:eastAsiaTheme="minorEastAsia" w:cstheme="minorEastAsia"/>
          <w:bCs/>
          <w:color w:val="auto"/>
          <w:sz w:val="24"/>
          <w:szCs w:val="24"/>
          <w:highlight w:val="none"/>
          <w:lang w:val="en-US" w:eastAsia="zh-CN"/>
        </w:rPr>
        <w:t>采用</w:t>
      </w:r>
      <w:r>
        <w:rPr>
          <w:rFonts w:hint="eastAsia" w:asciiTheme="minorEastAsia" w:hAnsiTheme="minorEastAsia" w:eastAsiaTheme="minorEastAsia" w:cstheme="minorEastAsia"/>
          <w:bCs/>
          <w:color w:val="auto"/>
          <w:sz w:val="24"/>
          <w:szCs w:val="24"/>
          <w:highlight w:val="none"/>
        </w:rPr>
        <w:t>不仅限于此规格书中的标准时，应向采购人及时解释清楚。</w:t>
      </w:r>
    </w:p>
    <w:p w14:paraId="739BABD9">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5.2.3设备的防护、包装及运输</w:t>
      </w:r>
    </w:p>
    <w:p w14:paraId="76F11391">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（1）设备的防护及油漆</w:t>
      </w:r>
    </w:p>
    <w:p w14:paraId="44B3ACC6">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设备内、外表面应洁净。投标人在供货时须提供设备的具体防护措施供采购人认可，并对此工作负责。油漆表面应光洁，无折皱和剥落。</w:t>
      </w:r>
    </w:p>
    <w:p w14:paraId="3DC963B2">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（2）所有设备应合理、有效包装，以使其有效防止各种损坏，如受潮、受热、剥落、腐蚀、变形等。</w:t>
      </w:r>
    </w:p>
    <w:p w14:paraId="3A6ABDD3">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对不油漆且易磨损的零件应涂上高熔点或脂肪酸或其他保护功能的油脂以得到保护，并得到妥善包装后固定。机组所有开口处应封闭保护起来，以防止在运输人搬运途中异物进入。电动机、控制中心、排气装置和机组的控制器等均应加保护罩。</w:t>
      </w:r>
    </w:p>
    <w:p w14:paraId="7E83F27A">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（4）随机的零部件、备品备件等散件应木箱包装。这些箱盒应适合于储存，储存年限应在包装上予以说明。</w:t>
      </w:r>
    </w:p>
    <w:p w14:paraId="1624E37B">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（5）设备的包装费应包括在投标总价中，这些包装材料应属于采购人所有。</w:t>
      </w:r>
    </w:p>
    <w:p w14:paraId="6D9DABAB">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在包装箱中，应附有产品合格证书（包括机组合格证、部件合格证、材料合格证等）、产品说明书、装箱单、易损件、备件及专用工具清单，一套完整的经批准的图纸及有关技术文件资料。包装箱外面应注明数量、设备名称、编号、起吊位置、警示标志、外形尺寸、毛重等。所有文字应为中文或中、英文对照两种。以中文为准。</w:t>
      </w:r>
    </w:p>
    <w:p w14:paraId="27189CF9">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（7）中标人应对设备的整个交货过程负责，包括运输、装卸、安装调试、装潢的安全。</w:t>
      </w:r>
    </w:p>
    <w:p w14:paraId="22B085A4">
      <w:pPr>
        <w:adjustRightInd w:val="0"/>
        <w:snapToGrid w:val="0"/>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（8）随包装箱带的文件、资料应防潮密封，并放置在包装箱内明显处。</w:t>
      </w:r>
    </w:p>
    <w:p w14:paraId="71ABB39A">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5.2.4到货验收</w:t>
      </w:r>
    </w:p>
    <w:p w14:paraId="6BD17ED8">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5.2.4.1中标人应派员在所供设备到工地时进行到货验收。若发现任何损坏及质量问题，中标人应负责更换零件，并妥善处理直至买方满意。此工作所发生费用应由中标人自行承担。</w:t>
      </w:r>
    </w:p>
    <w:p w14:paraId="79C1F16E">
      <w:pPr>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5.2.4.2在建设工地的临时存放场地由采购人负责协调落实，但中标人应负责看管。</w:t>
      </w:r>
    </w:p>
    <w:p w14:paraId="789B80F1">
      <w:pPr>
        <w:adjustRightInd w:val="0"/>
        <w:snapToGrid w:val="0"/>
        <w:spacing w:line="360" w:lineRule="auto"/>
        <w:ind w:firstLine="482" w:firstLineChars="200"/>
        <w:outlineLvl w:val="1"/>
        <w:rPr>
          <w:rFonts w:hint="eastAsia" w:asciiTheme="minorEastAsia" w:hAnsiTheme="minorEastAsia" w:eastAsiaTheme="minorEastAsia" w:cstheme="minorEastAsia"/>
          <w:b/>
          <w:bCs/>
          <w:color w:val="auto"/>
          <w:sz w:val="24"/>
          <w:szCs w:val="24"/>
          <w:highlight w:val="none"/>
        </w:rPr>
      </w:pPr>
      <w:bookmarkStart w:id="20" w:name="_Toc22036_WPSOffice_Level3"/>
      <w:bookmarkStart w:id="21" w:name="_Toc8793_WPSOffice_Level3"/>
      <w:bookmarkStart w:id="22" w:name="_Toc17890"/>
      <w:bookmarkStart w:id="23" w:name="_Toc29828"/>
      <w:r>
        <w:rPr>
          <w:rFonts w:hint="eastAsia" w:asciiTheme="minorEastAsia" w:hAnsiTheme="minorEastAsia" w:eastAsiaTheme="minorEastAsia" w:cstheme="minorEastAsia"/>
          <w:b/>
          <w:bCs/>
          <w:color w:val="auto"/>
          <w:sz w:val="24"/>
          <w:szCs w:val="24"/>
          <w:highlight w:val="none"/>
        </w:rPr>
        <w:t>六、电梯安装技术要求：</w:t>
      </w:r>
      <w:bookmarkEnd w:id="20"/>
      <w:bookmarkEnd w:id="21"/>
      <w:bookmarkEnd w:id="22"/>
      <w:bookmarkEnd w:id="23"/>
    </w:p>
    <w:p w14:paraId="65CE9EA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6.1</w:t>
      </w:r>
      <w:r>
        <w:rPr>
          <w:rFonts w:hint="eastAsia" w:asciiTheme="minorEastAsia" w:hAnsiTheme="minorEastAsia" w:eastAsiaTheme="minorEastAsia" w:cstheme="minorEastAsia"/>
          <w:bCs/>
          <w:color w:val="auto"/>
          <w:sz w:val="24"/>
          <w:szCs w:val="24"/>
          <w:highlight w:val="none"/>
        </w:rPr>
        <w:t>质量标准：符合广州地区电梯制作、安装、验收等方面的地方规定和国家标准的要求。</w:t>
      </w:r>
    </w:p>
    <w:p w14:paraId="394139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6.2</w:t>
      </w:r>
      <w:r>
        <w:rPr>
          <w:rFonts w:hint="eastAsia" w:asciiTheme="minorEastAsia" w:hAnsiTheme="minorEastAsia" w:eastAsiaTheme="minorEastAsia" w:cstheme="minorEastAsia"/>
          <w:bCs/>
          <w:color w:val="auto"/>
          <w:sz w:val="24"/>
          <w:szCs w:val="24"/>
          <w:highlight w:val="none"/>
        </w:rPr>
        <w:t>完成整个电梯的安装、测试和试运转。安装所有随行电缆、井道灯、底坑灯、防水开关及防水检修插座。电梯轨道安装必须平直、稳固,电梯运行时无振动、摇晃。</w:t>
      </w:r>
    </w:p>
    <w:p w14:paraId="3D63E4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6.3</w:t>
      </w:r>
      <w:r>
        <w:rPr>
          <w:rFonts w:hint="eastAsia" w:asciiTheme="minorEastAsia" w:hAnsiTheme="minorEastAsia" w:eastAsiaTheme="minorEastAsia" w:cstheme="minorEastAsia"/>
          <w:bCs/>
          <w:color w:val="auto"/>
          <w:sz w:val="24"/>
          <w:szCs w:val="24"/>
          <w:highlight w:val="none"/>
        </w:rPr>
        <w:t>机房各种标识必须齐全, 以满足政府管理部门的验收要求。</w:t>
      </w:r>
    </w:p>
    <w:p w14:paraId="611124A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6.4</w:t>
      </w:r>
      <w:r>
        <w:rPr>
          <w:rFonts w:hint="eastAsia" w:asciiTheme="minorEastAsia" w:hAnsiTheme="minorEastAsia" w:eastAsiaTheme="minorEastAsia" w:cstheme="minorEastAsia"/>
          <w:bCs/>
          <w:color w:val="auto"/>
          <w:sz w:val="24"/>
          <w:szCs w:val="24"/>
          <w:highlight w:val="none"/>
        </w:rPr>
        <w:t>所有电梯</w:t>
      </w:r>
      <w:r>
        <w:rPr>
          <w:rFonts w:hint="eastAsia" w:asciiTheme="minorEastAsia" w:hAnsiTheme="minorEastAsia" w:eastAsiaTheme="minorEastAsia" w:cstheme="minorEastAsia"/>
          <w:bCs/>
          <w:color w:val="auto"/>
          <w:sz w:val="24"/>
          <w:szCs w:val="24"/>
          <w:highlight w:val="none"/>
          <w:lang w:val="en-US" w:eastAsia="zh-CN"/>
        </w:rPr>
        <w:t>控制箱预留</w:t>
      </w:r>
      <w:r>
        <w:rPr>
          <w:rFonts w:hint="eastAsia" w:asciiTheme="minorEastAsia" w:hAnsiTheme="minorEastAsia" w:eastAsiaTheme="minorEastAsia" w:cstheme="minorEastAsia"/>
          <w:bCs/>
          <w:color w:val="auto"/>
          <w:sz w:val="24"/>
          <w:szCs w:val="24"/>
          <w:highlight w:val="none"/>
        </w:rPr>
        <w:t>电梯运行状态信号</w:t>
      </w:r>
      <w:r>
        <w:rPr>
          <w:rFonts w:hint="eastAsia" w:asciiTheme="minorEastAsia" w:hAnsiTheme="minorEastAsia" w:eastAsiaTheme="minorEastAsia" w:cstheme="minorEastAsia"/>
          <w:bCs/>
          <w:color w:val="auto"/>
          <w:sz w:val="24"/>
          <w:szCs w:val="24"/>
          <w:highlight w:val="none"/>
          <w:lang w:val="en-US" w:eastAsia="zh-CN"/>
        </w:rPr>
        <w:t>端口，方便以后将</w:t>
      </w:r>
      <w:r>
        <w:rPr>
          <w:rFonts w:hint="eastAsia" w:asciiTheme="minorEastAsia" w:hAnsiTheme="minorEastAsia" w:eastAsiaTheme="minorEastAsia" w:cstheme="minorEastAsia"/>
          <w:bCs/>
          <w:color w:val="auto"/>
          <w:sz w:val="24"/>
          <w:szCs w:val="24"/>
          <w:highlight w:val="none"/>
        </w:rPr>
        <w:t>电梯运行状态</w:t>
      </w:r>
      <w:r>
        <w:rPr>
          <w:rFonts w:hint="eastAsia" w:asciiTheme="minorEastAsia" w:hAnsiTheme="minorEastAsia" w:eastAsiaTheme="minorEastAsia" w:cstheme="minorEastAsia"/>
          <w:bCs/>
          <w:color w:val="auto"/>
          <w:sz w:val="24"/>
          <w:szCs w:val="24"/>
          <w:highlight w:val="none"/>
          <w:lang w:val="en-US" w:eastAsia="zh-CN"/>
        </w:rPr>
        <w:t>连接到</w:t>
      </w:r>
      <w:r>
        <w:rPr>
          <w:rFonts w:hint="eastAsia" w:asciiTheme="minorEastAsia" w:hAnsiTheme="minorEastAsia" w:eastAsiaTheme="minorEastAsia" w:cstheme="minorEastAsia"/>
          <w:bCs/>
          <w:color w:val="auto"/>
          <w:sz w:val="24"/>
          <w:szCs w:val="24"/>
          <w:highlight w:val="none"/>
        </w:rPr>
        <w:t>消防控制中心。</w:t>
      </w:r>
    </w:p>
    <w:p w14:paraId="297B75E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6.5</w:t>
      </w:r>
      <w:r>
        <w:rPr>
          <w:rFonts w:hint="eastAsia" w:asciiTheme="minorEastAsia" w:hAnsiTheme="minorEastAsia" w:eastAsiaTheme="minorEastAsia" w:cstheme="minorEastAsia"/>
          <w:bCs/>
          <w:color w:val="auto"/>
          <w:sz w:val="24"/>
          <w:szCs w:val="24"/>
          <w:highlight w:val="none"/>
        </w:rPr>
        <w:t>电梯的安装报价应包括曳引机安装钢梁、搭架、二次搬运、吊装、井道照明、底坑爬梯、安装调试费、</w:t>
      </w:r>
      <w:r>
        <w:rPr>
          <w:rFonts w:hint="eastAsia" w:asciiTheme="minorEastAsia" w:hAnsiTheme="minorEastAsia" w:eastAsiaTheme="minorEastAsia" w:cstheme="minorEastAsia"/>
          <w:bCs/>
          <w:color w:val="auto"/>
          <w:sz w:val="24"/>
          <w:szCs w:val="24"/>
          <w:highlight w:val="none"/>
          <w:lang w:val="en-US" w:eastAsia="zh-CN"/>
        </w:rPr>
        <w:t>2年年检</w:t>
      </w:r>
      <w:r>
        <w:rPr>
          <w:rFonts w:hint="eastAsia" w:asciiTheme="minorEastAsia" w:hAnsiTheme="minorEastAsia" w:eastAsiaTheme="minorEastAsia" w:cstheme="minorEastAsia"/>
          <w:bCs/>
          <w:color w:val="auto"/>
          <w:sz w:val="24"/>
          <w:szCs w:val="24"/>
          <w:highlight w:val="none"/>
        </w:rPr>
        <w:t>费、电梯工程验收费等全部费用。</w:t>
      </w:r>
    </w:p>
    <w:p w14:paraId="3E18A17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6.6</w:t>
      </w:r>
      <w:r>
        <w:rPr>
          <w:rFonts w:hint="eastAsia" w:asciiTheme="minorEastAsia" w:hAnsiTheme="minorEastAsia" w:eastAsiaTheme="minorEastAsia" w:cstheme="minorEastAsia"/>
          <w:bCs/>
          <w:color w:val="auto"/>
          <w:sz w:val="24"/>
          <w:szCs w:val="24"/>
          <w:highlight w:val="none"/>
        </w:rPr>
        <w:t>电梯安装完成至拿到准运证并移交</w:t>
      </w:r>
      <w:r>
        <w:rPr>
          <w:rFonts w:hint="eastAsia" w:asciiTheme="minorEastAsia" w:hAnsiTheme="minorEastAsia" w:eastAsiaTheme="minorEastAsia" w:cstheme="minorEastAsia"/>
          <w:bCs/>
          <w:color w:val="auto"/>
          <w:sz w:val="24"/>
          <w:szCs w:val="24"/>
          <w:highlight w:val="none"/>
          <w:lang w:eastAsia="zh-CN"/>
        </w:rPr>
        <w:t>发包人</w:t>
      </w:r>
      <w:r>
        <w:rPr>
          <w:rFonts w:hint="eastAsia" w:asciiTheme="minorEastAsia" w:hAnsiTheme="minorEastAsia" w:eastAsiaTheme="minorEastAsia" w:cstheme="minorEastAsia"/>
          <w:bCs/>
          <w:color w:val="auto"/>
          <w:sz w:val="24"/>
          <w:szCs w:val="24"/>
          <w:highlight w:val="none"/>
        </w:rPr>
        <w:t>期间，即电梯安装之日起至整个项目入伙前的成品保管、保护，供应商承担电梯的保管和维修责任，并负责培训总包单位指定操作人员，保证施工现场能可靠地使用电梯。</w:t>
      </w:r>
    </w:p>
    <w:p w14:paraId="36F133B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6.7</w:t>
      </w:r>
      <w:r>
        <w:rPr>
          <w:rFonts w:hint="eastAsia" w:asciiTheme="minorEastAsia" w:hAnsiTheme="minorEastAsia" w:eastAsiaTheme="minorEastAsia" w:cstheme="minorEastAsia"/>
          <w:bCs/>
          <w:color w:val="auto"/>
          <w:sz w:val="24"/>
          <w:szCs w:val="24"/>
          <w:highlight w:val="none"/>
        </w:rPr>
        <w:t>负责通过验收，取得验收合格证书和安全许可证书以及特种设备相关证书。</w:t>
      </w:r>
    </w:p>
    <w:p w14:paraId="4F1A5760">
      <w:pPr>
        <w:keepNext w:val="0"/>
        <w:keepLines w:val="0"/>
        <w:pageBreakBefore w:val="0"/>
        <w:widowControl w:val="0"/>
        <w:numPr>
          <w:ilvl w:val="0"/>
          <w:numId w:val="0"/>
        </w:numPr>
        <w:tabs>
          <w:tab w:val="left" w:pos="567"/>
        </w:tabs>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6.8</w:t>
      </w:r>
      <w:r>
        <w:rPr>
          <w:rFonts w:hint="eastAsia" w:asciiTheme="minorEastAsia" w:hAnsiTheme="minorEastAsia" w:eastAsiaTheme="minorEastAsia" w:cstheme="minorEastAsia"/>
          <w:bCs/>
          <w:color w:val="auto"/>
          <w:sz w:val="24"/>
          <w:szCs w:val="24"/>
          <w:highlight w:val="none"/>
        </w:rPr>
        <w:t>供应商应提供设备所带专用工具清单，并标明其种类、用途和生产厂。</w:t>
      </w:r>
    </w:p>
    <w:p w14:paraId="52AEF8C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6.9</w:t>
      </w:r>
      <w:r>
        <w:rPr>
          <w:rFonts w:hint="eastAsia" w:asciiTheme="minorEastAsia" w:hAnsiTheme="minorEastAsia" w:eastAsiaTheme="minorEastAsia" w:cstheme="minorEastAsia"/>
          <w:bCs/>
          <w:color w:val="auto"/>
          <w:sz w:val="24"/>
          <w:szCs w:val="24"/>
          <w:highlight w:val="none"/>
        </w:rPr>
        <w:t>电梯安装工程质量保修期为电梯验收合格之日起整体质保24个月。</w:t>
      </w:r>
    </w:p>
    <w:p w14:paraId="7548B8B2">
      <w:pPr>
        <w:keepNext w:val="0"/>
        <w:keepLines w:val="0"/>
        <w:pageBreakBefore w:val="0"/>
        <w:widowControl w:val="0"/>
        <w:numPr>
          <w:ilvl w:val="0"/>
          <w:numId w:val="0"/>
        </w:numPr>
        <w:tabs>
          <w:tab w:val="left" w:pos="0"/>
          <w:tab w:val="left" w:pos="426"/>
        </w:tabs>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6.10</w:t>
      </w:r>
      <w:r>
        <w:rPr>
          <w:rFonts w:hint="eastAsia" w:asciiTheme="minorEastAsia" w:hAnsiTheme="minorEastAsia" w:eastAsiaTheme="minorEastAsia" w:cstheme="minorEastAsia"/>
          <w:bCs/>
          <w:color w:val="auto"/>
          <w:sz w:val="24"/>
          <w:szCs w:val="24"/>
          <w:highlight w:val="none"/>
        </w:rPr>
        <w:t>凡在质量保修期内非人为原因损坏而作了更换处理的零部件，应继续有12个月的质量保修期。</w:t>
      </w:r>
    </w:p>
    <w:p w14:paraId="1E9468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6.11</w:t>
      </w:r>
      <w:r>
        <w:rPr>
          <w:rFonts w:hint="eastAsia" w:asciiTheme="minorEastAsia" w:hAnsiTheme="minorEastAsia" w:eastAsiaTheme="minorEastAsia" w:cstheme="minorEastAsia"/>
          <w:bCs/>
          <w:color w:val="auto"/>
          <w:sz w:val="24"/>
          <w:szCs w:val="24"/>
          <w:highlight w:val="none"/>
        </w:rPr>
        <w:t>要制定质量保修期内电梯安装工程保修服务方案，明确具体维修责任人，维修人员须持有政府管理部门颁发的安装维修证书，更换维修责任人，须经采购人同意。保修服务方案包括：</w:t>
      </w:r>
    </w:p>
    <w:p w14:paraId="1F8D51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日常保养：供应商应定期派出定岗专业人员对全部电梯进行检查、调整、润滑和清理，保证每台电梯工作正常，在最初三个月内，每星期至少一次，在以后每二个星期至少一次。使用的润滑油由投标方负责。</w:t>
      </w:r>
    </w:p>
    <w:p w14:paraId="178FE9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排除故障及修理：及时排除故障，进行必要的修理，无偿更换非人为损坏或不能正常工作的机件，这类服务必须每周七天，每天24小时内随时提供。</w:t>
      </w:r>
    </w:p>
    <w:p w14:paraId="7CF4E413">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定期检查：供应商应每三个月对每台电梯的工作情况作一次全面检查统计，内容至少应包括故障次数、类型、处理方法及效果、润滑情况及安全装置状态等，并提交检查表。义务向市主管部门申报一年一度的电梯安全检验，作好年检前的一切准备工作，并保证取得使用合格证。检验费用由物业公司承担。</w:t>
      </w:r>
    </w:p>
    <w:p w14:paraId="22F41C40">
      <w:pPr>
        <w:pStyle w:val="3"/>
        <w:keepNext w:val="0"/>
        <w:keepLines w:val="0"/>
        <w:numPr>
          <w:ilvl w:val="0"/>
          <w:numId w:val="4"/>
        </w:numPr>
        <w:adjustRightInd w:val="0"/>
        <w:snapToGrid w:val="0"/>
        <w:spacing w:before="0" w:beforeLines="0" w:after="0" w:afterLines="0" w:line="360" w:lineRule="auto"/>
        <w:ind w:firstLine="482" w:firstLineChars="200"/>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计量计价方式和支付方式</w:t>
      </w:r>
    </w:p>
    <w:p w14:paraId="10437FBD">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7.1.本项目</w:t>
      </w:r>
      <w:r>
        <w:rPr>
          <w:rFonts w:hint="eastAsia" w:asciiTheme="minorEastAsia" w:hAnsiTheme="minorEastAsia" w:eastAsiaTheme="minorEastAsia" w:cstheme="minorEastAsia"/>
          <w:bCs/>
          <w:color w:val="auto"/>
          <w:sz w:val="24"/>
          <w:szCs w:val="24"/>
          <w:highlight w:val="none"/>
        </w:rPr>
        <w:t>采用固定总价包干承包方式</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旧电梯残值回收费用用于抵扣。</w:t>
      </w:r>
    </w:p>
    <w:p w14:paraId="28373DC7">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textAlignment w:val="auto"/>
        <w:outlineLvl w:val="1"/>
        <w:rPr>
          <w:rFonts w:hint="eastAsia" w:asciiTheme="minorEastAsia" w:hAnsiTheme="minorEastAsia" w:eastAsiaTheme="minorEastAsia" w:cstheme="minorEastAsia"/>
          <w:b/>
          <w:bCs/>
          <w:color w:val="auto"/>
          <w:sz w:val="24"/>
          <w:szCs w:val="24"/>
          <w:highlight w:val="none"/>
        </w:rPr>
      </w:pPr>
      <w:bookmarkStart w:id="24" w:name="_Toc17324_WPSOffice_Level3"/>
      <w:bookmarkStart w:id="25" w:name="_Toc16853"/>
      <w:bookmarkStart w:id="26" w:name="_Toc9962"/>
      <w:bookmarkStart w:id="27" w:name="_Toc13287_WPSOffice_Level3"/>
      <w:r>
        <w:rPr>
          <w:rFonts w:hint="eastAsia" w:asciiTheme="minorEastAsia" w:hAnsiTheme="minorEastAsia" w:eastAsiaTheme="minorEastAsia" w:cstheme="minorEastAsia"/>
          <w:b/>
          <w:bCs/>
          <w:color w:val="auto"/>
          <w:sz w:val="24"/>
          <w:szCs w:val="24"/>
          <w:highlight w:val="none"/>
          <w:lang w:val="en-US" w:eastAsia="zh-CN"/>
        </w:rPr>
        <w:t>八</w:t>
      </w:r>
      <w:r>
        <w:rPr>
          <w:rFonts w:hint="eastAsia" w:asciiTheme="minorEastAsia" w:hAnsiTheme="minorEastAsia" w:eastAsiaTheme="minorEastAsia" w:cstheme="minorEastAsia"/>
          <w:b/>
          <w:bCs/>
          <w:color w:val="auto"/>
          <w:sz w:val="24"/>
          <w:szCs w:val="24"/>
          <w:highlight w:val="none"/>
        </w:rPr>
        <w:t>、其他</w:t>
      </w:r>
      <w:bookmarkEnd w:id="24"/>
      <w:bookmarkEnd w:id="25"/>
      <w:bookmarkEnd w:id="26"/>
      <w:bookmarkEnd w:id="27"/>
    </w:p>
    <w:p w14:paraId="26202A1D">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rPr>
        <w:t>1在工地的建设活动中，中标人有责任与监理单位（如有）、采购人指定的管理单位及其它供应商保持联系和合作。此责任应包括所有为了开展工作切实有效，所需的交换和提供数据、标准和资料等工作。电梯制造、安装和验收规范、使用说明书、技术手册；关键部件进口的内容、国别应在投标文件中反映。</w:t>
      </w:r>
    </w:p>
    <w:p w14:paraId="54318455">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8.2</w:t>
      </w:r>
      <w:r>
        <w:rPr>
          <w:rFonts w:hint="eastAsia" w:asciiTheme="minorEastAsia" w:hAnsiTheme="minorEastAsia" w:eastAsiaTheme="minorEastAsia" w:cstheme="minorEastAsia"/>
          <w:bCs/>
          <w:color w:val="auto"/>
          <w:sz w:val="24"/>
          <w:szCs w:val="24"/>
          <w:highlight w:val="none"/>
        </w:rPr>
        <w:t>中标人须参加监理单位（如有）要求其参加的所有现场联络会，并接受监理单位的统一管理，遵守工地的安全和建筑规定。</w:t>
      </w:r>
    </w:p>
    <w:p w14:paraId="4B11EDCE">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8.3</w:t>
      </w:r>
      <w:r>
        <w:rPr>
          <w:rFonts w:hint="eastAsia" w:asciiTheme="minorEastAsia" w:hAnsiTheme="minorEastAsia" w:eastAsiaTheme="minorEastAsia" w:cstheme="minorEastAsia"/>
          <w:bCs/>
          <w:color w:val="auto"/>
          <w:sz w:val="24"/>
          <w:szCs w:val="24"/>
          <w:highlight w:val="none"/>
        </w:rPr>
        <w:t>中标人应与所有相关的部门相联系，获得相关认可，以便设备能及时投入服务。</w:t>
      </w:r>
    </w:p>
    <w:p w14:paraId="1490C9B5">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8.4</w:t>
      </w:r>
      <w:r>
        <w:rPr>
          <w:rFonts w:hint="eastAsia" w:asciiTheme="minorEastAsia" w:hAnsiTheme="minorEastAsia" w:eastAsiaTheme="minorEastAsia" w:cstheme="minorEastAsia"/>
          <w:bCs/>
          <w:color w:val="auto"/>
          <w:sz w:val="24"/>
          <w:szCs w:val="24"/>
          <w:highlight w:val="none"/>
        </w:rPr>
        <w:t>在安装期间，中标人应遵守有关部门的管理，并遵照相关的规定。</w:t>
      </w:r>
    </w:p>
    <w:p w14:paraId="67FE1382">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8.5</w:t>
      </w:r>
      <w:r>
        <w:rPr>
          <w:rFonts w:hint="eastAsia" w:asciiTheme="minorEastAsia" w:hAnsiTheme="minorEastAsia" w:eastAsiaTheme="minorEastAsia" w:cstheme="minorEastAsia"/>
          <w:bCs/>
          <w:color w:val="auto"/>
          <w:sz w:val="24"/>
          <w:szCs w:val="24"/>
          <w:highlight w:val="none"/>
        </w:rPr>
        <w:t>中标人应准备相关文件，包括有关部门认可所需的图纸。</w:t>
      </w:r>
    </w:p>
    <w:p w14:paraId="495F6A86">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8.6</w:t>
      </w:r>
      <w:r>
        <w:rPr>
          <w:rFonts w:hint="eastAsia" w:asciiTheme="minorEastAsia" w:hAnsiTheme="minorEastAsia" w:eastAsiaTheme="minorEastAsia" w:cstheme="minorEastAsia"/>
          <w:bCs/>
          <w:color w:val="auto"/>
          <w:sz w:val="24"/>
          <w:szCs w:val="24"/>
          <w:highlight w:val="none"/>
        </w:rPr>
        <w:t>由于工程进度和正式使用的不同需求，中标人有责任防止所有电梯在未经正式认可便使用，而应根据买方需要，得到认可后再投入运行。</w:t>
      </w:r>
    </w:p>
    <w:p w14:paraId="35742A22">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8.7</w:t>
      </w:r>
      <w:r>
        <w:rPr>
          <w:rFonts w:hint="eastAsia" w:asciiTheme="minorEastAsia" w:hAnsiTheme="minorEastAsia" w:eastAsiaTheme="minorEastAsia" w:cstheme="minorEastAsia"/>
          <w:bCs/>
          <w:color w:val="auto"/>
          <w:sz w:val="24"/>
          <w:szCs w:val="24"/>
          <w:highlight w:val="none"/>
        </w:rPr>
        <w:t>交货时中标人应提供合同产品的原产地证书和合格证。</w:t>
      </w:r>
    </w:p>
    <w:p w14:paraId="00D5F7B6">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8.8</w:t>
      </w:r>
      <w:r>
        <w:rPr>
          <w:rFonts w:hint="eastAsia" w:asciiTheme="minorEastAsia" w:hAnsiTheme="minorEastAsia" w:eastAsiaTheme="minorEastAsia" w:cstheme="minorEastAsia"/>
          <w:bCs/>
          <w:color w:val="auto"/>
          <w:sz w:val="24"/>
          <w:szCs w:val="24"/>
          <w:highlight w:val="none"/>
        </w:rPr>
        <w:t>中标人应对完成质量保修期后的正常维保工作提出维保的工作范围。</w:t>
      </w:r>
    </w:p>
    <w:p w14:paraId="5E1DA5DB">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8.9</w:t>
      </w:r>
      <w:r>
        <w:rPr>
          <w:rFonts w:hint="eastAsia" w:asciiTheme="minorEastAsia" w:hAnsiTheme="minorEastAsia" w:eastAsiaTheme="minorEastAsia" w:cstheme="minorEastAsia"/>
          <w:bCs/>
          <w:color w:val="auto"/>
          <w:sz w:val="24"/>
          <w:szCs w:val="24"/>
          <w:highlight w:val="none"/>
        </w:rPr>
        <w:t>中标人应应根据采购人需求配套优质电梯安防监控所需的电缆。</w:t>
      </w:r>
    </w:p>
    <w:p w14:paraId="54A8263C">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8.10</w:t>
      </w:r>
      <w:r>
        <w:rPr>
          <w:rFonts w:hint="eastAsia" w:asciiTheme="minorEastAsia" w:hAnsiTheme="minorEastAsia" w:eastAsiaTheme="minorEastAsia" w:cstheme="minorEastAsia"/>
          <w:bCs/>
          <w:color w:val="auto"/>
          <w:sz w:val="24"/>
          <w:szCs w:val="24"/>
          <w:highlight w:val="none"/>
        </w:rPr>
        <w:t>电梯采购及安装为交钥匙工程，所有与交钥匙工程方式完成本项目需要发生的和可能发生的一切费用均包含在投标报价中，电梯内饰部分中标后可适当调整，总价不再调整，电梯井道尺寸、基坑尺寸、机房尺寸、开门尺寸等尺寸投标时投标人勘察现场，数据以现场尺寸为准。</w:t>
      </w:r>
    </w:p>
    <w:bookmarkEnd w:id="16"/>
    <w:p w14:paraId="2B11C931">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8.11</w:t>
      </w:r>
      <w:r>
        <w:rPr>
          <w:rFonts w:hint="eastAsia" w:asciiTheme="minorEastAsia" w:hAnsiTheme="minorEastAsia" w:eastAsiaTheme="minorEastAsia" w:cstheme="minorEastAsia"/>
          <w:bCs/>
          <w:color w:val="auto"/>
          <w:sz w:val="24"/>
          <w:szCs w:val="24"/>
          <w:highlight w:val="none"/>
        </w:rPr>
        <w:t>品牌推荐：中标人提供的电梯品牌应为（或相当于）广日电梯、日立电梯、奥的斯电梯品牌</w:t>
      </w:r>
      <w:r>
        <w:rPr>
          <w:rFonts w:hint="eastAsia" w:asciiTheme="minorEastAsia" w:hAnsiTheme="minorEastAsia" w:eastAsiaTheme="minorEastAsia" w:cstheme="minorEastAsia"/>
          <w:bCs/>
          <w:color w:val="auto"/>
          <w:sz w:val="24"/>
          <w:szCs w:val="24"/>
          <w:highlight w:val="none"/>
          <w:lang w:eastAsia="zh-CN"/>
        </w:rPr>
        <w:t>。</w:t>
      </w:r>
    </w:p>
    <w:p w14:paraId="70123CFC">
      <w:pPr>
        <w:snapToGrid w:val="0"/>
        <w:spacing w:line="360" w:lineRule="auto"/>
        <w:rPr>
          <w:rFonts w:hint="eastAsia" w:ascii="宋体" w:hAnsi="宋体" w:eastAsia="宋体" w:cs="宋体"/>
          <w:b/>
          <w:bCs/>
          <w:color w:val="auto"/>
          <w:sz w:val="28"/>
          <w:szCs w:val="28"/>
          <w:highlight w:val="none"/>
        </w:rPr>
      </w:pPr>
    </w:p>
    <w:p w14:paraId="03E17009">
      <w:pPr>
        <w:snapToGrid w:val="0"/>
        <w:spacing w:line="360" w:lineRule="auto"/>
        <w:rPr>
          <w:rFonts w:hint="eastAsia" w:ascii="宋体" w:hAnsi="宋体" w:eastAsia="宋体" w:cs="宋体"/>
          <w:b/>
          <w:bCs/>
          <w:color w:val="auto"/>
          <w:sz w:val="28"/>
          <w:szCs w:val="28"/>
          <w:highlight w:val="none"/>
        </w:rPr>
      </w:pPr>
    </w:p>
    <w:p w14:paraId="78F49585">
      <w:pPr>
        <w:snapToGrid w:val="0"/>
        <w:spacing w:line="360" w:lineRule="auto"/>
        <w:rPr>
          <w:rFonts w:hint="eastAsia" w:ascii="宋体" w:hAnsi="宋体" w:eastAsia="宋体" w:cs="宋体"/>
          <w:b/>
          <w:bCs/>
          <w:color w:val="auto"/>
          <w:sz w:val="28"/>
          <w:szCs w:val="28"/>
          <w:highlight w:val="none"/>
        </w:rPr>
      </w:pPr>
    </w:p>
    <w:p w14:paraId="7922ECBF">
      <w:pPr>
        <w:tabs>
          <w:tab w:val="center" w:pos="4153"/>
        </w:tabs>
        <w:spacing w:line="540" w:lineRule="exact"/>
        <w:jc w:val="both"/>
        <w:rPr>
          <w:rFonts w:hint="eastAsia" w:ascii="宋体" w:hAnsi="宋体" w:cs="宋体"/>
          <w:b/>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rPr>
        <w:t>廉政合同</w:t>
      </w:r>
    </w:p>
    <w:p w14:paraId="4F0EC22E">
      <w:pPr>
        <w:tabs>
          <w:tab w:val="center" w:pos="4153"/>
        </w:tabs>
        <w:spacing w:line="540" w:lineRule="exact"/>
        <w:jc w:val="center"/>
        <w:rPr>
          <w:rFonts w:hint="eastAsia" w:ascii="宋体" w:hAnsi="宋体" w:cs="宋体"/>
          <w:b/>
          <w:color w:val="auto"/>
          <w:sz w:val="32"/>
          <w:szCs w:val="32"/>
          <w:highlight w:val="none"/>
        </w:rPr>
      </w:pPr>
      <w:bookmarkStart w:id="28" w:name="OLE_LINK16"/>
      <w:r>
        <w:rPr>
          <w:rFonts w:hint="eastAsia" w:ascii="宋体" w:hAnsi="宋体" w:cs="宋体"/>
          <w:b/>
          <w:color w:val="auto"/>
          <w:sz w:val="32"/>
          <w:szCs w:val="32"/>
          <w:highlight w:val="none"/>
        </w:rPr>
        <w:t>廉政合同</w:t>
      </w:r>
    </w:p>
    <w:bookmarkEnd w:id="28"/>
    <w:p w14:paraId="340109A0">
      <w:pPr>
        <w:tabs>
          <w:tab w:val="center" w:pos="4153"/>
        </w:tabs>
        <w:snapToGrid w:val="0"/>
        <w:spacing w:line="540" w:lineRule="exact"/>
        <w:contextualSpacing/>
        <w:rPr>
          <w:rFonts w:hint="eastAsia" w:ascii="宋体" w:hAnsi="宋体" w:cs="宋体"/>
          <w:color w:val="auto"/>
          <w:szCs w:val="21"/>
          <w:highlight w:val="none"/>
        </w:rPr>
      </w:pPr>
    </w:p>
    <w:p w14:paraId="7EC31BA3">
      <w:pPr>
        <w:tabs>
          <w:tab w:val="center" w:pos="4153"/>
        </w:tabs>
        <w:snapToGrid w:val="0"/>
        <w:spacing w:line="360" w:lineRule="auto"/>
        <w:ind w:firstLine="0" w:firstLineChars="0"/>
        <w:contextualSpacing/>
        <w:rPr>
          <w:rFonts w:hint="eastAsia" w:ascii="宋体" w:hAnsi="宋体" w:cs="宋体"/>
          <w:color w:val="auto"/>
          <w:sz w:val="24"/>
          <w:highlight w:val="none"/>
        </w:rPr>
      </w:pPr>
      <w:r>
        <w:rPr>
          <w:rFonts w:hint="eastAsia" w:ascii="宋体" w:hAnsi="宋体" w:cs="宋体"/>
          <w:color w:val="auto"/>
          <w:sz w:val="28"/>
          <w:szCs w:val="28"/>
          <w:highlight w:val="none"/>
        </w:rPr>
        <w:t>甲方：</w:t>
      </w:r>
      <w:r>
        <w:rPr>
          <w:rFonts w:hint="eastAsia" w:ascii="宋体" w:hAnsi="宋体" w:eastAsia="宋体" w:cs="宋体"/>
          <w:color w:val="auto"/>
          <w:sz w:val="28"/>
          <w:szCs w:val="28"/>
          <w:highlight w:val="none"/>
          <w:u w:val="single"/>
          <w:lang w:val="en-US" w:eastAsia="zh-CN"/>
        </w:rPr>
        <w:t>广州安居住房置业有限公司</w:t>
      </w:r>
      <w:r>
        <w:rPr>
          <w:rFonts w:hint="eastAsia" w:ascii="宋体" w:hAnsi="宋体" w:cs="宋体"/>
          <w:color w:val="auto"/>
          <w:sz w:val="24"/>
          <w:highlight w:val="none"/>
          <w:u w:val="single"/>
        </w:rPr>
        <w:t xml:space="preserve"> </w:t>
      </w:r>
    </w:p>
    <w:p w14:paraId="6F2B43AB">
      <w:pPr>
        <w:autoSpaceDE w:val="0"/>
        <w:autoSpaceDN w:val="0"/>
        <w:spacing w:line="360" w:lineRule="auto"/>
        <w:ind w:firstLine="0" w:firstLineChars="0"/>
        <w:rPr>
          <w:rFonts w:hint="eastAsia" w:ascii="宋体" w:hAnsi="宋体" w:cs="宋体"/>
          <w:color w:val="auto"/>
          <w:sz w:val="24"/>
          <w:highlight w:val="none"/>
        </w:rPr>
      </w:pPr>
      <w:r>
        <w:rPr>
          <w:rFonts w:hint="eastAsia" w:ascii="宋体" w:hAnsi="宋体" w:cs="宋体"/>
          <w:color w:val="auto"/>
          <w:sz w:val="28"/>
          <w:szCs w:val="28"/>
          <w:highlight w:val="none"/>
        </w:rPr>
        <w:t>乙方：</w:t>
      </w:r>
      <w:r>
        <w:rPr>
          <w:rFonts w:hint="eastAsia" w:ascii="宋体" w:hAnsi="宋体" w:cs="宋体"/>
          <w:color w:val="auto"/>
          <w:sz w:val="28"/>
          <w:szCs w:val="28"/>
          <w:highlight w:val="none"/>
          <w:u w:val="single"/>
        </w:rPr>
        <w:t xml:space="preserve">                                 </w:t>
      </w:r>
      <w:r>
        <w:rPr>
          <w:rFonts w:hint="eastAsia" w:ascii="宋体" w:hAnsi="宋体" w:cs="宋体"/>
          <w:color w:val="auto"/>
          <w:sz w:val="24"/>
          <w:highlight w:val="none"/>
        </w:rPr>
        <w:t xml:space="preserve"> </w:t>
      </w:r>
    </w:p>
    <w:p w14:paraId="0BD7451E">
      <w:pPr>
        <w:autoSpaceDE w:val="0"/>
        <w:autoSpaceDN w:val="0"/>
        <w:spacing w:line="360" w:lineRule="auto"/>
        <w:ind w:firstLine="540"/>
        <w:rPr>
          <w:rFonts w:hint="eastAsia" w:ascii="宋体" w:hAnsi="宋体" w:cs="宋体"/>
          <w:color w:val="auto"/>
          <w:sz w:val="28"/>
          <w:szCs w:val="28"/>
          <w:highlight w:val="none"/>
        </w:rPr>
      </w:pPr>
    </w:p>
    <w:p w14:paraId="17A37C9F">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val="zh-CN" w:eastAsia="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s="宋体"/>
          <w:color w:val="auto"/>
          <w:sz w:val="28"/>
          <w:szCs w:val="28"/>
          <w:highlight w:val="none"/>
          <w:lang w:eastAsia="zh-CN"/>
        </w:rPr>
        <w:t>。</w:t>
      </w:r>
    </w:p>
    <w:p w14:paraId="57BEEBE7">
      <w:pPr>
        <w:spacing w:line="360" w:lineRule="auto"/>
        <w:ind w:firstLine="0" w:firstLineChars="0"/>
        <w:rPr>
          <w:rFonts w:hint="eastAsia" w:ascii="宋体" w:hAnsi="宋体" w:eastAsia="宋体" w:cs="宋体"/>
          <w:b/>
          <w:bCs/>
          <w:color w:val="auto"/>
          <w:sz w:val="28"/>
          <w:szCs w:val="28"/>
          <w:highlight w:val="none"/>
          <w:lang w:eastAsia="zh-CN"/>
        </w:rPr>
      </w:pPr>
      <w:bookmarkStart w:id="29" w:name="_Toc11148"/>
      <w:r>
        <w:rPr>
          <w:rFonts w:hint="eastAsia" w:ascii="宋体" w:hAnsi="宋体" w:eastAsia="宋体" w:cs="宋体"/>
          <w:b/>
          <w:bCs/>
          <w:color w:val="auto"/>
          <w:sz w:val="28"/>
          <w:szCs w:val="28"/>
          <w:highlight w:val="none"/>
          <w:lang w:eastAsia="zh-CN"/>
        </w:rPr>
        <w:t>一、双方权利和义务</w:t>
      </w:r>
      <w:bookmarkEnd w:id="29"/>
    </w:p>
    <w:p w14:paraId="12D564F7">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1.1  严格遵守国家、省有关法律法规的规定。</w:t>
      </w:r>
    </w:p>
    <w:p w14:paraId="39EBAE1B">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1.2  严格执行合同工程一切合同文件，自觉按合同办事。</w:t>
      </w:r>
    </w:p>
    <w:p w14:paraId="3D38B5D3">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 xml:space="preserve">1.3  </w:t>
      </w:r>
      <w:r>
        <w:rPr>
          <w:rFonts w:hint="eastAsia" w:ascii="宋体" w:hAnsi="宋体" w:cs="宋体"/>
          <w:color w:val="auto"/>
          <w:sz w:val="28"/>
          <w:szCs w:val="28"/>
          <w:highlight w:val="none"/>
          <w:lang w:val="zh-CN" w:eastAsia="zh-CN"/>
        </w:rPr>
        <w:t>合同双方当事人的业务活动应坚持公平、公开、公正和诚信的原则（法律认定的商业秘密和合同文件另有规定除外），不得损害国家和集体利益，不得违反工程建设管理规章制度</w:t>
      </w:r>
      <w:r>
        <w:rPr>
          <w:rFonts w:hint="eastAsia" w:ascii="宋体" w:hAnsi="宋体" w:cs="宋体"/>
          <w:color w:val="auto"/>
          <w:sz w:val="28"/>
          <w:szCs w:val="28"/>
          <w:highlight w:val="none"/>
          <w:lang w:eastAsia="zh-CN"/>
        </w:rPr>
        <w:t>。</w:t>
      </w:r>
    </w:p>
    <w:p w14:paraId="70E42B79">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1.4  建立健全廉政制度，开展廉政教育，设立廉政告示牌，公布举报电话，监督并认真查处违法违纪行为。</w:t>
      </w:r>
    </w:p>
    <w:p w14:paraId="53DE98A0">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1.5  发现对方在业务活动中有违反廉政建设规定的行为，应及时给予提醒和纠正。</w:t>
      </w:r>
    </w:p>
    <w:p w14:paraId="559218DE">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1.6  发现对方严重违反合同的行为，有向其主管部门举报、建议给予处理并要求告知处理结果的权利。</w:t>
      </w:r>
      <w:bookmarkStart w:id="30" w:name="_Toc18074"/>
    </w:p>
    <w:p w14:paraId="6A33208E">
      <w:pPr>
        <w:spacing w:line="360" w:lineRule="auto"/>
        <w:ind w:firstLine="0" w:firstLineChars="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二、甲方义务</w:t>
      </w:r>
      <w:bookmarkEnd w:id="30"/>
    </w:p>
    <w:p w14:paraId="04E6CA65">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2.1  甲方及其工作人员不得索要或接受乙方的礼金、有价证券和贵重物品，不得在乙方报销任何应由甲方或工作人员个人支付的费用等。</w:t>
      </w:r>
    </w:p>
    <w:p w14:paraId="66FF9756">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2.2  甲方及其工作人员不得参加乙方安排的宴请（工作餐除外）和娱乐活动；不得接受乙方提供的通讯工具、交通工具和高档办公用品等。</w:t>
      </w:r>
    </w:p>
    <w:p w14:paraId="4799F2C3">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2.3  甲方及其工作人员不得要求或者接受乙方为其住房装修、婚丧嫁娶活动、配偶子女的工作安排以及出国出境、旅游等提供方便等。</w:t>
      </w:r>
    </w:p>
    <w:p w14:paraId="6F3F9B7A">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 xml:space="preserve">2.4  </w:t>
      </w:r>
      <w:r>
        <w:rPr>
          <w:rFonts w:hint="eastAsia" w:ascii="宋体" w:hAnsi="宋体" w:cs="宋体"/>
          <w:color w:val="auto"/>
          <w:sz w:val="28"/>
          <w:szCs w:val="28"/>
          <w:highlight w:val="none"/>
          <w:lang w:val="zh-CN" w:eastAsia="zh-CN"/>
        </w:rPr>
        <w:t>甲方及其工作人员不得以任何理由向乙方推荐分包人、推销工程材料和工程设备，不得要求乙方购买合同以外的工程材料和工程设备</w:t>
      </w:r>
      <w:r>
        <w:rPr>
          <w:rFonts w:hint="eastAsia" w:ascii="宋体" w:hAnsi="宋体" w:cs="宋体"/>
          <w:color w:val="auto"/>
          <w:sz w:val="28"/>
          <w:szCs w:val="28"/>
          <w:highlight w:val="none"/>
          <w:lang w:eastAsia="zh-CN"/>
        </w:rPr>
        <w:t>。</w:t>
      </w:r>
    </w:p>
    <w:p w14:paraId="41B5A568">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 xml:space="preserve">2.5  </w:t>
      </w:r>
      <w:r>
        <w:rPr>
          <w:rFonts w:hint="eastAsia" w:ascii="宋体" w:hAnsi="宋体" w:cs="宋体"/>
          <w:color w:val="auto"/>
          <w:sz w:val="28"/>
          <w:szCs w:val="28"/>
          <w:highlight w:val="none"/>
          <w:lang w:val="zh-CN" w:eastAsia="zh-CN"/>
        </w:rPr>
        <w:t>甲方及其工作人员要秉公办事，不准营私舞弊，不准利用职权私自为合同工程安排施工队伍，也不得从事与合同工程有关的各种有偿中介活动</w:t>
      </w:r>
      <w:r>
        <w:rPr>
          <w:rFonts w:hint="eastAsia" w:ascii="宋体" w:hAnsi="宋体" w:cs="宋体"/>
          <w:color w:val="auto"/>
          <w:sz w:val="28"/>
          <w:szCs w:val="28"/>
          <w:highlight w:val="none"/>
          <w:lang w:eastAsia="zh-CN"/>
        </w:rPr>
        <w:t>。</w:t>
      </w:r>
    </w:p>
    <w:p w14:paraId="55264D8B">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 xml:space="preserve">2.6  </w:t>
      </w:r>
      <w:r>
        <w:rPr>
          <w:rFonts w:hint="eastAsia" w:ascii="宋体" w:hAnsi="宋体" w:cs="宋体"/>
          <w:color w:val="auto"/>
          <w:sz w:val="28"/>
          <w:szCs w:val="28"/>
          <w:highlight w:val="none"/>
          <w:lang w:val="zh-CN" w:eastAsia="zh-CN"/>
        </w:rPr>
        <w:t>甲方及其工作人员（含其配偶、子女）不得从事与合同工程有关的工程材料和工程设备供应、工程分包、劳务等经济活动</w:t>
      </w:r>
      <w:r>
        <w:rPr>
          <w:rFonts w:hint="eastAsia" w:ascii="宋体" w:hAnsi="宋体" w:cs="宋体"/>
          <w:color w:val="auto"/>
          <w:sz w:val="28"/>
          <w:szCs w:val="28"/>
          <w:highlight w:val="none"/>
          <w:lang w:eastAsia="zh-CN"/>
        </w:rPr>
        <w:t>。</w:t>
      </w:r>
    </w:p>
    <w:p w14:paraId="3EFD7607">
      <w:pPr>
        <w:spacing w:line="360" w:lineRule="auto"/>
        <w:ind w:firstLine="0" w:firstLineChars="0"/>
        <w:rPr>
          <w:rFonts w:hint="eastAsia" w:ascii="宋体" w:hAnsi="宋体" w:eastAsia="宋体" w:cs="宋体"/>
          <w:b/>
          <w:bCs/>
          <w:color w:val="auto"/>
          <w:sz w:val="28"/>
          <w:szCs w:val="28"/>
          <w:highlight w:val="none"/>
          <w:lang w:eastAsia="zh-CN"/>
        </w:rPr>
      </w:pPr>
      <w:bookmarkStart w:id="31" w:name="_Toc14380"/>
      <w:r>
        <w:rPr>
          <w:rFonts w:hint="eastAsia" w:ascii="宋体" w:hAnsi="宋体" w:eastAsia="宋体" w:cs="宋体"/>
          <w:b/>
          <w:bCs/>
          <w:color w:val="auto"/>
          <w:sz w:val="28"/>
          <w:szCs w:val="28"/>
          <w:highlight w:val="none"/>
          <w:lang w:eastAsia="zh-CN"/>
        </w:rPr>
        <w:t>三、乙方义务</w:t>
      </w:r>
      <w:bookmarkEnd w:id="31"/>
    </w:p>
    <w:p w14:paraId="22863FB9">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3.1  乙方不得以任何理由向甲方及其工作人员行贿或馈赠礼金、有价证券、贵重礼品。</w:t>
      </w:r>
    </w:p>
    <w:p w14:paraId="495049CE">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3.2  乙方不得以任何名义为甲方及其工作人员报销应由甲方或工作人员个人支付的任何费用。</w:t>
      </w:r>
    </w:p>
    <w:p w14:paraId="09CBCFC1">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3.3  乙方不得以任何理由安排甲方及其工作人员参加宴请（工作餐除外）及娱乐活动。</w:t>
      </w:r>
    </w:p>
    <w:p w14:paraId="5AE46C6C">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3.4  乙方不得为甲方和个人购置或提供通讯工具、交通工具和高档办公用品等。</w:t>
      </w:r>
    </w:p>
    <w:p w14:paraId="007D1020">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 xml:space="preserve">3.5  </w:t>
      </w:r>
      <w:r>
        <w:rPr>
          <w:rFonts w:hint="eastAsia" w:ascii="宋体" w:hAnsi="宋体" w:cs="宋体"/>
          <w:color w:val="auto"/>
          <w:sz w:val="28"/>
          <w:szCs w:val="28"/>
          <w:highlight w:val="none"/>
          <w:lang w:val="zh-CN" w:eastAsia="zh-CN"/>
        </w:rPr>
        <w:t>乙方不得为甲方及其工作人员的住房装修、婚丧嫁娶活动、配偶子女工作安排以及出国出境、旅游等提供方便。</w:t>
      </w:r>
    </w:p>
    <w:p w14:paraId="0CA2961E">
      <w:pPr>
        <w:spacing w:line="360" w:lineRule="auto"/>
        <w:ind w:firstLine="0" w:firstLineChars="0"/>
        <w:rPr>
          <w:rFonts w:hint="eastAsia" w:ascii="宋体" w:hAnsi="宋体" w:eastAsia="宋体" w:cs="宋体"/>
          <w:b/>
          <w:bCs/>
          <w:color w:val="auto"/>
          <w:sz w:val="28"/>
          <w:szCs w:val="28"/>
          <w:highlight w:val="none"/>
          <w:lang w:eastAsia="zh-CN"/>
        </w:rPr>
      </w:pPr>
      <w:bookmarkStart w:id="32" w:name="_Toc8886"/>
      <w:r>
        <w:rPr>
          <w:rFonts w:hint="eastAsia" w:ascii="宋体" w:hAnsi="宋体" w:eastAsia="宋体" w:cs="宋体"/>
          <w:b/>
          <w:bCs/>
          <w:color w:val="auto"/>
          <w:sz w:val="28"/>
          <w:szCs w:val="28"/>
          <w:highlight w:val="none"/>
          <w:lang w:eastAsia="zh-CN"/>
        </w:rPr>
        <w:t>四、违约责任</w:t>
      </w:r>
      <w:bookmarkEnd w:id="32"/>
    </w:p>
    <w:p w14:paraId="7A864D07">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4.1  甲方及其工作人员违反本合同第1条和第2条约定，应依据有关规定给予廉政建设规定的处分；涉嫌犯罪的，移交司法机关追究刑事责任；给乙方造成经济损失的，应予赔偿。</w:t>
      </w:r>
    </w:p>
    <w:p w14:paraId="341086C2">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 xml:space="preserve">4.2  </w:t>
      </w:r>
      <w:r>
        <w:rPr>
          <w:rFonts w:hint="eastAsia" w:ascii="宋体" w:hAnsi="宋体" w:cs="宋体"/>
          <w:color w:val="auto"/>
          <w:sz w:val="28"/>
          <w:szCs w:val="28"/>
          <w:highlight w:val="none"/>
          <w:lang w:val="zh-CN" w:eastAsia="zh-CN"/>
        </w:rPr>
        <w:t>乙方及其工作人员违反本合同第</w:t>
      </w:r>
      <w:r>
        <w:rPr>
          <w:rFonts w:hint="eastAsia" w:ascii="宋体" w:hAnsi="宋体" w:cs="宋体"/>
          <w:color w:val="auto"/>
          <w:sz w:val="28"/>
          <w:szCs w:val="28"/>
          <w:highlight w:val="none"/>
          <w:lang w:eastAsia="zh-CN"/>
        </w:rPr>
        <w:t xml:space="preserve"> 1 </w:t>
      </w:r>
      <w:r>
        <w:rPr>
          <w:rFonts w:hint="eastAsia" w:ascii="宋体" w:hAnsi="宋体" w:cs="宋体"/>
          <w:color w:val="auto"/>
          <w:sz w:val="28"/>
          <w:szCs w:val="28"/>
          <w:highlight w:val="none"/>
          <w:lang w:val="zh-CN" w:eastAsia="zh-CN"/>
        </w:rPr>
        <w:t>条和第</w:t>
      </w:r>
      <w:r>
        <w:rPr>
          <w:rFonts w:hint="eastAsia" w:ascii="宋体" w:hAnsi="宋体" w:cs="宋体"/>
          <w:color w:val="auto"/>
          <w:sz w:val="28"/>
          <w:szCs w:val="28"/>
          <w:highlight w:val="none"/>
          <w:lang w:eastAsia="zh-CN"/>
        </w:rPr>
        <w:t xml:space="preserve"> 3 </w:t>
      </w:r>
      <w:r>
        <w:rPr>
          <w:rFonts w:hint="eastAsia" w:ascii="宋体" w:hAnsi="宋体" w:cs="宋体"/>
          <w:color w:val="auto"/>
          <w:sz w:val="28"/>
          <w:szCs w:val="28"/>
          <w:highlight w:val="none"/>
          <w:lang w:val="zh-CN" w:eastAsia="zh-CN"/>
        </w:rPr>
        <w:t>条约定，应按照廉政建设的有关规定给予处分；涉嫌犯罪的，移交司法机关追究刑事责任；给甲方造成损失的，应予赔偿。</w:t>
      </w:r>
    </w:p>
    <w:p w14:paraId="51610C06">
      <w:pPr>
        <w:spacing w:line="360" w:lineRule="auto"/>
        <w:ind w:firstLine="0" w:firstLineChars="0"/>
        <w:rPr>
          <w:rFonts w:hint="eastAsia" w:ascii="宋体" w:hAnsi="宋体" w:eastAsia="宋体" w:cs="宋体"/>
          <w:b/>
          <w:bCs/>
          <w:color w:val="auto"/>
          <w:sz w:val="28"/>
          <w:szCs w:val="28"/>
          <w:highlight w:val="none"/>
          <w:lang w:eastAsia="zh-CN"/>
        </w:rPr>
      </w:pPr>
      <w:bookmarkStart w:id="33" w:name="_Toc20236"/>
      <w:r>
        <w:rPr>
          <w:rFonts w:hint="eastAsia" w:ascii="宋体" w:hAnsi="宋体" w:eastAsia="宋体" w:cs="宋体"/>
          <w:b/>
          <w:bCs/>
          <w:color w:val="auto"/>
          <w:sz w:val="28"/>
          <w:szCs w:val="28"/>
          <w:highlight w:val="none"/>
          <w:lang w:eastAsia="zh-CN"/>
        </w:rPr>
        <w:t>五、双方约定</w:t>
      </w:r>
      <w:bookmarkEnd w:id="33"/>
    </w:p>
    <w:p w14:paraId="4EE050B8">
      <w:pPr>
        <w:tabs>
          <w:tab w:val="center" w:pos="4153"/>
        </w:tabs>
        <w:spacing w:line="360" w:lineRule="auto"/>
        <w:ind w:firstLine="560" w:firstLineChars="20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val="zh-CN" w:eastAsia="zh-CN"/>
        </w:rPr>
        <w:t>本合同由合同双方当事人或其主管部门负责监督执行</w:t>
      </w:r>
      <w:r>
        <w:rPr>
          <w:rFonts w:hint="eastAsia" w:ascii="宋体" w:hAnsi="宋体" w:cs="宋体"/>
          <w:color w:val="auto"/>
          <w:sz w:val="28"/>
          <w:szCs w:val="28"/>
          <w:highlight w:val="none"/>
          <w:lang w:eastAsia="zh-CN"/>
        </w:rPr>
        <w:t>。</w:t>
      </w:r>
    </w:p>
    <w:p w14:paraId="77DA5D6D">
      <w:pPr>
        <w:spacing w:line="360" w:lineRule="auto"/>
        <w:ind w:firstLine="0" w:firstLineChars="0"/>
        <w:rPr>
          <w:rFonts w:hint="eastAsia" w:ascii="宋体" w:hAnsi="宋体" w:eastAsia="宋体" w:cs="宋体"/>
          <w:b/>
          <w:bCs/>
          <w:color w:val="auto"/>
          <w:sz w:val="28"/>
          <w:szCs w:val="28"/>
          <w:highlight w:val="none"/>
          <w:lang w:eastAsia="zh-CN"/>
        </w:rPr>
      </w:pPr>
      <w:bookmarkStart w:id="34" w:name="_Toc18718"/>
      <w:r>
        <w:rPr>
          <w:rFonts w:hint="eastAsia" w:ascii="宋体" w:hAnsi="宋体" w:eastAsia="宋体" w:cs="宋体"/>
          <w:b/>
          <w:bCs/>
          <w:color w:val="auto"/>
          <w:sz w:val="28"/>
          <w:szCs w:val="28"/>
          <w:highlight w:val="none"/>
          <w:lang w:eastAsia="zh-CN"/>
        </w:rPr>
        <w:t>六、合同法律效力</w:t>
      </w:r>
      <w:bookmarkEnd w:id="34"/>
    </w:p>
    <w:p w14:paraId="605D12DF">
      <w:pPr>
        <w:tabs>
          <w:tab w:val="center" w:pos="4153"/>
        </w:tabs>
        <w:spacing w:line="360" w:lineRule="auto"/>
        <w:ind w:firstLine="560" w:firstLineChars="200"/>
        <w:rPr>
          <w:rFonts w:hint="eastAsia" w:ascii="宋体" w:hAnsi="宋体" w:cs="宋体"/>
          <w:color w:val="auto"/>
          <w:sz w:val="28"/>
          <w:szCs w:val="28"/>
          <w:highlight w:val="none"/>
          <w:lang w:eastAsia="zh-CN"/>
        </w:rPr>
      </w:pPr>
      <w:bookmarkStart w:id="35" w:name="_Toc21722"/>
      <w:r>
        <w:rPr>
          <w:rFonts w:hint="eastAsia" w:ascii="宋体" w:hAnsi="宋体" w:cs="宋体"/>
          <w:color w:val="auto"/>
          <w:sz w:val="28"/>
          <w:szCs w:val="28"/>
          <w:highlight w:val="none"/>
          <w:lang w:eastAsia="zh-CN"/>
        </w:rPr>
        <w:t>本合同作为</w:t>
      </w:r>
      <w:r>
        <w:rPr>
          <w:rFonts w:hint="eastAsia" w:ascii="宋体" w:hAnsi="宋体" w:eastAsia="宋体" w:cs="宋体"/>
          <w:color w:val="auto"/>
          <w:sz w:val="28"/>
          <w:szCs w:val="28"/>
          <w:highlight w:val="none"/>
          <w:u w:val="single"/>
          <w:lang w:eastAsia="zh-CN"/>
        </w:rPr>
        <w:t>金沙洲新社区、聚德花园纯公租房楼栋更换电梯合同</w:t>
      </w:r>
      <w:r>
        <w:rPr>
          <w:rFonts w:hint="eastAsia" w:ascii="宋体" w:hAnsi="宋体" w:cs="宋体"/>
          <w:color w:val="auto"/>
          <w:sz w:val="28"/>
          <w:szCs w:val="28"/>
          <w:highlight w:val="none"/>
          <w:lang w:eastAsia="zh-CN"/>
        </w:rPr>
        <w:t>的附件，与主合同具有同等的法律效力。</w:t>
      </w:r>
    </w:p>
    <w:p w14:paraId="1C81C0D4">
      <w:pPr>
        <w:spacing w:line="360" w:lineRule="auto"/>
        <w:ind w:firstLine="0" w:firstLineChars="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七、合同份数</w:t>
      </w:r>
      <w:bookmarkEnd w:id="35"/>
    </w:p>
    <w:p w14:paraId="18518021">
      <w:pPr>
        <w:tabs>
          <w:tab w:val="center" w:pos="4153"/>
        </w:tabs>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本合同</w:t>
      </w:r>
      <w:r>
        <w:rPr>
          <w:rFonts w:hint="eastAsia" w:ascii="宋体" w:hAnsi="宋体" w:eastAsia="宋体" w:cs="宋体"/>
          <w:color w:val="auto"/>
          <w:sz w:val="28"/>
          <w:szCs w:val="28"/>
          <w:highlight w:val="none"/>
        </w:rPr>
        <w:t>一式</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份，甲方执</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份，乙方执</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份</w:t>
      </w:r>
      <w:r>
        <w:rPr>
          <w:rFonts w:hint="eastAsia" w:ascii="宋体" w:hAnsi="宋体" w:cs="宋体"/>
          <w:color w:val="auto"/>
          <w:sz w:val="28"/>
          <w:szCs w:val="28"/>
          <w:highlight w:val="none"/>
          <w:lang w:val="en-US" w:eastAsia="zh-CN"/>
        </w:rPr>
        <w:t>，均具有同等法律效力。</w:t>
      </w:r>
    </w:p>
    <w:p w14:paraId="72A6C595">
      <w:pPr>
        <w:tabs>
          <w:tab w:val="center" w:pos="4153"/>
        </w:tabs>
        <w:spacing w:line="360" w:lineRule="auto"/>
        <w:ind w:firstLine="560" w:firstLineChars="200"/>
        <w:rPr>
          <w:rFonts w:hint="eastAsia" w:ascii="宋体" w:hAnsi="宋体" w:cs="宋体"/>
          <w:color w:val="auto"/>
          <w:sz w:val="28"/>
          <w:szCs w:val="28"/>
          <w:highlight w:val="none"/>
        </w:rPr>
      </w:pPr>
    </w:p>
    <w:p w14:paraId="3BBDF8D3">
      <w:pPr>
        <w:tabs>
          <w:tab w:val="center" w:pos="4153"/>
        </w:tabs>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甲   方：（公章）                 乙   方：（公章）</w:t>
      </w:r>
    </w:p>
    <w:p w14:paraId="77C98210">
      <w:pPr>
        <w:tabs>
          <w:tab w:val="center" w:pos="4153"/>
        </w:tabs>
        <w:spacing w:line="360" w:lineRule="auto"/>
        <w:ind w:firstLine="570"/>
        <w:rPr>
          <w:rFonts w:hint="eastAsia" w:ascii="宋体" w:hAnsi="宋体" w:cs="宋体"/>
          <w:color w:val="auto"/>
          <w:sz w:val="28"/>
          <w:szCs w:val="28"/>
          <w:highlight w:val="none"/>
        </w:rPr>
      </w:pPr>
    </w:p>
    <w:p w14:paraId="53491F8B">
      <w:pPr>
        <w:tabs>
          <w:tab w:val="center" w:pos="4153"/>
        </w:tabs>
        <w:spacing w:line="360" w:lineRule="auto"/>
        <w:ind w:firstLine="57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签订日期：202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  月   日</w:t>
      </w:r>
    </w:p>
    <w:p w14:paraId="7CAE182B">
      <w:pPr>
        <w:tabs>
          <w:tab w:val="center" w:pos="4792"/>
          <w:tab w:val="right" w:pos="9045"/>
        </w:tabs>
        <w:spacing w:line="540" w:lineRule="exact"/>
        <w:ind w:firstLine="0" w:firstLineChars="0"/>
        <w:jc w:val="left"/>
        <w:rPr>
          <w:rFonts w:hint="eastAsia" w:ascii="宋体" w:hAnsi="宋体" w:eastAsia="宋体" w:cs="宋体"/>
          <w:b/>
          <w:color w:val="auto"/>
          <w:sz w:val="32"/>
          <w:szCs w:val="32"/>
          <w:highlight w:val="none"/>
        </w:rPr>
        <w:sectPr>
          <w:headerReference r:id="rId5" w:type="default"/>
          <w:footerReference r:id="rId6" w:type="default"/>
          <w:pgSz w:w="11906" w:h="16838"/>
          <w:pgMar w:top="1440" w:right="1247" w:bottom="1440" w:left="1587" w:header="851" w:footer="850" w:gutter="0"/>
          <w:pgNumType w:fmt="decimal" w:start="1"/>
          <w:cols w:space="720" w:num="1"/>
          <w:docGrid w:type="lines" w:linePitch="312" w:charSpace="0"/>
        </w:sectPr>
      </w:pPr>
    </w:p>
    <w:p w14:paraId="3B2DA067">
      <w:pPr>
        <w:spacing w:line="360" w:lineRule="auto"/>
        <w:ind w:right="92" w:rightChars="44"/>
        <w:jc w:val="left"/>
        <w:rPr>
          <w:rFonts w:hint="eastAsia" w:ascii="宋体" w:hAnsi="宋体" w:eastAsia="宋体" w:cs="宋体"/>
          <w:b/>
          <w:bCs w:val="0"/>
          <w:i w:val="0"/>
          <w:color w:val="auto"/>
          <w:kern w:val="2"/>
          <w:sz w:val="28"/>
          <w:szCs w:val="28"/>
          <w:highlight w:val="none"/>
          <w:u w:val="none"/>
          <w:lang w:val="en-US" w:eastAsia="zh-CN" w:bidi="ar-SA"/>
        </w:rPr>
      </w:pPr>
      <w:bookmarkStart w:id="36" w:name="_Toc271803797"/>
      <w:bookmarkStart w:id="37" w:name="_Toc240867766"/>
      <w:bookmarkStart w:id="38" w:name="OLE_LINK1"/>
      <w:bookmarkStart w:id="39" w:name="OLE_LINK2"/>
      <w:r>
        <w:rPr>
          <w:rFonts w:hint="eastAsia" w:ascii="宋体" w:hAnsi="宋体" w:eastAsia="宋体" w:cs="宋体"/>
          <w:b/>
          <w:color w:val="auto"/>
          <w:kern w:val="2"/>
          <w:sz w:val="28"/>
          <w:szCs w:val="28"/>
          <w:highlight w:val="none"/>
          <w:lang w:eastAsia="zh-CN"/>
        </w:rPr>
        <w:t>附件</w:t>
      </w:r>
      <w:r>
        <w:rPr>
          <w:rFonts w:hint="eastAsia" w:ascii="宋体" w:hAnsi="宋体" w:eastAsia="宋体" w:cs="宋体"/>
          <w:b/>
          <w:color w:val="auto"/>
          <w:kern w:val="2"/>
          <w:sz w:val="28"/>
          <w:szCs w:val="28"/>
          <w:highlight w:val="none"/>
          <w:lang w:val="en-US" w:eastAsia="zh-CN"/>
        </w:rPr>
        <w:t>3：</w:t>
      </w:r>
      <w:bookmarkStart w:id="40" w:name="OLE_LINK12"/>
      <w:bookmarkStart w:id="41" w:name="OLE_LINK13"/>
      <w:r>
        <w:rPr>
          <w:rFonts w:hint="eastAsia" w:ascii="宋体" w:hAnsi="宋体" w:eastAsia="宋体" w:cs="宋体"/>
          <w:b/>
          <w:bCs w:val="0"/>
          <w:i w:val="0"/>
          <w:color w:val="auto"/>
          <w:kern w:val="2"/>
          <w:sz w:val="28"/>
          <w:szCs w:val="28"/>
          <w:highlight w:val="none"/>
          <w:u w:val="none"/>
          <w:lang w:val="en-US" w:eastAsia="zh-CN" w:bidi="ar-SA"/>
        </w:rPr>
        <w:t>金沙洲新社区、聚德花园纯公租房楼栋更换电梯</w:t>
      </w:r>
      <w:bookmarkEnd w:id="40"/>
      <w:r>
        <w:rPr>
          <w:rFonts w:hint="eastAsia" w:ascii="宋体" w:hAnsi="宋体" w:eastAsia="宋体" w:cs="宋体"/>
          <w:b/>
          <w:bCs w:val="0"/>
          <w:i w:val="0"/>
          <w:color w:val="auto"/>
          <w:kern w:val="2"/>
          <w:sz w:val="28"/>
          <w:szCs w:val="28"/>
          <w:highlight w:val="none"/>
          <w:u w:val="none"/>
          <w:lang w:val="en-US" w:eastAsia="zh-CN" w:bidi="ar-SA"/>
        </w:rPr>
        <w:t>项目</w:t>
      </w:r>
      <w:bookmarkEnd w:id="41"/>
      <w:r>
        <w:rPr>
          <w:rFonts w:hint="eastAsia" w:ascii="宋体" w:hAnsi="宋体" w:eastAsia="宋体" w:cs="宋体"/>
          <w:b/>
          <w:bCs w:val="0"/>
          <w:i w:val="0"/>
          <w:color w:val="auto"/>
          <w:kern w:val="2"/>
          <w:sz w:val="28"/>
          <w:szCs w:val="28"/>
          <w:highlight w:val="none"/>
          <w:u w:val="none"/>
          <w:lang w:val="en-US" w:eastAsia="zh-CN" w:bidi="ar-SA"/>
        </w:rPr>
        <w:t>投标报价表</w:t>
      </w:r>
    </w:p>
    <w:tbl>
      <w:tblPr>
        <w:tblStyle w:val="20"/>
        <w:tblW w:w="11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3"/>
        <w:gridCol w:w="6829"/>
        <w:gridCol w:w="1416"/>
        <w:gridCol w:w="830"/>
      </w:tblGrid>
      <w:tr w14:paraId="08FD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11198" w:type="dxa"/>
            <w:gridSpan w:val="4"/>
            <w:tcBorders>
              <w:top w:val="nil"/>
              <w:left w:val="nil"/>
              <w:bottom w:val="nil"/>
              <w:right w:val="nil"/>
            </w:tcBorders>
            <w:noWrap/>
            <w:vAlign w:val="center"/>
          </w:tcPr>
          <w:p w14:paraId="5FDCFAE1">
            <w:pPr>
              <w:keepNext w:val="0"/>
              <w:keepLines w:val="0"/>
              <w:widowControl/>
              <w:suppressLineNumbers w:val="0"/>
              <w:spacing w:line="360" w:lineRule="auto"/>
              <w:ind w:right="92" w:rightChars="44"/>
              <w:jc w:val="center"/>
              <w:textAlignment w:val="auto"/>
              <w:rPr>
                <w:rFonts w:hint="eastAsia" w:ascii="宋体" w:hAnsi="宋体" w:eastAsia="宋体" w:cs="宋体"/>
                <w:b/>
                <w:bCs w:val="0"/>
                <w:i w:val="0"/>
                <w:color w:val="auto"/>
                <w:kern w:val="2"/>
                <w:sz w:val="32"/>
                <w:szCs w:val="32"/>
                <w:highlight w:val="none"/>
                <w:u w:val="none"/>
                <w:lang w:val="en-US" w:eastAsia="zh-CN" w:bidi="ar-SA"/>
              </w:rPr>
            </w:pPr>
            <w:r>
              <w:rPr>
                <w:rFonts w:hint="eastAsia" w:ascii="宋体" w:hAnsi="宋体" w:eastAsia="宋体" w:cs="宋体"/>
                <w:b/>
                <w:bCs w:val="0"/>
                <w:i w:val="0"/>
                <w:color w:val="auto"/>
                <w:kern w:val="2"/>
                <w:sz w:val="32"/>
                <w:szCs w:val="32"/>
                <w:highlight w:val="none"/>
                <w:u w:val="none"/>
                <w:lang w:val="en-US" w:eastAsia="zh-CN" w:bidi="ar-SA"/>
              </w:rPr>
              <w:t>金沙洲新社区、聚德花园纯公租房楼栋更换电梯项目</w:t>
            </w:r>
          </w:p>
          <w:p w14:paraId="372EBE36">
            <w:pPr>
              <w:keepNext w:val="0"/>
              <w:keepLines w:val="0"/>
              <w:widowControl/>
              <w:suppressLineNumbers w:val="0"/>
              <w:spacing w:line="360" w:lineRule="auto"/>
              <w:ind w:right="92" w:rightChars="44"/>
              <w:jc w:val="center"/>
              <w:textAlignment w:val="auto"/>
              <w:rPr>
                <w:rFonts w:hint="eastAsia" w:ascii="宋体" w:hAnsi="宋体" w:eastAsia="宋体" w:cs="宋体"/>
                <w:b/>
                <w:bCs w:val="0"/>
                <w:i w:val="0"/>
                <w:iCs w:val="0"/>
                <w:color w:val="auto"/>
                <w:sz w:val="28"/>
                <w:szCs w:val="28"/>
                <w:highlight w:val="none"/>
                <w:u w:val="none"/>
              </w:rPr>
            </w:pPr>
            <w:r>
              <w:rPr>
                <w:rFonts w:hint="eastAsia" w:ascii="宋体" w:hAnsi="宋体" w:eastAsia="宋体" w:cs="宋体"/>
                <w:b/>
                <w:bCs w:val="0"/>
                <w:i w:val="0"/>
                <w:iCs w:val="0"/>
                <w:color w:val="auto"/>
                <w:kern w:val="2"/>
                <w:sz w:val="32"/>
                <w:szCs w:val="32"/>
                <w:highlight w:val="none"/>
                <w:u w:val="none"/>
                <w:lang w:val="en-US" w:eastAsia="zh-CN" w:bidi="ar-SA"/>
              </w:rPr>
              <w:t>投标报价汇总表</w:t>
            </w:r>
          </w:p>
        </w:tc>
      </w:tr>
      <w:tr w14:paraId="24610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1198" w:type="dxa"/>
            <w:gridSpan w:val="4"/>
            <w:tcBorders>
              <w:top w:val="nil"/>
              <w:left w:val="nil"/>
              <w:bottom w:val="nil"/>
              <w:right w:val="nil"/>
            </w:tcBorders>
            <w:noWrap/>
            <w:vAlign w:val="center"/>
          </w:tcPr>
          <w:p w14:paraId="1E6F4414">
            <w:pPr>
              <w:jc w:val="left"/>
              <w:rPr>
                <w:rFonts w:hint="eastAsia" w:ascii="宋体" w:hAnsi="宋体" w:eastAsia="宋体" w:cs="宋体"/>
                <w:i w:val="0"/>
                <w:iCs w:val="0"/>
                <w:color w:val="auto"/>
                <w:sz w:val="24"/>
                <w:szCs w:val="24"/>
                <w:highlight w:val="none"/>
                <w:u w:val="none"/>
              </w:rPr>
            </w:pPr>
          </w:p>
        </w:tc>
      </w:tr>
      <w:tr w14:paraId="4B18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2123" w:type="dxa"/>
            <w:tcBorders>
              <w:top w:val="single" w:color="000000" w:sz="4" w:space="0"/>
              <w:left w:val="single" w:color="000000" w:sz="4" w:space="0"/>
              <w:bottom w:val="single" w:color="000000" w:sz="4" w:space="0"/>
              <w:right w:val="single" w:color="000000" w:sz="4" w:space="0"/>
            </w:tcBorders>
            <w:noWrap/>
            <w:vAlign w:val="center"/>
          </w:tcPr>
          <w:p w14:paraId="7C8077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6829" w:type="dxa"/>
            <w:tcBorders>
              <w:top w:val="single" w:color="000000" w:sz="4" w:space="0"/>
              <w:left w:val="single" w:color="000000" w:sz="4" w:space="0"/>
              <w:bottom w:val="single" w:color="000000" w:sz="4" w:space="0"/>
              <w:right w:val="single" w:color="000000" w:sz="4" w:space="0"/>
            </w:tcBorders>
            <w:noWrap/>
            <w:vAlign w:val="center"/>
          </w:tcPr>
          <w:p w14:paraId="28064720">
            <w:pPr>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项目名称：</w:t>
            </w:r>
            <w:r>
              <w:rPr>
                <w:rFonts w:hint="eastAsia" w:ascii="宋体" w:hAnsi="宋体" w:eastAsia="宋体" w:cs="宋体"/>
                <w:b w:val="0"/>
                <w:bCs w:val="0"/>
                <w:i w:val="0"/>
                <w:color w:val="auto"/>
                <w:kern w:val="0"/>
                <w:sz w:val="24"/>
                <w:szCs w:val="24"/>
                <w:highlight w:val="none"/>
                <w:u w:val="none"/>
                <w:lang w:val="en-US" w:eastAsia="zh-CN" w:bidi="ar"/>
              </w:rPr>
              <w:t>金沙洲新社区、聚德花园纯公租房楼栋更换电梯</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58444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含税报价（元）</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77D956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税率（%）</w:t>
            </w:r>
          </w:p>
        </w:tc>
      </w:tr>
      <w:tr w14:paraId="7B865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2123" w:type="dxa"/>
            <w:tcBorders>
              <w:top w:val="single" w:color="000000" w:sz="4" w:space="0"/>
              <w:left w:val="single" w:color="000000" w:sz="4" w:space="0"/>
              <w:bottom w:val="single" w:color="000000" w:sz="4" w:space="0"/>
              <w:right w:val="single" w:color="000000" w:sz="4" w:space="0"/>
            </w:tcBorders>
            <w:noWrap/>
            <w:vAlign w:val="center"/>
          </w:tcPr>
          <w:p w14:paraId="408BA2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w:t>
            </w:r>
          </w:p>
        </w:tc>
        <w:tc>
          <w:tcPr>
            <w:tcW w:w="6829" w:type="dxa"/>
            <w:tcBorders>
              <w:top w:val="single" w:color="000000" w:sz="4" w:space="0"/>
              <w:left w:val="single" w:color="000000" w:sz="4" w:space="0"/>
              <w:bottom w:val="single" w:color="000000" w:sz="4" w:space="0"/>
              <w:right w:val="single" w:color="000000" w:sz="4" w:space="0"/>
            </w:tcBorders>
            <w:noWrap w:val="0"/>
            <w:vAlign w:val="center"/>
          </w:tcPr>
          <w:p w14:paraId="4762E8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电梯设备安装拆改小计(1+2+3)</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EB05C8A">
            <w:pPr>
              <w:rPr>
                <w:rFonts w:hint="eastAsia" w:ascii="宋体" w:hAnsi="宋体" w:eastAsia="宋体" w:cs="宋体"/>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203271CE">
            <w:pPr>
              <w:jc w:val="center"/>
              <w:rPr>
                <w:rFonts w:hint="eastAsia" w:ascii="宋体" w:hAnsi="宋体" w:eastAsia="宋体" w:cs="宋体"/>
                <w:i w:val="0"/>
                <w:iCs w:val="0"/>
                <w:color w:val="auto"/>
                <w:sz w:val="24"/>
                <w:szCs w:val="24"/>
                <w:highlight w:val="none"/>
                <w:u w:val="none"/>
              </w:rPr>
            </w:pPr>
          </w:p>
        </w:tc>
      </w:tr>
      <w:tr w14:paraId="2C2F9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2123" w:type="dxa"/>
            <w:tcBorders>
              <w:top w:val="single" w:color="000000" w:sz="4" w:space="0"/>
              <w:left w:val="single" w:color="000000" w:sz="4" w:space="0"/>
              <w:bottom w:val="single" w:color="000000" w:sz="4" w:space="0"/>
              <w:right w:val="single" w:color="000000" w:sz="4" w:space="0"/>
            </w:tcBorders>
            <w:noWrap/>
            <w:vAlign w:val="center"/>
          </w:tcPr>
          <w:p w14:paraId="703517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829" w:type="dxa"/>
            <w:tcBorders>
              <w:top w:val="single" w:color="000000" w:sz="4" w:space="0"/>
              <w:left w:val="single" w:color="000000" w:sz="4" w:space="0"/>
              <w:bottom w:val="single" w:color="000000" w:sz="4" w:space="0"/>
              <w:right w:val="single" w:color="000000" w:sz="4" w:space="0"/>
            </w:tcBorders>
            <w:noWrap/>
            <w:vAlign w:val="center"/>
          </w:tcPr>
          <w:p w14:paraId="5C59D3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设备费用小计</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2CCA7A0">
            <w:pPr>
              <w:rPr>
                <w:rFonts w:hint="eastAsia" w:ascii="宋体" w:hAnsi="宋体" w:eastAsia="宋体" w:cs="宋体"/>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C519EA3">
            <w:pPr>
              <w:jc w:val="center"/>
              <w:rPr>
                <w:rFonts w:hint="eastAsia" w:ascii="宋体" w:hAnsi="宋体" w:eastAsia="宋体" w:cs="宋体"/>
                <w:i w:val="0"/>
                <w:iCs w:val="0"/>
                <w:color w:val="auto"/>
                <w:sz w:val="24"/>
                <w:szCs w:val="24"/>
                <w:highlight w:val="none"/>
                <w:u w:val="none"/>
              </w:rPr>
            </w:pPr>
          </w:p>
        </w:tc>
      </w:tr>
      <w:tr w14:paraId="2138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2123" w:type="dxa"/>
            <w:tcBorders>
              <w:top w:val="single" w:color="000000" w:sz="4" w:space="0"/>
              <w:left w:val="single" w:color="000000" w:sz="4" w:space="0"/>
              <w:bottom w:val="single" w:color="000000" w:sz="4" w:space="0"/>
              <w:right w:val="single" w:color="000000" w:sz="4" w:space="0"/>
            </w:tcBorders>
            <w:noWrap/>
            <w:vAlign w:val="center"/>
          </w:tcPr>
          <w:p w14:paraId="5A5D32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829" w:type="dxa"/>
            <w:tcBorders>
              <w:top w:val="single" w:color="000000" w:sz="4" w:space="0"/>
              <w:left w:val="single" w:color="000000" w:sz="4" w:space="0"/>
              <w:bottom w:val="nil"/>
              <w:right w:val="single" w:color="000000" w:sz="4" w:space="0"/>
            </w:tcBorders>
            <w:noWrap/>
            <w:vAlign w:val="center"/>
          </w:tcPr>
          <w:p w14:paraId="123A25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安装费用小计</w:t>
            </w:r>
          </w:p>
        </w:tc>
        <w:tc>
          <w:tcPr>
            <w:tcW w:w="1416" w:type="dxa"/>
            <w:tcBorders>
              <w:top w:val="single" w:color="000000" w:sz="4" w:space="0"/>
              <w:left w:val="single" w:color="000000" w:sz="4" w:space="0"/>
              <w:bottom w:val="nil"/>
              <w:right w:val="single" w:color="000000" w:sz="4" w:space="0"/>
            </w:tcBorders>
            <w:noWrap/>
            <w:vAlign w:val="center"/>
          </w:tcPr>
          <w:p w14:paraId="66D93E97">
            <w:pPr>
              <w:rPr>
                <w:rFonts w:hint="eastAsia" w:ascii="宋体" w:hAnsi="宋体" w:eastAsia="宋体" w:cs="宋体"/>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322E881">
            <w:pPr>
              <w:jc w:val="center"/>
              <w:rPr>
                <w:rFonts w:hint="eastAsia" w:ascii="宋体" w:hAnsi="宋体" w:eastAsia="宋体" w:cs="宋体"/>
                <w:i w:val="0"/>
                <w:iCs w:val="0"/>
                <w:color w:val="auto"/>
                <w:sz w:val="24"/>
                <w:szCs w:val="24"/>
                <w:highlight w:val="none"/>
                <w:u w:val="none"/>
              </w:rPr>
            </w:pPr>
          </w:p>
        </w:tc>
      </w:tr>
      <w:tr w14:paraId="027CE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2123" w:type="dxa"/>
            <w:tcBorders>
              <w:top w:val="single" w:color="000000" w:sz="4" w:space="0"/>
              <w:left w:val="single" w:color="000000" w:sz="4" w:space="0"/>
              <w:bottom w:val="single" w:color="000000" w:sz="4" w:space="0"/>
              <w:right w:val="single" w:color="000000" w:sz="4" w:space="0"/>
            </w:tcBorders>
            <w:noWrap/>
            <w:vAlign w:val="center"/>
          </w:tcPr>
          <w:p w14:paraId="19B8F7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6829" w:type="dxa"/>
            <w:tcBorders>
              <w:top w:val="single" w:color="000000" w:sz="4" w:space="0"/>
              <w:left w:val="single" w:color="000000" w:sz="4" w:space="0"/>
              <w:bottom w:val="nil"/>
              <w:right w:val="single" w:color="000000" w:sz="4" w:space="0"/>
            </w:tcBorders>
            <w:noWrap/>
            <w:vAlign w:val="center"/>
          </w:tcPr>
          <w:p w14:paraId="73397A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原电梯拆卸及土建整改小计</w:t>
            </w:r>
          </w:p>
        </w:tc>
        <w:tc>
          <w:tcPr>
            <w:tcW w:w="1416" w:type="dxa"/>
            <w:tcBorders>
              <w:top w:val="single" w:color="000000" w:sz="4" w:space="0"/>
              <w:left w:val="single" w:color="000000" w:sz="4" w:space="0"/>
              <w:bottom w:val="nil"/>
              <w:right w:val="single" w:color="000000" w:sz="4" w:space="0"/>
            </w:tcBorders>
            <w:noWrap/>
            <w:vAlign w:val="center"/>
          </w:tcPr>
          <w:p w14:paraId="6B925E72">
            <w:pPr>
              <w:rPr>
                <w:rFonts w:hint="eastAsia" w:ascii="宋体" w:hAnsi="宋体" w:eastAsia="宋体" w:cs="宋体"/>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CA836B8">
            <w:pPr>
              <w:jc w:val="center"/>
              <w:rPr>
                <w:rFonts w:hint="eastAsia" w:ascii="宋体" w:hAnsi="宋体" w:eastAsia="宋体" w:cs="宋体"/>
                <w:i w:val="0"/>
                <w:iCs w:val="0"/>
                <w:color w:val="auto"/>
                <w:sz w:val="24"/>
                <w:szCs w:val="24"/>
                <w:highlight w:val="none"/>
                <w:u w:val="none"/>
              </w:rPr>
            </w:pPr>
          </w:p>
        </w:tc>
      </w:tr>
      <w:tr w14:paraId="74D6B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2123" w:type="dxa"/>
            <w:tcBorders>
              <w:top w:val="single" w:color="000000" w:sz="4" w:space="0"/>
              <w:left w:val="single" w:color="000000" w:sz="4" w:space="0"/>
              <w:bottom w:val="single" w:color="000000" w:sz="4" w:space="0"/>
              <w:right w:val="single" w:color="000000" w:sz="4" w:space="0"/>
            </w:tcBorders>
            <w:noWrap/>
            <w:vAlign w:val="center"/>
          </w:tcPr>
          <w:p w14:paraId="681EFA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w:t>
            </w:r>
          </w:p>
        </w:tc>
        <w:tc>
          <w:tcPr>
            <w:tcW w:w="6829" w:type="dxa"/>
            <w:tcBorders>
              <w:top w:val="single" w:color="000000" w:sz="4" w:space="0"/>
              <w:left w:val="single" w:color="000000" w:sz="4" w:space="0"/>
              <w:bottom w:val="nil"/>
              <w:right w:val="single" w:color="000000" w:sz="4" w:space="0"/>
            </w:tcBorders>
            <w:noWrap/>
            <w:vAlign w:val="center"/>
          </w:tcPr>
          <w:p w14:paraId="723C4E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暂列金额</w:t>
            </w:r>
          </w:p>
        </w:tc>
        <w:tc>
          <w:tcPr>
            <w:tcW w:w="1416" w:type="dxa"/>
            <w:tcBorders>
              <w:top w:val="single" w:color="000000" w:sz="4" w:space="0"/>
              <w:left w:val="single" w:color="000000" w:sz="4" w:space="0"/>
              <w:bottom w:val="nil"/>
              <w:right w:val="single" w:color="000000" w:sz="4" w:space="0"/>
            </w:tcBorders>
            <w:noWrap/>
            <w:vAlign w:val="center"/>
          </w:tcPr>
          <w:p w14:paraId="2286FD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188,786.67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DA8EF8F">
            <w:pPr>
              <w:jc w:val="center"/>
              <w:rPr>
                <w:rFonts w:hint="eastAsia" w:ascii="宋体" w:hAnsi="宋体" w:eastAsia="宋体" w:cs="宋体"/>
                <w:i w:val="0"/>
                <w:iCs w:val="0"/>
                <w:color w:val="auto"/>
                <w:sz w:val="24"/>
                <w:szCs w:val="24"/>
                <w:highlight w:val="none"/>
                <w:u w:val="none"/>
              </w:rPr>
            </w:pPr>
          </w:p>
        </w:tc>
      </w:tr>
      <w:tr w14:paraId="59F4C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2123" w:type="dxa"/>
            <w:tcBorders>
              <w:top w:val="single" w:color="000000" w:sz="4" w:space="0"/>
              <w:left w:val="single" w:color="000000" w:sz="4" w:space="0"/>
              <w:bottom w:val="single" w:color="000000" w:sz="4" w:space="0"/>
              <w:right w:val="single" w:color="000000" w:sz="4" w:space="0"/>
            </w:tcBorders>
            <w:noWrap/>
            <w:vAlign w:val="center"/>
          </w:tcPr>
          <w:p w14:paraId="239723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w:t>
            </w:r>
          </w:p>
        </w:tc>
        <w:tc>
          <w:tcPr>
            <w:tcW w:w="6829" w:type="dxa"/>
            <w:tcBorders>
              <w:top w:val="single" w:color="000000" w:sz="4" w:space="0"/>
              <w:left w:val="single" w:color="000000" w:sz="4" w:space="0"/>
              <w:bottom w:val="single" w:color="000000" w:sz="4" w:space="0"/>
              <w:right w:val="single" w:color="000000" w:sz="4" w:space="0"/>
            </w:tcBorders>
            <w:noWrap w:val="0"/>
            <w:vAlign w:val="center"/>
          </w:tcPr>
          <w:p w14:paraId="79812F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电梯设备安装拆改合计（含暂列金额）（一+二）</w:t>
            </w:r>
          </w:p>
        </w:tc>
        <w:tc>
          <w:tcPr>
            <w:tcW w:w="1416" w:type="dxa"/>
            <w:tcBorders>
              <w:top w:val="single" w:color="000000" w:sz="4" w:space="0"/>
              <w:left w:val="single" w:color="000000" w:sz="4" w:space="0"/>
              <w:bottom w:val="nil"/>
              <w:right w:val="single" w:color="000000" w:sz="4" w:space="0"/>
            </w:tcBorders>
            <w:noWrap/>
            <w:vAlign w:val="center"/>
          </w:tcPr>
          <w:p w14:paraId="2A94BC3A">
            <w:pPr>
              <w:rPr>
                <w:rFonts w:hint="eastAsia" w:ascii="宋体" w:hAnsi="宋体" w:eastAsia="宋体" w:cs="宋体"/>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81F76D6">
            <w:pPr>
              <w:jc w:val="center"/>
              <w:rPr>
                <w:rFonts w:hint="eastAsia" w:ascii="宋体" w:hAnsi="宋体" w:eastAsia="宋体" w:cs="宋体"/>
                <w:i w:val="0"/>
                <w:iCs w:val="0"/>
                <w:color w:val="auto"/>
                <w:sz w:val="24"/>
                <w:szCs w:val="24"/>
                <w:highlight w:val="none"/>
                <w:u w:val="none"/>
              </w:rPr>
            </w:pPr>
          </w:p>
        </w:tc>
      </w:tr>
      <w:tr w14:paraId="7DADD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2123" w:type="dxa"/>
            <w:tcBorders>
              <w:top w:val="single" w:color="000000" w:sz="4" w:space="0"/>
              <w:left w:val="single" w:color="000000" w:sz="4" w:space="0"/>
              <w:bottom w:val="single" w:color="000000" w:sz="4" w:space="0"/>
              <w:right w:val="single" w:color="000000" w:sz="4" w:space="0"/>
            </w:tcBorders>
            <w:noWrap/>
            <w:vAlign w:val="center"/>
          </w:tcPr>
          <w:p w14:paraId="7D2E1A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w:t>
            </w:r>
          </w:p>
        </w:tc>
        <w:tc>
          <w:tcPr>
            <w:tcW w:w="6829" w:type="dxa"/>
            <w:tcBorders>
              <w:top w:val="single" w:color="000000" w:sz="4" w:space="0"/>
              <w:left w:val="single" w:color="000000" w:sz="4" w:space="0"/>
              <w:bottom w:val="nil"/>
              <w:right w:val="single" w:color="000000" w:sz="4" w:space="0"/>
            </w:tcBorders>
            <w:noWrap/>
            <w:vAlign w:val="center"/>
          </w:tcPr>
          <w:p w14:paraId="165359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残值回收费用</w:t>
            </w:r>
          </w:p>
        </w:tc>
        <w:tc>
          <w:tcPr>
            <w:tcW w:w="1416" w:type="dxa"/>
            <w:tcBorders>
              <w:top w:val="single" w:color="000000" w:sz="4" w:space="0"/>
              <w:left w:val="single" w:color="000000" w:sz="4" w:space="0"/>
              <w:bottom w:val="nil"/>
              <w:right w:val="single" w:color="000000" w:sz="4" w:space="0"/>
            </w:tcBorders>
            <w:noWrap/>
            <w:vAlign w:val="center"/>
          </w:tcPr>
          <w:p w14:paraId="1969CF18">
            <w:pPr>
              <w:rPr>
                <w:rFonts w:hint="eastAsia" w:ascii="宋体" w:hAnsi="宋体" w:eastAsia="宋体" w:cs="宋体"/>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A0D91DD">
            <w:pPr>
              <w:jc w:val="center"/>
              <w:rPr>
                <w:rFonts w:hint="eastAsia" w:ascii="宋体" w:hAnsi="宋体" w:eastAsia="宋体" w:cs="宋体"/>
                <w:i w:val="0"/>
                <w:iCs w:val="0"/>
                <w:color w:val="auto"/>
                <w:sz w:val="24"/>
                <w:szCs w:val="24"/>
                <w:highlight w:val="none"/>
                <w:u w:val="none"/>
              </w:rPr>
            </w:pPr>
          </w:p>
        </w:tc>
      </w:tr>
      <w:tr w14:paraId="57948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2123" w:type="dxa"/>
            <w:tcBorders>
              <w:top w:val="single" w:color="000000" w:sz="4" w:space="0"/>
              <w:left w:val="single" w:color="000000" w:sz="4" w:space="0"/>
              <w:bottom w:val="single" w:color="000000" w:sz="4" w:space="0"/>
              <w:right w:val="single" w:color="000000" w:sz="4" w:space="0"/>
            </w:tcBorders>
            <w:noWrap/>
            <w:vAlign w:val="center"/>
          </w:tcPr>
          <w:p w14:paraId="655CB8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w:t>
            </w:r>
          </w:p>
        </w:tc>
        <w:tc>
          <w:tcPr>
            <w:tcW w:w="6829" w:type="dxa"/>
            <w:tcBorders>
              <w:top w:val="single" w:color="000000" w:sz="4" w:space="0"/>
              <w:left w:val="single" w:color="000000" w:sz="4" w:space="0"/>
              <w:bottom w:val="single" w:color="000000" w:sz="4" w:space="0"/>
              <w:right w:val="single" w:color="000000" w:sz="4" w:space="0"/>
            </w:tcBorders>
            <w:noWrap/>
            <w:vAlign w:val="center"/>
          </w:tcPr>
          <w:p w14:paraId="7178A2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总计(三-四)</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9E73442">
            <w:pPr>
              <w:rPr>
                <w:rFonts w:hint="eastAsia" w:ascii="宋体" w:hAnsi="宋体" w:eastAsia="宋体" w:cs="宋体"/>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BE0FA4B">
            <w:pPr>
              <w:jc w:val="center"/>
              <w:rPr>
                <w:rFonts w:hint="eastAsia" w:ascii="宋体" w:hAnsi="宋体" w:eastAsia="宋体" w:cs="宋体"/>
                <w:i w:val="0"/>
                <w:iCs w:val="0"/>
                <w:color w:val="auto"/>
                <w:sz w:val="24"/>
                <w:szCs w:val="24"/>
                <w:highlight w:val="none"/>
                <w:u w:val="none"/>
              </w:rPr>
            </w:pPr>
          </w:p>
        </w:tc>
      </w:tr>
      <w:tr w14:paraId="6408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123" w:type="dxa"/>
            <w:vMerge w:val="restart"/>
            <w:tcBorders>
              <w:top w:val="single" w:color="000000" w:sz="4" w:space="0"/>
              <w:left w:val="single" w:color="000000" w:sz="4" w:space="0"/>
              <w:bottom w:val="single" w:color="000000" w:sz="4" w:space="0"/>
              <w:right w:val="nil"/>
            </w:tcBorders>
            <w:noWrap/>
            <w:vAlign w:val="center"/>
          </w:tcPr>
          <w:p w14:paraId="73C20B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总报价</w:t>
            </w:r>
          </w:p>
        </w:tc>
        <w:tc>
          <w:tcPr>
            <w:tcW w:w="9075" w:type="dxa"/>
            <w:gridSpan w:val="3"/>
            <w:tcBorders>
              <w:top w:val="single" w:color="000000" w:sz="4" w:space="0"/>
              <w:left w:val="single" w:color="000000" w:sz="4" w:space="0"/>
              <w:bottom w:val="nil"/>
              <w:right w:val="single" w:color="000000" w:sz="4" w:space="0"/>
            </w:tcBorders>
            <w:noWrap/>
            <w:vAlign w:val="center"/>
          </w:tcPr>
          <w:p w14:paraId="442520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大写：</w:t>
            </w:r>
          </w:p>
        </w:tc>
      </w:tr>
      <w:tr w14:paraId="531B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123" w:type="dxa"/>
            <w:vMerge w:val="continue"/>
            <w:tcBorders>
              <w:top w:val="single" w:color="000000" w:sz="4" w:space="0"/>
              <w:left w:val="single" w:color="000000" w:sz="4" w:space="0"/>
              <w:bottom w:val="single" w:color="000000" w:sz="4" w:space="0"/>
              <w:right w:val="nil"/>
            </w:tcBorders>
            <w:noWrap/>
            <w:vAlign w:val="center"/>
          </w:tcPr>
          <w:p w14:paraId="5F0AB5F0">
            <w:pPr>
              <w:jc w:val="center"/>
              <w:rPr>
                <w:rFonts w:hint="eastAsia" w:ascii="宋体" w:hAnsi="宋体" w:eastAsia="宋体" w:cs="宋体"/>
                <w:i w:val="0"/>
                <w:iCs w:val="0"/>
                <w:color w:val="auto"/>
                <w:sz w:val="24"/>
                <w:szCs w:val="24"/>
                <w:highlight w:val="none"/>
                <w:u w:val="none"/>
              </w:rPr>
            </w:pPr>
          </w:p>
        </w:tc>
        <w:tc>
          <w:tcPr>
            <w:tcW w:w="6829" w:type="dxa"/>
            <w:tcBorders>
              <w:top w:val="nil"/>
              <w:left w:val="single" w:color="000000" w:sz="4" w:space="0"/>
              <w:bottom w:val="single" w:color="000000" w:sz="4" w:space="0"/>
              <w:right w:val="nil"/>
            </w:tcBorders>
            <w:noWrap/>
            <w:vAlign w:val="center"/>
          </w:tcPr>
          <w:p w14:paraId="48951B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（小写：                       ）</w:t>
            </w:r>
          </w:p>
        </w:tc>
        <w:tc>
          <w:tcPr>
            <w:tcW w:w="1416" w:type="dxa"/>
            <w:tcBorders>
              <w:top w:val="nil"/>
              <w:left w:val="nil"/>
              <w:bottom w:val="single" w:color="000000" w:sz="4" w:space="0"/>
              <w:right w:val="nil"/>
            </w:tcBorders>
            <w:noWrap/>
            <w:vAlign w:val="center"/>
          </w:tcPr>
          <w:p w14:paraId="680DD04E">
            <w:pPr>
              <w:rPr>
                <w:rFonts w:hint="eastAsia" w:ascii="宋体" w:hAnsi="宋体" w:eastAsia="宋体" w:cs="宋体"/>
                <w:i w:val="0"/>
                <w:iCs w:val="0"/>
                <w:color w:val="auto"/>
                <w:sz w:val="24"/>
                <w:szCs w:val="24"/>
                <w:highlight w:val="none"/>
                <w:u w:val="none"/>
              </w:rPr>
            </w:pPr>
          </w:p>
        </w:tc>
        <w:tc>
          <w:tcPr>
            <w:tcW w:w="830" w:type="dxa"/>
            <w:tcBorders>
              <w:top w:val="nil"/>
              <w:left w:val="nil"/>
              <w:bottom w:val="single" w:color="000000" w:sz="4" w:space="0"/>
              <w:right w:val="single" w:color="000000" w:sz="4" w:space="0"/>
            </w:tcBorders>
            <w:noWrap/>
            <w:vAlign w:val="center"/>
          </w:tcPr>
          <w:p w14:paraId="412953D2">
            <w:pPr>
              <w:jc w:val="center"/>
              <w:rPr>
                <w:rFonts w:hint="eastAsia" w:ascii="宋体" w:hAnsi="宋体" w:eastAsia="宋体" w:cs="宋体"/>
                <w:i w:val="0"/>
                <w:iCs w:val="0"/>
                <w:color w:val="auto"/>
                <w:sz w:val="24"/>
                <w:szCs w:val="24"/>
                <w:highlight w:val="none"/>
                <w:u w:val="none"/>
              </w:rPr>
            </w:pPr>
          </w:p>
        </w:tc>
      </w:tr>
      <w:tr w14:paraId="1C437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1198" w:type="dxa"/>
            <w:gridSpan w:val="4"/>
            <w:tcBorders>
              <w:top w:val="single" w:color="000000" w:sz="4" w:space="0"/>
              <w:left w:val="nil"/>
              <w:bottom w:val="nil"/>
              <w:right w:val="nil"/>
            </w:tcBorders>
            <w:noWrap w:val="0"/>
            <w:vAlign w:val="center"/>
          </w:tcPr>
          <w:p w14:paraId="451D1A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本项目为交钥匙工程，包含但不限于外部电源外其余工作及费用，负责完成所需电梯设备的设计、制造、运输、装卸、拆除旧梯、安装新机、产品保护、调试运行、质量技术监督部门验收（含通过特种设备监督检验中心验收及项目整体验收）、技术培训及售后服务等所有工作。</w:t>
            </w:r>
          </w:p>
        </w:tc>
      </w:tr>
    </w:tbl>
    <w:p w14:paraId="7E153E1A">
      <w:pPr>
        <w:spacing w:line="360" w:lineRule="auto"/>
        <w:ind w:right="92" w:rightChars="44"/>
        <w:jc w:val="left"/>
        <w:rPr>
          <w:rFonts w:hint="eastAsia" w:ascii="宋体" w:hAnsi="宋体" w:eastAsia="宋体" w:cs="宋体"/>
          <w:b/>
          <w:color w:val="auto"/>
          <w:kern w:val="2"/>
          <w:sz w:val="28"/>
          <w:szCs w:val="28"/>
          <w:highlight w:val="none"/>
          <w:lang w:eastAsia="zh-CN"/>
        </w:rPr>
        <w:sectPr>
          <w:footerReference r:id="rId8" w:type="first"/>
          <w:footerReference r:id="rId7" w:type="default"/>
          <w:endnotePr>
            <w:numFmt w:val="decimal"/>
          </w:endnotePr>
          <w:pgSz w:w="11905" w:h="16838"/>
          <w:pgMar w:top="1247" w:right="1418" w:bottom="1134" w:left="1588" w:header="851" w:footer="907" w:gutter="0"/>
          <w:cols w:space="720" w:num="1"/>
          <w:rtlGutter w:val="0"/>
          <w:docGrid w:type="lines" w:linePitch="314" w:charSpace="0"/>
        </w:sectPr>
      </w:pPr>
    </w:p>
    <w:tbl>
      <w:tblPr>
        <w:tblStyle w:val="20"/>
        <w:tblW w:w="22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1369"/>
        <w:gridCol w:w="858"/>
        <w:gridCol w:w="1317"/>
        <w:gridCol w:w="515"/>
        <w:gridCol w:w="936"/>
        <w:gridCol w:w="1077"/>
        <w:gridCol w:w="1321"/>
        <w:gridCol w:w="799"/>
        <w:gridCol w:w="652"/>
        <w:gridCol w:w="623"/>
        <w:gridCol w:w="1035"/>
        <w:gridCol w:w="1260"/>
        <w:gridCol w:w="990"/>
        <w:gridCol w:w="1320"/>
        <w:gridCol w:w="1860"/>
        <w:gridCol w:w="16"/>
        <w:gridCol w:w="2024"/>
        <w:gridCol w:w="16"/>
        <w:gridCol w:w="1128"/>
        <w:gridCol w:w="21"/>
        <w:gridCol w:w="1674"/>
        <w:gridCol w:w="1083"/>
      </w:tblGrid>
      <w:tr w14:paraId="7BB3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2660" w:type="dxa"/>
            <w:gridSpan w:val="23"/>
            <w:tcBorders>
              <w:top w:val="nil"/>
              <w:left w:val="nil"/>
              <w:bottom w:val="single" w:color="auto" w:sz="4" w:space="0"/>
              <w:right w:val="nil"/>
            </w:tcBorders>
            <w:noWrap w:val="0"/>
            <w:vAlign w:val="center"/>
          </w:tcPr>
          <w:p w14:paraId="17FD637F">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val="0"/>
                <w:i w:val="0"/>
                <w:color w:val="auto"/>
                <w:kern w:val="2"/>
                <w:sz w:val="28"/>
                <w:szCs w:val="28"/>
                <w:highlight w:val="none"/>
                <w:u w:val="none"/>
                <w:lang w:val="en-US" w:eastAsia="zh-CN" w:bidi="ar-SA"/>
              </w:rPr>
              <w:t>金沙洲新社区、聚德花园纯公租房楼栋更换电梯</w:t>
            </w:r>
            <w:r>
              <w:rPr>
                <w:rFonts w:hint="eastAsia" w:ascii="宋体" w:hAnsi="宋体" w:cs="宋体"/>
                <w:b/>
                <w:bCs w:val="0"/>
                <w:i w:val="0"/>
                <w:color w:val="auto"/>
                <w:kern w:val="2"/>
                <w:sz w:val="28"/>
                <w:szCs w:val="28"/>
                <w:highlight w:val="none"/>
                <w:u w:val="none"/>
                <w:lang w:val="en-US" w:eastAsia="zh-CN" w:bidi="ar-SA"/>
              </w:rPr>
              <w:t>项目</w:t>
            </w:r>
            <w:r>
              <w:rPr>
                <w:rFonts w:hint="eastAsia" w:ascii="宋体" w:hAnsi="宋体" w:cs="宋体"/>
                <w:b/>
                <w:i w:val="0"/>
                <w:iCs w:val="0"/>
                <w:color w:val="auto"/>
                <w:kern w:val="2"/>
                <w:sz w:val="28"/>
                <w:szCs w:val="28"/>
                <w:highlight w:val="none"/>
                <w:u w:val="none"/>
                <w:lang w:val="en-US" w:eastAsia="zh-CN" w:bidi="ar-SA"/>
              </w:rPr>
              <w:t>投标报价表</w:t>
            </w:r>
          </w:p>
        </w:tc>
      </w:tr>
      <w:tr w14:paraId="48A59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6" w:type="dxa"/>
            <w:vMerge w:val="restart"/>
            <w:tcBorders>
              <w:top w:val="single" w:color="auto" w:sz="4" w:space="0"/>
              <w:left w:val="single" w:color="000000" w:sz="4" w:space="0"/>
              <w:bottom w:val="single" w:color="auto" w:sz="4" w:space="0"/>
              <w:right w:val="single" w:color="000000" w:sz="4" w:space="0"/>
            </w:tcBorders>
            <w:noWrap w:val="0"/>
            <w:vAlign w:val="center"/>
          </w:tcPr>
          <w:p w14:paraId="43305EB9">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369" w:type="dxa"/>
            <w:vMerge w:val="restart"/>
            <w:tcBorders>
              <w:top w:val="single" w:color="auto" w:sz="4" w:space="0"/>
              <w:left w:val="single" w:color="000000" w:sz="4" w:space="0"/>
              <w:bottom w:val="single" w:color="auto" w:sz="4" w:space="0"/>
              <w:right w:val="single" w:color="000000" w:sz="4" w:space="0"/>
            </w:tcBorders>
            <w:noWrap w:val="0"/>
            <w:vAlign w:val="center"/>
          </w:tcPr>
          <w:p w14:paraId="76DECBB4">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区域</w:t>
            </w:r>
          </w:p>
        </w:tc>
        <w:tc>
          <w:tcPr>
            <w:tcW w:w="858" w:type="dxa"/>
            <w:vMerge w:val="restart"/>
            <w:tcBorders>
              <w:top w:val="single" w:color="auto" w:sz="4" w:space="0"/>
              <w:left w:val="single" w:color="000000" w:sz="4" w:space="0"/>
              <w:bottom w:val="single" w:color="auto" w:sz="4" w:space="0"/>
              <w:right w:val="single" w:color="000000" w:sz="4" w:space="0"/>
            </w:tcBorders>
            <w:noWrap w:val="0"/>
            <w:vAlign w:val="center"/>
          </w:tcPr>
          <w:p w14:paraId="7F48FE90">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电梯编号</w:t>
            </w:r>
          </w:p>
        </w:tc>
        <w:tc>
          <w:tcPr>
            <w:tcW w:w="1317" w:type="dxa"/>
            <w:vMerge w:val="restart"/>
            <w:tcBorders>
              <w:top w:val="single" w:color="auto" w:sz="4" w:space="0"/>
              <w:left w:val="single" w:color="000000" w:sz="4" w:space="0"/>
              <w:bottom w:val="single" w:color="auto" w:sz="4" w:space="0"/>
              <w:right w:val="single" w:color="000000" w:sz="4" w:space="0"/>
            </w:tcBorders>
            <w:noWrap w:val="0"/>
            <w:vAlign w:val="center"/>
          </w:tcPr>
          <w:p w14:paraId="4D4FBF10">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电梯名称</w:t>
            </w:r>
          </w:p>
        </w:tc>
        <w:tc>
          <w:tcPr>
            <w:tcW w:w="3849" w:type="dxa"/>
            <w:gridSpan w:val="4"/>
            <w:tcBorders>
              <w:top w:val="single" w:color="auto" w:sz="4" w:space="0"/>
              <w:left w:val="single" w:color="000000" w:sz="4" w:space="0"/>
              <w:bottom w:val="single" w:color="auto" w:sz="4" w:space="0"/>
              <w:right w:val="single" w:color="000000" w:sz="4" w:space="0"/>
            </w:tcBorders>
            <w:noWrap w:val="0"/>
            <w:vAlign w:val="center"/>
          </w:tcPr>
          <w:p w14:paraId="3DA0540C">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新装电梯规格型号</w:t>
            </w:r>
          </w:p>
        </w:tc>
        <w:tc>
          <w:tcPr>
            <w:tcW w:w="799" w:type="dxa"/>
            <w:vMerge w:val="restart"/>
            <w:tcBorders>
              <w:top w:val="single" w:color="auto" w:sz="4" w:space="0"/>
              <w:left w:val="single" w:color="000000" w:sz="4" w:space="0"/>
              <w:bottom w:val="single" w:color="auto" w:sz="4" w:space="0"/>
              <w:right w:val="single" w:color="000000" w:sz="4" w:space="0"/>
            </w:tcBorders>
            <w:noWrap w:val="0"/>
            <w:vAlign w:val="center"/>
          </w:tcPr>
          <w:p w14:paraId="03BD88C1">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原产地/供应商</w:t>
            </w:r>
          </w:p>
        </w:tc>
        <w:tc>
          <w:tcPr>
            <w:tcW w:w="652" w:type="dxa"/>
            <w:vMerge w:val="restart"/>
            <w:tcBorders>
              <w:top w:val="single" w:color="auto" w:sz="4" w:space="0"/>
              <w:left w:val="single" w:color="000000" w:sz="4" w:space="0"/>
              <w:bottom w:val="single" w:color="auto" w:sz="4" w:space="0"/>
              <w:right w:val="single" w:color="000000" w:sz="4" w:space="0"/>
            </w:tcBorders>
            <w:noWrap w:val="0"/>
            <w:vAlign w:val="center"/>
          </w:tcPr>
          <w:p w14:paraId="652E5A28">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623" w:type="dxa"/>
            <w:vMerge w:val="restart"/>
            <w:tcBorders>
              <w:top w:val="single" w:color="auto" w:sz="4" w:space="0"/>
              <w:left w:val="single" w:color="000000" w:sz="4" w:space="0"/>
              <w:bottom w:val="single" w:color="auto" w:sz="4" w:space="0"/>
              <w:right w:val="single" w:color="000000" w:sz="4" w:space="0"/>
            </w:tcBorders>
            <w:noWrap w:val="0"/>
            <w:vAlign w:val="center"/>
          </w:tcPr>
          <w:p w14:paraId="60173A37">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数量</w:t>
            </w:r>
          </w:p>
        </w:tc>
        <w:tc>
          <w:tcPr>
            <w:tcW w:w="2295" w:type="dxa"/>
            <w:gridSpan w:val="2"/>
            <w:tcBorders>
              <w:top w:val="single" w:color="auto" w:sz="4" w:space="0"/>
              <w:left w:val="single" w:color="000000" w:sz="4" w:space="0"/>
              <w:bottom w:val="single" w:color="auto" w:sz="4" w:space="0"/>
              <w:right w:val="single" w:color="000000" w:sz="4" w:space="0"/>
            </w:tcBorders>
            <w:noWrap w:val="0"/>
            <w:vAlign w:val="center"/>
          </w:tcPr>
          <w:p w14:paraId="7BE61C9E">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w:t>
            </w:r>
          </w:p>
        </w:tc>
        <w:tc>
          <w:tcPr>
            <w:tcW w:w="2310" w:type="dxa"/>
            <w:gridSpan w:val="2"/>
            <w:tcBorders>
              <w:top w:val="single" w:color="auto" w:sz="4" w:space="0"/>
              <w:left w:val="single" w:color="000000" w:sz="4" w:space="0"/>
              <w:bottom w:val="single" w:color="auto" w:sz="4" w:space="0"/>
              <w:right w:val="single" w:color="000000" w:sz="4" w:space="0"/>
            </w:tcBorders>
            <w:noWrap w:val="0"/>
            <w:vAlign w:val="center"/>
          </w:tcPr>
          <w:p w14:paraId="4CAABE6D">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w:t>
            </w:r>
          </w:p>
        </w:tc>
        <w:tc>
          <w:tcPr>
            <w:tcW w:w="3900" w:type="dxa"/>
            <w:gridSpan w:val="3"/>
            <w:tcBorders>
              <w:top w:val="single" w:color="auto" w:sz="4" w:space="0"/>
              <w:left w:val="single" w:color="000000" w:sz="4" w:space="0"/>
              <w:bottom w:val="single" w:color="auto" w:sz="4" w:space="0"/>
              <w:right w:val="single" w:color="000000" w:sz="4" w:space="0"/>
            </w:tcBorders>
            <w:noWrap w:val="0"/>
            <w:vAlign w:val="center"/>
          </w:tcPr>
          <w:p w14:paraId="119EA774">
            <w:pPr>
              <w:keepNext w:val="0"/>
              <w:keepLines w:val="0"/>
              <w:pageBreakBefore w:val="0"/>
              <w:widowControl/>
              <w:suppressLineNumbers w:val="0"/>
              <w:kinsoku/>
              <w:wordWrap/>
              <w:overflowPunct/>
              <w:topLinePunct w:val="0"/>
              <w:autoSpaceDE/>
              <w:autoSpaceDN/>
              <w:bidi w:val="0"/>
              <w:adjustRightInd/>
              <w:snapToGrid/>
              <w:spacing w:after="0"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原电梯拆卸及土建整改</w:t>
            </w:r>
          </w:p>
        </w:tc>
        <w:tc>
          <w:tcPr>
            <w:tcW w:w="2839" w:type="dxa"/>
            <w:gridSpan w:val="4"/>
            <w:tcBorders>
              <w:top w:val="single" w:color="auto" w:sz="4" w:space="0"/>
              <w:left w:val="single" w:color="000000" w:sz="4" w:space="0"/>
              <w:bottom w:val="single" w:color="auto" w:sz="4" w:space="0"/>
              <w:right w:val="single" w:color="000000" w:sz="4" w:space="0"/>
            </w:tcBorders>
            <w:noWrap w:val="0"/>
            <w:vAlign w:val="center"/>
          </w:tcPr>
          <w:p w14:paraId="1FCDA591">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电梯设备和安装及拆改</w:t>
            </w:r>
          </w:p>
        </w:tc>
        <w:tc>
          <w:tcPr>
            <w:tcW w:w="1083" w:type="dxa"/>
            <w:vMerge w:val="restart"/>
            <w:tcBorders>
              <w:top w:val="single" w:color="auto" w:sz="4" w:space="0"/>
              <w:left w:val="single" w:color="000000" w:sz="4" w:space="0"/>
              <w:bottom w:val="single" w:color="auto" w:sz="4" w:space="0"/>
              <w:right w:val="single" w:color="000000" w:sz="4" w:space="0"/>
            </w:tcBorders>
            <w:noWrap w:val="0"/>
            <w:vAlign w:val="center"/>
          </w:tcPr>
          <w:p w14:paraId="372303AA">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7DC5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766" w:type="dxa"/>
            <w:vMerge w:val="continue"/>
            <w:tcBorders>
              <w:top w:val="single" w:color="auto" w:sz="4" w:space="0"/>
              <w:left w:val="single" w:color="000000" w:sz="4" w:space="0"/>
              <w:bottom w:val="single" w:color="000000" w:sz="4" w:space="0"/>
              <w:right w:val="single" w:color="000000" w:sz="4" w:space="0"/>
            </w:tcBorders>
            <w:noWrap w:val="0"/>
            <w:vAlign w:val="center"/>
          </w:tcPr>
          <w:p w14:paraId="111D09C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69" w:type="dxa"/>
            <w:vMerge w:val="continue"/>
            <w:tcBorders>
              <w:top w:val="single" w:color="auto" w:sz="4" w:space="0"/>
              <w:left w:val="single" w:color="000000" w:sz="4" w:space="0"/>
              <w:bottom w:val="single" w:color="000000" w:sz="4" w:space="0"/>
              <w:right w:val="single" w:color="000000" w:sz="4" w:space="0"/>
            </w:tcBorders>
            <w:noWrap w:val="0"/>
            <w:vAlign w:val="center"/>
          </w:tcPr>
          <w:p w14:paraId="6205913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858" w:type="dxa"/>
            <w:vMerge w:val="continue"/>
            <w:tcBorders>
              <w:top w:val="single" w:color="auto" w:sz="4" w:space="0"/>
              <w:left w:val="single" w:color="000000" w:sz="4" w:space="0"/>
              <w:bottom w:val="single" w:color="000000" w:sz="4" w:space="0"/>
              <w:right w:val="single" w:color="000000" w:sz="4" w:space="0"/>
            </w:tcBorders>
            <w:noWrap w:val="0"/>
            <w:vAlign w:val="center"/>
          </w:tcPr>
          <w:p w14:paraId="488FC1F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17" w:type="dxa"/>
            <w:vMerge w:val="continue"/>
            <w:tcBorders>
              <w:top w:val="single" w:color="auto" w:sz="4" w:space="0"/>
              <w:left w:val="single" w:color="000000" w:sz="4" w:space="0"/>
              <w:bottom w:val="single" w:color="000000" w:sz="4" w:space="0"/>
              <w:right w:val="single" w:color="000000" w:sz="4" w:space="0"/>
            </w:tcBorders>
            <w:noWrap w:val="0"/>
            <w:vAlign w:val="center"/>
          </w:tcPr>
          <w:p w14:paraId="0331D298">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515" w:type="dxa"/>
            <w:tcBorders>
              <w:top w:val="single" w:color="auto" w:sz="4" w:space="0"/>
              <w:left w:val="single" w:color="000000" w:sz="4" w:space="0"/>
              <w:bottom w:val="single" w:color="000000" w:sz="4" w:space="0"/>
              <w:right w:val="single" w:color="000000" w:sz="4" w:space="0"/>
            </w:tcBorders>
            <w:noWrap w:val="0"/>
            <w:vAlign w:val="center"/>
          </w:tcPr>
          <w:p w14:paraId="100FC396">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停站数</w:t>
            </w:r>
          </w:p>
        </w:tc>
        <w:tc>
          <w:tcPr>
            <w:tcW w:w="936" w:type="dxa"/>
            <w:tcBorders>
              <w:top w:val="single" w:color="auto" w:sz="4" w:space="0"/>
              <w:left w:val="single" w:color="000000" w:sz="4" w:space="0"/>
              <w:bottom w:val="single" w:color="000000" w:sz="4" w:space="0"/>
              <w:right w:val="single" w:color="000000" w:sz="4" w:space="0"/>
            </w:tcBorders>
            <w:noWrap w:val="0"/>
            <w:vAlign w:val="center"/>
          </w:tcPr>
          <w:p w14:paraId="61A70E9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额定载重(kg)≥1050kg</w:t>
            </w:r>
          </w:p>
        </w:tc>
        <w:tc>
          <w:tcPr>
            <w:tcW w:w="1077" w:type="dxa"/>
            <w:tcBorders>
              <w:top w:val="single" w:color="auto" w:sz="4" w:space="0"/>
              <w:left w:val="single" w:color="000000" w:sz="4" w:space="0"/>
              <w:bottom w:val="single" w:color="000000" w:sz="4" w:space="0"/>
              <w:right w:val="single" w:color="000000" w:sz="4" w:space="0"/>
            </w:tcBorders>
            <w:noWrap w:val="0"/>
            <w:vAlign w:val="center"/>
          </w:tcPr>
          <w:p w14:paraId="312350F9">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额定速度(m/s)≥2.0m/s</w:t>
            </w:r>
          </w:p>
        </w:tc>
        <w:tc>
          <w:tcPr>
            <w:tcW w:w="1321" w:type="dxa"/>
            <w:tcBorders>
              <w:top w:val="single" w:color="auto" w:sz="4" w:space="0"/>
              <w:left w:val="single" w:color="000000" w:sz="4" w:space="0"/>
              <w:bottom w:val="single" w:color="000000" w:sz="4" w:space="0"/>
              <w:right w:val="single" w:color="000000" w:sz="4" w:space="0"/>
            </w:tcBorders>
            <w:noWrap w:val="0"/>
            <w:vAlign w:val="center"/>
          </w:tcPr>
          <w:p w14:paraId="55F934D2">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参数、标准</w:t>
            </w:r>
          </w:p>
        </w:tc>
        <w:tc>
          <w:tcPr>
            <w:tcW w:w="799" w:type="dxa"/>
            <w:vMerge w:val="continue"/>
            <w:tcBorders>
              <w:top w:val="single" w:color="auto" w:sz="4" w:space="0"/>
              <w:left w:val="single" w:color="000000" w:sz="4" w:space="0"/>
              <w:bottom w:val="single" w:color="000000" w:sz="4" w:space="0"/>
              <w:right w:val="single" w:color="000000" w:sz="4" w:space="0"/>
            </w:tcBorders>
            <w:noWrap w:val="0"/>
            <w:vAlign w:val="center"/>
          </w:tcPr>
          <w:p w14:paraId="6E9671CA">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652" w:type="dxa"/>
            <w:vMerge w:val="continue"/>
            <w:tcBorders>
              <w:top w:val="single" w:color="auto" w:sz="4" w:space="0"/>
              <w:left w:val="single" w:color="000000" w:sz="4" w:space="0"/>
              <w:bottom w:val="single" w:color="000000" w:sz="4" w:space="0"/>
              <w:right w:val="single" w:color="000000" w:sz="4" w:space="0"/>
            </w:tcBorders>
            <w:noWrap w:val="0"/>
            <w:vAlign w:val="center"/>
          </w:tcPr>
          <w:p w14:paraId="22C11B53">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623" w:type="dxa"/>
            <w:vMerge w:val="continue"/>
            <w:tcBorders>
              <w:top w:val="single" w:color="auto" w:sz="4" w:space="0"/>
              <w:left w:val="single" w:color="000000" w:sz="4" w:space="0"/>
              <w:bottom w:val="single" w:color="000000" w:sz="4" w:space="0"/>
              <w:right w:val="single" w:color="000000" w:sz="4" w:space="0"/>
            </w:tcBorders>
            <w:noWrap w:val="0"/>
            <w:vAlign w:val="center"/>
          </w:tcPr>
          <w:p w14:paraId="514C5D4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035" w:type="dxa"/>
            <w:tcBorders>
              <w:top w:val="single" w:color="auto" w:sz="4" w:space="0"/>
              <w:left w:val="single" w:color="000000" w:sz="4" w:space="0"/>
              <w:bottom w:val="single" w:color="000000" w:sz="4" w:space="0"/>
              <w:right w:val="single" w:color="000000" w:sz="4" w:space="0"/>
            </w:tcBorders>
            <w:noWrap w:val="0"/>
            <w:vAlign w:val="center"/>
          </w:tcPr>
          <w:p w14:paraId="30E5083F">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设备单价（元）</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26C8F800">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C=A×B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设备合计（元）</w:t>
            </w:r>
          </w:p>
        </w:tc>
        <w:tc>
          <w:tcPr>
            <w:tcW w:w="990" w:type="dxa"/>
            <w:tcBorders>
              <w:top w:val="single" w:color="auto" w:sz="4" w:space="0"/>
              <w:left w:val="single" w:color="000000" w:sz="4" w:space="0"/>
              <w:bottom w:val="single" w:color="000000" w:sz="4" w:space="0"/>
              <w:right w:val="single" w:color="000000" w:sz="4" w:space="0"/>
            </w:tcBorders>
            <w:noWrap w:val="0"/>
            <w:vAlign w:val="center"/>
          </w:tcPr>
          <w:p w14:paraId="0DBFA5C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安装单价（元）</w:t>
            </w:r>
          </w:p>
        </w:tc>
        <w:tc>
          <w:tcPr>
            <w:tcW w:w="1320" w:type="dxa"/>
            <w:tcBorders>
              <w:top w:val="single" w:color="auto" w:sz="4" w:space="0"/>
              <w:left w:val="single" w:color="000000" w:sz="4" w:space="0"/>
              <w:bottom w:val="single" w:color="000000" w:sz="4" w:space="0"/>
              <w:right w:val="single" w:color="000000" w:sz="4" w:space="0"/>
            </w:tcBorders>
            <w:noWrap w:val="0"/>
            <w:vAlign w:val="center"/>
          </w:tcPr>
          <w:p w14:paraId="4307A017">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E=A×D</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安装合计（元）</w:t>
            </w:r>
          </w:p>
        </w:tc>
        <w:tc>
          <w:tcPr>
            <w:tcW w:w="1860" w:type="dxa"/>
            <w:tcBorders>
              <w:top w:val="single" w:color="auto" w:sz="4" w:space="0"/>
              <w:left w:val="single" w:color="000000" w:sz="4" w:space="0"/>
              <w:bottom w:val="single" w:color="000000" w:sz="4" w:space="0"/>
              <w:right w:val="single" w:color="000000" w:sz="4" w:space="0"/>
            </w:tcBorders>
            <w:noWrap w:val="0"/>
            <w:vAlign w:val="center"/>
          </w:tcPr>
          <w:p w14:paraId="35A5FC3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F</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原电梯拆卸及土建整改（元）</w:t>
            </w:r>
          </w:p>
        </w:tc>
        <w:tc>
          <w:tcPr>
            <w:tcW w:w="2040" w:type="dxa"/>
            <w:gridSpan w:val="2"/>
            <w:tcBorders>
              <w:top w:val="single" w:color="auto" w:sz="4" w:space="0"/>
              <w:left w:val="single" w:color="000000" w:sz="4" w:space="0"/>
              <w:bottom w:val="single" w:color="000000" w:sz="4" w:space="0"/>
              <w:right w:val="single" w:color="000000" w:sz="4" w:space="0"/>
            </w:tcBorders>
            <w:noWrap w:val="0"/>
            <w:vAlign w:val="center"/>
          </w:tcPr>
          <w:p w14:paraId="77F25E3A">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G=A×F</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原电梯拆卸及土建整改合计（元）</w:t>
            </w:r>
          </w:p>
        </w:tc>
        <w:tc>
          <w:tcPr>
            <w:tcW w:w="1144" w:type="dxa"/>
            <w:gridSpan w:val="2"/>
            <w:tcBorders>
              <w:top w:val="single" w:color="auto" w:sz="4" w:space="0"/>
              <w:left w:val="single" w:color="000000" w:sz="4" w:space="0"/>
              <w:bottom w:val="single" w:color="000000" w:sz="4" w:space="0"/>
              <w:right w:val="single" w:color="000000" w:sz="4" w:space="0"/>
            </w:tcBorders>
            <w:noWrap w:val="0"/>
            <w:vAlign w:val="center"/>
          </w:tcPr>
          <w:p w14:paraId="57859E02">
            <w:pPr>
              <w:keepNext w:val="0"/>
              <w:keepLines w:val="0"/>
              <w:pageBreakBefore w:val="0"/>
              <w:widowControl/>
              <w:suppressLineNumbers w:val="0"/>
              <w:kinsoku/>
              <w:wordWrap/>
              <w:overflowPunct/>
              <w:topLinePunct w:val="0"/>
              <w:autoSpaceDE/>
              <w:autoSpaceDN/>
              <w:bidi w:val="0"/>
              <w:adjustRightInd/>
              <w:snapToGrid/>
              <w:spacing w:after="0"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H=B+D+F</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综合单价(元)</w:t>
            </w:r>
          </w:p>
        </w:tc>
        <w:tc>
          <w:tcPr>
            <w:tcW w:w="1695" w:type="dxa"/>
            <w:gridSpan w:val="2"/>
            <w:tcBorders>
              <w:top w:val="single" w:color="auto" w:sz="4" w:space="0"/>
              <w:left w:val="single" w:color="000000" w:sz="4" w:space="0"/>
              <w:bottom w:val="single" w:color="000000" w:sz="4" w:space="0"/>
              <w:right w:val="single" w:color="000000" w:sz="4" w:space="0"/>
            </w:tcBorders>
            <w:noWrap w:val="0"/>
            <w:vAlign w:val="center"/>
          </w:tcPr>
          <w:p w14:paraId="07592F21">
            <w:pPr>
              <w:keepNext w:val="0"/>
              <w:keepLines w:val="0"/>
              <w:pageBreakBefore w:val="0"/>
              <w:widowControl/>
              <w:suppressLineNumbers w:val="0"/>
              <w:kinsoku/>
              <w:wordWrap/>
              <w:overflowPunct/>
              <w:topLinePunct w:val="0"/>
              <w:autoSpaceDE/>
              <w:autoSpaceDN/>
              <w:bidi w:val="0"/>
              <w:adjustRightInd/>
              <w:snapToGrid/>
              <w:spacing w:after="0"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I=H×A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综合合价(元)</w:t>
            </w:r>
          </w:p>
        </w:tc>
        <w:tc>
          <w:tcPr>
            <w:tcW w:w="1083" w:type="dxa"/>
            <w:vMerge w:val="continue"/>
            <w:tcBorders>
              <w:top w:val="single" w:color="auto" w:sz="4" w:space="0"/>
              <w:left w:val="single" w:color="000000" w:sz="4" w:space="0"/>
              <w:bottom w:val="single" w:color="000000" w:sz="4" w:space="0"/>
              <w:right w:val="single" w:color="000000" w:sz="4" w:space="0"/>
            </w:tcBorders>
            <w:noWrap w:val="0"/>
            <w:vAlign w:val="center"/>
          </w:tcPr>
          <w:p w14:paraId="7DF9615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r>
      <w:tr w14:paraId="1417E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14:paraId="75027C8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w:t>
            </w:r>
          </w:p>
        </w:tc>
        <w:tc>
          <w:tcPr>
            <w:tcW w:w="21894" w:type="dxa"/>
            <w:gridSpan w:val="22"/>
            <w:tcBorders>
              <w:top w:val="single" w:color="000000" w:sz="4" w:space="0"/>
              <w:left w:val="single" w:color="000000" w:sz="4" w:space="0"/>
              <w:bottom w:val="single" w:color="000000" w:sz="4" w:space="0"/>
              <w:right w:val="single" w:color="000000" w:sz="4" w:space="0"/>
            </w:tcBorders>
            <w:noWrap/>
            <w:vAlign w:val="center"/>
          </w:tcPr>
          <w:p w14:paraId="08EBA1DA">
            <w:pPr>
              <w:keepNext w:val="0"/>
              <w:keepLines w:val="0"/>
              <w:pageBreakBefore w:val="0"/>
              <w:widowControl/>
              <w:suppressLineNumbers w:val="0"/>
              <w:kinsoku/>
              <w:wordWrap/>
              <w:overflowPunct/>
              <w:topLinePunct w:val="0"/>
              <w:autoSpaceDE/>
              <w:autoSpaceDN/>
              <w:bidi w:val="0"/>
              <w:adjustRightInd/>
              <w:snapToGrid/>
              <w:spacing w:after="0"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电梯设备安装拆改费用</w:t>
            </w:r>
          </w:p>
        </w:tc>
      </w:tr>
      <w:tr w14:paraId="280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14:paraId="3D19352A">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69" w:type="dxa"/>
            <w:vMerge w:val="restart"/>
            <w:tcBorders>
              <w:top w:val="single" w:color="000000" w:sz="4" w:space="0"/>
              <w:left w:val="single" w:color="000000" w:sz="4" w:space="0"/>
              <w:bottom w:val="single" w:color="000000" w:sz="4" w:space="0"/>
              <w:right w:val="single" w:color="000000" w:sz="4" w:space="0"/>
            </w:tcBorders>
            <w:noWrap w:val="0"/>
            <w:vAlign w:val="center"/>
          </w:tcPr>
          <w:p w14:paraId="3406D1B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bookmarkStart w:id="42" w:name="OLE_LINK3"/>
            <w:r>
              <w:rPr>
                <w:rFonts w:hint="eastAsia" w:ascii="宋体" w:hAnsi="宋体" w:eastAsia="宋体" w:cs="宋体"/>
                <w:color w:val="auto"/>
                <w:kern w:val="0"/>
                <w:sz w:val="24"/>
                <w:szCs w:val="24"/>
                <w:highlight w:val="none"/>
                <w:lang w:val="en-US" w:eastAsia="zh-CN" w:bidi="ar"/>
              </w:rPr>
              <w:t>春和一巷1号</w:t>
            </w:r>
            <w:bookmarkEnd w:id="42"/>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3B73C8EE">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1#梯</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D98349A">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消防及无障碍梯</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7248B9B2">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D417AEB">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2758A0D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7A452AC5">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详见需求书</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5A5726A">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40469652">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noWrap/>
            <w:vAlign w:val="center"/>
          </w:tcPr>
          <w:p w14:paraId="59D34A4D">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F34068C">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E8CE75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FF1F5C9">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E2671D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446C25AF">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14:paraId="462E2B88">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14:paraId="6EC7762C">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695" w:type="dxa"/>
            <w:gridSpan w:val="2"/>
            <w:tcBorders>
              <w:top w:val="single" w:color="000000" w:sz="4" w:space="0"/>
              <w:left w:val="single" w:color="000000" w:sz="4" w:space="0"/>
              <w:bottom w:val="single" w:color="000000" w:sz="4" w:space="0"/>
              <w:right w:val="single" w:color="000000" w:sz="4" w:space="0"/>
            </w:tcBorders>
            <w:noWrap w:val="0"/>
            <w:vAlign w:val="center"/>
          </w:tcPr>
          <w:p w14:paraId="1C283243">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78D2771A">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r>
      <w:tr w14:paraId="689F8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2CD3F0AC">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3710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32415CA2">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2#梯</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B28127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客梯</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07C0BB9E">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ECE7F4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209DEBB2">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7C044A1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详见需求书</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57F0246">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415329E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noWrap/>
            <w:vAlign w:val="center"/>
          </w:tcPr>
          <w:p w14:paraId="0315F33E">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6E216C8">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8E4491D">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66B7A32">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47F4944">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0CB94382">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14:paraId="5224C34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14:paraId="62A9D1D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695" w:type="dxa"/>
            <w:gridSpan w:val="2"/>
            <w:tcBorders>
              <w:top w:val="single" w:color="000000" w:sz="4" w:space="0"/>
              <w:left w:val="single" w:color="000000" w:sz="4" w:space="0"/>
              <w:bottom w:val="single" w:color="000000" w:sz="4" w:space="0"/>
              <w:right w:val="single" w:color="000000" w:sz="4" w:space="0"/>
            </w:tcBorders>
            <w:noWrap w:val="0"/>
            <w:vAlign w:val="center"/>
          </w:tcPr>
          <w:p w14:paraId="26046E31">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7C1AD5CE">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r>
      <w:tr w14:paraId="35ACD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14:paraId="47970824">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69" w:type="dxa"/>
            <w:vMerge w:val="restart"/>
            <w:tcBorders>
              <w:top w:val="single" w:color="000000" w:sz="4" w:space="0"/>
              <w:left w:val="single" w:color="000000" w:sz="4" w:space="0"/>
              <w:bottom w:val="single" w:color="000000" w:sz="4" w:space="0"/>
              <w:right w:val="single" w:color="000000" w:sz="4" w:space="0"/>
            </w:tcBorders>
            <w:noWrap w:val="0"/>
            <w:vAlign w:val="center"/>
          </w:tcPr>
          <w:p w14:paraId="1F7679EE">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lang w:val="en-US" w:eastAsia="zh-CN" w:bidi="ar"/>
              </w:rPr>
              <w:t>春和一巷3号</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78E8A24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1#梯</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3563BFD">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消防及无障碍梯</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1D915CDC">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D5260F8">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74690943">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794754E4">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详见需求书</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1D9FB16">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2DE4C2E2">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noWrap/>
            <w:vAlign w:val="center"/>
          </w:tcPr>
          <w:p w14:paraId="4295A595">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8B13332">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C56CAD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D31C63E">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89FDFB8">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66ADBE4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14:paraId="6F8838A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14:paraId="6312263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695" w:type="dxa"/>
            <w:gridSpan w:val="2"/>
            <w:tcBorders>
              <w:top w:val="single" w:color="000000" w:sz="4" w:space="0"/>
              <w:left w:val="single" w:color="000000" w:sz="4" w:space="0"/>
              <w:bottom w:val="single" w:color="000000" w:sz="4" w:space="0"/>
              <w:right w:val="single" w:color="000000" w:sz="4" w:space="0"/>
            </w:tcBorders>
            <w:noWrap w:val="0"/>
            <w:vAlign w:val="center"/>
          </w:tcPr>
          <w:p w14:paraId="4C72071C">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5C65B5F1">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r>
      <w:tr w14:paraId="22B28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5427ED9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E0788">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1CAEF630">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2#梯</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046BB0E">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客梯</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2F4E958C">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798873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3CE61CE2">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55C5FC38">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详见需求书</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E14391A">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27BB0FDE">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noWrap/>
            <w:vAlign w:val="center"/>
          </w:tcPr>
          <w:p w14:paraId="249E2A3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4C56FF8">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3EE298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677DD6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4B281FB">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7C077DDE">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14:paraId="77BD47EB">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14:paraId="3E90FB93">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695" w:type="dxa"/>
            <w:gridSpan w:val="2"/>
            <w:tcBorders>
              <w:top w:val="single" w:color="000000" w:sz="4" w:space="0"/>
              <w:left w:val="single" w:color="000000" w:sz="4" w:space="0"/>
              <w:bottom w:val="single" w:color="000000" w:sz="4" w:space="0"/>
              <w:right w:val="single" w:color="000000" w:sz="4" w:space="0"/>
            </w:tcBorders>
            <w:noWrap w:val="0"/>
            <w:vAlign w:val="center"/>
          </w:tcPr>
          <w:p w14:paraId="702214E7">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4427BE73">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r>
      <w:tr w14:paraId="2052C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14:paraId="16630EB4">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69" w:type="dxa"/>
            <w:vMerge w:val="restart"/>
            <w:tcBorders>
              <w:top w:val="single" w:color="000000" w:sz="4" w:space="0"/>
              <w:left w:val="single" w:color="000000" w:sz="4" w:space="0"/>
              <w:bottom w:val="single" w:color="000000" w:sz="4" w:space="0"/>
              <w:right w:val="single" w:color="000000" w:sz="4" w:space="0"/>
            </w:tcBorders>
            <w:noWrap w:val="0"/>
            <w:vAlign w:val="center"/>
          </w:tcPr>
          <w:p w14:paraId="15620E1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color w:val="auto"/>
                <w:kern w:val="0"/>
                <w:sz w:val="24"/>
                <w:szCs w:val="24"/>
                <w:highlight w:val="none"/>
                <w:lang w:val="en-US" w:eastAsia="zh-CN" w:bidi="ar"/>
              </w:rPr>
              <w:t>春和一巷7号</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7F631A26">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1#梯</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7EE0EFA">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消防及无障碍梯</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14F83D0A">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5115DF8">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03C751EC">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62177CE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详见需求书</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4AB871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199916BD">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noWrap/>
            <w:vAlign w:val="center"/>
          </w:tcPr>
          <w:p w14:paraId="25FD997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E7ED3E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B582F3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D3E5A6E">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A5C704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128EAFA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14:paraId="610BA02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14:paraId="5F2BF792">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695" w:type="dxa"/>
            <w:gridSpan w:val="2"/>
            <w:tcBorders>
              <w:top w:val="single" w:color="000000" w:sz="4" w:space="0"/>
              <w:left w:val="single" w:color="000000" w:sz="4" w:space="0"/>
              <w:bottom w:val="single" w:color="000000" w:sz="4" w:space="0"/>
              <w:right w:val="single" w:color="000000" w:sz="4" w:space="0"/>
            </w:tcBorders>
            <w:noWrap w:val="0"/>
            <w:vAlign w:val="center"/>
          </w:tcPr>
          <w:p w14:paraId="73D81B9F">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060579E2">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r>
      <w:tr w14:paraId="53F6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6D7E214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CE5D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1EC31E26">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2#梯</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24CEA7F">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客梯</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5EC97C6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02D3BDB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1310548A">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38939768">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详见需求书</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92C9428">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1A8A3DB0">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noWrap/>
            <w:vAlign w:val="center"/>
          </w:tcPr>
          <w:p w14:paraId="5E32AC0E">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F2BDFD6">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4EF68AB">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07E9BB6">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57745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729C59CD">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14:paraId="173ED6A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14:paraId="11958DBC">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695" w:type="dxa"/>
            <w:gridSpan w:val="2"/>
            <w:tcBorders>
              <w:top w:val="single" w:color="000000" w:sz="4" w:space="0"/>
              <w:left w:val="single" w:color="000000" w:sz="4" w:space="0"/>
              <w:bottom w:val="single" w:color="000000" w:sz="4" w:space="0"/>
              <w:right w:val="single" w:color="000000" w:sz="4" w:space="0"/>
            </w:tcBorders>
            <w:noWrap w:val="0"/>
            <w:vAlign w:val="center"/>
          </w:tcPr>
          <w:p w14:paraId="19C702C4">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18689CC2">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r>
      <w:tr w14:paraId="3620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14:paraId="0C0F2329">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369" w:type="dxa"/>
            <w:vMerge w:val="restart"/>
            <w:tcBorders>
              <w:top w:val="single" w:color="000000" w:sz="4" w:space="0"/>
              <w:left w:val="single" w:color="000000" w:sz="4" w:space="0"/>
              <w:bottom w:val="single" w:color="000000" w:sz="4" w:space="0"/>
              <w:right w:val="single" w:color="000000" w:sz="4" w:space="0"/>
            </w:tcBorders>
            <w:noWrap w:val="0"/>
            <w:vAlign w:val="center"/>
          </w:tcPr>
          <w:p w14:paraId="429F5E22">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lang w:val="en-US" w:eastAsia="zh-CN" w:bidi="ar"/>
              </w:rPr>
              <w:t>民和二巷6号</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14B4CF94">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1#梯</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2E8B68F">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消防及无障碍梯</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77C4451A">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19</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32DCFF2">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01E6662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022324B2">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详见需求书</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73DFFEF">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6A3D130E">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noWrap/>
            <w:vAlign w:val="center"/>
          </w:tcPr>
          <w:p w14:paraId="13B7EB18">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69FF803">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65287A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53A342C">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6BB88FD">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00E19FE9">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14:paraId="4A0113AF">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14:paraId="22D68A94">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695" w:type="dxa"/>
            <w:gridSpan w:val="2"/>
            <w:tcBorders>
              <w:top w:val="single" w:color="000000" w:sz="4" w:space="0"/>
              <w:left w:val="single" w:color="000000" w:sz="4" w:space="0"/>
              <w:bottom w:val="single" w:color="000000" w:sz="4" w:space="0"/>
              <w:right w:val="single" w:color="000000" w:sz="4" w:space="0"/>
            </w:tcBorders>
            <w:noWrap w:val="0"/>
            <w:vAlign w:val="center"/>
          </w:tcPr>
          <w:p w14:paraId="69B294F1">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14554197">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r>
      <w:tr w14:paraId="759AC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5894B114">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D684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141A0257">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2#梯</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D430E18">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客梯</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74340DD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61254F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0C124C1A">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16FCCBE2">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详见需求书</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9EEF458">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1E554B15">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noWrap/>
            <w:vAlign w:val="center"/>
          </w:tcPr>
          <w:p w14:paraId="51478391">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EA4558C">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D557F7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F9AC628">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0FB9D6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1B4C18ED">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14:paraId="75E181D6">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14:paraId="0E14C18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695" w:type="dxa"/>
            <w:gridSpan w:val="2"/>
            <w:tcBorders>
              <w:top w:val="single" w:color="000000" w:sz="4" w:space="0"/>
              <w:left w:val="single" w:color="000000" w:sz="4" w:space="0"/>
              <w:bottom w:val="single" w:color="000000" w:sz="4" w:space="0"/>
              <w:right w:val="single" w:color="000000" w:sz="4" w:space="0"/>
            </w:tcBorders>
            <w:noWrap w:val="0"/>
            <w:vAlign w:val="center"/>
          </w:tcPr>
          <w:p w14:paraId="3CD3AE6F">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099526E7">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r>
      <w:tr w14:paraId="2D9C2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14:paraId="2292C892">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20CA405">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lang w:val="en-US" w:eastAsia="zh-CN" w:bidi="ar"/>
              </w:rPr>
              <w:t>春和一巷6号</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52F2E5B0">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1#梯</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71DBA24">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消防及无障碍梯</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56C41F31">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23AD00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431CBC4A">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7C69F139">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详见需求书</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CFF532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34635C2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noWrap/>
            <w:vAlign w:val="center"/>
          </w:tcPr>
          <w:p w14:paraId="49AFEE4F">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7CDF1FD">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47F9F14">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A78580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2AD4C3B">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71DC0CD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14:paraId="340003FA">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14:paraId="2E3043D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695" w:type="dxa"/>
            <w:gridSpan w:val="2"/>
            <w:tcBorders>
              <w:top w:val="single" w:color="000000" w:sz="4" w:space="0"/>
              <w:left w:val="single" w:color="000000" w:sz="4" w:space="0"/>
              <w:bottom w:val="single" w:color="000000" w:sz="4" w:space="0"/>
              <w:right w:val="single" w:color="000000" w:sz="4" w:space="0"/>
            </w:tcBorders>
            <w:noWrap w:val="0"/>
            <w:vAlign w:val="center"/>
          </w:tcPr>
          <w:p w14:paraId="7C2A4DDA">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5911E683">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r>
      <w:tr w14:paraId="5E6B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14:paraId="7368A055">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39F6897">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lang w:val="en-US" w:eastAsia="zh-CN" w:bidi="ar"/>
              </w:rPr>
              <w:t>春和一巷8号</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0D7D57FC">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1#梯</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C7A68F9">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消防及无障碍梯</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4A3BD5A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72B4FC9">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0C4491AD">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2E83F430">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详见需求书</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2350DA1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41B85FAC">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noWrap/>
            <w:vAlign w:val="center"/>
          </w:tcPr>
          <w:p w14:paraId="5C2086E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3064DF3">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5D2CD1E">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E29ED8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859187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74CB1359">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14:paraId="510C6A19">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14:paraId="3EF6FB8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695" w:type="dxa"/>
            <w:gridSpan w:val="2"/>
            <w:tcBorders>
              <w:top w:val="single" w:color="000000" w:sz="4" w:space="0"/>
              <w:left w:val="single" w:color="000000" w:sz="4" w:space="0"/>
              <w:bottom w:val="single" w:color="000000" w:sz="4" w:space="0"/>
              <w:right w:val="single" w:color="000000" w:sz="4" w:space="0"/>
            </w:tcBorders>
            <w:noWrap w:val="0"/>
            <w:vAlign w:val="center"/>
          </w:tcPr>
          <w:p w14:paraId="1BD17DAA">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1EF0A725">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r>
      <w:tr w14:paraId="696B9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14:paraId="75B135B9">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0F1638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color w:val="auto"/>
                <w:kern w:val="0"/>
                <w:sz w:val="24"/>
                <w:szCs w:val="24"/>
                <w:highlight w:val="none"/>
                <w:lang w:val="en-US" w:eastAsia="zh-CN" w:bidi="ar"/>
              </w:rPr>
              <w:t>春和二巷3号</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783912BC">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1#梯</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9739120">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消防及无障碍梯</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38BF6DE5">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177B84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3BBD73C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53696102">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详见需求书</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BC26662">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0E3E1E40">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noWrap/>
            <w:vAlign w:val="center"/>
          </w:tcPr>
          <w:p w14:paraId="2FDFB3C5">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3FDA7D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CC624C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FAC4FC2">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EC1077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60D93778">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14:paraId="2135F95F">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14:paraId="7170440C">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695" w:type="dxa"/>
            <w:gridSpan w:val="2"/>
            <w:tcBorders>
              <w:top w:val="single" w:color="000000" w:sz="4" w:space="0"/>
              <w:left w:val="single" w:color="000000" w:sz="4" w:space="0"/>
              <w:bottom w:val="single" w:color="000000" w:sz="4" w:space="0"/>
              <w:right w:val="single" w:color="000000" w:sz="4" w:space="0"/>
            </w:tcBorders>
            <w:noWrap w:val="0"/>
            <w:vAlign w:val="center"/>
          </w:tcPr>
          <w:p w14:paraId="234C6ABF">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108DCDEA">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r>
      <w:tr w14:paraId="1C61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14:paraId="310F259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775951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lang w:val="en-US" w:eastAsia="zh-CN" w:bidi="ar"/>
              </w:rPr>
              <w:t>春和二巷5号</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4EAA376E">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1#梯</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188A8DE">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消防及无障碍梯</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3F1BA3F1">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8A5BCE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76D62BD2">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340F6B56">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详见需求书</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A48BEAF">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3DFFEFBC">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noWrap/>
            <w:vAlign w:val="center"/>
          </w:tcPr>
          <w:p w14:paraId="52BD5742">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587B1B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3EFB96E">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5DC67DD">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E8A422C">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5BD23B56">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14:paraId="2F525ABB">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14:paraId="6AA784B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695" w:type="dxa"/>
            <w:gridSpan w:val="2"/>
            <w:tcBorders>
              <w:top w:val="single" w:color="000000" w:sz="4" w:space="0"/>
              <w:left w:val="single" w:color="000000" w:sz="4" w:space="0"/>
              <w:bottom w:val="single" w:color="000000" w:sz="4" w:space="0"/>
              <w:right w:val="single" w:color="000000" w:sz="4" w:space="0"/>
            </w:tcBorders>
            <w:noWrap w:val="0"/>
            <w:vAlign w:val="center"/>
          </w:tcPr>
          <w:p w14:paraId="7F527F8E">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56D675A4">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r>
      <w:tr w14:paraId="327D5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14:paraId="139FBE4A">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1761554">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lang w:bidi="ar"/>
              </w:rPr>
              <w:t>聚德中街6号</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7A7B93B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1#梯</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A90E1EA">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消防及无障碍梯</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53D192CF">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73C0F44">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0C3EFB0D">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02CECC44">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详见需求书</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B94E9B8">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5FA8B0AC">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noWrap/>
            <w:vAlign w:val="center"/>
          </w:tcPr>
          <w:p w14:paraId="4EAF72D8">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06851FE">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409F33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6DBD95A">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B379A7F">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73DF9A2D">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14:paraId="726CD480">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14:paraId="1BE13E73">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695" w:type="dxa"/>
            <w:gridSpan w:val="2"/>
            <w:tcBorders>
              <w:top w:val="single" w:color="000000" w:sz="4" w:space="0"/>
              <w:left w:val="single" w:color="000000" w:sz="4" w:space="0"/>
              <w:bottom w:val="single" w:color="000000" w:sz="4" w:space="0"/>
              <w:right w:val="single" w:color="000000" w:sz="4" w:space="0"/>
            </w:tcBorders>
            <w:noWrap w:val="0"/>
            <w:vAlign w:val="center"/>
          </w:tcPr>
          <w:p w14:paraId="66C7584D">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64307A28">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r>
      <w:tr w14:paraId="676C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14:paraId="6A763AF2">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A23DF26">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color w:val="auto"/>
                <w:kern w:val="0"/>
                <w:sz w:val="24"/>
                <w:szCs w:val="24"/>
                <w:highlight w:val="none"/>
                <w:lang w:bidi="ar"/>
              </w:rPr>
              <w:t>聚德中街</w:t>
            </w:r>
            <w:r>
              <w:rPr>
                <w:rFonts w:hint="eastAsia" w:ascii="宋体" w:hAnsi="宋体" w:eastAsia="宋体" w:cs="宋体"/>
                <w:color w:val="auto"/>
                <w:kern w:val="0"/>
                <w:sz w:val="24"/>
                <w:szCs w:val="24"/>
                <w:highlight w:val="none"/>
                <w:lang w:val="en-US" w:eastAsia="zh-CN" w:bidi="ar"/>
              </w:rPr>
              <w:t>8号</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34487457">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1#梯</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2F82248">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消防及无障碍梯</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03FCC641">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57DA126">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0CA9994E">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77EC65AE">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详见需求书</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C3EB43C">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0449561A">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noWrap/>
            <w:vAlign w:val="center"/>
          </w:tcPr>
          <w:p w14:paraId="1FF571D0">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E6AF282">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CD0002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88DE713">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14FCEC3">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53E031AF">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14:paraId="69CBD40C">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14:paraId="038B896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695" w:type="dxa"/>
            <w:gridSpan w:val="2"/>
            <w:tcBorders>
              <w:top w:val="single" w:color="000000" w:sz="4" w:space="0"/>
              <w:left w:val="single" w:color="000000" w:sz="4" w:space="0"/>
              <w:bottom w:val="single" w:color="000000" w:sz="4" w:space="0"/>
              <w:right w:val="single" w:color="000000" w:sz="4" w:space="0"/>
            </w:tcBorders>
            <w:noWrap w:val="0"/>
            <w:vAlign w:val="center"/>
          </w:tcPr>
          <w:p w14:paraId="2A10532E">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7EB41B26">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r>
      <w:tr w14:paraId="181A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6" w:type="dxa"/>
            <w:tcBorders>
              <w:top w:val="single" w:color="000000" w:sz="4" w:space="0"/>
              <w:left w:val="single" w:color="000000" w:sz="4" w:space="0"/>
              <w:bottom w:val="single" w:color="000000" w:sz="4" w:space="0"/>
              <w:right w:val="single" w:color="000000" w:sz="4" w:space="0"/>
            </w:tcBorders>
            <w:noWrap/>
            <w:vAlign w:val="center"/>
          </w:tcPr>
          <w:p w14:paraId="211608FA">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B12211E">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lang w:bidi="ar"/>
              </w:rPr>
              <w:t>聚德中街</w:t>
            </w:r>
            <w:r>
              <w:rPr>
                <w:rFonts w:hint="eastAsia" w:ascii="宋体" w:hAnsi="宋体" w:eastAsia="宋体" w:cs="宋体"/>
                <w:color w:val="auto"/>
                <w:kern w:val="0"/>
                <w:sz w:val="24"/>
                <w:szCs w:val="24"/>
                <w:highlight w:val="none"/>
                <w:lang w:val="en-US" w:eastAsia="zh-CN" w:bidi="ar"/>
              </w:rPr>
              <w:t>10号</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14:paraId="55EBC891">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1#梯</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7313DB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消防及无障碍梯</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7272CB5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6922D44">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6128B0E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5B203022">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详见需求书</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19BA17A">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7C31E8FD">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noWrap/>
            <w:vAlign w:val="center"/>
          </w:tcPr>
          <w:p w14:paraId="3D0FB1C9">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6E8DFE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3D13088">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3C90F7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0735E4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13BBF561">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14:paraId="0B22E37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14:paraId="02FB1D8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695" w:type="dxa"/>
            <w:gridSpan w:val="2"/>
            <w:tcBorders>
              <w:top w:val="single" w:color="000000" w:sz="4" w:space="0"/>
              <w:left w:val="single" w:color="000000" w:sz="4" w:space="0"/>
              <w:bottom w:val="single" w:color="000000" w:sz="4" w:space="0"/>
              <w:right w:val="single" w:color="000000" w:sz="4" w:space="0"/>
            </w:tcBorders>
            <w:noWrap w:val="0"/>
            <w:vAlign w:val="center"/>
          </w:tcPr>
          <w:p w14:paraId="476CBCD3">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6953061E">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r>
      <w:tr w14:paraId="3CE37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7330BA1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8192" w:type="dxa"/>
            <w:gridSpan w:val="8"/>
            <w:tcBorders>
              <w:top w:val="single" w:color="000000" w:sz="4" w:space="0"/>
              <w:left w:val="single" w:color="000000" w:sz="4" w:space="0"/>
              <w:bottom w:val="single" w:color="000000" w:sz="4" w:space="0"/>
              <w:right w:val="single" w:color="000000" w:sz="4" w:space="0"/>
            </w:tcBorders>
            <w:noWrap w:val="0"/>
            <w:vAlign w:val="center"/>
          </w:tcPr>
          <w:p w14:paraId="097B1C35">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小计</w:t>
            </w:r>
          </w:p>
        </w:tc>
        <w:tc>
          <w:tcPr>
            <w:tcW w:w="652" w:type="dxa"/>
            <w:tcBorders>
              <w:top w:val="single" w:color="000000" w:sz="4" w:space="0"/>
              <w:left w:val="single" w:color="000000" w:sz="4" w:space="0"/>
              <w:bottom w:val="single" w:color="000000" w:sz="4" w:space="0"/>
              <w:right w:val="nil"/>
            </w:tcBorders>
            <w:noWrap/>
            <w:vAlign w:val="center"/>
          </w:tcPr>
          <w:p w14:paraId="1021D6BD">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noWrap/>
            <w:vAlign w:val="center"/>
          </w:tcPr>
          <w:p w14:paraId="40FF3C38">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4886A8C">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DC5240D">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A100F89">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8E11EB">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c>
          <w:tcPr>
            <w:tcW w:w="1876" w:type="dxa"/>
            <w:gridSpan w:val="2"/>
            <w:tcBorders>
              <w:top w:val="single" w:color="000000" w:sz="4" w:space="0"/>
              <w:left w:val="single" w:color="000000" w:sz="4" w:space="0"/>
              <w:bottom w:val="single" w:color="000000" w:sz="4" w:space="0"/>
              <w:right w:val="single" w:color="000000" w:sz="4" w:space="0"/>
            </w:tcBorders>
            <w:noWrap w:val="0"/>
            <w:vAlign w:val="center"/>
          </w:tcPr>
          <w:p w14:paraId="6A2BDBEC">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14:paraId="424638CA">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c>
          <w:tcPr>
            <w:tcW w:w="1149" w:type="dxa"/>
            <w:gridSpan w:val="2"/>
            <w:tcBorders>
              <w:top w:val="single" w:color="000000" w:sz="4" w:space="0"/>
              <w:left w:val="single" w:color="000000" w:sz="4" w:space="0"/>
              <w:bottom w:val="single" w:color="000000" w:sz="4" w:space="0"/>
              <w:right w:val="single" w:color="000000" w:sz="4" w:space="0"/>
            </w:tcBorders>
            <w:noWrap w:val="0"/>
            <w:vAlign w:val="center"/>
          </w:tcPr>
          <w:p w14:paraId="5AE27AF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14:paraId="71F3C47D">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5B8493CE">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r>
      <w:tr w14:paraId="4210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664A2AB3">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w:t>
            </w:r>
          </w:p>
        </w:tc>
        <w:tc>
          <w:tcPr>
            <w:tcW w:w="8192" w:type="dxa"/>
            <w:gridSpan w:val="8"/>
            <w:tcBorders>
              <w:top w:val="single" w:color="000000" w:sz="4" w:space="0"/>
              <w:left w:val="single" w:color="000000" w:sz="4" w:space="0"/>
              <w:bottom w:val="single" w:color="000000" w:sz="4" w:space="0"/>
              <w:right w:val="single" w:color="000000" w:sz="4" w:space="0"/>
            </w:tcBorders>
            <w:noWrap w:val="0"/>
            <w:vAlign w:val="center"/>
          </w:tcPr>
          <w:p w14:paraId="4AD6EAC5">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暂列金额</w:t>
            </w:r>
          </w:p>
        </w:tc>
        <w:tc>
          <w:tcPr>
            <w:tcW w:w="652" w:type="dxa"/>
            <w:tcBorders>
              <w:top w:val="single" w:color="000000" w:sz="4" w:space="0"/>
              <w:left w:val="single" w:color="000000" w:sz="4" w:space="0"/>
              <w:bottom w:val="single" w:color="000000" w:sz="4" w:space="0"/>
              <w:right w:val="nil"/>
            </w:tcBorders>
            <w:noWrap w:val="0"/>
            <w:vAlign w:val="center"/>
          </w:tcPr>
          <w:p w14:paraId="00CA3C62">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w:t>
            </w:r>
          </w:p>
        </w:tc>
        <w:tc>
          <w:tcPr>
            <w:tcW w:w="11967" w:type="dxa"/>
            <w:gridSpan w:val="12"/>
            <w:tcBorders>
              <w:top w:val="single" w:color="000000" w:sz="4" w:space="0"/>
              <w:left w:val="single" w:color="000000" w:sz="4" w:space="0"/>
              <w:bottom w:val="single" w:color="000000" w:sz="4" w:space="0"/>
              <w:right w:val="single" w:color="000000" w:sz="4" w:space="0"/>
            </w:tcBorders>
            <w:noWrap w:val="0"/>
            <w:vAlign w:val="center"/>
          </w:tcPr>
          <w:p w14:paraId="02808017">
            <w:pPr>
              <w:keepNext w:val="0"/>
              <w:keepLines w:val="0"/>
              <w:pageBreakBefore w:val="0"/>
              <w:widowControl/>
              <w:suppressLineNumbers w:val="0"/>
              <w:kinsoku/>
              <w:wordWrap/>
              <w:overflowPunct/>
              <w:topLinePunct w:val="0"/>
              <w:autoSpaceDE/>
              <w:autoSpaceDN/>
              <w:bidi w:val="0"/>
              <w:adjustRightInd/>
              <w:snapToGrid/>
              <w:spacing w:after="0"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188,786.67</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018249BA">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r>
      <w:tr w14:paraId="6B623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2552C04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w:t>
            </w:r>
          </w:p>
        </w:tc>
        <w:tc>
          <w:tcPr>
            <w:tcW w:w="8192" w:type="dxa"/>
            <w:gridSpan w:val="8"/>
            <w:tcBorders>
              <w:top w:val="single" w:color="000000" w:sz="4" w:space="0"/>
              <w:left w:val="single" w:color="000000" w:sz="4" w:space="0"/>
              <w:bottom w:val="single" w:color="000000" w:sz="4" w:space="0"/>
              <w:right w:val="single" w:color="000000" w:sz="4" w:space="0"/>
            </w:tcBorders>
            <w:noWrap w:val="0"/>
            <w:vAlign w:val="center"/>
          </w:tcPr>
          <w:p w14:paraId="11C9EC6B">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电梯设备和安装及拆改合计（含暂列金额）（一+二）</w:t>
            </w:r>
          </w:p>
        </w:tc>
        <w:tc>
          <w:tcPr>
            <w:tcW w:w="652" w:type="dxa"/>
            <w:tcBorders>
              <w:top w:val="single" w:color="000000" w:sz="4" w:space="0"/>
              <w:left w:val="single" w:color="000000" w:sz="4" w:space="0"/>
              <w:bottom w:val="single" w:color="000000" w:sz="4" w:space="0"/>
              <w:right w:val="nil"/>
            </w:tcBorders>
            <w:noWrap w:val="0"/>
            <w:vAlign w:val="center"/>
          </w:tcPr>
          <w:p w14:paraId="467865E9">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w:t>
            </w:r>
          </w:p>
        </w:tc>
        <w:tc>
          <w:tcPr>
            <w:tcW w:w="11967" w:type="dxa"/>
            <w:gridSpan w:val="12"/>
            <w:tcBorders>
              <w:top w:val="single" w:color="000000" w:sz="4" w:space="0"/>
              <w:left w:val="single" w:color="000000" w:sz="4" w:space="0"/>
              <w:bottom w:val="single" w:color="000000" w:sz="4" w:space="0"/>
              <w:right w:val="single" w:color="000000" w:sz="4" w:space="0"/>
            </w:tcBorders>
            <w:noWrap w:val="0"/>
            <w:vAlign w:val="center"/>
          </w:tcPr>
          <w:p w14:paraId="145220A7">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3B1AFA19">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r>
      <w:tr w14:paraId="3BA46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3FFB37BC">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w:t>
            </w:r>
          </w:p>
        </w:tc>
        <w:tc>
          <w:tcPr>
            <w:tcW w:w="8192" w:type="dxa"/>
            <w:gridSpan w:val="8"/>
            <w:tcBorders>
              <w:top w:val="single" w:color="000000" w:sz="4" w:space="0"/>
              <w:left w:val="single" w:color="000000" w:sz="4" w:space="0"/>
              <w:bottom w:val="single" w:color="000000" w:sz="4" w:space="0"/>
              <w:right w:val="single" w:color="000000" w:sz="4" w:space="0"/>
            </w:tcBorders>
            <w:noWrap w:val="0"/>
            <w:vAlign w:val="center"/>
          </w:tcPr>
          <w:p w14:paraId="0697F36C">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残值回收费用</w:t>
            </w:r>
          </w:p>
        </w:tc>
        <w:tc>
          <w:tcPr>
            <w:tcW w:w="652" w:type="dxa"/>
            <w:tcBorders>
              <w:top w:val="single" w:color="000000" w:sz="4" w:space="0"/>
              <w:left w:val="single" w:color="000000" w:sz="4" w:space="0"/>
              <w:bottom w:val="single" w:color="000000" w:sz="4" w:space="0"/>
              <w:right w:val="nil"/>
            </w:tcBorders>
            <w:noWrap w:val="0"/>
            <w:vAlign w:val="center"/>
          </w:tcPr>
          <w:p w14:paraId="597EE3A4">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w:t>
            </w:r>
          </w:p>
        </w:tc>
        <w:tc>
          <w:tcPr>
            <w:tcW w:w="11967" w:type="dxa"/>
            <w:gridSpan w:val="12"/>
            <w:tcBorders>
              <w:top w:val="single" w:color="000000" w:sz="4" w:space="0"/>
              <w:left w:val="single" w:color="000000" w:sz="4" w:space="0"/>
              <w:bottom w:val="single" w:color="000000" w:sz="4" w:space="0"/>
              <w:right w:val="single" w:color="000000" w:sz="4" w:space="0"/>
            </w:tcBorders>
            <w:noWrap w:val="0"/>
            <w:vAlign w:val="center"/>
          </w:tcPr>
          <w:p w14:paraId="6D49D8F5">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62B1EB54">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r>
      <w:tr w14:paraId="0B510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1289E34D">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w:t>
            </w:r>
          </w:p>
        </w:tc>
        <w:tc>
          <w:tcPr>
            <w:tcW w:w="8192" w:type="dxa"/>
            <w:gridSpan w:val="8"/>
            <w:tcBorders>
              <w:top w:val="single" w:color="000000" w:sz="4" w:space="0"/>
              <w:left w:val="single" w:color="000000" w:sz="4" w:space="0"/>
              <w:bottom w:val="single" w:color="000000" w:sz="4" w:space="0"/>
              <w:right w:val="single" w:color="000000" w:sz="4" w:space="0"/>
            </w:tcBorders>
            <w:noWrap w:val="0"/>
            <w:vAlign w:val="center"/>
          </w:tcPr>
          <w:p w14:paraId="0A91F99E">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总计(三-四)</w:t>
            </w:r>
          </w:p>
        </w:tc>
        <w:tc>
          <w:tcPr>
            <w:tcW w:w="652" w:type="dxa"/>
            <w:tcBorders>
              <w:top w:val="single" w:color="000000" w:sz="4" w:space="0"/>
              <w:left w:val="single" w:color="000000" w:sz="4" w:space="0"/>
              <w:bottom w:val="single" w:color="000000" w:sz="4" w:space="0"/>
              <w:right w:val="nil"/>
            </w:tcBorders>
            <w:noWrap w:val="0"/>
            <w:vAlign w:val="center"/>
          </w:tcPr>
          <w:p w14:paraId="356A4A00">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w:t>
            </w:r>
          </w:p>
        </w:tc>
        <w:tc>
          <w:tcPr>
            <w:tcW w:w="11967" w:type="dxa"/>
            <w:gridSpan w:val="12"/>
            <w:tcBorders>
              <w:top w:val="nil"/>
              <w:left w:val="single" w:color="000000" w:sz="4" w:space="0"/>
              <w:bottom w:val="single" w:color="000000" w:sz="4" w:space="0"/>
              <w:right w:val="single" w:color="000000" w:sz="4" w:space="0"/>
            </w:tcBorders>
            <w:noWrap w:val="0"/>
            <w:vAlign w:val="center"/>
          </w:tcPr>
          <w:p w14:paraId="1DFC9D52">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i w:val="0"/>
                <w:iCs w:val="0"/>
                <w:color w:val="auto"/>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215698AF">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i w:val="0"/>
                <w:iCs w:val="0"/>
                <w:color w:val="auto"/>
                <w:sz w:val="24"/>
                <w:szCs w:val="24"/>
                <w:highlight w:val="none"/>
                <w:u w:val="none"/>
              </w:rPr>
            </w:pPr>
          </w:p>
        </w:tc>
      </w:tr>
      <w:tr w14:paraId="6956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7" w:hRule="atLeast"/>
          <w:jc w:val="center"/>
        </w:trPr>
        <w:tc>
          <w:tcPr>
            <w:tcW w:w="766" w:type="dxa"/>
            <w:tcBorders>
              <w:top w:val="nil"/>
              <w:left w:val="nil"/>
              <w:bottom w:val="nil"/>
              <w:right w:val="nil"/>
            </w:tcBorders>
            <w:noWrap/>
            <w:vAlign w:val="center"/>
          </w:tcPr>
          <w:p w14:paraId="0324D1FE">
            <w:pPr>
              <w:keepNext w:val="0"/>
              <w:keepLines w:val="0"/>
              <w:pageBreakBefore w:val="0"/>
              <w:widowControl/>
              <w:suppressLineNumbers w:val="0"/>
              <w:kinsoku/>
              <w:wordWrap/>
              <w:overflowPunct/>
              <w:topLinePunct w:val="0"/>
              <w:autoSpaceDE/>
              <w:autoSpaceDN/>
              <w:bidi w:val="0"/>
              <w:adjustRightInd/>
              <w:snapToGrid/>
              <w:spacing w:after="0"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注明：</w:t>
            </w:r>
          </w:p>
        </w:tc>
        <w:tc>
          <w:tcPr>
            <w:tcW w:w="21894" w:type="dxa"/>
            <w:gridSpan w:val="22"/>
            <w:tcBorders>
              <w:top w:val="nil"/>
              <w:left w:val="nil"/>
              <w:bottom w:val="nil"/>
              <w:right w:val="nil"/>
            </w:tcBorders>
            <w:noWrap w:val="0"/>
            <w:vAlign w:val="center"/>
          </w:tcPr>
          <w:p w14:paraId="0A72CEF4">
            <w:pPr>
              <w:pStyle w:val="36"/>
              <w:keepNext w:val="0"/>
              <w:keepLines w:val="0"/>
              <w:pageBreakBefore w:val="0"/>
              <w:kinsoku/>
              <w:wordWrap/>
              <w:overflowPunct/>
              <w:topLinePunct w:val="0"/>
              <w:autoSpaceDE/>
              <w:autoSpaceDN/>
              <w:bidi w:val="0"/>
              <w:adjustRightInd/>
              <w:snapToGrid/>
              <w:spacing w:after="0" w:line="440" w:lineRule="exact"/>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bookmarkStart w:id="43" w:name="OLE_LINK25"/>
            <w:r>
              <w:rPr>
                <w:rFonts w:hint="eastAsia" w:ascii="宋体" w:hAnsi="宋体" w:eastAsia="宋体" w:cs="宋体"/>
                <w:i w:val="0"/>
                <w:iCs w:val="0"/>
                <w:color w:val="auto"/>
                <w:kern w:val="0"/>
                <w:sz w:val="24"/>
                <w:szCs w:val="24"/>
                <w:highlight w:val="none"/>
                <w:u w:val="none"/>
                <w:lang w:val="en-US" w:eastAsia="zh-CN" w:bidi="ar"/>
              </w:rPr>
              <w:t>综合单价</w:t>
            </w:r>
            <w:bookmarkEnd w:id="43"/>
            <w:r>
              <w:rPr>
                <w:rFonts w:hint="eastAsia" w:ascii="宋体" w:hAnsi="宋体" w:eastAsia="宋体" w:cs="宋体"/>
                <w:i w:val="0"/>
                <w:iCs w:val="0"/>
                <w:color w:val="auto"/>
                <w:kern w:val="0"/>
                <w:sz w:val="24"/>
                <w:szCs w:val="24"/>
                <w:highlight w:val="none"/>
                <w:u w:val="none"/>
                <w:lang w:val="en-US" w:eastAsia="zh-CN" w:bidi="ar"/>
              </w:rPr>
              <w:t>为完全单价，包含但不限于完成该项内容所需的设计、生产、供货、包装、运输、装卸、储存、保管、搬运就位、安装、调试、培训、技术服务（包括设计联络）、验收（包括政府有关单位的验收）、结算、系统试运行、取得《安全检验合格证》和《电梯使用登记证》并负责办理相关备案手续、质保期内维修保养（含年检费等）、缺陷修复、按承诺提供质量保证期服务的人工和材料费用以及保险、税费、管理费、利润、合同明示或暗示的所有一般风险、责任和义务的费用和由于本项目性质的特殊性对供货期造成影响所需发生的一切相关费用。</w:t>
            </w:r>
          </w:p>
          <w:p w14:paraId="6B17E079">
            <w:pPr>
              <w:pStyle w:val="36"/>
              <w:keepNext w:val="0"/>
              <w:keepLines w:val="0"/>
              <w:pageBreakBefore w:val="0"/>
              <w:kinsoku/>
              <w:wordWrap/>
              <w:overflowPunct/>
              <w:topLinePunct w:val="0"/>
              <w:autoSpaceDE/>
              <w:autoSpaceDN/>
              <w:bidi w:val="0"/>
              <w:adjustRightInd/>
              <w:snapToGrid/>
              <w:spacing w:after="0" w:line="440" w:lineRule="exac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2、拆除原有电梯所有部件</w:t>
            </w:r>
            <w:r>
              <w:rPr>
                <w:rFonts w:hint="eastAsia" w:ascii="宋体" w:hAnsi="宋体" w:eastAsia="宋体" w:cs="宋体"/>
                <w:color w:val="auto"/>
                <w:kern w:val="0"/>
                <w:sz w:val="24"/>
                <w:szCs w:val="24"/>
                <w:highlight w:val="none"/>
                <w:u w:val="none"/>
                <w:lang w:val="en-US" w:eastAsia="zh-CN" w:bidi="ar"/>
              </w:rPr>
              <w:t>（包括楼层踏板及门套，除首层厅门门套除锈打磨翻新处理）</w:t>
            </w:r>
            <w:r>
              <w:rPr>
                <w:rFonts w:hint="eastAsia" w:ascii="宋体" w:hAnsi="宋体" w:eastAsia="宋体" w:cs="宋体"/>
                <w:i w:val="0"/>
                <w:iCs w:val="0"/>
                <w:color w:val="auto"/>
                <w:kern w:val="0"/>
                <w:sz w:val="24"/>
                <w:szCs w:val="24"/>
                <w:highlight w:val="none"/>
                <w:u w:val="none"/>
                <w:lang w:val="en-US" w:eastAsia="zh-CN" w:bidi="ar"/>
              </w:rPr>
              <w:t>，并负责清运、处理；</w:t>
            </w:r>
            <w:r>
              <w:rPr>
                <w:rFonts w:hint="eastAsia" w:ascii="宋体" w:hAnsi="宋体" w:cs="宋体"/>
                <w:i w:val="0"/>
                <w:iCs w:val="0"/>
                <w:color w:val="auto"/>
                <w:kern w:val="0"/>
                <w:sz w:val="24"/>
                <w:szCs w:val="24"/>
                <w:highlight w:val="none"/>
                <w:u w:val="none"/>
                <w:lang w:val="en-US" w:eastAsia="zh-CN" w:bidi="ar"/>
              </w:rPr>
              <w:t>对</w:t>
            </w:r>
            <w:r>
              <w:rPr>
                <w:rFonts w:hint="eastAsia" w:ascii="宋体" w:hAnsi="宋体" w:eastAsia="宋体" w:cs="宋体"/>
                <w:i w:val="0"/>
                <w:iCs w:val="0"/>
                <w:color w:val="auto"/>
                <w:kern w:val="0"/>
                <w:sz w:val="24"/>
                <w:szCs w:val="24"/>
                <w:highlight w:val="none"/>
                <w:u w:val="none"/>
                <w:lang w:val="en-US" w:eastAsia="zh-CN" w:bidi="ar"/>
              </w:rPr>
              <w:t>原有电梯底坑、井道、机房等改造修整，满足新电梯安装要求。</w:t>
            </w:r>
          </w:p>
          <w:p w14:paraId="703B0969">
            <w:pPr>
              <w:pStyle w:val="36"/>
              <w:keepNext w:val="0"/>
              <w:keepLines w:val="0"/>
              <w:pageBreakBefore w:val="0"/>
              <w:kinsoku/>
              <w:wordWrap/>
              <w:overflowPunct/>
              <w:topLinePunct w:val="0"/>
              <w:autoSpaceDE/>
              <w:autoSpaceDN/>
              <w:bidi w:val="0"/>
              <w:adjustRightInd/>
              <w:snapToGrid/>
              <w:spacing w:after="0" w:line="440" w:lineRule="exac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3、残值回收包含但不限于电梯本体、导轨、门套等钢材回收及清运等。</w:t>
            </w:r>
          </w:p>
          <w:p w14:paraId="2C283784">
            <w:pPr>
              <w:pStyle w:val="36"/>
              <w:keepNext w:val="0"/>
              <w:keepLines w:val="0"/>
              <w:pageBreakBefore w:val="0"/>
              <w:widowControl/>
              <w:suppressLineNumbers w:val="0"/>
              <w:kinsoku/>
              <w:wordWrap/>
              <w:overflowPunct/>
              <w:topLinePunct w:val="0"/>
              <w:autoSpaceDE/>
              <w:autoSpaceDN/>
              <w:bidi w:val="0"/>
              <w:adjustRightInd/>
              <w:snapToGrid/>
              <w:spacing w:after="0"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eastAsia="宋体" w:cs="宋体"/>
                <w:color w:val="auto"/>
                <w:kern w:val="0"/>
                <w:sz w:val="24"/>
                <w:szCs w:val="24"/>
                <w:highlight w:val="none"/>
                <w:u w:val="none"/>
                <w:lang w:bidi="ar"/>
              </w:rPr>
              <w:t>本项目为交钥匙工程，除外部电源外其余工作及费用均由中标人承担，中标人负责完成所需电梯设备的设计、制造、供应、包装、运输、安装、调试、试运行、验收（含通过特种设备监督检验中心验收及项目整体验收）及售后服务。</w:t>
            </w:r>
          </w:p>
        </w:tc>
      </w:tr>
      <w:bookmarkEnd w:id="36"/>
      <w:bookmarkEnd w:id="37"/>
      <w:bookmarkEnd w:id="38"/>
      <w:bookmarkEnd w:id="39"/>
    </w:tbl>
    <w:p w14:paraId="5794C32C">
      <w:pPr>
        <w:widowControl/>
        <w:spacing w:line="360" w:lineRule="auto"/>
        <w:jc w:val="left"/>
        <w:rPr>
          <w:rFonts w:hint="eastAsia" w:ascii="宋体" w:hAnsi="宋体" w:eastAsia="宋体" w:cs="宋体"/>
          <w:color w:val="auto"/>
          <w:highlight w:val="none"/>
        </w:rPr>
      </w:pPr>
    </w:p>
    <w:sectPr>
      <w:endnotePr>
        <w:numFmt w:val="decimal"/>
      </w:endnotePr>
      <w:pgSz w:w="23811" w:h="16838" w:orient="landscape"/>
      <w:pgMar w:top="1587" w:right="1247" w:bottom="1417" w:left="1134" w:header="851" w:footer="907" w:gutter="0"/>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59BC9">
    <w:pPr>
      <w:pStyle w:val="13"/>
      <w:tabs>
        <w:tab w:val="center" w:pos="4224"/>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A016C">
    <w:pPr>
      <w:pStyle w:val="13"/>
      <w:suppressLineNumbers/>
      <w:jc w:val="left"/>
    </w:pPr>
    <w:r>
      <w:rPr>
        <w:sz w:val="18"/>
      </w:rPr>
      <w:pict>
        <v:shape id="_x0000_s4105" o:spid="_x0000_s410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5A995F8">
                <w:pPr>
                  <w:pStyle w:val="13"/>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w:r>
    <w:r>
      <w:rPr>
        <w:sz w:val="18"/>
      </w:rPr>
      <w:pict>
        <v:shape id="_x0000_s4106" o:spid="_x0000_s410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BE2B9A4">
                <w:pPr>
                  <w:pStyle w:val="13"/>
                  <w:suppressLineNumbers/>
                  <w:jc w:val="left"/>
                </w:pPr>
              </w:p>
              <w:p w14:paraId="45CC1A5B"/>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E70D">
    <w:pPr>
      <w:pStyle w:val="13"/>
      <w:jc w:val="center"/>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0CA6C48">
                <w:pPr>
                  <w:pStyle w:val="13"/>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DE777">
    <w:pPr>
      <w:pStyle w:val="13"/>
      <w:rPr>
        <w:rStyle w:val="22"/>
      </w:rP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12F76EB">
                <w:pPr>
                  <w:pStyle w:val="13"/>
                </w:pPr>
                <w:r>
                  <w:fldChar w:fldCharType="begin"/>
                </w:r>
                <w:r>
                  <w:instrText xml:space="preserve"> PAGE  \* MERGEFORMAT </w:instrText>
                </w:r>
                <w:r>
                  <w:fldChar w:fldCharType="separate"/>
                </w:r>
                <w:r>
                  <w:t>1</w:t>
                </w:r>
                <w:r>
                  <w:fldChar w:fldCharType="end"/>
                </w:r>
              </w:p>
            </w:txbxContent>
          </v:textbox>
        </v:shape>
      </w:pict>
    </w:r>
  </w:p>
  <w:p w14:paraId="2AF1941E">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9190D">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CA095">
    <w:pPr>
      <w:pStyle w:val="14"/>
      <w:pBdr>
        <w:bottom w:val="none" w:color="auto" w:sz="0" w:space="2"/>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E8D72"/>
    <w:multiLevelType w:val="singleLevel"/>
    <w:tmpl w:val="A60E8D72"/>
    <w:lvl w:ilvl="0" w:tentative="0">
      <w:start w:val="7"/>
      <w:numFmt w:val="chineseCounting"/>
      <w:suff w:val="nothing"/>
      <w:lvlText w:val="%1、"/>
      <w:lvlJc w:val="left"/>
      <w:rPr>
        <w:rFonts w:hint="eastAsia"/>
      </w:rPr>
    </w:lvl>
  </w:abstractNum>
  <w:abstractNum w:abstractNumId="1">
    <w:nsid w:val="DFD615E8"/>
    <w:multiLevelType w:val="singleLevel"/>
    <w:tmpl w:val="DFD615E8"/>
    <w:lvl w:ilvl="0" w:tentative="0">
      <w:start w:val="3"/>
      <w:numFmt w:val="decimal"/>
      <w:suff w:val="nothing"/>
      <w:lvlText w:val="%1、"/>
      <w:lvlJc w:val="left"/>
    </w:lvl>
  </w:abstractNum>
  <w:abstractNum w:abstractNumId="2">
    <w:nsid w:val="30F4D7EB"/>
    <w:multiLevelType w:val="singleLevel"/>
    <w:tmpl w:val="30F4D7EB"/>
    <w:lvl w:ilvl="0" w:tentative="0">
      <w:start w:val="2"/>
      <w:numFmt w:val="decimal"/>
      <w:suff w:val="nothing"/>
      <w:lvlText w:val="（%1）"/>
      <w:lvlJc w:val="left"/>
    </w:lvl>
  </w:abstractNum>
  <w:abstractNum w:abstractNumId="3">
    <w:nsid w:val="6C36E3AF"/>
    <w:multiLevelType w:val="singleLevel"/>
    <w:tmpl w:val="6C36E3AF"/>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FhYmYwNjhkNjhhZDljNWIzNWJmMjk2YjFlYWQ5YTUifQ=="/>
    <w:docVar w:name="KSO_WPS_MARK_KEY" w:val="f3a8e759-7970-47ee-8789-95f2b3dd4c89"/>
  </w:docVars>
  <w:rsids>
    <w:rsidRoot w:val="00F039D4"/>
    <w:rsid w:val="00006ACC"/>
    <w:rsid w:val="00006C07"/>
    <w:rsid w:val="00013984"/>
    <w:rsid w:val="00014E2C"/>
    <w:rsid w:val="00030729"/>
    <w:rsid w:val="00031E81"/>
    <w:rsid w:val="0003219E"/>
    <w:rsid w:val="00032A5A"/>
    <w:rsid w:val="00047413"/>
    <w:rsid w:val="0005449B"/>
    <w:rsid w:val="000607A7"/>
    <w:rsid w:val="00074D2A"/>
    <w:rsid w:val="000770B9"/>
    <w:rsid w:val="000808AB"/>
    <w:rsid w:val="00091581"/>
    <w:rsid w:val="00096AC3"/>
    <w:rsid w:val="000A6394"/>
    <w:rsid w:val="000C0EE2"/>
    <w:rsid w:val="000D071F"/>
    <w:rsid w:val="000D5E50"/>
    <w:rsid w:val="000E06A9"/>
    <w:rsid w:val="000E21AF"/>
    <w:rsid w:val="000F3FE4"/>
    <w:rsid w:val="000F4602"/>
    <w:rsid w:val="000F6B63"/>
    <w:rsid w:val="00101A3A"/>
    <w:rsid w:val="00104292"/>
    <w:rsid w:val="00105003"/>
    <w:rsid w:val="00105EB8"/>
    <w:rsid w:val="00113423"/>
    <w:rsid w:val="0012675E"/>
    <w:rsid w:val="00140573"/>
    <w:rsid w:val="00143CB1"/>
    <w:rsid w:val="00151A85"/>
    <w:rsid w:val="00154532"/>
    <w:rsid w:val="001554BA"/>
    <w:rsid w:val="00167E1E"/>
    <w:rsid w:val="00181F8A"/>
    <w:rsid w:val="00182723"/>
    <w:rsid w:val="00187DED"/>
    <w:rsid w:val="0019329F"/>
    <w:rsid w:val="001A25D3"/>
    <w:rsid w:val="001A4336"/>
    <w:rsid w:val="001A6DFC"/>
    <w:rsid w:val="001B263E"/>
    <w:rsid w:val="001B7C4C"/>
    <w:rsid w:val="0020351D"/>
    <w:rsid w:val="0020494B"/>
    <w:rsid w:val="00204A2F"/>
    <w:rsid w:val="00205FF2"/>
    <w:rsid w:val="0020731F"/>
    <w:rsid w:val="00211F9A"/>
    <w:rsid w:val="00211FE0"/>
    <w:rsid w:val="0023041E"/>
    <w:rsid w:val="002336B0"/>
    <w:rsid w:val="00236AF2"/>
    <w:rsid w:val="00237E0B"/>
    <w:rsid w:val="00243796"/>
    <w:rsid w:val="00252CDC"/>
    <w:rsid w:val="002567DE"/>
    <w:rsid w:val="00260ADC"/>
    <w:rsid w:val="00263CBE"/>
    <w:rsid w:val="00272ABB"/>
    <w:rsid w:val="002741D8"/>
    <w:rsid w:val="00274DFB"/>
    <w:rsid w:val="0027591C"/>
    <w:rsid w:val="00287813"/>
    <w:rsid w:val="002911D9"/>
    <w:rsid w:val="002935F5"/>
    <w:rsid w:val="00293798"/>
    <w:rsid w:val="002A202A"/>
    <w:rsid w:val="002A555E"/>
    <w:rsid w:val="002B3844"/>
    <w:rsid w:val="002C1CA2"/>
    <w:rsid w:val="002C1DB3"/>
    <w:rsid w:val="002C456E"/>
    <w:rsid w:val="002C4DE8"/>
    <w:rsid w:val="002D0607"/>
    <w:rsid w:val="002D2232"/>
    <w:rsid w:val="002E0FBF"/>
    <w:rsid w:val="002E14A3"/>
    <w:rsid w:val="002E18CB"/>
    <w:rsid w:val="002F0091"/>
    <w:rsid w:val="002F19B9"/>
    <w:rsid w:val="002F1AB1"/>
    <w:rsid w:val="002F33A6"/>
    <w:rsid w:val="0030449D"/>
    <w:rsid w:val="003113BE"/>
    <w:rsid w:val="00323195"/>
    <w:rsid w:val="0032498B"/>
    <w:rsid w:val="00325B0C"/>
    <w:rsid w:val="00337E94"/>
    <w:rsid w:val="003429B5"/>
    <w:rsid w:val="00346A39"/>
    <w:rsid w:val="00347C59"/>
    <w:rsid w:val="0035717D"/>
    <w:rsid w:val="003718F9"/>
    <w:rsid w:val="00373AF7"/>
    <w:rsid w:val="003776AC"/>
    <w:rsid w:val="00385B44"/>
    <w:rsid w:val="0039461E"/>
    <w:rsid w:val="0039700F"/>
    <w:rsid w:val="003A21EF"/>
    <w:rsid w:val="003A6D50"/>
    <w:rsid w:val="003C180E"/>
    <w:rsid w:val="003D4C6F"/>
    <w:rsid w:val="003D7AE2"/>
    <w:rsid w:val="003E59B1"/>
    <w:rsid w:val="003E5E66"/>
    <w:rsid w:val="003F7BA7"/>
    <w:rsid w:val="00404AC8"/>
    <w:rsid w:val="00416B99"/>
    <w:rsid w:val="00416D54"/>
    <w:rsid w:val="004350D4"/>
    <w:rsid w:val="00446DF1"/>
    <w:rsid w:val="0045134B"/>
    <w:rsid w:val="004560F0"/>
    <w:rsid w:val="00461453"/>
    <w:rsid w:val="00462893"/>
    <w:rsid w:val="00463401"/>
    <w:rsid w:val="0046429E"/>
    <w:rsid w:val="0047250E"/>
    <w:rsid w:val="00476D0F"/>
    <w:rsid w:val="00480461"/>
    <w:rsid w:val="004A17C0"/>
    <w:rsid w:val="004A3E0C"/>
    <w:rsid w:val="004A6BC0"/>
    <w:rsid w:val="004B0E45"/>
    <w:rsid w:val="004B1BDA"/>
    <w:rsid w:val="004B5B27"/>
    <w:rsid w:val="004B626B"/>
    <w:rsid w:val="004B6D41"/>
    <w:rsid w:val="004C7E56"/>
    <w:rsid w:val="004D4264"/>
    <w:rsid w:val="004F105E"/>
    <w:rsid w:val="00500425"/>
    <w:rsid w:val="005116DA"/>
    <w:rsid w:val="00512E05"/>
    <w:rsid w:val="00513C97"/>
    <w:rsid w:val="00514E09"/>
    <w:rsid w:val="00521A1B"/>
    <w:rsid w:val="00527D0A"/>
    <w:rsid w:val="005325EA"/>
    <w:rsid w:val="00533D45"/>
    <w:rsid w:val="0053441C"/>
    <w:rsid w:val="00542CE1"/>
    <w:rsid w:val="00547697"/>
    <w:rsid w:val="00547A48"/>
    <w:rsid w:val="00551B82"/>
    <w:rsid w:val="00554DA7"/>
    <w:rsid w:val="00555F1B"/>
    <w:rsid w:val="00560E06"/>
    <w:rsid w:val="005630AF"/>
    <w:rsid w:val="00566E01"/>
    <w:rsid w:val="00580792"/>
    <w:rsid w:val="00590395"/>
    <w:rsid w:val="0059547F"/>
    <w:rsid w:val="005A5432"/>
    <w:rsid w:val="005A5522"/>
    <w:rsid w:val="005B5960"/>
    <w:rsid w:val="005C0D4F"/>
    <w:rsid w:val="005C298D"/>
    <w:rsid w:val="005C5CA1"/>
    <w:rsid w:val="005C6F5F"/>
    <w:rsid w:val="005C726D"/>
    <w:rsid w:val="005D2B12"/>
    <w:rsid w:val="005D64A0"/>
    <w:rsid w:val="005E1109"/>
    <w:rsid w:val="005E3733"/>
    <w:rsid w:val="005E3F4F"/>
    <w:rsid w:val="005F6843"/>
    <w:rsid w:val="00600493"/>
    <w:rsid w:val="00601AE8"/>
    <w:rsid w:val="00610B7B"/>
    <w:rsid w:val="00610D35"/>
    <w:rsid w:val="00612BF1"/>
    <w:rsid w:val="0061416D"/>
    <w:rsid w:val="00615B92"/>
    <w:rsid w:val="00616B93"/>
    <w:rsid w:val="0062131E"/>
    <w:rsid w:val="0062631B"/>
    <w:rsid w:val="006363EC"/>
    <w:rsid w:val="00640BDB"/>
    <w:rsid w:val="00643E0D"/>
    <w:rsid w:val="006500BF"/>
    <w:rsid w:val="00650981"/>
    <w:rsid w:val="006519C8"/>
    <w:rsid w:val="006523B1"/>
    <w:rsid w:val="00654EE1"/>
    <w:rsid w:val="00683BB3"/>
    <w:rsid w:val="00686E6E"/>
    <w:rsid w:val="00692049"/>
    <w:rsid w:val="00694789"/>
    <w:rsid w:val="006956AC"/>
    <w:rsid w:val="006A2931"/>
    <w:rsid w:val="006B049D"/>
    <w:rsid w:val="006B5E7B"/>
    <w:rsid w:val="006C71AB"/>
    <w:rsid w:val="006D13BE"/>
    <w:rsid w:val="006D2312"/>
    <w:rsid w:val="006D4FF2"/>
    <w:rsid w:val="006D66D8"/>
    <w:rsid w:val="006E3CC8"/>
    <w:rsid w:val="006E7CFF"/>
    <w:rsid w:val="006F19B3"/>
    <w:rsid w:val="006F2BC1"/>
    <w:rsid w:val="006F5014"/>
    <w:rsid w:val="006F5045"/>
    <w:rsid w:val="00700ACD"/>
    <w:rsid w:val="00703EDA"/>
    <w:rsid w:val="00704246"/>
    <w:rsid w:val="00712D79"/>
    <w:rsid w:val="00713B6B"/>
    <w:rsid w:val="007168BB"/>
    <w:rsid w:val="00723BC9"/>
    <w:rsid w:val="007254C2"/>
    <w:rsid w:val="00741E6D"/>
    <w:rsid w:val="00745012"/>
    <w:rsid w:val="007466A6"/>
    <w:rsid w:val="00757738"/>
    <w:rsid w:val="00760376"/>
    <w:rsid w:val="0077169E"/>
    <w:rsid w:val="00773232"/>
    <w:rsid w:val="0077474B"/>
    <w:rsid w:val="007828BF"/>
    <w:rsid w:val="00792685"/>
    <w:rsid w:val="007951AB"/>
    <w:rsid w:val="00795AED"/>
    <w:rsid w:val="007A4642"/>
    <w:rsid w:val="007B01AF"/>
    <w:rsid w:val="007C2743"/>
    <w:rsid w:val="007C383F"/>
    <w:rsid w:val="007C4A63"/>
    <w:rsid w:val="007D3628"/>
    <w:rsid w:val="007D771E"/>
    <w:rsid w:val="007E2A93"/>
    <w:rsid w:val="007F6C73"/>
    <w:rsid w:val="0080305E"/>
    <w:rsid w:val="00807A32"/>
    <w:rsid w:val="00813FD1"/>
    <w:rsid w:val="00816A79"/>
    <w:rsid w:val="00824A85"/>
    <w:rsid w:val="00833615"/>
    <w:rsid w:val="008363FA"/>
    <w:rsid w:val="008377B8"/>
    <w:rsid w:val="00847A3A"/>
    <w:rsid w:val="0085420D"/>
    <w:rsid w:val="00856617"/>
    <w:rsid w:val="00862BAB"/>
    <w:rsid w:val="00863229"/>
    <w:rsid w:val="00864AA9"/>
    <w:rsid w:val="00865A69"/>
    <w:rsid w:val="00876BF3"/>
    <w:rsid w:val="0088628F"/>
    <w:rsid w:val="0089604C"/>
    <w:rsid w:val="008A78C3"/>
    <w:rsid w:val="008B02F5"/>
    <w:rsid w:val="008B14DB"/>
    <w:rsid w:val="008D63C6"/>
    <w:rsid w:val="008F274A"/>
    <w:rsid w:val="008F388C"/>
    <w:rsid w:val="008F6965"/>
    <w:rsid w:val="009016D4"/>
    <w:rsid w:val="00920653"/>
    <w:rsid w:val="00924CEB"/>
    <w:rsid w:val="00925659"/>
    <w:rsid w:val="00930B68"/>
    <w:rsid w:val="00953D9C"/>
    <w:rsid w:val="00956DAF"/>
    <w:rsid w:val="00961D43"/>
    <w:rsid w:val="00970B28"/>
    <w:rsid w:val="009715FD"/>
    <w:rsid w:val="00981438"/>
    <w:rsid w:val="009974FC"/>
    <w:rsid w:val="009D6030"/>
    <w:rsid w:val="009E16A1"/>
    <w:rsid w:val="009E4A57"/>
    <w:rsid w:val="009F1DEE"/>
    <w:rsid w:val="009F4863"/>
    <w:rsid w:val="00A00280"/>
    <w:rsid w:val="00A069BE"/>
    <w:rsid w:val="00A10EF5"/>
    <w:rsid w:val="00A15B0D"/>
    <w:rsid w:val="00A17D3F"/>
    <w:rsid w:val="00A20386"/>
    <w:rsid w:val="00A26034"/>
    <w:rsid w:val="00A37EB4"/>
    <w:rsid w:val="00A540EA"/>
    <w:rsid w:val="00A5462C"/>
    <w:rsid w:val="00A54731"/>
    <w:rsid w:val="00A558AA"/>
    <w:rsid w:val="00A56359"/>
    <w:rsid w:val="00A563EB"/>
    <w:rsid w:val="00A60B9E"/>
    <w:rsid w:val="00A64A32"/>
    <w:rsid w:val="00A67F30"/>
    <w:rsid w:val="00A72965"/>
    <w:rsid w:val="00A75200"/>
    <w:rsid w:val="00A75BA5"/>
    <w:rsid w:val="00AA379C"/>
    <w:rsid w:val="00AA3D54"/>
    <w:rsid w:val="00AA3F6B"/>
    <w:rsid w:val="00AC2622"/>
    <w:rsid w:val="00AF25F1"/>
    <w:rsid w:val="00AF5C8F"/>
    <w:rsid w:val="00B074B5"/>
    <w:rsid w:val="00B074D3"/>
    <w:rsid w:val="00B21ED1"/>
    <w:rsid w:val="00B223C9"/>
    <w:rsid w:val="00B35F25"/>
    <w:rsid w:val="00B430D1"/>
    <w:rsid w:val="00B43739"/>
    <w:rsid w:val="00B67307"/>
    <w:rsid w:val="00B77601"/>
    <w:rsid w:val="00B77FE5"/>
    <w:rsid w:val="00B8161C"/>
    <w:rsid w:val="00B84407"/>
    <w:rsid w:val="00B90F17"/>
    <w:rsid w:val="00B919AE"/>
    <w:rsid w:val="00B9559E"/>
    <w:rsid w:val="00BA6B65"/>
    <w:rsid w:val="00BB70CF"/>
    <w:rsid w:val="00BC0525"/>
    <w:rsid w:val="00BC61B3"/>
    <w:rsid w:val="00BD047B"/>
    <w:rsid w:val="00BD6986"/>
    <w:rsid w:val="00BE478E"/>
    <w:rsid w:val="00BF2DDF"/>
    <w:rsid w:val="00C00C06"/>
    <w:rsid w:val="00C213CD"/>
    <w:rsid w:val="00C301BA"/>
    <w:rsid w:val="00C55818"/>
    <w:rsid w:val="00C617AA"/>
    <w:rsid w:val="00C759BD"/>
    <w:rsid w:val="00C91130"/>
    <w:rsid w:val="00C93F9D"/>
    <w:rsid w:val="00C94E92"/>
    <w:rsid w:val="00C96678"/>
    <w:rsid w:val="00CA0F5D"/>
    <w:rsid w:val="00CB00C7"/>
    <w:rsid w:val="00CD0235"/>
    <w:rsid w:val="00CD470D"/>
    <w:rsid w:val="00CE4F7D"/>
    <w:rsid w:val="00CF5228"/>
    <w:rsid w:val="00CF7F0E"/>
    <w:rsid w:val="00D070A1"/>
    <w:rsid w:val="00D16E66"/>
    <w:rsid w:val="00D2093F"/>
    <w:rsid w:val="00D2233E"/>
    <w:rsid w:val="00D23E49"/>
    <w:rsid w:val="00D33376"/>
    <w:rsid w:val="00D34704"/>
    <w:rsid w:val="00D35A1B"/>
    <w:rsid w:val="00D36407"/>
    <w:rsid w:val="00D3721F"/>
    <w:rsid w:val="00D63D15"/>
    <w:rsid w:val="00D85E4B"/>
    <w:rsid w:val="00DB297D"/>
    <w:rsid w:val="00DB2DC2"/>
    <w:rsid w:val="00DC0C39"/>
    <w:rsid w:val="00DC499D"/>
    <w:rsid w:val="00DD1C3C"/>
    <w:rsid w:val="00DD69E1"/>
    <w:rsid w:val="00DE0F4F"/>
    <w:rsid w:val="00DE2E5C"/>
    <w:rsid w:val="00DE3EF5"/>
    <w:rsid w:val="00DE4046"/>
    <w:rsid w:val="00DE463B"/>
    <w:rsid w:val="00DE4D8F"/>
    <w:rsid w:val="00DF3148"/>
    <w:rsid w:val="00DF7E64"/>
    <w:rsid w:val="00E024B6"/>
    <w:rsid w:val="00E02553"/>
    <w:rsid w:val="00E1639C"/>
    <w:rsid w:val="00E2378F"/>
    <w:rsid w:val="00E26A19"/>
    <w:rsid w:val="00E42C0E"/>
    <w:rsid w:val="00E4302C"/>
    <w:rsid w:val="00E46596"/>
    <w:rsid w:val="00E508B4"/>
    <w:rsid w:val="00E5188F"/>
    <w:rsid w:val="00E54892"/>
    <w:rsid w:val="00E61C08"/>
    <w:rsid w:val="00E62D76"/>
    <w:rsid w:val="00E62FD2"/>
    <w:rsid w:val="00E63228"/>
    <w:rsid w:val="00E66D05"/>
    <w:rsid w:val="00E671C9"/>
    <w:rsid w:val="00E857C9"/>
    <w:rsid w:val="00E8710E"/>
    <w:rsid w:val="00E92A79"/>
    <w:rsid w:val="00E92A8E"/>
    <w:rsid w:val="00E94A6D"/>
    <w:rsid w:val="00E97486"/>
    <w:rsid w:val="00E97672"/>
    <w:rsid w:val="00EA25A7"/>
    <w:rsid w:val="00EA5B69"/>
    <w:rsid w:val="00EB08AF"/>
    <w:rsid w:val="00EB1128"/>
    <w:rsid w:val="00EC06D1"/>
    <w:rsid w:val="00EC3AEE"/>
    <w:rsid w:val="00EC4A22"/>
    <w:rsid w:val="00EC4DEF"/>
    <w:rsid w:val="00ED6CD8"/>
    <w:rsid w:val="00ED72C8"/>
    <w:rsid w:val="00EF28AD"/>
    <w:rsid w:val="00F039D4"/>
    <w:rsid w:val="00F10EFC"/>
    <w:rsid w:val="00F21079"/>
    <w:rsid w:val="00F2350C"/>
    <w:rsid w:val="00F37C8A"/>
    <w:rsid w:val="00F46747"/>
    <w:rsid w:val="00F4745B"/>
    <w:rsid w:val="00F662B3"/>
    <w:rsid w:val="00F675BD"/>
    <w:rsid w:val="00F70848"/>
    <w:rsid w:val="00F7565C"/>
    <w:rsid w:val="00F95F07"/>
    <w:rsid w:val="00F977CC"/>
    <w:rsid w:val="00FA0D81"/>
    <w:rsid w:val="00FA2B78"/>
    <w:rsid w:val="00FA38DB"/>
    <w:rsid w:val="00FA5E26"/>
    <w:rsid w:val="00FB3E55"/>
    <w:rsid w:val="00FB4EBB"/>
    <w:rsid w:val="00FB797B"/>
    <w:rsid w:val="00FC67C0"/>
    <w:rsid w:val="00FD34CD"/>
    <w:rsid w:val="00FE54BD"/>
    <w:rsid w:val="00FE6AC2"/>
    <w:rsid w:val="00FE7776"/>
    <w:rsid w:val="00FF113F"/>
    <w:rsid w:val="01213701"/>
    <w:rsid w:val="01543C57"/>
    <w:rsid w:val="017373EE"/>
    <w:rsid w:val="0176632F"/>
    <w:rsid w:val="019404F8"/>
    <w:rsid w:val="026114DF"/>
    <w:rsid w:val="02B052A9"/>
    <w:rsid w:val="02C35C3F"/>
    <w:rsid w:val="03493125"/>
    <w:rsid w:val="0374701C"/>
    <w:rsid w:val="039761AB"/>
    <w:rsid w:val="03DE5A5A"/>
    <w:rsid w:val="04156CBF"/>
    <w:rsid w:val="05B32FBD"/>
    <w:rsid w:val="05D76C05"/>
    <w:rsid w:val="06535955"/>
    <w:rsid w:val="06A6418E"/>
    <w:rsid w:val="06CF19BA"/>
    <w:rsid w:val="07115D75"/>
    <w:rsid w:val="081E436A"/>
    <w:rsid w:val="08245AAD"/>
    <w:rsid w:val="08920E52"/>
    <w:rsid w:val="0908162D"/>
    <w:rsid w:val="095B7EFC"/>
    <w:rsid w:val="09621EF7"/>
    <w:rsid w:val="09FA1015"/>
    <w:rsid w:val="0A176240"/>
    <w:rsid w:val="0A8F6EE2"/>
    <w:rsid w:val="0AD81D94"/>
    <w:rsid w:val="0AE9682A"/>
    <w:rsid w:val="0AFA7C7B"/>
    <w:rsid w:val="0B1343FD"/>
    <w:rsid w:val="0B9F5383"/>
    <w:rsid w:val="0BB623D2"/>
    <w:rsid w:val="0BC72D12"/>
    <w:rsid w:val="0BC87EA6"/>
    <w:rsid w:val="0C0472EA"/>
    <w:rsid w:val="0C3072FA"/>
    <w:rsid w:val="0C473AD4"/>
    <w:rsid w:val="0C7818EC"/>
    <w:rsid w:val="0D0B0B6B"/>
    <w:rsid w:val="0D55791E"/>
    <w:rsid w:val="0E924011"/>
    <w:rsid w:val="0EA33BA8"/>
    <w:rsid w:val="0EDB0073"/>
    <w:rsid w:val="0EDB78B5"/>
    <w:rsid w:val="0F342CD1"/>
    <w:rsid w:val="0F3E0E0A"/>
    <w:rsid w:val="0FAE4057"/>
    <w:rsid w:val="0FBF2BE4"/>
    <w:rsid w:val="0FD36B9F"/>
    <w:rsid w:val="1065639A"/>
    <w:rsid w:val="10DB4715"/>
    <w:rsid w:val="110D1AC6"/>
    <w:rsid w:val="11B008CC"/>
    <w:rsid w:val="11E32785"/>
    <w:rsid w:val="11E97057"/>
    <w:rsid w:val="11F364DC"/>
    <w:rsid w:val="122E2EAF"/>
    <w:rsid w:val="123A27E6"/>
    <w:rsid w:val="124A70DD"/>
    <w:rsid w:val="12FC6E20"/>
    <w:rsid w:val="138B0096"/>
    <w:rsid w:val="13993C78"/>
    <w:rsid w:val="14653493"/>
    <w:rsid w:val="14871794"/>
    <w:rsid w:val="14915149"/>
    <w:rsid w:val="14CF4310"/>
    <w:rsid w:val="14FE54B5"/>
    <w:rsid w:val="151C51F1"/>
    <w:rsid w:val="1569461D"/>
    <w:rsid w:val="158E2A1F"/>
    <w:rsid w:val="15F93976"/>
    <w:rsid w:val="15FF1DBF"/>
    <w:rsid w:val="163A4A29"/>
    <w:rsid w:val="163E34BA"/>
    <w:rsid w:val="17D06220"/>
    <w:rsid w:val="18354553"/>
    <w:rsid w:val="18BC2B0E"/>
    <w:rsid w:val="18F263A1"/>
    <w:rsid w:val="190D6A21"/>
    <w:rsid w:val="191B3EAE"/>
    <w:rsid w:val="19243147"/>
    <w:rsid w:val="19410404"/>
    <w:rsid w:val="196A32DC"/>
    <w:rsid w:val="1A89303B"/>
    <w:rsid w:val="1B180D93"/>
    <w:rsid w:val="1B7F4E98"/>
    <w:rsid w:val="1B8E7650"/>
    <w:rsid w:val="1C255323"/>
    <w:rsid w:val="1D0319E3"/>
    <w:rsid w:val="1D0D0ABC"/>
    <w:rsid w:val="1D305B65"/>
    <w:rsid w:val="1D85251A"/>
    <w:rsid w:val="1DA5394C"/>
    <w:rsid w:val="1E317E16"/>
    <w:rsid w:val="1EA51975"/>
    <w:rsid w:val="1F691CDE"/>
    <w:rsid w:val="1F80366F"/>
    <w:rsid w:val="1FCD7B90"/>
    <w:rsid w:val="200C6CE6"/>
    <w:rsid w:val="20970F5E"/>
    <w:rsid w:val="21203927"/>
    <w:rsid w:val="21211F8E"/>
    <w:rsid w:val="212925B3"/>
    <w:rsid w:val="21713655"/>
    <w:rsid w:val="21830150"/>
    <w:rsid w:val="21A36DA2"/>
    <w:rsid w:val="22430E9E"/>
    <w:rsid w:val="22585CD2"/>
    <w:rsid w:val="22CE05E7"/>
    <w:rsid w:val="23335AC4"/>
    <w:rsid w:val="2363459D"/>
    <w:rsid w:val="23FE15BF"/>
    <w:rsid w:val="240722DC"/>
    <w:rsid w:val="24513E1D"/>
    <w:rsid w:val="246E4881"/>
    <w:rsid w:val="255816B9"/>
    <w:rsid w:val="25EA70B4"/>
    <w:rsid w:val="260424D8"/>
    <w:rsid w:val="26070074"/>
    <w:rsid w:val="26112714"/>
    <w:rsid w:val="26251B3B"/>
    <w:rsid w:val="26487037"/>
    <w:rsid w:val="26AE07DB"/>
    <w:rsid w:val="2702135C"/>
    <w:rsid w:val="274C3C51"/>
    <w:rsid w:val="27533EE6"/>
    <w:rsid w:val="284730D6"/>
    <w:rsid w:val="2860495C"/>
    <w:rsid w:val="28686713"/>
    <w:rsid w:val="287560DE"/>
    <w:rsid w:val="28F86B73"/>
    <w:rsid w:val="2938106A"/>
    <w:rsid w:val="29603573"/>
    <w:rsid w:val="296D464E"/>
    <w:rsid w:val="298D3C1B"/>
    <w:rsid w:val="29AC58E1"/>
    <w:rsid w:val="29EC2522"/>
    <w:rsid w:val="29F02464"/>
    <w:rsid w:val="2A6671C6"/>
    <w:rsid w:val="2A807F8A"/>
    <w:rsid w:val="2AC750F8"/>
    <w:rsid w:val="2AF04C71"/>
    <w:rsid w:val="2AF61758"/>
    <w:rsid w:val="2B381D70"/>
    <w:rsid w:val="2C634753"/>
    <w:rsid w:val="2CA23104"/>
    <w:rsid w:val="2CBE7097"/>
    <w:rsid w:val="2CC06387"/>
    <w:rsid w:val="2CD80586"/>
    <w:rsid w:val="2D084693"/>
    <w:rsid w:val="2D9C7A9E"/>
    <w:rsid w:val="2E2313D4"/>
    <w:rsid w:val="2E524E51"/>
    <w:rsid w:val="2EB7701A"/>
    <w:rsid w:val="2F0B154A"/>
    <w:rsid w:val="2F6A510C"/>
    <w:rsid w:val="2FD60EBD"/>
    <w:rsid w:val="30343416"/>
    <w:rsid w:val="305E491C"/>
    <w:rsid w:val="30791935"/>
    <w:rsid w:val="307B59E5"/>
    <w:rsid w:val="307C4B2C"/>
    <w:rsid w:val="31F733E1"/>
    <w:rsid w:val="32010C53"/>
    <w:rsid w:val="33404E83"/>
    <w:rsid w:val="33801218"/>
    <w:rsid w:val="343168A1"/>
    <w:rsid w:val="344E3D04"/>
    <w:rsid w:val="34780CCB"/>
    <w:rsid w:val="34AF1FB1"/>
    <w:rsid w:val="34C83061"/>
    <w:rsid w:val="34D15A89"/>
    <w:rsid w:val="350E3B42"/>
    <w:rsid w:val="35301BCE"/>
    <w:rsid w:val="35CC0302"/>
    <w:rsid w:val="36010EC5"/>
    <w:rsid w:val="36720604"/>
    <w:rsid w:val="36783FFA"/>
    <w:rsid w:val="36DC6694"/>
    <w:rsid w:val="36F53169"/>
    <w:rsid w:val="37321DCA"/>
    <w:rsid w:val="37671494"/>
    <w:rsid w:val="37717380"/>
    <w:rsid w:val="37BF7E60"/>
    <w:rsid w:val="37F7ED30"/>
    <w:rsid w:val="38362C37"/>
    <w:rsid w:val="3858449B"/>
    <w:rsid w:val="3925145A"/>
    <w:rsid w:val="392C0A3B"/>
    <w:rsid w:val="39615089"/>
    <w:rsid w:val="39677848"/>
    <w:rsid w:val="399634F7"/>
    <w:rsid w:val="3A6B47CE"/>
    <w:rsid w:val="3ADD3C49"/>
    <w:rsid w:val="3B04426E"/>
    <w:rsid w:val="3BCE3EAD"/>
    <w:rsid w:val="3BCF1420"/>
    <w:rsid w:val="3C0666E8"/>
    <w:rsid w:val="3C08093D"/>
    <w:rsid w:val="3C715592"/>
    <w:rsid w:val="3C7A4FBF"/>
    <w:rsid w:val="3CA408E8"/>
    <w:rsid w:val="3CEA6890"/>
    <w:rsid w:val="3D523766"/>
    <w:rsid w:val="3D603237"/>
    <w:rsid w:val="3DC920AA"/>
    <w:rsid w:val="3DFD6B4F"/>
    <w:rsid w:val="3E142252"/>
    <w:rsid w:val="3E2F1460"/>
    <w:rsid w:val="3EB412B6"/>
    <w:rsid w:val="3ECF4342"/>
    <w:rsid w:val="3F2B574E"/>
    <w:rsid w:val="3F360151"/>
    <w:rsid w:val="3F4219C5"/>
    <w:rsid w:val="407625C7"/>
    <w:rsid w:val="4091314B"/>
    <w:rsid w:val="41103BF1"/>
    <w:rsid w:val="417C43E6"/>
    <w:rsid w:val="41D823FE"/>
    <w:rsid w:val="42537823"/>
    <w:rsid w:val="42D737C5"/>
    <w:rsid w:val="42E02E70"/>
    <w:rsid w:val="441304AC"/>
    <w:rsid w:val="442C6FFB"/>
    <w:rsid w:val="44513D6C"/>
    <w:rsid w:val="445728C6"/>
    <w:rsid w:val="4487670B"/>
    <w:rsid w:val="44A31CB6"/>
    <w:rsid w:val="44F90059"/>
    <w:rsid w:val="45000FE4"/>
    <w:rsid w:val="450A7A83"/>
    <w:rsid w:val="45342D97"/>
    <w:rsid w:val="46C839FA"/>
    <w:rsid w:val="46CB2E83"/>
    <w:rsid w:val="46E92052"/>
    <w:rsid w:val="47936A28"/>
    <w:rsid w:val="484746CA"/>
    <w:rsid w:val="49943B56"/>
    <w:rsid w:val="49AA19C3"/>
    <w:rsid w:val="4A6837EA"/>
    <w:rsid w:val="4B8310B5"/>
    <w:rsid w:val="4BB06DB8"/>
    <w:rsid w:val="4BC02893"/>
    <w:rsid w:val="4C052345"/>
    <w:rsid w:val="4CB769B6"/>
    <w:rsid w:val="4CEA037D"/>
    <w:rsid w:val="4D887E7D"/>
    <w:rsid w:val="4D90773E"/>
    <w:rsid w:val="4DA77705"/>
    <w:rsid w:val="4DB94735"/>
    <w:rsid w:val="4DBD1CC6"/>
    <w:rsid w:val="4DC37F40"/>
    <w:rsid w:val="4E543B29"/>
    <w:rsid w:val="4EBC60C8"/>
    <w:rsid w:val="4EF50CBF"/>
    <w:rsid w:val="4F477624"/>
    <w:rsid w:val="4F6A776F"/>
    <w:rsid w:val="4F73741F"/>
    <w:rsid w:val="4FFA6494"/>
    <w:rsid w:val="501C2129"/>
    <w:rsid w:val="50591EAC"/>
    <w:rsid w:val="50805BE7"/>
    <w:rsid w:val="50C207D1"/>
    <w:rsid w:val="51304F66"/>
    <w:rsid w:val="51435CA7"/>
    <w:rsid w:val="51D27D52"/>
    <w:rsid w:val="52B4506B"/>
    <w:rsid w:val="53312574"/>
    <w:rsid w:val="53B910B5"/>
    <w:rsid w:val="548020BE"/>
    <w:rsid w:val="54972DB4"/>
    <w:rsid w:val="54EA55DA"/>
    <w:rsid w:val="55954793"/>
    <w:rsid w:val="56521D3A"/>
    <w:rsid w:val="56CF4D9C"/>
    <w:rsid w:val="56FE4A46"/>
    <w:rsid w:val="57A6406F"/>
    <w:rsid w:val="57B96F7B"/>
    <w:rsid w:val="57F81066"/>
    <w:rsid w:val="581C1975"/>
    <w:rsid w:val="5883633A"/>
    <w:rsid w:val="58C81502"/>
    <w:rsid w:val="5991071A"/>
    <w:rsid w:val="5ADC7609"/>
    <w:rsid w:val="5AE15244"/>
    <w:rsid w:val="5B1F2BB2"/>
    <w:rsid w:val="5B464E10"/>
    <w:rsid w:val="5B5E3DF7"/>
    <w:rsid w:val="5BC23CA0"/>
    <w:rsid w:val="5BF9571B"/>
    <w:rsid w:val="5CB86B03"/>
    <w:rsid w:val="5CC91F79"/>
    <w:rsid w:val="5D453ECF"/>
    <w:rsid w:val="5DF10B77"/>
    <w:rsid w:val="5DF73EFB"/>
    <w:rsid w:val="5E4F48F3"/>
    <w:rsid w:val="5EE9730D"/>
    <w:rsid w:val="5F556255"/>
    <w:rsid w:val="5FAD7E2E"/>
    <w:rsid w:val="61573929"/>
    <w:rsid w:val="61587256"/>
    <w:rsid w:val="620B0957"/>
    <w:rsid w:val="621A0316"/>
    <w:rsid w:val="62742987"/>
    <w:rsid w:val="62781EBC"/>
    <w:rsid w:val="627B5AC3"/>
    <w:rsid w:val="627E55A2"/>
    <w:rsid w:val="629844AA"/>
    <w:rsid w:val="631B7BF2"/>
    <w:rsid w:val="639207FF"/>
    <w:rsid w:val="639B1A12"/>
    <w:rsid w:val="6438204C"/>
    <w:rsid w:val="64875433"/>
    <w:rsid w:val="64881869"/>
    <w:rsid w:val="65366619"/>
    <w:rsid w:val="65A27B59"/>
    <w:rsid w:val="66F063A2"/>
    <w:rsid w:val="67323870"/>
    <w:rsid w:val="677B58EA"/>
    <w:rsid w:val="680A756B"/>
    <w:rsid w:val="68BA7633"/>
    <w:rsid w:val="68C646C8"/>
    <w:rsid w:val="68EF720B"/>
    <w:rsid w:val="69346071"/>
    <w:rsid w:val="69A315E0"/>
    <w:rsid w:val="69EE4432"/>
    <w:rsid w:val="6B0E0190"/>
    <w:rsid w:val="6BDC68F0"/>
    <w:rsid w:val="6BFE5FD0"/>
    <w:rsid w:val="6C580FE5"/>
    <w:rsid w:val="6C8F3DB8"/>
    <w:rsid w:val="6CC91B21"/>
    <w:rsid w:val="6D0A3999"/>
    <w:rsid w:val="6D5879A6"/>
    <w:rsid w:val="6E3307C1"/>
    <w:rsid w:val="6E601AA5"/>
    <w:rsid w:val="6F0737B2"/>
    <w:rsid w:val="6F784019"/>
    <w:rsid w:val="6FAA4574"/>
    <w:rsid w:val="6FE1CFC7"/>
    <w:rsid w:val="70576CA4"/>
    <w:rsid w:val="70732036"/>
    <w:rsid w:val="70874ED8"/>
    <w:rsid w:val="70F75DE5"/>
    <w:rsid w:val="71066ACD"/>
    <w:rsid w:val="71386CCF"/>
    <w:rsid w:val="716136B5"/>
    <w:rsid w:val="71AC285F"/>
    <w:rsid w:val="71B903C0"/>
    <w:rsid w:val="71BB2380"/>
    <w:rsid w:val="72551438"/>
    <w:rsid w:val="726A01F8"/>
    <w:rsid w:val="727A30DA"/>
    <w:rsid w:val="72B7005A"/>
    <w:rsid w:val="72DF3D1D"/>
    <w:rsid w:val="730B3310"/>
    <w:rsid w:val="734049C9"/>
    <w:rsid w:val="74844CAB"/>
    <w:rsid w:val="74A95507"/>
    <w:rsid w:val="763E375B"/>
    <w:rsid w:val="767F1076"/>
    <w:rsid w:val="7697610D"/>
    <w:rsid w:val="76DB0FCD"/>
    <w:rsid w:val="76F125E8"/>
    <w:rsid w:val="77277675"/>
    <w:rsid w:val="782013F5"/>
    <w:rsid w:val="78581447"/>
    <w:rsid w:val="788206CB"/>
    <w:rsid w:val="7A116496"/>
    <w:rsid w:val="7A19387B"/>
    <w:rsid w:val="7A640963"/>
    <w:rsid w:val="7A82024F"/>
    <w:rsid w:val="7AB37F9B"/>
    <w:rsid w:val="7AED3CCF"/>
    <w:rsid w:val="7AF16FF7"/>
    <w:rsid w:val="7B7A1BF2"/>
    <w:rsid w:val="7BBA72AF"/>
    <w:rsid w:val="7BE07CC5"/>
    <w:rsid w:val="7C11102C"/>
    <w:rsid w:val="7C752A45"/>
    <w:rsid w:val="7C910CE8"/>
    <w:rsid w:val="7C966701"/>
    <w:rsid w:val="7CF74419"/>
    <w:rsid w:val="7D882233"/>
    <w:rsid w:val="7E3412AC"/>
    <w:rsid w:val="7ECA2019"/>
    <w:rsid w:val="7F0F024E"/>
    <w:rsid w:val="7F8D598D"/>
    <w:rsid w:val="7F9E4FC7"/>
    <w:rsid w:val="7FD248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tabs>
        <w:tab w:val="left" w:pos="1890"/>
      </w:tabs>
      <w:spacing w:line="360" w:lineRule="auto"/>
      <w:outlineLvl w:val="2"/>
    </w:pPr>
    <w:rPr>
      <w:rFonts w:hint="eastAsia" w:ascii="宋体" w:hAnsi="宋体"/>
      <w:szCs w:val="20"/>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0"/>
    <w:pPr>
      <w:jc w:val="center"/>
    </w:pPr>
    <w:rPr>
      <w:rFonts w:ascii="Times New Roman" w:hAnsi="Times New Roman" w:eastAsia="宋体" w:cs="Times New Roman"/>
      <w:sz w:val="28"/>
      <w:szCs w:val="20"/>
    </w:rPr>
  </w:style>
  <w:style w:type="paragraph" w:styleId="5">
    <w:name w:val="List 3"/>
    <w:basedOn w:val="1"/>
    <w:qFormat/>
    <w:uiPriority w:val="0"/>
    <w:pPr>
      <w:ind w:left="1260" w:hanging="420"/>
    </w:pPr>
    <w:rPr>
      <w:rFonts w:ascii="Times New Roman" w:hAnsi="Times New Roman" w:eastAsia="宋体" w:cs="Times New Roman"/>
      <w:szCs w:val="20"/>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annotation text"/>
    <w:basedOn w:val="1"/>
    <w:link w:val="25"/>
    <w:unhideWhenUsed/>
    <w:qFormat/>
    <w:uiPriority w:val="99"/>
    <w:pPr>
      <w:jc w:val="left"/>
    </w:pPr>
  </w:style>
  <w:style w:type="paragraph" w:styleId="8">
    <w:name w:val="Body Text Indent"/>
    <w:basedOn w:val="1"/>
    <w:link w:val="26"/>
    <w:qFormat/>
    <w:uiPriority w:val="0"/>
    <w:pPr>
      <w:ind w:firstLine="570"/>
    </w:pPr>
    <w:rPr>
      <w:rFonts w:ascii="Times New Roman" w:hAnsi="Times New Roman" w:eastAsia="宋体" w:cs="Times New Roman"/>
      <w:sz w:val="28"/>
      <w:szCs w:val="20"/>
    </w:rPr>
  </w:style>
  <w:style w:type="paragraph" w:styleId="9">
    <w:name w:val="List 2"/>
    <w:basedOn w:val="1"/>
    <w:qFormat/>
    <w:uiPriority w:val="0"/>
    <w:pPr>
      <w:ind w:left="840" w:hanging="420"/>
    </w:pPr>
    <w:rPr>
      <w:rFonts w:ascii="Times New Roman" w:hAnsi="Times New Roman" w:eastAsia="宋体" w:cs="Times New Roman"/>
      <w:szCs w:val="20"/>
    </w:rPr>
  </w:style>
  <w:style w:type="paragraph" w:styleId="10">
    <w:name w:val="Plain Text"/>
    <w:basedOn w:val="1"/>
    <w:next w:val="1"/>
    <w:qFormat/>
    <w:uiPriority w:val="0"/>
    <w:rPr>
      <w:rFonts w:ascii="宋体" w:hAnsi="Courier New"/>
      <w:szCs w:val="21"/>
    </w:rPr>
  </w:style>
  <w:style w:type="paragraph" w:styleId="11">
    <w:name w:val="Date"/>
    <w:basedOn w:val="1"/>
    <w:next w:val="1"/>
    <w:qFormat/>
    <w:uiPriority w:val="0"/>
    <w:pPr>
      <w:ind w:left="100" w:leftChars="2500"/>
    </w:pPr>
  </w:style>
  <w:style w:type="paragraph" w:styleId="12">
    <w:name w:val="Balloon Text"/>
    <w:basedOn w:val="1"/>
    <w:link w:val="27"/>
    <w:unhideWhenUsed/>
    <w:qFormat/>
    <w:uiPriority w:val="99"/>
    <w:rPr>
      <w:sz w:val="18"/>
      <w:szCs w:val="18"/>
    </w:rPr>
  </w:style>
  <w:style w:type="paragraph" w:styleId="13">
    <w:name w:val="footer"/>
    <w:basedOn w:val="1"/>
    <w:link w:val="28"/>
    <w:unhideWhenUsed/>
    <w:qFormat/>
    <w:uiPriority w:val="0"/>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List"/>
    <w:basedOn w:val="1"/>
    <w:qFormat/>
    <w:uiPriority w:val="0"/>
    <w:pPr>
      <w:ind w:left="420" w:hanging="420"/>
    </w:pPr>
    <w:rPr>
      <w:rFonts w:ascii="Times New Roman" w:hAnsi="Times New Roman" w:eastAsia="宋体" w:cs="Times New Roman"/>
      <w:szCs w:val="20"/>
    </w:rPr>
  </w:style>
  <w:style w:type="paragraph" w:styleId="16">
    <w:name w:val="Body Text 2"/>
    <w:basedOn w:val="1"/>
    <w:link w:val="30"/>
    <w:unhideWhenUsed/>
    <w:qFormat/>
    <w:uiPriority w:val="99"/>
    <w:pPr>
      <w:spacing w:after="120" w:line="480" w:lineRule="auto"/>
    </w:pPr>
  </w:style>
  <w:style w:type="paragraph" w:styleId="17">
    <w:name w:val="List 4"/>
    <w:basedOn w:val="1"/>
    <w:qFormat/>
    <w:uiPriority w:val="0"/>
    <w:pPr>
      <w:ind w:left="1680" w:hanging="420"/>
    </w:pPr>
    <w:rPr>
      <w:rFonts w:ascii="Times New Roman" w:hAnsi="Times New Roman" w:eastAsia="宋体" w:cs="Times New Roman"/>
      <w:szCs w:val="20"/>
    </w:rPr>
  </w:style>
  <w:style w:type="paragraph" w:styleId="18">
    <w:name w:val="annotation subject"/>
    <w:basedOn w:val="7"/>
    <w:next w:val="7"/>
    <w:link w:val="31"/>
    <w:unhideWhenUsed/>
    <w:qFormat/>
    <w:uiPriority w:val="99"/>
    <w:rPr>
      <w:b/>
      <w:bCs/>
    </w:rPr>
  </w:style>
  <w:style w:type="paragraph" w:styleId="19">
    <w:name w:val="Body Text First Indent 2"/>
    <w:basedOn w:val="8"/>
    <w:link w:val="32"/>
    <w:qFormat/>
    <w:uiPriority w:val="0"/>
    <w:pPr>
      <w:spacing w:after="120"/>
      <w:ind w:left="420" w:firstLine="210"/>
    </w:pPr>
    <w:rPr>
      <w:sz w:val="21"/>
    </w:rPr>
  </w:style>
  <w:style w:type="character" w:styleId="22">
    <w:name w:val="page number"/>
    <w:basedOn w:val="21"/>
    <w:qFormat/>
    <w:uiPriority w:val="0"/>
  </w:style>
  <w:style w:type="character" w:styleId="23">
    <w:name w:val="annotation reference"/>
    <w:basedOn w:val="21"/>
    <w:unhideWhenUsed/>
    <w:qFormat/>
    <w:uiPriority w:val="99"/>
    <w:rPr>
      <w:sz w:val="21"/>
      <w:szCs w:val="21"/>
    </w:rPr>
  </w:style>
  <w:style w:type="character" w:customStyle="1" w:styleId="24">
    <w:name w:val="正文文本 Char"/>
    <w:basedOn w:val="21"/>
    <w:link w:val="2"/>
    <w:qFormat/>
    <w:uiPriority w:val="0"/>
    <w:rPr>
      <w:rFonts w:ascii="Times New Roman" w:hAnsi="Times New Roman" w:eastAsia="宋体" w:cs="Times New Roman"/>
      <w:sz w:val="28"/>
      <w:szCs w:val="20"/>
    </w:rPr>
  </w:style>
  <w:style w:type="character" w:customStyle="1" w:styleId="25">
    <w:name w:val="批注文字 Char"/>
    <w:basedOn w:val="21"/>
    <w:link w:val="7"/>
    <w:semiHidden/>
    <w:qFormat/>
    <w:uiPriority w:val="99"/>
    <w:rPr>
      <w:kern w:val="2"/>
      <w:sz w:val="21"/>
      <w:szCs w:val="22"/>
    </w:rPr>
  </w:style>
  <w:style w:type="character" w:customStyle="1" w:styleId="26">
    <w:name w:val="正文文本缩进 Char"/>
    <w:basedOn w:val="21"/>
    <w:link w:val="8"/>
    <w:qFormat/>
    <w:uiPriority w:val="0"/>
    <w:rPr>
      <w:rFonts w:ascii="Times New Roman" w:hAnsi="Times New Roman" w:eastAsia="宋体" w:cs="Times New Roman"/>
      <w:sz w:val="28"/>
      <w:szCs w:val="20"/>
    </w:rPr>
  </w:style>
  <w:style w:type="character" w:customStyle="1" w:styleId="27">
    <w:name w:val="批注框文本 Char"/>
    <w:basedOn w:val="21"/>
    <w:link w:val="12"/>
    <w:semiHidden/>
    <w:qFormat/>
    <w:uiPriority w:val="99"/>
    <w:rPr>
      <w:sz w:val="18"/>
      <w:szCs w:val="18"/>
    </w:rPr>
  </w:style>
  <w:style w:type="character" w:customStyle="1" w:styleId="28">
    <w:name w:val="页脚 Char"/>
    <w:basedOn w:val="21"/>
    <w:link w:val="13"/>
    <w:semiHidden/>
    <w:qFormat/>
    <w:uiPriority w:val="99"/>
    <w:rPr>
      <w:sz w:val="18"/>
      <w:szCs w:val="18"/>
    </w:rPr>
  </w:style>
  <w:style w:type="character" w:customStyle="1" w:styleId="29">
    <w:name w:val="页眉 Char"/>
    <w:basedOn w:val="21"/>
    <w:link w:val="14"/>
    <w:qFormat/>
    <w:uiPriority w:val="99"/>
    <w:rPr>
      <w:sz w:val="18"/>
      <w:szCs w:val="18"/>
    </w:rPr>
  </w:style>
  <w:style w:type="character" w:customStyle="1" w:styleId="30">
    <w:name w:val="正文文本 2 Char"/>
    <w:basedOn w:val="21"/>
    <w:link w:val="16"/>
    <w:semiHidden/>
    <w:qFormat/>
    <w:uiPriority w:val="99"/>
    <w:rPr>
      <w:kern w:val="2"/>
      <w:sz w:val="21"/>
      <w:szCs w:val="22"/>
    </w:rPr>
  </w:style>
  <w:style w:type="character" w:customStyle="1" w:styleId="31">
    <w:name w:val="批注主题 Char"/>
    <w:basedOn w:val="25"/>
    <w:link w:val="18"/>
    <w:semiHidden/>
    <w:qFormat/>
    <w:uiPriority w:val="99"/>
    <w:rPr>
      <w:b/>
      <w:bCs/>
    </w:rPr>
  </w:style>
  <w:style w:type="character" w:customStyle="1" w:styleId="32">
    <w:name w:val="正文首行缩进 2 Char"/>
    <w:basedOn w:val="26"/>
    <w:link w:val="19"/>
    <w:qFormat/>
    <w:uiPriority w:val="0"/>
    <w:rPr>
      <w:rFonts w:ascii="Times New Roman" w:hAnsi="Times New Roman" w:eastAsia="宋体" w:cs="Times New Roman"/>
      <w:sz w:val="28"/>
      <w:szCs w:val="20"/>
    </w:rPr>
  </w:style>
  <w:style w:type="paragraph" w:customStyle="1" w:styleId="33">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
    <w:name w:val="表头"/>
    <w:basedOn w:val="1"/>
    <w:qFormat/>
    <w:uiPriority w:val="0"/>
    <w:pPr>
      <w:spacing w:line="360" w:lineRule="auto"/>
      <w:jc w:val="center"/>
    </w:pPr>
    <w:rPr>
      <w:rFonts w:ascii="黑体" w:hAnsi="Times New Roman" w:eastAsia="黑体" w:cs="Times New Roman"/>
      <w:kern w:val="0"/>
      <w:sz w:val="24"/>
      <w:szCs w:val="20"/>
    </w:rPr>
  </w:style>
  <w:style w:type="paragraph" w:customStyle="1" w:styleId="3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6">
    <w:name w:val="List Paragraph"/>
    <w:basedOn w:val="1"/>
    <w:qFormat/>
    <w:uiPriority w:val="34"/>
    <w:pPr>
      <w:ind w:firstLine="420" w:firstLineChars="200"/>
    </w:pPr>
    <w:rPr>
      <w:szCs w:val="24"/>
    </w:rPr>
  </w:style>
  <w:style w:type="paragraph" w:customStyle="1" w:styleId="37">
    <w:name w:val="样式 宋体 行距: 1.5 倍行距"/>
    <w:basedOn w:val="1"/>
    <w:qFormat/>
    <w:uiPriority w:val="99"/>
    <w:pPr>
      <w:jc w:val="center"/>
    </w:pPr>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5" textRotate="1"/>
    <customShpInfo spid="_x0000_s4106"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13579</Words>
  <Characters>14572</Characters>
  <Lines>55</Lines>
  <Paragraphs>15</Paragraphs>
  <TotalTime>1</TotalTime>
  <ScaleCrop>false</ScaleCrop>
  <LinksUpToDate>false</LinksUpToDate>
  <CharactersWithSpaces>15259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2019-01-30T23:10:00Z</dcterms:created>
  <dc:creator>LSK</dc:creator>
  <dc:description>Shankar's Birthday falls on 25th July.  Don't Forget to wish him</dc:description>
  <cp:keywords>Birthday</cp:keywords>
  <cp:lastModifiedBy>郑华莎</cp:lastModifiedBy>
  <cp:lastPrinted>2019-08-01T18:26:00Z</cp:lastPrinted>
  <dcterms:modified xsi:type="dcterms:W3CDTF">2025-05-23T09:52:02Z</dcterms:modified>
  <dc:subject>Birthday </dc:subject>
  <dc:title>Are You suprised ?</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EC13E197493942B5ADD59AE4184239AD_13</vt:lpwstr>
  </property>
  <property fmtid="{D5CDD505-2E9C-101B-9397-08002B2CF9AE}" pid="4" name="KSOTemplateDocerSaveRecord">
    <vt:lpwstr>eyJoZGlkIjoiMzgyN2UyMDMyMWVhY2UzZmY4NGVhMzNmM2ZlMTE2ODYiLCJ1c2VySWQiOiI1NzU5NTA0OTkifQ==</vt:lpwstr>
  </property>
</Properties>
</file>