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41753">
      <w:pPr>
        <w:pStyle w:val="8"/>
        <w:adjustRightInd w:val="0"/>
        <w:snapToGrid w:val="0"/>
        <w:spacing w:before="312" w:beforeLines="100" w:after="312" w:afterLines="100" w:line="360" w:lineRule="auto"/>
        <w:ind w:right="640" w:firstLine="3200" w:firstLineChars="1000"/>
        <w:rPr>
          <w:rFonts w:ascii="方正小标宋简体" w:hAnsi="宋体" w:eastAsia="方正小标宋简体"/>
          <w:sz w:val="52"/>
          <w:szCs w:val="52"/>
          <w:highlight w:val="none"/>
        </w:rPr>
      </w:pPr>
      <w:r>
        <w:rPr>
          <w:rFonts w:hint="eastAsia" w:ascii="宋体" w:hAnsi="宋体" w:cs="华文中宋"/>
          <w:sz w:val="32"/>
          <w:szCs w:val="32"/>
          <w:highlight w:val="none"/>
        </w:rPr>
        <w:t>合同编号：</w:t>
      </w:r>
    </w:p>
    <w:p w14:paraId="11319425">
      <w:pPr>
        <w:pStyle w:val="8"/>
        <w:adjustRightInd w:val="0"/>
        <w:snapToGrid w:val="0"/>
        <w:spacing w:before="312" w:beforeLines="100" w:after="312" w:afterLines="100" w:line="360" w:lineRule="auto"/>
        <w:ind w:right="0" w:firstLine="0" w:firstLineChars="0"/>
        <w:jc w:val="center"/>
        <w:rPr>
          <w:rFonts w:ascii="方正小标宋简体" w:hAnsi="宋体" w:eastAsia="方正小标宋简体"/>
          <w:sz w:val="72"/>
          <w:szCs w:val="72"/>
          <w:highlight w:val="none"/>
        </w:rPr>
      </w:pPr>
    </w:p>
    <w:p w14:paraId="6CCC0E5E">
      <w:pPr>
        <w:pStyle w:val="8"/>
        <w:adjustRightInd w:val="0"/>
        <w:snapToGrid w:val="0"/>
        <w:spacing w:before="312" w:beforeLines="100" w:after="312" w:afterLines="100" w:line="360" w:lineRule="auto"/>
        <w:ind w:right="0" w:firstLine="0" w:firstLineChars="0"/>
        <w:jc w:val="center"/>
        <w:rPr>
          <w:rFonts w:ascii="宋体" w:hAnsi="宋体" w:eastAsia="宋体"/>
          <w:sz w:val="72"/>
          <w:szCs w:val="72"/>
          <w:highlight w:val="none"/>
        </w:rPr>
      </w:pPr>
      <w:r>
        <w:rPr>
          <w:rFonts w:hint="eastAsia" w:ascii="宋体" w:hAnsi="宋体" w:eastAsia="宋体"/>
          <w:sz w:val="72"/>
          <w:szCs w:val="72"/>
          <w:highlight w:val="none"/>
        </w:rPr>
        <w:t>建设工程造价咨询合同</w:t>
      </w:r>
    </w:p>
    <w:p w14:paraId="73047331">
      <w:pPr>
        <w:pStyle w:val="8"/>
        <w:adjustRightInd w:val="0"/>
        <w:snapToGrid w:val="0"/>
        <w:spacing w:before="312" w:beforeLines="100" w:after="312" w:afterLines="100" w:line="360" w:lineRule="auto"/>
        <w:ind w:right="0" w:firstLine="0" w:firstLineChars="0"/>
        <w:jc w:val="center"/>
        <w:rPr>
          <w:rFonts w:ascii="方正小标宋简体" w:hAnsi="宋体" w:eastAsia="方正小标宋简体"/>
          <w:sz w:val="72"/>
          <w:szCs w:val="72"/>
          <w:highlight w:val="none"/>
        </w:rPr>
      </w:pPr>
    </w:p>
    <w:p w14:paraId="2199ACF6">
      <w:pPr>
        <w:spacing w:line="640" w:lineRule="exact"/>
        <w:ind w:left="638" w:leftChars="304" w:firstLine="0" w:firstLineChars="0"/>
        <w:rPr>
          <w:rFonts w:ascii="宋体" w:hAnsi="宋体" w:cs="仿宋"/>
          <w:sz w:val="32"/>
          <w:szCs w:val="32"/>
          <w:highlight w:val="none"/>
          <w:u w:val="single"/>
        </w:rPr>
      </w:pPr>
      <w:r>
        <w:rPr>
          <w:rFonts w:hint="eastAsia" w:ascii="宋体" w:hAnsi="宋体" w:cs="仿宋"/>
          <w:sz w:val="32"/>
          <w:szCs w:val="32"/>
          <w:highlight w:val="none"/>
        </w:rPr>
        <w:t>工程名称：</w:t>
      </w:r>
      <w:r>
        <w:rPr>
          <w:rFonts w:hint="eastAsia" w:ascii="宋体" w:hAnsi="宋体" w:cs="仿宋"/>
          <w:sz w:val="32"/>
          <w:szCs w:val="32"/>
          <w:highlight w:val="none"/>
          <w:lang w:eastAsia="zh-CN"/>
        </w:rPr>
        <w:t>天河区凌塘村城中村改造项目-凌塘新村南侧地块复建安置房及配套设施工程</w:t>
      </w:r>
    </w:p>
    <w:p w14:paraId="27896332">
      <w:pPr>
        <w:spacing w:line="640" w:lineRule="exact"/>
        <w:ind w:firstLine="640" w:firstLineChars="200"/>
        <w:rPr>
          <w:rFonts w:ascii="宋体" w:hAnsi="宋体" w:cs="仿宋"/>
          <w:sz w:val="32"/>
          <w:szCs w:val="32"/>
          <w:highlight w:val="none"/>
          <w:u w:val="none"/>
        </w:rPr>
      </w:pPr>
      <w:r>
        <w:rPr>
          <w:rFonts w:hint="eastAsia" w:ascii="宋体" w:hAnsi="宋体" w:cs="仿宋"/>
          <w:sz w:val="32"/>
          <w:szCs w:val="32"/>
          <w:highlight w:val="none"/>
          <w:u w:val="none"/>
        </w:rPr>
        <w:t>甲    方：</w:t>
      </w:r>
      <w:r>
        <w:rPr>
          <w:rFonts w:hint="eastAsia" w:ascii="宋体" w:hAnsi="宋体" w:cs="仿宋"/>
          <w:sz w:val="32"/>
          <w:szCs w:val="32"/>
          <w:highlight w:val="none"/>
          <w:u w:val="single"/>
          <w:lang w:val="en-US" w:eastAsia="zh-CN"/>
        </w:rPr>
        <w:t>广州天华科韵城市更新有限公司</w:t>
      </w:r>
      <w:r>
        <w:rPr>
          <w:rFonts w:hint="eastAsia" w:ascii="宋体" w:hAnsi="宋体" w:cs="仿宋"/>
          <w:sz w:val="32"/>
          <w:szCs w:val="32"/>
          <w:highlight w:val="none"/>
          <w:u w:val="none"/>
          <w:lang w:val="en-US" w:eastAsia="zh-CN"/>
        </w:rPr>
        <w:t xml:space="preserve">     </w:t>
      </w:r>
      <w:r>
        <w:rPr>
          <w:rFonts w:ascii="宋体" w:hAnsi="宋体" w:cs="仿宋"/>
          <w:sz w:val="32"/>
          <w:szCs w:val="32"/>
          <w:highlight w:val="none"/>
          <w:u w:val="none"/>
        </w:rPr>
        <w:t xml:space="preserve">           </w:t>
      </w:r>
    </w:p>
    <w:p w14:paraId="75EF2E4D">
      <w:pPr>
        <w:spacing w:line="640" w:lineRule="exact"/>
        <w:ind w:firstLine="640" w:firstLineChars="200"/>
        <w:rPr>
          <w:rFonts w:ascii="宋体" w:hAnsi="宋体" w:cs="仿宋"/>
          <w:sz w:val="32"/>
          <w:szCs w:val="32"/>
          <w:highlight w:val="none"/>
          <w:u w:val="none"/>
        </w:rPr>
      </w:pPr>
      <w:r>
        <w:rPr>
          <w:rFonts w:hint="eastAsia" w:ascii="宋体" w:hAnsi="宋体" w:cs="仿宋"/>
          <w:sz w:val="32"/>
          <w:szCs w:val="32"/>
          <w:highlight w:val="none"/>
          <w:u w:val="none"/>
        </w:rPr>
        <w:t>乙    方：</w:t>
      </w:r>
      <w:r>
        <w:rPr>
          <w:rFonts w:ascii="宋体" w:hAnsi="宋体" w:cs="仿宋"/>
          <w:sz w:val="32"/>
          <w:szCs w:val="32"/>
          <w:highlight w:val="none"/>
          <w:u w:val="single"/>
        </w:rPr>
        <w:t xml:space="preserve">                            </w:t>
      </w:r>
      <w:r>
        <w:rPr>
          <w:rFonts w:ascii="宋体" w:hAnsi="宋体" w:cs="仿宋"/>
          <w:sz w:val="32"/>
          <w:szCs w:val="32"/>
          <w:highlight w:val="none"/>
          <w:u w:val="none"/>
        </w:rPr>
        <w:t xml:space="preserve">            </w:t>
      </w:r>
    </w:p>
    <w:p w14:paraId="3E8A1843">
      <w:pPr>
        <w:spacing w:line="640" w:lineRule="exact"/>
        <w:rPr>
          <w:rFonts w:ascii="宋体" w:hAnsi="宋体"/>
          <w:sz w:val="32"/>
          <w:szCs w:val="32"/>
          <w:highlight w:val="none"/>
        </w:rPr>
      </w:pPr>
    </w:p>
    <w:p w14:paraId="2DDA70B0">
      <w:pPr>
        <w:spacing w:line="640" w:lineRule="exact"/>
        <w:rPr>
          <w:rFonts w:ascii="宋体" w:hAnsi="宋体" w:cs="仿宋"/>
          <w:sz w:val="32"/>
          <w:szCs w:val="32"/>
          <w:highlight w:val="none"/>
        </w:rPr>
      </w:pPr>
    </w:p>
    <w:p w14:paraId="7D54C18B">
      <w:pPr>
        <w:spacing w:line="640" w:lineRule="exact"/>
        <w:rPr>
          <w:rFonts w:ascii="宋体" w:hAnsi="宋体" w:cs="仿宋"/>
          <w:sz w:val="32"/>
          <w:szCs w:val="32"/>
          <w:highlight w:val="none"/>
        </w:rPr>
      </w:pPr>
    </w:p>
    <w:p w14:paraId="09AF86DA">
      <w:pPr>
        <w:pStyle w:val="32"/>
        <w:widowControl/>
        <w:tabs>
          <w:tab w:val="left" w:pos="1274"/>
        </w:tabs>
        <w:adjustRightInd w:val="0"/>
        <w:snapToGrid w:val="0"/>
        <w:spacing w:before="312" w:beforeLines="100" w:after="312" w:afterLines="100" w:line="360" w:lineRule="auto"/>
        <w:ind w:firstLine="0" w:firstLineChars="0"/>
        <w:jc w:val="center"/>
        <w:rPr>
          <w:rFonts w:ascii="宋体" w:hAnsi="宋体" w:cs="仿宋"/>
          <w:sz w:val="32"/>
          <w:szCs w:val="32"/>
          <w:highlight w:val="none"/>
        </w:rPr>
      </w:pPr>
      <w:r>
        <w:rPr>
          <w:rFonts w:hint="eastAsia" w:ascii="宋体" w:hAnsi="宋体" w:cs="仿宋"/>
          <w:sz w:val="32"/>
          <w:szCs w:val="32"/>
          <w:highlight w:val="none"/>
        </w:rPr>
        <w:t xml:space="preserve">签订日期：      年 </w:t>
      </w:r>
      <w:r>
        <w:rPr>
          <w:rFonts w:ascii="宋体" w:hAnsi="宋体" w:cs="仿宋"/>
          <w:sz w:val="32"/>
          <w:szCs w:val="32"/>
          <w:highlight w:val="none"/>
        </w:rPr>
        <w:t xml:space="preserve"> </w:t>
      </w:r>
      <w:r>
        <w:rPr>
          <w:rFonts w:hint="eastAsia" w:ascii="宋体" w:hAnsi="宋体" w:cs="仿宋"/>
          <w:sz w:val="32"/>
          <w:szCs w:val="32"/>
          <w:highlight w:val="none"/>
        </w:rPr>
        <w:t xml:space="preserve"> 月  日</w:t>
      </w:r>
    </w:p>
    <w:p w14:paraId="30CA68CE">
      <w:pPr>
        <w:pStyle w:val="32"/>
        <w:widowControl/>
        <w:tabs>
          <w:tab w:val="left" w:pos="1274"/>
        </w:tabs>
        <w:adjustRightInd w:val="0"/>
        <w:snapToGrid w:val="0"/>
        <w:spacing w:before="312" w:beforeLines="100" w:after="312" w:afterLines="100" w:line="360" w:lineRule="auto"/>
        <w:ind w:firstLine="0" w:firstLineChars="0"/>
        <w:jc w:val="center"/>
        <w:rPr>
          <w:rFonts w:ascii="方正小标宋简体" w:hAnsi="宋体" w:eastAsia="方正小标宋简体"/>
          <w:b/>
          <w:bCs/>
          <w:smallCaps/>
          <w:kern w:val="0"/>
          <w:sz w:val="36"/>
          <w:szCs w:val="36"/>
          <w:highlight w:val="none"/>
        </w:rPr>
      </w:pPr>
    </w:p>
    <w:p w14:paraId="47E96A65">
      <w:pPr>
        <w:pStyle w:val="32"/>
        <w:widowControl/>
        <w:tabs>
          <w:tab w:val="left" w:pos="1274"/>
        </w:tabs>
        <w:adjustRightInd w:val="0"/>
        <w:snapToGrid w:val="0"/>
        <w:spacing w:before="312" w:beforeLines="100" w:after="312" w:afterLines="100" w:line="360" w:lineRule="auto"/>
        <w:ind w:firstLine="0" w:firstLineChars="0"/>
        <w:jc w:val="center"/>
        <w:rPr>
          <w:rFonts w:ascii="方正小标宋简体" w:hAnsi="宋体" w:eastAsia="方正小标宋简体"/>
          <w:b/>
          <w:bCs/>
          <w:smallCaps/>
          <w:kern w:val="0"/>
          <w:sz w:val="36"/>
          <w:szCs w:val="36"/>
          <w:highlight w:val="none"/>
        </w:rPr>
      </w:pPr>
    </w:p>
    <w:p w14:paraId="30904EC3">
      <w:pPr>
        <w:pStyle w:val="32"/>
        <w:widowControl/>
        <w:tabs>
          <w:tab w:val="left" w:pos="1274"/>
        </w:tabs>
        <w:adjustRightInd w:val="0"/>
        <w:snapToGrid w:val="0"/>
        <w:spacing w:before="312" w:beforeLines="100" w:after="312" w:afterLines="100" w:line="360" w:lineRule="auto"/>
        <w:ind w:firstLine="0" w:firstLineChars="0"/>
        <w:jc w:val="center"/>
        <w:rPr>
          <w:rFonts w:ascii="宋体" w:hAnsi="宋体"/>
          <w:b/>
          <w:bCs/>
          <w:smallCaps/>
          <w:kern w:val="0"/>
          <w:sz w:val="36"/>
          <w:szCs w:val="36"/>
          <w:highlight w:val="none"/>
        </w:rPr>
      </w:pPr>
      <w:r>
        <w:rPr>
          <w:rFonts w:hint="eastAsia" w:ascii="宋体" w:hAnsi="宋体"/>
          <w:b/>
          <w:bCs/>
          <w:smallCaps/>
          <w:kern w:val="0"/>
          <w:sz w:val="36"/>
          <w:szCs w:val="36"/>
          <w:highlight w:val="none"/>
        </w:rPr>
        <w:t>说   明</w:t>
      </w:r>
    </w:p>
    <w:p w14:paraId="401F4E9D">
      <w:pPr>
        <w:pStyle w:val="8"/>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ascii="Times New Roman" w:hAnsi="宋体" w:eastAsia="宋体"/>
          <w:sz w:val="24"/>
          <w:szCs w:val="24"/>
          <w:highlight w:val="none"/>
        </w:rPr>
        <w:t>为了规范建设工程造价咨询活动，维护合同</w:t>
      </w:r>
      <w:r>
        <w:rPr>
          <w:rFonts w:hint="eastAsia" w:ascii="Times New Roman" w:hAnsi="宋体" w:eastAsia="宋体"/>
          <w:sz w:val="24"/>
          <w:szCs w:val="24"/>
          <w:highlight w:val="none"/>
        </w:rPr>
        <w:t>双方</w:t>
      </w:r>
      <w:r>
        <w:rPr>
          <w:rFonts w:ascii="Times New Roman" w:hAnsi="宋体" w:eastAsia="宋体"/>
          <w:sz w:val="24"/>
          <w:szCs w:val="24"/>
          <w:highlight w:val="none"/>
        </w:rPr>
        <w:t>当事人的合法权益，依据《中华人民共和国民法典》等相关法律法规，制定本《建设工程造价咨询合同》。为了便于合同当事人使用本《建设工程造价咨询合同》，现就有关问题说明如下：</w:t>
      </w:r>
    </w:p>
    <w:p w14:paraId="241D0CC2">
      <w:pPr>
        <w:pStyle w:val="8"/>
        <w:adjustRightInd w:val="0"/>
        <w:snapToGrid w:val="0"/>
        <w:spacing w:before="312" w:beforeLines="100" w:after="312" w:afterLines="100" w:line="360" w:lineRule="auto"/>
        <w:ind w:right="0" w:firstLine="463" w:firstLineChars="193"/>
        <w:jc w:val="left"/>
        <w:rPr>
          <w:rFonts w:hAnsi="宋体"/>
          <w:sz w:val="24"/>
          <w:szCs w:val="24"/>
          <w:highlight w:val="none"/>
        </w:rPr>
      </w:pPr>
      <w:r>
        <w:rPr>
          <w:rFonts w:hint="eastAsia" w:hAnsi="宋体"/>
          <w:sz w:val="24"/>
          <w:szCs w:val="24"/>
          <w:highlight w:val="none"/>
        </w:rPr>
        <w:t>一、《建设工程造价咨询合同》的组成</w:t>
      </w:r>
    </w:p>
    <w:p w14:paraId="4C1EFA96">
      <w:pPr>
        <w:pStyle w:val="8"/>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ascii="Times New Roman" w:hAnsi="宋体" w:eastAsia="宋体"/>
          <w:sz w:val="24"/>
          <w:szCs w:val="24"/>
          <w:highlight w:val="none"/>
        </w:rPr>
        <w:t>《建设工程造价咨询合同》由合同协议书、通用合同条款和专用合同条款三部分组成。</w:t>
      </w:r>
    </w:p>
    <w:p w14:paraId="01383AFE">
      <w:pPr>
        <w:pStyle w:val="8"/>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hint="eastAsia" w:ascii="Times New Roman" w:hAnsi="宋体" w:eastAsia="宋体"/>
          <w:sz w:val="24"/>
          <w:szCs w:val="24"/>
          <w:highlight w:val="none"/>
        </w:rPr>
        <w:t>（一）</w:t>
      </w:r>
      <w:r>
        <w:rPr>
          <w:rFonts w:ascii="Times New Roman" w:hAnsi="宋体" w:eastAsia="宋体"/>
          <w:sz w:val="24"/>
          <w:szCs w:val="24"/>
          <w:highlight w:val="none"/>
        </w:rPr>
        <w:t>合同协议书</w:t>
      </w:r>
      <w:r>
        <w:rPr>
          <w:rFonts w:hint="eastAsia" w:ascii="Times New Roman" w:hAnsi="宋体" w:eastAsia="宋体"/>
          <w:sz w:val="24"/>
          <w:szCs w:val="24"/>
          <w:highlight w:val="none"/>
        </w:rPr>
        <w:t>。</w:t>
      </w:r>
      <w:r>
        <w:rPr>
          <w:rFonts w:ascii="Times New Roman" w:hAnsi="宋体" w:eastAsia="宋体"/>
          <w:sz w:val="24"/>
          <w:szCs w:val="24"/>
          <w:highlight w:val="none"/>
        </w:rPr>
        <w:t>《建设工程造价咨询合同》合同</w:t>
      </w:r>
      <w:r>
        <w:rPr>
          <w:rFonts w:hint="eastAsia" w:ascii="Times New Roman" w:hAnsi="宋体" w:eastAsia="宋体"/>
          <w:sz w:val="24"/>
          <w:szCs w:val="24"/>
          <w:highlight w:val="none"/>
        </w:rPr>
        <w:t>双方</w:t>
      </w:r>
      <w:r>
        <w:rPr>
          <w:rFonts w:ascii="Times New Roman" w:hAnsi="宋体" w:eastAsia="宋体"/>
          <w:sz w:val="24"/>
          <w:szCs w:val="24"/>
          <w:highlight w:val="none"/>
        </w:rPr>
        <w:t>对权利义务的总体约定。</w:t>
      </w:r>
    </w:p>
    <w:p w14:paraId="5682F729">
      <w:pPr>
        <w:pStyle w:val="8"/>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hint="eastAsia" w:ascii="Times New Roman" w:hAnsi="宋体" w:eastAsia="宋体"/>
          <w:sz w:val="24"/>
          <w:szCs w:val="24"/>
          <w:highlight w:val="none"/>
        </w:rPr>
        <w:t>（二）</w:t>
      </w:r>
      <w:r>
        <w:rPr>
          <w:rFonts w:ascii="Times New Roman" w:hAnsi="宋体" w:eastAsia="宋体"/>
          <w:sz w:val="24"/>
          <w:szCs w:val="24"/>
          <w:highlight w:val="none"/>
        </w:rPr>
        <w:t>通用合同条款</w:t>
      </w:r>
      <w:r>
        <w:rPr>
          <w:rFonts w:hint="eastAsia" w:ascii="Times New Roman" w:hAnsi="宋体" w:eastAsia="宋体"/>
          <w:sz w:val="24"/>
          <w:szCs w:val="24"/>
          <w:highlight w:val="none"/>
        </w:rPr>
        <w:t>。</w:t>
      </w:r>
      <w:r>
        <w:rPr>
          <w:rFonts w:ascii="Times New Roman" w:hAnsi="宋体" w:eastAsia="宋体"/>
          <w:sz w:val="24"/>
          <w:szCs w:val="24"/>
          <w:highlight w:val="none"/>
        </w:rPr>
        <w:t>通用合同条款是合同当事人根据《中华人民共和国民法典》等法律法规的规定，就建设工程造价咨询工作的实施及相关事项，对合同当事人的权利义务作出的约定。</w:t>
      </w:r>
    </w:p>
    <w:p w14:paraId="78E1E090">
      <w:pPr>
        <w:pStyle w:val="8"/>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hint="eastAsia" w:ascii="Times New Roman" w:hAnsi="宋体" w:eastAsia="宋体"/>
          <w:sz w:val="24"/>
          <w:szCs w:val="24"/>
          <w:highlight w:val="none"/>
        </w:rPr>
        <w:t>（三）</w:t>
      </w:r>
      <w:r>
        <w:rPr>
          <w:rFonts w:ascii="Times New Roman" w:hAnsi="宋体" w:eastAsia="宋体"/>
          <w:sz w:val="24"/>
          <w:szCs w:val="24"/>
          <w:highlight w:val="none"/>
        </w:rPr>
        <w:t>专用合同条款</w:t>
      </w:r>
      <w:r>
        <w:rPr>
          <w:rFonts w:hint="eastAsia" w:ascii="Times New Roman" w:hAnsi="宋体" w:eastAsia="宋体"/>
          <w:sz w:val="24"/>
          <w:szCs w:val="24"/>
          <w:highlight w:val="none"/>
        </w:rPr>
        <w:t>。</w:t>
      </w:r>
      <w:r>
        <w:rPr>
          <w:rFonts w:ascii="Times New Roman" w:hAnsi="宋体" w:eastAsia="宋体"/>
          <w:sz w:val="24"/>
          <w:szCs w:val="24"/>
          <w:highlight w:val="none"/>
        </w:rPr>
        <w:t>专用合同条款是对合同条款约定的细化、完善、补充、修改或另行约定的条款。合同当事人可以根据不同建设工程的特点及具体情况，通过</w:t>
      </w:r>
      <w:r>
        <w:rPr>
          <w:rFonts w:hint="eastAsia" w:ascii="Times New Roman" w:hAnsi="宋体" w:eastAsia="宋体"/>
          <w:sz w:val="24"/>
          <w:szCs w:val="24"/>
          <w:highlight w:val="none"/>
        </w:rPr>
        <w:t>双方</w:t>
      </w:r>
      <w:r>
        <w:rPr>
          <w:rFonts w:ascii="Times New Roman" w:hAnsi="宋体" w:eastAsia="宋体"/>
          <w:sz w:val="24"/>
          <w:szCs w:val="24"/>
          <w:highlight w:val="none"/>
        </w:rPr>
        <w:t>的谈判、协商对相应的专用合同条款进行修改补充。在使用专用合同条款时，应注意以下事项：</w:t>
      </w:r>
    </w:p>
    <w:p w14:paraId="223E0D31">
      <w:pPr>
        <w:pStyle w:val="8"/>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hint="eastAsia" w:ascii="Times New Roman" w:hAnsi="宋体" w:eastAsia="宋体"/>
          <w:sz w:val="24"/>
          <w:szCs w:val="24"/>
          <w:highlight w:val="none"/>
        </w:rPr>
        <w:t>1、</w:t>
      </w:r>
      <w:r>
        <w:rPr>
          <w:rFonts w:ascii="Times New Roman" w:hAnsi="宋体" w:eastAsia="宋体"/>
          <w:sz w:val="24"/>
          <w:szCs w:val="24"/>
          <w:highlight w:val="none"/>
        </w:rPr>
        <w:t>合同当事人可以通过对专用合同条款的修改，满足具体建设工程的特殊要求；</w:t>
      </w:r>
    </w:p>
    <w:p w14:paraId="38FF1A77">
      <w:pPr>
        <w:pStyle w:val="8"/>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hint="eastAsia" w:ascii="Times New Roman" w:hAnsi="宋体" w:eastAsia="宋体"/>
          <w:sz w:val="24"/>
          <w:szCs w:val="24"/>
          <w:highlight w:val="none"/>
        </w:rPr>
        <w:t>2、</w:t>
      </w:r>
      <w:r>
        <w:rPr>
          <w:rFonts w:ascii="Times New Roman" w:hAnsi="宋体" w:eastAsia="宋体"/>
          <w:sz w:val="24"/>
          <w:szCs w:val="24"/>
          <w:highlight w:val="none"/>
        </w:rPr>
        <w:t>在专用合同条款中有横道线的地方，合同当事人可针对相应的合同条款进行细化、完善、补充、修改或另行约定；如无细化、完善、补充、修改或另行约定，则填写“无”或划“/”。</w:t>
      </w:r>
    </w:p>
    <w:p w14:paraId="0BA12ABE">
      <w:pPr>
        <w:pStyle w:val="8"/>
        <w:adjustRightInd w:val="0"/>
        <w:snapToGrid w:val="0"/>
        <w:spacing w:before="312" w:beforeLines="100" w:after="312" w:afterLines="100" w:line="360" w:lineRule="auto"/>
        <w:ind w:right="0" w:firstLine="463" w:firstLineChars="193"/>
        <w:jc w:val="left"/>
        <w:rPr>
          <w:rFonts w:hAnsi="宋体"/>
          <w:sz w:val="24"/>
          <w:szCs w:val="24"/>
          <w:highlight w:val="none"/>
        </w:rPr>
      </w:pPr>
      <w:r>
        <w:rPr>
          <w:rFonts w:hint="eastAsia" w:hAnsi="宋体"/>
          <w:sz w:val="24"/>
          <w:szCs w:val="24"/>
          <w:highlight w:val="none"/>
        </w:rPr>
        <w:t>二、《建设工程造价咨询合同》的适用范围</w:t>
      </w:r>
    </w:p>
    <w:p w14:paraId="2CE111CD">
      <w:pPr>
        <w:pStyle w:val="8"/>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ascii="Times New Roman" w:hAnsi="宋体" w:eastAsia="宋体"/>
          <w:sz w:val="24"/>
          <w:szCs w:val="24"/>
          <w:highlight w:val="none"/>
        </w:rPr>
        <w:t>《建设工程造价咨询合同》</w:t>
      </w:r>
      <w:r>
        <w:rPr>
          <w:rFonts w:hint="eastAsia" w:ascii="Times New Roman" w:hAnsi="宋体" w:eastAsia="宋体"/>
          <w:sz w:val="24"/>
          <w:szCs w:val="24"/>
          <w:highlight w:val="none"/>
        </w:rPr>
        <w:t>可</w:t>
      </w:r>
      <w:r>
        <w:rPr>
          <w:rFonts w:ascii="Times New Roman" w:hAnsi="宋体" w:eastAsia="宋体"/>
          <w:sz w:val="24"/>
          <w:szCs w:val="24"/>
          <w:highlight w:val="none"/>
        </w:rPr>
        <w:t>适用于房屋建筑工程、土木工程、线路管道和设备安装工程、装修工程等建设工程的造价咨询活动。</w:t>
      </w:r>
    </w:p>
    <w:p w14:paraId="3456DD78">
      <w:pPr>
        <w:pStyle w:val="32"/>
        <w:widowControl/>
        <w:tabs>
          <w:tab w:val="left" w:pos="1274"/>
        </w:tabs>
        <w:adjustRightInd w:val="0"/>
        <w:snapToGrid w:val="0"/>
        <w:spacing w:before="312" w:beforeLines="100" w:after="312" w:afterLines="100" w:line="540" w:lineRule="exact"/>
        <w:ind w:firstLine="0" w:firstLineChars="0"/>
        <w:jc w:val="center"/>
        <w:rPr>
          <w:rFonts w:ascii="方正小标宋简体" w:hAnsi="宋体" w:eastAsia="方正小标宋简体"/>
          <w:b/>
          <w:bCs/>
          <w:smallCaps/>
          <w:kern w:val="0"/>
          <w:sz w:val="36"/>
          <w:szCs w:val="36"/>
          <w:highlight w:val="none"/>
        </w:rPr>
      </w:pPr>
    </w:p>
    <w:p w14:paraId="5BBB6D5C">
      <w:pPr>
        <w:pStyle w:val="32"/>
        <w:widowControl/>
        <w:tabs>
          <w:tab w:val="left" w:pos="1274"/>
        </w:tabs>
        <w:adjustRightInd w:val="0"/>
        <w:snapToGrid w:val="0"/>
        <w:spacing w:before="312" w:beforeLines="100" w:after="312" w:afterLines="100" w:line="540" w:lineRule="exact"/>
        <w:ind w:firstLine="0" w:firstLineChars="0"/>
        <w:jc w:val="center"/>
        <w:rPr>
          <w:rFonts w:ascii="宋体" w:hAnsi="宋体"/>
          <w:b/>
          <w:bCs/>
          <w:smallCaps/>
          <w:kern w:val="0"/>
          <w:sz w:val="36"/>
          <w:szCs w:val="36"/>
          <w:highlight w:val="none"/>
        </w:rPr>
      </w:pPr>
      <w:r>
        <w:rPr>
          <w:rFonts w:hint="eastAsia" w:ascii="宋体" w:hAnsi="宋体"/>
          <w:b/>
          <w:bCs/>
          <w:smallCaps/>
          <w:kern w:val="0"/>
          <w:sz w:val="36"/>
          <w:szCs w:val="36"/>
          <w:highlight w:val="none"/>
        </w:rPr>
        <w:t xml:space="preserve">第一部分   </w:t>
      </w:r>
      <w:r>
        <w:rPr>
          <w:rFonts w:ascii="宋体" w:hAnsi="宋体"/>
          <w:b/>
          <w:bCs/>
          <w:smallCaps/>
          <w:kern w:val="0"/>
          <w:sz w:val="36"/>
          <w:szCs w:val="36"/>
          <w:highlight w:val="none"/>
        </w:rPr>
        <w:t>建设工程造价咨询协议书</w:t>
      </w:r>
    </w:p>
    <w:p w14:paraId="1237C056">
      <w:pPr>
        <w:adjustRightInd w:val="0"/>
        <w:snapToGrid w:val="0"/>
        <w:spacing w:line="540" w:lineRule="exact"/>
        <w:ind w:firstLine="480" w:firstLineChars="200"/>
        <w:rPr>
          <w:rFonts w:ascii="宋体" w:hAnsi="宋体"/>
          <w:b/>
          <w:bCs/>
          <w:sz w:val="24"/>
          <w:szCs w:val="24"/>
          <w:highlight w:val="none"/>
        </w:rPr>
      </w:pPr>
      <w:r>
        <w:rPr>
          <w:rFonts w:hint="eastAsia" w:ascii="宋体" w:hAnsi="宋体"/>
          <w:sz w:val="24"/>
          <w:szCs w:val="24"/>
          <w:highlight w:val="none"/>
        </w:rPr>
        <w:t>甲  方：</w:t>
      </w:r>
      <w:r>
        <w:rPr>
          <w:rFonts w:hint="eastAsia" w:ascii="宋体" w:hAnsi="宋体"/>
          <w:sz w:val="24"/>
          <w:szCs w:val="24"/>
          <w:highlight w:val="none"/>
          <w:u w:val="single"/>
          <w:lang w:val="en-US" w:eastAsia="zh-CN"/>
        </w:rPr>
        <w:t>广州天华科韵城市更新有限公司</w:t>
      </w:r>
      <w:r>
        <w:rPr>
          <w:rFonts w:hint="eastAsia" w:ascii="宋体" w:hAnsi="宋体"/>
          <w:sz w:val="24"/>
          <w:szCs w:val="24"/>
          <w:highlight w:val="none"/>
          <w:u w:val="single"/>
        </w:rPr>
        <w:t xml:space="preserve">      </w:t>
      </w:r>
    </w:p>
    <w:p w14:paraId="5D79B604">
      <w:pPr>
        <w:adjustRightInd w:val="0"/>
        <w:snapToGrid w:val="0"/>
        <w:spacing w:line="540" w:lineRule="exact"/>
        <w:ind w:firstLine="480" w:firstLineChars="200"/>
        <w:rPr>
          <w:rFonts w:ascii="宋体" w:hAnsi="宋体" w:cs="仿宋"/>
          <w:sz w:val="24"/>
          <w:szCs w:val="24"/>
          <w:highlight w:val="none"/>
          <w:u w:val="single"/>
        </w:rPr>
      </w:pPr>
      <w:r>
        <w:rPr>
          <w:rFonts w:hint="eastAsia" w:ascii="宋体" w:hAnsi="宋体"/>
          <w:sz w:val="24"/>
          <w:szCs w:val="24"/>
          <w:highlight w:val="none"/>
        </w:rPr>
        <w:t>乙  方：</w:t>
      </w:r>
      <w:r>
        <w:rPr>
          <w:rFonts w:ascii="宋体" w:hAnsi="宋体" w:cs="仿宋"/>
          <w:sz w:val="24"/>
          <w:szCs w:val="24"/>
          <w:highlight w:val="none"/>
          <w:u w:val="single"/>
        </w:rPr>
        <w:t xml:space="preserve">                                  </w:t>
      </w:r>
    </w:p>
    <w:p w14:paraId="2F4E2370">
      <w:pPr>
        <w:spacing w:line="540" w:lineRule="exact"/>
        <w:ind w:firstLine="480" w:firstLineChars="200"/>
        <w:rPr>
          <w:rFonts w:ascii="宋体" w:hAnsi="宋体"/>
          <w:kern w:val="0"/>
          <w:sz w:val="24"/>
          <w:szCs w:val="24"/>
          <w:highlight w:val="none"/>
        </w:rPr>
      </w:pPr>
      <w:r>
        <w:rPr>
          <w:rFonts w:hint="eastAsia" w:ascii="宋体" w:hAnsi="宋体" w:cs="仿宋"/>
          <w:sz w:val="24"/>
          <w:szCs w:val="24"/>
          <w:highlight w:val="none"/>
        </w:rPr>
        <w:t>根据《</w:t>
      </w:r>
      <w:r>
        <w:rPr>
          <w:rFonts w:hint="eastAsia" w:ascii="宋体" w:hAnsi="宋体" w:cs="仿宋"/>
          <w:sz w:val="24"/>
          <w:szCs w:val="24"/>
          <w:highlight w:val="none"/>
        </w:rPr>
        <w:fldChar w:fldCharType="begin"/>
      </w:r>
      <w:r>
        <w:rPr>
          <w:rFonts w:hint="eastAsia" w:ascii="宋体" w:hAnsi="宋体" w:cs="仿宋"/>
          <w:sz w:val="24"/>
          <w:szCs w:val="24"/>
          <w:highlight w:val="none"/>
        </w:rPr>
        <w:instrText xml:space="preserve"> HYPERLINK "javascript:SLC(21651,0)" </w:instrText>
      </w:r>
      <w:r>
        <w:rPr>
          <w:rFonts w:hint="eastAsia" w:ascii="宋体" w:hAnsi="宋体" w:cs="仿宋"/>
          <w:sz w:val="24"/>
          <w:szCs w:val="24"/>
          <w:highlight w:val="none"/>
        </w:rPr>
        <w:fldChar w:fldCharType="separate"/>
      </w:r>
      <w:r>
        <w:rPr>
          <w:rStyle w:val="51"/>
          <w:rFonts w:hint="eastAsia" w:ascii="宋体" w:hAnsi="宋体" w:cs="仿宋"/>
          <w:sz w:val="24"/>
          <w:szCs w:val="24"/>
          <w:highlight w:val="none"/>
        </w:rPr>
        <w:t>中华人民共和国民法典</w:t>
      </w:r>
      <w:r>
        <w:rPr>
          <w:rFonts w:hint="eastAsia" w:ascii="宋体" w:hAnsi="宋体" w:cs="仿宋"/>
          <w:sz w:val="24"/>
          <w:szCs w:val="24"/>
          <w:highlight w:val="none"/>
        </w:rPr>
        <w:fldChar w:fldCharType="end"/>
      </w:r>
      <w:r>
        <w:rPr>
          <w:rFonts w:hint="eastAsia" w:ascii="宋体" w:hAnsi="宋体" w:cs="仿宋"/>
          <w:sz w:val="24"/>
          <w:szCs w:val="24"/>
          <w:highlight w:val="none"/>
        </w:rPr>
        <w:t>》及其他有关法律、法规，遵循平等、自愿、公平和诚实信用的原则，双方就下述建设工程委托造价咨询与其他服务事项协商一致，订立本合同。</w:t>
      </w:r>
    </w:p>
    <w:p w14:paraId="16BDAAC3">
      <w:pPr>
        <w:pStyle w:val="32"/>
        <w:widowControl/>
        <w:numPr>
          <w:ilvl w:val="0"/>
          <w:numId w:val="1"/>
        </w:numPr>
        <w:tabs>
          <w:tab w:val="left" w:pos="709"/>
        </w:tabs>
        <w:adjustRightInd w:val="0"/>
        <w:snapToGrid w:val="0"/>
        <w:spacing w:before="312" w:beforeLines="100" w:after="312" w:afterLines="100" w:line="540" w:lineRule="exact"/>
        <w:ind w:left="776" w:hanging="776" w:hangingChars="322"/>
        <w:jc w:val="left"/>
        <w:rPr>
          <w:rFonts w:ascii="宋体" w:hAnsi="宋体"/>
          <w:b/>
          <w:kern w:val="0"/>
          <w:sz w:val="24"/>
          <w:szCs w:val="24"/>
          <w:highlight w:val="none"/>
        </w:rPr>
      </w:pPr>
      <w:r>
        <w:rPr>
          <w:rFonts w:hint="eastAsia" w:ascii="宋体" w:hAnsi="宋体"/>
          <w:b/>
          <w:kern w:val="0"/>
          <w:sz w:val="24"/>
          <w:szCs w:val="24"/>
          <w:highlight w:val="none"/>
        </w:rPr>
        <w:t>甲方委托乙方为以下项目提供建设工程造价咨询服务：</w:t>
      </w:r>
    </w:p>
    <w:p w14:paraId="58A7404F">
      <w:pPr>
        <w:pStyle w:val="32"/>
        <w:widowControl/>
        <w:numPr>
          <w:ilvl w:val="1"/>
          <w:numId w:val="2"/>
        </w:numPr>
        <w:tabs>
          <w:tab w:val="left" w:pos="709"/>
        </w:tabs>
        <w:adjustRightInd w:val="0"/>
        <w:snapToGrid w:val="0"/>
        <w:spacing w:line="540" w:lineRule="exact"/>
        <w:ind w:left="773" w:hanging="772" w:hangingChars="322"/>
        <w:jc w:val="left"/>
        <w:rPr>
          <w:rFonts w:ascii="宋体" w:hAnsi="宋体"/>
          <w:kern w:val="0"/>
          <w:sz w:val="24"/>
          <w:szCs w:val="24"/>
          <w:highlight w:val="none"/>
        </w:rPr>
      </w:pPr>
      <w:r>
        <w:rPr>
          <w:rFonts w:ascii="宋体" w:hAnsi="宋体"/>
          <w:kern w:val="0"/>
          <w:sz w:val="24"/>
          <w:szCs w:val="24"/>
          <w:highlight w:val="none"/>
        </w:rPr>
        <w:t>项目名称：</w:t>
      </w:r>
      <w:r>
        <w:rPr>
          <w:rFonts w:hint="eastAsia" w:ascii="宋体" w:hAnsi="宋体"/>
          <w:kern w:val="0"/>
          <w:sz w:val="24"/>
          <w:szCs w:val="24"/>
          <w:highlight w:val="none"/>
          <w:u w:val="none"/>
          <w:lang w:eastAsia="zh-CN"/>
        </w:rPr>
        <w:t>天河区凌塘村城中村改造项目-凌塘新村南侧地块复建安置房及配套设施工程</w:t>
      </w:r>
      <w:r>
        <w:rPr>
          <w:rFonts w:hint="eastAsia" w:ascii="宋体" w:hAnsi="宋体"/>
          <w:kern w:val="0"/>
          <w:sz w:val="24"/>
          <w:szCs w:val="24"/>
          <w:highlight w:val="none"/>
          <w:u w:val="none"/>
        </w:rPr>
        <w:t>造价咨询服务</w:t>
      </w:r>
      <w:r>
        <w:rPr>
          <w:rFonts w:hint="eastAsia" w:ascii="宋体" w:hAnsi="宋体"/>
          <w:kern w:val="0"/>
          <w:sz w:val="24"/>
          <w:szCs w:val="24"/>
          <w:highlight w:val="none"/>
          <w:u w:val="single"/>
          <w:lang w:eastAsia="zh-CN"/>
        </w:rPr>
        <w:t>（</w:t>
      </w:r>
      <w:r>
        <w:rPr>
          <w:rFonts w:hint="eastAsia" w:ascii="宋体" w:hAnsi="宋体"/>
          <w:kern w:val="0"/>
          <w:sz w:val="24"/>
          <w:szCs w:val="24"/>
          <w:highlight w:val="none"/>
          <w:u w:val="single"/>
          <w:lang w:val="en-US" w:eastAsia="zh-CN"/>
        </w:rPr>
        <w:t>下称“本项目”</w:t>
      </w:r>
      <w:r>
        <w:rPr>
          <w:rFonts w:hint="eastAsia" w:ascii="宋体" w:hAnsi="宋体"/>
          <w:kern w:val="0"/>
          <w:sz w:val="24"/>
          <w:szCs w:val="24"/>
          <w:highlight w:val="none"/>
          <w:u w:val="single"/>
          <w:lang w:eastAsia="zh-CN"/>
        </w:rPr>
        <w:t>）</w:t>
      </w:r>
      <w:r>
        <w:rPr>
          <w:rFonts w:hint="eastAsia" w:ascii="宋体" w:hAnsi="宋体"/>
          <w:kern w:val="0"/>
          <w:sz w:val="24"/>
          <w:szCs w:val="24"/>
          <w:highlight w:val="none"/>
          <w:lang w:eastAsia="zh-CN"/>
        </w:rPr>
        <w:t>。</w:t>
      </w:r>
    </w:p>
    <w:p w14:paraId="03825022">
      <w:pPr>
        <w:pStyle w:val="32"/>
        <w:widowControl/>
        <w:numPr>
          <w:ilvl w:val="1"/>
          <w:numId w:val="2"/>
        </w:numPr>
        <w:tabs>
          <w:tab w:val="left" w:pos="709"/>
        </w:tabs>
        <w:adjustRightInd w:val="0"/>
        <w:snapToGrid w:val="0"/>
        <w:spacing w:line="540" w:lineRule="exact"/>
        <w:ind w:left="773" w:hanging="772" w:hangingChars="322"/>
        <w:jc w:val="left"/>
        <w:rPr>
          <w:rFonts w:ascii="宋体" w:hAnsi="宋体"/>
          <w:color w:val="auto"/>
          <w:kern w:val="0"/>
          <w:sz w:val="24"/>
          <w:szCs w:val="24"/>
          <w:highlight w:val="none"/>
        </w:rPr>
      </w:pPr>
      <w:r>
        <w:rPr>
          <w:rFonts w:ascii="宋体" w:hAnsi="宋体"/>
          <w:kern w:val="0"/>
          <w:sz w:val="24"/>
          <w:szCs w:val="24"/>
          <w:highlight w:val="none"/>
        </w:rPr>
        <w:t>项目地点：</w:t>
      </w:r>
      <w:r>
        <w:rPr>
          <w:rFonts w:hint="eastAsia" w:ascii="宋体" w:hAnsi="宋体"/>
          <w:kern w:val="0"/>
          <w:sz w:val="24"/>
          <w:szCs w:val="24"/>
          <w:highlight w:val="none"/>
        </w:rPr>
        <w:t>位于天河区凌塘村，东至规划纵四路，西至规划纵二路，北至规划横路，南至华观广场。</w:t>
      </w:r>
      <w:bookmarkStart w:id="6" w:name="_GoBack"/>
      <w:bookmarkEnd w:id="6"/>
    </w:p>
    <w:p w14:paraId="613600A0">
      <w:pPr>
        <w:pStyle w:val="32"/>
        <w:widowControl/>
        <w:numPr>
          <w:ilvl w:val="1"/>
          <w:numId w:val="2"/>
        </w:numPr>
        <w:tabs>
          <w:tab w:val="left" w:pos="709"/>
        </w:tabs>
        <w:adjustRightInd w:val="0"/>
        <w:snapToGrid w:val="0"/>
        <w:spacing w:line="540" w:lineRule="exact"/>
        <w:ind w:left="773" w:hanging="772" w:hangingChars="322"/>
        <w:jc w:val="left"/>
        <w:rPr>
          <w:rFonts w:hint="eastAsia" w:ascii="宋体" w:hAnsi="宋体" w:eastAsia="宋体"/>
          <w:color w:val="auto"/>
          <w:kern w:val="0"/>
          <w:sz w:val="24"/>
          <w:szCs w:val="24"/>
          <w:highlight w:val="none"/>
        </w:rPr>
      </w:pPr>
      <w:r>
        <w:rPr>
          <w:rFonts w:ascii="宋体" w:hAnsi="宋体"/>
          <w:color w:val="auto"/>
          <w:kern w:val="0"/>
          <w:sz w:val="24"/>
          <w:szCs w:val="24"/>
          <w:highlight w:val="none"/>
        </w:rPr>
        <w:t>项目规模：</w:t>
      </w:r>
      <w:r>
        <w:rPr>
          <w:rFonts w:hint="eastAsia" w:ascii="宋体" w:hAnsi="宋体" w:cs="宋体"/>
          <w:color w:val="auto"/>
          <w:sz w:val="24"/>
          <w:highlight w:val="none"/>
          <w:u w:val="none"/>
        </w:rPr>
        <w:t>项目地块总用地面积约1.4万平方米，总建筑面积约</w:t>
      </w:r>
      <w:r>
        <w:rPr>
          <w:rFonts w:hint="eastAsia" w:ascii="宋体" w:hAnsi="宋体" w:cs="宋体"/>
          <w:color w:val="auto"/>
          <w:sz w:val="24"/>
          <w:highlight w:val="none"/>
          <w:u w:val="none"/>
          <w:lang w:eastAsia="zh-CN"/>
        </w:rPr>
        <w:t>6</w:t>
      </w:r>
      <w:r>
        <w:rPr>
          <w:rFonts w:hint="eastAsia" w:ascii="宋体" w:hAnsi="宋体" w:cs="宋体"/>
          <w:color w:val="auto"/>
          <w:sz w:val="24"/>
          <w:highlight w:val="none"/>
          <w:u w:val="none"/>
        </w:rPr>
        <w:t>万平方米。地块容积率≤3.0，建筑密度≤28%，绿地率≥35%，建筑限高55米，最大单体层数＜20层。项目主要建设内容包括安置房、小区内道路、绿地、公共服务配套设施等。最终以建设工程规划许可证为准。</w:t>
      </w:r>
      <w:r>
        <w:rPr>
          <w:rFonts w:hint="eastAsia" w:ascii="仿宋_GB2312" w:hAnsi="仿宋_GB2312" w:eastAsia="宋体" w:cs="Times New Roman"/>
          <w:sz w:val="24"/>
          <w:highlight w:val="none"/>
          <w:u w:val="single"/>
          <w:lang w:val="en-US" w:eastAsia="zh-CN"/>
        </w:rPr>
        <w:t>本项目估算总投资约：</w:t>
      </w:r>
      <w:r>
        <w:rPr>
          <w:rFonts w:hint="eastAsia" w:ascii="宋体" w:hAnsi="宋体" w:cs="宋体"/>
          <w:sz w:val="24"/>
          <w:highlight w:val="none"/>
          <w:u w:val="single"/>
        </w:rPr>
        <w:t>43300</w:t>
      </w:r>
      <w:r>
        <w:rPr>
          <w:rFonts w:hint="eastAsia" w:ascii="宋体" w:hAnsi="宋体" w:eastAsia="宋体" w:cs="宋体"/>
          <w:sz w:val="24"/>
          <w:highlight w:val="none"/>
          <w:u w:val="single"/>
          <w:lang w:val="en-US" w:eastAsia="zh-CN"/>
        </w:rPr>
        <w:t>万元，其中建安工程费用约：29420万元</w:t>
      </w:r>
      <w:r>
        <w:rPr>
          <w:rFonts w:hint="eastAsia" w:ascii="宋体" w:hAnsi="宋体" w:eastAsia="宋体" w:cs="宋体"/>
          <w:sz w:val="24"/>
          <w:szCs w:val="22"/>
          <w:highlight w:val="none"/>
          <w:u w:val="single"/>
          <w:lang w:eastAsia="zh-CN"/>
        </w:rPr>
        <w:t>。</w:t>
      </w:r>
    </w:p>
    <w:p w14:paraId="5C05ADFF">
      <w:pPr>
        <w:pStyle w:val="32"/>
        <w:widowControl/>
        <w:numPr>
          <w:ilvl w:val="1"/>
          <w:numId w:val="2"/>
        </w:numPr>
        <w:tabs>
          <w:tab w:val="left" w:pos="709"/>
        </w:tabs>
        <w:adjustRightInd w:val="0"/>
        <w:snapToGrid w:val="0"/>
        <w:spacing w:line="540" w:lineRule="exact"/>
        <w:ind w:left="772" w:leftChars="0" w:hanging="772" w:hangingChars="322"/>
        <w:jc w:val="left"/>
        <w:rPr>
          <w:rFonts w:hint="eastAsia" w:ascii="宋体" w:hAnsi="宋体"/>
          <w:kern w:val="0"/>
          <w:sz w:val="24"/>
          <w:szCs w:val="24"/>
          <w:highlight w:val="none"/>
          <w:lang w:val="en-US" w:eastAsia="zh-CN"/>
        </w:rPr>
      </w:pPr>
      <w:r>
        <w:rPr>
          <w:rFonts w:ascii="宋体" w:hAnsi="宋体"/>
          <w:kern w:val="0"/>
          <w:sz w:val="24"/>
          <w:szCs w:val="24"/>
          <w:highlight w:val="none"/>
        </w:rPr>
        <w:t>服务范围：</w:t>
      </w:r>
      <w:r>
        <w:rPr>
          <w:rFonts w:hint="eastAsia" w:ascii="宋体" w:hAnsi="宋体"/>
          <w:kern w:val="0"/>
          <w:sz w:val="24"/>
          <w:szCs w:val="24"/>
          <w:highlight w:val="none"/>
          <w:lang w:val="en-US" w:eastAsia="zh-CN"/>
        </w:rPr>
        <w:t>造价咨询服务包括：☑ 设计阶段、☑ 招标阶段、☑ 施工阶段、☑ 竣工阶段。☑ 工程量清单、招标控制价的编制。☑ 工程结算的审核。☑ 其他造价咨询服务。</w:t>
      </w:r>
    </w:p>
    <w:p w14:paraId="1BD7A969">
      <w:pPr>
        <w:pStyle w:val="32"/>
        <w:widowControl/>
        <w:numPr>
          <w:ilvl w:val="-1"/>
          <w:numId w:val="0"/>
        </w:numPr>
        <w:tabs>
          <w:tab w:val="left" w:pos="709"/>
        </w:tabs>
        <w:adjustRightInd w:val="0"/>
        <w:snapToGrid w:val="0"/>
        <w:spacing w:line="540" w:lineRule="exact"/>
        <w:ind w:left="764" w:leftChars="364" w:firstLine="0" w:firstLineChars="0"/>
        <w:jc w:val="left"/>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造价咨询服务，包括但不限于以下内容：设计阶段概（预）算内审、编制招标工程量清单及招标控制价、施工阶段计量支付审核、变更签证及索赔、竣工结算及保修阶段尾款支付工作等造价咨询服务；具体可分为以下阶段服务内容：设计阶段、招标阶段、施工阶段、结算阶段等造价咨询服务及甲方要求的本项目其他成本控制服务事项。服务范围及工作内容详见以下：</w:t>
      </w:r>
    </w:p>
    <w:tbl>
      <w:tblPr>
        <w:tblStyle w:val="18"/>
        <w:tblW w:w="915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0"/>
        <w:gridCol w:w="7650"/>
      </w:tblGrid>
      <w:tr w14:paraId="1CED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9" w:type="dxa"/>
            <w:shd w:val="clear" w:color="000000" w:fill="FFFFFF"/>
            <w:noWrap w:val="0"/>
            <w:vAlign w:val="center"/>
          </w:tcPr>
          <w:p w14:paraId="26801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750" w:type="dxa"/>
            <w:shd w:val="clear" w:color="000000" w:fill="FFFFFF"/>
            <w:noWrap w:val="0"/>
            <w:vAlign w:val="center"/>
          </w:tcPr>
          <w:p w14:paraId="7D0DDB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阶段</w:t>
            </w:r>
          </w:p>
        </w:tc>
        <w:tc>
          <w:tcPr>
            <w:tcW w:w="7650" w:type="dxa"/>
            <w:shd w:val="clear" w:color="000000" w:fill="FFFFFF"/>
            <w:noWrap w:val="0"/>
            <w:vAlign w:val="center"/>
          </w:tcPr>
          <w:p w14:paraId="2A9FDE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工作内容</w:t>
            </w:r>
          </w:p>
        </w:tc>
      </w:tr>
      <w:tr w14:paraId="185F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59" w:type="dxa"/>
            <w:shd w:val="clear" w:color="000000" w:fill="FFFFFF"/>
            <w:noWrap w:val="0"/>
            <w:vAlign w:val="center"/>
          </w:tcPr>
          <w:p w14:paraId="2DEB29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750" w:type="dxa"/>
            <w:shd w:val="clear" w:color="000000" w:fill="FFFFFF"/>
            <w:noWrap w:val="0"/>
            <w:vAlign w:val="center"/>
          </w:tcPr>
          <w:p w14:paraId="51A67B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设计阶段</w:t>
            </w:r>
          </w:p>
        </w:tc>
        <w:tc>
          <w:tcPr>
            <w:tcW w:w="7650" w:type="dxa"/>
            <w:shd w:val="clear" w:color="000000" w:fill="FFFFFF"/>
            <w:noWrap w:val="0"/>
            <w:vAlign w:val="center"/>
          </w:tcPr>
          <w:p w14:paraId="0ABE8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协助甲方对工程概（预）算文件进行内审，并出具审核意见书</w:t>
            </w:r>
            <w:r>
              <w:rPr>
                <w:rFonts w:hint="eastAsia" w:ascii="宋体" w:hAnsi="宋体" w:cs="宋体"/>
                <w:color w:val="auto"/>
                <w:kern w:val="0"/>
                <w:sz w:val="24"/>
                <w:szCs w:val="24"/>
                <w:highlight w:val="none"/>
              </w:rPr>
              <w:t>。</w:t>
            </w:r>
          </w:p>
          <w:p w14:paraId="05DB9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（2）负责对设计中采用的主材、设备等提供市场信息，进行方案比较，提出优化建议。</w:t>
            </w:r>
          </w:p>
          <w:p w14:paraId="6175F0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（3）负责参加概算评审会议、设计方案论证会议、工程图纸会审等专题会，提出造价专业意见。</w:t>
            </w:r>
          </w:p>
          <w:p w14:paraId="4787F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协助甲方参与政府相关部门对工程概算审核的对数等工作；</w:t>
            </w:r>
          </w:p>
          <w:p w14:paraId="77E3BE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5</w:t>
            </w:r>
            <w:r>
              <w:rPr>
                <w:rFonts w:hint="eastAsia" w:ascii="宋体" w:hAnsi="宋体" w:cs="宋体"/>
                <w:color w:val="auto"/>
                <w:kern w:val="0"/>
                <w:sz w:val="24"/>
                <w:szCs w:val="24"/>
                <w:highlight w:val="none"/>
              </w:rPr>
              <w:t>）负责为</w:t>
            </w:r>
            <w:r>
              <w:rPr>
                <w:rFonts w:hint="eastAsia" w:ascii="宋体" w:hAnsi="宋体" w:cs="宋体"/>
                <w:color w:val="auto"/>
                <w:kern w:val="0"/>
                <w:sz w:val="24"/>
                <w:szCs w:val="24"/>
                <w:highlight w:val="none"/>
                <w:lang w:val="en-US" w:eastAsia="zh-CN"/>
              </w:rPr>
              <w:t>设计阶段</w:t>
            </w:r>
            <w:r>
              <w:rPr>
                <w:rFonts w:hint="eastAsia" w:ascii="宋体" w:hAnsi="宋体" w:cs="宋体"/>
                <w:color w:val="auto"/>
                <w:kern w:val="0"/>
                <w:sz w:val="24"/>
                <w:szCs w:val="24"/>
                <w:highlight w:val="none"/>
              </w:rPr>
              <w:t>BIM信息模型提供造价信息数据。</w:t>
            </w:r>
          </w:p>
        </w:tc>
      </w:tr>
      <w:tr w14:paraId="3E4E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59" w:type="dxa"/>
            <w:vMerge w:val="restart"/>
            <w:shd w:val="clear" w:color="000000" w:fill="FFFFFF"/>
            <w:noWrap w:val="0"/>
            <w:vAlign w:val="center"/>
          </w:tcPr>
          <w:p w14:paraId="1CDD6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p>
        </w:tc>
        <w:tc>
          <w:tcPr>
            <w:tcW w:w="750" w:type="dxa"/>
            <w:vMerge w:val="restart"/>
            <w:shd w:val="clear" w:color="000000" w:fill="FFFFFF"/>
            <w:noWrap w:val="0"/>
            <w:vAlign w:val="center"/>
          </w:tcPr>
          <w:p w14:paraId="746A7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招标阶段</w:t>
            </w:r>
          </w:p>
        </w:tc>
        <w:tc>
          <w:tcPr>
            <w:tcW w:w="7650" w:type="dxa"/>
            <w:shd w:val="clear" w:color="000000" w:fill="FFFFFF"/>
            <w:noWrap w:val="0"/>
            <w:vAlign w:val="center"/>
          </w:tcPr>
          <w:p w14:paraId="017D5A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default"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（1）负责按</w:t>
            </w:r>
            <w:r>
              <w:rPr>
                <w:rFonts w:hint="eastAsia" w:ascii="宋体" w:hAnsi="宋体" w:eastAsia="宋体" w:cs="宋体"/>
                <w:color w:val="auto"/>
                <w:kern w:val="0"/>
                <w:sz w:val="24"/>
                <w:szCs w:val="24"/>
                <w:highlight w:val="none"/>
                <w:lang w:val="en-US" w:eastAsia="zh-CN"/>
              </w:rPr>
              <w:t>甲方</w:t>
            </w:r>
            <w:r>
              <w:rPr>
                <w:rFonts w:hint="eastAsia" w:ascii="宋体" w:hAnsi="宋体" w:cs="宋体"/>
                <w:color w:val="auto"/>
                <w:kern w:val="0"/>
                <w:sz w:val="24"/>
                <w:szCs w:val="24"/>
                <w:highlight w:val="none"/>
              </w:rPr>
              <w:t>要求编制招标工程量清单及招标控制价；负责进行市场调查、询价，在</w:t>
            </w:r>
            <w:r>
              <w:rPr>
                <w:rFonts w:hint="eastAsia" w:ascii="宋体" w:hAnsi="宋体" w:eastAsia="宋体" w:cs="宋体"/>
                <w:color w:val="auto"/>
                <w:kern w:val="0"/>
                <w:sz w:val="24"/>
                <w:szCs w:val="24"/>
                <w:highlight w:val="none"/>
                <w:lang w:val="en-US" w:eastAsia="zh-CN"/>
              </w:rPr>
              <w:t>甲方</w:t>
            </w:r>
            <w:r>
              <w:rPr>
                <w:rFonts w:hint="eastAsia" w:ascii="宋体" w:hAnsi="宋体" w:cs="宋体"/>
                <w:color w:val="auto"/>
                <w:kern w:val="0"/>
                <w:sz w:val="24"/>
                <w:szCs w:val="24"/>
                <w:highlight w:val="none"/>
              </w:rPr>
              <w:t>指定地点进行工程量、定额、主材的对数等。</w:t>
            </w:r>
          </w:p>
        </w:tc>
      </w:tr>
      <w:tr w14:paraId="433B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59" w:type="dxa"/>
            <w:vMerge w:val="continue"/>
            <w:shd w:val="clear" w:color="auto" w:fill="auto"/>
            <w:noWrap w:val="0"/>
            <w:vAlign w:val="center"/>
          </w:tcPr>
          <w:p w14:paraId="2C841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50" w:type="dxa"/>
            <w:vMerge w:val="continue"/>
            <w:shd w:val="clear" w:color="auto" w:fill="auto"/>
            <w:noWrap w:val="0"/>
            <w:vAlign w:val="center"/>
          </w:tcPr>
          <w:p w14:paraId="253D99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650" w:type="dxa"/>
            <w:shd w:val="clear" w:color="000000" w:fill="FFFFFF"/>
            <w:noWrap w:val="0"/>
            <w:vAlign w:val="center"/>
          </w:tcPr>
          <w:p w14:paraId="6FE80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default"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（2）负责根据设计单位的图纸及技术规范、用户需求书，编制设备、材料询价或采购清单。</w:t>
            </w:r>
          </w:p>
        </w:tc>
      </w:tr>
      <w:tr w14:paraId="019D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59" w:type="dxa"/>
            <w:vMerge w:val="continue"/>
            <w:shd w:val="clear" w:color="auto" w:fill="auto"/>
            <w:noWrap w:val="0"/>
            <w:vAlign w:val="center"/>
          </w:tcPr>
          <w:p w14:paraId="53797B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50" w:type="dxa"/>
            <w:vMerge w:val="continue"/>
            <w:shd w:val="clear" w:color="auto" w:fill="auto"/>
            <w:noWrap w:val="0"/>
            <w:vAlign w:val="center"/>
          </w:tcPr>
          <w:p w14:paraId="49EF6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650" w:type="dxa"/>
            <w:shd w:val="clear" w:color="000000" w:fill="FFFFFF"/>
            <w:noWrap w:val="0"/>
            <w:vAlign w:val="center"/>
          </w:tcPr>
          <w:p w14:paraId="01311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default"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（3）负责答疑阶段造价问题的解答。按广州市建设工程造价管理站招标控制价备案要求提供造价文件（含编制说明、招标控制价公布函、招标控制价软件版、EXCEL版、XML版、</w:t>
            </w:r>
            <w:r>
              <w:rPr>
                <w:rFonts w:hint="eastAsia" w:ascii="宋体" w:hAnsi="宋体" w:cs="宋体"/>
                <w:color w:val="auto"/>
                <w:kern w:val="0"/>
                <w:sz w:val="24"/>
                <w:szCs w:val="24"/>
                <w:highlight w:val="none"/>
                <w:lang w:val="en-US" w:eastAsia="zh-CN"/>
              </w:rPr>
              <w:t>COS版、</w:t>
            </w:r>
            <w:r>
              <w:rPr>
                <w:rFonts w:hint="eastAsia" w:ascii="宋体" w:hAnsi="宋体" w:cs="宋体"/>
                <w:color w:val="auto"/>
                <w:kern w:val="0"/>
                <w:sz w:val="24"/>
                <w:szCs w:val="24"/>
                <w:highlight w:val="none"/>
              </w:rPr>
              <w:t>指标分析表等），负责对投标人提出的工程量清单问题进行回复，并完成招标控制价备案工作。</w:t>
            </w:r>
          </w:p>
        </w:tc>
      </w:tr>
      <w:tr w14:paraId="510F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59" w:type="dxa"/>
            <w:vMerge w:val="continue"/>
            <w:shd w:val="clear" w:color="auto" w:fill="auto"/>
            <w:noWrap w:val="0"/>
            <w:vAlign w:val="center"/>
          </w:tcPr>
          <w:p w14:paraId="2B191D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50" w:type="dxa"/>
            <w:vMerge w:val="continue"/>
            <w:shd w:val="clear" w:color="auto" w:fill="auto"/>
            <w:noWrap w:val="0"/>
            <w:vAlign w:val="center"/>
          </w:tcPr>
          <w:p w14:paraId="390D83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650" w:type="dxa"/>
            <w:shd w:val="clear" w:color="000000" w:fill="FFFFFF"/>
            <w:noWrap w:val="0"/>
            <w:vAlign w:val="center"/>
          </w:tcPr>
          <w:p w14:paraId="085FB3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default"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（4）负责对</w:t>
            </w:r>
            <w:r>
              <w:rPr>
                <w:rFonts w:hint="eastAsia" w:ascii="宋体" w:hAnsi="宋体" w:cs="宋体"/>
                <w:color w:val="auto"/>
                <w:kern w:val="0"/>
                <w:sz w:val="24"/>
                <w:szCs w:val="24"/>
                <w:highlight w:val="none"/>
                <w:lang w:val="en-US" w:eastAsia="zh-CN"/>
              </w:rPr>
              <w:t>投标人</w:t>
            </w:r>
            <w:r>
              <w:rPr>
                <w:rFonts w:hint="eastAsia" w:ascii="宋体" w:hAnsi="宋体" w:cs="宋体"/>
                <w:color w:val="auto"/>
                <w:kern w:val="0"/>
                <w:sz w:val="24"/>
                <w:szCs w:val="24"/>
                <w:highlight w:val="none"/>
              </w:rPr>
              <w:t>的经济标文件或报价书等进行分析和汇总，提出造价控制建议。</w:t>
            </w:r>
          </w:p>
        </w:tc>
      </w:tr>
      <w:tr w14:paraId="7883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59" w:type="dxa"/>
            <w:vMerge w:val="continue"/>
            <w:shd w:val="clear" w:color="auto" w:fill="auto"/>
            <w:noWrap w:val="0"/>
            <w:vAlign w:val="center"/>
          </w:tcPr>
          <w:p w14:paraId="056DD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50" w:type="dxa"/>
            <w:vMerge w:val="continue"/>
            <w:shd w:val="clear" w:color="auto" w:fill="auto"/>
            <w:noWrap w:val="0"/>
            <w:vAlign w:val="center"/>
          </w:tcPr>
          <w:p w14:paraId="3288F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650" w:type="dxa"/>
            <w:shd w:val="clear" w:color="000000" w:fill="FFFFFF"/>
            <w:noWrap w:val="0"/>
            <w:vAlign w:val="center"/>
          </w:tcPr>
          <w:p w14:paraId="5ECA11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default"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（5）负责对合同方式和可能存在的风险因素及解决办法等提出合理化建议，以供</w:t>
            </w:r>
            <w:r>
              <w:rPr>
                <w:rFonts w:hint="eastAsia" w:ascii="宋体" w:hAnsi="宋体" w:eastAsia="宋体" w:cs="宋体"/>
                <w:color w:val="auto"/>
                <w:kern w:val="0"/>
                <w:sz w:val="24"/>
                <w:szCs w:val="24"/>
                <w:highlight w:val="none"/>
                <w:lang w:val="en-US" w:eastAsia="zh-CN"/>
              </w:rPr>
              <w:t>甲方</w:t>
            </w:r>
            <w:r>
              <w:rPr>
                <w:rFonts w:hint="eastAsia" w:ascii="宋体" w:hAnsi="宋体" w:cs="宋体"/>
                <w:color w:val="auto"/>
                <w:kern w:val="0"/>
                <w:sz w:val="24"/>
                <w:szCs w:val="24"/>
                <w:highlight w:val="none"/>
              </w:rPr>
              <w:t>参考。</w:t>
            </w:r>
          </w:p>
        </w:tc>
      </w:tr>
      <w:tr w14:paraId="53CF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59" w:type="dxa"/>
            <w:vMerge w:val="restart"/>
            <w:shd w:val="clear" w:color="000000" w:fill="FFFFFF"/>
            <w:noWrap w:val="0"/>
            <w:vAlign w:val="center"/>
          </w:tcPr>
          <w:p w14:paraId="03E3D1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p>
        </w:tc>
        <w:tc>
          <w:tcPr>
            <w:tcW w:w="750" w:type="dxa"/>
            <w:vMerge w:val="restart"/>
            <w:shd w:val="clear" w:color="000000" w:fill="FFFFFF"/>
            <w:noWrap w:val="0"/>
            <w:vAlign w:val="center"/>
          </w:tcPr>
          <w:p w14:paraId="42CCFF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施工阶段</w:t>
            </w:r>
          </w:p>
        </w:tc>
        <w:tc>
          <w:tcPr>
            <w:tcW w:w="7650" w:type="dxa"/>
            <w:shd w:val="clear" w:color="000000" w:fill="FFFFFF"/>
            <w:noWrap w:val="0"/>
            <w:vAlign w:val="center"/>
          </w:tcPr>
          <w:p w14:paraId="5C3495D9">
            <w:pPr>
              <w:keepNext w:val="0"/>
              <w:keepLines w:val="0"/>
              <w:widowControl/>
              <w:suppressLineNumbers w:val="0"/>
              <w:spacing w:before="0" w:beforeAutospacing="0" w:after="0" w:afterAutospacing="0"/>
              <w:ind w:left="0" w:right="0"/>
              <w:rPr>
                <w:rFonts w:hint="default"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（1）负责审核施工</w:t>
            </w:r>
            <w:r>
              <w:rPr>
                <w:rFonts w:hint="eastAsia" w:ascii="宋体" w:hAnsi="宋体" w:cs="宋体"/>
                <w:color w:val="auto"/>
                <w:kern w:val="0"/>
                <w:sz w:val="24"/>
                <w:szCs w:val="24"/>
                <w:highlight w:val="none"/>
                <w:lang w:val="en-US" w:eastAsia="zh-CN"/>
              </w:rPr>
              <w:t>合同中暂估价工程二次招采的工程量清单及控制价</w:t>
            </w:r>
            <w:r>
              <w:rPr>
                <w:rFonts w:hint="eastAsia" w:ascii="宋体" w:hAnsi="宋体" w:cs="宋体"/>
                <w:color w:val="auto"/>
                <w:kern w:val="0"/>
                <w:sz w:val="24"/>
                <w:szCs w:val="24"/>
                <w:highlight w:val="none"/>
              </w:rPr>
              <w:t>。</w:t>
            </w:r>
          </w:p>
        </w:tc>
      </w:tr>
      <w:tr w14:paraId="2A2A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59" w:type="dxa"/>
            <w:vMerge w:val="continue"/>
            <w:shd w:val="clear" w:color="000000" w:fill="FFFFFF"/>
            <w:noWrap w:val="0"/>
            <w:vAlign w:val="center"/>
          </w:tcPr>
          <w:p w14:paraId="6E541A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color w:val="auto"/>
                <w:kern w:val="0"/>
                <w:sz w:val="24"/>
                <w:szCs w:val="24"/>
                <w:highlight w:val="none"/>
                <w:lang w:val="en-US"/>
              </w:rPr>
            </w:pPr>
          </w:p>
        </w:tc>
        <w:tc>
          <w:tcPr>
            <w:tcW w:w="750" w:type="dxa"/>
            <w:vMerge w:val="continue"/>
            <w:shd w:val="clear" w:color="000000" w:fill="FFFFFF"/>
            <w:noWrap w:val="0"/>
            <w:vAlign w:val="center"/>
          </w:tcPr>
          <w:p w14:paraId="25E253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default" w:ascii="宋体" w:hAnsi="宋体" w:eastAsia="宋体" w:cs="宋体"/>
                <w:color w:val="auto"/>
                <w:kern w:val="0"/>
                <w:sz w:val="24"/>
                <w:szCs w:val="24"/>
                <w:highlight w:val="none"/>
              </w:rPr>
            </w:pPr>
          </w:p>
        </w:tc>
        <w:tc>
          <w:tcPr>
            <w:tcW w:w="7650" w:type="dxa"/>
            <w:shd w:val="clear" w:color="000000" w:fill="FFFFFF"/>
            <w:noWrap w:val="0"/>
            <w:vAlign w:val="center"/>
          </w:tcPr>
          <w:p w14:paraId="25FE790B">
            <w:pPr>
              <w:keepNext w:val="0"/>
              <w:keepLines w:val="0"/>
              <w:suppressLineNumbers w:val="0"/>
              <w:spacing w:before="0" w:beforeAutospacing="0" w:after="0" w:afterAutospacing="0"/>
              <w:ind w:left="0" w:right="0"/>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）负责主材单价、综合单价、变更签证等合同变更费用审核；图纸设计变更会签、材料设备看样定板会签。</w:t>
            </w:r>
          </w:p>
        </w:tc>
      </w:tr>
      <w:tr w14:paraId="6C9E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59" w:type="dxa"/>
            <w:vMerge w:val="continue"/>
            <w:shd w:val="clear" w:color="000000" w:fill="FFFFFF"/>
            <w:noWrap w:val="0"/>
            <w:vAlign w:val="center"/>
          </w:tcPr>
          <w:p w14:paraId="3CD3C5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color w:val="auto"/>
                <w:kern w:val="0"/>
                <w:sz w:val="24"/>
                <w:szCs w:val="24"/>
                <w:highlight w:val="none"/>
                <w:lang w:val="en-US"/>
              </w:rPr>
            </w:pPr>
          </w:p>
        </w:tc>
        <w:tc>
          <w:tcPr>
            <w:tcW w:w="750" w:type="dxa"/>
            <w:vMerge w:val="continue"/>
            <w:shd w:val="clear" w:color="000000" w:fill="FFFFFF"/>
            <w:noWrap w:val="0"/>
            <w:vAlign w:val="center"/>
          </w:tcPr>
          <w:p w14:paraId="5C2F32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default" w:ascii="宋体" w:hAnsi="宋体" w:eastAsia="宋体" w:cs="宋体"/>
                <w:color w:val="auto"/>
                <w:kern w:val="0"/>
                <w:sz w:val="24"/>
                <w:szCs w:val="24"/>
                <w:highlight w:val="none"/>
              </w:rPr>
            </w:pPr>
          </w:p>
        </w:tc>
        <w:tc>
          <w:tcPr>
            <w:tcW w:w="7650" w:type="dxa"/>
            <w:shd w:val="clear" w:color="000000" w:fill="FFFFFF"/>
            <w:noWrap w:val="0"/>
            <w:vAlign w:val="center"/>
          </w:tcPr>
          <w:p w14:paraId="77776F89">
            <w:pPr>
              <w:keepNext w:val="0"/>
              <w:keepLines w:val="0"/>
              <w:suppressLineNumbers w:val="0"/>
              <w:spacing w:before="0" w:beforeAutospacing="0" w:after="0" w:afterAutospacing="0"/>
              <w:ind w:left="0" w:right="0"/>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）负责施工过程造价控制（含编制方案及实施计划），审核工程量与进度款。</w:t>
            </w:r>
          </w:p>
        </w:tc>
      </w:tr>
      <w:tr w14:paraId="749E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9" w:type="dxa"/>
            <w:vMerge w:val="continue"/>
            <w:shd w:val="clear" w:color="auto" w:fill="auto"/>
            <w:noWrap w:val="0"/>
            <w:vAlign w:val="center"/>
          </w:tcPr>
          <w:p w14:paraId="79F258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50" w:type="dxa"/>
            <w:vMerge w:val="continue"/>
            <w:shd w:val="clear" w:color="auto" w:fill="auto"/>
            <w:noWrap w:val="0"/>
            <w:vAlign w:val="center"/>
          </w:tcPr>
          <w:p w14:paraId="094407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650" w:type="dxa"/>
            <w:shd w:val="clear" w:color="000000" w:fill="FFFFFF"/>
            <w:noWrap w:val="0"/>
            <w:vAlign w:val="center"/>
          </w:tcPr>
          <w:p w14:paraId="7DEC9AD5">
            <w:pPr>
              <w:keepNext w:val="0"/>
              <w:keepLines w:val="0"/>
              <w:widowControl/>
              <w:suppressLineNumbers w:val="0"/>
              <w:spacing w:before="0" w:beforeAutospacing="0" w:after="0" w:afterAutospacing="0"/>
              <w:ind w:left="0" w:right="0"/>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）负责建立合同台账、支付台账、变更台账（按变更原因分类）、签证台账、动态</w:t>
            </w:r>
            <w:r>
              <w:rPr>
                <w:rFonts w:hint="eastAsia" w:ascii="宋体" w:hAnsi="宋体" w:cs="宋体"/>
                <w:color w:val="auto"/>
                <w:kern w:val="0"/>
                <w:sz w:val="24"/>
                <w:szCs w:val="24"/>
                <w:highlight w:val="none"/>
                <w:lang w:val="en-US" w:eastAsia="zh-CN"/>
              </w:rPr>
              <w:t>成本</w:t>
            </w:r>
            <w:r>
              <w:rPr>
                <w:rFonts w:hint="eastAsia" w:ascii="宋体" w:hAnsi="宋体" w:cs="宋体"/>
                <w:color w:val="auto"/>
                <w:kern w:val="0"/>
                <w:sz w:val="24"/>
                <w:szCs w:val="24"/>
                <w:highlight w:val="none"/>
              </w:rPr>
              <w:t>台账；负责按要求提交</w:t>
            </w:r>
            <w:r>
              <w:rPr>
                <w:rFonts w:hint="eastAsia" w:ascii="宋体" w:hAnsi="宋体" w:cs="宋体"/>
                <w:color w:val="auto"/>
                <w:kern w:val="0"/>
                <w:sz w:val="24"/>
                <w:szCs w:val="24"/>
                <w:highlight w:val="none"/>
                <w:lang w:val="en-US" w:eastAsia="zh-CN"/>
              </w:rPr>
              <w:t>成本</w:t>
            </w:r>
            <w:r>
              <w:rPr>
                <w:rFonts w:hint="eastAsia" w:ascii="宋体" w:hAnsi="宋体" w:cs="宋体"/>
                <w:color w:val="auto"/>
                <w:kern w:val="0"/>
                <w:sz w:val="24"/>
                <w:szCs w:val="24"/>
                <w:highlight w:val="none"/>
              </w:rPr>
              <w:t>控制报告，含项目整体结算价预估分析、动态成本（须与</w:t>
            </w:r>
            <w:r>
              <w:rPr>
                <w:rFonts w:hint="eastAsia" w:ascii="宋体" w:hAnsi="宋体" w:cs="宋体"/>
                <w:color w:val="auto"/>
                <w:kern w:val="0"/>
                <w:sz w:val="24"/>
                <w:szCs w:val="24"/>
                <w:highlight w:val="none"/>
                <w:lang w:val="en-US" w:eastAsia="zh-CN"/>
              </w:rPr>
              <w:t>批复概算</w:t>
            </w:r>
            <w:r>
              <w:rPr>
                <w:rFonts w:hint="eastAsia" w:ascii="宋体" w:hAnsi="宋体" w:cs="宋体"/>
                <w:color w:val="auto"/>
                <w:kern w:val="0"/>
                <w:sz w:val="24"/>
                <w:szCs w:val="24"/>
                <w:highlight w:val="none"/>
              </w:rPr>
              <w:t>对比分析偏差原因及解决方案建议）等。</w:t>
            </w:r>
          </w:p>
        </w:tc>
      </w:tr>
      <w:tr w14:paraId="4545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59" w:type="dxa"/>
            <w:vMerge w:val="continue"/>
            <w:shd w:val="clear" w:color="auto" w:fill="auto"/>
            <w:noWrap w:val="0"/>
            <w:vAlign w:val="center"/>
          </w:tcPr>
          <w:p w14:paraId="6EC621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50" w:type="dxa"/>
            <w:vMerge w:val="continue"/>
            <w:shd w:val="clear" w:color="auto" w:fill="auto"/>
            <w:noWrap w:val="0"/>
            <w:vAlign w:val="center"/>
          </w:tcPr>
          <w:p w14:paraId="7F811C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650" w:type="dxa"/>
            <w:shd w:val="clear" w:color="000000" w:fill="FFFFFF"/>
            <w:noWrap w:val="0"/>
            <w:vAlign w:val="center"/>
          </w:tcPr>
          <w:p w14:paraId="59947511">
            <w:pPr>
              <w:keepNext w:val="0"/>
              <w:keepLines w:val="0"/>
              <w:widowControl/>
              <w:suppressLineNumbers w:val="0"/>
              <w:spacing w:before="0" w:beforeAutospacing="0" w:after="0" w:afterAutospacing="0"/>
              <w:ind w:left="0" w:right="0"/>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）负责定期收集和整理有关设备材料的市场价格动态信息，对施工方案、材料选用提供成本控制建议。按要求提交人工机械主材设备价格造价影响分析。</w:t>
            </w:r>
          </w:p>
        </w:tc>
      </w:tr>
      <w:tr w14:paraId="1B08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59" w:type="dxa"/>
            <w:vMerge w:val="continue"/>
            <w:shd w:val="clear" w:color="auto" w:fill="auto"/>
            <w:noWrap w:val="0"/>
            <w:vAlign w:val="center"/>
          </w:tcPr>
          <w:p w14:paraId="5E1B7E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50" w:type="dxa"/>
            <w:vMerge w:val="continue"/>
            <w:shd w:val="clear" w:color="auto" w:fill="auto"/>
            <w:noWrap w:val="0"/>
            <w:vAlign w:val="center"/>
          </w:tcPr>
          <w:p w14:paraId="4BE057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650" w:type="dxa"/>
            <w:shd w:val="clear" w:color="000000" w:fill="FFFFFF"/>
            <w:noWrap w:val="0"/>
            <w:vAlign w:val="center"/>
          </w:tcPr>
          <w:p w14:paraId="15131FF2">
            <w:pPr>
              <w:keepNext w:val="0"/>
              <w:keepLines w:val="0"/>
              <w:widowControl/>
              <w:suppressLineNumbers w:val="0"/>
              <w:spacing w:before="0" w:beforeAutospacing="0" w:after="0" w:afterAutospacing="0"/>
              <w:ind w:left="0" w:right="0"/>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lang w:eastAsia="zh-CN"/>
              </w:rPr>
              <w:t>）负责为</w:t>
            </w:r>
            <w:r>
              <w:rPr>
                <w:rFonts w:hint="eastAsia" w:ascii="宋体" w:hAnsi="宋体" w:cs="宋体"/>
                <w:color w:val="auto"/>
                <w:kern w:val="0"/>
                <w:sz w:val="24"/>
                <w:szCs w:val="24"/>
                <w:highlight w:val="none"/>
                <w:lang w:val="en-US" w:eastAsia="zh-CN"/>
              </w:rPr>
              <w:t>施工阶段</w:t>
            </w:r>
            <w:r>
              <w:rPr>
                <w:rFonts w:hint="eastAsia" w:ascii="宋体" w:hAnsi="宋体" w:cs="宋体"/>
                <w:color w:val="auto"/>
                <w:kern w:val="0"/>
                <w:sz w:val="24"/>
                <w:szCs w:val="24"/>
                <w:highlight w:val="none"/>
                <w:lang w:eastAsia="zh-CN"/>
              </w:rPr>
              <w:t>BIM信息模型提供造价信息数据。</w:t>
            </w:r>
          </w:p>
        </w:tc>
      </w:tr>
      <w:tr w14:paraId="1071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59" w:type="dxa"/>
            <w:vMerge w:val="continue"/>
            <w:shd w:val="clear" w:color="auto" w:fill="auto"/>
            <w:noWrap w:val="0"/>
            <w:vAlign w:val="center"/>
          </w:tcPr>
          <w:p w14:paraId="5B231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50" w:type="dxa"/>
            <w:vMerge w:val="continue"/>
            <w:shd w:val="clear" w:color="auto" w:fill="auto"/>
            <w:noWrap w:val="0"/>
            <w:vAlign w:val="center"/>
          </w:tcPr>
          <w:p w14:paraId="3CA382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650" w:type="dxa"/>
            <w:shd w:val="clear" w:color="000000" w:fill="FFFFFF"/>
            <w:noWrap w:val="0"/>
            <w:vAlign w:val="center"/>
          </w:tcPr>
          <w:p w14:paraId="6969A0AF">
            <w:pPr>
              <w:keepNext w:val="0"/>
              <w:keepLines w:val="0"/>
              <w:widowControl/>
              <w:suppressLineNumbers w:val="0"/>
              <w:spacing w:before="0" w:beforeAutospacing="0" w:after="0" w:afterAutospacing="0"/>
              <w:ind w:left="0" w:right="0"/>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）负责协助第三方的合同索赔处理，参加合同变更谈判、处理合同变更，维护甲方的合法权益。</w:t>
            </w:r>
          </w:p>
        </w:tc>
      </w:tr>
      <w:tr w14:paraId="38E7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9" w:type="dxa"/>
            <w:vMerge w:val="restart"/>
            <w:shd w:val="clear" w:color="000000" w:fill="FFFFFF"/>
            <w:noWrap w:val="0"/>
            <w:vAlign w:val="center"/>
          </w:tcPr>
          <w:p w14:paraId="4B11D1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p>
        </w:tc>
        <w:tc>
          <w:tcPr>
            <w:tcW w:w="750" w:type="dxa"/>
            <w:vMerge w:val="restart"/>
            <w:shd w:val="clear" w:color="000000" w:fill="FFFFFF"/>
            <w:noWrap w:val="0"/>
            <w:vAlign w:val="center"/>
          </w:tcPr>
          <w:p w14:paraId="3751C6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结算阶段</w:t>
            </w:r>
          </w:p>
        </w:tc>
        <w:tc>
          <w:tcPr>
            <w:tcW w:w="7650" w:type="dxa"/>
            <w:shd w:val="clear" w:color="000000" w:fill="FFFFFF"/>
            <w:noWrap w:val="0"/>
            <w:vAlign w:val="center"/>
          </w:tcPr>
          <w:p w14:paraId="5D94EE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（1）负责编制结算计划，建立结算台账；</w:t>
            </w:r>
          </w:p>
        </w:tc>
      </w:tr>
      <w:tr w14:paraId="42FA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59" w:type="dxa"/>
            <w:vMerge w:val="continue"/>
            <w:shd w:val="clear" w:color="auto" w:fill="auto"/>
            <w:noWrap w:val="0"/>
            <w:vAlign w:val="center"/>
          </w:tcPr>
          <w:p w14:paraId="1E572F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50" w:type="dxa"/>
            <w:vMerge w:val="continue"/>
            <w:shd w:val="clear" w:color="auto" w:fill="auto"/>
            <w:noWrap w:val="0"/>
            <w:vAlign w:val="center"/>
          </w:tcPr>
          <w:p w14:paraId="2AB8D0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650" w:type="dxa"/>
            <w:shd w:val="clear" w:color="000000" w:fill="FFFFFF"/>
            <w:noWrap w:val="0"/>
            <w:vAlign w:val="center"/>
          </w:tcPr>
          <w:p w14:paraId="651530E1">
            <w:pPr>
              <w:keepNext w:val="0"/>
              <w:keepLines w:val="0"/>
              <w:widowControl/>
              <w:suppressLineNumbers w:val="0"/>
              <w:spacing w:before="0" w:beforeAutospacing="0" w:after="0" w:afterAutospacing="0"/>
              <w:ind w:left="0" w:right="0"/>
              <w:rPr>
                <w:rFonts w:hint="default"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）负责审核各类合同结算</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并出具结算审核报告</w:t>
            </w:r>
            <w:r>
              <w:rPr>
                <w:rFonts w:hint="eastAsia" w:ascii="宋体" w:hAnsi="宋体" w:cs="宋体"/>
                <w:color w:val="auto"/>
                <w:kern w:val="0"/>
                <w:sz w:val="24"/>
                <w:szCs w:val="24"/>
                <w:highlight w:val="none"/>
              </w:rPr>
              <w:t>；</w:t>
            </w:r>
          </w:p>
        </w:tc>
      </w:tr>
      <w:tr w14:paraId="6E06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9" w:type="dxa"/>
            <w:vMerge w:val="continue"/>
            <w:tcBorders>
              <w:bottom w:val="single" w:color="auto" w:sz="4" w:space="0"/>
            </w:tcBorders>
            <w:shd w:val="clear" w:color="auto" w:fill="auto"/>
            <w:noWrap w:val="0"/>
            <w:vAlign w:val="center"/>
          </w:tcPr>
          <w:p w14:paraId="12F55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50" w:type="dxa"/>
            <w:vMerge w:val="continue"/>
            <w:tcBorders>
              <w:bottom w:val="single" w:color="auto" w:sz="4" w:space="0"/>
            </w:tcBorders>
            <w:shd w:val="clear" w:color="auto" w:fill="auto"/>
            <w:noWrap w:val="0"/>
            <w:vAlign w:val="center"/>
          </w:tcPr>
          <w:p w14:paraId="01724A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650" w:type="dxa"/>
            <w:tcBorders>
              <w:bottom w:val="single" w:color="auto" w:sz="4" w:space="0"/>
            </w:tcBorders>
            <w:shd w:val="clear" w:color="000000" w:fill="FFFFFF"/>
            <w:noWrap w:val="0"/>
            <w:vAlign w:val="center"/>
          </w:tcPr>
          <w:p w14:paraId="2FFB0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）配合结算评审工作。</w:t>
            </w:r>
          </w:p>
        </w:tc>
      </w:tr>
      <w:tr w14:paraId="19F7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9"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9642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75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0209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7650" w:type="dxa"/>
            <w:tcBorders>
              <w:top w:val="single" w:color="auto" w:sz="4" w:space="0"/>
              <w:left w:val="single" w:color="auto" w:sz="4" w:space="0"/>
              <w:bottom w:val="single" w:color="auto" w:sz="4" w:space="0"/>
            </w:tcBorders>
            <w:shd w:val="clear" w:color="000000" w:fill="FFFFFF"/>
            <w:noWrap w:val="0"/>
            <w:vAlign w:val="center"/>
          </w:tcPr>
          <w:p w14:paraId="699E60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（1）负责按</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要求编制各类造价管理文件；</w:t>
            </w:r>
          </w:p>
        </w:tc>
      </w:tr>
      <w:tr w14:paraId="473F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E53D1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85B33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650" w:type="dxa"/>
            <w:tcBorders>
              <w:top w:val="single" w:color="auto" w:sz="4" w:space="0"/>
              <w:left w:val="single" w:color="auto" w:sz="4" w:space="0"/>
              <w:bottom w:val="single" w:color="auto" w:sz="4" w:space="0"/>
            </w:tcBorders>
            <w:shd w:val="clear" w:color="000000" w:fill="FFFFFF"/>
            <w:noWrap w:val="0"/>
            <w:vAlign w:val="center"/>
          </w:tcPr>
          <w:p w14:paraId="717BD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（2）负责</w:t>
            </w:r>
            <w:r>
              <w:rPr>
                <w:rFonts w:hint="eastAsia" w:ascii="宋体" w:hAnsi="宋体" w:eastAsia="宋体" w:cs="宋体"/>
                <w:color w:val="auto"/>
                <w:kern w:val="0"/>
                <w:sz w:val="24"/>
                <w:szCs w:val="24"/>
                <w:highlight w:val="none"/>
                <w:lang w:val="en-US" w:eastAsia="zh-CN"/>
              </w:rPr>
              <w:t>根据甲方要求完成本项目其他</w:t>
            </w:r>
            <w:r>
              <w:rPr>
                <w:rFonts w:hint="eastAsia" w:ascii="宋体" w:hAnsi="宋体" w:eastAsia="宋体" w:cs="宋体"/>
                <w:color w:val="auto"/>
                <w:kern w:val="0"/>
                <w:sz w:val="24"/>
                <w:szCs w:val="24"/>
                <w:highlight w:val="none"/>
              </w:rPr>
              <w:t>委托</w:t>
            </w:r>
            <w:r>
              <w:rPr>
                <w:rFonts w:hint="eastAsia" w:ascii="宋体" w:hAnsi="宋体" w:eastAsia="宋体" w:cs="宋体"/>
                <w:color w:val="auto"/>
                <w:kern w:val="0"/>
                <w:sz w:val="24"/>
                <w:szCs w:val="24"/>
                <w:highlight w:val="none"/>
                <w:lang w:val="en-US" w:eastAsia="zh-CN"/>
              </w:rPr>
              <w:t>事项</w:t>
            </w:r>
            <w:r>
              <w:rPr>
                <w:rFonts w:hint="eastAsia" w:ascii="宋体" w:hAnsi="宋体" w:eastAsia="宋体" w:cs="宋体"/>
                <w:color w:val="auto"/>
                <w:kern w:val="0"/>
                <w:sz w:val="24"/>
                <w:szCs w:val="24"/>
                <w:highlight w:val="none"/>
              </w:rPr>
              <w:t>的价格审核；</w:t>
            </w:r>
          </w:p>
        </w:tc>
      </w:tr>
      <w:tr w14:paraId="2D9D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17CE7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21D2C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650" w:type="dxa"/>
            <w:tcBorders>
              <w:top w:val="single" w:color="auto" w:sz="4" w:space="0"/>
              <w:left w:val="single" w:color="auto" w:sz="4" w:space="0"/>
              <w:bottom w:val="single" w:color="auto" w:sz="4" w:space="0"/>
            </w:tcBorders>
            <w:shd w:val="clear" w:color="000000" w:fill="FFFFFF"/>
            <w:noWrap w:val="0"/>
            <w:vAlign w:val="center"/>
          </w:tcPr>
          <w:p w14:paraId="4B16F3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根据甲方需求</w:t>
            </w:r>
            <w:r>
              <w:rPr>
                <w:rFonts w:hint="eastAsia" w:ascii="宋体" w:hAnsi="宋体" w:eastAsia="宋体" w:cs="宋体"/>
                <w:color w:val="auto"/>
                <w:kern w:val="0"/>
                <w:sz w:val="24"/>
                <w:szCs w:val="24"/>
                <w:highlight w:val="none"/>
              </w:rPr>
              <w:t>负责组织相关造价控制评审会议，包括邀请相应的经济专家，视情况邀请高级经济顾问对造价问题进行咨询把关；</w:t>
            </w:r>
          </w:p>
        </w:tc>
      </w:tr>
      <w:tr w14:paraId="39AB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05991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7DC2F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650" w:type="dxa"/>
            <w:tcBorders>
              <w:top w:val="single" w:color="auto" w:sz="4" w:space="0"/>
              <w:left w:val="single" w:color="auto" w:sz="4" w:space="0"/>
              <w:bottom w:val="single" w:color="auto" w:sz="4" w:space="0"/>
            </w:tcBorders>
            <w:shd w:val="clear" w:color="000000" w:fill="FFFFFF"/>
            <w:noWrap w:val="0"/>
            <w:vAlign w:val="center"/>
          </w:tcPr>
          <w:p w14:paraId="2512C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）配合</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编制详细的工程成本预测，以作为进度和成本控制的目标；随设计的深入分析工程成本；</w:t>
            </w:r>
          </w:p>
        </w:tc>
      </w:tr>
      <w:tr w14:paraId="3B74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5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BFC68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4649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0"/>
                <w:sz w:val="24"/>
                <w:szCs w:val="24"/>
                <w:highlight w:val="none"/>
              </w:rPr>
            </w:pPr>
          </w:p>
        </w:tc>
        <w:tc>
          <w:tcPr>
            <w:tcW w:w="7650" w:type="dxa"/>
            <w:tcBorders>
              <w:top w:val="single" w:color="auto" w:sz="4" w:space="0"/>
              <w:left w:val="single" w:color="auto" w:sz="4" w:space="0"/>
              <w:bottom w:val="single" w:color="auto" w:sz="4" w:space="0"/>
            </w:tcBorders>
            <w:shd w:val="clear" w:color="000000" w:fill="FFFFFF"/>
            <w:noWrap w:val="0"/>
            <w:vAlign w:val="center"/>
          </w:tcPr>
          <w:p w14:paraId="6BCB8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安排的其他造价管理工作。</w:t>
            </w:r>
          </w:p>
        </w:tc>
      </w:tr>
    </w:tbl>
    <w:p w14:paraId="3C28E132">
      <w:pPr>
        <w:pStyle w:val="32"/>
        <w:widowControl/>
        <w:numPr>
          <w:ilvl w:val="0"/>
          <w:numId w:val="1"/>
        </w:numPr>
        <w:tabs>
          <w:tab w:val="left" w:pos="709"/>
        </w:tabs>
        <w:adjustRightInd w:val="0"/>
        <w:snapToGrid w:val="0"/>
        <w:spacing w:before="312" w:beforeLines="100" w:after="312" w:afterLines="100" w:line="360" w:lineRule="auto"/>
        <w:ind w:left="776" w:hanging="776" w:hangingChars="322"/>
        <w:jc w:val="left"/>
        <w:rPr>
          <w:rFonts w:ascii="宋体" w:hAnsi="宋体"/>
          <w:kern w:val="0"/>
          <w:sz w:val="24"/>
          <w:szCs w:val="24"/>
          <w:highlight w:val="none"/>
        </w:rPr>
      </w:pPr>
      <w:r>
        <w:rPr>
          <w:rFonts w:hint="eastAsia" w:ascii="宋体" w:hAnsi="宋体"/>
          <w:b/>
          <w:kern w:val="0"/>
          <w:sz w:val="24"/>
          <w:szCs w:val="24"/>
          <w:highlight w:val="none"/>
        </w:rPr>
        <w:t>服务期限</w:t>
      </w:r>
    </w:p>
    <w:p w14:paraId="635D1E60">
      <w:pPr>
        <w:pStyle w:val="32"/>
        <w:widowControl/>
        <w:adjustRightInd w:val="0"/>
        <w:snapToGrid w:val="0"/>
        <w:spacing w:before="312" w:beforeLines="100" w:after="312" w:afterLines="100" w:line="360" w:lineRule="auto"/>
        <w:ind w:firstLine="705" w:firstLineChars="294"/>
        <w:jc w:val="left"/>
        <w:rPr>
          <w:rFonts w:hint="eastAsia" w:ascii="宋体" w:hAnsi="宋体"/>
          <w:bCs/>
          <w:sz w:val="24"/>
          <w:szCs w:val="24"/>
          <w:highlight w:val="none"/>
        </w:rPr>
      </w:pPr>
      <w:r>
        <w:rPr>
          <w:rFonts w:hint="eastAsia" w:ascii="宋体" w:hAnsi="宋体"/>
          <w:bCs/>
          <w:sz w:val="24"/>
          <w:szCs w:val="24"/>
          <w:highlight w:val="none"/>
        </w:rPr>
        <w:t>本合同服务期限自本</w:t>
      </w:r>
      <w:r>
        <w:rPr>
          <w:rFonts w:ascii="宋体" w:hAnsi="宋体"/>
          <w:bCs/>
          <w:sz w:val="24"/>
          <w:szCs w:val="24"/>
          <w:highlight w:val="none"/>
        </w:rPr>
        <w:t>合同</w:t>
      </w:r>
      <w:r>
        <w:rPr>
          <w:rFonts w:hint="eastAsia" w:ascii="宋体" w:hAnsi="宋体"/>
          <w:bCs/>
          <w:sz w:val="24"/>
          <w:szCs w:val="24"/>
          <w:highlight w:val="none"/>
          <w:lang w:val="en-US" w:eastAsia="zh-CN"/>
        </w:rPr>
        <w:t>经双方签订</w:t>
      </w:r>
      <w:r>
        <w:rPr>
          <w:rFonts w:ascii="宋体" w:hAnsi="宋体"/>
          <w:bCs/>
          <w:sz w:val="24"/>
          <w:szCs w:val="24"/>
          <w:highlight w:val="none"/>
        </w:rPr>
        <w:t>生效</w:t>
      </w:r>
      <w:r>
        <w:rPr>
          <w:rFonts w:hint="eastAsia" w:ascii="宋体" w:hAnsi="宋体"/>
          <w:bCs/>
          <w:sz w:val="24"/>
          <w:szCs w:val="24"/>
          <w:highlight w:val="none"/>
        </w:rPr>
        <w:t>之日起至本合同约定</w:t>
      </w:r>
      <w:r>
        <w:rPr>
          <w:rFonts w:hint="eastAsia" w:ascii="宋体" w:hAnsi="宋体"/>
          <w:bCs/>
          <w:sz w:val="24"/>
          <w:szCs w:val="24"/>
          <w:highlight w:val="none"/>
          <w:lang w:val="en-US" w:eastAsia="zh-CN"/>
        </w:rPr>
        <w:t>工程</w:t>
      </w:r>
      <w:r>
        <w:rPr>
          <w:rFonts w:hint="eastAsia" w:ascii="宋体" w:hAnsi="宋体"/>
          <w:bCs/>
          <w:sz w:val="24"/>
          <w:szCs w:val="24"/>
          <w:highlight w:val="none"/>
        </w:rPr>
        <w:t>造价咨询服务内容全部完成</w:t>
      </w:r>
      <w:r>
        <w:rPr>
          <w:rFonts w:hint="eastAsia" w:ascii="宋体" w:hAnsi="宋体"/>
          <w:bCs/>
          <w:sz w:val="24"/>
          <w:szCs w:val="24"/>
          <w:highlight w:val="none"/>
          <w:lang w:val="en-US" w:eastAsia="zh-CN"/>
        </w:rPr>
        <w:t>之日</w:t>
      </w:r>
      <w:r>
        <w:rPr>
          <w:rFonts w:hint="eastAsia" w:ascii="宋体" w:hAnsi="宋体"/>
          <w:bCs/>
          <w:sz w:val="24"/>
          <w:szCs w:val="24"/>
          <w:highlight w:val="none"/>
        </w:rPr>
        <w:t>止。</w:t>
      </w:r>
    </w:p>
    <w:p w14:paraId="329D94E0">
      <w:pPr>
        <w:pStyle w:val="32"/>
        <w:widowControl/>
        <w:numPr>
          <w:ilvl w:val="0"/>
          <w:numId w:val="1"/>
        </w:numPr>
        <w:tabs>
          <w:tab w:val="left" w:pos="709"/>
        </w:tabs>
        <w:adjustRightInd w:val="0"/>
        <w:snapToGrid w:val="0"/>
        <w:spacing w:before="312" w:beforeLines="100" w:after="312" w:afterLines="100" w:line="360" w:lineRule="auto"/>
        <w:ind w:left="776" w:hanging="776" w:hangingChars="322"/>
        <w:jc w:val="left"/>
        <w:rPr>
          <w:rFonts w:hint="eastAsia" w:ascii="宋体" w:hAnsi="宋体" w:eastAsia="宋体"/>
          <w:b/>
          <w:kern w:val="0"/>
          <w:sz w:val="24"/>
          <w:szCs w:val="24"/>
          <w:highlight w:val="none"/>
          <w:lang w:eastAsia="zh-CN"/>
        </w:rPr>
      </w:pPr>
      <w:r>
        <w:rPr>
          <w:rFonts w:hint="eastAsia" w:ascii="宋体" w:hAnsi="宋体" w:eastAsia="宋体"/>
          <w:b/>
          <w:kern w:val="0"/>
          <w:sz w:val="24"/>
          <w:szCs w:val="24"/>
          <w:highlight w:val="none"/>
          <w:lang w:eastAsia="zh-CN"/>
        </w:rPr>
        <w:t xml:space="preserve">质量标准 </w:t>
      </w:r>
    </w:p>
    <w:p w14:paraId="31DB1EA7">
      <w:pPr>
        <w:pStyle w:val="32"/>
        <w:widowControl/>
        <w:adjustRightInd w:val="0"/>
        <w:snapToGrid w:val="0"/>
        <w:spacing w:before="312" w:beforeLines="100" w:after="312" w:afterLines="100" w:line="360" w:lineRule="auto"/>
        <w:ind w:firstLine="705" w:firstLineChars="294"/>
        <w:jc w:val="left"/>
        <w:rPr>
          <w:rFonts w:hint="eastAsia" w:ascii="宋体" w:hAnsi="宋体"/>
          <w:bCs/>
          <w:sz w:val="24"/>
          <w:szCs w:val="24"/>
          <w:highlight w:val="none"/>
        </w:rPr>
      </w:pPr>
      <w:r>
        <w:rPr>
          <w:rFonts w:hint="eastAsia" w:ascii="宋体" w:hAnsi="宋体" w:eastAsia="宋体"/>
          <w:bCs/>
          <w:sz w:val="24"/>
          <w:szCs w:val="24"/>
          <w:highlight w:val="none"/>
          <w:lang w:eastAsia="zh-CN"/>
        </w:rPr>
        <w:t>工程造价咨询成果文件应符合：国家、广东省、广州市建设主管部门颁布的工程造价相关规范和规定执行，并结合本项目的相关造价管理文件及甲方的相关要求。</w:t>
      </w:r>
    </w:p>
    <w:p w14:paraId="6D55BBEF">
      <w:pPr>
        <w:pStyle w:val="32"/>
        <w:widowControl/>
        <w:numPr>
          <w:ilvl w:val="0"/>
          <w:numId w:val="1"/>
        </w:numPr>
        <w:tabs>
          <w:tab w:val="left" w:pos="709"/>
        </w:tabs>
        <w:adjustRightInd w:val="0"/>
        <w:snapToGrid w:val="0"/>
        <w:spacing w:before="312" w:beforeLines="100" w:after="312" w:afterLines="100" w:line="360" w:lineRule="auto"/>
        <w:ind w:left="776" w:hanging="776" w:hangingChars="322"/>
        <w:jc w:val="left"/>
        <w:rPr>
          <w:rFonts w:ascii="宋体" w:hAnsi="宋体"/>
          <w:b/>
          <w:kern w:val="0"/>
          <w:sz w:val="24"/>
          <w:szCs w:val="24"/>
          <w:highlight w:val="none"/>
        </w:rPr>
      </w:pPr>
      <w:r>
        <w:rPr>
          <w:rFonts w:hint="eastAsia" w:ascii="宋体" w:hAnsi="宋体"/>
          <w:b/>
          <w:kern w:val="0"/>
          <w:sz w:val="24"/>
          <w:szCs w:val="24"/>
          <w:highlight w:val="none"/>
        </w:rPr>
        <w:t>下列文件均为本合同的组成部分：</w:t>
      </w:r>
    </w:p>
    <w:p w14:paraId="1C7B521B">
      <w:pPr>
        <w:pStyle w:val="32"/>
        <w:widowControl/>
        <w:numPr>
          <w:ilvl w:val="1"/>
          <w:numId w:val="3"/>
        </w:numPr>
        <w:tabs>
          <w:tab w:val="left" w:pos="709"/>
        </w:tabs>
        <w:adjustRightInd w:val="0"/>
        <w:snapToGrid w:val="0"/>
        <w:spacing w:line="360" w:lineRule="auto"/>
        <w:ind w:left="773" w:hanging="772" w:hangingChars="322"/>
        <w:jc w:val="left"/>
        <w:rPr>
          <w:rFonts w:ascii="宋体" w:hAnsi="宋体"/>
          <w:kern w:val="0"/>
          <w:sz w:val="24"/>
          <w:szCs w:val="24"/>
          <w:highlight w:val="none"/>
        </w:rPr>
      </w:pPr>
      <w:r>
        <w:rPr>
          <w:rFonts w:hint="eastAsia" w:ascii="宋体" w:hAnsi="宋体"/>
          <w:kern w:val="0"/>
          <w:sz w:val="24"/>
          <w:szCs w:val="24"/>
          <w:highlight w:val="none"/>
        </w:rPr>
        <w:t>在实施过程中双方共同签署的补充与修正文件；</w:t>
      </w:r>
    </w:p>
    <w:p w14:paraId="13057325">
      <w:pPr>
        <w:pStyle w:val="32"/>
        <w:widowControl/>
        <w:numPr>
          <w:ilvl w:val="1"/>
          <w:numId w:val="3"/>
        </w:numPr>
        <w:tabs>
          <w:tab w:val="left" w:pos="709"/>
        </w:tabs>
        <w:adjustRightInd w:val="0"/>
        <w:snapToGrid w:val="0"/>
        <w:spacing w:line="360" w:lineRule="auto"/>
        <w:ind w:left="773" w:hanging="772" w:hangingChars="322"/>
        <w:jc w:val="left"/>
        <w:rPr>
          <w:rFonts w:ascii="宋体" w:hAnsi="宋体"/>
          <w:kern w:val="0"/>
          <w:sz w:val="24"/>
          <w:szCs w:val="24"/>
          <w:highlight w:val="none"/>
        </w:rPr>
      </w:pPr>
      <w:r>
        <w:rPr>
          <w:rFonts w:ascii="宋体" w:hAnsi="宋体"/>
          <w:kern w:val="0"/>
          <w:sz w:val="24"/>
          <w:szCs w:val="24"/>
          <w:highlight w:val="none"/>
        </w:rPr>
        <w:t>建设工程造价咨询协议书；</w:t>
      </w:r>
    </w:p>
    <w:p w14:paraId="008D4499">
      <w:pPr>
        <w:pStyle w:val="32"/>
        <w:widowControl/>
        <w:numPr>
          <w:ilvl w:val="1"/>
          <w:numId w:val="3"/>
        </w:numPr>
        <w:tabs>
          <w:tab w:val="left" w:pos="709"/>
        </w:tabs>
        <w:adjustRightInd w:val="0"/>
        <w:snapToGrid w:val="0"/>
        <w:spacing w:line="360" w:lineRule="auto"/>
        <w:ind w:left="773" w:hanging="772" w:hangingChars="322"/>
        <w:jc w:val="left"/>
        <w:rPr>
          <w:rFonts w:ascii="宋体" w:hAnsi="宋体"/>
          <w:kern w:val="0"/>
          <w:sz w:val="24"/>
          <w:szCs w:val="24"/>
          <w:highlight w:val="none"/>
        </w:rPr>
      </w:pPr>
      <w:r>
        <w:rPr>
          <w:rFonts w:ascii="宋体" w:hAnsi="宋体"/>
          <w:kern w:val="0"/>
          <w:sz w:val="24"/>
          <w:szCs w:val="24"/>
          <w:highlight w:val="none"/>
        </w:rPr>
        <w:t>建设工程造价咨询合同专用条款；</w:t>
      </w:r>
    </w:p>
    <w:p w14:paraId="7FD789C4">
      <w:pPr>
        <w:pStyle w:val="32"/>
        <w:widowControl/>
        <w:numPr>
          <w:ilvl w:val="1"/>
          <w:numId w:val="3"/>
        </w:numPr>
        <w:tabs>
          <w:tab w:val="left" w:pos="709"/>
        </w:tabs>
        <w:adjustRightInd w:val="0"/>
        <w:snapToGrid w:val="0"/>
        <w:spacing w:line="360" w:lineRule="auto"/>
        <w:ind w:left="773" w:hanging="772" w:hangingChars="322"/>
        <w:jc w:val="left"/>
        <w:rPr>
          <w:rFonts w:ascii="宋体" w:hAnsi="宋体"/>
          <w:kern w:val="0"/>
          <w:sz w:val="24"/>
          <w:szCs w:val="24"/>
          <w:highlight w:val="none"/>
        </w:rPr>
      </w:pPr>
      <w:r>
        <w:rPr>
          <w:rFonts w:ascii="宋体" w:hAnsi="宋体"/>
          <w:kern w:val="0"/>
          <w:sz w:val="24"/>
          <w:szCs w:val="24"/>
          <w:highlight w:val="none"/>
        </w:rPr>
        <w:t>建设工程造价咨询合同通用条款；</w:t>
      </w:r>
    </w:p>
    <w:p w14:paraId="2311924E">
      <w:pPr>
        <w:pStyle w:val="32"/>
        <w:widowControl/>
        <w:numPr>
          <w:ilvl w:val="1"/>
          <w:numId w:val="3"/>
        </w:numPr>
        <w:tabs>
          <w:tab w:val="left" w:pos="709"/>
        </w:tabs>
        <w:adjustRightInd w:val="0"/>
        <w:snapToGrid w:val="0"/>
        <w:spacing w:line="360" w:lineRule="auto"/>
        <w:ind w:left="773" w:hanging="772" w:hangingChars="322"/>
        <w:jc w:val="left"/>
        <w:rPr>
          <w:rFonts w:ascii="宋体" w:hAnsi="宋体"/>
          <w:kern w:val="0"/>
          <w:sz w:val="24"/>
          <w:szCs w:val="24"/>
          <w:highlight w:val="none"/>
        </w:rPr>
      </w:pPr>
      <w:r>
        <w:rPr>
          <w:rFonts w:ascii="宋体" w:hAnsi="宋体"/>
          <w:kern w:val="0"/>
          <w:sz w:val="24"/>
          <w:szCs w:val="24"/>
          <w:highlight w:val="none"/>
        </w:rPr>
        <w:t>建设工程造价咨询</w:t>
      </w:r>
      <w:r>
        <w:rPr>
          <w:rFonts w:hint="eastAsia" w:ascii="宋体" w:hAnsi="宋体"/>
          <w:kern w:val="0"/>
          <w:sz w:val="24"/>
          <w:szCs w:val="24"/>
          <w:highlight w:val="none"/>
        </w:rPr>
        <w:t>工作的招标</w:t>
      </w:r>
      <w:r>
        <w:rPr>
          <w:rFonts w:ascii="宋体" w:hAnsi="宋体"/>
          <w:kern w:val="0"/>
          <w:sz w:val="24"/>
          <w:szCs w:val="24"/>
          <w:highlight w:val="none"/>
        </w:rPr>
        <w:t>文件</w:t>
      </w:r>
      <w:r>
        <w:rPr>
          <w:rFonts w:hint="eastAsia" w:ascii="宋体" w:hAnsi="宋体"/>
          <w:kern w:val="0"/>
          <w:sz w:val="24"/>
          <w:szCs w:val="24"/>
          <w:highlight w:val="none"/>
        </w:rPr>
        <w:t>；</w:t>
      </w:r>
    </w:p>
    <w:p w14:paraId="209C3BAA">
      <w:pPr>
        <w:pStyle w:val="32"/>
        <w:widowControl/>
        <w:numPr>
          <w:ilvl w:val="1"/>
          <w:numId w:val="3"/>
        </w:numPr>
        <w:tabs>
          <w:tab w:val="left" w:pos="709"/>
        </w:tabs>
        <w:adjustRightInd w:val="0"/>
        <w:snapToGrid w:val="0"/>
        <w:spacing w:line="360" w:lineRule="auto"/>
        <w:ind w:left="773" w:hanging="772" w:hangingChars="322"/>
        <w:jc w:val="left"/>
        <w:rPr>
          <w:rFonts w:ascii="宋体" w:hAnsi="宋体"/>
          <w:kern w:val="0"/>
          <w:sz w:val="24"/>
          <w:szCs w:val="24"/>
          <w:highlight w:val="none"/>
        </w:rPr>
      </w:pPr>
      <w:r>
        <w:rPr>
          <w:rFonts w:hint="eastAsia" w:ascii="宋体" w:hAnsi="宋体"/>
          <w:kern w:val="0"/>
          <w:sz w:val="24"/>
          <w:szCs w:val="24"/>
          <w:highlight w:val="none"/>
        </w:rPr>
        <w:t>相关法律法规、定额标准等</w:t>
      </w:r>
      <w:r>
        <w:rPr>
          <w:rFonts w:ascii="宋体" w:hAnsi="宋体"/>
          <w:kern w:val="0"/>
          <w:sz w:val="24"/>
          <w:szCs w:val="24"/>
          <w:highlight w:val="none"/>
        </w:rPr>
        <w:t>。</w:t>
      </w:r>
    </w:p>
    <w:p w14:paraId="3D9D9A5C">
      <w:pPr>
        <w:pStyle w:val="32"/>
        <w:widowControl/>
        <w:tabs>
          <w:tab w:val="left" w:pos="567"/>
        </w:tabs>
        <w:adjustRightInd w:val="0"/>
        <w:snapToGrid w:val="0"/>
        <w:spacing w:before="312" w:beforeLines="100" w:after="312" w:afterLines="100" w:line="360" w:lineRule="auto"/>
        <w:ind w:left="708" w:leftChars="337" w:firstLine="0" w:firstLineChars="0"/>
        <w:jc w:val="left"/>
        <w:rPr>
          <w:rFonts w:ascii="宋体" w:hAnsi="宋体"/>
          <w:kern w:val="0"/>
          <w:sz w:val="24"/>
          <w:szCs w:val="24"/>
          <w:highlight w:val="none"/>
        </w:rPr>
      </w:pPr>
      <w:r>
        <w:rPr>
          <w:rFonts w:ascii="宋体" w:hAnsi="宋体"/>
          <w:kern w:val="0"/>
          <w:sz w:val="24"/>
          <w:szCs w:val="24"/>
          <w:highlight w:val="none"/>
        </w:rPr>
        <w:t>以上文件内容发生冲突时，按照以</w:t>
      </w:r>
      <w:r>
        <w:rPr>
          <w:rFonts w:hint="eastAsia" w:ascii="宋体" w:hAnsi="宋体"/>
          <w:kern w:val="0"/>
          <w:sz w:val="24"/>
          <w:szCs w:val="24"/>
          <w:highlight w:val="none"/>
        </w:rPr>
        <w:t>上</w:t>
      </w:r>
      <w:r>
        <w:rPr>
          <w:rFonts w:ascii="宋体" w:hAnsi="宋体"/>
          <w:kern w:val="0"/>
          <w:sz w:val="24"/>
          <w:szCs w:val="24"/>
          <w:highlight w:val="none"/>
        </w:rPr>
        <w:t>顺序优先解释适用。</w:t>
      </w:r>
    </w:p>
    <w:p w14:paraId="791F8DEA">
      <w:pPr>
        <w:pStyle w:val="32"/>
        <w:widowControl/>
        <w:numPr>
          <w:ilvl w:val="0"/>
          <w:numId w:val="1"/>
        </w:numPr>
        <w:tabs>
          <w:tab w:val="left" w:pos="709"/>
        </w:tabs>
        <w:adjustRightInd w:val="0"/>
        <w:snapToGrid w:val="0"/>
        <w:spacing w:before="312" w:beforeLines="100" w:after="312" w:afterLines="100" w:line="360" w:lineRule="auto"/>
        <w:ind w:left="776" w:hanging="776" w:hangingChars="322"/>
        <w:jc w:val="left"/>
        <w:rPr>
          <w:rFonts w:ascii="宋体" w:hAnsi="宋体"/>
          <w:b/>
          <w:kern w:val="0"/>
          <w:sz w:val="24"/>
          <w:szCs w:val="24"/>
          <w:highlight w:val="none"/>
        </w:rPr>
      </w:pPr>
      <w:r>
        <w:rPr>
          <w:rFonts w:ascii="宋体" w:hAnsi="宋体"/>
          <w:b/>
          <w:kern w:val="0"/>
          <w:sz w:val="24"/>
          <w:szCs w:val="24"/>
          <w:highlight w:val="none"/>
        </w:rPr>
        <w:t>乙方同意按照本合同的规定，承担本合同建设工程造价咨询业务。</w:t>
      </w:r>
    </w:p>
    <w:p w14:paraId="6218121C">
      <w:pPr>
        <w:pStyle w:val="32"/>
        <w:widowControl/>
        <w:numPr>
          <w:ilvl w:val="0"/>
          <w:numId w:val="1"/>
        </w:numPr>
        <w:tabs>
          <w:tab w:val="left" w:pos="709"/>
        </w:tabs>
        <w:adjustRightInd w:val="0"/>
        <w:snapToGrid w:val="0"/>
        <w:spacing w:before="312" w:beforeLines="100" w:after="312" w:afterLines="100" w:line="360" w:lineRule="auto"/>
        <w:ind w:left="776" w:hanging="776" w:hangingChars="322"/>
        <w:jc w:val="left"/>
        <w:rPr>
          <w:rFonts w:ascii="宋体" w:hAnsi="宋体"/>
          <w:b/>
          <w:kern w:val="0"/>
          <w:sz w:val="24"/>
          <w:szCs w:val="24"/>
          <w:highlight w:val="none"/>
        </w:rPr>
      </w:pPr>
      <w:r>
        <w:rPr>
          <w:rFonts w:hint="eastAsia" w:ascii="宋体" w:hAnsi="宋体"/>
          <w:b/>
          <w:kern w:val="0"/>
          <w:sz w:val="24"/>
          <w:szCs w:val="24"/>
          <w:highlight w:val="none"/>
        </w:rPr>
        <w:t>甲方</w:t>
      </w:r>
      <w:r>
        <w:rPr>
          <w:rFonts w:ascii="宋体" w:hAnsi="宋体"/>
          <w:b/>
          <w:kern w:val="0"/>
          <w:sz w:val="24"/>
          <w:szCs w:val="24"/>
          <w:highlight w:val="none"/>
        </w:rPr>
        <w:t>同意按照本合同规定的期限、方式、币种、额度向乙方支付酬金。</w:t>
      </w:r>
    </w:p>
    <w:p w14:paraId="3E9CE45E">
      <w:pPr>
        <w:pStyle w:val="32"/>
        <w:widowControl/>
        <w:numPr>
          <w:ilvl w:val="0"/>
          <w:numId w:val="1"/>
        </w:numPr>
        <w:tabs>
          <w:tab w:val="left" w:pos="709"/>
        </w:tabs>
        <w:adjustRightInd w:val="0"/>
        <w:snapToGrid w:val="0"/>
        <w:spacing w:before="312" w:beforeLines="100" w:after="312" w:afterLines="100" w:line="360" w:lineRule="auto"/>
        <w:ind w:left="776" w:hanging="776" w:hangingChars="322"/>
        <w:jc w:val="left"/>
        <w:rPr>
          <w:rFonts w:ascii="宋体" w:hAnsi="宋体"/>
          <w:b/>
          <w:kern w:val="0"/>
          <w:sz w:val="24"/>
          <w:szCs w:val="24"/>
          <w:highlight w:val="none"/>
        </w:rPr>
      </w:pPr>
      <w:r>
        <w:rPr>
          <w:rFonts w:ascii="宋体" w:hAnsi="宋体"/>
          <w:b/>
          <w:bCs w:val="0"/>
          <w:kern w:val="0"/>
          <w:sz w:val="24"/>
          <w:szCs w:val="24"/>
          <w:highlight w:val="none"/>
          <w:lang w:eastAsia="zh-CN"/>
        </w:rPr>
        <w:t>本合同自</w:t>
      </w:r>
      <w:r>
        <w:rPr>
          <w:rFonts w:hint="default" w:ascii="宋体" w:hAnsi="宋体"/>
          <w:b/>
          <w:bCs w:val="0"/>
          <w:kern w:val="0"/>
          <w:sz w:val="24"/>
          <w:szCs w:val="24"/>
          <w:highlight w:val="none"/>
          <w:lang w:val="en-US" w:eastAsia="zh-CN"/>
        </w:rPr>
        <w:t>甲、乙</w:t>
      </w:r>
      <w:r>
        <w:rPr>
          <w:rFonts w:hint="default" w:ascii="宋体" w:hAnsi="宋体"/>
          <w:b/>
          <w:bCs w:val="0"/>
          <w:kern w:val="0"/>
          <w:sz w:val="24"/>
          <w:szCs w:val="24"/>
          <w:highlight w:val="none"/>
          <w:lang w:eastAsia="zh-CN"/>
        </w:rPr>
        <w:t>双方</w:t>
      </w:r>
      <w:r>
        <w:rPr>
          <w:rFonts w:hint="default" w:ascii="宋体" w:hAnsi="宋体"/>
          <w:b/>
          <w:bCs w:val="0"/>
          <w:kern w:val="0"/>
          <w:sz w:val="24"/>
          <w:szCs w:val="24"/>
          <w:highlight w:val="none"/>
          <w:lang w:val="en-US" w:eastAsia="zh-CN"/>
        </w:rPr>
        <w:t>法</w:t>
      </w:r>
      <w:r>
        <w:rPr>
          <w:rFonts w:hint="default" w:ascii="宋体" w:hAnsi="宋体" w:eastAsia="宋体" w:cs="Times New Roman"/>
          <w:b/>
          <w:bCs w:val="0"/>
          <w:kern w:val="0"/>
          <w:sz w:val="24"/>
          <w:szCs w:val="24"/>
          <w:highlight w:val="none"/>
          <w:lang w:val="en-US" w:eastAsia="zh-CN"/>
        </w:rPr>
        <w:t>定代表人或委托代理人</w:t>
      </w:r>
      <w:r>
        <w:rPr>
          <w:rFonts w:hint="default" w:ascii="宋体" w:hAnsi="宋体" w:eastAsia="宋体" w:cs="Times New Roman"/>
          <w:b/>
          <w:bCs w:val="0"/>
          <w:kern w:val="0"/>
          <w:sz w:val="24"/>
          <w:szCs w:val="24"/>
          <w:highlight w:val="none"/>
          <w:lang w:eastAsia="zh-CN"/>
        </w:rPr>
        <w:t>签字</w:t>
      </w:r>
      <w:r>
        <w:rPr>
          <w:rFonts w:hint="default" w:ascii="宋体" w:hAnsi="宋体" w:eastAsia="宋体" w:cs="Times New Roman"/>
          <w:b/>
          <w:bCs w:val="0"/>
          <w:kern w:val="0"/>
          <w:sz w:val="24"/>
          <w:szCs w:val="24"/>
          <w:highlight w:val="none"/>
          <w:lang w:val="en-US" w:eastAsia="zh-CN"/>
        </w:rPr>
        <w:t>并加</w:t>
      </w:r>
      <w:r>
        <w:rPr>
          <w:rFonts w:hint="default" w:ascii="宋体" w:hAnsi="宋体" w:eastAsia="宋体" w:cs="Times New Roman"/>
          <w:b/>
          <w:bCs w:val="0"/>
          <w:kern w:val="0"/>
          <w:sz w:val="24"/>
          <w:szCs w:val="24"/>
          <w:highlight w:val="none"/>
          <w:lang w:eastAsia="zh-CN"/>
        </w:rPr>
        <w:t>盖</w:t>
      </w:r>
      <w:r>
        <w:rPr>
          <w:rFonts w:hint="default" w:ascii="宋体" w:hAnsi="宋体" w:eastAsia="宋体" w:cs="Times New Roman"/>
          <w:b/>
          <w:bCs w:val="0"/>
          <w:kern w:val="0"/>
          <w:sz w:val="24"/>
          <w:szCs w:val="24"/>
          <w:highlight w:val="none"/>
          <w:lang w:val="en-US" w:eastAsia="zh-CN"/>
        </w:rPr>
        <w:t>公</w:t>
      </w:r>
      <w:r>
        <w:rPr>
          <w:rFonts w:hint="default" w:ascii="宋体" w:hAnsi="宋体" w:eastAsia="宋体" w:cs="Times New Roman"/>
          <w:b/>
          <w:bCs w:val="0"/>
          <w:kern w:val="0"/>
          <w:sz w:val="24"/>
          <w:szCs w:val="24"/>
          <w:highlight w:val="none"/>
          <w:lang w:eastAsia="zh-CN"/>
        </w:rPr>
        <w:t>章</w:t>
      </w:r>
      <w:r>
        <w:rPr>
          <w:rFonts w:hint="default" w:ascii="宋体" w:hAnsi="宋体" w:eastAsia="宋体" w:cs="Times New Roman"/>
          <w:b/>
          <w:bCs w:val="0"/>
          <w:kern w:val="0"/>
          <w:sz w:val="24"/>
          <w:szCs w:val="24"/>
          <w:highlight w:val="none"/>
          <w:lang w:val="en-US" w:eastAsia="zh-CN"/>
        </w:rPr>
        <w:t>之日</w:t>
      </w:r>
      <w:r>
        <w:rPr>
          <w:rFonts w:hint="default" w:ascii="宋体" w:hAnsi="宋体" w:eastAsia="宋体" w:cs="Times New Roman"/>
          <w:b/>
          <w:bCs w:val="0"/>
          <w:kern w:val="0"/>
          <w:sz w:val="24"/>
          <w:szCs w:val="24"/>
          <w:highlight w:val="none"/>
          <w:lang w:eastAsia="zh-CN"/>
        </w:rPr>
        <w:t>起</w:t>
      </w:r>
      <w:r>
        <w:rPr>
          <w:rFonts w:hint="default" w:ascii="宋体" w:hAnsi="宋体" w:eastAsia="宋体" w:cs="Times New Roman"/>
          <w:b/>
          <w:bCs w:val="0"/>
          <w:kern w:val="0"/>
          <w:sz w:val="24"/>
          <w:szCs w:val="24"/>
          <w:highlight w:val="none"/>
          <w:lang w:val="en-US" w:eastAsia="zh-CN"/>
        </w:rPr>
        <w:t>生效</w:t>
      </w:r>
      <w:r>
        <w:rPr>
          <w:rFonts w:hint="default" w:ascii="宋体" w:hAnsi="宋体" w:eastAsia="宋体" w:cs="Times New Roman"/>
          <w:b/>
          <w:bCs w:val="0"/>
          <w:kern w:val="0"/>
          <w:sz w:val="24"/>
          <w:szCs w:val="24"/>
          <w:highlight w:val="none"/>
          <w:lang w:eastAsia="zh-CN"/>
        </w:rPr>
        <w:t>，</w:t>
      </w:r>
      <w:r>
        <w:rPr>
          <w:rFonts w:hint="default" w:ascii="宋体" w:hAnsi="宋体" w:eastAsia="宋体" w:cs="Times New Roman"/>
          <w:b/>
          <w:bCs w:val="0"/>
          <w:kern w:val="0"/>
          <w:sz w:val="24"/>
          <w:szCs w:val="24"/>
          <w:highlight w:val="none"/>
          <w:lang w:eastAsia="zh-CN" w:bidi="ar"/>
        </w:rPr>
        <w:t>至本合同约定造价咨询服务工作全部完成时</w:t>
      </w:r>
      <w:r>
        <w:rPr>
          <w:rFonts w:hint="default" w:ascii="宋体" w:hAnsi="宋体" w:eastAsia="宋体" w:cs="Times New Roman"/>
          <w:b/>
          <w:bCs w:val="0"/>
          <w:kern w:val="0"/>
          <w:sz w:val="24"/>
          <w:szCs w:val="24"/>
          <w:highlight w:val="none"/>
          <w:lang w:val="en-US" w:eastAsia="zh-CN"/>
        </w:rPr>
        <w:t>且</w:t>
      </w:r>
      <w:r>
        <w:rPr>
          <w:rFonts w:hint="default" w:ascii="宋体" w:hAnsi="宋体" w:eastAsia="宋体" w:cs="Times New Roman"/>
          <w:b/>
          <w:bCs w:val="0"/>
          <w:kern w:val="0"/>
          <w:sz w:val="24"/>
          <w:szCs w:val="24"/>
          <w:highlight w:val="none"/>
          <w:lang w:eastAsia="zh-CN"/>
        </w:rPr>
        <w:t>双方合同义务履行完毕之日</w:t>
      </w:r>
      <w:r>
        <w:rPr>
          <w:rFonts w:hint="default" w:ascii="宋体" w:hAnsi="宋体" w:eastAsia="宋体" w:cs="Times New Roman"/>
          <w:b/>
          <w:bCs w:val="0"/>
          <w:kern w:val="0"/>
          <w:sz w:val="24"/>
          <w:szCs w:val="24"/>
          <w:highlight w:val="none"/>
          <w:lang w:eastAsia="zh-CN" w:bidi="ar"/>
        </w:rPr>
        <w:t>止。</w:t>
      </w:r>
    </w:p>
    <w:p w14:paraId="7E0CC9C0">
      <w:pPr>
        <w:pStyle w:val="32"/>
        <w:widowControl/>
        <w:numPr>
          <w:ilvl w:val="0"/>
          <w:numId w:val="1"/>
        </w:numPr>
        <w:tabs>
          <w:tab w:val="left" w:pos="709"/>
        </w:tabs>
        <w:adjustRightInd w:val="0"/>
        <w:snapToGrid w:val="0"/>
        <w:spacing w:before="312" w:beforeLines="100" w:after="312" w:afterLines="100" w:line="360" w:lineRule="auto"/>
        <w:ind w:left="776" w:hanging="776" w:hangingChars="322"/>
        <w:jc w:val="left"/>
        <w:rPr>
          <w:rFonts w:ascii="宋体" w:hAnsi="宋体"/>
          <w:b/>
          <w:kern w:val="0"/>
          <w:sz w:val="24"/>
          <w:szCs w:val="24"/>
          <w:highlight w:val="none"/>
        </w:rPr>
      </w:pPr>
      <w:r>
        <w:rPr>
          <w:rFonts w:hint="eastAsia" w:ascii="宋体" w:hAnsi="宋体"/>
          <w:b/>
          <w:kern w:val="0"/>
          <w:sz w:val="24"/>
          <w:szCs w:val="24"/>
          <w:highlight w:val="none"/>
        </w:rPr>
        <w:t>本合同一式壹拾</w:t>
      </w:r>
      <w:r>
        <w:rPr>
          <w:rFonts w:ascii="宋体" w:hAnsi="宋体"/>
          <w:b/>
          <w:kern w:val="0"/>
          <w:sz w:val="24"/>
          <w:szCs w:val="24"/>
          <w:highlight w:val="none"/>
        </w:rPr>
        <w:t>份，</w:t>
      </w:r>
      <w:r>
        <w:rPr>
          <w:rFonts w:hint="eastAsia" w:ascii="宋体" w:hAnsi="宋体"/>
          <w:b/>
          <w:kern w:val="0"/>
          <w:sz w:val="24"/>
          <w:szCs w:val="24"/>
          <w:highlight w:val="none"/>
        </w:rPr>
        <w:t>甲方执</w:t>
      </w:r>
      <w:r>
        <w:rPr>
          <w:rFonts w:hint="eastAsia" w:ascii="宋体" w:hAnsi="宋体"/>
          <w:b/>
          <w:kern w:val="0"/>
          <w:sz w:val="24"/>
          <w:szCs w:val="24"/>
          <w:highlight w:val="none"/>
          <w:lang w:val="en-US" w:eastAsia="zh-CN"/>
        </w:rPr>
        <w:t>伍</w:t>
      </w:r>
      <w:r>
        <w:rPr>
          <w:rFonts w:hint="eastAsia" w:ascii="宋体" w:hAnsi="宋体"/>
          <w:b/>
          <w:kern w:val="0"/>
          <w:sz w:val="24"/>
          <w:szCs w:val="24"/>
          <w:highlight w:val="none"/>
        </w:rPr>
        <w:t>份，乙方</w:t>
      </w:r>
      <w:r>
        <w:rPr>
          <w:rFonts w:ascii="宋体" w:hAnsi="宋体"/>
          <w:b/>
          <w:kern w:val="0"/>
          <w:sz w:val="24"/>
          <w:szCs w:val="24"/>
          <w:highlight w:val="none"/>
        </w:rPr>
        <w:t>执</w:t>
      </w:r>
      <w:r>
        <w:rPr>
          <w:rFonts w:hint="eastAsia" w:ascii="宋体" w:hAnsi="宋体"/>
          <w:b/>
          <w:kern w:val="0"/>
          <w:sz w:val="24"/>
          <w:szCs w:val="24"/>
          <w:highlight w:val="none"/>
          <w:lang w:val="en-US" w:eastAsia="zh-CN"/>
        </w:rPr>
        <w:t>伍</w:t>
      </w:r>
      <w:r>
        <w:rPr>
          <w:rFonts w:ascii="宋体" w:hAnsi="宋体"/>
          <w:b/>
          <w:kern w:val="0"/>
          <w:sz w:val="24"/>
          <w:szCs w:val="24"/>
          <w:highlight w:val="none"/>
        </w:rPr>
        <w:t>份</w:t>
      </w:r>
      <w:r>
        <w:rPr>
          <w:rFonts w:hint="eastAsia" w:ascii="宋体" w:hAnsi="宋体"/>
          <w:b/>
          <w:kern w:val="0"/>
          <w:sz w:val="24"/>
          <w:szCs w:val="24"/>
          <w:highlight w:val="none"/>
          <w:lang w:eastAsia="zh-CN"/>
        </w:rPr>
        <w:t>，</w:t>
      </w:r>
      <w:r>
        <w:rPr>
          <w:rFonts w:hint="eastAsia" w:ascii="宋体" w:hAnsi="宋体"/>
          <w:b/>
          <w:kern w:val="0"/>
          <w:sz w:val="24"/>
          <w:szCs w:val="24"/>
          <w:highlight w:val="none"/>
        </w:rPr>
        <w:t>均具有同等法律效力。</w:t>
      </w:r>
    </w:p>
    <w:p w14:paraId="0796C2A9">
      <w:pPr>
        <w:widowControl/>
        <w:tabs>
          <w:tab w:val="left" w:pos="2088"/>
          <w:tab w:val="left" w:pos="3413"/>
          <w:tab w:val="left" w:pos="4343"/>
          <w:tab w:val="left" w:pos="5868"/>
          <w:tab w:val="left" w:pos="7490"/>
        </w:tabs>
        <w:adjustRightInd w:val="0"/>
        <w:snapToGrid w:val="0"/>
        <w:spacing w:before="312" w:beforeLines="100" w:after="312" w:afterLines="100" w:line="360" w:lineRule="auto"/>
        <w:ind w:left="534"/>
        <w:jc w:val="left"/>
        <w:rPr>
          <w:rFonts w:ascii="宋体" w:hAnsi="宋体"/>
          <w:kern w:val="0"/>
          <w:sz w:val="24"/>
          <w:szCs w:val="24"/>
          <w:highlight w:val="none"/>
        </w:rPr>
      </w:pPr>
      <w:r>
        <w:rPr>
          <w:rFonts w:hint="eastAsia" w:ascii="宋体" w:hAnsi="宋体"/>
          <w:sz w:val="24"/>
          <w:szCs w:val="24"/>
          <w:highlight w:val="none"/>
        </w:rPr>
        <w:t>（本页</w:t>
      </w:r>
      <w:r>
        <w:rPr>
          <w:rFonts w:ascii="宋体" w:hAnsi="宋体"/>
          <w:sz w:val="24"/>
          <w:szCs w:val="24"/>
          <w:highlight w:val="none"/>
        </w:rPr>
        <w:t>以下无正文</w:t>
      </w:r>
      <w:r>
        <w:rPr>
          <w:rFonts w:hint="eastAsia" w:ascii="宋体" w:hAnsi="宋体"/>
          <w:sz w:val="24"/>
          <w:szCs w:val="24"/>
          <w:highlight w:val="none"/>
        </w:rPr>
        <w:t>）</w:t>
      </w:r>
    </w:p>
    <w:p w14:paraId="5F6C0346">
      <w:pPr>
        <w:spacing w:line="500" w:lineRule="exact"/>
        <w:ind w:firstLine="280" w:firstLineChars="100"/>
        <w:jc w:val="left"/>
        <w:rPr>
          <w:rFonts w:ascii="宋体" w:hAnsi="宋体" w:cs="Calibri"/>
          <w:kern w:val="0"/>
          <w:sz w:val="28"/>
          <w:szCs w:val="28"/>
          <w:highlight w:val="none"/>
        </w:rPr>
      </w:pPr>
      <w:r>
        <w:rPr>
          <w:rFonts w:hint="eastAsia" w:ascii="宋体" w:hAnsi="宋体" w:cs="Calibri"/>
          <w:kern w:val="0"/>
          <w:sz w:val="28"/>
          <w:szCs w:val="28"/>
          <w:highlight w:val="none"/>
        </w:rPr>
        <w:t>签约页</w:t>
      </w:r>
      <w:r>
        <w:rPr>
          <w:rFonts w:ascii="宋体" w:hAnsi="宋体" w:cs="Calibri"/>
          <w:kern w:val="0"/>
          <w:sz w:val="28"/>
          <w:szCs w:val="28"/>
          <w:highlight w:val="none"/>
        </w:rPr>
        <w:t>：</w:t>
      </w:r>
    </w:p>
    <w:p w14:paraId="789C1682">
      <w:pPr>
        <w:spacing w:line="500" w:lineRule="exact"/>
        <w:ind w:firstLine="280" w:firstLineChars="100"/>
        <w:jc w:val="left"/>
        <w:rPr>
          <w:rFonts w:hint="default" w:ascii="宋体" w:hAnsi="宋体" w:eastAsia="宋体" w:cs="Calibri"/>
          <w:sz w:val="28"/>
          <w:szCs w:val="28"/>
          <w:highlight w:val="none"/>
          <w:lang w:val="en-US" w:eastAsia="zh-CN"/>
        </w:rPr>
      </w:pPr>
      <w:bookmarkStart w:id="0" w:name="OLE_LINK4"/>
      <w:r>
        <w:rPr>
          <w:rFonts w:hint="eastAsia" w:ascii="宋体" w:hAnsi="宋体" w:cs="Calibri"/>
          <w:sz w:val="28"/>
          <w:szCs w:val="28"/>
          <w:highlight w:val="none"/>
        </w:rPr>
        <w:t>甲方：</w:t>
      </w:r>
      <w:r>
        <w:rPr>
          <w:rFonts w:hint="eastAsia" w:ascii="宋体" w:hAnsi="宋体" w:cs="Calibri"/>
          <w:sz w:val="28"/>
          <w:szCs w:val="28"/>
          <w:highlight w:val="none"/>
          <w:lang w:val="en-US" w:eastAsia="zh-CN"/>
        </w:rPr>
        <w:t>广州天华科韵城市更新有限公司</w:t>
      </w:r>
    </w:p>
    <w:p w14:paraId="257A1BB2">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法定代表人：</w:t>
      </w:r>
    </w:p>
    <w:p w14:paraId="29C2D32B">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或</w:t>
      </w:r>
    </w:p>
    <w:p w14:paraId="39DBD352">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委托代理人：</w:t>
      </w:r>
    </w:p>
    <w:p w14:paraId="7EC29297">
      <w:pPr>
        <w:spacing w:line="500" w:lineRule="exact"/>
        <w:ind w:firstLine="280" w:firstLineChars="100"/>
        <w:jc w:val="left"/>
        <w:rPr>
          <w:rFonts w:ascii="宋体" w:hAnsi="宋体" w:cs="Calibri"/>
          <w:b/>
          <w:color w:val="000000"/>
          <w:sz w:val="28"/>
          <w:szCs w:val="28"/>
          <w:highlight w:val="none"/>
        </w:rPr>
      </w:pPr>
      <w:r>
        <w:rPr>
          <w:rFonts w:hint="eastAsia" w:ascii="宋体" w:hAnsi="宋体" w:cs="Calibri"/>
          <w:sz w:val="28"/>
          <w:szCs w:val="28"/>
          <w:highlight w:val="none"/>
          <w:lang w:val="en-US" w:eastAsia="zh-CN"/>
        </w:rPr>
        <w:t>联系</w:t>
      </w:r>
      <w:r>
        <w:rPr>
          <w:rFonts w:hint="eastAsia" w:ascii="宋体" w:hAnsi="宋体" w:cs="Calibri"/>
          <w:sz w:val="28"/>
          <w:szCs w:val="28"/>
          <w:highlight w:val="none"/>
        </w:rPr>
        <w:t>地址：广州市越秀区流花街道117号15号馆3楼</w:t>
      </w:r>
    </w:p>
    <w:p w14:paraId="5F423799">
      <w:pPr>
        <w:spacing w:line="500" w:lineRule="exact"/>
        <w:jc w:val="left"/>
        <w:rPr>
          <w:rFonts w:ascii="宋体" w:hAnsi="宋体" w:cs="Calibri"/>
          <w:color w:val="000000"/>
          <w:sz w:val="28"/>
          <w:szCs w:val="28"/>
          <w:highlight w:val="none"/>
        </w:rPr>
      </w:pPr>
    </w:p>
    <w:p w14:paraId="7B4BB433">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 xml:space="preserve">乙方：                   </w:t>
      </w:r>
    </w:p>
    <w:p w14:paraId="58342074">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 xml:space="preserve">法定代表人：                </w:t>
      </w:r>
    </w:p>
    <w:p w14:paraId="67CE87C6">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或</w:t>
      </w:r>
    </w:p>
    <w:p w14:paraId="7424571E">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 xml:space="preserve">委托代理人： </w:t>
      </w:r>
      <w:r>
        <w:rPr>
          <w:rFonts w:ascii="宋体" w:hAnsi="宋体" w:cs="Calibri"/>
          <w:color w:val="000000"/>
          <w:sz w:val="28"/>
          <w:szCs w:val="28"/>
          <w:highlight w:val="none"/>
        </w:rPr>
        <w:t xml:space="preserve">           </w:t>
      </w:r>
    </w:p>
    <w:p w14:paraId="4FA01C0D">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sz w:val="28"/>
          <w:szCs w:val="28"/>
          <w:highlight w:val="none"/>
          <w:lang w:val="en-US" w:eastAsia="zh-CN"/>
        </w:rPr>
        <w:t>联系</w:t>
      </w:r>
      <w:r>
        <w:rPr>
          <w:rFonts w:hint="eastAsia" w:ascii="宋体" w:hAnsi="宋体" w:cs="Calibri"/>
          <w:sz w:val="28"/>
          <w:szCs w:val="28"/>
          <w:highlight w:val="none"/>
        </w:rPr>
        <w:t>地址</w:t>
      </w:r>
      <w:r>
        <w:rPr>
          <w:rFonts w:hint="eastAsia" w:ascii="宋体" w:hAnsi="宋体" w:cs="Calibri"/>
          <w:color w:val="000000"/>
          <w:sz w:val="28"/>
          <w:szCs w:val="28"/>
          <w:highlight w:val="none"/>
        </w:rPr>
        <w:t xml:space="preserve">：                       </w:t>
      </w:r>
    </w:p>
    <w:bookmarkEnd w:id="0"/>
    <w:p w14:paraId="5F758CDC">
      <w:pPr>
        <w:pStyle w:val="32"/>
        <w:widowControl/>
        <w:tabs>
          <w:tab w:val="left" w:pos="1274"/>
        </w:tabs>
        <w:adjustRightInd w:val="0"/>
        <w:snapToGrid w:val="0"/>
        <w:spacing w:before="312" w:beforeLines="100" w:after="312" w:afterLines="100" w:line="360" w:lineRule="auto"/>
        <w:ind w:firstLine="0" w:firstLineChars="0"/>
        <w:jc w:val="center"/>
        <w:rPr>
          <w:rFonts w:ascii="宋体" w:hAnsi="宋体"/>
          <w:b/>
          <w:bCs/>
          <w:smallCaps/>
          <w:kern w:val="0"/>
          <w:sz w:val="32"/>
          <w:szCs w:val="32"/>
          <w:highlight w:val="none"/>
        </w:rPr>
      </w:pPr>
      <w:r>
        <w:rPr>
          <w:rFonts w:ascii="方正小标宋简体" w:hAnsi="宋体" w:eastAsia="方正小标宋简体"/>
          <w:b/>
          <w:bCs/>
          <w:smallCaps/>
          <w:kern w:val="0"/>
          <w:sz w:val="36"/>
          <w:szCs w:val="36"/>
          <w:highlight w:val="none"/>
        </w:rPr>
        <w:br w:type="page"/>
      </w:r>
      <w:r>
        <w:rPr>
          <w:rFonts w:hint="eastAsia" w:ascii="宋体" w:hAnsi="宋体"/>
          <w:b/>
          <w:bCs/>
          <w:smallCaps/>
          <w:kern w:val="0"/>
          <w:sz w:val="36"/>
          <w:szCs w:val="36"/>
          <w:highlight w:val="none"/>
        </w:rPr>
        <w:t xml:space="preserve">第二部分   </w:t>
      </w:r>
      <w:r>
        <w:rPr>
          <w:rFonts w:ascii="宋体" w:hAnsi="宋体"/>
          <w:b/>
          <w:bCs/>
          <w:smallCaps/>
          <w:kern w:val="0"/>
          <w:sz w:val="36"/>
          <w:szCs w:val="36"/>
          <w:highlight w:val="none"/>
        </w:rPr>
        <w:t>建设工程造价咨询合同通用条款</w:t>
      </w:r>
    </w:p>
    <w:p w14:paraId="633FCB29">
      <w:pPr>
        <w:widowControl/>
        <w:numPr>
          <w:ilvl w:val="0"/>
          <w:numId w:val="4"/>
        </w:numPr>
        <w:tabs>
          <w:tab w:val="left" w:pos="1276"/>
        </w:tabs>
        <w:adjustRightInd w:val="0"/>
        <w:snapToGrid w:val="0"/>
        <w:spacing w:before="312" w:beforeLines="100" w:after="312" w:afterLines="100" w:line="360" w:lineRule="auto"/>
        <w:ind w:left="1392" w:hanging="1392" w:hangingChars="580"/>
        <w:jc w:val="center"/>
        <w:rPr>
          <w:rFonts w:ascii="宋体" w:hAnsi="宋体"/>
          <w:kern w:val="0"/>
          <w:sz w:val="24"/>
          <w:szCs w:val="24"/>
          <w:highlight w:val="none"/>
        </w:rPr>
      </w:pPr>
      <w:r>
        <w:rPr>
          <w:rFonts w:hint="eastAsia" w:ascii="宋体" w:hAnsi="宋体"/>
          <w:kern w:val="0"/>
          <w:sz w:val="24"/>
          <w:szCs w:val="24"/>
          <w:highlight w:val="none"/>
        </w:rPr>
        <w:t>词语定义、适用语言和法律、法规</w:t>
      </w:r>
    </w:p>
    <w:p w14:paraId="0CA99B82">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下列名词和用语，除上下文另有规定外具有如下含义。</w:t>
      </w:r>
    </w:p>
    <w:p w14:paraId="772D200F">
      <w:pPr>
        <w:pStyle w:val="32"/>
        <w:widowControl/>
        <w:numPr>
          <w:ilvl w:val="1"/>
          <w:numId w:val="6"/>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“甲方”是</w:t>
      </w:r>
      <w:r>
        <w:rPr>
          <w:rFonts w:hint="eastAsia" w:ascii="宋体" w:hAnsi="宋体" w:cs="仿宋"/>
          <w:sz w:val="24"/>
          <w:szCs w:val="24"/>
          <w:highlight w:val="none"/>
        </w:rPr>
        <w:t>指本合同中委托造价咨询与其他服务的一方，受项目业主委托进行该工程建设管理的具有工程发包主体资格的当事人，以及取得该当事人资格的合法继承人。</w:t>
      </w:r>
    </w:p>
    <w:p w14:paraId="5201AFCA">
      <w:pPr>
        <w:pStyle w:val="32"/>
        <w:widowControl/>
        <w:numPr>
          <w:ilvl w:val="1"/>
          <w:numId w:val="6"/>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“乙方”是指依法具有工程造价咨询企业资质，承担建设工程造价咨询业务和工程造价咨询责任的一方，以及其合法继承人。</w:t>
      </w:r>
    </w:p>
    <w:p w14:paraId="68A8F85C">
      <w:pPr>
        <w:pStyle w:val="32"/>
        <w:widowControl/>
        <w:numPr>
          <w:ilvl w:val="1"/>
          <w:numId w:val="6"/>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“第三人”是指除甲方、乙方以外与本咨询业务有关的当事人。</w:t>
      </w:r>
    </w:p>
    <w:p w14:paraId="2F6D8324">
      <w:pPr>
        <w:pStyle w:val="32"/>
        <w:widowControl/>
        <w:numPr>
          <w:ilvl w:val="1"/>
          <w:numId w:val="6"/>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“日”是指任何一天零时至第二天零时的时间段。</w:t>
      </w:r>
    </w:p>
    <w:p w14:paraId="44D6D3A4">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建设工程造价咨询合同适用的是中国的法律、法规，以及专用条款中议定的部门规章、工程造价有关计价办法和规定或项目所在地的地方法规、地方规章。</w:t>
      </w:r>
    </w:p>
    <w:p w14:paraId="241149F9">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建设工程造价咨询合同的书写、解释和说明，以中文为主导语言。当不同语言文本发生不同解释时，以</w:t>
      </w:r>
      <w:r>
        <w:rPr>
          <w:rFonts w:hint="eastAsia" w:ascii="宋体" w:hAnsi="宋体"/>
          <w:kern w:val="0"/>
          <w:sz w:val="24"/>
          <w:szCs w:val="24"/>
          <w:highlight w:val="none"/>
        </w:rPr>
        <w:t>中文</w:t>
      </w:r>
      <w:r>
        <w:rPr>
          <w:rFonts w:ascii="宋体" w:hAnsi="宋体"/>
          <w:kern w:val="0"/>
          <w:sz w:val="24"/>
          <w:szCs w:val="24"/>
          <w:highlight w:val="none"/>
        </w:rPr>
        <w:t>合同文本为准。</w:t>
      </w:r>
    </w:p>
    <w:p w14:paraId="60798324">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hint="eastAsia" w:ascii="宋体" w:hAnsi="宋体"/>
          <w:b/>
          <w:bCs/>
          <w:smallCaps/>
          <w:kern w:val="0"/>
          <w:sz w:val="24"/>
          <w:szCs w:val="24"/>
          <w:highlight w:val="none"/>
        </w:rPr>
        <w:t>乙方的义务</w:t>
      </w:r>
    </w:p>
    <w:p w14:paraId="79584DC7">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向甲方提供与工程造价咨询业务有关的资料，包括工程造价咨询的资质证书及承担本合同业务的专业人员名单、咨询工作计划等，并按合同专用条款中约定的范围实施咨询业务。乙方不得从事所承担过的项目造价文件编制和审核的咨询服务。</w:t>
      </w:r>
    </w:p>
    <w:p w14:paraId="32D58C27">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乙方在履行本合同义务期间，应运用合理科学技能，为甲方提供与其工程造价咨询资质水平相适应的咨询意见，客观公正的维护各方的合法权益。</w:t>
      </w:r>
    </w:p>
    <w:p w14:paraId="025119C5">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对于甲方提出的口头问题乙方应随时提供咨询服务，对于依照法律法规规定或本合同约定或应甲方要求需向甲方提交书面文件，乙方应按照甲方要求的时间提供。</w:t>
      </w:r>
    </w:p>
    <w:p w14:paraId="4263962D">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乙方在履行本合同期间，向甲方提供的服务包括正常服务、附加服务和额外服务。</w:t>
      </w:r>
    </w:p>
    <w:p w14:paraId="6E7CB704">
      <w:pPr>
        <w:pStyle w:val="32"/>
        <w:widowControl/>
        <w:numPr>
          <w:ilvl w:val="0"/>
          <w:numId w:val="7"/>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“正常服务”是指双方在专用条款中约定的工程造价咨询工作；</w:t>
      </w:r>
    </w:p>
    <w:p w14:paraId="4BF47B2F">
      <w:pPr>
        <w:pStyle w:val="32"/>
        <w:widowControl/>
        <w:numPr>
          <w:ilvl w:val="0"/>
          <w:numId w:val="7"/>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“附加服务”是指在“正常服务”以外，经双方书面协议确定的附加服务；</w:t>
      </w:r>
    </w:p>
    <w:p w14:paraId="0FE2C764">
      <w:pPr>
        <w:pStyle w:val="32"/>
        <w:widowControl/>
        <w:numPr>
          <w:ilvl w:val="0"/>
          <w:numId w:val="7"/>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“额外服务”是指不属于“正常服务”和“附加服务”，但根据合同通用条款的规定，乙方应增加的额外工作量。</w:t>
      </w:r>
    </w:p>
    <w:p w14:paraId="577E8272">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在合同履行期间和合同终止后，未征得有关方同意，不得泄露与本合同规定业务活动有关的保密资料。乙方应保护交付成果的知识产权，未经甲方同意不得将交付成果的全部或部分信息进行修改或向第三人提供。</w:t>
      </w:r>
    </w:p>
    <w:p w14:paraId="3D490BC1">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hint="eastAsia" w:ascii="宋体" w:hAnsi="宋体"/>
          <w:b/>
          <w:bCs/>
          <w:smallCaps/>
          <w:kern w:val="0"/>
          <w:sz w:val="24"/>
          <w:szCs w:val="24"/>
          <w:highlight w:val="none"/>
        </w:rPr>
        <w:t>甲方的义务</w:t>
      </w:r>
    </w:p>
    <w:p w14:paraId="4CEB5480">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甲方应负责与本咨询业务有关的第三人的协调，为乙方工作提供外部条件。</w:t>
      </w:r>
    </w:p>
    <w:p w14:paraId="2EACB8DA">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甲方应当在约定的时间内，免费向乙方提供与本咨询业务有关的资料。</w:t>
      </w:r>
    </w:p>
    <w:p w14:paraId="3E026B90">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甲方应当在约定的时间内就乙方书面提交并要求做出答复的事宜做出书面答复。乙方要求第三人提供有关资料时，甲方应尽快转达，并负责资料转送。</w:t>
      </w:r>
    </w:p>
    <w:p w14:paraId="1BFA9BB9">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甲方应当授权熟悉本咨询业务情况并能迅速作出决定的代表，负责与乙方联系。</w:t>
      </w:r>
    </w:p>
    <w:p w14:paraId="47F8A2B9">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kern w:val="0"/>
          <w:sz w:val="24"/>
          <w:szCs w:val="24"/>
          <w:highlight w:val="none"/>
        </w:rPr>
      </w:pPr>
      <w:r>
        <w:rPr>
          <w:rFonts w:hint="eastAsia" w:ascii="宋体" w:hAnsi="宋体"/>
          <w:b/>
          <w:kern w:val="0"/>
          <w:sz w:val="24"/>
          <w:szCs w:val="24"/>
          <w:highlight w:val="none"/>
        </w:rPr>
        <w:t>乙方的权利</w:t>
      </w:r>
    </w:p>
    <w:p w14:paraId="335332FC">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甲方在委托的本咨询业务范围内，授予乙方以下权利：</w:t>
      </w:r>
    </w:p>
    <w:p w14:paraId="3D5495D4">
      <w:pPr>
        <w:pStyle w:val="32"/>
        <w:widowControl/>
        <w:numPr>
          <w:ilvl w:val="0"/>
          <w:numId w:val="8"/>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乙方在咨询过程中，可就甲方提供的资料不明确的问题提出书面报告。</w:t>
      </w:r>
    </w:p>
    <w:p w14:paraId="421221C0">
      <w:pPr>
        <w:pStyle w:val="32"/>
        <w:widowControl/>
        <w:numPr>
          <w:ilvl w:val="0"/>
          <w:numId w:val="8"/>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乙方在咨询过程中，有权对第三人提出与本咨询业务有关的问题进行核对或查问。</w:t>
      </w:r>
    </w:p>
    <w:p w14:paraId="2F64F6DE">
      <w:pPr>
        <w:pStyle w:val="32"/>
        <w:widowControl/>
        <w:numPr>
          <w:ilvl w:val="0"/>
          <w:numId w:val="8"/>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乙方在咨询过程中，有到工程现场勘察的权利。</w:t>
      </w:r>
    </w:p>
    <w:p w14:paraId="63AC125A">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hint="eastAsia" w:ascii="宋体" w:hAnsi="宋体"/>
          <w:b/>
          <w:bCs/>
          <w:smallCaps/>
          <w:kern w:val="0"/>
          <w:sz w:val="24"/>
          <w:szCs w:val="24"/>
          <w:highlight w:val="none"/>
        </w:rPr>
        <w:t>甲方的权利</w:t>
      </w:r>
    </w:p>
    <w:p w14:paraId="3F7F43F8">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甲方有下列权利：</w:t>
      </w:r>
    </w:p>
    <w:p w14:paraId="26742224">
      <w:pPr>
        <w:pStyle w:val="32"/>
        <w:widowControl/>
        <w:numPr>
          <w:ilvl w:val="0"/>
          <w:numId w:val="9"/>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甲方有权向乙方询问工作进展情况及相关的内容。</w:t>
      </w:r>
    </w:p>
    <w:p w14:paraId="1DE05A05">
      <w:pPr>
        <w:pStyle w:val="32"/>
        <w:widowControl/>
        <w:numPr>
          <w:ilvl w:val="0"/>
          <w:numId w:val="9"/>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甲方有权阐述对具体问题的意见和建议。</w:t>
      </w:r>
    </w:p>
    <w:p w14:paraId="565022F4">
      <w:pPr>
        <w:pStyle w:val="32"/>
        <w:widowControl/>
        <w:numPr>
          <w:ilvl w:val="0"/>
          <w:numId w:val="9"/>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当甲方认定咨询专业人员不按咨询合同履行其职责，或与第三人串通给甲方造成经济损失的，甲方有权要求</w:t>
      </w:r>
      <w:r>
        <w:rPr>
          <w:rFonts w:hint="eastAsia" w:ascii="宋体" w:hAnsi="宋体"/>
          <w:kern w:val="0"/>
          <w:sz w:val="24"/>
          <w:szCs w:val="24"/>
          <w:highlight w:val="none"/>
          <w:lang w:val="en-US" w:eastAsia="zh-CN"/>
        </w:rPr>
        <w:t>乙方</w:t>
      </w:r>
      <w:r>
        <w:rPr>
          <w:rFonts w:ascii="宋体" w:hAnsi="宋体"/>
          <w:kern w:val="0"/>
          <w:sz w:val="24"/>
          <w:szCs w:val="24"/>
          <w:highlight w:val="none"/>
        </w:rPr>
        <w:t>更换咨询专业人员，并</w:t>
      </w:r>
      <w:r>
        <w:rPr>
          <w:rFonts w:hint="eastAsia" w:ascii="宋体" w:hAnsi="宋体"/>
          <w:kern w:val="0"/>
          <w:sz w:val="24"/>
          <w:szCs w:val="24"/>
          <w:highlight w:val="none"/>
          <w:lang w:val="en-US" w:eastAsia="zh-CN"/>
        </w:rPr>
        <w:t>有权</w:t>
      </w:r>
      <w:r>
        <w:rPr>
          <w:rFonts w:ascii="宋体" w:hAnsi="宋体"/>
          <w:kern w:val="0"/>
          <w:sz w:val="24"/>
          <w:szCs w:val="24"/>
          <w:highlight w:val="none"/>
        </w:rPr>
        <w:t>要求乙方承担相应的赔偿责任。</w:t>
      </w:r>
    </w:p>
    <w:p w14:paraId="50B40E74">
      <w:pPr>
        <w:pStyle w:val="32"/>
        <w:widowControl/>
        <w:numPr>
          <w:ilvl w:val="0"/>
          <w:numId w:val="9"/>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甲方拥有乙方交付</w:t>
      </w:r>
      <w:r>
        <w:rPr>
          <w:rFonts w:hint="eastAsia" w:ascii="宋体" w:hAnsi="宋体"/>
          <w:snapToGrid w:val="0"/>
          <w:kern w:val="0"/>
          <w:sz w:val="24"/>
          <w:highlight w:val="none"/>
          <w:lang w:val="en-US" w:eastAsia="zh-CN"/>
        </w:rPr>
        <w:t>工程造价咨询</w:t>
      </w:r>
      <w:r>
        <w:rPr>
          <w:rFonts w:ascii="宋体" w:hAnsi="宋体"/>
          <w:kern w:val="0"/>
          <w:sz w:val="24"/>
          <w:szCs w:val="24"/>
          <w:highlight w:val="none"/>
        </w:rPr>
        <w:t>成果</w:t>
      </w:r>
      <w:r>
        <w:rPr>
          <w:rFonts w:hint="eastAsia" w:ascii="宋体" w:hAnsi="宋体" w:cs="宋体"/>
          <w:color w:val="000000"/>
          <w:kern w:val="0"/>
          <w:sz w:val="24"/>
          <w:szCs w:val="24"/>
          <w:highlight w:val="none"/>
          <w:lang w:val="en-US" w:eastAsia="zh-CN"/>
        </w:rPr>
        <w:t>文件</w:t>
      </w:r>
      <w:r>
        <w:rPr>
          <w:rFonts w:ascii="宋体" w:hAnsi="宋体"/>
          <w:kern w:val="0"/>
          <w:sz w:val="24"/>
          <w:szCs w:val="24"/>
          <w:highlight w:val="none"/>
        </w:rPr>
        <w:t>及因履行本合同所产生的相关资料的所有权和知识产权。</w:t>
      </w:r>
    </w:p>
    <w:p w14:paraId="33C205AC">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ascii="宋体" w:hAnsi="宋体"/>
          <w:b/>
          <w:bCs/>
          <w:smallCaps/>
          <w:kern w:val="0"/>
          <w:sz w:val="24"/>
          <w:szCs w:val="24"/>
          <w:highlight w:val="none"/>
        </w:rPr>
        <w:t>乙方的责任</w:t>
      </w:r>
    </w:p>
    <w:p w14:paraId="494F583F">
      <w:pPr>
        <w:pStyle w:val="32"/>
        <w:widowControl/>
        <w:numPr>
          <w:ilvl w:val="1"/>
          <w:numId w:val="5"/>
        </w:numPr>
        <w:tabs>
          <w:tab w:val="left" w:pos="1276"/>
        </w:tabs>
        <w:adjustRightInd w:val="0"/>
        <w:snapToGrid w:val="0"/>
        <w:spacing w:before="240" w:beforeLines="100" w:after="240"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乙方的责任期即建设工程造价咨询</w:t>
      </w:r>
      <w:r>
        <w:rPr>
          <w:rFonts w:hint="eastAsia" w:ascii="宋体" w:hAnsi="宋体"/>
          <w:snapToGrid w:val="0"/>
          <w:kern w:val="0"/>
          <w:sz w:val="24"/>
          <w:highlight w:val="none"/>
        </w:rPr>
        <w:t>服务</w:t>
      </w:r>
      <w:r>
        <w:rPr>
          <w:rFonts w:hint="eastAsia" w:ascii="宋体" w:hAnsi="宋体"/>
          <w:snapToGrid w:val="0"/>
          <w:kern w:val="0"/>
          <w:sz w:val="24"/>
          <w:highlight w:val="none"/>
          <w:lang w:val="en-US" w:eastAsia="zh-CN"/>
        </w:rPr>
        <w:t>期限</w:t>
      </w:r>
      <w:r>
        <w:rPr>
          <w:rFonts w:ascii="宋体" w:hAnsi="宋体"/>
          <w:kern w:val="0"/>
          <w:sz w:val="24"/>
          <w:szCs w:val="24"/>
          <w:highlight w:val="none"/>
        </w:rPr>
        <w:t>。如因非乙方的责任造成进度的推迟或延误而超过约定的日期，双方应进一步约定相应延长</w:t>
      </w:r>
      <w:r>
        <w:rPr>
          <w:rFonts w:hint="eastAsia" w:ascii="宋体" w:hAnsi="宋体"/>
          <w:snapToGrid w:val="0"/>
          <w:kern w:val="0"/>
          <w:sz w:val="24"/>
          <w:highlight w:val="none"/>
        </w:rPr>
        <w:t>咨询服务</w:t>
      </w:r>
      <w:r>
        <w:rPr>
          <w:rFonts w:hint="eastAsia" w:ascii="宋体" w:hAnsi="宋体"/>
          <w:snapToGrid w:val="0"/>
          <w:kern w:val="0"/>
          <w:sz w:val="24"/>
          <w:highlight w:val="none"/>
          <w:lang w:val="en-US" w:eastAsia="zh-CN"/>
        </w:rPr>
        <w:t>期限</w:t>
      </w:r>
      <w:r>
        <w:rPr>
          <w:rFonts w:ascii="宋体" w:hAnsi="宋体"/>
          <w:kern w:val="0"/>
          <w:sz w:val="24"/>
          <w:szCs w:val="24"/>
          <w:highlight w:val="none"/>
        </w:rPr>
        <w:t>。</w:t>
      </w:r>
      <w:r>
        <w:rPr>
          <w:rFonts w:hint="eastAsia" w:ascii="宋体" w:hAnsi="宋体"/>
          <w:szCs w:val="24"/>
          <w:highlight w:val="none"/>
          <w:lang w:val="en-US" w:eastAsia="zh-CN"/>
        </w:rPr>
        <w:t>乙方</w:t>
      </w:r>
      <w:r>
        <w:rPr>
          <w:rFonts w:hint="eastAsia" w:ascii="宋体" w:hAnsi="宋体"/>
          <w:snapToGrid w:val="0"/>
          <w:kern w:val="0"/>
          <w:sz w:val="24"/>
          <w:highlight w:val="none"/>
        </w:rPr>
        <w:t>应在责任期内完成咨询工作，并应向</w:t>
      </w:r>
      <w:r>
        <w:rPr>
          <w:rFonts w:hint="eastAsia" w:ascii="宋体" w:hAnsi="宋体"/>
          <w:snapToGrid w:val="0"/>
          <w:kern w:val="0"/>
          <w:sz w:val="24"/>
          <w:highlight w:val="none"/>
          <w:lang w:val="en-US" w:eastAsia="zh-CN"/>
        </w:rPr>
        <w:t>甲方</w:t>
      </w:r>
      <w:r>
        <w:rPr>
          <w:rFonts w:hint="eastAsia" w:ascii="宋体" w:hAnsi="宋体"/>
          <w:snapToGrid w:val="0"/>
          <w:kern w:val="0"/>
          <w:sz w:val="24"/>
          <w:highlight w:val="none"/>
        </w:rPr>
        <w:t>提交一式【】份的</w:t>
      </w:r>
      <w:r>
        <w:rPr>
          <w:rFonts w:hint="eastAsia" w:ascii="宋体" w:hAnsi="宋体"/>
          <w:snapToGrid w:val="0"/>
          <w:kern w:val="0"/>
          <w:sz w:val="24"/>
          <w:highlight w:val="none"/>
          <w:lang w:val="en-US" w:eastAsia="zh-CN"/>
        </w:rPr>
        <w:t>工程造价咨询</w:t>
      </w:r>
      <w:r>
        <w:rPr>
          <w:rFonts w:hint="eastAsia" w:ascii="宋体" w:hAnsi="宋体" w:cs="宋体"/>
          <w:color w:val="000000"/>
          <w:kern w:val="0"/>
          <w:sz w:val="24"/>
          <w:szCs w:val="24"/>
          <w:highlight w:val="none"/>
          <w:lang w:val="en-US" w:eastAsia="zh-CN"/>
        </w:rPr>
        <w:t>成果文件</w:t>
      </w:r>
      <w:r>
        <w:rPr>
          <w:rFonts w:hint="eastAsia" w:ascii="宋体" w:hAnsi="宋体"/>
          <w:snapToGrid w:val="0"/>
          <w:kern w:val="0"/>
          <w:sz w:val="24"/>
          <w:highlight w:val="none"/>
        </w:rPr>
        <w:t>。</w:t>
      </w:r>
      <w:r>
        <w:rPr>
          <w:rFonts w:hint="eastAsia" w:ascii="宋体" w:hAnsi="宋体"/>
          <w:snapToGrid w:val="0"/>
          <w:kern w:val="0"/>
          <w:sz w:val="24"/>
          <w:highlight w:val="none"/>
          <w:lang w:val="en-US" w:eastAsia="zh-CN"/>
        </w:rPr>
        <w:t>乙方</w:t>
      </w:r>
      <w:r>
        <w:rPr>
          <w:rFonts w:hint="eastAsia" w:ascii="宋体" w:hAnsi="宋体"/>
          <w:snapToGrid w:val="0"/>
          <w:kern w:val="0"/>
          <w:sz w:val="24"/>
          <w:highlight w:val="none"/>
        </w:rPr>
        <w:t>完成委托书约定的咨询服务工作内容后，须无条件地归还</w:t>
      </w:r>
      <w:r>
        <w:rPr>
          <w:rFonts w:hint="eastAsia" w:ascii="宋体" w:hAnsi="宋体"/>
          <w:snapToGrid w:val="0"/>
          <w:kern w:val="0"/>
          <w:sz w:val="24"/>
          <w:highlight w:val="none"/>
          <w:lang w:val="en-US" w:eastAsia="zh-CN"/>
        </w:rPr>
        <w:t>甲方</w:t>
      </w:r>
      <w:r>
        <w:rPr>
          <w:rFonts w:hint="eastAsia" w:ascii="宋体" w:hAnsi="宋体"/>
          <w:snapToGrid w:val="0"/>
          <w:kern w:val="0"/>
          <w:sz w:val="24"/>
          <w:highlight w:val="none"/>
        </w:rPr>
        <w:t>提供的一切资料。</w:t>
      </w:r>
    </w:p>
    <w:p w14:paraId="5438EBF6">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责任期内，应当履行建设工程造价咨询合同中约定的义务，乙方及其工作人员在工程咨询过程中，不得与工程承包人进行不正当接触，不得收取不当利益。如因乙方的单方过失造成甲方的经济损失，应当向甲方进行赔偿。累计赔偿总额不应超过建设工程造价咨询酬金总额。</w:t>
      </w:r>
    </w:p>
    <w:p w14:paraId="0D1B88E3">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乙方对甲方或第三人所提出的问题不能及时核对</w:t>
      </w:r>
      <w:r>
        <w:rPr>
          <w:rFonts w:ascii="宋体" w:hAnsi="宋体" w:eastAsia="宋体"/>
          <w:kern w:val="0"/>
          <w:sz w:val="24"/>
          <w:szCs w:val="24"/>
          <w:highlight w:val="none"/>
        </w:rPr>
        <w:t>或答复</w:t>
      </w:r>
      <w:r>
        <w:rPr>
          <w:rFonts w:hint="default" w:ascii="宋体" w:hAnsi="宋体" w:eastAsia="宋体"/>
          <w:kern w:val="0"/>
          <w:sz w:val="24"/>
          <w:szCs w:val="24"/>
          <w:highlight w:val="none"/>
          <w:lang w:val="en-US" w:eastAsia="zh-CN"/>
        </w:rPr>
        <w:t>错误的</w:t>
      </w:r>
      <w:r>
        <w:rPr>
          <w:rFonts w:ascii="宋体" w:hAnsi="宋体" w:eastAsia="宋体"/>
          <w:kern w:val="0"/>
          <w:sz w:val="24"/>
          <w:szCs w:val="24"/>
          <w:highlight w:val="none"/>
        </w:rPr>
        <w:t>，导致合</w:t>
      </w:r>
      <w:r>
        <w:rPr>
          <w:rFonts w:ascii="宋体" w:hAnsi="宋体"/>
          <w:kern w:val="0"/>
          <w:sz w:val="24"/>
          <w:szCs w:val="24"/>
          <w:highlight w:val="none"/>
        </w:rPr>
        <w:t>同不能全部或部分履行，乙方应承担责任。</w:t>
      </w:r>
    </w:p>
    <w:p w14:paraId="5860CF0C">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乙方向甲方提出赔偿要求或其他要求不能成立时，则乙方应补偿甲方由于该赔偿或其他要求所支出的合理必要费用。</w:t>
      </w:r>
    </w:p>
    <w:p w14:paraId="21915566">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ascii="宋体" w:hAnsi="宋体"/>
          <w:b/>
          <w:bCs/>
          <w:smallCaps/>
          <w:kern w:val="0"/>
          <w:sz w:val="24"/>
          <w:szCs w:val="24"/>
          <w:highlight w:val="none"/>
        </w:rPr>
        <w:t>甲方的责任</w:t>
      </w:r>
    </w:p>
    <w:p w14:paraId="5F8CD9BD">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甲方应当履行建设工程造价咨询合同约定的义务，如有违反则应当承担违约责任，赔偿给乙方造成的损失。</w:t>
      </w:r>
    </w:p>
    <w:p w14:paraId="23DADE79">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甲方如果向乙方提出赔偿或其他要求不能成立时，则甲方应补偿乙方由于该赔偿或其他要求所支出的合理必要费用。</w:t>
      </w:r>
    </w:p>
    <w:p w14:paraId="14E51C09">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ascii="宋体" w:hAnsi="宋体"/>
          <w:b/>
          <w:bCs/>
          <w:smallCaps/>
          <w:kern w:val="0"/>
          <w:sz w:val="24"/>
          <w:szCs w:val="24"/>
          <w:highlight w:val="none"/>
        </w:rPr>
        <w:t>合同生效，变更与终止</w:t>
      </w:r>
    </w:p>
    <w:p w14:paraId="3CB92CB0">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本合同自</w:t>
      </w:r>
      <w:r>
        <w:rPr>
          <w:rFonts w:hint="eastAsia" w:ascii="宋体" w:hAnsi="宋体"/>
          <w:kern w:val="0"/>
          <w:sz w:val="24"/>
          <w:szCs w:val="24"/>
          <w:highlight w:val="none"/>
        </w:rPr>
        <w:t>双方</w:t>
      </w:r>
      <w:r>
        <w:rPr>
          <w:rFonts w:hint="default" w:ascii="宋体" w:hAnsi="宋体"/>
          <w:kern w:val="0"/>
          <w:sz w:val="24"/>
          <w:szCs w:val="24"/>
          <w:highlight w:val="none"/>
          <w:lang w:val="en-US" w:eastAsia="zh-CN"/>
        </w:rPr>
        <w:t>法定代表人或委托代理人</w:t>
      </w:r>
      <w:r>
        <w:rPr>
          <w:rFonts w:ascii="宋体" w:hAnsi="宋体"/>
          <w:kern w:val="0"/>
          <w:sz w:val="24"/>
          <w:szCs w:val="24"/>
          <w:highlight w:val="none"/>
        </w:rPr>
        <w:t>签字</w:t>
      </w:r>
      <w:r>
        <w:rPr>
          <w:rFonts w:hint="eastAsia" w:ascii="宋体" w:hAnsi="宋体"/>
          <w:kern w:val="0"/>
          <w:sz w:val="24"/>
          <w:szCs w:val="24"/>
          <w:highlight w:val="none"/>
          <w:lang w:val="en-US" w:eastAsia="zh-CN"/>
        </w:rPr>
        <w:t>并加</w:t>
      </w:r>
      <w:r>
        <w:rPr>
          <w:rFonts w:ascii="宋体" w:hAnsi="宋体"/>
          <w:kern w:val="0"/>
          <w:sz w:val="24"/>
          <w:szCs w:val="24"/>
          <w:highlight w:val="none"/>
        </w:rPr>
        <w:t>盖</w:t>
      </w:r>
      <w:r>
        <w:rPr>
          <w:rFonts w:hint="eastAsia" w:ascii="宋体" w:hAnsi="宋体"/>
          <w:kern w:val="0"/>
          <w:sz w:val="24"/>
          <w:szCs w:val="24"/>
          <w:highlight w:val="none"/>
          <w:lang w:val="en-US" w:eastAsia="zh-CN"/>
        </w:rPr>
        <w:t>公</w:t>
      </w:r>
      <w:r>
        <w:rPr>
          <w:rFonts w:ascii="宋体" w:hAnsi="宋体"/>
          <w:kern w:val="0"/>
          <w:sz w:val="24"/>
          <w:szCs w:val="24"/>
          <w:highlight w:val="none"/>
        </w:rPr>
        <w:t>章之日起生效。</w:t>
      </w:r>
    </w:p>
    <w:p w14:paraId="29FC8D65">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由于非乙方原因使乙方工作受到阻碍或延误以致增加了工作量或持续时间，则乙方应当将此情况与可能产生的影响在发生后</w:t>
      </w:r>
      <w:r>
        <w:rPr>
          <w:rFonts w:hint="eastAsia" w:ascii="宋体" w:hAnsi="宋体"/>
          <w:kern w:val="0"/>
          <w:sz w:val="24"/>
          <w:szCs w:val="24"/>
          <w:highlight w:val="none"/>
          <w:u w:val="single"/>
        </w:rPr>
        <w:t>7</w:t>
      </w:r>
      <w:r>
        <w:rPr>
          <w:rFonts w:ascii="宋体" w:hAnsi="宋体"/>
          <w:kern w:val="0"/>
          <w:sz w:val="24"/>
          <w:szCs w:val="24"/>
          <w:highlight w:val="none"/>
        </w:rPr>
        <w:t>天内及时书面通知甲方。由此增加的工作量视为额外服务，完成建设工程造价咨询工作的时间应当相应延长，并得到额外的酬金。否则，视为乙方放弃增加的额外服务酬金。</w:t>
      </w:r>
    </w:p>
    <w:p w14:paraId="482D18A0">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当事人一方要求变更或解除合同时，则应当在14日前书面通知对方；因变更或解除合同使一方遭受损失的，应由责任方负责赔偿。</w:t>
      </w:r>
    </w:p>
    <w:p w14:paraId="5E19E08A">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乙方由于甲方原因暂停或终止执行本咨询业务，由此而增加的恢复执行本造价咨询业务的工作，应视为额外服务，有权得到额外的时间和酬金。</w:t>
      </w:r>
    </w:p>
    <w:p w14:paraId="2AF21C8B">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变更或解除合同的通知或协议应当采取书面形式，新的协议未达成之前，原合同仍然有效。</w:t>
      </w:r>
    </w:p>
    <w:p w14:paraId="2B3B294F">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ascii="宋体" w:hAnsi="宋体"/>
          <w:b/>
          <w:bCs/>
          <w:smallCaps/>
          <w:kern w:val="0"/>
          <w:sz w:val="24"/>
          <w:szCs w:val="24"/>
          <w:highlight w:val="none"/>
        </w:rPr>
        <w:t>咨询业务的酬金</w:t>
      </w:r>
    </w:p>
    <w:p w14:paraId="1134CA0E">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本合同项下的咨询业务酬金，按照建设工程造价咨询合同专用条款约定的方法计取，并按约定的时间和数额支付。若乙方未按照本合同的约定履行相关义务或未能完全履行相关义务的，</w:t>
      </w:r>
      <w:r>
        <w:rPr>
          <w:rFonts w:hint="eastAsia" w:ascii="宋体" w:hAnsi="宋体"/>
          <w:kern w:val="0"/>
          <w:sz w:val="24"/>
          <w:szCs w:val="24"/>
          <w:highlight w:val="none"/>
        </w:rPr>
        <w:t>甲方</w:t>
      </w:r>
      <w:r>
        <w:rPr>
          <w:rFonts w:ascii="宋体" w:hAnsi="宋体"/>
          <w:kern w:val="0"/>
          <w:sz w:val="24"/>
          <w:szCs w:val="24"/>
          <w:highlight w:val="none"/>
        </w:rPr>
        <w:t>有权暂停支付或扣减相关酬金。</w:t>
      </w:r>
    </w:p>
    <w:p w14:paraId="7A5B4B78">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合同约定的酬金支付期限届满前_</w:t>
      </w:r>
      <w:r>
        <w:rPr>
          <w:rFonts w:hint="eastAsia" w:ascii="宋体" w:hAnsi="宋体"/>
          <w:kern w:val="0"/>
          <w:sz w:val="24"/>
          <w:szCs w:val="24"/>
          <w:highlight w:val="none"/>
          <w:u w:val="single"/>
        </w:rPr>
        <w:t>10 个</w:t>
      </w:r>
      <w:r>
        <w:rPr>
          <w:rFonts w:hint="eastAsia" w:ascii="宋体" w:hAnsi="宋体"/>
          <w:kern w:val="0"/>
          <w:sz w:val="24"/>
          <w:szCs w:val="24"/>
          <w:highlight w:val="none"/>
        </w:rPr>
        <w:t>工作</w:t>
      </w:r>
      <w:r>
        <w:rPr>
          <w:rFonts w:ascii="宋体" w:hAnsi="宋体"/>
          <w:kern w:val="0"/>
          <w:sz w:val="24"/>
          <w:szCs w:val="24"/>
          <w:highlight w:val="none"/>
        </w:rPr>
        <w:t>日，乙方应向甲方发出支付通知书并提供相应的合法发票。支付酬金前，乙方应向甲方提交支付申请，经甲方审核无误后支付；如对酬金或部分酬金有异议，甲方应在收到支付申请之日起7个工作日内通知乙方，但不得拖延其无异议酬金项目的支付；对有异议部分，接到甲方通知后，乙方应立即核实处理。</w:t>
      </w:r>
    </w:p>
    <w:p w14:paraId="6716DE62">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支付建设工程造价咨询酬金所采取的货币币种、汇率由合同专用条款约定。</w:t>
      </w:r>
    </w:p>
    <w:p w14:paraId="7E2029F5">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ascii="宋体" w:hAnsi="宋体"/>
          <w:b/>
          <w:bCs/>
          <w:smallCaps/>
          <w:kern w:val="0"/>
          <w:sz w:val="24"/>
          <w:szCs w:val="24"/>
          <w:highlight w:val="none"/>
        </w:rPr>
        <w:t>其他</w:t>
      </w:r>
    </w:p>
    <w:p w14:paraId="35998B0E">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因本咨询业务的需要，乙方需在合同约定外的地方考察，经甲方书面同意，乙方在考察期间产生的合理的交通费、住宿费、餐饮费由甲方负责。</w:t>
      </w:r>
    </w:p>
    <w:p w14:paraId="00E06709">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乙方如需外聘专家协助，在委托的本咨询业务范围内其费用由乙方承担；在委托的本咨询业务范围以外，且经甲方书面同意后，产生的外聘专家费用由甲方承担。</w:t>
      </w:r>
    </w:p>
    <w:p w14:paraId="079FF95D">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未经对方的书面同意，各方均不得转让合同约定的权利和义务。</w:t>
      </w:r>
    </w:p>
    <w:p w14:paraId="74BAB09B">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除甲方书面同意外，乙方及咨询专业人员不应接受本咨询合同约定以外的与工程造价咨询项目有关的任何报酬。</w:t>
      </w:r>
    </w:p>
    <w:p w14:paraId="01A8906C">
      <w:pPr>
        <w:widowControl/>
        <w:adjustRightInd w:val="0"/>
        <w:snapToGrid w:val="0"/>
        <w:spacing w:before="312" w:beforeLines="100" w:after="312" w:afterLines="100" w:line="360" w:lineRule="auto"/>
        <w:ind w:left="1275" w:leftChars="607"/>
        <w:jc w:val="left"/>
        <w:rPr>
          <w:rFonts w:ascii="宋体" w:hAnsi="宋体"/>
          <w:kern w:val="0"/>
          <w:sz w:val="24"/>
          <w:szCs w:val="24"/>
          <w:highlight w:val="none"/>
        </w:rPr>
      </w:pPr>
      <w:r>
        <w:rPr>
          <w:rFonts w:ascii="宋体" w:hAnsi="宋体"/>
          <w:kern w:val="0"/>
          <w:sz w:val="24"/>
          <w:szCs w:val="24"/>
          <w:highlight w:val="none"/>
        </w:rPr>
        <w:t>乙方不得参与可能与合同规定的与甲方利益相冲突的任何活动。</w:t>
      </w:r>
    </w:p>
    <w:p w14:paraId="236A3F93">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工程造价咨询服务成果</w:t>
      </w:r>
      <w:r>
        <w:rPr>
          <w:rFonts w:hint="eastAsia" w:ascii="宋体" w:hAnsi="宋体"/>
          <w:kern w:val="0"/>
          <w:sz w:val="24"/>
          <w:szCs w:val="24"/>
          <w:highlight w:val="none"/>
          <w:lang w:val="en-US" w:eastAsia="zh-CN"/>
        </w:rPr>
        <w:t>文件</w:t>
      </w:r>
      <w:r>
        <w:rPr>
          <w:rFonts w:ascii="宋体" w:hAnsi="宋体"/>
          <w:kern w:val="0"/>
          <w:sz w:val="24"/>
          <w:szCs w:val="24"/>
          <w:highlight w:val="none"/>
        </w:rPr>
        <w:t>质量标准，由双方在专用条款中约定。</w:t>
      </w:r>
    </w:p>
    <w:p w14:paraId="016018AC">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造价咨询成果</w:t>
      </w:r>
      <w:r>
        <w:rPr>
          <w:rFonts w:hint="eastAsia" w:ascii="宋体" w:hAnsi="宋体"/>
          <w:kern w:val="0"/>
          <w:sz w:val="24"/>
          <w:szCs w:val="24"/>
          <w:highlight w:val="none"/>
          <w:lang w:val="en-US" w:eastAsia="zh-CN"/>
        </w:rPr>
        <w:t>文件</w:t>
      </w:r>
      <w:r>
        <w:rPr>
          <w:rFonts w:ascii="宋体" w:hAnsi="宋体"/>
          <w:kern w:val="0"/>
          <w:sz w:val="24"/>
          <w:szCs w:val="24"/>
          <w:highlight w:val="none"/>
        </w:rPr>
        <w:t>的验收及费用支付，由双方在专用条款中约定。</w:t>
      </w:r>
    </w:p>
    <w:p w14:paraId="1A5B7B23">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乙方在咨询过程中应坚守合法性原则，对工程签证或补充协议有违反法律禁止性规定的，应予排除。</w:t>
      </w:r>
    </w:p>
    <w:p w14:paraId="39AF2D01">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ascii="宋体" w:hAnsi="宋体"/>
          <w:b/>
          <w:bCs/>
          <w:smallCaps/>
          <w:kern w:val="0"/>
          <w:sz w:val="24"/>
          <w:szCs w:val="24"/>
          <w:highlight w:val="none"/>
        </w:rPr>
        <w:t>合同争议的解决</w:t>
      </w:r>
    </w:p>
    <w:p w14:paraId="356E139A">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因违约或终止合同而引起的损失和损害的赔偿，甲方与乙方之间应当协商解决；如未能达成一致，可提交有关主管部门调解；协商或调解不成的，由双方在专用条款中约定以下</w:t>
      </w:r>
      <w:r>
        <w:rPr>
          <w:rFonts w:hint="eastAsia" w:ascii="宋体" w:hAnsi="宋体"/>
          <w:kern w:val="0"/>
          <w:sz w:val="24"/>
          <w:szCs w:val="24"/>
          <w:highlight w:val="none"/>
        </w:rPr>
        <w:t>第</w:t>
      </w:r>
      <w:r>
        <w:rPr>
          <w:rFonts w:hint="eastAsia" w:ascii="宋体" w:hAnsi="宋体"/>
          <w:kern w:val="0"/>
          <w:sz w:val="24"/>
          <w:szCs w:val="24"/>
          <w:highlight w:val="none"/>
          <w:u w:val="single"/>
        </w:rPr>
        <w:t xml:space="preserve"> 2 </w:t>
      </w:r>
      <w:r>
        <w:rPr>
          <w:rFonts w:ascii="宋体" w:hAnsi="宋体"/>
          <w:kern w:val="0"/>
          <w:sz w:val="24"/>
          <w:szCs w:val="24"/>
          <w:highlight w:val="none"/>
        </w:rPr>
        <w:t>种方式解决争议：</w:t>
      </w:r>
    </w:p>
    <w:p w14:paraId="6E3170B7">
      <w:pPr>
        <w:numPr>
          <w:ilvl w:val="0"/>
          <w:numId w:val="10"/>
        </w:numPr>
        <w:tabs>
          <w:tab w:val="left" w:pos="1276"/>
        </w:tabs>
        <w:autoSpaceDE w:val="0"/>
        <w:autoSpaceDN w:val="0"/>
        <w:adjustRightInd w:val="0"/>
        <w:snapToGrid w:val="0"/>
        <w:spacing w:line="360" w:lineRule="auto"/>
        <w:ind w:left="1390" w:leftChars="-1" w:hanging="1392" w:hangingChars="580"/>
        <w:jc w:val="left"/>
        <w:rPr>
          <w:rFonts w:ascii="宋体" w:hAnsi="宋体"/>
          <w:sz w:val="24"/>
          <w:szCs w:val="24"/>
          <w:highlight w:val="none"/>
        </w:rPr>
      </w:pPr>
      <w:r>
        <w:rPr>
          <w:rFonts w:ascii="宋体" w:hAnsi="宋体"/>
          <w:sz w:val="24"/>
          <w:szCs w:val="24"/>
          <w:highlight w:val="none"/>
        </w:rPr>
        <w:t>向广州仲裁委员会申请仲裁；</w:t>
      </w:r>
    </w:p>
    <w:p w14:paraId="1F9970C4">
      <w:pPr>
        <w:numPr>
          <w:ilvl w:val="0"/>
          <w:numId w:val="10"/>
        </w:numPr>
        <w:tabs>
          <w:tab w:val="left" w:pos="1276"/>
        </w:tabs>
        <w:autoSpaceDE w:val="0"/>
        <w:autoSpaceDN w:val="0"/>
        <w:adjustRightInd w:val="0"/>
        <w:snapToGrid w:val="0"/>
        <w:spacing w:line="360" w:lineRule="auto"/>
        <w:ind w:left="1390" w:leftChars="-1" w:hanging="1392" w:hangingChars="580"/>
        <w:jc w:val="left"/>
        <w:rPr>
          <w:rFonts w:ascii="宋体" w:hAnsi="宋体"/>
          <w:sz w:val="24"/>
          <w:szCs w:val="24"/>
          <w:highlight w:val="none"/>
        </w:rPr>
      </w:pPr>
      <w:r>
        <w:rPr>
          <w:rFonts w:ascii="宋体" w:hAnsi="宋体"/>
          <w:sz w:val="24"/>
          <w:szCs w:val="24"/>
          <w:highlight w:val="none"/>
        </w:rPr>
        <w:t>向</w:t>
      </w:r>
      <w:r>
        <w:rPr>
          <w:rFonts w:ascii="宋体" w:hAnsi="宋体"/>
          <w:sz w:val="24"/>
          <w:szCs w:val="24"/>
          <w:highlight w:val="none"/>
          <w:u w:val="single"/>
        </w:rPr>
        <w:t>（项目所在地）</w:t>
      </w:r>
      <w:r>
        <w:rPr>
          <w:rFonts w:ascii="宋体" w:hAnsi="宋体"/>
          <w:sz w:val="24"/>
          <w:szCs w:val="24"/>
          <w:highlight w:val="none"/>
        </w:rPr>
        <w:t>人民法院起诉。</w:t>
      </w:r>
    </w:p>
    <w:p w14:paraId="1410E999">
      <w:pPr>
        <w:pStyle w:val="32"/>
        <w:widowControl/>
        <w:tabs>
          <w:tab w:val="left" w:pos="1276"/>
        </w:tabs>
        <w:adjustRightInd w:val="0"/>
        <w:snapToGrid w:val="0"/>
        <w:spacing w:before="312" w:beforeLines="100" w:after="312" w:afterLines="100" w:line="360" w:lineRule="auto"/>
        <w:ind w:firstLine="0" w:firstLineChars="0"/>
        <w:jc w:val="left"/>
        <w:rPr>
          <w:rFonts w:ascii="Times New Roman" w:hAnsi="Times New Roman"/>
          <w:kern w:val="0"/>
          <w:sz w:val="24"/>
          <w:szCs w:val="24"/>
          <w:highlight w:val="none"/>
        </w:rPr>
      </w:pPr>
    </w:p>
    <w:p w14:paraId="4B61F33E">
      <w:pPr>
        <w:pStyle w:val="32"/>
        <w:widowControl/>
        <w:tabs>
          <w:tab w:val="left" w:pos="1276"/>
        </w:tabs>
        <w:adjustRightInd w:val="0"/>
        <w:snapToGrid w:val="0"/>
        <w:spacing w:before="312" w:beforeLines="100" w:after="312" w:afterLines="100" w:line="360" w:lineRule="auto"/>
        <w:ind w:firstLine="0" w:firstLineChars="0"/>
        <w:jc w:val="left"/>
        <w:rPr>
          <w:rFonts w:ascii="Times New Roman" w:hAnsi="Times New Roman"/>
          <w:kern w:val="0"/>
          <w:sz w:val="24"/>
          <w:szCs w:val="24"/>
          <w:highlight w:val="none"/>
        </w:rPr>
      </w:pPr>
    </w:p>
    <w:p w14:paraId="56D8FD74">
      <w:pPr>
        <w:pStyle w:val="32"/>
        <w:widowControl/>
        <w:tabs>
          <w:tab w:val="left" w:pos="1274"/>
        </w:tabs>
        <w:adjustRightInd w:val="0"/>
        <w:snapToGrid w:val="0"/>
        <w:spacing w:before="312" w:beforeLines="100" w:after="312" w:afterLines="100" w:line="360" w:lineRule="auto"/>
        <w:ind w:firstLine="0" w:firstLineChars="0"/>
        <w:jc w:val="center"/>
        <w:rPr>
          <w:rFonts w:ascii="宋体" w:hAnsi="宋体"/>
          <w:b/>
          <w:bCs/>
          <w:smallCaps/>
          <w:kern w:val="0"/>
          <w:sz w:val="36"/>
          <w:szCs w:val="36"/>
          <w:highlight w:val="none"/>
        </w:rPr>
      </w:pPr>
      <w:r>
        <w:rPr>
          <w:rFonts w:ascii="Times New Roman" w:hAnsi="Times New Roman"/>
          <w:kern w:val="0"/>
          <w:sz w:val="24"/>
          <w:szCs w:val="24"/>
          <w:highlight w:val="none"/>
        </w:rPr>
        <w:br w:type="page"/>
      </w:r>
      <w:r>
        <w:rPr>
          <w:rFonts w:hint="eastAsia" w:ascii="宋体" w:hAnsi="宋体"/>
          <w:b/>
          <w:kern w:val="0"/>
          <w:sz w:val="36"/>
          <w:szCs w:val="36"/>
          <w:highlight w:val="none"/>
        </w:rPr>
        <w:t xml:space="preserve">第三部分   </w:t>
      </w:r>
      <w:r>
        <w:rPr>
          <w:rFonts w:hint="eastAsia" w:ascii="宋体" w:hAnsi="宋体"/>
          <w:b/>
          <w:bCs/>
          <w:smallCaps/>
          <w:kern w:val="0"/>
          <w:sz w:val="36"/>
          <w:szCs w:val="36"/>
          <w:highlight w:val="none"/>
        </w:rPr>
        <w:t>建设工程造价咨询合同专用条款</w:t>
      </w:r>
    </w:p>
    <w:p w14:paraId="3B047C2B">
      <w:pPr>
        <w:widowControl/>
        <w:tabs>
          <w:tab w:val="left" w:pos="1276"/>
        </w:tabs>
        <w:adjustRightInd w:val="0"/>
        <w:snapToGrid w:val="0"/>
        <w:spacing w:before="312" w:beforeLines="100" w:after="312" w:afterLines="100" w:line="440" w:lineRule="exact"/>
        <w:ind w:firstLine="472" w:firstLineChars="196"/>
        <w:jc w:val="left"/>
        <w:rPr>
          <w:rFonts w:ascii="宋体" w:hAnsi="宋体"/>
          <w:kern w:val="0"/>
          <w:sz w:val="24"/>
          <w:szCs w:val="24"/>
          <w:highlight w:val="none"/>
        </w:rPr>
      </w:pPr>
      <w:r>
        <w:rPr>
          <w:rFonts w:hint="eastAsia" w:ascii="宋体" w:hAnsi="宋体"/>
          <w:b/>
          <w:bCs/>
          <w:smallCaps/>
          <w:kern w:val="0"/>
          <w:sz w:val="24"/>
          <w:szCs w:val="24"/>
          <w:highlight w:val="none"/>
        </w:rPr>
        <w:t xml:space="preserve">第一条  </w:t>
      </w:r>
      <w:r>
        <w:rPr>
          <w:rFonts w:ascii="宋体" w:hAnsi="宋体"/>
          <w:b/>
          <w:bCs/>
          <w:smallCaps/>
          <w:kern w:val="0"/>
          <w:sz w:val="24"/>
          <w:szCs w:val="24"/>
          <w:highlight w:val="none"/>
        </w:rPr>
        <w:t>本合同适用的</w:t>
      </w:r>
      <w:r>
        <w:rPr>
          <w:rFonts w:hint="eastAsia" w:ascii="宋体" w:hAnsi="宋体"/>
          <w:b/>
          <w:bCs/>
          <w:smallCaps/>
          <w:kern w:val="0"/>
          <w:sz w:val="24"/>
          <w:szCs w:val="24"/>
          <w:highlight w:val="none"/>
        </w:rPr>
        <w:t>法律、法规及</w:t>
      </w:r>
      <w:r>
        <w:rPr>
          <w:rFonts w:ascii="宋体" w:hAnsi="宋体"/>
          <w:b/>
          <w:bCs/>
          <w:smallCaps/>
          <w:kern w:val="0"/>
          <w:sz w:val="24"/>
          <w:szCs w:val="24"/>
          <w:highlight w:val="none"/>
        </w:rPr>
        <w:t>工程造价计价办法和规定</w:t>
      </w:r>
      <w:r>
        <w:rPr>
          <w:rFonts w:hint="eastAsia" w:ascii="宋体" w:hAnsi="宋体"/>
          <w:b/>
          <w:bCs/>
          <w:smallCaps/>
          <w:kern w:val="0"/>
          <w:sz w:val="24"/>
          <w:szCs w:val="24"/>
          <w:highlight w:val="none"/>
        </w:rPr>
        <w:t>：</w:t>
      </w:r>
      <w:r>
        <w:rPr>
          <w:rFonts w:hint="eastAsia" w:ascii="宋体" w:hAnsi="宋体"/>
          <w:kern w:val="0"/>
          <w:sz w:val="24"/>
          <w:szCs w:val="24"/>
          <w:highlight w:val="none"/>
        </w:rPr>
        <w:t xml:space="preserve"> </w:t>
      </w:r>
    </w:p>
    <w:p w14:paraId="41B0C124">
      <w:pPr>
        <w:pStyle w:val="32"/>
        <w:widowControl/>
        <w:tabs>
          <w:tab w:val="left" w:pos="1276"/>
        </w:tabs>
        <w:adjustRightInd w:val="0"/>
        <w:snapToGrid w:val="0"/>
        <w:spacing w:before="312" w:beforeLines="100" w:after="312" w:afterLines="100" w:line="440" w:lineRule="exact"/>
        <w:ind w:firstLine="456" w:firstLineChars="190"/>
        <w:jc w:val="left"/>
        <w:rPr>
          <w:rFonts w:ascii="宋体" w:hAnsi="宋体"/>
          <w:kern w:val="0"/>
          <w:sz w:val="24"/>
          <w:szCs w:val="24"/>
          <w:highlight w:val="none"/>
        </w:rPr>
      </w:pPr>
      <w:r>
        <w:rPr>
          <w:rFonts w:hint="eastAsia" w:ascii="宋体" w:hAnsi="宋体"/>
          <w:kern w:val="0"/>
          <w:sz w:val="24"/>
          <w:szCs w:val="24"/>
          <w:highlight w:val="none"/>
        </w:rPr>
        <w:t>1.1本合同适用中华人民共和国法律、法规。</w:t>
      </w:r>
    </w:p>
    <w:p w14:paraId="4376F972">
      <w:pPr>
        <w:pStyle w:val="32"/>
        <w:widowControl/>
        <w:tabs>
          <w:tab w:val="left" w:pos="1276"/>
        </w:tabs>
        <w:adjustRightInd w:val="0"/>
        <w:snapToGrid w:val="0"/>
        <w:spacing w:before="312" w:beforeLines="100" w:after="312" w:afterLines="100" w:line="440" w:lineRule="exact"/>
        <w:ind w:firstLine="456" w:firstLineChars="190"/>
        <w:jc w:val="left"/>
        <w:rPr>
          <w:rFonts w:ascii="宋体" w:hAnsi="宋体"/>
          <w:kern w:val="0"/>
          <w:sz w:val="24"/>
          <w:szCs w:val="24"/>
          <w:highlight w:val="none"/>
        </w:rPr>
      </w:pPr>
      <w:r>
        <w:rPr>
          <w:rFonts w:hint="eastAsia" w:ascii="宋体" w:hAnsi="宋体"/>
          <w:kern w:val="0"/>
          <w:sz w:val="24"/>
          <w:szCs w:val="24"/>
          <w:highlight w:val="none"/>
        </w:rPr>
        <w:t>1.2本合同适用的工程造价计价办法和规定是：《广东省住房和城乡建设厅关于印发&lt;广东省建设工程计价依据（2018）&gt;的通知》（粤建市〔2019〕6号）及《建设工程工程量清单计价规范》（GB50500-2013）的相关规定。国家及广东省、广州市有最新规定的，从其规定。</w:t>
      </w:r>
    </w:p>
    <w:p w14:paraId="6326D1CA">
      <w:pPr>
        <w:pStyle w:val="32"/>
        <w:widowControl/>
        <w:tabs>
          <w:tab w:val="left" w:pos="1276"/>
        </w:tabs>
        <w:adjustRightInd w:val="0"/>
        <w:snapToGrid w:val="0"/>
        <w:spacing w:before="312" w:beforeLines="100" w:after="312" w:afterLines="100" w:line="440" w:lineRule="exact"/>
        <w:ind w:firstLine="456" w:firstLineChars="190"/>
        <w:jc w:val="left"/>
        <w:rPr>
          <w:rFonts w:ascii="宋体" w:hAnsi="宋体"/>
          <w:kern w:val="0"/>
          <w:sz w:val="24"/>
          <w:szCs w:val="24"/>
          <w:highlight w:val="none"/>
        </w:rPr>
      </w:pPr>
      <w:r>
        <w:rPr>
          <w:rFonts w:hint="eastAsia" w:ascii="宋体" w:hAnsi="宋体"/>
          <w:kern w:val="0"/>
          <w:sz w:val="24"/>
          <w:szCs w:val="24"/>
          <w:highlight w:val="none"/>
        </w:rPr>
        <w:t>1.3其它计价依据：甲方的要求、图纸、招标文件。</w:t>
      </w:r>
    </w:p>
    <w:p w14:paraId="3828F487">
      <w:pPr>
        <w:pStyle w:val="32"/>
        <w:widowControl/>
        <w:tabs>
          <w:tab w:val="left" w:pos="1276"/>
        </w:tabs>
        <w:adjustRightInd w:val="0"/>
        <w:snapToGrid w:val="0"/>
        <w:spacing w:before="312" w:beforeLines="100" w:after="312" w:afterLines="100" w:line="440" w:lineRule="exact"/>
        <w:ind w:firstLine="472" w:firstLineChars="196"/>
        <w:jc w:val="left"/>
        <w:rPr>
          <w:rFonts w:ascii="宋体" w:hAnsi="宋体"/>
          <w:kern w:val="0"/>
          <w:sz w:val="24"/>
          <w:szCs w:val="24"/>
          <w:highlight w:val="none"/>
        </w:rPr>
      </w:pPr>
      <w:r>
        <w:rPr>
          <w:rFonts w:hint="eastAsia" w:ascii="宋体" w:hAnsi="宋体"/>
          <w:b/>
          <w:kern w:val="0"/>
          <w:sz w:val="24"/>
          <w:szCs w:val="24"/>
          <w:highlight w:val="none"/>
        </w:rPr>
        <w:t xml:space="preserve">第四条 </w:t>
      </w:r>
      <w:r>
        <w:rPr>
          <w:rFonts w:hint="eastAsia" w:ascii="宋体" w:hAnsi="宋体"/>
          <w:kern w:val="0"/>
          <w:sz w:val="24"/>
          <w:szCs w:val="24"/>
          <w:highlight w:val="none"/>
        </w:rPr>
        <w:t xml:space="preserve"> </w:t>
      </w:r>
      <w:r>
        <w:rPr>
          <w:rFonts w:hint="eastAsia" w:ascii="宋体" w:hAnsi="宋体"/>
          <w:b/>
          <w:kern w:val="0"/>
          <w:sz w:val="24"/>
          <w:szCs w:val="24"/>
          <w:highlight w:val="none"/>
        </w:rPr>
        <w:t>建设工程造价咨询业务范围、服务内容和造价咨询服务专业人员：</w:t>
      </w:r>
    </w:p>
    <w:p w14:paraId="7C8C83E4">
      <w:pPr>
        <w:adjustRightInd w:val="0"/>
        <w:snapToGrid w:val="0"/>
        <w:spacing w:line="440" w:lineRule="exact"/>
        <w:ind w:firstLine="482" w:firstLineChars="200"/>
        <w:jc w:val="left"/>
        <w:rPr>
          <w:rFonts w:ascii="宋体" w:hAnsi="宋体"/>
          <w:b/>
          <w:kern w:val="0"/>
          <w:sz w:val="24"/>
          <w:szCs w:val="24"/>
          <w:highlight w:val="none"/>
        </w:rPr>
      </w:pPr>
      <w:r>
        <w:rPr>
          <w:rFonts w:hint="eastAsia" w:ascii="宋体" w:hAnsi="宋体"/>
          <w:b/>
          <w:kern w:val="0"/>
          <w:sz w:val="24"/>
          <w:szCs w:val="24"/>
          <w:highlight w:val="none"/>
        </w:rPr>
        <w:t xml:space="preserve">4.1  </w:t>
      </w:r>
      <w:r>
        <w:rPr>
          <w:rFonts w:ascii="宋体" w:hAnsi="宋体"/>
          <w:b/>
          <w:kern w:val="0"/>
          <w:sz w:val="24"/>
          <w:szCs w:val="24"/>
          <w:highlight w:val="none"/>
        </w:rPr>
        <w:t>“建设工程造价咨询业务”是指以下服务类别的咨询业务</w:t>
      </w:r>
      <w:r>
        <w:rPr>
          <w:rFonts w:hint="eastAsia" w:ascii="宋体" w:hAnsi="宋体"/>
          <w:b/>
          <w:kern w:val="0"/>
          <w:sz w:val="24"/>
          <w:szCs w:val="24"/>
          <w:highlight w:val="none"/>
        </w:rPr>
        <w:t>：</w:t>
      </w:r>
    </w:p>
    <w:p w14:paraId="0FF50CD0">
      <w:pPr>
        <w:adjustRightInd w:val="0"/>
        <w:snapToGri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(A类)建设项目可行性研究投资估算的编制、审核及项目经济评价</w:t>
      </w:r>
      <w:r>
        <w:rPr>
          <w:rFonts w:hint="eastAsia" w:ascii="宋体" w:hAnsi="宋体"/>
          <w:kern w:val="0"/>
          <w:sz w:val="24"/>
          <w:szCs w:val="24"/>
          <w:highlight w:val="none"/>
        </w:rPr>
        <w:t>（若有）</w:t>
      </w:r>
      <w:r>
        <w:rPr>
          <w:rFonts w:ascii="宋体" w:hAnsi="宋体"/>
          <w:kern w:val="0"/>
          <w:sz w:val="24"/>
          <w:szCs w:val="24"/>
          <w:highlight w:val="none"/>
        </w:rPr>
        <w:t>；</w:t>
      </w:r>
    </w:p>
    <w:p w14:paraId="1547B6BE">
      <w:pPr>
        <w:adjustRightInd w:val="0"/>
        <w:snapToGri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(B类)建设工程概算、预算、结算的编制、审核；</w:t>
      </w:r>
    </w:p>
    <w:p w14:paraId="5461B6C7">
      <w:pPr>
        <w:adjustRightInd w:val="0"/>
        <w:snapToGri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(C类)建设工程招标控制价、清单的编制、审核；</w:t>
      </w:r>
    </w:p>
    <w:p w14:paraId="28C6CCD4">
      <w:pPr>
        <w:adjustRightInd w:val="0"/>
        <w:snapToGri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(D类)工程洽商、变更及合同争议的鉴定与索赔；</w:t>
      </w:r>
    </w:p>
    <w:p w14:paraId="7D5CC5E8">
      <w:pPr>
        <w:adjustRightInd w:val="0"/>
        <w:snapToGri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(E类)编制工程造价计价依据及对工程造价进行监控和提供有关工程造价信息资料等。</w:t>
      </w:r>
    </w:p>
    <w:p w14:paraId="1EE128E0">
      <w:pPr>
        <w:tabs>
          <w:tab w:val="left" w:pos="7513"/>
        </w:tabs>
        <w:spacing w:line="440" w:lineRule="exact"/>
        <w:ind w:left="645" w:leftChars="250" w:hanging="120" w:hangingChars="50"/>
        <w:rPr>
          <w:rFonts w:ascii="宋体" w:hAnsi="宋体"/>
          <w:b/>
          <w:kern w:val="0"/>
          <w:sz w:val="24"/>
          <w:szCs w:val="24"/>
          <w:highlight w:val="none"/>
        </w:rPr>
      </w:pPr>
      <w:r>
        <w:rPr>
          <w:rFonts w:hint="eastAsia" w:ascii="宋体" w:hAnsi="宋体"/>
          <w:b/>
          <w:kern w:val="0"/>
          <w:sz w:val="24"/>
          <w:szCs w:val="24"/>
          <w:highlight w:val="none"/>
        </w:rPr>
        <w:t>4.2  建设工程造价咨询服务内容：</w:t>
      </w:r>
    </w:p>
    <w:p w14:paraId="03EE5A18">
      <w:pPr>
        <w:tabs>
          <w:tab w:val="left" w:pos="7513"/>
        </w:tabs>
        <w:spacing w:line="440" w:lineRule="exact"/>
        <w:ind w:left="630" w:leftChars="300" w:firstLine="360" w:firstLineChars="150"/>
        <w:rPr>
          <w:rFonts w:ascii="宋体" w:hAnsi="宋体"/>
          <w:sz w:val="24"/>
          <w:szCs w:val="24"/>
          <w:highlight w:val="none"/>
        </w:rPr>
      </w:pPr>
      <w:r>
        <w:rPr>
          <w:rFonts w:hint="eastAsia" w:ascii="宋体" w:hAnsi="宋体"/>
          <w:sz w:val="24"/>
          <w:szCs w:val="24"/>
          <w:highlight w:val="none"/>
        </w:rPr>
        <w:t>详见本合同第一部分协议书第一条第4款服务范围的约定。</w:t>
      </w:r>
    </w:p>
    <w:p w14:paraId="3EA359FD">
      <w:pPr>
        <w:adjustRightInd w:val="0"/>
        <w:snapToGrid w:val="0"/>
        <w:spacing w:line="440" w:lineRule="exact"/>
        <w:ind w:firstLine="482" w:firstLineChars="200"/>
        <w:jc w:val="left"/>
        <w:rPr>
          <w:rFonts w:ascii="宋体" w:hAnsi="宋体"/>
          <w:b/>
          <w:sz w:val="24"/>
          <w:szCs w:val="24"/>
          <w:highlight w:val="none"/>
        </w:rPr>
      </w:pPr>
      <w:r>
        <w:rPr>
          <w:rFonts w:hint="eastAsia" w:ascii="宋体" w:hAnsi="宋体"/>
          <w:b/>
          <w:sz w:val="24"/>
          <w:szCs w:val="24"/>
          <w:highlight w:val="none"/>
        </w:rPr>
        <w:t xml:space="preserve">4.3  </w:t>
      </w:r>
      <w:r>
        <w:rPr>
          <w:rFonts w:hint="eastAsia" w:ascii="宋体" w:hAnsi="宋体"/>
          <w:b/>
          <w:kern w:val="0"/>
          <w:sz w:val="24"/>
          <w:szCs w:val="24"/>
          <w:highlight w:val="none"/>
        </w:rPr>
        <w:t>乙方承诺派出与</w:t>
      </w:r>
      <w:r>
        <w:rPr>
          <w:rFonts w:hint="default" w:ascii="宋体" w:hAnsi="宋体"/>
          <w:b/>
          <w:kern w:val="0"/>
          <w:sz w:val="24"/>
          <w:szCs w:val="24"/>
          <w:highlight w:val="none"/>
          <w:lang w:val="en-US"/>
        </w:rPr>
        <w:t>投标文件中《拟投入本项目造价人员一览表》</w:t>
      </w:r>
      <w:r>
        <w:rPr>
          <w:rFonts w:ascii="宋体" w:hAnsi="宋体"/>
          <w:b/>
          <w:kern w:val="0"/>
          <w:sz w:val="24"/>
          <w:szCs w:val="24"/>
          <w:highlight w:val="none"/>
        </w:rPr>
        <w:t>一致</w:t>
      </w:r>
      <w:r>
        <w:rPr>
          <w:rFonts w:hint="eastAsia" w:ascii="宋体" w:hAnsi="宋体"/>
          <w:b/>
          <w:kern w:val="0"/>
          <w:sz w:val="24"/>
          <w:szCs w:val="24"/>
          <w:highlight w:val="none"/>
        </w:rPr>
        <w:t>的造价咨询服务团队。</w:t>
      </w:r>
      <w:r>
        <w:rPr>
          <w:rFonts w:ascii="宋体" w:hAnsi="宋体"/>
          <w:b/>
          <w:kern w:val="0"/>
          <w:sz w:val="24"/>
          <w:szCs w:val="24"/>
          <w:highlight w:val="none"/>
        </w:rPr>
        <w:t xml:space="preserve"> </w:t>
      </w:r>
    </w:p>
    <w:p w14:paraId="063277CC">
      <w:pPr>
        <w:spacing w:line="440" w:lineRule="exact"/>
        <w:ind w:firstLine="480" w:firstLineChars="200"/>
        <w:rPr>
          <w:rFonts w:ascii="宋体" w:hAnsi="宋体"/>
          <w:sz w:val="24"/>
          <w:szCs w:val="24"/>
          <w:highlight w:val="none"/>
          <w:lang w:val="zh-CN"/>
        </w:rPr>
      </w:pPr>
      <w:r>
        <w:rPr>
          <w:rFonts w:ascii="宋体" w:hAnsi="宋体"/>
          <w:sz w:val="24"/>
          <w:szCs w:val="24"/>
          <w:highlight w:val="none"/>
          <w:lang w:val="zh-CN"/>
        </w:rPr>
        <w:t>4.4</w:t>
      </w:r>
      <w:r>
        <w:rPr>
          <w:rFonts w:hint="eastAsia" w:ascii="宋体" w:hAnsi="宋体"/>
          <w:sz w:val="24"/>
          <w:szCs w:val="24"/>
          <w:highlight w:val="none"/>
          <w:lang w:val="zh-CN"/>
        </w:rPr>
        <w:t xml:space="preserve">未经甲方书面同意，乙方不得擅自更换本项目负责人或造价咨询服务团队其他人员。确因实际情况需更换相关人员的，必须书面向甲方提出申请，说明原因，且换入人员条件（指学历、职称、执业证书等）和经验（指过去5年内的业绩情况）要等于或优于换出人员的条件和经验（否则甲方有权拒绝接受申请），经甲方书面同意后方可更换。未经申请或申请后甲方未同意，乙方擅自更换本项目造价咨询服务团队相关人员的，视为乙方违约，甲方有权进行处罚；造成甲方经济损失的，甲方有权向乙方索赔。但乙方有合法理由（如服务人员因死亡、重大疾病、离职等原因导致不能履行职责）提出申请并经甲方批准更换相关人员的，乙方可不承担违约责任。 </w:t>
      </w:r>
    </w:p>
    <w:p w14:paraId="2EC06359">
      <w:pPr>
        <w:spacing w:line="440" w:lineRule="exact"/>
        <w:ind w:firstLine="482" w:firstLineChars="200"/>
        <w:rPr>
          <w:rFonts w:ascii="宋体" w:hAnsi="宋体"/>
          <w:sz w:val="24"/>
          <w:szCs w:val="24"/>
          <w:highlight w:val="none"/>
          <w:lang w:val="zh-CN"/>
        </w:rPr>
      </w:pPr>
      <w:r>
        <w:rPr>
          <w:rFonts w:ascii="宋体" w:hAnsi="宋体"/>
          <w:b/>
          <w:sz w:val="24"/>
          <w:szCs w:val="24"/>
          <w:highlight w:val="none"/>
        </w:rPr>
        <w:t>4.5</w:t>
      </w:r>
      <w:r>
        <w:rPr>
          <w:rFonts w:hint="eastAsia" w:ascii="宋体" w:hAnsi="宋体"/>
          <w:b/>
          <w:sz w:val="24"/>
          <w:szCs w:val="24"/>
          <w:highlight w:val="none"/>
        </w:rPr>
        <w:t>驻场服务：</w:t>
      </w:r>
    </w:p>
    <w:p w14:paraId="015A6B9F">
      <w:pPr>
        <w:spacing w:line="440" w:lineRule="exact"/>
        <w:ind w:firstLine="480" w:firstLineChars="200"/>
        <w:rPr>
          <w:rFonts w:ascii="宋体" w:hAnsi="宋体"/>
          <w:sz w:val="24"/>
          <w:szCs w:val="24"/>
          <w:highlight w:val="none"/>
        </w:rPr>
      </w:pPr>
      <w:r>
        <w:rPr>
          <w:rFonts w:ascii="宋体" w:hAnsi="宋体"/>
          <w:sz w:val="24"/>
          <w:szCs w:val="24"/>
          <w:highlight w:val="none"/>
        </w:rPr>
        <w:t>4.5.1</w:t>
      </w:r>
      <w:r>
        <w:rPr>
          <w:rFonts w:hint="eastAsia" w:ascii="宋体" w:hAnsi="宋体"/>
          <w:sz w:val="24"/>
          <w:szCs w:val="24"/>
          <w:highlight w:val="none"/>
        </w:rPr>
        <w:t>为便于甲方与乙方及时沟通及协调，乙方应根据甲方的要求，在指定的地点投入本合同约定的专业人员、设备及设施，实施本合同工程的造价咨询工作。</w:t>
      </w:r>
    </w:p>
    <w:p w14:paraId="4848BAF4">
      <w:pPr>
        <w:spacing w:line="440" w:lineRule="exact"/>
        <w:ind w:firstLine="480" w:firstLineChars="200"/>
        <w:rPr>
          <w:rFonts w:ascii="宋体" w:hAnsi="宋体"/>
          <w:sz w:val="24"/>
          <w:szCs w:val="24"/>
          <w:highlight w:val="none"/>
        </w:rPr>
      </w:pPr>
      <w:r>
        <w:rPr>
          <w:rFonts w:ascii="宋体" w:hAnsi="宋体"/>
          <w:sz w:val="24"/>
          <w:szCs w:val="24"/>
          <w:highlight w:val="none"/>
        </w:rPr>
        <w:t>4.5.2</w:t>
      </w:r>
      <w:r>
        <w:rPr>
          <w:rFonts w:hint="eastAsia" w:ascii="宋体" w:hAnsi="宋体"/>
          <w:sz w:val="24"/>
          <w:szCs w:val="24"/>
          <w:highlight w:val="none"/>
        </w:rPr>
        <w:t>乙方驻场服务人员的名单须在进场前提交甲方审核，乙方驻场人员数量、专业水平、专业配套以及设备设施须满足设计质量与进度的需要。乙方驻场造价人员具体需求如下：</w:t>
      </w:r>
    </w:p>
    <w:p w14:paraId="7221CB41">
      <w:pPr>
        <w:adjustRightInd w:val="0"/>
        <w:snapToGrid w:val="0"/>
        <w:spacing w:line="440" w:lineRule="exact"/>
        <w:ind w:firstLine="480" w:firstLineChars="200"/>
        <w:jc w:val="left"/>
        <w:rPr>
          <w:rFonts w:ascii="宋体" w:hAnsi="宋体"/>
          <w:sz w:val="24"/>
          <w:szCs w:val="24"/>
          <w:highlight w:val="none"/>
        </w:rPr>
      </w:pPr>
      <w:r>
        <w:rPr>
          <w:rFonts w:hint="eastAsia" w:ascii="宋体" w:hAnsi="宋体"/>
          <w:kern w:val="0"/>
          <w:sz w:val="24"/>
          <w:szCs w:val="24"/>
          <w:highlight w:val="none"/>
        </w:rPr>
        <w:t>乙方保证2名造价工程师驻场（土建专业1人、安装专业1人，从事造价管理超过5年），</w:t>
      </w:r>
      <w:r>
        <w:rPr>
          <w:rFonts w:hint="eastAsia" w:ascii="宋体" w:hAnsi="宋体"/>
          <w:sz w:val="24"/>
          <w:szCs w:val="24"/>
          <w:highlight w:val="none"/>
        </w:rPr>
        <w:t>甲方有权根据实际情况在造价咨询服务实施的过程中对乙方的驻场人员进行适当调整。</w:t>
      </w:r>
    </w:p>
    <w:p w14:paraId="3A718EC2">
      <w:pPr>
        <w:spacing w:line="440" w:lineRule="exact"/>
        <w:ind w:firstLine="480" w:firstLineChars="200"/>
        <w:rPr>
          <w:rFonts w:ascii="宋体" w:hAnsi="宋体"/>
          <w:bCs/>
          <w:sz w:val="24"/>
          <w:szCs w:val="24"/>
          <w:highlight w:val="none"/>
        </w:rPr>
      </w:pPr>
      <w:r>
        <w:rPr>
          <w:rFonts w:ascii="宋体" w:hAnsi="宋体"/>
          <w:sz w:val="24"/>
          <w:szCs w:val="24"/>
          <w:highlight w:val="none"/>
        </w:rPr>
        <w:t>4.5.3</w:t>
      </w:r>
      <w:r>
        <w:rPr>
          <w:rFonts w:hint="eastAsia" w:ascii="宋体" w:hAnsi="宋体"/>
          <w:sz w:val="24"/>
          <w:szCs w:val="24"/>
          <w:highlight w:val="none"/>
        </w:rPr>
        <w:t>乙方应保证驻场人员的稳定性，原则在驻场期间上不得更换，确须更换的</w:t>
      </w:r>
      <w:r>
        <w:rPr>
          <w:rFonts w:ascii="宋体" w:hAnsi="宋体"/>
          <w:bCs/>
          <w:sz w:val="24"/>
          <w:szCs w:val="24"/>
          <w:highlight w:val="none"/>
        </w:rPr>
        <w:t>须提前7天</w:t>
      </w:r>
      <w:r>
        <w:rPr>
          <w:rFonts w:hint="eastAsia" w:ascii="宋体" w:hAnsi="宋体"/>
          <w:sz w:val="24"/>
          <w:szCs w:val="24"/>
          <w:highlight w:val="none"/>
        </w:rPr>
        <w:t>向甲方提出</w:t>
      </w:r>
      <w:r>
        <w:rPr>
          <w:rFonts w:ascii="宋体" w:hAnsi="宋体"/>
          <w:bCs/>
          <w:sz w:val="24"/>
          <w:szCs w:val="24"/>
          <w:highlight w:val="none"/>
        </w:rPr>
        <w:t>书面申请</w:t>
      </w:r>
      <w:r>
        <w:rPr>
          <w:rFonts w:hint="eastAsia" w:ascii="宋体" w:hAnsi="宋体"/>
          <w:sz w:val="24"/>
          <w:szCs w:val="24"/>
          <w:highlight w:val="none"/>
        </w:rPr>
        <w:t>报告</w:t>
      </w:r>
      <w:r>
        <w:rPr>
          <w:rFonts w:ascii="宋体" w:hAnsi="宋体"/>
          <w:bCs/>
          <w:sz w:val="24"/>
          <w:szCs w:val="24"/>
          <w:highlight w:val="none"/>
        </w:rPr>
        <w:t>，并</w:t>
      </w:r>
      <w:r>
        <w:rPr>
          <w:rFonts w:hint="eastAsia" w:ascii="宋体" w:hAnsi="宋体"/>
          <w:bCs/>
          <w:sz w:val="24"/>
          <w:szCs w:val="24"/>
          <w:highlight w:val="none"/>
        </w:rPr>
        <w:t>按专用条款4.4款要求，</w:t>
      </w:r>
      <w:r>
        <w:rPr>
          <w:rFonts w:ascii="宋体" w:hAnsi="宋体"/>
          <w:bCs/>
          <w:sz w:val="24"/>
          <w:szCs w:val="24"/>
          <w:highlight w:val="none"/>
        </w:rPr>
        <w:t>附拟更换人员的详细资料，待</w:t>
      </w:r>
      <w:r>
        <w:rPr>
          <w:rFonts w:hint="eastAsia" w:ascii="宋体" w:hAnsi="宋体"/>
          <w:sz w:val="24"/>
          <w:szCs w:val="24"/>
          <w:highlight w:val="none"/>
        </w:rPr>
        <w:t>甲方</w:t>
      </w:r>
      <w:r>
        <w:rPr>
          <w:rFonts w:ascii="宋体" w:hAnsi="宋体"/>
          <w:bCs/>
          <w:sz w:val="24"/>
          <w:szCs w:val="24"/>
          <w:highlight w:val="none"/>
        </w:rPr>
        <w:t>审核批准后才可更换。</w:t>
      </w:r>
    </w:p>
    <w:p w14:paraId="5B293C3A">
      <w:pPr>
        <w:spacing w:line="440" w:lineRule="exact"/>
        <w:ind w:firstLine="480" w:firstLineChars="200"/>
        <w:rPr>
          <w:rFonts w:ascii="宋体" w:hAnsi="宋体"/>
          <w:bCs/>
          <w:sz w:val="24"/>
          <w:szCs w:val="24"/>
          <w:highlight w:val="none"/>
        </w:rPr>
      </w:pPr>
      <w:r>
        <w:rPr>
          <w:rFonts w:ascii="宋体" w:hAnsi="宋体"/>
          <w:sz w:val="24"/>
          <w:szCs w:val="24"/>
          <w:highlight w:val="none"/>
        </w:rPr>
        <w:t>4.5.4</w:t>
      </w:r>
      <w:r>
        <w:rPr>
          <w:rFonts w:hint="eastAsia" w:ascii="宋体" w:hAnsi="宋体"/>
          <w:sz w:val="24"/>
          <w:szCs w:val="24"/>
          <w:highlight w:val="none"/>
        </w:rPr>
        <w:t>乙方驻场服务人员应满足招标文件及合同条款的相关要求，并全部统一纳入甲方的统一管理，其出勤、休假等考勤由甲方负责。乙方驻场服务人员只为本合同工程服务，不得再参与其他工作。</w:t>
      </w:r>
      <w:r>
        <w:rPr>
          <w:rFonts w:ascii="宋体" w:hAnsi="宋体"/>
          <w:bCs/>
          <w:sz w:val="24"/>
          <w:szCs w:val="24"/>
          <w:highlight w:val="none"/>
        </w:rPr>
        <w:t>如</w:t>
      </w:r>
      <w:r>
        <w:rPr>
          <w:rFonts w:hint="eastAsia" w:ascii="宋体" w:hAnsi="宋体"/>
          <w:sz w:val="24"/>
          <w:szCs w:val="24"/>
          <w:highlight w:val="none"/>
        </w:rPr>
        <w:t>乙方驻场人员</w:t>
      </w:r>
      <w:r>
        <w:rPr>
          <w:rFonts w:ascii="宋体" w:hAnsi="宋体"/>
          <w:bCs/>
          <w:sz w:val="24"/>
          <w:szCs w:val="24"/>
          <w:highlight w:val="none"/>
        </w:rPr>
        <w:t>因特殊情况须短暂离开的，</w:t>
      </w:r>
      <w:r>
        <w:rPr>
          <w:rFonts w:hint="eastAsia" w:ascii="宋体" w:hAnsi="宋体"/>
          <w:bCs/>
          <w:sz w:val="24"/>
          <w:szCs w:val="24"/>
          <w:highlight w:val="none"/>
        </w:rPr>
        <w:t>需得到甲方同意，并</w:t>
      </w:r>
      <w:r>
        <w:rPr>
          <w:rFonts w:ascii="宋体" w:hAnsi="宋体"/>
          <w:bCs/>
          <w:sz w:val="24"/>
          <w:szCs w:val="24"/>
          <w:highlight w:val="none"/>
        </w:rPr>
        <w:t>妥善安排工作交接，指定可以接替工作并能承担责任的临时负责人，并按以下规定执行：</w:t>
      </w:r>
    </w:p>
    <w:p w14:paraId="7D5932F1">
      <w:pPr>
        <w:spacing w:line="440" w:lineRule="exact"/>
        <w:ind w:firstLine="480" w:firstLineChars="200"/>
        <w:rPr>
          <w:rFonts w:ascii="宋体" w:hAnsi="宋体"/>
          <w:bCs/>
          <w:sz w:val="24"/>
          <w:szCs w:val="24"/>
          <w:highlight w:val="none"/>
        </w:rPr>
      </w:pPr>
      <w:r>
        <w:rPr>
          <w:rFonts w:ascii="宋体" w:hAnsi="宋体"/>
          <w:bCs/>
          <w:sz w:val="24"/>
          <w:szCs w:val="24"/>
          <w:highlight w:val="none"/>
        </w:rPr>
        <w:t>离场1天内，须将工作交接情况报告</w:t>
      </w:r>
      <w:r>
        <w:rPr>
          <w:rFonts w:hint="eastAsia" w:ascii="宋体" w:hAnsi="宋体"/>
          <w:bCs/>
          <w:sz w:val="24"/>
          <w:szCs w:val="24"/>
          <w:highlight w:val="none"/>
        </w:rPr>
        <w:t>现场项目组</w:t>
      </w:r>
      <w:r>
        <w:rPr>
          <w:rFonts w:ascii="宋体" w:hAnsi="宋体"/>
          <w:bCs/>
          <w:sz w:val="24"/>
          <w:szCs w:val="24"/>
          <w:highlight w:val="none"/>
        </w:rPr>
        <w:t>；离场2至</w:t>
      </w:r>
      <w:r>
        <w:rPr>
          <w:rFonts w:hint="eastAsia" w:ascii="宋体" w:hAnsi="宋体"/>
          <w:bCs/>
          <w:sz w:val="24"/>
          <w:szCs w:val="24"/>
          <w:highlight w:val="none"/>
        </w:rPr>
        <w:t>4</w:t>
      </w:r>
      <w:r>
        <w:rPr>
          <w:rFonts w:ascii="宋体" w:hAnsi="宋体"/>
          <w:bCs/>
          <w:sz w:val="24"/>
          <w:szCs w:val="24"/>
          <w:highlight w:val="none"/>
        </w:rPr>
        <w:t>天，须将工作交接情况报告</w:t>
      </w:r>
      <w:r>
        <w:rPr>
          <w:rFonts w:hint="eastAsia" w:ascii="宋体" w:hAnsi="宋体"/>
          <w:bCs/>
          <w:sz w:val="24"/>
          <w:szCs w:val="24"/>
          <w:highlight w:val="none"/>
        </w:rPr>
        <w:t>甲方</w:t>
      </w:r>
      <w:r>
        <w:rPr>
          <w:rFonts w:ascii="宋体" w:hAnsi="宋体"/>
          <w:bCs/>
          <w:sz w:val="24"/>
          <w:szCs w:val="24"/>
          <w:highlight w:val="none"/>
        </w:rPr>
        <w:t>。每月累计离场天数不得超过4天，</w:t>
      </w:r>
      <w:r>
        <w:rPr>
          <w:rFonts w:hint="eastAsia" w:ascii="宋体" w:hAnsi="宋体"/>
          <w:bCs/>
          <w:sz w:val="24"/>
          <w:szCs w:val="24"/>
          <w:highlight w:val="none"/>
        </w:rPr>
        <w:t>因乙方原因（包括员工管理方面原因）</w:t>
      </w:r>
      <w:r>
        <w:rPr>
          <w:rFonts w:ascii="宋体" w:hAnsi="宋体"/>
          <w:bCs/>
          <w:sz w:val="24"/>
          <w:szCs w:val="24"/>
          <w:highlight w:val="none"/>
        </w:rPr>
        <w:t>，</w:t>
      </w:r>
      <w:r>
        <w:rPr>
          <w:rFonts w:hint="eastAsia" w:ascii="宋体" w:hAnsi="宋体"/>
          <w:bCs/>
          <w:sz w:val="24"/>
          <w:szCs w:val="24"/>
          <w:highlight w:val="none"/>
        </w:rPr>
        <w:t>每人每月累计离场天数超过4天的，从第5天起乙方按以下标准</w:t>
      </w:r>
      <w:r>
        <w:rPr>
          <w:rFonts w:ascii="宋体" w:hAnsi="宋体"/>
          <w:bCs/>
          <w:sz w:val="24"/>
          <w:szCs w:val="24"/>
          <w:highlight w:val="none"/>
        </w:rPr>
        <w:t>向</w:t>
      </w:r>
      <w:r>
        <w:rPr>
          <w:rFonts w:hint="eastAsia" w:ascii="宋体" w:hAnsi="宋体"/>
          <w:bCs/>
          <w:sz w:val="24"/>
          <w:szCs w:val="24"/>
          <w:highlight w:val="none"/>
        </w:rPr>
        <w:t>甲方</w:t>
      </w:r>
      <w:r>
        <w:rPr>
          <w:rFonts w:ascii="宋体" w:hAnsi="宋体"/>
          <w:bCs/>
          <w:sz w:val="24"/>
          <w:szCs w:val="24"/>
          <w:highlight w:val="none"/>
        </w:rPr>
        <w:t>支付违约金</w:t>
      </w:r>
      <w:r>
        <w:rPr>
          <w:rFonts w:hint="eastAsia" w:ascii="宋体" w:hAnsi="宋体"/>
          <w:bCs/>
          <w:sz w:val="24"/>
          <w:szCs w:val="24"/>
          <w:highlight w:val="none"/>
        </w:rPr>
        <w:t>：注册造价工程师1200元/人·天。每人每月累计离场天数超过7天的，</w:t>
      </w:r>
      <w:r>
        <w:rPr>
          <w:rFonts w:ascii="宋体" w:hAnsi="宋体"/>
          <w:bCs/>
          <w:sz w:val="24"/>
          <w:szCs w:val="24"/>
          <w:highlight w:val="none"/>
        </w:rPr>
        <w:t>视为岗位空缺。</w:t>
      </w:r>
    </w:p>
    <w:p w14:paraId="2A44A7E1">
      <w:pPr>
        <w:spacing w:line="440" w:lineRule="exact"/>
        <w:ind w:firstLine="480" w:firstLineChars="200"/>
        <w:rPr>
          <w:rFonts w:ascii="宋体" w:hAnsi="宋体"/>
          <w:bCs/>
          <w:sz w:val="24"/>
          <w:szCs w:val="24"/>
          <w:highlight w:val="none"/>
        </w:rPr>
      </w:pPr>
      <w:r>
        <w:rPr>
          <w:rFonts w:hint="eastAsia" w:ascii="宋体" w:hAnsi="宋体"/>
          <w:sz w:val="24"/>
          <w:szCs w:val="24"/>
          <w:highlight w:val="none"/>
        </w:rPr>
        <w:t>乙方</w:t>
      </w:r>
      <w:r>
        <w:rPr>
          <w:rFonts w:hint="eastAsia" w:ascii="宋体" w:hAnsi="宋体"/>
          <w:bCs/>
          <w:sz w:val="24"/>
          <w:szCs w:val="24"/>
          <w:highlight w:val="none"/>
        </w:rPr>
        <w:t>驻场</w:t>
      </w:r>
      <w:r>
        <w:rPr>
          <w:rFonts w:ascii="宋体" w:hAnsi="宋体"/>
          <w:bCs/>
          <w:sz w:val="24"/>
          <w:szCs w:val="24"/>
          <w:highlight w:val="none"/>
        </w:rPr>
        <w:t>人员</w:t>
      </w:r>
      <w:r>
        <w:rPr>
          <w:rFonts w:hint="eastAsia" w:ascii="宋体" w:hAnsi="宋体"/>
          <w:bCs/>
          <w:sz w:val="24"/>
          <w:szCs w:val="24"/>
          <w:highlight w:val="none"/>
        </w:rPr>
        <w:t>按照甲方指令或处理本工作要求必须离开驻地情况除外。</w:t>
      </w:r>
    </w:p>
    <w:p w14:paraId="611764F6">
      <w:pPr>
        <w:spacing w:line="440" w:lineRule="exact"/>
        <w:ind w:firstLine="480" w:firstLineChars="200"/>
        <w:rPr>
          <w:rFonts w:ascii="宋体" w:hAnsi="宋体"/>
          <w:bCs/>
          <w:sz w:val="24"/>
          <w:szCs w:val="24"/>
          <w:highlight w:val="none"/>
        </w:rPr>
      </w:pPr>
      <w:r>
        <w:rPr>
          <w:rFonts w:ascii="宋体" w:hAnsi="宋体"/>
          <w:sz w:val="24"/>
          <w:szCs w:val="24"/>
          <w:highlight w:val="none"/>
        </w:rPr>
        <w:t>4.5.5</w:t>
      </w:r>
      <w:r>
        <w:rPr>
          <w:rFonts w:hint="eastAsia" w:ascii="宋体" w:hAnsi="宋体"/>
          <w:sz w:val="24"/>
          <w:szCs w:val="24"/>
          <w:highlight w:val="none"/>
        </w:rPr>
        <w:t>乙方</w:t>
      </w:r>
      <w:r>
        <w:rPr>
          <w:rFonts w:hint="eastAsia" w:ascii="宋体" w:hAnsi="宋体"/>
          <w:bCs/>
          <w:sz w:val="24"/>
          <w:szCs w:val="24"/>
          <w:highlight w:val="none"/>
        </w:rPr>
        <w:t>驻场</w:t>
      </w:r>
      <w:r>
        <w:rPr>
          <w:rFonts w:ascii="宋体" w:hAnsi="宋体"/>
          <w:bCs/>
          <w:sz w:val="24"/>
          <w:szCs w:val="24"/>
          <w:highlight w:val="none"/>
        </w:rPr>
        <w:t>人员的工作能力、工作态度存在严重不足，不适应现场工作需要，</w:t>
      </w:r>
      <w:r>
        <w:rPr>
          <w:rFonts w:hint="eastAsia" w:ascii="宋体" w:hAnsi="宋体"/>
          <w:bCs/>
          <w:sz w:val="24"/>
          <w:szCs w:val="24"/>
          <w:highlight w:val="none"/>
        </w:rPr>
        <w:t>甲方</w:t>
      </w:r>
      <w:r>
        <w:rPr>
          <w:rFonts w:ascii="宋体" w:hAnsi="宋体"/>
          <w:bCs/>
          <w:sz w:val="24"/>
          <w:szCs w:val="24"/>
          <w:highlight w:val="none"/>
        </w:rPr>
        <w:t>有权要求</w:t>
      </w:r>
      <w:r>
        <w:rPr>
          <w:rFonts w:hint="eastAsia" w:ascii="宋体" w:hAnsi="宋体"/>
          <w:sz w:val="24"/>
          <w:szCs w:val="24"/>
          <w:highlight w:val="none"/>
        </w:rPr>
        <w:t>乙方</w:t>
      </w:r>
      <w:r>
        <w:rPr>
          <w:rFonts w:ascii="宋体" w:hAnsi="宋体"/>
          <w:bCs/>
          <w:sz w:val="24"/>
          <w:szCs w:val="24"/>
          <w:highlight w:val="none"/>
        </w:rPr>
        <w:t>撤换相应人员；</w:t>
      </w:r>
      <w:r>
        <w:rPr>
          <w:rFonts w:hint="eastAsia" w:ascii="宋体" w:hAnsi="宋体"/>
          <w:sz w:val="24"/>
          <w:szCs w:val="24"/>
          <w:highlight w:val="none"/>
        </w:rPr>
        <w:t>乙方</w:t>
      </w:r>
      <w:r>
        <w:rPr>
          <w:rFonts w:ascii="宋体" w:hAnsi="宋体"/>
          <w:bCs/>
          <w:sz w:val="24"/>
          <w:szCs w:val="24"/>
          <w:highlight w:val="none"/>
        </w:rPr>
        <w:t>可以提出整改意见，如</w:t>
      </w:r>
      <w:r>
        <w:rPr>
          <w:rFonts w:hint="eastAsia" w:ascii="宋体" w:hAnsi="宋体"/>
          <w:bCs/>
          <w:sz w:val="24"/>
          <w:szCs w:val="24"/>
          <w:highlight w:val="none"/>
        </w:rPr>
        <w:t>甲方</w:t>
      </w:r>
      <w:r>
        <w:rPr>
          <w:rFonts w:ascii="宋体" w:hAnsi="宋体"/>
          <w:bCs/>
          <w:sz w:val="24"/>
          <w:szCs w:val="24"/>
          <w:highlight w:val="none"/>
        </w:rPr>
        <w:t>不予接受，则</w:t>
      </w:r>
      <w:r>
        <w:rPr>
          <w:rFonts w:hint="eastAsia" w:ascii="宋体" w:hAnsi="宋体"/>
          <w:sz w:val="24"/>
          <w:szCs w:val="24"/>
          <w:highlight w:val="none"/>
        </w:rPr>
        <w:t>乙方</w:t>
      </w:r>
      <w:r>
        <w:rPr>
          <w:rFonts w:ascii="宋体" w:hAnsi="宋体"/>
          <w:bCs/>
          <w:sz w:val="24"/>
          <w:szCs w:val="24"/>
          <w:highlight w:val="none"/>
        </w:rPr>
        <w:t>必须在7天内无条件撤换</w:t>
      </w:r>
      <w:r>
        <w:rPr>
          <w:rFonts w:hint="eastAsia" w:ascii="宋体" w:hAnsi="宋体"/>
          <w:bCs/>
          <w:sz w:val="24"/>
          <w:szCs w:val="24"/>
          <w:highlight w:val="none"/>
        </w:rPr>
        <w:t>，</w:t>
      </w:r>
      <w:r>
        <w:rPr>
          <w:rFonts w:hint="eastAsia" w:ascii="宋体" w:hAnsi="宋体"/>
          <w:sz w:val="24"/>
          <w:szCs w:val="24"/>
          <w:highlight w:val="none"/>
        </w:rPr>
        <w:t>乙方</w:t>
      </w:r>
      <w:r>
        <w:rPr>
          <w:rFonts w:ascii="宋体" w:hAnsi="宋体"/>
          <w:bCs/>
          <w:sz w:val="24"/>
          <w:szCs w:val="24"/>
          <w:highlight w:val="none"/>
        </w:rPr>
        <w:t>拒不执行，则自撤换通知下达7天后，可视为该岗位已空缺，</w:t>
      </w:r>
      <w:r>
        <w:rPr>
          <w:rFonts w:hint="eastAsia" w:ascii="宋体" w:hAnsi="宋体"/>
          <w:sz w:val="24"/>
          <w:szCs w:val="24"/>
          <w:highlight w:val="none"/>
        </w:rPr>
        <w:t>乙方</w:t>
      </w:r>
      <w:r>
        <w:rPr>
          <w:rFonts w:ascii="宋体" w:hAnsi="宋体"/>
          <w:bCs/>
          <w:sz w:val="24"/>
          <w:szCs w:val="24"/>
          <w:highlight w:val="none"/>
        </w:rPr>
        <w:t>承担相应违约责任。</w:t>
      </w:r>
    </w:p>
    <w:p w14:paraId="548A6926">
      <w:pPr>
        <w:spacing w:line="440" w:lineRule="exact"/>
        <w:ind w:firstLine="480" w:firstLineChars="200"/>
        <w:rPr>
          <w:rFonts w:ascii="宋体" w:hAnsi="宋体"/>
          <w:sz w:val="24"/>
          <w:szCs w:val="24"/>
          <w:highlight w:val="none"/>
        </w:rPr>
      </w:pPr>
      <w:r>
        <w:rPr>
          <w:rFonts w:ascii="宋体" w:hAnsi="宋体"/>
          <w:sz w:val="24"/>
          <w:szCs w:val="24"/>
          <w:highlight w:val="none"/>
        </w:rPr>
        <w:t>4.5.6</w:t>
      </w:r>
      <w:r>
        <w:rPr>
          <w:rFonts w:hint="eastAsia" w:ascii="宋体" w:hAnsi="宋体" w:cs="宋体"/>
          <w:kern w:val="0"/>
          <w:sz w:val="24"/>
          <w:szCs w:val="24"/>
          <w:highlight w:val="none"/>
          <w:lang w:val="zh-CN"/>
        </w:rPr>
        <w:t>乙方</w:t>
      </w:r>
      <w:r>
        <w:rPr>
          <w:rFonts w:ascii="宋体" w:hAnsi="宋体"/>
          <w:bCs/>
          <w:sz w:val="24"/>
          <w:szCs w:val="24"/>
          <w:highlight w:val="none"/>
        </w:rPr>
        <w:t>收到</w:t>
      </w:r>
      <w:r>
        <w:rPr>
          <w:rFonts w:hint="eastAsia" w:ascii="宋体" w:hAnsi="宋体"/>
          <w:bCs/>
          <w:sz w:val="24"/>
          <w:szCs w:val="24"/>
          <w:highlight w:val="none"/>
        </w:rPr>
        <w:t>甲方</w:t>
      </w:r>
      <w:r>
        <w:rPr>
          <w:rFonts w:ascii="宋体" w:hAnsi="宋体"/>
          <w:bCs/>
          <w:sz w:val="24"/>
          <w:szCs w:val="24"/>
          <w:highlight w:val="none"/>
        </w:rPr>
        <w:t>发出的人员</w:t>
      </w:r>
      <w:r>
        <w:rPr>
          <w:rFonts w:hint="eastAsia" w:ascii="宋体" w:hAnsi="宋体"/>
          <w:bCs/>
          <w:sz w:val="24"/>
          <w:szCs w:val="24"/>
          <w:highlight w:val="none"/>
        </w:rPr>
        <w:t>驻场</w:t>
      </w:r>
      <w:r>
        <w:rPr>
          <w:rFonts w:ascii="宋体" w:hAnsi="宋体"/>
          <w:bCs/>
          <w:sz w:val="24"/>
          <w:szCs w:val="24"/>
          <w:highlight w:val="none"/>
        </w:rPr>
        <w:t>通知后，</w:t>
      </w:r>
      <w:r>
        <w:rPr>
          <w:rFonts w:hint="eastAsia" w:ascii="宋体" w:hAnsi="宋体"/>
          <w:bCs/>
          <w:sz w:val="24"/>
          <w:szCs w:val="24"/>
          <w:highlight w:val="none"/>
        </w:rPr>
        <w:t>乙方应按时组织驻场人员驻场开展工作。如</w:t>
      </w:r>
      <w:r>
        <w:rPr>
          <w:rFonts w:hint="eastAsia" w:ascii="宋体" w:hAnsi="宋体" w:cs="宋体"/>
          <w:kern w:val="0"/>
          <w:sz w:val="24"/>
          <w:szCs w:val="24"/>
          <w:highlight w:val="none"/>
          <w:lang w:val="zh-CN"/>
        </w:rPr>
        <w:t>乙方</w:t>
      </w:r>
      <w:r>
        <w:rPr>
          <w:rFonts w:hint="eastAsia" w:ascii="宋体" w:hAnsi="宋体"/>
          <w:bCs/>
          <w:sz w:val="24"/>
          <w:szCs w:val="24"/>
          <w:highlight w:val="none"/>
        </w:rPr>
        <w:t>驻场人员不</w:t>
      </w:r>
      <w:r>
        <w:rPr>
          <w:rFonts w:ascii="宋体" w:hAnsi="宋体"/>
          <w:bCs/>
          <w:sz w:val="24"/>
          <w:szCs w:val="24"/>
          <w:highlight w:val="none"/>
        </w:rPr>
        <w:t>按通知要求时间到位</w:t>
      </w:r>
      <w:r>
        <w:rPr>
          <w:rFonts w:hint="eastAsia" w:ascii="宋体" w:hAnsi="宋体"/>
          <w:bCs/>
          <w:sz w:val="24"/>
          <w:szCs w:val="24"/>
          <w:highlight w:val="none"/>
        </w:rPr>
        <w:t>且未经甲方</w:t>
      </w:r>
      <w:r>
        <w:rPr>
          <w:rFonts w:ascii="宋体" w:hAnsi="宋体"/>
          <w:bCs/>
          <w:sz w:val="24"/>
          <w:szCs w:val="24"/>
          <w:highlight w:val="none"/>
        </w:rPr>
        <w:t>批准</w:t>
      </w:r>
      <w:r>
        <w:rPr>
          <w:rFonts w:hint="eastAsia" w:ascii="宋体" w:hAnsi="宋体"/>
          <w:bCs/>
          <w:sz w:val="24"/>
          <w:szCs w:val="24"/>
          <w:highlight w:val="none"/>
        </w:rPr>
        <w:t>同意</w:t>
      </w:r>
      <w:r>
        <w:rPr>
          <w:rFonts w:ascii="宋体" w:hAnsi="宋体"/>
          <w:bCs/>
          <w:sz w:val="24"/>
          <w:szCs w:val="24"/>
          <w:highlight w:val="none"/>
        </w:rPr>
        <w:t>的，每延迟1天，</w:t>
      </w:r>
      <w:r>
        <w:rPr>
          <w:rFonts w:hint="eastAsia" w:ascii="宋体" w:hAnsi="宋体" w:cs="宋体"/>
          <w:kern w:val="0"/>
          <w:sz w:val="24"/>
          <w:szCs w:val="24"/>
          <w:highlight w:val="none"/>
          <w:lang w:val="zh-CN"/>
        </w:rPr>
        <w:t>乙方</w:t>
      </w:r>
      <w:r>
        <w:rPr>
          <w:rFonts w:ascii="宋体" w:hAnsi="宋体"/>
          <w:bCs/>
          <w:sz w:val="24"/>
          <w:szCs w:val="24"/>
          <w:highlight w:val="none"/>
        </w:rPr>
        <w:t>按</w:t>
      </w:r>
      <w:r>
        <w:rPr>
          <w:rFonts w:hint="eastAsia" w:ascii="宋体" w:hAnsi="宋体"/>
          <w:bCs/>
          <w:sz w:val="24"/>
          <w:szCs w:val="24"/>
          <w:highlight w:val="none"/>
        </w:rPr>
        <w:t>以下标准向甲方支付违约金</w:t>
      </w:r>
      <w:r>
        <w:rPr>
          <w:rFonts w:ascii="宋体" w:hAnsi="宋体"/>
          <w:bCs/>
          <w:sz w:val="24"/>
          <w:szCs w:val="24"/>
          <w:highlight w:val="none"/>
        </w:rPr>
        <w:t>：</w:t>
      </w:r>
      <w:r>
        <w:rPr>
          <w:rFonts w:hint="eastAsia" w:ascii="宋体" w:hAnsi="宋体"/>
          <w:bCs/>
          <w:sz w:val="24"/>
          <w:szCs w:val="24"/>
          <w:highlight w:val="none"/>
        </w:rPr>
        <w:t>注册造价工程师12</w:t>
      </w:r>
      <w:r>
        <w:rPr>
          <w:rFonts w:ascii="宋体" w:hAnsi="宋体"/>
          <w:bCs/>
          <w:sz w:val="24"/>
          <w:szCs w:val="24"/>
          <w:highlight w:val="none"/>
        </w:rPr>
        <w:t>00元</w:t>
      </w:r>
      <w:r>
        <w:rPr>
          <w:rFonts w:hint="eastAsia" w:ascii="宋体" w:hAnsi="宋体"/>
          <w:bCs/>
          <w:sz w:val="24"/>
          <w:szCs w:val="24"/>
          <w:highlight w:val="none"/>
        </w:rPr>
        <w:t>/人·天。</w:t>
      </w:r>
    </w:p>
    <w:p w14:paraId="5B961B09">
      <w:pPr>
        <w:spacing w:line="440" w:lineRule="exact"/>
        <w:ind w:firstLine="480" w:firstLineChars="200"/>
        <w:rPr>
          <w:rFonts w:ascii="宋体" w:hAnsi="宋体"/>
          <w:bCs/>
          <w:sz w:val="24"/>
          <w:szCs w:val="24"/>
          <w:highlight w:val="none"/>
        </w:rPr>
      </w:pPr>
      <w:r>
        <w:rPr>
          <w:rFonts w:ascii="宋体" w:hAnsi="宋体"/>
          <w:sz w:val="24"/>
          <w:szCs w:val="24"/>
          <w:highlight w:val="none"/>
        </w:rPr>
        <w:t>4.5.7</w:t>
      </w:r>
      <w:r>
        <w:rPr>
          <w:rFonts w:ascii="宋体" w:hAnsi="宋体"/>
          <w:bCs/>
          <w:sz w:val="24"/>
          <w:szCs w:val="24"/>
          <w:highlight w:val="none"/>
        </w:rPr>
        <w:t>如</w:t>
      </w:r>
      <w:r>
        <w:rPr>
          <w:rFonts w:hint="eastAsia" w:ascii="宋体" w:hAnsi="宋体" w:cs="宋体"/>
          <w:kern w:val="0"/>
          <w:sz w:val="24"/>
          <w:szCs w:val="24"/>
          <w:highlight w:val="none"/>
          <w:lang w:val="zh-CN"/>
        </w:rPr>
        <w:t>乙方</w:t>
      </w:r>
      <w:r>
        <w:rPr>
          <w:rFonts w:hint="eastAsia" w:ascii="宋体" w:hAnsi="宋体"/>
          <w:bCs/>
          <w:sz w:val="24"/>
          <w:szCs w:val="24"/>
          <w:highlight w:val="none"/>
        </w:rPr>
        <w:t>驻场人员</w:t>
      </w:r>
      <w:r>
        <w:rPr>
          <w:rFonts w:ascii="宋体" w:hAnsi="宋体"/>
          <w:bCs/>
          <w:sz w:val="24"/>
          <w:szCs w:val="24"/>
          <w:highlight w:val="none"/>
        </w:rPr>
        <w:t>因不适应现场工作需要而被</w:t>
      </w:r>
      <w:r>
        <w:rPr>
          <w:rFonts w:hint="eastAsia" w:ascii="宋体" w:hAnsi="宋体"/>
          <w:bCs/>
          <w:sz w:val="24"/>
          <w:szCs w:val="24"/>
          <w:highlight w:val="none"/>
        </w:rPr>
        <w:t>甲方书面要求</w:t>
      </w:r>
      <w:r>
        <w:rPr>
          <w:rFonts w:ascii="宋体" w:hAnsi="宋体"/>
          <w:bCs/>
          <w:sz w:val="24"/>
          <w:szCs w:val="24"/>
          <w:highlight w:val="none"/>
        </w:rPr>
        <w:t>撤换的，</w:t>
      </w:r>
      <w:r>
        <w:rPr>
          <w:rFonts w:hint="eastAsia" w:ascii="宋体" w:hAnsi="宋体"/>
          <w:bCs/>
          <w:sz w:val="24"/>
          <w:szCs w:val="24"/>
          <w:highlight w:val="none"/>
        </w:rPr>
        <w:t>或者乙方</w:t>
      </w:r>
      <w:r>
        <w:rPr>
          <w:rFonts w:ascii="宋体" w:hAnsi="宋体"/>
          <w:bCs/>
          <w:sz w:val="24"/>
          <w:szCs w:val="24"/>
          <w:highlight w:val="none"/>
        </w:rPr>
        <w:t>未经</w:t>
      </w:r>
      <w:r>
        <w:rPr>
          <w:rFonts w:hint="eastAsia" w:ascii="宋体" w:hAnsi="宋体"/>
          <w:bCs/>
          <w:sz w:val="24"/>
          <w:szCs w:val="24"/>
          <w:highlight w:val="none"/>
        </w:rPr>
        <w:t>甲方</w:t>
      </w:r>
      <w:r>
        <w:rPr>
          <w:rFonts w:ascii="宋体" w:hAnsi="宋体"/>
          <w:bCs/>
          <w:sz w:val="24"/>
          <w:szCs w:val="24"/>
          <w:highlight w:val="none"/>
        </w:rPr>
        <w:t>同意擅自更换</w:t>
      </w:r>
      <w:r>
        <w:rPr>
          <w:rFonts w:hint="eastAsia" w:ascii="宋体" w:hAnsi="宋体"/>
          <w:bCs/>
          <w:sz w:val="24"/>
          <w:szCs w:val="24"/>
          <w:highlight w:val="none"/>
        </w:rPr>
        <w:t>驻场人员</w:t>
      </w:r>
      <w:r>
        <w:rPr>
          <w:rFonts w:ascii="宋体" w:hAnsi="宋体"/>
          <w:bCs/>
          <w:sz w:val="24"/>
          <w:szCs w:val="24"/>
          <w:highlight w:val="none"/>
        </w:rPr>
        <w:t>，必须</w:t>
      </w:r>
      <w:r>
        <w:rPr>
          <w:rFonts w:hint="eastAsia" w:ascii="宋体" w:hAnsi="宋体"/>
          <w:bCs/>
          <w:sz w:val="24"/>
          <w:szCs w:val="24"/>
          <w:highlight w:val="none"/>
        </w:rPr>
        <w:t>在7天内完成整改</w:t>
      </w:r>
      <w:r>
        <w:rPr>
          <w:rFonts w:ascii="宋体" w:hAnsi="宋体"/>
          <w:bCs/>
          <w:sz w:val="24"/>
          <w:szCs w:val="24"/>
          <w:highlight w:val="none"/>
        </w:rPr>
        <w:t>，</w:t>
      </w:r>
      <w:r>
        <w:rPr>
          <w:rFonts w:hint="eastAsia" w:ascii="宋体" w:hAnsi="宋体"/>
          <w:bCs/>
          <w:sz w:val="24"/>
          <w:szCs w:val="24"/>
          <w:highlight w:val="none"/>
        </w:rPr>
        <w:t>且乙方按以下标准向甲方支付违约金：注册造价工程师60</w:t>
      </w:r>
      <w:r>
        <w:rPr>
          <w:rFonts w:ascii="宋体" w:hAnsi="宋体"/>
          <w:bCs/>
          <w:sz w:val="24"/>
          <w:szCs w:val="24"/>
          <w:highlight w:val="none"/>
        </w:rPr>
        <w:t>00元</w:t>
      </w:r>
      <w:r>
        <w:rPr>
          <w:rFonts w:hint="eastAsia" w:ascii="宋体" w:hAnsi="宋体"/>
          <w:bCs/>
          <w:sz w:val="24"/>
          <w:szCs w:val="24"/>
          <w:highlight w:val="none"/>
        </w:rPr>
        <w:t>/人·次。</w:t>
      </w:r>
    </w:p>
    <w:p w14:paraId="435B00B5">
      <w:pPr>
        <w:spacing w:line="440" w:lineRule="exact"/>
        <w:ind w:firstLine="480" w:firstLineChars="200"/>
        <w:rPr>
          <w:rFonts w:ascii="宋体" w:hAnsi="宋体"/>
          <w:bCs/>
          <w:sz w:val="24"/>
          <w:szCs w:val="24"/>
          <w:highlight w:val="none"/>
        </w:rPr>
      </w:pPr>
      <w:r>
        <w:rPr>
          <w:rFonts w:ascii="宋体" w:hAnsi="宋体"/>
          <w:sz w:val="24"/>
          <w:szCs w:val="24"/>
          <w:highlight w:val="none"/>
        </w:rPr>
        <w:t>4.5.8</w:t>
      </w:r>
      <w:r>
        <w:rPr>
          <w:rFonts w:hint="eastAsia" w:ascii="宋体" w:hAnsi="宋体"/>
          <w:bCs/>
          <w:sz w:val="24"/>
          <w:szCs w:val="24"/>
          <w:highlight w:val="none"/>
        </w:rPr>
        <w:t>驻场</w:t>
      </w:r>
      <w:r>
        <w:rPr>
          <w:rFonts w:ascii="宋体" w:hAnsi="宋体"/>
          <w:bCs/>
          <w:sz w:val="24"/>
          <w:szCs w:val="24"/>
          <w:highlight w:val="none"/>
        </w:rPr>
        <w:t>过程中，</w:t>
      </w:r>
      <w:r>
        <w:rPr>
          <w:rFonts w:hint="eastAsia" w:ascii="宋体" w:hAnsi="宋体"/>
          <w:bCs/>
          <w:sz w:val="24"/>
          <w:szCs w:val="24"/>
          <w:highlight w:val="none"/>
        </w:rPr>
        <w:t>驻场人员</w:t>
      </w:r>
      <w:r>
        <w:rPr>
          <w:rFonts w:ascii="宋体" w:hAnsi="宋体"/>
          <w:bCs/>
          <w:sz w:val="24"/>
          <w:szCs w:val="24"/>
          <w:highlight w:val="none"/>
        </w:rPr>
        <w:t>擅自离场或岗位空缺</w:t>
      </w:r>
      <w:r>
        <w:rPr>
          <w:rFonts w:hint="eastAsia" w:ascii="宋体" w:hAnsi="宋体"/>
          <w:bCs/>
          <w:sz w:val="24"/>
          <w:szCs w:val="24"/>
          <w:highlight w:val="none"/>
        </w:rPr>
        <w:t>的</w:t>
      </w:r>
      <w:r>
        <w:rPr>
          <w:rFonts w:ascii="宋体" w:hAnsi="宋体"/>
          <w:bCs/>
          <w:sz w:val="24"/>
          <w:szCs w:val="24"/>
          <w:highlight w:val="none"/>
        </w:rPr>
        <w:t>，</w:t>
      </w:r>
      <w:r>
        <w:rPr>
          <w:rFonts w:hint="eastAsia" w:ascii="宋体" w:hAnsi="宋体"/>
          <w:bCs/>
          <w:sz w:val="24"/>
          <w:szCs w:val="24"/>
          <w:highlight w:val="none"/>
        </w:rPr>
        <w:t>甲方</w:t>
      </w:r>
      <w:r>
        <w:rPr>
          <w:rFonts w:ascii="宋体" w:hAnsi="宋体"/>
          <w:bCs/>
          <w:sz w:val="24"/>
          <w:szCs w:val="24"/>
          <w:highlight w:val="none"/>
        </w:rPr>
        <w:t>可以发出书面通知，</w:t>
      </w:r>
      <w:r>
        <w:rPr>
          <w:rFonts w:hint="eastAsia" w:ascii="宋体" w:hAnsi="宋体" w:cs="宋体"/>
          <w:kern w:val="0"/>
          <w:sz w:val="24"/>
          <w:szCs w:val="24"/>
          <w:highlight w:val="none"/>
          <w:lang w:val="zh-CN"/>
        </w:rPr>
        <w:t>乙方</w:t>
      </w:r>
      <w:r>
        <w:rPr>
          <w:rFonts w:ascii="宋体" w:hAnsi="宋体"/>
          <w:bCs/>
          <w:sz w:val="24"/>
          <w:szCs w:val="24"/>
          <w:highlight w:val="none"/>
        </w:rPr>
        <w:t>必须在24小时内纠正，并要求</w:t>
      </w:r>
      <w:r>
        <w:rPr>
          <w:rFonts w:hint="eastAsia" w:ascii="宋体" w:hAnsi="宋体" w:cs="宋体"/>
          <w:kern w:val="0"/>
          <w:sz w:val="24"/>
          <w:szCs w:val="24"/>
          <w:highlight w:val="none"/>
          <w:lang w:val="zh-CN"/>
        </w:rPr>
        <w:t>乙方</w:t>
      </w:r>
      <w:r>
        <w:rPr>
          <w:rFonts w:ascii="宋体" w:hAnsi="宋体"/>
          <w:bCs/>
          <w:sz w:val="24"/>
          <w:szCs w:val="24"/>
          <w:highlight w:val="none"/>
        </w:rPr>
        <w:t>作出书面解释和保证；此种情况每出现1次，</w:t>
      </w:r>
      <w:r>
        <w:rPr>
          <w:rFonts w:hint="eastAsia" w:ascii="宋体" w:hAnsi="宋体" w:cs="宋体"/>
          <w:kern w:val="0"/>
          <w:sz w:val="24"/>
          <w:szCs w:val="24"/>
          <w:highlight w:val="none"/>
          <w:lang w:val="zh-CN"/>
        </w:rPr>
        <w:t>乙方按以下标准向甲方</w:t>
      </w:r>
      <w:r>
        <w:rPr>
          <w:rFonts w:ascii="宋体" w:hAnsi="宋体"/>
          <w:bCs/>
          <w:sz w:val="24"/>
          <w:szCs w:val="24"/>
          <w:highlight w:val="none"/>
        </w:rPr>
        <w:t>支付违约金</w:t>
      </w:r>
      <w:r>
        <w:rPr>
          <w:rFonts w:hint="eastAsia" w:ascii="宋体" w:hAnsi="宋体"/>
          <w:bCs/>
          <w:sz w:val="24"/>
          <w:szCs w:val="24"/>
          <w:highlight w:val="none"/>
        </w:rPr>
        <w:t>：注册造价工程师24</w:t>
      </w:r>
      <w:r>
        <w:rPr>
          <w:rFonts w:ascii="宋体" w:hAnsi="宋体"/>
          <w:bCs/>
          <w:sz w:val="24"/>
          <w:szCs w:val="24"/>
          <w:highlight w:val="none"/>
        </w:rPr>
        <w:t>00元</w:t>
      </w:r>
      <w:r>
        <w:rPr>
          <w:rFonts w:hint="eastAsia" w:ascii="宋体" w:hAnsi="宋体"/>
          <w:bCs/>
          <w:sz w:val="24"/>
          <w:szCs w:val="24"/>
          <w:highlight w:val="none"/>
        </w:rPr>
        <w:t>/人·次。</w:t>
      </w:r>
      <w:r>
        <w:rPr>
          <w:rFonts w:ascii="宋体" w:hAnsi="宋体"/>
          <w:bCs/>
          <w:sz w:val="24"/>
          <w:szCs w:val="24"/>
          <w:highlight w:val="none"/>
        </w:rPr>
        <w:t>30天内出现2次，</w:t>
      </w:r>
      <w:r>
        <w:rPr>
          <w:rFonts w:hint="eastAsia" w:ascii="宋体" w:hAnsi="宋体" w:cs="宋体"/>
          <w:kern w:val="0"/>
          <w:sz w:val="24"/>
          <w:szCs w:val="24"/>
          <w:highlight w:val="none"/>
          <w:lang w:val="zh-CN"/>
        </w:rPr>
        <w:t>乙方</w:t>
      </w:r>
      <w:r>
        <w:rPr>
          <w:rFonts w:ascii="宋体" w:hAnsi="宋体"/>
          <w:bCs/>
          <w:sz w:val="24"/>
          <w:szCs w:val="24"/>
          <w:highlight w:val="none"/>
        </w:rPr>
        <w:t>必须承担限期改正责任1次。若</w:t>
      </w:r>
      <w:r>
        <w:rPr>
          <w:rFonts w:hint="eastAsia" w:ascii="宋体" w:hAnsi="宋体" w:cs="宋体"/>
          <w:kern w:val="0"/>
          <w:sz w:val="24"/>
          <w:szCs w:val="24"/>
          <w:highlight w:val="none"/>
          <w:lang w:val="zh-CN"/>
        </w:rPr>
        <w:t>乙方</w:t>
      </w:r>
      <w:r>
        <w:rPr>
          <w:rFonts w:ascii="宋体" w:hAnsi="宋体"/>
          <w:bCs/>
          <w:sz w:val="24"/>
          <w:szCs w:val="24"/>
          <w:highlight w:val="none"/>
        </w:rPr>
        <w:t>未能按要求及时纠正、或作出书面解释和保证，</w:t>
      </w:r>
      <w:r>
        <w:rPr>
          <w:rFonts w:hint="eastAsia" w:ascii="宋体" w:hAnsi="宋体"/>
          <w:bCs/>
          <w:sz w:val="24"/>
          <w:szCs w:val="24"/>
          <w:highlight w:val="none"/>
        </w:rPr>
        <w:t>甲方</w:t>
      </w:r>
      <w:r>
        <w:rPr>
          <w:rFonts w:ascii="宋体" w:hAnsi="宋体"/>
          <w:bCs/>
          <w:sz w:val="24"/>
          <w:szCs w:val="24"/>
          <w:highlight w:val="none"/>
        </w:rPr>
        <w:t>将再次发出书面通知，</w:t>
      </w:r>
      <w:r>
        <w:rPr>
          <w:rFonts w:hint="eastAsia" w:ascii="宋体" w:hAnsi="宋体" w:cs="宋体"/>
          <w:kern w:val="0"/>
          <w:sz w:val="24"/>
          <w:szCs w:val="24"/>
          <w:highlight w:val="none"/>
          <w:lang w:val="zh-CN"/>
        </w:rPr>
        <w:t>乙方</w:t>
      </w:r>
      <w:r>
        <w:rPr>
          <w:rFonts w:ascii="宋体" w:hAnsi="宋体"/>
          <w:bCs/>
          <w:sz w:val="24"/>
          <w:szCs w:val="24"/>
          <w:highlight w:val="none"/>
        </w:rPr>
        <w:t>必须承担限期改正责任1次</w:t>
      </w:r>
      <w:r>
        <w:rPr>
          <w:rFonts w:hint="eastAsia" w:ascii="宋体" w:hAnsi="宋体"/>
          <w:bCs/>
          <w:sz w:val="24"/>
          <w:szCs w:val="24"/>
          <w:highlight w:val="none"/>
        </w:rPr>
        <w:t>。以</w:t>
      </w:r>
      <w:r>
        <w:rPr>
          <w:rFonts w:ascii="宋体" w:hAnsi="宋体"/>
          <w:bCs/>
          <w:sz w:val="24"/>
          <w:szCs w:val="24"/>
          <w:highlight w:val="none"/>
        </w:rPr>
        <w:t>此类推</w:t>
      </w:r>
      <w:r>
        <w:rPr>
          <w:rFonts w:hint="eastAsia" w:ascii="宋体" w:hAnsi="宋体"/>
          <w:bCs/>
          <w:sz w:val="24"/>
          <w:szCs w:val="24"/>
          <w:highlight w:val="none"/>
        </w:rPr>
        <w:t>，</w:t>
      </w:r>
      <w:r>
        <w:rPr>
          <w:rFonts w:hint="eastAsia" w:ascii="宋体" w:hAnsi="宋体"/>
          <w:sz w:val="24"/>
          <w:szCs w:val="24"/>
          <w:highlight w:val="none"/>
        </w:rPr>
        <w:t>累计两次以上（含两次）限期改正责任的，</w:t>
      </w:r>
      <w:r>
        <w:rPr>
          <w:rFonts w:hint="eastAsia" w:ascii="宋体" w:hAnsi="宋体" w:cs="宋体"/>
          <w:kern w:val="0"/>
          <w:sz w:val="24"/>
          <w:szCs w:val="24"/>
          <w:highlight w:val="none"/>
          <w:lang w:val="zh-CN"/>
        </w:rPr>
        <w:t>甲方</w:t>
      </w:r>
      <w:r>
        <w:rPr>
          <w:rFonts w:hint="eastAsia" w:ascii="宋体" w:hAnsi="宋体"/>
          <w:sz w:val="24"/>
          <w:szCs w:val="24"/>
          <w:highlight w:val="none"/>
        </w:rPr>
        <w:t>有权要求撤换该</w:t>
      </w:r>
      <w:r>
        <w:rPr>
          <w:rFonts w:hint="eastAsia" w:ascii="宋体" w:hAnsi="宋体"/>
          <w:bCs/>
          <w:sz w:val="24"/>
          <w:szCs w:val="24"/>
          <w:highlight w:val="none"/>
        </w:rPr>
        <w:t>驻场人员</w:t>
      </w:r>
      <w:r>
        <w:rPr>
          <w:rFonts w:hint="eastAsia" w:ascii="宋体" w:hAnsi="宋体"/>
          <w:sz w:val="24"/>
          <w:szCs w:val="24"/>
          <w:highlight w:val="none"/>
        </w:rPr>
        <w:t>，并由</w:t>
      </w:r>
      <w:r>
        <w:rPr>
          <w:rFonts w:hint="eastAsia" w:ascii="宋体" w:hAnsi="宋体" w:cs="宋体"/>
          <w:kern w:val="0"/>
          <w:sz w:val="24"/>
          <w:szCs w:val="24"/>
          <w:highlight w:val="none"/>
          <w:lang w:val="zh-CN"/>
        </w:rPr>
        <w:t>乙方</w:t>
      </w:r>
      <w:r>
        <w:rPr>
          <w:rFonts w:hint="eastAsia" w:ascii="宋体" w:hAnsi="宋体"/>
          <w:sz w:val="24"/>
          <w:szCs w:val="24"/>
          <w:highlight w:val="none"/>
        </w:rPr>
        <w:t>按照前述第4.5.6款人员被撤换的情况承担违约责任。</w:t>
      </w:r>
    </w:p>
    <w:p w14:paraId="3BCF7F6B">
      <w:pPr>
        <w:spacing w:line="440" w:lineRule="exact"/>
        <w:ind w:firstLine="480" w:firstLineChars="200"/>
        <w:rPr>
          <w:rFonts w:ascii="宋体" w:hAnsi="宋体"/>
          <w:sz w:val="24"/>
          <w:szCs w:val="24"/>
          <w:highlight w:val="none"/>
        </w:rPr>
      </w:pPr>
      <w:r>
        <w:rPr>
          <w:rFonts w:ascii="宋体" w:hAnsi="宋体"/>
          <w:sz w:val="24"/>
          <w:szCs w:val="24"/>
          <w:highlight w:val="none"/>
        </w:rPr>
        <w:t>4.5.9</w:t>
      </w:r>
      <w:r>
        <w:rPr>
          <w:rFonts w:hint="eastAsia" w:ascii="宋体" w:hAnsi="宋体"/>
          <w:sz w:val="24"/>
          <w:szCs w:val="24"/>
          <w:highlight w:val="none"/>
        </w:rPr>
        <w:t>乙方为完成本项目造价咨询工作的全部人工费用（工资、奖金、福利、保险）、办公条件（电脑、打印机、交通、通讯、食宿）等一切费用均由乙方自行承担。</w:t>
      </w:r>
    </w:p>
    <w:p w14:paraId="14A28337">
      <w:pPr>
        <w:tabs>
          <w:tab w:val="left" w:pos="9100"/>
        </w:tabs>
        <w:autoSpaceDE w:val="0"/>
        <w:autoSpaceDN w:val="0"/>
        <w:adjustRightInd w:val="0"/>
        <w:spacing w:line="440" w:lineRule="exact"/>
        <w:ind w:right="907"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4.</w:t>
      </w:r>
      <w:r>
        <w:rPr>
          <w:rFonts w:ascii="宋体" w:hAnsi="宋体" w:cs="宋体"/>
          <w:b/>
          <w:kern w:val="0"/>
          <w:sz w:val="24"/>
          <w:szCs w:val="24"/>
          <w:highlight w:val="none"/>
        </w:rPr>
        <w:t>6</w:t>
      </w:r>
      <w:r>
        <w:rPr>
          <w:rFonts w:hint="eastAsia" w:ascii="宋体" w:hAnsi="宋体" w:cs="宋体"/>
          <w:b/>
          <w:kern w:val="0"/>
          <w:sz w:val="24"/>
          <w:szCs w:val="24"/>
          <w:highlight w:val="none"/>
        </w:rPr>
        <w:t xml:space="preserve"> 其它要求</w:t>
      </w:r>
    </w:p>
    <w:p w14:paraId="09887B6F">
      <w:pPr>
        <w:pStyle w:val="46"/>
        <w:spacing w:line="440" w:lineRule="exact"/>
        <w:ind w:left="57" w:leftChars="27" w:right="144" w:firstLine="516" w:firstLineChars="215"/>
        <w:jc w:val="left"/>
        <w:rPr>
          <w:color w:val="auto"/>
          <w:highlight w:val="none"/>
          <w:lang w:val="zh-CN"/>
        </w:rPr>
      </w:pPr>
      <w:r>
        <w:rPr>
          <w:rFonts w:hint="eastAsia"/>
          <w:color w:val="auto"/>
          <w:highlight w:val="none"/>
          <w:lang w:val="zh-CN"/>
        </w:rPr>
        <w:t>4.</w:t>
      </w:r>
      <w:r>
        <w:rPr>
          <w:color w:val="auto"/>
          <w:highlight w:val="none"/>
          <w:lang w:val="zh-CN"/>
        </w:rPr>
        <w:t>6</w:t>
      </w:r>
      <w:r>
        <w:rPr>
          <w:rFonts w:hint="eastAsia"/>
          <w:color w:val="auto"/>
          <w:highlight w:val="none"/>
          <w:lang w:val="zh-CN"/>
        </w:rPr>
        <w:t>.1乙方须遵守甲方各项规章制度和廉政纪律要求，无条件配合甲方的复核、复审和考核等工作。</w:t>
      </w:r>
    </w:p>
    <w:p w14:paraId="7B125A53">
      <w:pPr>
        <w:pStyle w:val="46"/>
        <w:spacing w:line="440" w:lineRule="exact"/>
        <w:ind w:left="57" w:leftChars="27" w:right="144" w:firstLine="516" w:firstLineChars="215"/>
        <w:jc w:val="left"/>
        <w:rPr>
          <w:color w:val="auto"/>
          <w:highlight w:val="none"/>
          <w:lang w:val="zh-CN"/>
        </w:rPr>
      </w:pPr>
      <w:r>
        <w:rPr>
          <w:rFonts w:hint="eastAsia"/>
          <w:color w:val="auto"/>
          <w:highlight w:val="none"/>
          <w:lang w:val="zh-CN"/>
        </w:rPr>
        <w:t>4.</w:t>
      </w:r>
      <w:r>
        <w:rPr>
          <w:color w:val="auto"/>
          <w:highlight w:val="none"/>
          <w:lang w:val="zh-CN"/>
        </w:rPr>
        <w:t>6</w:t>
      </w:r>
      <w:r>
        <w:rPr>
          <w:rFonts w:hint="eastAsia"/>
          <w:color w:val="auto"/>
          <w:highlight w:val="none"/>
          <w:lang w:val="zh-CN"/>
        </w:rPr>
        <w:t>.2乙方必须具有保证业务需要的交通工具、办公设备和造价审核管理软件等。</w:t>
      </w:r>
    </w:p>
    <w:p w14:paraId="05CDCD59">
      <w:pPr>
        <w:pStyle w:val="46"/>
        <w:spacing w:line="440" w:lineRule="exact"/>
        <w:ind w:left="57" w:leftChars="27" w:right="144" w:firstLine="516" w:firstLineChars="215"/>
        <w:jc w:val="left"/>
        <w:rPr>
          <w:color w:val="auto"/>
          <w:highlight w:val="none"/>
          <w:lang w:val="zh-CN"/>
        </w:rPr>
      </w:pPr>
      <w:r>
        <w:rPr>
          <w:rFonts w:hint="eastAsia"/>
          <w:color w:val="auto"/>
          <w:highlight w:val="none"/>
          <w:lang w:val="zh-CN"/>
        </w:rPr>
        <w:t>4.</w:t>
      </w:r>
      <w:r>
        <w:rPr>
          <w:color w:val="auto"/>
          <w:highlight w:val="none"/>
          <w:lang w:val="zh-CN"/>
        </w:rPr>
        <w:t>6</w:t>
      </w:r>
      <w:r>
        <w:rPr>
          <w:rFonts w:hint="eastAsia"/>
          <w:color w:val="auto"/>
          <w:highlight w:val="none"/>
          <w:lang w:val="zh-CN"/>
        </w:rPr>
        <w:t>.3乙方须独立完成造价咨询业务，未经甲方同意不得转让第三方负责；对有特殊技术要求的咨询项目，需聘请相关专家共同完成咨询业务的，需事先征得甲方同意。未经甲方同意，不得以任何形式向任何单位或个人披露审核项目有关的信息，不得对外提供、泄露审核有关情况。</w:t>
      </w:r>
    </w:p>
    <w:p w14:paraId="011BBE73">
      <w:pPr>
        <w:pStyle w:val="7"/>
        <w:spacing w:line="440" w:lineRule="exact"/>
        <w:ind w:left="105" w:leftChars="50" w:firstLine="360" w:firstLineChars="150"/>
        <w:rPr>
          <w:rFonts w:ascii="宋体" w:hAnsi="宋体"/>
          <w:b/>
          <w:kern w:val="0"/>
          <w:sz w:val="24"/>
          <w:szCs w:val="24"/>
          <w:highlight w:val="none"/>
        </w:rPr>
      </w:pPr>
      <w:r>
        <w:rPr>
          <w:rFonts w:hint="eastAsia" w:ascii="宋体" w:hAnsi="宋体"/>
          <w:sz w:val="24"/>
          <w:szCs w:val="24"/>
          <w:highlight w:val="none"/>
          <w:lang w:val="zh-CN"/>
        </w:rPr>
        <w:t>4.</w:t>
      </w:r>
      <w:r>
        <w:rPr>
          <w:rFonts w:ascii="宋体" w:hAnsi="宋体"/>
          <w:sz w:val="24"/>
          <w:szCs w:val="24"/>
          <w:highlight w:val="none"/>
          <w:lang w:val="zh-CN"/>
        </w:rPr>
        <w:t>6</w:t>
      </w:r>
      <w:r>
        <w:rPr>
          <w:rFonts w:hint="eastAsia" w:ascii="宋体" w:hAnsi="宋体"/>
          <w:sz w:val="24"/>
          <w:szCs w:val="24"/>
          <w:highlight w:val="none"/>
          <w:lang w:val="zh-CN"/>
        </w:rPr>
        <w:t>.4 乙方需为驻场人员购买商业保险，发生人身安全事故，由乙方承担相应责任。</w:t>
      </w:r>
    </w:p>
    <w:p w14:paraId="6B7A8F7F">
      <w:pPr>
        <w:spacing w:line="440" w:lineRule="exact"/>
        <w:ind w:firstLine="482" w:firstLineChars="200"/>
        <w:rPr>
          <w:rFonts w:ascii="宋体" w:hAnsi="宋体"/>
          <w:sz w:val="24"/>
          <w:szCs w:val="24"/>
          <w:highlight w:val="none"/>
        </w:rPr>
      </w:pPr>
      <w:r>
        <w:rPr>
          <w:rFonts w:hint="eastAsia" w:ascii="宋体" w:hAnsi="宋体"/>
          <w:b/>
          <w:kern w:val="0"/>
          <w:sz w:val="24"/>
          <w:szCs w:val="24"/>
          <w:highlight w:val="none"/>
        </w:rPr>
        <w:t xml:space="preserve">第六条 </w:t>
      </w:r>
      <w:r>
        <w:rPr>
          <w:rFonts w:hint="eastAsia" w:ascii="宋体" w:hAnsi="宋体"/>
          <w:kern w:val="0"/>
          <w:sz w:val="24"/>
          <w:szCs w:val="24"/>
          <w:highlight w:val="none"/>
        </w:rPr>
        <w:t xml:space="preserve"> </w:t>
      </w:r>
      <w:r>
        <w:rPr>
          <w:rFonts w:hint="eastAsia" w:ascii="宋体" w:hAnsi="宋体"/>
          <w:b/>
          <w:kern w:val="0"/>
          <w:sz w:val="24"/>
          <w:szCs w:val="24"/>
          <w:highlight w:val="none"/>
        </w:rPr>
        <w:t>工作要求</w:t>
      </w:r>
    </w:p>
    <w:p w14:paraId="0B98EB14">
      <w:pPr>
        <w:tabs>
          <w:tab w:val="left" w:pos="9100"/>
        </w:tabs>
        <w:autoSpaceDE w:val="0"/>
        <w:autoSpaceDN w:val="0"/>
        <w:adjustRightInd w:val="0"/>
        <w:spacing w:line="440" w:lineRule="exact"/>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6.1 质量要求</w:t>
      </w:r>
    </w:p>
    <w:p w14:paraId="776FCA28">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6.1.1</w:t>
      </w:r>
      <w:r>
        <w:rPr>
          <w:rFonts w:hint="eastAsia" w:ascii="宋体" w:hAnsi="宋体" w:cs="宋体"/>
          <w:kern w:val="0"/>
          <w:sz w:val="24"/>
          <w:szCs w:val="24"/>
          <w:highlight w:val="none"/>
        </w:rPr>
        <w:t>乙方应熟悉并严格按照国家、省、市有关财政、基建、工程造价方面的法律、法规，以及甲方工程造价管理业务制度要求，依据合同相关约定，本着有依有据、合法合规的原则，科学、客观、公正地开展造价咨询工作，乙方提供的工程造价咨询成果文件应合理体现甲方控制项目投资的要求。</w:t>
      </w:r>
    </w:p>
    <w:p w14:paraId="374CD508">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6.1.2乙方应对天河区凌塘村城中村改造项目-凌塘新村南侧地块复建安置房及配套设施工程建设实行全过程造价管理，确保项目成本得到有效管控。</w:t>
      </w:r>
    </w:p>
    <w:p w14:paraId="42B252DB">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6.1.3</w:t>
      </w:r>
      <w:r>
        <w:rPr>
          <w:rFonts w:hint="eastAsia" w:ascii="宋体" w:hAnsi="宋体" w:cs="宋体"/>
          <w:kern w:val="0"/>
          <w:sz w:val="24"/>
          <w:szCs w:val="24"/>
          <w:highlight w:val="none"/>
        </w:rPr>
        <w:t>乙方应确保本</w:t>
      </w:r>
      <w:r>
        <w:rPr>
          <w:rFonts w:hint="eastAsia" w:ascii="宋体" w:hAnsi="宋体" w:cs="宋体"/>
          <w:kern w:val="0"/>
          <w:sz w:val="24"/>
          <w:szCs w:val="24"/>
          <w:highlight w:val="none"/>
          <w:lang w:val="en-US" w:eastAsia="zh-CN"/>
        </w:rPr>
        <w:t>项目</w:t>
      </w:r>
      <w:r>
        <w:rPr>
          <w:rFonts w:hint="eastAsia" w:ascii="宋体" w:hAnsi="宋体" w:cs="宋体"/>
          <w:kern w:val="0"/>
          <w:sz w:val="24"/>
          <w:szCs w:val="24"/>
          <w:highlight w:val="none"/>
        </w:rPr>
        <w:t>招标工程量清单、招标控制价的编制（审核）</w:t>
      </w:r>
      <w:r>
        <w:rPr>
          <w:rFonts w:hint="eastAsia" w:ascii="宋体" w:hAnsi="宋体" w:cs="宋体"/>
          <w:kern w:val="0"/>
          <w:sz w:val="24"/>
          <w:szCs w:val="24"/>
          <w:highlight w:val="none"/>
          <w:lang w:val="en-US" w:eastAsia="zh-CN"/>
        </w:rPr>
        <w:t>及其它造价成果文件的</w:t>
      </w:r>
      <w:r>
        <w:rPr>
          <w:rFonts w:hint="eastAsia" w:ascii="宋体" w:hAnsi="宋体" w:cs="宋体"/>
          <w:kern w:val="0"/>
          <w:sz w:val="24"/>
          <w:szCs w:val="24"/>
          <w:highlight w:val="none"/>
        </w:rPr>
        <w:t>工作质量，开项必须齐全、工程量必须准确、造价必须合理，并满足工程投资控制和合同的约定。</w:t>
      </w:r>
    </w:p>
    <w:p w14:paraId="5EA31259">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6.1.4</w:t>
      </w:r>
      <w:r>
        <w:rPr>
          <w:rFonts w:hint="eastAsia" w:ascii="宋体" w:hAnsi="宋体"/>
          <w:bCs/>
          <w:snapToGrid w:val="0"/>
          <w:sz w:val="24"/>
          <w:szCs w:val="24"/>
          <w:highlight w:val="none"/>
        </w:rPr>
        <w:t>乙方</w:t>
      </w:r>
      <w:r>
        <w:rPr>
          <w:rFonts w:ascii="宋体" w:hAnsi="宋体"/>
          <w:bCs/>
          <w:snapToGrid w:val="0"/>
          <w:sz w:val="24"/>
          <w:szCs w:val="24"/>
          <w:highlight w:val="none"/>
        </w:rPr>
        <w:t>提供的</w:t>
      </w:r>
      <w:r>
        <w:rPr>
          <w:rFonts w:ascii="宋体" w:hAnsi="宋体"/>
          <w:kern w:val="0"/>
          <w:sz w:val="24"/>
          <w:szCs w:val="24"/>
          <w:highlight w:val="none"/>
        </w:rPr>
        <w:t>工程</w:t>
      </w:r>
      <w:r>
        <w:rPr>
          <w:rFonts w:hint="eastAsia" w:ascii="宋体" w:hAnsi="宋体" w:cs="宋体"/>
          <w:kern w:val="0"/>
          <w:sz w:val="24"/>
          <w:szCs w:val="24"/>
          <w:highlight w:val="none"/>
        </w:rPr>
        <w:t>造价</w:t>
      </w:r>
      <w:r>
        <w:rPr>
          <w:rFonts w:ascii="宋体" w:hAnsi="宋体"/>
          <w:kern w:val="0"/>
          <w:sz w:val="24"/>
          <w:szCs w:val="24"/>
          <w:highlight w:val="none"/>
        </w:rPr>
        <w:t>咨询</w:t>
      </w:r>
      <w:r>
        <w:rPr>
          <w:rFonts w:hint="eastAsia" w:ascii="宋体" w:hAnsi="宋体" w:cs="宋体"/>
          <w:kern w:val="0"/>
          <w:sz w:val="24"/>
          <w:szCs w:val="24"/>
          <w:highlight w:val="none"/>
        </w:rPr>
        <w:t>成果</w:t>
      </w:r>
      <w:r>
        <w:rPr>
          <w:rFonts w:ascii="宋体" w:hAnsi="宋体"/>
          <w:bCs/>
          <w:snapToGrid w:val="0"/>
          <w:sz w:val="24"/>
          <w:szCs w:val="24"/>
          <w:highlight w:val="none"/>
        </w:rPr>
        <w:t>文件应包括并不限于：编制说明、</w:t>
      </w:r>
      <w:r>
        <w:rPr>
          <w:rFonts w:hint="eastAsia" w:ascii="宋体" w:hAnsi="宋体"/>
          <w:bCs/>
          <w:snapToGrid w:val="0"/>
          <w:sz w:val="24"/>
          <w:szCs w:val="24"/>
          <w:highlight w:val="none"/>
        </w:rPr>
        <w:t>根据甲方要求编制的造价文件及其软件版（含计价及图形算量成果文件）</w:t>
      </w:r>
      <w:r>
        <w:rPr>
          <w:rFonts w:ascii="宋体" w:hAnsi="宋体"/>
          <w:bCs/>
          <w:snapToGrid w:val="0"/>
          <w:sz w:val="24"/>
          <w:szCs w:val="24"/>
          <w:highlight w:val="none"/>
        </w:rPr>
        <w:t>、工程量计算书、经济指标分析表、</w:t>
      </w:r>
      <w:r>
        <w:rPr>
          <w:rFonts w:hint="eastAsia" w:ascii="宋体" w:hAnsi="宋体" w:cs="宋体"/>
          <w:kern w:val="0"/>
          <w:sz w:val="24"/>
          <w:szCs w:val="24"/>
          <w:highlight w:val="none"/>
        </w:rPr>
        <w:t>主要设备材料价格表、</w:t>
      </w:r>
      <w:r>
        <w:rPr>
          <w:rFonts w:ascii="宋体" w:hAnsi="宋体"/>
          <w:bCs/>
          <w:snapToGrid w:val="0"/>
          <w:sz w:val="24"/>
          <w:szCs w:val="24"/>
          <w:highlight w:val="none"/>
        </w:rPr>
        <w:t>主要材料设备定价依据文件（含询价文件等，询价单位不得少于</w:t>
      </w:r>
      <w:r>
        <w:rPr>
          <w:rFonts w:hint="eastAsia" w:ascii="宋体" w:hAnsi="宋体"/>
          <w:bCs/>
          <w:snapToGrid w:val="0"/>
          <w:sz w:val="24"/>
          <w:szCs w:val="24"/>
          <w:highlight w:val="none"/>
        </w:rPr>
        <w:t>3</w:t>
      </w:r>
      <w:r>
        <w:rPr>
          <w:rFonts w:ascii="宋体" w:hAnsi="宋体"/>
          <w:bCs/>
          <w:snapToGrid w:val="0"/>
          <w:sz w:val="24"/>
          <w:szCs w:val="24"/>
          <w:highlight w:val="none"/>
        </w:rPr>
        <w:t>家）、审核意见落实情况说明和修改对比表</w:t>
      </w:r>
      <w:r>
        <w:rPr>
          <w:rFonts w:hint="eastAsia" w:ascii="宋体" w:hAnsi="宋体"/>
          <w:bCs/>
          <w:snapToGrid w:val="0"/>
          <w:sz w:val="24"/>
          <w:szCs w:val="24"/>
          <w:highlight w:val="none"/>
        </w:rPr>
        <w:t>。根据甲方要求提供图形算量成果文件</w:t>
      </w:r>
      <w:r>
        <w:rPr>
          <w:rFonts w:ascii="宋体" w:hAnsi="宋体"/>
          <w:bCs/>
          <w:snapToGrid w:val="0"/>
          <w:sz w:val="24"/>
          <w:szCs w:val="24"/>
          <w:highlight w:val="none"/>
        </w:rPr>
        <w:t>。</w:t>
      </w:r>
    </w:p>
    <w:p w14:paraId="5FA943CE">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6.1.5</w:t>
      </w:r>
      <w:r>
        <w:rPr>
          <w:rFonts w:hint="eastAsia" w:ascii="宋体" w:hAnsi="宋体" w:cs="宋体"/>
          <w:kern w:val="0"/>
          <w:sz w:val="24"/>
          <w:szCs w:val="24"/>
          <w:highlight w:val="none"/>
        </w:rPr>
        <w:t>乙方应建立健全内部控制制度、质量保证体系和档案管理制度，保证工程造价咨询成果文件的质量，对其完整性、真实性、准确性、有效性负责，并负有保密责任。</w:t>
      </w:r>
    </w:p>
    <w:p w14:paraId="1BFFB8E6">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（1）确保工程造价咨询成果文件文字表达清晰、装订整齐。</w:t>
      </w:r>
    </w:p>
    <w:p w14:paraId="40E9B83D">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确保工程造价咨询成果文件均由专业造价师（造价员）编制，由专业负责人审核，由项目负责人审定的三级审查制度。工程造价咨询成果文件的编制人应具有注册造价工程师执业资格或造价员从业资格，工程造价咨询成果文件的审核人、审定人应具有注册造价工程师执业资格。工程造价咨询成果文件的编制人、审核人、审定人应在工程造价咨询的成果文件上签署执业(或从业)资格专用印章，最终的成果文件需经项目负责人签字并加盖公章。</w:t>
      </w:r>
    </w:p>
    <w:p w14:paraId="1DC80AD6">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编制人应认真阅读、复核甲方提供书面资料的有效性、合规性，并应对自身所收集的工程计价基础资料和编制依据的全面性、真实性和适用性负责，全面进行工程的计量与计价，按工程造价咨询服务合同的要求编制工程造价咨询成果文件，并整理好工作过程文件。</w:t>
      </w:r>
    </w:p>
    <w:p w14:paraId="65485DA0">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审核人应进一步审核甲方提供的书面资料的有效性、合规性，编制人使用工程计价基础资料和编制依据的全面性、真实性和有效性，并应对相关工作做一定比例的复核，对错误的部分提出书面的修改和补充意见，修正、完善工程造价咨询成果文件，并整理好自身的工作过程文件和相关文件。</w:t>
      </w:r>
    </w:p>
    <w:p w14:paraId="38DEADE6">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5）审定人应再次审核甲方提供的书面资料的有效性、合规性，编制人使用工程计价基础资料和编制依据的全面性、真实性和有效性，并应依据工程经济指标进行工程造价的合理性分析，对工程造价咨询质量进行整体控制。</w:t>
      </w:r>
    </w:p>
    <w:p w14:paraId="2290D6D4">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（6）乙方应建立工程造价咨询项目档案，保证项目资料的完整，不得损坏、遗失项目资料。加强项目档案管理，及时做好已完成项目的资料移交和归档工作，妥善保管至报告出具之日起十年后。</w:t>
      </w:r>
    </w:p>
    <w:p w14:paraId="23E36193">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（7）加强信息系统管理，及时建立电子信息台账；保证本项目的工程造价相关电子信息及时、完整。</w:t>
      </w:r>
    </w:p>
    <w:p w14:paraId="1AF22988">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6.1.6</w:t>
      </w:r>
      <w:r>
        <w:rPr>
          <w:rFonts w:hint="eastAsia" w:ascii="宋体" w:hAnsi="宋体" w:cs="宋体"/>
          <w:kern w:val="0"/>
          <w:sz w:val="24"/>
          <w:szCs w:val="24"/>
          <w:highlight w:val="none"/>
        </w:rPr>
        <w:t>审核的结算经财局评审后，核减率超过5%的（有明显争议的问题不在核减率考核范围），施工总承包类合同每项扣减造价咨询费5万元，专业施工承包类合同每项扣减造价咨询费3万元，服务类合同每项扣减造价咨询费1万元。</w:t>
      </w:r>
    </w:p>
    <w:p w14:paraId="0EF1F698">
      <w:pPr>
        <w:tabs>
          <w:tab w:val="left" w:pos="9100"/>
        </w:tabs>
        <w:autoSpaceDE w:val="0"/>
        <w:autoSpaceDN w:val="0"/>
        <w:adjustRightInd w:val="0"/>
        <w:spacing w:line="440" w:lineRule="exact"/>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6.2进度要求</w:t>
      </w:r>
    </w:p>
    <w:p w14:paraId="6935C911">
      <w:pPr>
        <w:pStyle w:val="5"/>
        <w:spacing w:line="440" w:lineRule="exact"/>
        <w:ind w:firstLine="480" w:firstLineChars="200"/>
        <w:rPr>
          <w:rFonts w:ascii="宋体" w:hAnsi="宋体" w:cs="宋体"/>
          <w:kern w:val="0"/>
          <w:sz w:val="24"/>
          <w:szCs w:val="24"/>
          <w:highlight w:val="none"/>
        </w:rPr>
      </w:pPr>
      <w:r>
        <w:rPr>
          <w:rFonts w:ascii="宋体" w:hAnsi="宋体" w:cs="宋体"/>
          <w:kern w:val="0"/>
          <w:sz w:val="24"/>
          <w:szCs w:val="24"/>
          <w:highlight w:val="none"/>
        </w:rPr>
        <w:t>6.2.1</w:t>
      </w:r>
      <w:r>
        <w:rPr>
          <w:rFonts w:hint="eastAsia" w:ascii="宋体" w:hAnsi="宋体" w:cs="宋体"/>
          <w:kern w:val="0"/>
          <w:sz w:val="24"/>
          <w:szCs w:val="24"/>
          <w:highlight w:val="none"/>
        </w:rPr>
        <w:t>乙方应对甲方提供资料的完整性、严谨性把关，对因范围不清晰、图纸不详导致基本工程量难以计算等情况，应在收到资料后2个工作日内向甲方提出资料补充要求。因乙方未能在上述时间内提出要求而造成编审进度延误或其他损失的均由乙方自行承担全部责任。</w:t>
      </w:r>
    </w:p>
    <w:p w14:paraId="199D81A5">
      <w:pPr>
        <w:pStyle w:val="5"/>
        <w:spacing w:line="440" w:lineRule="exact"/>
        <w:ind w:firstLine="480" w:firstLineChars="200"/>
        <w:rPr>
          <w:rFonts w:ascii="宋体" w:hAnsi="宋体" w:cs="宋体"/>
          <w:kern w:val="0"/>
          <w:sz w:val="24"/>
          <w:szCs w:val="24"/>
          <w:highlight w:val="none"/>
        </w:rPr>
      </w:pPr>
      <w:r>
        <w:rPr>
          <w:rFonts w:ascii="宋体" w:hAnsi="宋体" w:cs="宋体"/>
          <w:kern w:val="0"/>
          <w:sz w:val="24"/>
          <w:szCs w:val="24"/>
          <w:highlight w:val="none"/>
        </w:rPr>
        <w:t>6.2.2</w:t>
      </w:r>
      <w:r>
        <w:rPr>
          <w:rFonts w:hint="eastAsia" w:ascii="宋体" w:hAnsi="宋体" w:cs="宋体"/>
          <w:kern w:val="0"/>
          <w:sz w:val="24"/>
          <w:szCs w:val="24"/>
          <w:highlight w:val="none"/>
        </w:rPr>
        <w:t>各项服务内容的工作时间要求（如有）（以下天数指日历天数）</w:t>
      </w:r>
    </w:p>
    <w:p w14:paraId="0B434486">
      <w:pPr>
        <w:pStyle w:val="5"/>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概（预）算内审</w:t>
      </w:r>
      <w:r>
        <w:rPr>
          <w:rFonts w:hint="eastAsia" w:ascii="宋体" w:hAnsi="宋体" w:cs="宋体"/>
          <w:kern w:val="0"/>
          <w:sz w:val="24"/>
          <w:szCs w:val="24"/>
          <w:highlight w:val="none"/>
        </w:rPr>
        <w:t>：自收到资料起</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天内出具审核</w:t>
      </w:r>
      <w:r>
        <w:rPr>
          <w:rFonts w:hint="eastAsia" w:ascii="宋体" w:hAnsi="宋体" w:cs="宋体"/>
          <w:kern w:val="0"/>
          <w:sz w:val="24"/>
          <w:szCs w:val="24"/>
          <w:highlight w:val="none"/>
          <w:lang w:val="en-US" w:eastAsia="zh-CN"/>
        </w:rPr>
        <w:t>意见书</w:t>
      </w:r>
      <w:r>
        <w:rPr>
          <w:rFonts w:hint="eastAsia" w:ascii="宋体" w:hAnsi="宋体" w:cs="宋体"/>
          <w:kern w:val="0"/>
          <w:sz w:val="24"/>
          <w:szCs w:val="24"/>
          <w:highlight w:val="none"/>
        </w:rPr>
        <w:t>。</w:t>
      </w:r>
    </w:p>
    <w:p w14:paraId="1D2DB387">
      <w:pPr>
        <w:pStyle w:val="5"/>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）招标工程量清单、招标控制价编制（</w:t>
      </w:r>
      <w:r>
        <w:rPr>
          <w:rFonts w:ascii="宋体" w:hAnsi="宋体" w:cs="宋体"/>
          <w:kern w:val="0"/>
          <w:sz w:val="24"/>
          <w:szCs w:val="24"/>
          <w:highlight w:val="none"/>
        </w:rPr>
        <w:t>审核</w:t>
      </w:r>
      <w:r>
        <w:rPr>
          <w:rFonts w:hint="eastAsia" w:ascii="宋体" w:hAnsi="宋体" w:cs="宋体"/>
          <w:kern w:val="0"/>
          <w:sz w:val="24"/>
          <w:szCs w:val="24"/>
          <w:highlight w:val="none"/>
        </w:rPr>
        <w:t>）：终版招标工程量清单、招标控制价自收到完整资料起完成时间为：招标控制价在3000万元以内的5天，3000万元-2亿元的</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天，2亿元以上的</w:t>
      </w:r>
      <w:r>
        <w:rPr>
          <w:rFonts w:hint="eastAsia" w:ascii="宋体" w:hAnsi="宋体" w:cs="宋体"/>
          <w:kern w:val="0"/>
          <w:sz w:val="24"/>
          <w:szCs w:val="24"/>
          <w:highlight w:val="none"/>
          <w:lang w:val="en-US" w:eastAsia="zh-CN"/>
        </w:rPr>
        <w:t>15</w:t>
      </w:r>
      <w:r>
        <w:rPr>
          <w:rFonts w:hint="eastAsia" w:ascii="宋体" w:hAnsi="宋体" w:cs="宋体"/>
          <w:kern w:val="0"/>
          <w:sz w:val="24"/>
          <w:szCs w:val="24"/>
          <w:highlight w:val="none"/>
        </w:rPr>
        <w:t>天，特殊情况经批准后延长时间不超过10天。</w:t>
      </w:r>
    </w:p>
    <w:p w14:paraId="5C6AFF79">
      <w:pPr>
        <w:pStyle w:val="5"/>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）招标文件（含澄清答疑）审核</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如需</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：自收到资料起</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天内</w:t>
      </w:r>
      <w:r>
        <w:rPr>
          <w:rFonts w:hint="eastAsia" w:ascii="宋体" w:hAnsi="宋体" w:cs="宋体"/>
          <w:kern w:val="0"/>
          <w:sz w:val="24"/>
          <w:szCs w:val="24"/>
          <w:highlight w:val="none"/>
          <w:lang w:val="en-US" w:eastAsia="zh-CN"/>
        </w:rPr>
        <w:t>反馈意见</w:t>
      </w:r>
      <w:r>
        <w:rPr>
          <w:rFonts w:hint="eastAsia" w:ascii="宋体" w:hAnsi="宋体" w:cs="宋体"/>
          <w:kern w:val="0"/>
          <w:sz w:val="24"/>
          <w:szCs w:val="24"/>
          <w:highlight w:val="none"/>
        </w:rPr>
        <w:t>。</w:t>
      </w:r>
    </w:p>
    <w:p w14:paraId="379B1CBC">
      <w:pPr>
        <w:pStyle w:val="5"/>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）主材单价、综合单价审核：自收到资料起完成时间为：主材3个以内</w:t>
      </w:r>
      <w:r>
        <w:rPr>
          <w:rFonts w:ascii="宋体" w:hAnsi="宋体" w:cs="宋体"/>
          <w:kern w:val="0"/>
          <w:sz w:val="24"/>
          <w:szCs w:val="24"/>
          <w:highlight w:val="none"/>
        </w:rPr>
        <w:t>3</w:t>
      </w:r>
      <w:r>
        <w:rPr>
          <w:rFonts w:hint="eastAsia" w:ascii="宋体" w:hAnsi="宋体" w:cs="宋体"/>
          <w:kern w:val="0"/>
          <w:sz w:val="24"/>
          <w:szCs w:val="24"/>
          <w:highlight w:val="none"/>
        </w:rPr>
        <w:t>天，4-15个</w:t>
      </w:r>
      <w:r>
        <w:rPr>
          <w:rFonts w:ascii="宋体" w:hAnsi="宋体" w:cs="宋体"/>
          <w:kern w:val="0"/>
          <w:sz w:val="24"/>
          <w:szCs w:val="24"/>
          <w:highlight w:val="none"/>
        </w:rPr>
        <w:t>5</w:t>
      </w:r>
      <w:r>
        <w:rPr>
          <w:rFonts w:hint="eastAsia" w:ascii="宋体" w:hAnsi="宋体" w:cs="宋体"/>
          <w:kern w:val="0"/>
          <w:sz w:val="24"/>
          <w:szCs w:val="24"/>
          <w:highlight w:val="none"/>
        </w:rPr>
        <w:t>天，16个以上10天；综合单价3个以内3天，4-15个5天，16个以上10天；特殊情况经批准后延长时间不超过10天；争议问题由乙方项目负责人主持专题会议解决。</w:t>
      </w:r>
    </w:p>
    <w:p w14:paraId="3810DA21">
      <w:pPr>
        <w:pStyle w:val="5"/>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）变更签证合同费用（含委托合同、检测费用）编制或审核：30万元以内的</w:t>
      </w:r>
      <w:r>
        <w:rPr>
          <w:rFonts w:ascii="宋体" w:hAnsi="宋体" w:cs="宋体"/>
          <w:kern w:val="0"/>
          <w:sz w:val="24"/>
          <w:szCs w:val="24"/>
          <w:highlight w:val="none"/>
        </w:rPr>
        <w:t>3</w:t>
      </w:r>
      <w:r>
        <w:rPr>
          <w:rFonts w:hint="eastAsia" w:ascii="宋体" w:hAnsi="宋体" w:cs="宋体"/>
          <w:kern w:val="0"/>
          <w:sz w:val="24"/>
          <w:szCs w:val="24"/>
          <w:highlight w:val="none"/>
        </w:rPr>
        <w:t>天，30万元以上的</w:t>
      </w:r>
      <w:r>
        <w:rPr>
          <w:rFonts w:ascii="宋体" w:hAnsi="宋体" w:cs="宋体"/>
          <w:kern w:val="0"/>
          <w:sz w:val="24"/>
          <w:szCs w:val="24"/>
          <w:highlight w:val="none"/>
        </w:rPr>
        <w:t>5</w:t>
      </w:r>
      <w:r>
        <w:rPr>
          <w:rFonts w:hint="eastAsia" w:ascii="宋体" w:hAnsi="宋体" w:cs="宋体"/>
          <w:kern w:val="0"/>
          <w:sz w:val="24"/>
          <w:szCs w:val="24"/>
          <w:highlight w:val="none"/>
        </w:rPr>
        <w:t>天，特殊情况经批准后延长时间不超过10天，电子版审核说明提前2天出具，争议问题由乙方项目负责人主持专题会议解决。</w:t>
      </w:r>
    </w:p>
    <w:p w14:paraId="59EFA34F">
      <w:pPr>
        <w:pStyle w:val="5"/>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）图纸设计变更会签、材料设备看样定板会签：自收到资料起</w:t>
      </w:r>
      <w:r>
        <w:rPr>
          <w:rFonts w:ascii="宋体" w:hAnsi="宋体" w:cs="宋体"/>
          <w:kern w:val="0"/>
          <w:sz w:val="24"/>
          <w:szCs w:val="24"/>
          <w:highlight w:val="none"/>
        </w:rPr>
        <w:t>3</w:t>
      </w:r>
      <w:r>
        <w:rPr>
          <w:rFonts w:hint="eastAsia" w:ascii="宋体" w:hAnsi="宋体" w:cs="宋体"/>
          <w:kern w:val="0"/>
          <w:sz w:val="24"/>
          <w:szCs w:val="24"/>
          <w:highlight w:val="none"/>
        </w:rPr>
        <w:t>天内完成。</w:t>
      </w:r>
    </w:p>
    <w:p w14:paraId="740B52C5">
      <w:pPr>
        <w:pStyle w:val="5"/>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）工程进度款审核：自接受完整资料起</w:t>
      </w:r>
      <w:r>
        <w:rPr>
          <w:rFonts w:ascii="宋体" w:hAnsi="宋体" w:cs="宋体"/>
          <w:kern w:val="0"/>
          <w:sz w:val="24"/>
          <w:szCs w:val="24"/>
          <w:highlight w:val="none"/>
        </w:rPr>
        <w:t>3</w:t>
      </w:r>
      <w:r>
        <w:rPr>
          <w:rFonts w:hint="eastAsia" w:ascii="宋体" w:hAnsi="宋体" w:cs="宋体"/>
          <w:kern w:val="0"/>
          <w:sz w:val="24"/>
          <w:szCs w:val="24"/>
          <w:highlight w:val="none"/>
        </w:rPr>
        <w:t>日完成。</w:t>
      </w:r>
    </w:p>
    <w:p w14:paraId="5C7257B7">
      <w:pPr>
        <w:pStyle w:val="5"/>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）结算文件：自收到结算文件起出具结算审核报告时间为：30万元以内的</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天，30万元-100万元的</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天，100万元-1000万元的</w:t>
      </w: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天，1000万元以上最长不超过30天。</w:t>
      </w:r>
    </w:p>
    <w:p w14:paraId="68145244">
      <w:pPr>
        <w:pStyle w:val="5"/>
        <w:spacing w:line="440" w:lineRule="exact"/>
        <w:ind w:firstLine="480" w:firstLineChars="200"/>
        <w:rPr>
          <w:rFonts w:ascii="宋体" w:hAnsi="宋体"/>
          <w:b/>
          <w:sz w:val="24"/>
          <w:szCs w:val="24"/>
          <w:highlight w:val="none"/>
        </w:rPr>
      </w:pPr>
      <w:r>
        <w:rPr>
          <w:rFonts w:ascii="宋体" w:hAnsi="宋体" w:cs="宋体"/>
          <w:kern w:val="0"/>
          <w:sz w:val="24"/>
          <w:szCs w:val="24"/>
          <w:highlight w:val="none"/>
        </w:rPr>
        <w:t>6.2.3</w:t>
      </w:r>
      <w:r>
        <w:rPr>
          <w:rFonts w:hint="eastAsia" w:ascii="宋体" w:hAnsi="宋体" w:cs="宋体"/>
          <w:kern w:val="0"/>
          <w:sz w:val="24"/>
          <w:szCs w:val="24"/>
          <w:highlight w:val="none"/>
        </w:rPr>
        <w:t>以上工作期限为正常的工作期限，特急项目的工作期限由甲方根据实际情况确定，但最短不少于1天；其他咨询服务工作由甲方视具体情况确定；对于甲方提出的疑问，乙方应在24小时内给予答复。以上工作时间要求，甲方人有权视工程进展情况进行调整。未提及的其他事项的工作时限可参考《建设工程造价咨询工期标准(房屋建筑工程)》CECA／GC 10-2014执行。</w:t>
      </w:r>
    </w:p>
    <w:p w14:paraId="58323A77">
      <w:pPr>
        <w:pStyle w:val="5"/>
        <w:spacing w:line="440" w:lineRule="exact"/>
        <w:ind w:firstLine="482" w:firstLineChars="200"/>
        <w:rPr>
          <w:rFonts w:ascii="宋体" w:hAnsi="宋体"/>
          <w:b/>
          <w:sz w:val="24"/>
          <w:szCs w:val="24"/>
          <w:highlight w:val="none"/>
        </w:rPr>
      </w:pPr>
      <w:r>
        <w:rPr>
          <w:rFonts w:hint="eastAsia" w:ascii="宋体" w:hAnsi="宋体"/>
          <w:b/>
          <w:sz w:val="24"/>
          <w:szCs w:val="24"/>
          <w:highlight w:val="none"/>
        </w:rPr>
        <w:t>第十二条  甲乙双方联系人与联系方式：</w:t>
      </w:r>
    </w:p>
    <w:p w14:paraId="1089B09A">
      <w:pPr>
        <w:pStyle w:val="5"/>
        <w:spacing w:line="440" w:lineRule="exact"/>
        <w:ind w:firstLine="480" w:firstLineChars="200"/>
        <w:rPr>
          <w:rFonts w:ascii="宋体" w:hAnsi="宋体"/>
          <w:kern w:val="0"/>
          <w:sz w:val="24"/>
          <w:szCs w:val="24"/>
          <w:highlight w:val="none"/>
        </w:rPr>
      </w:pPr>
      <w:r>
        <w:rPr>
          <w:rFonts w:hint="eastAsia" w:ascii="宋体" w:hAnsi="宋体"/>
          <w:sz w:val="24"/>
          <w:szCs w:val="24"/>
          <w:highlight w:val="none"/>
        </w:rPr>
        <w:t xml:space="preserve">12.1  </w:t>
      </w:r>
      <w:r>
        <w:rPr>
          <w:rFonts w:ascii="宋体" w:hAnsi="宋体"/>
          <w:kern w:val="0"/>
          <w:sz w:val="24"/>
          <w:szCs w:val="24"/>
          <w:highlight w:val="none"/>
        </w:rPr>
        <w:t>甲方业务代表：</w:t>
      </w:r>
      <w:r>
        <w:rPr>
          <w:rFonts w:hint="eastAsia" w:ascii="宋体" w:hAnsi="宋体"/>
          <w:kern w:val="0"/>
          <w:sz w:val="24"/>
          <w:szCs w:val="24"/>
          <w:highlight w:val="none"/>
          <w:u w:val="single"/>
        </w:rPr>
        <w:t xml:space="preserve">      </w:t>
      </w:r>
      <w:r>
        <w:rPr>
          <w:rFonts w:ascii="宋体" w:hAnsi="宋体"/>
          <w:kern w:val="0"/>
          <w:sz w:val="24"/>
          <w:szCs w:val="24"/>
          <w:highlight w:val="none"/>
        </w:rPr>
        <w:t>，职务：</w:t>
      </w:r>
      <w:r>
        <w:rPr>
          <w:rFonts w:hint="eastAsia" w:ascii="宋体" w:hAnsi="宋体"/>
          <w:kern w:val="0"/>
          <w:sz w:val="24"/>
          <w:szCs w:val="24"/>
          <w:highlight w:val="none"/>
          <w:u w:val="single"/>
        </w:rPr>
        <w:t xml:space="preserve">      </w:t>
      </w:r>
      <w:r>
        <w:rPr>
          <w:rFonts w:ascii="宋体" w:hAnsi="宋体"/>
          <w:kern w:val="0"/>
          <w:sz w:val="24"/>
          <w:szCs w:val="24"/>
          <w:highlight w:val="none"/>
        </w:rPr>
        <w:t>，电话：</w:t>
      </w:r>
      <w:r>
        <w:rPr>
          <w:rFonts w:hint="eastAsia" w:ascii="宋体" w:hAnsi="宋体"/>
          <w:kern w:val="0"/>
          <w:sz w:val="24"/>
          <w:szCs w:val="24"/>
          <w:highlight w:val="none"/>
          <w:u w:val="single"/>
        </w:rPr>
        <w:t xml:space="preserve">      </w:t>
      </w:r>
      <w:r>
        <w:rPr>
          <w:rFonts w:ascii="宋体" w:hAnsi="宋体"/>
          <w:kern w:val="0"/>
          <w:sz w:val="24"/>
          <w:szCs w:val="24"/>
          <w:highlight w:val="none"/>
        </w:rPr>
        <w:t>，</w:t>
      </w:r>
    </w:p>
    <w:p w14:paraId="73689522">
      <w:pPr>
        <w:pStyle w:val="5"/>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邮箱：</w:t>
      </w:r>
      <w:r>
        <w:rPr>
          <w:rFonts w:hint="eastAsia" w:ascii="宋体" w:hAnsi="宋体"/>
          <w:kern w:val="0"/>
          <w:sz w:val="24"/>
          <w:szCs w:val="24"/>
          <w:highlight w:val="none"/>
          <w:u w:val="single"/>
        </w:rPr>
        <w:t xml:space="preserve">      </w:t>
      </w:r>
      <w:r>
        <w:rPr>
          <w:rFonts w:ascii="宋体" w:hAnsi="宋体"/>
          <w:kern w:val="0"/>
          <w:sz w:val="24"/>
          <w:szCs w:val="24"/>
          <w:highlight w:val="none"/>
        </w:rPr>
        <w:t>， 身份证号：</w:t>
      </w:r>
      <w:r>
        <w:rPr>
          <w:rFonts w:hint="eastAsia" w:ascii="宋体" w:hAnsi="宋体"/>
          <w:kern w:val="0"/>
          <w:sz w:val="24"/>
          <w:szCs w:val="24"/>
          <w:highlight w:val="none"/>
          <w:u w:val="single"/>
        </w:rPr>
        <w:t xml:space="preserve">      </w:t>
      </w:r>
      <w:r>
        <w:rPr>
          <w:rFonts w:ascii="宋体" w:hAnsi="宋体"/>
          <w:kern w:val="0"/>
          <w:sz w:val="24"/>
          <w:szCs w:val="24"/>
          <w:highlight w:val="none"/>
        </w:rPr>
        <w:t>。</w:t>
      </w:r>
    </w:p>
    <w:p w14:paraId="69343875">
      <w:pPr>
        <w:pStyle w:val="5"/>
        <w:spacing w:line="440" w:lineRule="exact"/>
        <w:ind w:firstLine="480" w:firstLineChars="200"/>
        <w:rPr>
          <w:rFonts w:ascii="宋体" w:hAnsi="宋体"/>
          <w:kern w:val="0"/>
          <w:sz w:val="24"/>
          <w:szCs w:val="24"/>
          <w:highlight w:val="none"/>
          <w:u w:val="single"/>
        </w:rPr>
      </w:pPr>
      <w:r>
        <w:rPr>
          <w:rFonts w:hint="eastAsia" w:ascii="宋体" w:hAnsi="宋体"/>
          <w:sz w:val="24"/>
          <w:szCs w:val="24"/>
          <w:highlight w:val="none"/>
        </w:rPr>
        <w:t xml:space="preserve">12.2  </w:t>
      </w:r>
      <w:r>
        <w:rPr>
          <w:rFonts w:hint="eastAsia" w:ascii="宋体" w:hAnsi="宋体"/>
          <w:kern w:val="0"/>
          <w:sz w:val="24"/>
          <w:szCs w:val="24"/>
          <w:highlight w:val="none"/>
        </w:rPr>
        <w:t>乙</w:t>
      </w:r>
      <w:r>
        <w:rPr>
          <w:rFonts w:ascii="宋体" w:hAnsi="宋体"/>
          <w:kern w:val="0"/>
          <w:sz w:val="24"/>
          <w:szCs w:val="24"/>
          <w:highlight w:val="none"/>
        </w:rPr>
        <w:t>方业务代表：</w:t>
      </w:r>
      <w:r>
        <w:rPr>
          <w:rFonts w:hint="eastAsia" w:ascii="宋体" w:hAnsi="宋体"/>
          <w:kern w:val="0"/>
          <w:sz w:val="24"/>
          <w:szCs w:val="24"/>
          <w:highlight w:val="none"/>
          <w:u w:val="single"/>
        </w:rPr>
        <w:t xml:space="preserve">      </w:t>
      </w:r>
      <w:r>
        <w:rPr>
          <w:rFonts w:ascii="宋体" w:hAnsi="宋体"/>
          <w:kern w:val="0"/>
          <w:sz w:val="24"/>
          <w:szCs w:val="24"/>
          <w:highlight w:val="none"/>
        </w:rPr>
        <w:t>，职务：</w:t>
      </w:r>
      <w:r>
        <w:rPr>
          <w:rFonts w:hint="eastAsia" w:ascii="宋体" w:hAnsi="宋体"/>
          <w:kern w:val="0"/>
          <w:sz w:val="24"/>
          <w:szCs w:val="24"/>
          <w:highlight w:val="none"/>
          <w:u w:val="single"/>
        </w:rPr>
        <w:t xml:space="preserve">      </w:t>
      </w:r>
      <w:r>
        <w:rPr>
          <w:rFonts w:ascii="宋体" w:hAnsi="宋体"/>
          <w:kern w:val="0"/>
          <w:sz w:val="24"/>
          <w:szCs w:val="24"/>
          <w:highlight w:val="none"/>
        </w:rPr>
        <w:t>，电话：</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w:t>
      </w:r>
    </w:p>
    <w:p w14:paraId="003596EE">
      <w:pPr>
        <w:pStyle w:val="5"/>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邮箱：</w:t>
      </w:r>
      <w:r>
        <w:rPr>
          <w:rFonts w:hint="eastAsia" w:ascii="宋体" w:hAnsi="宋体"/>
          <w:kern w:val="0"/>
          <w:sz w:val="24"/>
          <w:szCs w:val="24"/>
          <w:highlight w:val="none"/>
          <w:u w:val="single"/>
        </w:rPr>
        <w:t xml:space="preserve">      </w:t>
      </w:r>
      <w:r>
        <w:rPr>
          <w:rFonts w:ascii="宋体" w:hAnsi="宋体"/>
          <w:kern w:val="0"/>
          <w:sz w:val="24"/>
          <w:szCs w:val="24"/>
          <w:highlight w:val="none"/>
        </w:rPr>
        <w:t>， 身份证号：</w:t>
      </w:r>
      <w:r>
        <w:rPr>
          <w:rFonts w:hint="eastAsia" w:ascii="宋体" w:hAnsi="宋体"/>
          <w:kern w:val="0"/>
          <w:sz w:val="24"/>
          <w:szCs w:val="24"/>
          <w:highlight w:val="none"/>
          <w:u w:val="single"/>
        </w:rPr>
        <w:t xml:space="preserve">      </w:t>
      </w:r>
      <w:r>
        <w:rPr>
          <w:rFonts w:ascii="宋体" w:hAnsi="宋体"/>
          <w:kern w:val="0"/>
          <w:sz w:val="24"/>
          <w:szCs w:val="24"/>
          <w:highlight w:val="none"/>
        </w:rPr>
        <w:t>。</w:t>
      </w:r>
    </w:p>
    <w:p w14:paraId="3BF6048B">
      <w:pPr>
        <w:pStyle w:val="5"/>
        <w:spacing w:line="440" w:lineRule="exact"/>
        <w:ind w:firstLine="482" w:firstLineChars="200"/>
        <w:rPr>
          <w:rFonts w:ascii="宋体" w:hAnsi="宋体"/>
          <w:b/>
          <w:sz w:val="24"/>
          <w:szCs w:val="24"/>
          <w:highlight w:val="none"/>
        </w:rPr>
      </w:pPr>
      <w:r>
        <w:rPr>
          <w:rFonts w:hint="eastAsia" w:ascii="宋体" w:hAnsi="宋体"/>
          <w:b/>
          <w:sz w:val="24"/>
          <w:szCs w:val="24"/>
          <w:highlight w:val="none"/>
        </w:rPr>
        <w:t>第十六条  乙方在其责任期内如果存在失职的，同意按以下办法承担违约责任：</w:t>
      </w:r>
    </w:p>
    <w:p w14:paraId="41FC27CC">
      <w:pPr>
        <w:spacing w:line="440" w:lineRule="exact"/>
        <w:ind w:firstLine="480" w:firstLineChars="200"/>
        <w:rPr>
          <w:rFonts w:ascii="宋体" w:hAnsi="宋体"/>
          <w:sz w:val="24"/>
          <w:szCs w:val="24"/>
          <w:highlight w:val="none"/>
        </w:rPr>
      </w:pPr>
      <w:r>
        <w:rPr>
          <w:rFonts w:hint="eastAsia" w:ascii="宋体" w:hAnsi="宋体"/>
          <w:sz w:val="24"/>
          <w:szCs w:val="24"/>
          <w:highlight w:val="none"/>
        </w:rPr>
        <w:t>16.1乙方未能按约定的时间向甲方提交</w:t>
      </w:r>
      <w:r>
        <w:rPr>
          <w:rFonts w:ascii="宋体" w:hAnsi="宋体"/>
          <w:kern w:val="0"/>
          <w:sz w:val="24"/>
          <w:szCs w:val="24"/>
          <w:highlight w:val="none"/>
        </w:rPr>
        <w:t>工程造价咨询</w:t>
      </w:r>
      <w:r>
        <w:rPr>
          <w:rFonts w:hint="eastAsia" w:ascii="宋体" w:hAnsi="宋体"/>
          <w:sz w:val="24"/>
          <w:szCs w:val="24"/>
          <w:highlight w:val="none"/>
        </w:rPr>
        <w:t>成果</w:t>
      </w:r>
      <w:r>
        <w:rPr>
          <w:rFonts w:hint="eastAsia" w:ascii="宋体" w:hAnsi="宋体"/>
          <w:sz w:val="24"/>
          <w:szCs w:val="24"/>
          <w:highlight w:val="none"/>
          <w:lang w:val="en-US" w:eastAsia="zh-CN"/>
        </w:rPr>
        <w:t>文件</w:t>
      </w:r>
      <w:r>
        <w:rPr>
          <w:rFonts w:hint="eastAsia" w:ascii="宋体" w:hAnsi="宋体"/>
          <w:sz w:val="24"/>
          <w:szCs w:val="24"/>
          <w:highlight w:val="none"/>
        </w:rPr>
        <w:t>的，每逾期一日，乙方应向甲方支付违约金</w:t>
      </w:r>
      <w:r>
        <w:rPr>
          <w:rFonts w:ascii="宋体" w:hAnsi="宋体"/>
          <w:sz w:val="24"/>
          <w:szCs w:val="24"/>
          <w:highlight w:val="none"/>
        </w:rPr>
        <w:t>3000</w:t>
      </w:r>
      <w:r>
        <w:rPr>
          <w:rFonts w:hint="eastAsia" w:ascii="宋体" w:hAnsi="宋体"/>
          <w:sz w:val="24"/>
          <w:szCs w:val="24"/>
          <w:highlight w:val="none"/>
        </w:rPr>
        <w:t>元</w:t>
      </w:r>
      <w:r>
        <w:rPr>
          <w:rFonts w:ascii="宋体" w:hAnsi="宋体"/>
          <w:sz w:val="24"/>
          <w:szCs w:val="24"/>
          <w:highlight w:val="none"/>
        </w:rPr>
        <w:t>/</w:t>
      </w:r>
      <w:r>
        <w:rPr>
          <w:rFonts w:hint="eastAsia" w:ascii="宋体" w:hAnsi="宋体"/>
          <w:sz w:val="24"/>
          <w:szCs w:val="24"/>
          <w:highlight w:val="none"/>
        </w:rPr>
        <w:t>天；逾期超过</w:t>
      </w:r>
      <w:r>
        <w:rPr>
          <w:rFonts w:ascii="宋体" w:hAnsi="宋体"/>
          <w:sz w:val="24"/>
          <w:szCs w:val="24"/>
          <w:highlight w:val="none"/>
        </w:rPr>
        <w:t>20</w:t>
      </w:r>
      <w:r>
        <w:rPr>
          <w:rFonts w:hint="eastAsia" w:ascii="宋体" w:hAnsi="宋体"/>
          <w:sz w:val="24"/>
          <w:szCs w:val="24"/>
          <w:highlight w:val="none"/>
        </w:rPr>
        <w:t>日的，甲方有权单方终止合同，并要求乙方赔偿甲方由此遭受的全部损失。</w:t>
      </w:r>
    </w:p>
    <w:p w14:paraId="32DD659B">
      <w:pPr>
        <w:pStyle w:val="5"/>
        <w:spacing w:line="440" w:lineRule="exact"/>
        <w:ind w:firstLine="480" w:firstLineChars="200"/>
        <w:rPr>
          <w:rFonts w:ascii="宋体" w:hAnsi="宋体"/>
          <w:sz w:val="24"/>
          <w:szCs w:val="24"/>
          <w:highlight w:val="none"/>
        </w:rPr>
      </w:pPr>
      <w:r>
        <w:rPr>
          <w:rFonts w:hint="eastAsia" w:ascii="宋体" w:hAnsi="宋体"/>
          <w:sz w:val="24"/>
          <w:szCs w:val="24"/>
          <w:highlight w:val="none"/>
        </w:rPr>
        <w:t>16.2若出现因乙方原因工程量清单或招标控制价中有漏项或少计的项目导致造价增加超过中标价的</w:t>
      </w:r>
      <w:r>
        <w:rPr>
          <w:rFonts w:ascii="宋体" w:hAnsi="宋体"/>
          <w:sz w:val="24"/>
          <w:szCs w:val="24"/>
          <w:highlight w:val="none"/>
        </w:rPr>
        <w:t>5%</w:t>
      </w:r>
      <w:r>
        <w:rPr>
          <w:rFonts w:hint="eastAsia" w:ascii="宋体" w:hAnsi="宋体"/>
          <w:sz w:val="24"/>
          <w:szCs w:val="24"/>
          <w:highlight w:val="none"/>
        </w:rPr>
        <w:t>（含</w:t>
      </w:r>
      <w:r>
        <w:rPr>
          <w:rFonts w:ascii="宋体" w:hAnsi="宋体"/>
          <w:sz w:val="24"/>
          <w:szCs w:val="24"/>
          <w:highlight w:val="none"/>
        </w:rPr>
        <w:t>5%</w:t>
      </w:r>
      <w:r>
        <w:rPr>
          <w:rFonts w:hint="eastAsia" w:ascii="宋体" w:hAnsi="宋体"/>
          <w:sz w:val="24"/>
          <w:szCs w:val="24"/>
          <w:highlight w:val="none"/>
        </w:rPr>
        <w:t>）或以上，每发生一次，则由乙方每次向甲方支付</w:t>
      </w:r>
      <w:r>
        <w:rPr>
          <w:rFonts w:hint="eastAsia" w:ascii="宋体" w:hAnsi="宋体"/>
          <w:sz w:val="24"/>
          <w:szCs w:val="24"/>
          <w:highlight w:val="none"/>
          <w:lang w:val="en-US" w:eastAsia="zh-CN"/>
        </w:rPr>
        <w:t>本合同</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暂定总价</w:t>
      </w:r>
      <w:r>
        <w:rPr>
          <w:rFonts w:hint="eastAsia" w:ascii="宋体" w:hAnsi="宋体"/>
          <w:sz w:val="24"/>
          <w:szCs w:val="24"/>
          <w:highlight w:val="none"/>
        </w:rPr>
        <w:t>的</w:t>
      </w:r>
      <w:r>
        <w:rPr>
          <w:rFonts w:ascii="宋体" w:hAnsi="宋体"/>
          <w:sz w:val="24"/>
          <w:szCs w:val="24"/>
          <w:highlight w:val="none"/>
        </w:rPr>
        <w:t>10%</w:t>
      </w:r>
      <w:r>
        <w:rPr>
          <w:rFonts w:hint="eastAsia" w:ascii="宋体" w:hAnsi="宋体"/>
          <w:sz w:val="24"/>
          <w:szCs w:val="24"/>
          <w:highlight w:val="none"/>
        </w:rPr>
        <w:t>作为违约金；</w:t>
      </w:r>
    </w:p>
    <w:p w14:paraId="7F6342F0">
      <w:pPr>
        <w:spacing w:line="440" w:lineRule="exact"/>
        <w:ind w:firstLine="480" w:firstLineChars="200"/>
        <w:jc w:val="left"/>
        <w:rPr>
          <w:rFonts w:ascii="宋体" w:hAnsi="宋体"/>
          <w:sz w:val="24"/>
          <w:szCs w:val="24"/>
          <w:highlight w:val="none"/>
        </w:rPr>
      </w:pPr>
      <w:r>
        <w:rPr>
          <w:rFonts w:hint="eastAsia" w:ascii="宋体" w:hAnsi="宋体"/>
          <w:sz w:val="24"/>
          <w:szCs w:val="24"/>
          <w:highlight w:val="none"/>
        </w:rPr>
        <w:t>16.3因乙方过错造成甲方经济损失的，甲方有权向乙方索赔，并保留追究其法律责任的权利。违约金及赔偿金总额原则上不超过造价咨询酬金总额（除去税金）；但如果损失是由于乙方故意或严重渎职造成的，则乙方应赔偿甲方的全部经济损失。</w:t>
      </w:r>
    </w:p>
    <w:p w14:paraId="6B247957">
      <w:pPr>
        <w:pStyle w:val="5"/>
        <w:spacing w:line="440" w:lineRule="exact"/>
        <w:ind w:firstLine="480" w:firstLineChars="200"/>
        <w:rPr>
          <w:rFonts w:ascii="宋体" w:hAnsi="宋体"/>
          <w:sz w:val="24"/>
          <w:szCs w:val="24"/>
          <w:highlight w:val="none"/>
        </w:rPr>
      </w:pPr>
      <w:r>
        <w:rPr>
          <w:rFonts w:hint="eastAsia" w:ascii="宋体" w:hAnsi="宋体"/>
          <w:sz w:val="24"/>
          <w:szCs w:val="24"/>
          <w:highlight w:val="none"/>
        </w:rPr>
        <w:t>16.4因乙方违约导致费用扣减不足以弥补甲方损失的，甲方有权要求乙方予以赔偿；因乙方违反合同义务导致甲方按合同约定终止本合同的，甲方有权要求乙方返还委托已支付的费用，如费用不足以弥补甲方损失的，甲方有权要求乙方予以赔偿。</w:t>
      </w:r>
    </w:p>
    <w:p w14:paraId="7CC733F9">
      <w:pPr>
        <w:spacing w:line="440" w:lineRule="exact"/>
        <w:ind w:firstLine="560"/>
        <w:rPr>
          <w:rFonts w:ascii="宋体" w:hAnsi="宋体"/>
          <w:sz w:val="24"/>
          <w:szCs w:val="24"/>
          <w:highlight w:val="none"/>
        </w:rPr>
      </w:pPr>
      <w:r>
        <w:rPr>
          <w:rFonts w:hint="eastAsia" w:ascii="宋体" w:hAnsi="宋体"/>
          <w:sz w:val="24"/>
          <w:szCs w:val="24"/>
          <w:highlight w:val="none"/>
        </w:rPr>
        <w:t>16.5由于乙方在某次咨询服务过程中不遵守保密规定造成泄密事件发生，导致甲方经济损失的，一经查实，乙方需向甲方赔偿经济损失，并按</w:t>
      </w:r>
      <w:r>
        <w:rPr>
          <w:rFonts w:hint="eastAsia" w:ascii="宋体" w:hAnsi="宋体"/>
          <w:sz w:val="24"/>
          <w:szCs w:val="24"/>
          <w:highlight w:val="none"/>
          <w:lang w:val="en-US" w:eastAsia="zh-CN"/>
        </w:rPr>
        <w:t>本合同</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暂定总价</w:t>
      </w:r>
      <w:r>
        <w:rPr>
          <w:rFonts w:hint="eastAsia" w:ascii="宋体" w:hAnsi="宋体"/>
          <w:sz w:val="24"/>
          <w:szCs w:val="24"/>
          <w:highlight w:val="none"/>
        </w:rPr>
        <w:t>的30%</w:t>
      </w:r>
      <w:r>
        <w:rPr>
          <w:rFonts w:hint="eastAsia" w:ascii="宋体" w:hAnsi="宋体"/>
          <w:sz w:val="24"/>
          <w:szCs w:val="24"/>
          <w:highlight w:val="none"/>
          <w:lang w:val="en-US" w:eastAsia="zh-CN"/>
        </w:rPr>
        <w:t>向甲方支付</w:t>
      </w:r>
      <w:r>
        <w:rPr>
          <w:rFonts w:hint="eastAsia" w:ascii="宋体" w:hAnsi="宋体"/>
          <w:sz w:val="24"/>
          <w:szCs w:val="24"/>
          <w:highlight w:val="none"/>
        </w:rPr>
        <w:t>违约</w:t>
      </w:r>
      <w:r>
        <w:rPr>
          <w:rFonts w:hint="eastAsia" w:ascii="宋体" w:hAnsi="宋体"/>
          <w:sz w:val="24"/>
          <w:szCs w:val="24"/>
          <w:highlight w:val="none"/>
          <w:lang w:val="en-US" w:eastAsia="zh-CN"/>
        </w:rPr>
        <w:t>金</w:t>
      </w:r>
      <w:r>
        <w:rPr>
          <w:rFonts w:hint="eastAsia" w:ascii="宋体" w:hAnsi="宋体"/>
          <w:sz w:val="24"/>
          <w:szCs w:val="24"/>
          <w:highlight w:val="none"/>
        </w:rPr>
        <w:t>。同时，甲方有权</w:t>
      </w:r>
      <w:r>
        <w:rPr>
          <w:rFonts w:hint="eastAsia" w:ascii="宋体" w:hAnsi="宋体"/>
          <w:sz w:val="24"/>
          <w:szCs w:val="24"/>
          <w:highlight w:val="none"/>
          <w:lang w:val="en-US" w:eastAsia="zh-CN"/>
        </w:rPr>
        <w:t>解除</w:t>
      </w:r>
      <w:r>
        <w:rPr>
          <w:rFonts w:hint="eastAsia" w:ascii="宋体" w:hAnsi="宋体"/>
          <w:sz w:val="24"/>
          <w:szCs w:val="24"/>
          <w:highlight w:val="none"/>
        </w:rPr>
        <w:t>合同，取消其服务资格。</w:t>
      </w:r>
    </w:p>
    <w:p w14:paraId="6F46DAEE">
      <w:pPr>
        <w:spacing w:line="440" w:lineRule="exact"/>
        <w:ind w:firstLine="480" w:firstLineChars="200"/>
        <w:rPr>
          <w:rFonts w:ascii="宋体" w:hAnsi="宋体"/>
          <w:sz w:val="24"/>
          <w:szCs w:val="24"/>
          <w:highlight w:val="none"/>
        </w:rPr>
      </w:pPr>
      <w:r>
        <w:rPr>
          <w:rFonts w:hint="eastAsia" w:ascii="宋体" w:hAnsi="宋体"/>
          <w:sz w:val="24"/>
          <w:szCs w:val="24"/>
          <w:highlight w:val="none"/>
        </w:rPr>
        <w:t>16.6乙方在服务期内如被主管部门取消造价咨询资质或被降低资质等级不再适合甲方委托的咨询业务资质规定时，甲方有权</w:t>
      </w:r>
      <w:r>
        <w:rPr>
          <w:rFonts w:hint="eastAsia" w:ascii="宋体" w:hAnsi="宋体"/>
          <w:sz w:val="24"/>
          <w:szCs w:val="24"/>
          <w:highlight w:val="none"/>
          <w:lang w:val="en-US" w:eastAsia="zh-CN"/>
        </w:rPr>
        <w:t>单方解除本</w:t>
      </w:r>
      <w:r>
        <w:rPr>
          <w:rFonts w:hint="eastAsia" w:ascii="宋体" w:hAnsi="宋体"/>
          <w:sz w:val="24"/>
          <w:szCs w:val="24"/>
          <w:highlight w:val="none"/>
        </w:rPr>
        <w:t>合同</w:t>
      </w:r>
      <w:r>
        <w:rPr>
          <w:rFonts w:hint="eastAsia" w:ascii="宋体" w:hAnsi="宋体"/>
          <w:sz w:val="24"/>
          <w:szCs w:val="24"/>
          <w:highlight w:val="none"/>
          <w:lang w:eastAsia="zh-CN"/>
        </w:rPr>
        <w:t>，并由乙方承担由此产生的一切责任</w:t>
      </w:r>
      <w:r>
        <w:rPr>
          <w:rFonts w:hint="eastAsia" w:ascii="宋体" w:hAnsi="宋体"/>
          <w:sz w:val="24"/>
          <w:szCs w:val="24"/>
          <w:highlight w:val="none"/>
        </w:rPr>
        <w:t>。</w:t>
      </w:r>
    </w:p>
    <w:p w14:paraId="1460DED4">
      <w:pPr>
        <w:spacing w:line="440" w:lineRule="exact"/>
        <w:ind w:firstLine="480" w:firstLineChars="200"/>
        <w:rPr>
          <w:rFonts w:ascii="宋体" w:hAnsi="宋体"/>
          <w:sz w:val="24"/>
          <w:szCs w:val="24"/>
          <w:highlight w:val="none"/>
        </w:rPr>
      </w:pPr>
      <w:r>
        <w:rPr>
          <w:rFonts w:hint="eastAsia" w:ascii="宋体" w:hAnsi="宋体"/>
          <w:sz w:val="24"/>
          <w:szCs w:val="24"/>
          <w:highlight w:val="none"/>
        </w:rPr>
        <w:t>16.7杜绝出现咨询项目施工进度款超付现象, 若出现超额支付工程款的情况，视超付金额，乙方必须按本合同</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暂定总价</w:t>
      </w:r>
      <w:r>
        <w:rPr>
          <w:rFonts w:hint="eastAsia" w:ascii="宋体" w:hAnsi="宋体"/>
          <w:sz w:val="24"/>
          <w:szCs w:val="24"/>
          <w:highlight w:val="none"/>
        </w:rPr>
        <w:t>的</w:t>
      </w:r>
      <w:r>
        <w:rPr>
          <w:rFonts w:ascii="宋体" w:hAnsi="宋体"/>
          <w:sz w:val="24"/>
          <w:szCs w:val="24"/>
          <w:highlight w:val="none"/>
        </w:rPr>
        <w:t>15%~20%</w:t>
      </w:r>
      <w:r>
        <w:rPr>
          <w:rFonts w:hint="eastAsia" w:ascii="宋体" w:hAnsi="宋体"/>
          <w:sz w:val="24"/>
          <w:szCs w:val="24"/>
          <w:highlight w:val="none"/>
        </w:rPr>
        <w:t>向甲方支付违约金，违约金不足以弥补甲方的损失时，甲方保留继续向乙方追偿的权利。</w:t>
      </w:r>
    </w:p>
    <w:p w14:paraId="1C449367">
      <w:pPr>
        <w:spacing w:line="440" w:lineRule="exact"/>
        <w:ind w:firstLine="480" w:firstLineChars="200"/>
        <w:rPr>
          <w:rFonts w:ascii="宋体" w:hAnsi="宋体"/>
          <w:sz w:val="24"/>
          <w:szCs w:val="24"/>
          <w:highlight w:val="none"/>
        </w:rPr>
      </w:pPr>
      <w:r>
        <w:rPr>
          <w:rFonts w:hint="eastAsia" w:ascii="宋体" w:hAnsi="宋体"/>
          <w:sz w:val="24"/>
          <w:szCs w:val="24"/>
          <w:highlight w:val="none"/>
        </w:rPr>
        <w:t>16.8</w:t>
      </w:r>
      <w:r>
        <w:rPr>
          <w:rFonts w:hint="eastAsia" w:ascii="宋体" w:hAnsi="宋体" w:cs="宋体"/>
          <w:kern w:val="0"/>
          <w:sz w:val="24"/>
          <w:szCs w:val="24"/>
          <w:highlight w:val="none"/>
          <w:lang w:val="zh-CN"/>
        </w:rPr>
        <w:t>乙方须按甲方要求和财政评审的需要使用计价软件，若乙方使用不当计价软件导致延误财政投资评审的，需马上按甲方要求整改并承担违约责任及赔偿</w:t>
      </w:r>
      <w:r>
        <w:rPr>
          <w:rFonts w:hint="eastAsia" w:ascii="宋体" w:hAnsi="宋体" w:cs="宋体"/>
          <w:sz w:val="24"/>
          <w:szCs w:val="24"/>
          <w:highlight w:val="none"/>
          <w:lang w:val="en-US" w:eastAsia="zh-CN"/>
        </w:rPr>
        <w:t>本合同</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暂定总价</w:t>
      </w:r>
      <w:r>
        <w:rPr>
          <w:rFonts w:hint="eastAsia" w:ascii="宋体" w:hAnsi="宋体" w:cs="宋体"/>
          <w:kern w:val="0"/>
          <w:sz w:val="24"/>
          <w:szCs w:val="24"/>
          <w:highlight w:val="none"/>
          <w:lang w:val="zh-CN"/>
        </w:rPr>
        <w:t>的</w:t>
      </w:r>
      <w:r>
        <w:rPr>
          <w:rFonts w:ascii="宋体" w:hAnsi="宋体" w:cs="宋体"/>
          <w:kern w:val="0"/>
          <w:sz w:val="24"/>
          <w:szCs w:val="24"/>
          <w:highlight w:val="none"/>
          <w:lang w:val="zh-CN"/>
        </w:rPr>
        <w:t>10%</w:t>
      </w:r>
      <w:r>
        <w:rPr>
          <w:rFonts w:hint="eastAsia" w:ascii="宋体" w:hAnsi="宋体" w:cs="宋体"/>
          <w:kern w:val="0"/>
          <w:sz w:val="24"/>
          <w:szCs w:val="24"/>
          <w:highlight w:val="none"/>
          <w:lang w:val="zh-CN"/>
        </w:rPr>
        <w:t>违约金。</w:t>
      </w:r>
    </w:p>
    <w:p w14:paraId="4726C147">
      <w:pPr>
        <w:pStyle w:val="32"/>
        <w:widowControl/>
        <w:tabs>
          <w:tab w:val="left" w:pos="1276"/>
        </w:tabs>
        <w:adjustRightInd w:val="0"/>
        <w:snapToGrid w:val="0"/>
        <w:spacing w:before="312" w:beforeLines="100" w:after="312" w:afterLines="100" w:line="440" w:lineRule="exact"/>
        <w:ind w:firstLine="482"/>
        <w:jc w:val="left"/>
        <w:rPr>
          <w:rFonts w:ascii="宋体" w:hAnsi="宋体"/>
          <w:b/>
          <w:kern w:val="0"/>
          <w:sz w:val="24"/>
          <w:szCs w:val="24"/>
          <w:highlight w:val="none"/>
        </w:rPr>
      </w:pPr>
      <w:r>
        <w:rPr>
          <w:rFonts w:hint="eastAsia" w:ascii="宋体" w:hAnsi="宋体"/>
          <w:b/>
          <w:kern w:val="0"/>
          <w:sz w:val="24"/>
          <w:szCs w:val="24"/>
          <w:highlight w:val="none"/>
        </w:rPr>
        <w:t>第二十六条  合同价款及支付方式：</w:t>
      </w:r>
    </w:p>
    <w:p w14:paraId="179521BC">
      <w:pPr>
        <w:spacing w:line="440" w:lineRule="exact"/>
        <w:ind w:firstLine="480" w:firstLineChars="200"/>
        <w:rPr>
          <w:rFonts w:hint="eastAsia" w:ascii="宋体" w:hAnsi="宋体"/>
          <w:bCs/>
          <w:sz w:val="24"/>
          <w:szCs w:val="24"/>
          <w:highlight w:val="none"/>
        </w:rPr>
      </w:pPr>
      <w:r>
        <w:rPr>
          <w:rFonts w:hint="eastAsia" w:ascii="宋体" w:hAnsi="宋体"/>
          <w:bCs/>
          <w:sz w:val="24"/>
          <w:szCs w:val="24"/>
          <w:highlight w:val="none"/>
        </w:rPr>
        <w:t>26.1</w:t>
      </w:r>
      <w:r>
        <w:rPr>
          <w:rFonts w:hint="eastAsia" w:ascii="宋体" w:hAnsi="宋体"/>
          <w:bCs/>
          <w:sz w:val="24"/>
          <w:szCs w:val="24"/>
          <w:highlight w:val="none"/>
          <w:lang w:val="en-US" w:eastAsia="zh-CN"/>
        </w:rPr>
        <w:t>合同价款</w:t>
      </w:r>
      <w:r>
        <w:rPr>
          <w:rFonts w:hint="eastAsia" w:ascii="宋体" w:hAnsi="宋体"/>
          <w:bCs/>
          <w:sz w:val="24"/>
          <w:szCs w:val="24"/>
          <w:highlight w:val="none"/>
        </w:rPr>
        <w:t>：</w:t>
      </w:r>
    </w:p>
    <w:p w14:paraId="1C029F23">
      <w:pPr>
        <w:spacing w:line="440" w:lineRule="exact"/>
        <w:ind w:firstLine="480" w:firstLineChars="200"/>
        <w:rPr>
          <w:rFonts w:hint="eastAsia" w:ascii="宋体" w:hAnsi="宋体"/>
          <w:bCs/>
          <w:kern w:val="2"/>
          <w:sz w:val="24"/>
          <w:szCs w:val="24"/>
          <w:highlight w:val="none"/>
        </w:rPr>
      </w:pPr>
      <w:r>
        <w:rPr>
          <w:rFonts w:hint="eastAsia" w:ascii="宋体" w:hAnsi="宋体"/>
          <w:bCs/>
          <w:sz w:val="24"/>
          <w:szCs w:val="24"/>
          <w:highlight w:val="none"/>
          <w:lang w:val="en-US" w:eastAsia="zh-CN"/>
        </w:rPr>
        <w:t>26.1.1本合同</w:t>
      </w:r>
      <w:r>
        <w:rPr>
          <w:rFonts w:hint="eastAsia" w:ascii="宋体" w:hAnsi="宋体" w:eastAsia="宋体" w:cs="宋体"/>
          <w:color w:val="auto"/>
          <w:sz w:val="24"/>
          <w:szCs w:val="24"/>
          <w:highlight w:val="none"/>
        </w:rPr>
        <w:t>造价咨询服务</w:t>
      </w:r>
      <w:r>
        <w:rPr>
          <w:rFonts w:hint="default" w:ascii="宋体" w:hAnsi="宋体" w:eastAsia="宋体" w:cs="宋体"/>
          <w:color w:val="auto"/>
          <w:sz w:val="24"/>
          <w:szCs w:val="24"/>
          <w:highlight w:val="none"/>
          <w:lang w:val="en-US"/>
        </w:rPr>
        <w:t>报酬</w:t>
      </w:r>
      <w:r>
        <w:rPr>
          <w:rFonts w:hint="eastAsia" w:ascii="宋体" w:hAnsi="宋体" w:eastAsia="宋体" w:cs="宋体"/>
          <w:color w:val="auto"/>
          <w:sz w:val="24"/>
          <w:szCs w:val="24"/>
          <w:highlight w:val="none"/>
        </w:rPr>
        <w:t>（含税）</w:t>
      </w:r>
      <w:r>
        <w:rPr>
          <w:rFonts w:hint="eastAsia" w:ascii="宋体" w:hAnsi="宋体"/>
          <w:bCs/>
          <w:sz w:val="24"/>
          <w:szCs w:val="24"/>
          <w:highlight w:val="none"/>
          <w:lang w:val="en-US" w:eastAsia="zh-CN"/>
        </w:rPr>
        <w:t>为暂定总价。</w:t>
      </w:r>
    </w:p>
    <w:p w14:paraId="26129535">
      <w:pPr>
        <w:spacing w:line="440" w:lineRule="exact"/>
        <w:ind w:firstLine="480" w:firstLineChars="200"/>
        <w:rPr>
          <w:rFonts w:ascii="宋体" w:hAnsi="宋体"/>
          <w:sz w:val="24"/>
          <w:szCs w:val="24"/>
          <w:highlight w:val="none"/>
        </w:rPr>
      </w:pPr>
      <w:r>
        <w:rPr>
          <w:rFonts w:hint="eastAsia" w:ascii="宋体" w:hAnsi="宋体"/>
          <w:sz w:val="24"/>
          <w:szCs w:val="24"/>
          <w:highlight w:val="none"/>
        </w:rPr>
        <w:t>合同含税总价</w:t>
      </w:r>
      <w:r>
        <w:rPr>
          <w:rFonts w:hint="eastAsia" w:ascii="宋体" w:hAnsi="宋体"/>
          <w:sz w:val="24"/>
          <w:szCs w:val="24"/>
          <w:highlight w:val="none"/>
          <w:lang w:eastAsia="zh-CN"/>
        </w:rPr>
        <w:t>（</w:t>
      </w:r>
      <w:r>
        <w:rPr>
          <w:rFonts w:hint="eastAsia" w:ascii="宋体" w:hAnsi="宋体"/>
          <w:sz w:val="24"/>
          <w:szCs w:val="24"/>
          <w:highlight w:val="none"/>
          <w:lang w:val="en-US" w:eastAsia="zh-CN"/>
        </w:rPr>
        <w:t>暂定总价</w:t>
      </w:r>
      <w:r>
        <w:rPr>
          <w:rFonts w:hint="eastAsia" w:ascii="宋体" w:hAnsi="宋体"/>
          <w:sz w:val="24"/>
          <w:szCs w:val="24"/>
          <w:highlight w:val="none"/>
          <w:lang w:eastAsia="zh-CN"/>
        </w:rPr>
        <w:t>）</w:t>
      </w:r>
      <w:r>
        <w:rPr>
          <w:rFonts w:hint="eastAsia" w:ascii="宋体" w:hAnsi="宋体"/>
          <w:sz w:val="24"/>
          <w:szCs w:val="24"/>
          <w:highlight w:val="none"/>
          <w:lang w:val="en-US" w:eastAsia="zh-CN"/>
        </w:rPr>
        <w:t>为大写</w:t>
      </w:r>
      <w:r>
        <w:rPr>
          <w:rFonts w:hint="eastAsia" w:ascii="宋体" w:hAnsi="宋体"/>
          <w:sz w:val="24"/>
          <w:szCs w:val="24"/>
          <w:highlight w:val="none"/>
        </w:rPr>
        <w:t>人民币</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元（¥</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 xml:space="preserve"> </w:t>
      </w:r>
      <w:r>
        <w:rPr>
          <w:rFonts w:hint="eastAsia" w:ascii="宋体" w:hAnsi="宋体"/>
          <w:sz w:val="24"/>
          <w:szCs w:val="24"/>
          <w:highlight w:val="none"/>
        </w:rPr>
        <w:t>）</w:t>
      </w:r>
      <w:r>
        <w:rPr>
          <w:rFonts w:hint="eastAsia" w:ascii="宋体" w:hAnsi="宋体"/>
          <w:sz w:val="24"/>
          <w:szCs w:val="24"/>
          <w:highlight w:val="none"/>
          <w:lang w:eastAsia="zh-CN"/>
        </w:rPr>
        <w:t>，</w:t>
      </w:r>
      <w:r>
        <w:rPr>
          <w:rFonts w:ascii="宋体" w:hAnsi="宋体"/>
          <w:sz w:val="24"/>
          <w:szCs w:val="24"/>
          <w:highlight w:val="none"/>
        </w:rPr>
        <w:t>不含税总价</w:t>
      </w:r>
      <w:r>
        <w:rPr>
          <w:rFonts w:hint="eastAsia" w:ascii="宋体" w:hAnsi="宋体"/>
          <w:sz w:val="24"/>
          <w:szCs w:val="24"/>
          <w:highlight w:val="none"/>
          <w:lang w:val="en-US" w:eastAsia="zh-CN"/>
        </w:rPr>
        <w:t>为</w:t>
      </w:r>
      <w:r>
        <w:rPr>
          <w:rFonts w:hint="eastAsia" w:ascii="宋体" w:hAnsi="宋体"/>
          <w:sz w:val="24"/>
          <w:szCs w:val="24"/>
          <w:highlight w:val="none"/>
        </w:rPr>
        <w:t>人民币</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元（¥</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 xml:space="preserve"> </w:t>
      </w:r>
      <w:r>
        <w:rPr>
          <w:rFonts w:hint="eastAsia" w:ascii="宋体" w:hAnsi="宋体"/>
          <w:sz w:val="24"/>
          <w:szCs w:val="24"/>
          <w:highlight w:val="none"/>
        </w:rPr>
        <w:t>）</w:t>
      </w:r>
      <w:r>
        <w:rPr>
          <w:rFonts w:hint="eastAsia" w:ascii="宋体" w:hAnsi="宋体"/>
          <w:sz w:val="24"/>
          <w:szCs w:val="24"/>
          <w:highlight w:val="none"/>
          <w:lang w:eastAsia="zh-CN"/>
        </w:rPr>
        <w:t>，</w:t>
      </w:r>
      <w:r>
        <w:rPr>
          <w:rFonts w:hint="eastAsia" w:ascii="宋体" w:hAnsi="宋体"/>
          <w:sz w:val="24"/>
          <w:szCs w:val="24"/>
          <w:highlight w:val="none"/>
          <w:lang w:val="en-US" w:eastAsia="zh-CN"/>
        </w:rPr>
        <w:t xml:space="preserve">税金为大写人民币：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元（¥</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 xml:space="preserve"> </w:t>
      </w:r>
      <w:r>
        <w:rPr>
          <w:rFonts w:hint="eastAsia" w:ascii="宋体" w:hAnsi="宋体"/>
          <w:sz w:val="24"/>
          <w:szCs w:val="24"/>
          <w:highlight w:val="none"/>
        </w:rPr>
        <w:t>）</w:t>
      </w:r>
      <w:r>
        <w:rPr>
          <w:rFonts w:hint="eastAsia" w:ascii="宋体" w:hAnsi="宋体"/>
          <w:sz w:val="24"/>
          <w:szCs w:val="24"/>
          <w:highlight w:val="none"/>
          <w:lang w:eastAsia="zh-CN"/>
        </w:rPr>
        <w:t>，</w:t>
      </w:r>
      <w:r>
        <w:rPr>
          <w:rFonts w:hint="eastAsia" w:ascii="宋体" w:hAnsi="宋体"/>
          <w:sz w:val="24"/>
          <w:szCs w:val="24"/>
          <w:highlight w:val="none"/>
          <w:lang w:val="en-US" w:eastAsia="zh-CN"/>
        </w:rPr>
        <w:t>增值税税率为</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w:t>
      </w:r>
      <w:r>
        <w:rPr>
          <w:rFonts w:hint="eastAsia" w:cs="宋体" w:asciiTheme="minorEastAsia" w:hAnsiTheme="minorEastAsia" w:eastAsiaTheme="minorEastAsia"/>
          <w:color w:val="000000" w:themeColor="text1"/>
          <w:sz w:val="24"/>
          <w:highlight w:val="none"/>
          <w14:textFill>
            <w14:solidFill>
              <w14:schemeClr w14:val="tx1"/>
            </w14:solidFill>
          </w14:textFill>
        </w:rPr>
        <w:t>本合同费率为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即中标费率）</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5735AE39">
      <w:pPr>
        <w:spacing w:line="440" w:lineRule="exact"/>
        <w:ind w:firstLine="480" w:firstLineChars="200"/>
        <w:rPr>
          <w:rFonts w:hint="eastAsia" w:ascii="宋体" w:hAnsi="宋体"/>
          <w:snapToGrid w:val="0"/>
          <w:color w:val="000000" w:themeColor="text1"/>
          <w:spacing w:val="4"/>
          <w:kern w:val="0"/>
          <w:sz w:val="24"/>
          <w:highlight w:val="none"/>
          <w14:textFill>
            <w14:solidFill>
              <w14:schemeClr w14:val="tx1"/>
            </w14:solidFill>
          </w14:textFill>
        </w:rPr>
      </w:pPr>
      <w:r>
        <w:rPr>
          <w:rFonts w:hint="eastAsia" w:ascii="宋体" w:hAnsi="宋体"/>
          <w:sz w:val="24"/>
          <w:szCs w:val="24"/>
          <w:highlight w:val="none"/>
          <w:lang w:val="en-US" w:eastAsia="zh-CN"/>
        </w:rPr>
        <w:t>26.1.2合同实际金额</w:t>
      </w:r>
      <w:r>
        <w:rPr>
          <w:rFonts w:hint="eastAsia" w:ascii="宋体" w:hAnsi="宋体"/>
          <w:snapToGrid w:val="0"/>
          <w:color w:val="000000" w:themeColor="text1"/>
          <w:spacing w:val="4"/>
          <w:kern w:val="0"/>
          <w:sz w:val="24"/>
          <w:highlight w:val="none"/>
          <w14:textFill>
            <w14:solidFill>
              <w14:schemeClr w14:val="tx1"/>
            </w14:solidFill>
          </w14:textFill>
        </w:rPr>
        <w:t>以本项目</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审定概算的建安工程费</w:t>
      </w:r>
      <w:r>
        <w:rPr>
          <w:rFonts w:hint="eastAsia" w:ascii="宋体" w:hAnsi="宋体"/>
          <w:snapToGrid w:val="0"/>
          <w:color w:val="000000" w:themeColor="text1"/>
          <w:spacing w:val="4"/>
          <w:kern w:val="0"/>
          <w:sz w:val="24"/>
          <w:highlight w:val="none"/>
          <w14:textFill>
            <w14:solidFill>
              <w14:schemeClr w14:val="tx1"/>
            </w14:solidFill>
          </w14:textFill>
        </w:rPr>
        <w:t>为基数乘以本合同</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中标</w:t>
      </w:r>
      <w:r>
        <w:rPr>
          <w:rFonts w:hint="eastAsia" w:ascii="宋体" w:hAnsi="宋体"/>
          <w:snapToGrid w:val="0"/>
          <w:color w:val="000000" w:themeColor="text1"/>
          <w:spacing w:val="4"/>
          <w:kern w:val="0"/>
          <w:sz w:val="24"/>
          <w:highlight w:val="none"/>
          <w14:textFill>
            <w14:solidFill>
              <w14:schemeClr w14:val="tx1"/>
            </w14:solidFill>
          </w14:textFill>
        </w:rPr>
        <w:t>费率</w:t>
      </w:r>
      <w:r>
        <w:rPr>
          <w:rFonts w:hint="eastAsia" w:ascii="宋体" w:hAnsi="宋体"/>
          <w:snapToGrid w:val="0"/>
          <w:color w:val="000000" w:themeColor="text1"/>
          <w:spacing w:val="4"/>
          <w:kern w:val="0"/>
          <w:sz w:val="24"/>
          <w:highlight w:val="none"/>
          <w:lang w:eastAsia="zh-CN"/>
          <w14:textFill>
            <w14:solidFill>
              <w14:schemeClr w14:val="tx1"/>
            </w14:solidFill>
          </w14:textFill>
        </w:rPr>
        <w:t>（</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合同中标价/本项目招标公告中的建安工程费）×100%</w:t>
      </w:r>
      <w:r>
        <w:rPr>
          <w:rFonts w:hint="eastAsia" w:ascii="宋体" w:hAnsi="宋体"/>
          <w:snapToGrid w:val="0"/>
          <w:color w:val="000000" w:themeColor="text1"/>
          <w:spacing w:val="4"/>
          <w:kern w:val="0"/>
          <w:sz w:val="24"/>
          <w:highlight w:val="none"/>
          <w14:textFill>
            <w14:solidFill>
              <w14:schemeClr w14:val="tx1"/>
            </w14:solidFill>
          </w14:textFill>
        </w:rPr>
        <w:t>计算</w:t>
      </w:r>
      <w:r>
        <w:rPr>
          <w:rFonts w:hint="eastAsia" w:ascii="宋体" w:hAnsi="宋体"/>
          <w:snapToGrid w:val="0"/>
          <w:color w:val="000000" w:themeColor="text1"/>
          <w:spacing w:val="4"/>
          <w:kern w:val="0"/>
          <w:sz w:val="24"/>
          <w:highlight w:val="none"/>
          <w:lang w:eastAsia="zh-CN"/>
          <w14:textFill>
            <w14:solidFill>
              <w14:schemeClr w14:val="tx1"/>
            </w14:solidFill>
          </w14:textFill>
        </w:rPr>
        <w:t>。</w:t>
      </w:r>
      <w:r>
        <w:rPr>
          <w:rFonts w:hint="eastAsia" w:ascii="宋体" w:hAnsi="宋体"/>
          <w:snapToGrid w:val="0"/>
          <w:color w:val="000000" w:themeColor="text1"/>
          <w:spacing w:val="4"/>
          <w:kern w:val="0"/>
          <w:sz w:val="24"/>
          <w:highlight w:val="none"/>
          <w14:textFill>
            <w14:solidFill>
              <w14:schemeClr w14:val="tx1"/>
            </w14:solidFill>
          </w14:textFill>
        </w:rPr>
        <w:t>最终</w:t>
      </w:r>
      <w:r>
        <w:rPr>
          <w:rFonts w:hint="eastAsia" w:ascii="宋体" w:hAnsi="宋体"/>
          <w:snapToGrid w:val="0"/>
          <w:color w:val="000000" w:themeColor="text1"/>
          <w:spacing w:val="4"/>
          <w:kern w:val="0"/>
          <w:sz w:val="24"/>
          <w:highlight w:val="none"/>
          <w:lang w:eastAsia="zh-CN"/>
          <w14:textFill>
            <w14:solidFill>
              <w14:schemeClr w14:val="tx1"/>
            </w14:solidFill>
          </w14:textFill>
        </w:rPr>
        <w:t>以</w:t>
      </w:r>
      <w:r>
        <w:rPr>
          <w:rFonts w:hint="eastAsia" w:ascii="宋体" w:hAnsi="宋体"/>
          <w:snapToGrid w:val="0"/>
          <w:color w:val="000000" w:themeColor="text1"/>
          <w:spacing w:val="4"/>
          <w:kern w:val="0"/>
          <w:sz w:val="24"/>
          <w:highlight w:val="none"/>
          <w14:textFill>
            <w14:solidFill>
              <w14:schemeClr w14:val="tx1"/>
            </w14:solidFill>
          </w14:textFill>
        </w:rPr>
        <w:t>有权</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审核部门审定的本合同</w:t>
      </w:r>
      <w:r>
        <w:rPr>
          <w:rFonts w:hint="eastAsia" w:ascii="宋体" w:hAnsi="宋体"/>
          <w:snapToGrid w:val="0"/>
          <w:color w:val="000000" w:themeColor="text1"/>
          <w:spacing w:val="4"/>
          <w:kern w:val="0"/>
          <w:sz w:val="24"/>
          <w:highlight w:val="none"/>
          <w14:textFill>
            <w14:solidFill>
              <w14:schemeClr w14:val="tx1"/>
            </w14:solidFill>
          </w14:textFill>
        </w:rPr>
        <w:t>结算终审</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金额为准</w:t>
      </w:r>
      <w:r>
        <w:rPr>
          <w:rFonts w:hint="eastAsia" w:ascii="宋体" w:hAnsi="宋体"/>
          <w:snapToGrid w:val="0"/>
          <w:color w:val="000000" w:themeColor="text1"/>
          <w:spacing w:val="4"/>
          <w:kern w:val="0"/>
          <w:sz w:val="24"/>
          <w:highlight w:val="none"/>
          <w14:textFill>
            <w14:solidFill>
              <w14:schemeClr w14:val="tx1"/>
            </w14:solidFill>
          </w14:textFill>
        </w:rPr>
        <w:t>。</w:t>
      </w:r>
    </w:p>
    <w:p w14:paraId="4B7346D0">
      <w:pPr>
        <w:spacing w:line="440" w:lineRule="exact"/>
        <w:ind w:firstLine="480" w:firstLineChars="200"/>
        <w:rPr>
          <w:rFonts w:ascii="宋体" w:hAnsi="宋体"/>
          <w:sz w:val="24"/>
          <w:szCs w:val="24"/>
          <w:highlight w:val="none"/>
        </w:rPr>
      </w:pPr>
      <w:r>
        <w:rPr>
          <w:rFonts w:hint="eastAsia" w:ascii="宋体" w:hAnsi="宋体"/>
          <w:sz w:val="24"/>
          <w:szCs w:val="24"/>
          <w:highlight w:val="none"/>
        </w:rPr>
        <w:t>26.1.</w:t>
      </w:r>
      <w:r>
        <w:rPr>
          <w:rFonts w:ascii="宋体" w:hAnsi="宋体"/>
          <w:sz w:val="24"/>
          <w:szCs w:val="24"/>
          <w:highlight w:val="none"/>
        </w:rPr>
        <w:t>1</w:t>
      </w:r>
      <w:r>
        <w:rPr>
          <w:rFonts w:hint="eastAsia" w:ascii="宋体" w:hAnsi="宋体"/>
          <w:sz w:val="24"/>
          <w:szCs w:val="24"/>
          <w:highlight w:val="none"/>
        </w:rPr>
        <w:t>其他</w:t>
      </w:r>
      <w:r>
        <w:rPr>
          <w:rFonts w:ascii="宋体" w:hAnsi="宋体"/>
          <w:sz w:val="24"/>
          <w:szCs w:val="24"/>
          <w:highlight w:val="none"/>
        </w:rPr>
        <w:t>说明</w:t>
      </w:r>
    </w:p>
    <w:p w14:paraId="6F0756DD">
      <w:pPr>
        <w:spacing w:line="440" w:lineRule="exact"/>
        <w:ind w:firstLine="480" w:firstLineChars="200"/>
        <w:rPr>
          <w:rFonts w:ascii="宋体" w:hAnsi="宋体"/>
          <w:sz w:val="24"/>
          <w:szCs w:val="24"/>
          <w:highlight w:val="none"/>
        </w:rPr>
      </w:pPr>
      <w:r>
        <w:rPr>
          <w:rFonts w:hint="eastAsia" w:ascii="宋体" w:hAnsi="宋体"/>
          <w:sz w:val="24"/>
          <w:szCs w:val="24"/>
          <w:highlight w:val="none"/>
        </w:rPr>
        <w:t>①钢筋量及预埋件由造价咨询单位计算或复核，且其费用</w:t>
      </w:r>
      <w:r>
        <w:rPr>
          <w:rFonts w:hint="eastAsia" w:ascii="宋体" w:hAnsi="宋体"/>
          <w:sz w:val="24"/>
          <w:szCs w:val="24"/>
          <w:highlight w:val="none"/>
          <w:lang w:val="en-US" w:eastAsia="zh-CN"/>
        </w:rPr>
        <w:t>含在合同价款中，甲方</w:t>
      </w:r>
      <w:r>
        <w:rPr>
          <w:rFonts w:hint="eastAsia" w:ascii="宋体" w:hAnsi="宋体"/>
          <w:sz w:val="24"/>
          <w:szCs w:val="24"/>
          <w:highlight w:val="none"/>
        </w:rPr>
        <w:t>不另</w:t>
      </w:r>
      <w:r>
        <w:rPr>
          <w:rFonts w:hint="eastAsia" w:ascii="宋体" w:hAnsi="宋体"/>
          <w:sz w:val="24"/>
          <w:szCs w:val="24"/>
          <w:highlight w:val="none"/>
          <w:lang w:val="en-US" w:eastAsia="zh-CN"/>
        </w:rPr>
        <w:t>行</w:t>
      </w:r>
      <w:r>
        <w:rPr>
          <w:rFonts w:hint="eastAsia" w:ascii="宋体" w:hAnsi="宋体"/>
          <w:sz w:val="24"/>
          <w:szCs w:val="24"/>
          <w:highlight w:val="none"/>
        </w:rPr>
        <w:t>支付。</w:t>
      </w:r>
    </w:p>
    <w:p w14:paraId="0FBE4B97">
      <w:pPr>
        <w:spacing w:line="440" w:lineRule="exact"/>
        <w:ind w:firstLine="480" w:firstLineChars="200"/>
        <w:rPr>
          <w:rFonts w:ascii="宋体" w:hAnsi="宋体"/>
          <w:sz w:val="24"/>
          <w:szCs w:val="24"/>
          <w:highlight w:val="none"/>
        </w:rPr>
      </w:pPr>
      <w:r>
        <w:rPr>
          <w:rFonts w:hint="eastAsia" w:ascii="宋体" w:hAnsi="宋体"/>
          <w:sz w:val="24"/>
          <w:szCs w:val="24"/>
          <w:highlight w:val="none"/>
        </w:rPr>
        <w:t>②上述费用包含投入本项目的管理、交通、食宿、文件制作以及包含所有税、费、款、金等一切费用，同时也包括在服务过程中出现特殊因素造价人员必须加班或甲方要求加班的费用以及产生的所有费用，并考虑应承担的风险。乙方工作范围内的配合甲方工程招投标、为甲方提供其他与造价控制有关的技术服务（如主要材料市场信息及经济指标的比较分析）等工作的相关费用包括在</w:t>
      </w:r>
      <w:r>
        <w:rPr>
          <w:rFonts w:hint="eastAsia" w:ascii="宋体" w:hAnsi="宋体"/>
          <w:sz w:val="24"/>
          <w:szCs w:val="24"/>
          <w:highlight w:val="none"/>
          <w:lang w:val="en-US" w:eastAsia="zh-CN"/>
        </w:rPr>
        <w:t>合同价款中</w:t>
      </w:r>
      <w:r>
        <w:rPr>
          <w:rFonts w:hint="eastAsia" w:ascii="宋体" w:hAnsi="宋体"/>
          <w:sz w:val="24"/>
          <w:szCs w:val="24"/>
          <w:highlight w:val="none"/>
        </w:rPr>
        <w:t>，</w:t>
      </w:r>
      <w:r>
        <w:rPr>
          <w:rFonts w:hint="eastAsia" w:ascii="宋体" w:hAnsi="宋体"/>
          <w:sz w:val="24"/>
          <w:szCs w:val="24"/>
          <w:highlight w:val="none"/>
          <w:lang w:val="en-US" w:eastAsia="zh-CN"/>
        </w:rPr>
        <w:t>甲方</w:t>
      </w:r>
      <w:r>
        <w:rPr>
          <w:rFonts w:hint="eastAsia" w:ascii="宋体" w:hAnsi="宋体"/>
          <w:sz w:val="24"/>
          <w:szCs w:val="24"/>
          <w:highlight w:val="none"/>
        </w:rPr>
        <w:t>不另行计费。除本合同另有约定外，乙方不得再向甲方要求其它任何费用。</w:t>
      </w:r>
    </w:p>
    <w:p w14:paraId="02AD089B">
      <w:pPr>
        <w:spacing w:line="440" w:lineRule="exact"/>
        <w:ind w:firstLine="480" w:firstLineChars="200"/>
        <w:rPr>
          <w:rFonts w:hint="eastAsia" w:ascii="宋体" w:hAnsi="宋体"/>
          <w:sz w:val="24"/>
          <w:szCs w:val="24"/>
          <w:highlight w:val="none"/>
          <w:lang w:val="en-US" w:eastAsia="zh-CN"/>
        </w:rPr>
      </w:pPr>
    </w:p>
    <w:p w14:paraId="21663CB7">
      <w:pPr>
        <w:spacing w:line="440" w:lineRule="exact"/>
        <w:ind w:firstLine="480" w:firstLineChars="200"/>
        <w:rPr>
          <w:rFonts w:hint="eastAsia" w:ascii="宋体" w:hAnsi="宋体" w:eastAsia="宋体" w:cs="宋体"/>
          <w:sz w:val="24"/>
          <w:szCs w:val="24"/>
          <w:highlight w:val="none"/>
        </w:rPr>
      </w:pPr>
      <w:r>
        <w:rPr>
          <w:rFonts w:hint="eastAsia" w:ascii="宋体" w:hAnsi="宋体"/>
          <w:sz w:val="24"/>
          <w:szCs w:val="24"/>
          <w:highlight w:val="none"/>
          <w:lang w:val="en-US" w:eastAsia="zh-CN"/>
        </w:rPr>
        <w:t>26.2</w:t>
      </w:r>
      <w:r>
        <w:rPr>
          <w:rFonts w:hint="eastAsia" w:ascii="宋体" w:hAnsi="宋体"/>
          <w:sz w:val="24"/>
          <w:szCs w:val="24"/>
          <w:highlight w:val="none"/>
        </w:rPr>
        <w:t>支付条件和支付方式：</w:t>
      </w:r>
    </w:p>
    <w:tbl>
      <w:tblPr>
        <w:tblStyle w:val="18"/>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605"/>
        <w:gridCol w:w="1262"/>
        <w:gridCol w:w="1333"/>
        <w:gridCol w:w="4483"/>
      </w:tblGrid>
      <w:tr w14:paraId="1212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4BC673B4">
            <w:pPr>
              <w:spacing w:line="440" w:lineRule="exact"/>
              <w:jc w:val="center"/>
              <w:rPr>
                <w:rFonts w:ascii="宋体" w:hAnsi="宋体"/>
                <w:bCs/>
                <w:sz w:val="24"/>
                <w:szCs w:val="24"/>
                <w:highlight w:val="none"/>
                <w:u w:val="single"/>
              </w:rPr>
            </w:pPr>
            <w:r>
              <w:rPr>
                <w:rFonts w:hint="eastAsia" w:ascii="宋体" w:hAnsi="宋体"/>
                <w:bCs/>
                <w:sz w:val="24"/>
                <w:szCs w:val="24"/>
                <w:highlight w:val="none"/>
                <w:u w:val="single"/>
              </w:rPr>
              <w:t>支付次序</w:t>
            </w:r>
          </w:p>
        </w:tc>
        <w:tc>
          <w:tcPr>
            <w:tcW w:w="1605" w:type="dxa"/>
            <w:vAlign w:val="center"/>
          </w:tcPr>
          <w:p w14:paraId="7D9AC088">
            <w:pPr>
              <w:spacing w:line="440" w:lineRule="exact"/>
              <w:jc w:val="center"/>
              <w:rPr>
                <w:rFonts w:ascii="宋体" w:hAnsi="宋体"/>
                <w:bCs/>
                <w:sz w:val="24"/>
                <w:szCs w:val="24"/>
                <w:highlight w:val="none"/>
                <w:u w:val="single"/>
              </w:rPr>
            </w:pPr>
            <w:r>
              <w:rPr>
                <w:rFonts w:hint="eastAsia" w:ascii="宋体" w:hAnsi="宋体"/>
                <w:bCs/>
                <w:sz w:val="24"/>
                <w:szCs w:val="24"/>
                <w:highlight w:val="none"/>
                <w:u w:val="single"/>
              </w:rPr>
              <w:t>工作阶段</w:t>
            </w:r>
          </w:p>
        </w:tc>
        <w:tc>
          <w:tcPr>
            <w:tcW w:w="1262" w:type="dxa"/>
            <w:vAlign w:val="center"/>
          </w:tcPr>
          <w:p w14:paraId="57D176B1">
            <w:pPr>
              <w:spacing w:line="440" w:lineRule="exact"/>
              <w:jc w:val="center"/>
              <w:rPr>
                <w:rFonts w:hint="default" w:ascii="宋体" w:hAnsi="宋体" w:eastAsia="宋体"/>
                <w:bCs/>
                <w:sz w:val="24"/>
                <w:szCs w:val="24"/>
                <w:highlight w:val="none"/>
                <w:u w:val="single"/>
                <w:lang w:val="en-US" w:eastAsia="zh-CN"/>
              </w:rPr>
            </w:pPr>
            <w:r>
              <w:rPr>
                <w:rFonts w:hint="eastAsia" w:ascii="宋体" w:hAnsi="宋体"/>
                <w:bCs/>
                <w:sz w:val="24"/>
                <w:szCs w:val="24"/>
                <w:highlight w:val="none"/>
                <w:u w:val="single"/>
                <w:lang w:val="en-US" w:eastAsia="zh-CN"/>
              </w:rPr>
              <w:t>支付基数</w:t>
            </w:r>
          </w:p>
        </w:tc>
        <w:tc>
          <w:tcPr>
            <w:tcW w:w="1333" w:type="dxa"/>
            <w:vAlign w:val="center"/>
          </w:tcPr>
          <w:p w14:paraId="1BBE21F3">
            <w:pPr>
              <w:spacing w:line="440" w:lineRule="exact"/>
              <w:jc w:val="center"/>
              <w:rPr>
                <w:rFonts w:ascii="宋体" w:hAnsi="宋体"/>
                <w:bCs/>
                <w:sz w:val="24"/>
                <w:szCs w:val="24"/>
                <w:highlight w:val="none"/>
                <w:u w:val="single"/>
              </w:rPr>
            </w:pPr>
            <w:r>
              <w:rPr>
                <w:rFonts w:hint="eastAsia" w:ascii="宋体" w:hAnsi="宋体"/>
                <w:bCs/>
                <w:sz w:val="24"/>
                <w:szCs w:val="24"/>
                <w:highlight w:val="none"/>
                <w:u w:val="single"/>
              </w:rPr>
              <w:t>支付比例</w:t>
            </w:r>
          </w:p>
        </w:tc>
        <w:tc>
          <w:tcPr>
            <w:tcW w:w="4483" w:type="dxa"/>
            <w:vAlign w:val="center"/>
          </w:tcPr>
          <w:p w14:paraId="753AB919">
            <w:pPr>
              <w:spacing w:line="440" w:lineRule="exact"/>
              <w:jc w:val="center"/>
              <w:rPr>
                <w:rFonts w:ascii="宋体" w:hAnsi="宋体"/>
                <w:bCs/>
                <w:sz w:val="24"/>
                <w:szCs w:val="24"/>
                <w:highlight w:val="none"/>
                <w:u w:val="single"/>
              </w:rPr>
            </w:pPr>
            <w:r>
              <w:rPr>
                <w:rFonts w:hint="eastAsia" w:ascii="宋体" w:hAnsi="宋体"/>
                <w:bCs/>
                <w:sz w:val="24"/>
                <w:szCs w:val="24"/>
                <w:highlight w:val="none"/>
                <w:u w:val="single"/>
              </w:rPr>
              <w:t>支付条件</w:t>
            </w:r>
          </w:p>
        </w:tc>
      </w:tr>
      <w:tr w14:paraId="4668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14:paraId="449A5F44">
            <w:pPr>
              <w:spacing w:line="440" w:lineRule="exact"/>
              <w:jc w:val="center"/>
              <w:rPr>
                <w:rFonts w:ascii="宋体" w:hAnsi="宋体"/>
                <w:bCs/>
                <w:sz w:val="24"/>
                <w:szCs w:val="24"/>
                <w:highlight w:val="none"/>
              </w:rPr>
            </w:pPr>
            <w:r>
              <w:rPr>
                <w:rFonts w:hint="eastAsia" w:ascii="宋体" w:hAnsi="宋体"/>
                <w:bCs/>
                <w:sz w:val="24"/>
                <w:szCs w:val="24"/>
                <w:highlight w:val="none"/>
              </w:rPr>
              <w:t>1</w:t>
            </w:r>
          </w:p>
        </w:tc>
        <w:tc>
          <w:tcPr>
            <w:tcW w:w="1605" w:type="dxa"/>
          </w:tcPr>
          <w:p w14:paraId="76ABA77D">
            <w:pPr>
              <w:spacing w:line="440" w:lineRule="exact"/>
              <w:rPr>
                <w:rFonts w:hint="eastAsia" w:ascii="宋体" w:hAnsi="宋体" w:eastAsia="宋体"/>
                <w:bCs/>
                <w:sz w:val="24"/>
                <w:szCs w:val="24"/>
                <w:highlight w:val="none"/>
                <w:lang w:eastAsia="zh-CN"/>
              </w:rPr>
            </w:pPr>
            <w:r>
              <w:rPr>
                <w:rFonts w:hint="eastAsia" w:ascii="宋体" w:hAnsi="宋体"/>
                <w:bCs/>
                <w:sz w:val="24"/>
                <w:szCs w:val="24"/>
                <w:highlight w:val="none"/>
              </w:rPr>
              <w:t>首期款</w:t>
            </w:r>
          </w:p>
        </w:tc>
        <w:tc>
          <w:tcPr>
            <w:tcW w:w="1262" w:type="dxa"/>
          </w:tcPr>
          <w:p w14:paraId="60287DE3">
            <w:pPr>
              <w:spacing w:line="440" w:lineRule="exact"/>
              <w:jc w:val="center"/>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合同暂定总价</w:t>
            </w:r>
          </w:p>
        </w:tc>
        <w:tc>
          <w:tcPr>
            <w:tcW w:w="1333" w:type="dxa"/>
            <w:vAlign w:val="center"/>
          </w:tcPr>
          <w:p w14:paraId="737F82AC">
            <w:pPr>
              <w:spacing w:line="440" w:lineRule="exact"/>
              <w:jc w:val="center"/>
              <w:rPr>
                <w:rFonts w:ascii="宋体" w:hAnsi="宋体"/>
                <w:bCs/>
                <w:sz w:val="24"/>
                <w:szCs w:val="24"/>
                <w:highlight w:val="none"/>
              </w:rPr>
            </w:pPr>
            <w:r>
              <w:rPr>
                <w:rFonts w:hint="eastAsia" w:ascii="宋体" w:hAnsi="宋体"/>
                <w:bCs/>
                <w:sz w:val="24"/>
                <w:szCs w:val="24"/>
                <w:highlight w:val="none"/>
                <w:lang w:val="en-US" w:eastAsia="zh-CN"/>
              </w:rPr>
              <w:t>10</w:t>
            </w:r>
            <w:r>
              <w:rPr>
                <w:rFonts w:ascii="宋体" w:hAnsi="宋体"/>
                <w:bCs/>
                <w:sz w:val="24"/>
                <w:szCs w:val="24"/>
                <w:highlight w:val="none"/>
              </w:rPr>
              <w:t>%</w:t>
            </w:r>
          </w:p>
        </w:tc>
        <w:tc>
          <w:tcPr>
            <w:tcW w:w="4483" w:type="dxa"/>
          </w:tcPr>
          <w:p w14:paraId="1BF786F5">
            <w:pPr>
              <w:spacing w:line="440" w:lineRule="exact"/>
              <w:rPr>
                <w:rFonts w:ascii="宋体" w:hAnsi="宋体"/>
                <w:bCs/>
                <w:sz w:val="24"/>
                <w:szCs w:val="24"/>
                <w:highlight w:val="none"/>
              </w:rPr>
            </w:pPr>
            <w:r>
              <w:rPr>
                <w:rFonts w:hint="eastAsia" w:ascii="宋体" w:hAnsi="宋体"/>
                <w:bCs/>
                <w:sz w:val="24"/>
                <w:szCs w:val="24"/>
                <w:highlight w:val="none"/>
              </w:rPr>
              <w:t>合同签订后，乙方提出支付申请并</w:t>
            </w:r>
            <w:r>
              <w:rPr>
                <w:rFonts w:ascii="宋体" w:hAnsi="宋体"/>
                <w:bCs/>
                <w:sz w:val="24"/>
                <w:szCs w:val="24"/>
                <w:highlight w:val="none"/>
              </w:rPr>
              <w:t>经甲</w:t>
            </w:r>
            <w:r>
              <w:rPr>
                <w:rFonts w:hint="eastAsia" w:ascii="宋体" w:hAnsi="宋体"/>
                <w:bCs/>
                <w:sz w:val="24"/>
                <w:szCs w:val="24"/>
                <w:highlight w:val="none"/>
              </w:rPr>
              <w:t>方</w:t>
            </w:r>
            <w:r>
              <w:rPr>
                <w:rFonts w:ascii="宋体" w:hAnsi="宋体"/>
                <w:bCs/>
                <w:sz w:val="24"/>
                <w:szCs w:val="24"/>
                <w:highlight w:val="none"/>
              </w:rPr>
              <w:t>审核后</w:t>
            </w:r>
            <w:r>
              <w:rPr>
                <w:rFonts w:hint="eastAsia" w:ascii="宋体" w:hAnsi="宋体"/>
                <w:bCs/>
                <w:sz w:val="24"/>
                <w:szCs w:val="24"/>
                <w:highlight w:val="none"/>
                <w:lang w:eastAsia="zh-CN"/>
              </w:rPr>
              <w:t>；</w:t>
            </w:r>
          </w:p>
        </w:tc>
      </w:tr>
      <w:tr w14:paraId="33BD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14:paraId="63A40F0D">
            <w:pPr>
              <w:pStyle w:val="2"/>
              <w:ind w:left="0"/>
              <w:rPr>
                <w:rFonts w:hint="eastAsia"/>
                <w:lang w:val="en-US" w:eastAsia="zh-CN"/>
              </w:rPr>
            </w:pPr>
          </w:p>
          <w:p w14:paraId="0123A8F5">
            <w:pPr>
              <w:spacing w:line="440" w:lineRule="exact"/>
              <w:jc w:val="center"/>
              <w:rPr>
                <w:rFonts w:ascii="宋体" w:hAnsi="宋体"/>
                <w:bCs/>
                <w:sz w:val="24"/>
                <w:szCs w:val="24"/>
                <w:highlight w:val="none"/>
              </w:rPr>
            </w:pPr>
            <w:r>
              <w:rPr>
                <w:rFonts w:hint="eastAsia" w:ascii="宋体" w:hAnsi="宋体"/>
                <w:bCs/>
                <w:sz w:val="24"/>
                <w:szCs w:val="24"/>
                <w:highlight w:val="none"/>
                <w:lang w:val="en-US" w:eastAsia="zh-CN"/>
              </w:rPr>
              <w:t>2</w:t>
            </w:r>
          </w:p>
        </w:tc>
        <w:tc>
          <w:tcPr>
            <w:tcW w:w="1605" w:type="dxa"/>
          </w:tcPr>
          <w:p w14:paraId="7EB4A376">
            <w:pPr>
              <w:spacing w:line="440" w:lineRule="exact"/>
              <w:rPr>
                <w:rFonts w:hint="eastAsia" w:ascii="宋体" w:hAnsi="宋体"/>
                <w:bCs/>
                <w:sz w:val="24"/>
                <w:szCs w:val="24"/>
                <w:highlight w:val="none"/>
              </w:rPr>
            </w:pPr>
          </w:p>
          <w:p w14:paraId="61A61DDF">
            <w:pPr>
              <w:spacing w:line="440" w:lineRule="exact"/>
              <w:rPr>
                <w:rFonts w:ascii="宋体" w:hAnsi="宋体"/>
                <w:bCs/>
                <w:sz w:val="24"/>
                <w:szCs w:val="24"/>
                <w:highlight w:val="none"/>
              </w:rPr>
            </w:pPr>
            <w:r>
              <w:rPr>
                <w:rFonts w:hint="eastAsia" w:ascii="宋体" w:hAnsi="宋体"/>
                <w:bCs/>
                <w:sz w:val="24"/>
                <w:szCs w:val="24"/>
                <w:highlight w:val="none"/>
              </w:rPr>
              <w:t>招标阶段</w:t>
            </w:r>
          </w:p>
        </w:tc>
        <w:tc>
          <w:tcPr>
            <w:tcW w:w="1262" w:type="dxa"/>
            <w:vMerge w:val="restart"/>
          </w:tcPr>
          <w:p w14:paraId="32DEBF7A">
            <w:pPr>
              <w:spacing w:line="440" w:lineRule="exact"/>
              <w:jc w:val="center"/>
              <w:rPr>
                <w:rFonts w:hint="eastAsia" w:ascii="宋体" w:hAnsi="宋体"/>
                <w:bCs/>
                <w:sz w:val="24"/>
                <w:szCs w:val="24"/>
                <w:highlight w:val="yellow"/>
                <w:lang w:val="en-US" w:eastAsia="zh-CN"/>
              </w:rPr>
            </w:pPr>
          </w:p>
          <w:p w14:paraId="6D0C1B20">
            <w:pPr>
              <w:spacing w:line="440" w:lineRule="exact"/>
              <w:jc w:val="center"/>
              <w:rPr>
                <w:rFonts w:hint="eastAsia" w:ascii="宋体" w:hAnsi="宋体"/>
                <w:bCs/>
                <w:sz w:val="24"/>
                <w:szCs w:val="24"/>
                <w:highlight w:val="yellow"/>
                <w:lang w:val="en-US" w:eastAsia="zh-CN"/>
              </w:rPr>
            </w:pPr>
          </w:p>
          <w:p w14:paraId="247FF79F">
            <w:pPr>
              <w:spacing w:line="440" w:lineRule="exact"/>
              <w:jc w:val="center"/>
              <w:rPr>
                <w:rFonts w:hint="eastAsia" w:ascii="宋体" w:hAnsi="宋体"/>
                <w:bCs/>
                <w:sz w:val="24"/>
                <w:szCs w:val="24"/>
                <w:highlight w:val="yellow"/>
                <w:lang w:val="en-US" w:eastAsia="zh-CN"/>
              </w:rPr>
            </w:pPr>
            <w:r>
              <w:rPr>
                <w:rFonts w:hint="eastAsia" w:ascii="宋体" w:hAnsi="宋体"/>
                <w:bCs/>
                <w:sz w:val="24"/>
                <w:szCs w:val="24"/>
                <w:highlight w:val="none"/>
                <w:lang w:val="en-US" w:eastAsia="zh-CN"/>
              </w:rPr>
              <w:t>合同预计结算价</w:t>
            </w:r>
          </w:p>
          <w:p w14:paraId="71F49F59">
            <w:pPr>
              <w:spacing w:line="440" w:lineRule="exact"/>
              <w:jc w:val="center"/>
              <w:rPr>
                <w:rFonts w:hint="eastAsia" w:ascii="宋体" w:hAnsi="宋体"/>
                <w:bCs/>
                <w:sz w:val="24"/>
                <w:szCs w:val="24"/>
                <w:highlight w:val="yellow"/>
              </w:rPr>
            </w:pPr>
          </w:p>
          <w:p w14:paraId="17963DF6">
            <w:pPr>
              <w:spacing w:line="440" w:lineRule="exact"/>
              <w:jc w:val="center"/>
              <w:rPr>
                <w:rFonts w:ascii="宋体" w:hAnsi="宋体"/>
                <w:bCs/>
                <w:sz w:val="24"/>
                <w:szCs w:val="24"/>
                <w:highlight w:val="yellow"/>
              </w:rPr>
            </w:pPr>
          </w:p>
        </w:tc>
        <w:tc>
          <w:tcPr>
            <w:tcW w:w="1333" w:type="dxa"/>
            <w:vAlign w:val="center"/>
          </w:tcPr>
          <w:p w14:paraId="71C27758">
            <w:pPr>
              <w:spacing w:line="440" w:lineRule="exact"/>
              <w:jc w:val="center"/>
              <w:rPr>
                <w:rFonts w:ascii="宋体" w:hAnsi="宋体"/>
                <w:bCs/>
                <w:strike/>
                <w:sz w:val="24"/>
                <w:szCs w:val="24"/>
                <w:highlight w:val="none"/>
              </w:rPr>
            </w:pPr>
          </w:p>
          <w:p w14:paraId="5382CF13">
            <w:pPr>
              <w:spacing w:line="440" w:lineRule="exact"/>
              <w:jc w:val="center"/>
              <w:rPr>
                <w:rFonts w:ascii="宋体" w:hAnsi="宋体"/>
                <w:bCs/>
                <w:sz w:val="24"/>
                <w:szCs w:val="24"/>
                <w:highlight w:val="none"/>
              </w:rPr>
            </w:pPr>
            <w:r>
              <w:rPr>
                <w:rFonts w:hint="eastAsia" w:ascii="宋体" w:hAnsi="宋体"/>
                <w:bCs/>
                <w:strike w:val="0"/>
                <w:sz w:val="24"/>
                <w:szCs w:val="24"/>
                <w:highlight w:val="none"/>
                <w:lang w:val="en-US" w:eastAsia="zh-CN"/>
              </w:rPr>
              <w:t>1</w:t>
            </w:r>
            <w:r>
              <w:rPr>
                <w:rFonts w:hint="eastAsia" w:ascii="宋体" w:hAnsi="宋体"/>
                <w:bCs/>
                <w:strike w:val="0"/>
                <w:sz w:val="24"/>
                <w:szCs w:val="24"/>
                <w:highlight w:val="none"/>
                <w:lang w:eastAsia="zh-CN"/>
              </w:rPr>
              <w:t>0</w:t>
            </w:r>
            <w:r>
              <w:rPr>
                <w:rFonts w:ascii="宋体" w:hAnsi="宋体"/>
                <w:bCs/>
                <w:strike w:val="0"/>
                <w:sz w:val="24"/>
                <w:szCs w:val="24"/>
                <w:highlight w:val="none"/>
              </w:rPr>
              <w:t>%</w:t>
            </w:r>
          </w:p>
        </w:tc>
        <w:tc>
          <w:tcPr>
            <w:tcW w:w="4483" w:type="dxa"/>
          </w:tcPr>
          <w:p w14:paraId="45193538">
            <w:pPr>
              <w:spacing w:line="440" w:lineRule="exact"/>
              <w:rPr>
                <w:rFonts w:hint="eastAsia" w:ascii="宋体" w:hAnsi="宋体" w:eastAsia="宋体"/>
                <w:bCs/>
                <w:sz w:val="24"/>
                <w:szCs w:val="24"/>
                <w:highlight w:val="none"/>
                <w:lang w:eastAsia="zh-CN"/>
              </w:rPr>
            </w:pPr>
            <w:r>
              <w:rPr>
                <w:rFonts w:hint="eastAsia" w:ascii="宋体" w:hAnsi="宋体"/>
                <w:bCs/>
                <w:sz w:val="24"/>
                <w:szCs w:val="24"/>
                <w:highlight w:val="none"/>
              </w:rPr>
              <w:t>完成</w:t>
            </w:r>
            <w:r>
              <w:rPr>
                <w:rFonts w:hint="eastAsia" w:ascii="宋体" w:hAnsi="宋体"/>
                <w:bCs/>
                <w:sz w:val="24"/>
                <w:szCs w:val="24"/>
                <w:highlight w:val="none"/>
                <w:lang w:val="en-US" w:eastAsia="zh-CN"/>
              </w:rPr>
              <w:t>施工总承包</w:t>
            </w:r>
            <w:r>
              <w:rPr>
                <w:rFonts w:hint="eastAsia" w:ascii="宋体" w:hAnsi="宋体"/>
                <w:bCs/>
                <w:sz w:val="24"/>
                <w:szCs w:val="24"/>
                <w:highlight w:val="none"/>
              </w:rPr>
              <w:t>工程量清单、最高投标限价编制且招标完成后</w:t>
            </w:r>
            <w:r>
              <w:rPr>
                <w:rFonts w:hint="eastAsia" w:ascii="宋体" w:hAnsi="宋体"/>
                <w:bCs/>
                <w:sz w:val="24"/>
                <w:szCs w:val="24"/>
                <w:highlight w:val="none"/>
                <w:lang w:eastAsia="zh-CN"/>
              </w:rPr>
              <w:t>；</w:t>
            </w:r>
            <w:r>
              <w:rPr>
                <w:rFonts w:hint="eastAsia" w:ascii="宋体" w:hAnsi="宋体"/>
                <w:bCs/>
                <w:sz w:val="24"/>
                <w:szCs w:val="24"/>
                <w:highlight w:val="none"/>
              </w:rPr>
              <w:t>乙方提出支付申请并</w:t>
            </w:r>
            <w:r>
              <w:rPr>
                <w:rFonts w:ascii="宋体" w:hAnsi="宋体"/>
                <w:bCs/>
                <w:sz w:val="24"/>
                <w:szCs w:val="24"/>
                <w:highlight w:val="none"/>
              </w:rPr>
              <w:t>经甲</w:t>
            </w:r>
            <w:r>
              <w:rPr>
                <w:rFonts w:hint="eastAsia" w:ascii="宋体" w:hAnsi="宋体"/>
                <w:bCs/>
                <w:sz w:val="24"/>
                <w:szCs w:val="24"/>
                <w:highlight w:val="none"/>
              </w:rPr>
              <w:t>方</w:t>
            </w:r>
            <w:r>
              <w:rPr>
                <w:rFonts w:ascii="宋体" w:hAnsi="宋体"/>
                <w:bCs/>
                <w:sz w:val="24"/>
                <w:szCs w:val="24"/>
                <w:highlight w:val="none"/>
              </w:rPr>
              <w:t>审核后</w:t>
            </w:r>
            <w:r>
              <w:rPr>
                <w:rFonts w:hint="eastAsia" w:ascii="宋体" w:hAnsi="宋体"/>
                <w:bCs/>
                <w:sz w:val="24"/>
                <w:szCs w:val="24"/>
                <w:highlight w:val="none"/>
                <w:lang w:eastAsia="zh-CN"/>
              </w:rPr>
              <w:t>；</w:t>
            </w:r>
          </w:p>
        </w:tc>
      </w:tr>
      <w:tr w14:paraId="3281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14:paraId="7CEF84BA">
            <w:pPr>
              <w:spacing w:line="440" w:lineRule="exact"/>
              <w:jc w:val="center"/>
              <w:rPr>
                <w:rFonts w:hint="default" w:ascii="宋体" w:hAnsi="宋体"/>
                <w:bCs/>
                <w:sz w:val="24"/>
                <w:szCs w:val="24"/>
                <w:highlight w:val="none"/>
                <w:lang w:val="en-US"/>
              </w:rPr>
            </w:pPr>
          </w:p>
          <w:p w14:paraId="43679CA7">
            <w:pPr>
              <w:spacing w:line="440" w:lineRule="exact"/>
              <w:jc w:val="center"/>
              <w:rPr>
                <w:rFonts w:hint="eastAsia" w:ascii="宋体" w:hAnsi="宋体" w:eastAsia="宋体"/>
                <w:bCs/>
                <w:sz w:val="24"/>
                <w:szCs w:val="24"/>
                <w:highlight w:val="none"/>
                <w:lang w:eastAsia="zh-CN"/>
              </w:rPr>
            </w:pPr>
            <w:r>
              <w:rPr>
                <w:rFonts w:hint="eastAsia" w:ascii="宋体" w:hAnsi="宋体"/>
                <w:bCs/>
                <w:sz w:val="24"/>
                <w:szCs w:val="24"/>
                <w:highlight w:val="none"/>
                <w:lang w:val="en-US" w:eastAsia="zh-CN"/>
              </w:rPr>
              <w:t>3</w:t>
            </w:r>
          </w:p>
        </w:tc>
        <w:tc>
          <w:tcPr>
            <w:tcW w:w="1605" w:type="dxa"/>
          </w:tcPr>
          <w:p w14:paraId="3781FE60">
            <w:pPr>
              <w:spacing w:line="440" w:lineRule="exact"/>
              <w:rPr>
                <w:rFonts w:ascii="宋体" w:hAnsi="宋体"/>
                <w:bCs/>
                <w:sz w:val="24"/>
                <w:szCs w:val="24"/>
                <w:highlight w:val="none"/>
              </w:rPr>
            </w:pPr>
            <w:r>
              <w:rPr>
                <w:rFonts w:hint="eastAsia" w:ascii="宋体" w:hAnsi="宋体"/>
                <w:bCs/>
                <w:sz w:val="24"/>
                <w:szCs w:val="24"/>
                <w:highlight w:val="none"/>
              </w:rPr>
              <w:t>施工阶段及其他工作</w:t>
            </w:r>
          </w:p>
        </w:tc>
        <w:tc>
          <w:tcPr>
            <w:tcW w:w="1262" w:type="dxa"/>
            <w:vMerge w:val="continue"/>
          </w:tcPr>
          <w:p w14:paraId="1D93FB5C">
            <w:pPr>
              <w:spacing w:line="440" w:lineRule="exact"/>
              <w:jc w:val="center"/>
              <w:rPr>
                <w:rFonts w:hint="eastAsia" w:ascii="宋体" w:hAnsi="宋体"/>
                <w:bCs/>
                <w:sz w:val="24"/>
                <w:szCs w:val="24"/>
                <w:highlight w:val="yellow"/>
              </w:rPr>
            </w:pPr>
          </w:p>
        </w:tc>
        <w:tc>
          <w:tcPr>
            <w:tcW w:w="1333" w:type="dxa"/>
            <w:vAlign w:val="center"/>
          </w:tcPr>
          <w:p w14:paraId="434909FE">
            <w:pPr>
              <w:spacing w:line="440" w:lineRule="exact"/>
              <w:jc w:val="center"/>
              <w:rPr>
                <w:rFonts w:ascii="宋体" w:hAnsi="宋体"/>
                <w:bCs/>
                <w:sz w:val="24"/>
                <w:szCs w:val="24"/>
                <w:highlight w:val="none"/>
              </w:rPr>
            </w:pPr>
            <w:r>
              <w:rPr>
                <w:rFonts w:hint="eastAsia" w:ascii="宋体" w:hAnsi="宋体"/>
                <w:bCs/>
                <w:sz w:val="24"/>
                <w:szCs w:val="24"/>
                <w:highlight w:val="none"/>
                <w:lang w:val="en-US" w:eastAsia="zh-CN"/>
              </w:rPr>
              <w:t>6</w:t>
            </w:r>
            <w:r>
              <w:rPr>
                <w:rFonts w:hint="eastAsia" w:ascii="宋体" w:hAnsi="宋体"/>
                <w:bCs/>
                <w:sz w:val="24"/>
                <w:szCs w:val="24"/>
                <w:highlight w:val="none"/>
              </w:rPr>
              <w:t>0</w:t>
            </w:r>
            <w:r>
              <w:rPr>
                <w:rFonts w:ascii="宋体" w:hAnsi="宋体"/>
                <w:bCs/>
                <w:sz w:val="24"/>
                <w:szCs w:val="24"/>
                <w:highlight w:val="none"/>
              </w:rPr>
              <w:t>%</w:t>
            </w:r>
          </w:p>
        </w:tc>
        <w:tc>
          <w:tcPr>
            <w:tcW w:w="4483" w:type="dxa"/>
          </w:tcPr>
          <w:p w14:paraId="232F56E6">
            <w:pPr>
              <w:spacing w:line="440" w:lineRule="exact"/>
            </w:pPr>
            <w:r>
              <w:rPr>
                <w:rFonts w:hint="eastAsia" w:ascii="宋体" w:hAnsi="宋体"/>
                <w:bCs/>
                <w:sz w:val="24"/>
                <w:szCs w:val="24"/>
                <w:highlight w:val="none"/>
                <w:lang w:val="en-US" w:eastAsia="zh-CN"/>
              </w:rPr>
              <w:t>按工期每</w:t>
            </w:r>
            <w:r>
              <w:rPr>
                <w:rFonts w:hint="eastAsia" w:ascii="宋体" w:hAnsi="宋体"/>
                <w:bCs/>
                <w:sz w:val="24"/>
                <w:szCs w:val="24"/>
                <w:highlight w:val="none"/>
              </w:rPr>
              <w:t>季度支付</w:t>
            </w:r>
            <w:r>
              <w:rPr>
                <w:rFonts w:hint="eastAsia" w:ascii="宋体" w:hAnsi="宋体"/>
                <w:bCs/>
                <w:sz w:val="24"/>
                <w:szCs w:val="24"/>
                <w:highlight w:val="none"/>
                <w:lang w:val="en-US" w:eastAsia="zh-CN"/>
              </w:rPr>
              <w:t>相应占比</w:t>
            </w:r>
            <w:r>
              <w:rPr>
                <w:rFonts w:hint="eastAsia" w:ascii="宋体" w:hAnsi="宋体"/>
                <w:bCs/>
                <w:sz w:val="24"/>
                <w:szCs w:val="24"/>
                <w:highlight w:val="none"/>
              </w:rPr>
              <w:t>，乙方提出支付申请并</w:t>
            </w:r>
            <w:r>
              <w:rPr>
                <w:rFonts w:ascii="宋体" w:hAnsi="宋体"/>
                <w:bCs/>
                <w:sz w:val="24"/>
                <w:szCs w:val="24"/>
                <w:highlight w:val="none"/>
              </w:rPr>
              <w:t>经甲方审核后</w:t>
            </w:r>
            <w:r>
              <w:rPr>
                <w:rFonts w:hint="eastAsia" w:ascii="宋体" w:hAnsi="宋体"/>
                <w:bCs/>
                <w:sz w:val="24"/>
                <w:szCs w:val="24"/>
                <w:highlight w:val="none"/>
              </w:rPr>
              <w:t>；</w:t>
            </w:r>
          </w:p>
        </w:tc>
      </w:tr>
      <w:tr w14:paraId="4AF3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14:paraId="39670C36">
            <w:pPr>
              <w:spacing w:line="440" w:lineRule="exact"/>
              <w:jc w:val="center"/>
              <w:rPr>
                <w:rFonts w:hint="default" w:ascii="宋体" w:hAnsi="宋体"/>
                <w:bCs/>
                <w:sz w:val="24"/>
                <w:szCs w:val="24"/>
                <w:highlight w:val="none"/>
                <w:lang w:val="en-US"/>
              </w:rPr>
            </w:pPr>
          </w:p>
          <w:p w14:paraId="4820EF2F">
            <w:pPr>
              <w:spacing w:line="440" w:lineRule="exact"/>
              <w:jc w:val="center"/>
              <w:rPr>
                <w:rFonts w:hint="eastAsia" w:ascii="宋体" w:hAnsi="宋体" w:eastAsia="宋体"/>
                <w:bCs/>
                <w:sz w:val="24"/>
                <w:szCs w:val="24"/>
                <w:highlight w:val="none"/>
                <w:lang w:eastAsia="zh-CN"/>
              </w:rPr>
            </w:pPr>
            <w:r>
              <w:rPr>
                <w:rFonts w:hint="eastAsia" w:ascii="宋体" w:hAnsi="宋体"/>
                <w:bCs/>
                <w:sz w:val="24"/>
                <w:szCs w:val="24"/>
                <w:highlight w:val="none"/>
                <w:lang w:val="en-US" w:eastAsia="zh-CN"/>
              </w:rPr>
              <w:t>4</w:t>
            </w:r>
          </w:p>
        </w:tc>
        <w:tc>
          <w:tcPr>
            <w:tcW w:w="1605" w:type="dxa"/>
            <w:vAlign w:val="center"/>
          </w:tcPr>
          <w:p w14:paraId="3066DDCE">
            <w:pPr>
              <w:spacing w:line="440" w:lineRule="exact"/>
              <w:jc w:val="center"/>
              <w:rPr>
                <w:rFonts w:ascii="宋体" w:hAnsi="宋体"/>
                <w:bCs/>
                <w:sz w:val="24"/>
                <w:szCs w:val="24"/>
                <w:highlight w:val="none"/>
              </w:rPr>
            </w:pPr>
            <w:r>
              <w:rPr>
                <w:rFonts w:hint="eastAsia" w:ascii="宋体" w:hAnsi="宋体"/>
                <w:bCs/>
                <w:sz w:val="24"/>
                <w:szCs w:val="24"/>
                <w:highlight w:val="none"/>
              </w:rPr>
              <w:t>结算阶段</w:t>
            </w:r>
          </w:p>
        </w:tc>
        <w:tc>
          <w:tcPr>
            <w:tcW w:w="1262" w:type="dxa"/>
            <w:vMerge w:val="continue"/>
          </w:tcPr>
          <w:p w14:paraId="13332E3A">
            <w:pPr>
              <w:spacing w:line="440" w:lineRule="exact"/>
              <w:jc w:val="center"/>
              <w:rPr>
                <w:rFonts w:ascii="宋体" w:hAnsi="宋体"/>
                <w:bCs/>
                <w:sz w:val="24"/>
                <w:szCs w:val="24"/>
                <w:highlight w:val="yellow"/>
              </w:rPr>
            </w:pPr>
          </w:p>
        </w:tc>
        <w:tc>
          <w:tcPr>
            <w:tcW w:w="1333" w:type="dxa"/>
            <w:vAlign w:val="center"/>
          </w:tcPr>
          <w:p w14:paraId="08990CD8">
            <w:pPr>
              <w:spacing w:line="440" w:lineRule="exact"/>
              <w:jc w:val="center"/>
              <w:rPr>
                <w:rFonts w:ascii="宋体" w:hAnsi="宋体"/>
                <w:bCs/>
                <w:sz w:val="24"/>
                <w:szCs w:val="24"/>
                <w:highlight w:val="none"/>
              </w:rPr>
            </w:pPr>
            <w:r>
              <w:rPr>
                <w:rFonts w:ascii="宋体" w:hAnsi="宋体"/>
                <w:bCs/>
                <w:sz w:val="24"/>
                <w:szCs w:val="24"/>
                <w:highlight w:val="none"/>
              </w:rPr>
              <w:t>1</w:t>
            </w:r>
            <w:r>
              <w:rPr>
                <w:rFonts w:hint="eastAsia" w:ascii="宋体" w:hAnsi="宋体"/>
                <w:bCs/>
                <w:sz w:val="24"/>
                <w:szCs w:val="24"/>
                <w:highlight w:val="none"/>
              </w:rPr>
              <w:t>7</w:t>
            </w:r>
            <w:r>
              <w:rPr>
                <w:rFonts w:ascii="宋体" w:hAnsi="宋体"/>
                <w:bCs/>
                <w:sz w:val="24"/>
                <w:szCs w:val="24"/>
                <w:highlight w:val="none"/>
              </w:rPr>
              <w:t>%</w:t>
            </w:r>
          </w:p>
        </w:tc>
        <w:tc>
          <w:tcPr>
            <w:tcW w:w="4483" w:type="dxa"/>
          </w:tcPr>
          <w:p w14:paraId="059F7D2D">
            <w:pPr>
              <w:spacing w:line="440" w:lineRule="exact"/>
              <w:rPr>
                <w:rFonts w:ascii="宋体" w:hAnsi="宋体"/>
                <w:bCs/>
                <w:sz w:val="24"/>
                <w:szCs w:val="24"/>
                <w:highlight w:val="none"/>
              </w:rPr>
            </w:pPr>
            <w:r>
              <w:rPr>
                <w:rFonts w:hint="eastAsia" w:ascii="宋体" w:hAnsi="宋体"/>
                <w:bCs/>
                <w:sz w:val="24"/>
                <w:szCs w:val="24"/>
                <w:highlight w:val="none"/>
                <w:lang w:val="en-US" w:eastAsia="zh-CN"/>
              </w:rPr>
              <w:t>以本项目各个合同（施工类及服务类）结算终审完成情况及金额占比，按季度支付相应合同款项。</w:t>
            </w:r>
            <w:r>
              <w:rPr>
                <w:rFonts w:hint="eastAsia" w:ascii="宋体" w:hAnsi="宋体"/>
                <w:bCs/>
                <w:sz w:val="24"/>
                <w:szCs w:val="24"/>
                <w:highlight w:val="none"/>
              </w:rPr>
              <w:t>乙方提出支付申请并</w:t>
            </w:r>
            <w:r>
              <w:rPr>
                <w:rFonts w:ascii="宋体" w:hAnsi="宋体"/>
                <w:bCs/>
                <w:sz w:val="24"/>
                <w:szCs w:val="24"/>
                <w:highlight w:val="none"/>
              </w:rPr>
              <w:t>经甲方审核后</w:t>
            </w:r>
            <w:r>
              <w:rPr>
                <w:rFonts w:hint="eastAsia" w:ascii="宋体" w:hAnsi="宋体"/>
                <w:bCs/>
                <w:sz w:val="24"/>
                <w:szCs w:val="24"/>
                <w:highlight w:val="none"/>
                <w:lang w:val="en-US" w:eastAsia="zh-CN"/>
              </w:rPr>
              <w:t>。</w:t>
            </w:r>
          </w:p>
        </w:tc>
      </w:tr>
      <w:tr w14:paraId="4F3D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14:paraId="6EA4B294">
            <w:pPr>
              <w:spacing w:line="440" w:lineRule="exact"/>
              <w:jc w:val="center"/>
              <w:rPr>
                <w:rFonts w:hint="eastAsia" w:ascii="宋体" w:hAnsi="宋体" w:eastAsia="宋体"/>
                <w:bCs/>
                <w:sz w:val="24"/>
                <w:szCs w:val="24"/>
                <w:highlight w:val="none"/>
                <w:lang w:eastAsia="zh-CN"/>
              </w:rPr>
            </w:pPr>
            <w:r>
              <w:rPr>
                <w:rFonts w:hint="eastAsia" w:ascii="宋体" w:hAnsi="宋体"/>
                <w:bCs/>
                <w:sz w:val="24"/>
                <w:szCs w:val="24"/>
                <w:highlight w:val="none"/>
                <w:lang w:val="en-US" w:eastAsia="zh-CN"/>
              </w:rPr>
              <w:t>5</w:t>
            </w:r>
          </w:p>
        </w:tc>
        <w:tc>
          <w:tcPr>
            <w:tcW w:w="1605" w:type="dxa"/>
            <w:vAlign w:val="center"/>
          </w:tcPr>
          <w:p w14:paraId="41AF955B">
            <w:pPr>
              <w:spacing w:line="440" w:lineRule="exact"/>
              <w:jc w:val="center"/>
              <w:rPr>
                <w:rFonts w:ascii="宋体" w:hAnsi="宋体"/>
                <w:bCs/>
                <w:sz w:val="24"/>
                <w:szCs w:val="24"/>
                <w:highlight w:val="none"/>
              </w:rPr>
            </w:pPr>
            <w:r>
              <w:rPr>
                <w:rFonts w:hint="eastAsia" w:ascii="宋体" w:hAnsi="宋体"/>
                <w:bCs/>
                <w:sz w:val="24"/>
                <w:szCs w:val="24"/>
                <w:highlight w:val="none"/>
              </w:rPr>
              <w:t>尾款</w:t>
            </w:r>
          </w:p>
        </w:tc>
        <w:tc>
          <w:tcPr>
            <w:tcW w:w="1262" w:type="dxa"/>
          </w:tcPr>
          <w:p w14:paraId="306107C0">
            <w:pPr>
              <w:spacing w:line="440" w:lineRule="exact"/>
              <w:jc w:val="center"/>
              <w:rPr>
                <w:rFonts w:hint="eastAsia" w:ascii="宋体" w:hAnsi="宋体"/>
                <w:bCs/>
                <w:sz w:val="24"/>
                <w:szCs w:val="24"/>
                <w:highlight w:val="none"/>
              </w:rPr>
            </w:pPr>
            <w:r>
              <w:rPr>
                <w:rFonts w:hint="eastAsia" w:ascii="宋体" w:hAnsi="宋体"/>
                <w:bCs/>
                <w:sz w:val="24"/>
                <w:szCs w:val="24"/>
                <w:highlight w:val="none"/>
                <w:lang w:val="en-US" w:eastAsia="zh-CN"/>
              </w:rPr>
              <w:t>合同终审结算价</w:t>
            </w:r>
          </w:p>
        </w:tc>
        <w:tc>
          <w:tcPr>
            <w:tcW w:w="1333" w:type="dxa"/>
          </w:tcPr>
          <w:p w14:paraId="4404839A">
            <w:pPr>
              <w:spacing w:line="440" w:lineRule="exact"/>
              <w:jc w:val="center"/>
              <w:rPr>
                <w:rFonts w:ascii="宋体" w:hAnsi="宋体"/>
                <w:bCs/>
                <w:sz w:val="24"/>
                <w:szCs w:val="24"/>
                <w:highlight w:val="none"/>
              </w:rPr>
            </w:pPr>
          </w:p>
        </w:tc>
        <w:tc>
          <w:tcPr>
            <w:tcW w:w="4483" w:type="dxa"/>
          </w:tcPr>
          <w:p w14:paraId="71F67657">
            <w:pPr>
              <w:spacing w:line="440" w:lineRule="exact"/>
              <w:rPr>
                <w:rFonts w:ascii="宋体" w:hAnsi="宋体"/>
                <w:bCs/>
                <w:sz w:val="24"/>
                <w:szCs w:val="24"/>
                <w:highlight w:val="none"/>
              </w:rPr>
            </w:pPr>
            <w:r>
              <w:rPr>
                <w:rFonts w:hint="eastAsia" w:ascii="宋体" w:hAnsi="宋体"/>
                <w:bCs/>
                <w:sz w:val="24"/>
                <w:szCs w:val="24"/>
                <w:highlight w:val="none"/>
              </w:rPr>
              <w:t>本合同结算经有权审核部门审定并获得结算批复文件后</w:t>
            </w:r>
            <w:r>
              <w:rPr>
                <w:rFonts w:hint="eastAsia" w:ascii="宋体" w:hAnsi="宋体"/>
                <w:bCs/>
                <w:sz w:val="24"/>
                <w:szCs w:val="24"/>
                <w:highlight w:val="none"/>
                <w:lang w:eastAsia="zh-CN"/>
              </w:rPr>
              <w:t>，</w:t>
            </w:r>
            <w:r>
              <w:rPr>
                <w:rFonts w:hint="eastAsia" w:ascii="宋体" w:hAnsi="宋体"/>
                <w:bCs/>
                <w:sz w:val="24"/>
                <w:szCs w:val="24"/>
                <w:highlight w:val="none"/>
                <w:lang w:val="en-US" w:eastAsia="zh-CN"/>
              </w:rPr>
              <w:t>根据结算终审金额，一次性支付合同尾款。</w:t>
            </w:r>
            <w:r>
              <w:rPr>
                <w:rFonts w:hint="eastAsia" w:ascii="宋体" w:hAnsi="宋体"/>
                <w:bCs/>
                <w:sz w:val="24"/>
                <w:szCs w:val="24"/>
                <w:highlight w:val="none"/>
              </w:rPr>
              <w:t>乙方提出支付申请并</w:t>
            </w:r>
            <w:r>
              <w:rPr>
                <w:rFonts w:ascii="宋体" w:hAnsi="宋体"/>
                <w:bCs/>
                <w:sz w:val="24"/>
                <w:szCs w:val="24"/>
                <w:highlight w:val="none"/>
              </w:rPr>
              <w:t>经甲方审核后</w:t>
            </w:r>
            <w:r>
              <w:rPr>
                <w:rFonts w:hint="eastAsia" w:ascii="宋体" w:hAnsi="宋体"/>
                <w:bCs/>
                <w:sz w:val="24"/>
                <w:szCs w:val="24"/>
                <w:highlight w:val="none"/>
              </w:rPr>
              <w:t>。</w:t>
            </w:r>
          </w:p>
        </w:tc>
      </w:tr>
    </w:tbl>
    <w:p w14:paraId="206AF545">
      <w:pPr>
        <w:spacing w:line="440" w:lineRule="exact"/>
        <w:ind w:firstLine="480" w:firstLineChars="200"/>
        <w:rPr>
          <w:rFonts w:hint="eastAsia" w:ascii="宋体" w:hAnsi="宋体" w:eastAsia="宋体"/>
          <w:snapToGrid w:val="0"/>
          <w:sz w:val="24"/>
          <w:szCs w:val="24"/>
          <w:highlight w:val="none"/>
          <w:lang w:eastAsia="zh-CN"/>
        </w:rPr>
      </w:pPr>
      <w:r>
        <w:rPr>
          <w:rFonts w:ascii="宋体" w:hAnsi="宋体"/>
          <w:snapToGrid w:val="0"/>
          <w:sz w:val="24"/>
          <w:szCs w:val="24"/>
          <w:highlight w:val="none"/>
        </w:rPr>
        <w:t>26</w:t>
      </w:r>
      <w:r>
        <w:rPr>
          <w:rFonts w:hint="eastAsia" w:ascii="宋体" w:hAnsi="宋体"/>
          <w:snapToGrid w:val="0"/>
          <w:sz w:val="24"/>
          <w:szCs w:val="24"/>
          <w:highlight w:val="none"/>
        </w:rPr>
        <w:t>.4甲方付款前，乙方须提供合法有效、相应金额、相应内容的增值税发票，发票抬头应填写甲方单位名称。因乙方未及时提供发票等原因致使甲方逾期付款的，责任由乙方承担；乙方未提供发票给甲方的，甲方可以顺延付款日期。</w:t>
      </w:r>
    </w:p>
    <w:p w14:paraId="15D1C7AB">
      <w:pPr>
        <w:spacing w:line="440" w:lineRule="exact"/>
        <w:ind w:firstLine="480" w:firstLineChars="200"/>
        <w:rPr>
          <w:rFonts w:ascii="宋体" w:hAnsi="宋体"/>
          <w:sz w:val="24"/>
          <w:szCs w:val="24"/>
          <w:highlight w:val="none"/>
        </w:rPr>
      </w:pPr>
      <w:r>
        <w:rPr>
          <w:rFonts w:ascii="宋体" w:hAnsi="宋体"/>
          <w:sz w:val="24"/>
          <w:szCs w:val="24"/>
          <w:highlight w:val="none"/>
        </w:rPr>
        <w:t>26.5支付附加服务酬金：</w:t>
      </w:r>
      <w:r>
        <w:rPr>
          <w:rFonts w:hint="eastAsia" w:ascii="宋体" w:hAnsi="宋体"/>
          <w:sz w:val="24"/>
          <w:szCs w:val="24"/>
          <w:highlight w:val="none"/>
          <w:u w:val="single"/>
        </w:rPr>
        <w:t xml:space="preserve">       </w:t>
      </w:r>
      <w:r>
        <w:rPr>
          <w:rFonts w:hint="eastAsia"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sz w:val="24"/>
          <w:szCs w:val="24"/>
          <w:highlight w:val="none"/>
        </w:rPr>
        <w:t>。</w:t>
      </w:r>
    </w:p>
    <w:p w14:paraId="49123B72">
      <w:pPr>
        <w:spacing w:line="440" w:lineRule="exact"/>
        <w:ind w:firstLine="480" w:firstLineChars="200"/>
        <w:rPr>
          <w:rFonts w:ascii="宋体" w:hAnsi="宋体"/>
          <w:sz w:val="24"/>
          <w:szCs w:val="24"/>
          <w:highlight w:val="none"/>
        </w:rPr>
      </w:pPr>
      <w:r>
        <w:rPr>
          <w:rFonts w:ascii="宋体" w:hAnsi="宋体"/>
          <w:sz w:val="24"/>
          <w:szCs w:val="24"/>
          <w:highlight w:val="none"/>
        </w:rPr>
        <w:t>26.6支付额外服务酬金：</w:t>
      </w:r>
      <w:r>
        <w:rPr>
          <w:rFonts w:hint="eastAsia" w:ascii="宋体" w:hAnsi="宋体"/>
          <w:sz w:val="24"/>
          <w:szCs w:val="24"/>
          <w:highlight w:val="none"/>
          <w:u w:val="single"/>
        </w:rPr>
        <w:t xml:space="preserve">       </w:t>
      </w:r>
      <w:r>
        <w:rPr>
          <w:rFonts w:hint="eastAsia"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sz w:val="24"/>
          <w:szCs w:val="24"/>
          <w:highlight w:val="none"/>
        </w:rPr>
        <w:t>。</w:t>
      </w:r>
    </w:p>
    <w:p w14:paraId="0EE87FCA">
      <w:pPr>
        <w:spacing w:line="440" w:lineRule="exact"/>
        <w:ind w:firstLine="480" w:firstLineChars="200"/>
        <w:rPr>
          <w:rFonts w:ascii="宋体" w:hAnsi="宋体"/>
          <w:sz w:val="24"/>
          <w:szCs w:val="24"/>
          <w:highlight w:val="none"/>
        </w:rPr>
      </w:pPr>
    </w:p>
    <w:p w14:paraId="35FAB609">
      <w:pPr>
        <w:spacing w:line="440" w:lineRule="exact"/>
        <w:ind w:firstLine="482" w:firstLineChars="200"/>
        <w:rPr>
          <w:rFonts w:ascii="宋体" w:hAnsi="宋体"/>
          <w:b/>
          <w:sz w:val="24"/>
          <w:szCs w:val="24"/>
          <w:highlight w:val="none"/>
        </w:rPr>
      </w:pPr>
      <w:r>
        <w:rPr>
          <w:rFonts w:hint="eastAsia" w:ascii="宋体" w:hAnsi="宋体"/>
          <w:b/>
          <w:sz w:val="24"/>
          <w:szCs w:val="24"/>
          <w:highlight w:val="none"/>
        </w:rPr>
        <w:t>第三十四条  工程造价咨询成果</w:t>
      </w:r>
      <w:r>
        <w:rPr>
          <w:rFonts w:hint="eastAsia" w:ascii="宋体" w:hAnsi="宋体"/>
          <w:b/>
          <w:sz w:val="24"/>
          <w:szCs w:val="24"/>
          <w:highlight w:val="none"/>
          <w:lang w:val="en-US" w:eastAsia="zh-CN"/>
        </w:rPr>
        <w:t>文件</w:t>
      </w:r>
      <w:r>
        <w:rPr>
          <w:rFonts w:hint="eastAsia" w:ascii="宋体" w:hAnsi="宋体"/>
          <w:b/>
          <w:sz w:val="24"/>
          <w:szCs w:val="24"/>
          <w:highlight w:val="none"/>
        </w:rPr>
        <w:t>质量标准。</w:t>
      </w:r>
    </w:p>
    <w:p w14:paraId="04C6AFA3">
      <w:pPr>
        <w:spacing w:line="440" w:lineRule="exact"/>
        <w:ind w:firstLine="480" w:firstLineChars="200"/>
        <w:rPr>
          <w:rFonts w:ascii="宋体" w:hAnsi="宋体"/>
          <w:sz w:val="24"/>
          <w:szCs w:val="24"/>
          <w:highlight w:val="none"/>
        </w:rPr>
      </w:pPr>
      <w:r>
        <w:rPr>
          <w:rFonts w:hint="eastAsia" w:ascii="宋体" w:hAnsi="宋体"/>
          <w:sz w:val="24"/>
          <w:szCs w:val="24"/>
          <w:highlight w:val="none"/>
        </w:rPr>
        <w:t>乙方必须按国家、省、市有关规定开展造价咨询工作，认真、准确、及时地提交</w:t>
      </w:r>
      <w:r>
        <w:rPr>
          <w:rFonts w:ascii="宋体" w:hAnsi="宋体"/>
          <w:kern w:val="0"/>
          <w:sz w:val="24"/>
          <w:szCs w:val="24"/>
          <w:highlight w:val="none"/>
        </w:rPr>
        <w:t>工程造价</w:t>
      </w:r>
      <w:r>
        <w:rPr>
          <w:rFonts w:hint="eastAsia" w:ascii="宋体" w:hAnsi="宋体"/>
          <w:sz w:val="24"/>
          <w:szCs w:val="24"/>
          <w:highlight w:val="none"/>
        </w:rPr>
        <w:t>咨询成果文件，具体质量要求如下：</w:t>
      </w:r>
    </w:p>
    <w:p w14:paraId="1E158356">
      <w:pPr>
        <w:spacing w:line="440" w:lineRule="exact"/>
        <w:ind w:firstLine="480" w:firstLineChars="200"/>
        <w:rPr>
          <w:rFonts w:ascii="宋体" w:hAnsi="宋体"/>
          <w:sz w:val="24"/>
          <w:szCs w:val="24"/>
          <w:highlight w:val="none"/>
        </w:rPr>
      </w:pPr>
      <w:r>
        <w:rPr>
          <w:rFonts w:hint="eastAsia" w:ascii="宋体" w:hAnsi="宋体"/>
          <w:sz w:val="24"/>
          <w:szCs w:val="24"/>
          <w:highlight w:val="none"/>
        </w:rPr>
        <w:t>34.1根据咨询任务的情况，提出必要的要求和建议。如列出所缺资料的清单等。</w:t>
      </w:r>
    </w:p>
    <w:p w14:paraId="7F3BEF93">
      <w:pPr>
        <w:spacing w:line="440" w:lineRule="exact"/>
        <w:ind w:firstLine="480" w:firstLineChars="200"/>
        <w:rPr>
          <w:rFonts w:ascii="宋体" w:hAnsi="宋体"/>
          <w:sz w:val="24"/>
          <w:szCs w:val="24"/>
          <w:highlight w:val="none"/>
        </w:rPr>
      </w:pPr>
      <w:r>
        <w:rPr>
          <w:rFonts w:hint="eastAsia" w:ascii="宋体" w:hAnsi="宋体"/>
          <w:sz w:val="24"/>
          <w:szCs w:val="24"/>
          <w:highlight w:val="none"/>
        </w:rPr>
        <w:t>34.2根据咨询任务的性质，主动配合甲方，积极与工作相关的单位联系，取得有关数据、资料等，并将所得结果报甲方。</w:t>
      </w:r>
    </w:p>
    <w:p w14:paraId="7C0B4677">
      <w:pPr>
        <w:spacing w:line="440" w:lineRule="exact"/>
        <w:ind w:firstLine="480" w:firstLineChars="200"/>
        <w:rPr>
          <w:rFonts w:ascii="宋体" w:hAnsi="宋体"/>
          <w:sz w:val="24"/>
          <w:szCs w:val="24"/>
          <w:highlight w:val="none"/>
        </w:rPr>
      </w:pPr>
      <w:r>
        <w:rPr>
          <w:rFonts w:hint="eastAsia" w:ascii="宋体" w:hAnsi="宋体"/>
          <w:sz w:val="24"/>
          <w:szCs w:val="24"/>
          <w:highlight w:val="none"/>
        </w:rPr>
        <w:t>34.3根据咨询任务的期限，及时向甲方提供工作计划</w:t>
      </w:r>
      <w:r>
        <w:rPr>
          <w:rFonts w:hint="eastAsia" w:ascii="宋体" w:hAnsi="宋体"/>
          <w:sz w:val="24"/>
          <w:szCs w:val="24"/>
          <w:highlight w:val="none"/>
          <w:lang w:eastAsia="zh-CN"/>
        </w:rPr>
        <w:t>，</w:t>
      </w:r>
      <w:r>
        <w:rPr>
          <w:rFonts w:hint="eastAsia" w:ascii="宋体" w:hAnsi="宋体"/>
          <w:sz w:val="24"/>
          <w:szCs w:val="24"/>
          <w:highlight w:val="none"/>
        </w:rPr>
        <w:t>包括各专业的人员配置情况和各专业完成阶段性工作的时间节点。</w:t>
      </w:r>
    </w:p>
    <w:p w14:paraId="2066F715">
      <w:pPr>
        <w:spacing w:line="440" w:lineRule="exact"/>
        <w:ind w:firstLine="480" w:firstLineChars="200"/>
        <w:rPr>
          <w:rFonts w:ascii="宋体" w:hAnsi="宋体"/>
          <w:sz w:val="24"/>
          <w:szCs w:val="24"/>
          <w:highlight w:val="none"/>
        </w:rPr>
      </w:pPr>
      <w:r>
        <w:rPr>
          <w:rFonts w:hint="eastAsia" w:ascii="宋体" w:hAnsi="宋体"/>
          <w:sz w:val="24"/>
          <w:szCs w:val="24"/>
          <w:highlight w:val="none"/>
        </w:rPr>
        <w:t>34.4乙方应对招标工程量清单及招标控制价的准确性负责。</w:t>
      </w:r>
    </w:p>
    <w:p w14:paraId="008B227D">
      <w:pPr>
        <w:spacing w:line="440" w:lineRule="exact"/>
        <w:ind w:firstLine="480" w:firstLineChars="200"/>
        <w:rPr>
          <w:rFonts w:ascii="宋体" w:hAnsi="宋体"/>
          <w:sz w:val="24"/>
          <w:szCs w:val="24"/>
          <w:highlight w:val="none"/>
        </w:rPr>
      </w:pPr>
      <w:r>
        <w:rPr>
          <w:rFonts w:hint="eastAsia" w:ascii="宋体" w:hAnsi="宋体"/>
          <w:sz w:val="24"/>
          <w:szCs w:val="24"/>
          <w:highlight w:val="none"/>
        </w:rPr>
        <w:t>34.5乙方应对施工过程造价控制（工程量及进度款审核、工程变更的预算审核、签证文件及费用审核、新增综合单价预算审核等）及工程结算初步审核的准确性负责。</w:t>
      </w:r>
    </w:p>
    <w:p w14:paraId="634E77A0">
      <w:pPr>
        <w:spacing w:line="440" w:lineRule="exact"/>
        <w:ind w:firstLine="480" w:firstLineChars="200"/>
        <w:rPr>
          <w:rFonts w:ascii="宋体" w:hAnsi="宋体"/>
          <w:sz w:val="24"/>
          <w:szCs w:val="24"/>
          <w:highlight w:val="none"/>
        </w:rPr>
      </w:pPr>
    </w:p>
    <w:p w14:paraId="5A8F7AEB">
      <w:pPr>
        <w:pStyle w:val="5"/>
        <w:spacing w:line="440" w:lineRule="exact"/>
        <w:ind w:firstLine="482" w:firstLineChars="200"/>
        <w:rPr>
          <w:rFonts w:ascii="宋体" w:hAnsi="宋体"/>
          <w:b/>
          <w:sz w:val="24"/>
          <w:szCs w:val="24"/>
          <w:highlight w:val="none"/>
        </w:rPr>
      </w:pPr>
      <w:r>
        <w:rPr>
          <w:rFonts w:hint="eastAsia" w:ascii="宋体" w:hAnsi="宋体"/>
          <w:b/>
          <w:sz w:val="24"/>
          <w:szCs w:val="24"/>
          <w:highlight w:val="none"/>
        </w:rPr>
        <w:t>第三十五条  造价咨询成果及费用支付。</w:t>
      </w:r>
    </w:p>
    <w:p w14:paraId="444BC81D">
      <w:pPr>
        <w:pStyle w:val="5"/>
        <w:spacing w:line="440" w:lineRule="exact"/>
        <w:ind w:firstLine="480" w:firstLineChars="200"/>
        <w:rPr>
          <w:rFonts w:ascii="宋体" w:hAnsi="宋体"/>
          <w:sz w:val="24"/>
          <w:szCs w:val="24"/>
          <w:highlight w:val="none"/>
        </w:rPr>
      </w:pPr>
      <w:r>
        <w:rPr>
          <w:rFonts w:hint="eastAsia" w:ascii="宋体" w:hAnsi="宋体"/>
          <w:sz w:val="24"/>
          <w:szCs w:val="24"/>
          <w:highlight w:val="none"/>
        </w:rPr>
        <w:t>35.1</w:t>
      </w:r>
      <w:r>
        <w:rPr>
          <w:rFonts w:ascii="宋体" w:hAnsi="宋体"/>
          <w:kern w:val="0"/>
          <w:sz w:val="24"/>
          <w:szCs w:val="24"/>
          <w:highlight w:val="none"/>
        </w:rPr>
        <w:t>乙方应</w:t>
      </w:r>
      <w:r>
        <w:rPr>
          <w:rFonts w:hint="eastAsia" w:ascii="宋体" w:hAnsi="宋体"/>
          <w:kern w:val="0"/>
          <w:sz w:val="24"/>
          <w:szCs w:val="24"/>
          <w:highlight w:val="none"/>
        </w:rPr>
        <w:t>按专用条款第六条</w:t>
      </w:r>
      <w:r>
        <w:rPr>
          <w:rFonts w:ascii="宋体" w:hAnsi="宋体"/>
          <w:kern w:val="0"/>
          <w:sz w:val="24"/>
          <w:szCs w:val="24"/>
          <w:highlight w:val="none"/>
        </w:rPr>
        <w:t>将工程造价咨询成果</w:t>
      </w:r>
      <w:r>
        <w:rPr>
          <w:rFonts w:hint="eastAsia" w:ascii="宋体" w:hAnsi="宋体"/>
          <w:kern w:val="0"/>
          <w:sz w:val="24"/>
          <w:szCs w:val="24"/>
          <w:highlight w:val="none"/>
          <w:lang w:val="en-US" w:eastAsia="zh-CN"/>
        </w:rPr>
        <w:t>文件</w:t>
      </w:r>
      <w:r>
        <w:rPr>
          <w:rFonts w:ascii="宋体" w:hAnsi="宋体"/>
          <w:kern w:val="0"/>
          <w:sz w:val="24"/>
          <w:szCs w:val="24"/>
          <w:highlight w:val="none"/>
        </w:rPr>
        <w:t>交付甲方。</w:t>
      </w:r>
    </w:p>
    <w:p w14:paraId="1BD4FE0B">
      <w:pPr>
        <w:pStyle w:val="5"/>
        <w:spacing w:line="440" w:lineRule="exact"/>
        <w:ind w:firstLine="480" w:firstLineChars="200"/>
        <w:rPr>
          <w:rFonts w:ascii="宋体" w:hAnsi="宋体"/>
          <w:sz w:val="24"/>
          <w:szCs w:val="24"/>
          <w:highlight w:val="none"/>
        </w:rPr>
      </w:pPr>
      <w:r>
        <w:rPr>
          <w:rFonts w:hint="eastAsia" w:ascii="宋体" w:hAnsi="宋体"/>
          <w:sz w:val="24"/>
          <w:szCs w:val="24"/>
          <w:highlight w:val="none"/>
        </w:rPr>
        <w:t>35.2无论因何原因造成的</w:t>
      </w:r>
      <w:r>
        <w:rPr>
          <w:rFonts w:hint="eastAsia" w:ascii="宋体" w:hAnsi="宋体"/>
          <w:sz w:val="24"/>
          <w:szCs w:val="24"/>
          <w:highlight w:val="none"/>
          <w:lang w:val="en-US" w:eastAsia="zh-CN"/>
        </w:rPr>
        <w:t>项目变化</w:t>
      </w:r>
      <w:r>
        <w:rPr>
          <w:rFonts w:hint="eastAsia" w:ascii="宋体" w:hAnsi="宋体"/>
          <w:sz w:val="24"/>
          <w:szCs w:val="24"/>
          <w:highlight w:val="none"/>
          <w:lang w:eastAsia="zh-CN"/>
        </w:rPr>
        <w:t>，</w:t>
      </w:r>
      <w:r>
        <w:rPr>
          <w:rFonts w:hint="eastAsia" w:ascii="宋体" w:hAnsi="宋体"/>
          <w:sz w:val="24"/>
          <w:szCs w:val="24"/>
          <w:highlight w:val="none"/>
        </w:rPr>
        <w:t>乙方要无条件</w:t>
      </w:r>
      <w:r>
        <w:rPr>
          <w:rFonts w:hint="eastAsia" w:ascii="宋体" w:hAnsi="宋体"/>
          <w:sz w:val="24"/>
          <w:szCs w:val="24"/>
          <w:highlight w:val="none"/>
          <w:lang w:val="en-US" w:eastAsia="zh-CN"/>
        </w:rPr>
        <w:t>配合甲方开展相关造价审核工作</w:t>
      </w:r>
      <w:r>
        <w:rPr>
          <w:rFonts w:hint="eastAsia" w:ascii="宋体" w:hAnsi="宋体"/>
          <w:sz w:val="24"/>
          <w:szCs w:val="24"/>
          <w:highlight w:val="none"/>
          <w:lang w:eastAsia="zh-CN"/>
        </w:rPr>
        <w:t>。</w:t>
      </w:r>
      <w:r>
        <w:rPr>
          <w:rFonts w:hint="eastAsia" w:ascii="宋体" w:hAnsi="宋体"/>
          <w:sz w:val="24"/>
          <w:szCs w:val="24"/>
          <w:highlight w:val="none"/>
        </w:rPr>
        <w:t>甲方均不再</w:t>
      </w:r>
      <w:r>
        <w:rPr>
          <w:rFonts w:hint="eastAsia" w:ascii="宋体" w:hAnsi="宋体"/>
          <w:sz w:val="24"/>
          <w:szCs w:val="24"/>
          <w:highlight w:val="none"/>
          <w:lang w:val="en-US" w:eastAsia="zh-CN"/>
        </w:rPr>
        <w:t>另行</w:t>
      </w:r>
      <w:r>
        <w:rPr>
          <w:rFonts w:hint="eastAsia" w:ascii="宋体" w:hAnsi="宋体"/>
          <w:sz w:val="24"/>
          <w:szCs w:val="24"/>
          <w:highlight w:val="none"/>
        </w:rPr>
        <w:t>支付任何费用。</w:t>
      </w:r>
    </w:p>
    <w:p w14:paraId="3F6501D8">
      <w:pPr>
        <w:pStyle w:val="32"/>
        <w:widowControl/>
        <w:tabs>
          <w:tab w:val="left" w:pos="1276"/>
        </w:tabs>
        <w:adjustRightInd w:val="0"/>
        <w:snapToGrid w:val="0"/>
        <w:spacing w:before="312" w:beforeLines="100" w:after="312" w:afterLines="100" w:line="440" w:lineRule="exact"/>
        <w:ind w:firstLine="482"/>
        <w:jc w:val="left"/>
        <w:rPr>
          <w:rFonts w:ascii="宋体" w:hAnsi="宋体"/>
          <w:kern w:val="0"/>
          <w:sz w:val="24"/>
          <w:szCs w:val="24"/>
          <w:highlight w:val="none"/>
        </w:rPr>
      </w:pPr>
      <w:r>
        <w:rPr>
          <w:rFonts w:hint="eastAsia" w:ascii="宋体" w:hAnsi="宋体"/>
          <w:b/>
          <w:kern w:val="0"/>
          <w:sz w:val="24"/>
          <w:szCs w:val="24"/>
          <w:highlight w:val="none"/>
        </w:rPr>
        <w:t>第三十七条</w:t>
      </w:r>
      <w:r>
        <w:rPr>
          <w:rFonts w:hint="eastAsia" w:ascii="宋体" w:hAnsi="宋体"/>
          <w:kern w:val="0"/>
          <w:sz w:val="24"/>
          <w:szCs w:val="24"/>
          <w:highlight w:val="none"/>
        </w:rPr>
        <w:t xml:space="preserve">  </w:t>
      </w:r>
      <w:r>
        <w:rPr>
          <w:rFonts w:ascii="宋体" w:hAnsi="宋体"/>
          <w:kern w:val="0"/>
          <w:sz w:val="24"/>
          <w:szCs w:val="24"/>
          <w:highlight w:val="none"/>
        </w:rPr>
        <w:t>建设工程造价咨询合同在履行过程中发生争议，甲方与乙方应及时协商解决；如未能达成一致，可提交有关主管部门调解；协商或调解不成的，依法向</w:t>
      </w:r>
      <w:r>
        <w:rPr>
          <w:rFonts w:hint="eastAsia" w:ascii="宋体" w:hAnsi="宋体"/>
          <w:sz w:val="24"/>
          <w:szCs w:val="24"/>
          <w:highlight w:val="none"/>
        </w:rPr>
        <w:t>项目</w:t>
      </w:r>
      <w:r>
        <w:rPr>
          <w:rFonts w:ascii="宋体" w:hAnsi="宋体"/>
          <w:sz w:val="24"/>
          <w:szCs w:val="24"/>
          <w:highlight w:val="none"/>
        </w:rPr>
        <w:t>所在地</w:t>
      </w:r>
      <w:r>
        <w:rPr>
          <w:rFonts w:ascii="宋体" w:hAnsi="宋体"/>
          <w:kern w:val="0"/>
          <w:sz w:val="24"/>
          <w:szCs w:val="24"/>
          <w:highlight w:val="none"/>
        </w:rPr>
        <w:t>人民法院起诉。</w:t>
      </w:r>
    </w:p>
    <w:p w14:paraId="0F2393C9">
      <w:pPr>
        <w:pStyle w:val="32"/>
        <w:widowControl/>
        <w:numPr>
          <w:ilvl w:val="-1"/>
          <w:numId w:val="0"/>
        </w:numPr>
        <w:tabs>
          <w:tab w:val="left" w:pos="1276"/>
        </w:tabs>
        <w:adjustRightInd w:val="0"/>
        <w:snapToGrid w:val="0"/>
        <w:spacing w:before="312" w:beforeLines="100" w:after="312" w:afterLines="100" w:line="440" w:lineRule="exact"/>
        <w:ind w:firstLine="480" w:firstLineChars="0"/>
        <w:jc w:val="left"/>
        <w:rPr>
          <w:rFonts w:ascii="宋体" w:hAnsi="宋体"/>
          <w:sz w:val="24"/>
          <w:szCs w:val="24"/>
          <w:highlight w:val="none"/>
        </w:rPr>
      </w:pPr>
      <w:r>
        <w:rPr>
          <w:rFonts w:hint="eastAsia" w:ascii="宋体" w:hAnsi="宋体"/>
          <w:sz w:val="24"/>
          <w:szCs w:val="24"/>
          <w:highlight w:val="none"/>
        </w:rPr>
        <w:t>附件：</w:t>
      </w:r>
      <w:r>
        <w:rPr>
          <w:rFonts w:hint="eastAsia" w:ascii="宋体" w:hAnsi="宋体"/>
          <w:sz w:val="24"/>
          <w:szCs w:val="24"/>
          <w:highlight w:val="none"/>
          <w:lang w:val="en-US" w:eastAsia="zh-CN"/>
        </w:rPr>
        <w:t>1、</w:t>
      </w:r>
      <w:r>
        <w:rPr>
          <w:rFonts w:hint="eastAsia" w:ascii="宋体" w:hAnsi="宋体"/>
          <w:sz w:val="24"/>
          <w:szCs w:val="24"/>
          <w:highlight w:val="none"/>
        </w:rPr>
        <w:t>中标通知书</w:t>
      </w:r>
    </w:p>
    <w:p w14:paraId="52EB9C1A">
      <w:pPr>
        <w:pStyle w:val="32"/>
        <w:widowControl/>
        <w:numPr>
          <w:ilvl w:val="0"/>
          <w:numId w:val="0"/>
        </w:numPr>
        <w:tabs>
          <w:tab w:val="left" w:pos="1276"/>
        </w:tabs>
        <w:adjustRightInd w:val="0"/>
        <w:snapToGrid w:val="0"/>
        <w:spacing w:before="0" w:beforeLines="0" w:after="0" w:afterLines="0" w:line="240" w:lineRule="auto"/>
        <w:ind w:firstLine="1200" w:firstLineChars="500"/>
        <w:jc w:val="left"/>
        <w:rPr>
          <w:rFonts w:ascii="宋体" w:hAnsi="宋体"/>
          <w:sz w:val="24"/>
          <w:szCs w:val="24"/>
          <w:highlight w:val="none"/>
        </w:rPr>
      </w:pPr>
      <w:r>
        <w:rPr>
          <w:rFonts w:hint="eastAsia" w:ascii="宋体" w:hAnsi="宋体" w:cs="Times New Roman"/>
          <w:kern w:val="2"/>
          <w:sz w:val="24"/>
          <w:szCs w:val="24"/>
          <w:highlight w:val="none"/>
          <w:lang w:val="en-US" w:eastAsia="zh-CN" w:bidi="ar-SA"/>
        </w:rPr>
        <w:t>2、</w:t>
      </w:r>
      <w:r>
        <w:rPr>
          <w:rFonts w:hint="eastAsia" w:ascii="宋体" w:hAnsi="宋体"/>
          <w:sz w:val="24"/>
          <w:szCs w:val="24"/>
          <w:highlight w:val="none"/>
        </w:rPr>
        <w:t>廉洁协议书</w:t>
      </w:r>
    </w:p>
    <w:p w14:paraId="1B83B7A3">
      <w:pPr>
        <w:pStyle w:val="32"/>
        <w:widowControl/>
        <w:numPr>
          <w:ilvl w:val="0"/>
          <w:numId w:val="0"/>
        </w:numPr>
        <w:tabs>
          <w:tab w:val="left" w:pos="1276"/>
        </w:tabs>
        <w:adjustRightInd w:val="0"/>
        <w:snapToGrid w:val="0"/>
        <w:spacing w:before="312" w:beforeLines="100" w:after="312" w:afterLines="100" w:line="440" w:lineRule="exact"/>
        <w:ind w:firstLine="1200" w:firstLineChars="500"/>
        <w:jc w:val="left"/>
        <w:rPr>
          <w:rFonts w:ascii="宋体" w:hAnsi="宋体"/>
          <w:sz w:val="24"/>
          <w:szCs w:val="24"/>
          <w:highlight w:val="none"/>
        </w:rPr>
      </w:pPr>
      <w:r>
        <w:rPr>
          <w:rFonts w:hint="eastAsia" w:ascii="宋体" w:hAnsi="宋体" w:cs="Times New Roman"/>
          <w:kern w:val="2"/>
          <w:sz w:val="24"/>
          <w:szCs w:val="24"/>
          <w:highlight w:val="none"/>
          <w:lang w:val="en-US" w:eastAsia="zh-CN" w:bidi="ar-SA"/>
        </w:rPr>
        <w:t>3、</w:t>
      </w:r>
      <w:r>
        <w:rPr>
          <w:rFonts w:hint="eastAsia" w:ascii="宋体" w:hAnsi="宋体"/>
          <w:sz w:val="24"/>
          <w:szCs w:val="24"/>
          <w:highlight w:val="none"/>
        </w:rPr>
        <w:t>保密协议</w:t>
      </w:r>
    </w:p>
    <w:p w14:paraId="7570D122">
      <w:pPr>
        <w:pStyle w:val="32"/>
        <w:widowControl/>
        <w:numPr>
          <w:ilvl w:val="0"/>
          <w:numId w:val="0"/>
        </w:numPr>
        <w:tabs>
          <w:tab w:val="left" w:pos="1276"/>
        </w:tabs>
        <w:adjustRightInd w:val="0"/>
        <w:snapToGrid w:val="0"/>
        <w:spacing w:before="312" w:beforeLines="100" w:after="312" w:afterLines="100" w:line="440" w:lineRule="exact"/>
        <w:ind w:firstLine="1200" w:firstLineChars="500"/>
        <w:jc w:val="left"/>
        <w:rPr>
          <w:rFonts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投标报价表</w:t>
      </w:r>
    </w:p>
    <w:p w14:paraId="1442CC28">
      <w:pPr>
        <w:pStyle w:val="32"/>
        <w:widowControl/>
        <w:numPr>
          <w:ilvl w:val="0"/>
          <w:numId w:val="0"/>
        </w:numPr>
        <w:tabs>
          <w:tab w:val="left" w:pos="1276"/>
        </w:tabs>
        <w:adjustRightInd w:val="0"/>
        <w:snapToGrid w:val="0"/>
        <w:spacing w:before="312" w:beforeLines="100" w:after="312" w:afterLines="100" w:line="440" w:lineRule="exact"/>
        <w:ind w:firstLine="1200" w:firstLineChars="500"/>
        <w:jc w:val="left"/>
        <w:rPr>
          <w:rFonts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拟投入本项目造价人员一览表</w:t>
      </w:r>
    </w:p>
    <w:p w14:paraId="45536FAD">
      <w:pPr>
        <w:pStyle w:val="32"/>
        <w:widowControl/>
        <w:tabs>
          <w:tab w:val="left" w:pos="1276"/>
        </w:tabs>
        <w:adjustRightInd w:val="0"/>
        <w:snapToGrid w:val="0"/>
        <w:spacing w:before="312" w:beforeLines="100" w:after="312" w:afterLines="100"/>
        <w:ind w:firstLine="480"/>
        <w:jc w:val="left"/>
        <w:rPr>
          <w:rFonts w:ascii="宋体" w:hAnsi="宋体"/>
          <w:sz w:val="24"/>
          <w:szCs w:val="24"/>
          <w:highlight w:val="none"/>
        </w:rPr>
      </w:pPr>
      <w:r>
        <w:rPr>
          <w:rFonts w:hint="eastAsia" w:ascii="宋体" w:hAnsi="宋体"/>
          <w:sz w:val="24"/>
          <w:szCs w:val="24"/>
          <w:highlight w:val="none"/>
        </w:rPr>
        <w:t>（本页</w:t>
      </w:r>
      <w:r>
        <w:rPr>
          <w:rFonts w:ascii="宋体" w:hAnsi="宋体"/>
          <w:sz w:val="24"/>
          <w:szCs w:val="24"/>
          <w:highlight w:val="none"/>
        </w:rPr>
        <w:t>以下无正文</w:t>
      </w:r>
      <w:r>
        <w:rPr>
          <w:rFonts w:hint="eastAsia" w:ascii="宋体" w:hAnsi="宋体"/>
          <w:sz w:val="24"/>
          <w:szCs w:val="24"/>
          <w:highlight w:val="none"/>
        </w:rPr>
        <w:t>）</w:t>
      </w:r>
    </w:p>
    <w:p w14:paraId="327DFC68">
      <w:pPr>
        <w:spacing w:line="500" w:lineRule="exact"/>
        <w:ind w:firstLine="280" w:firstLineChars="100"/>
        <w:jc w:val="left"/>
        <w:rPr>
          <w:rFonts w:ascii="宋体" w:hAnsi="宋体" w:cs="Calibri"/>
          <w:kern w:val="0"/>
          <w:sz w:val="28"/>
          <w:szCs w:val="28"/>
          <w:highlight w:val="none"/>
        </w:rPr>
      </w:pPr>
      <w:r>
        <w:rPr>
          <w:rFonts w:hint="eastAsia" w:ascii="宋体" w:hAnsi="宋体" w:cs="Calibri"/>
          <w:kern w:val="0"/>
          <w:sz w:val="28"/>
          <w:szCs w:val="28"/>
          <w:highlight w:val="none"/>
        </w:rPr>
        <w:t>签约页</w:t>
      </w:r>
      <w:r>
        <w:rPr>
          <w:rFonts w:ascii="宋体" w:hAnsi="宋体" w:cs="Calibri"/>
          <w:kern w:val="0"/>
          <w:sz w:val="28"/>
          <w:szCs w:val="28"/>
          <w:highlight w:val="none"/>
        </w:rPr>
        <w:t>：</w:t>
      </w:r>
    </w:p>
    <w:p w14:paraId="0F88AFB9">
      <w:pPr>
        <w:spacing w:line="500" w:lineRule="exact"/>
        <w:ind w:firstLine="280" w:firstLineChars="100"/>
        <w:jc w:val="left"/>
        <w:rPr>
          <w:rFonts w:hint="default" w:ascii="宋体" w:hAnsi="宋体" w:eastAsia="宋体" w:cs="Calibri"/>
          <w:sz w:val="28"/>
          <w:szCs w:val="28"/>
          <w:highlight w:val="none"/>
          <w:lang w:val="en-US" w:eastAsia="zh-CN"/>
        </w:rPr>
      </w:pPr>
      <w:r>
        <w:rPr>
          <w:rFonts w:hint="eastAsia" w:ascii="宋体" w:hAnsi="宋体" w:cs="Calibri"/>
          <w:sz w:val="28"/>
          <w:szCs w:val="28"/>
          <w:highlight w:val="none"/>
        </w:rPr>
        <w:t>甲方：</w:t>
      </w:r>
      <w:r>
        <w:rPr>
          <w:rFonts w:hint="eastAsia" w:ascii="宋体" w:hAnsi="宋体" w:cs="Calibri"/>
          <w:sz w:val="28"/>
          <w:szCs w:val="28"/>
          <w:highlight w:val="none"/>
          <w:lang w:val="en-US" w:eastAsia="zh-CN"/>
        </w:rPr>
        <w:t>广州天华科韵城市更新有限公司</w:t>
      </w:r>
    </w:p>
    <w:p w14:paraId="0707260D">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法定代表人：</w:t>
      </w:r>
    </w:p>
    <w:p w14:paraId="3C50FEE5">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或</w:t>
      </w:r>
    </w:p>
    <w:p w14:paraId="209A487B">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委托代理人：</w:t>
      </w:r>
    </w:p>
    <w:p w14:paraId="44317E0B">
      <w:pPr>
        <w:spacing w:line="500" w:lineRule="exact"/>
        <w:jc w:val="left"/>
        <w:rPr>
          <w:rFonts w:ascii="宋体" w:hAnsi="宋体" w:cs="Calibri"/>
          <w:color w:val="000000"/>
          <w:sz w:val="28"/>
          <w:szCs w:val="28"/>
          <w:highlight w:val="none"/>
        </w:rPr>
      </w:pPr>
    </w:p>
    <w:p w14:paraId="2EB5F2F1">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 xml:space="preserve">乙方：                   </w:t>
      </w:r>
    </w:p>
    <w:p w14:paraId="0A88F7C1">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 xml:space="preserve">法定代表人：                </w:t>
      </w:r>
    </w:p>
    <w:p w14:paraId="43E5C75C">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或</w:t>
      </w:r>
    </w:p>
    <w:p w14:paraId="501FC3E9">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 xml:space="preserve">委托代理人： </w:t>
      </w:r>
      <w:r>
        <w:rPr>
          <w:rFonts w:ascii="宋体" w:hAnsi="宋体" w:cs="Calibri"/>
          <w:color w:val="000000"/>
          <w:sz w:val="28"/>
          <w:szCs w:val="28"/>
          <w:highlight w:val="none"/>
        </w:rPr>
        <w:t xml:space="preserve">           </w:t>
      </w:r>
    </w:p>
    <w:p w14:paraId="7F9A6F6F">
      <w:pPr>
        <w:spacing w:line="500" w:lineRule="exact"/>
        <w:ind w:firstLine="280" w:firstLineChars="100"/>
        <w:jc w:val="left"/>
        <w:rPr>
          <w:rFonts w:ascii="宋体" w:hAnsi="宋体" w:cs="Calibri"/>
          <w:color w:val="000000"/>
          <w:sz w:val="28"/>
          <w:szCs w:val="28"/>
          <w:highlight w:val="none"/>
        </w:rPr>
      </w:pPr>
      <w:r>
        <w:rPr>
          <w:rFonts w:ascii="宋体" w:hAnsi="宋体" w:cs="Calibri"/>
          <w:kern w:val="0"/>
          <w:sz w:val="28"/>
          <w:szCs w:val="28"/>
          <w:highlight w:val="none"/>
        </w:rPr>
        <w:br w:type="page"/>
      </w:r>
    </w:p>
    <w:p w14:paraId="2E5DC46A">
      <w:pPr>
        <w:rPr>
          <w:rFonts w:hAnsi="宋体"/>
          <w:sz w:val="28"/>
          <w:highlight w:val="none"/>
        </w:rPr>
      </w:pPr>
      <w:r>
        <w:rPr>
          <w:rFonts w:hint="eastAsia" w:hAnsi="宋体"/>
          <w:sz w:val="28"/>
          <w:highlight w:val="none"/>
        </w:rPr>
        <w:t>附件1：中标通知书</w:t>
      </w:r>
    </w:p>
    <w:p w14:paraId="48FCE534">
      <w:pPr>
        <w:rPr>
          <w:rFonts w:hAnsi="宋体"/>
          <w:sz w:val="28"/>
          <w:szCs w:val="28"/>
          <w:highlight w:val="none"/>
        </w:rPr>
      </w:pPr>
    </w:p>
    <w:p w14:paraId="619E55D9">
      <w:pPr>
        <w:rPr>
          <w:rFonts w:hAnsi="宋体"/>
          <w:sz w:val="28"/>
          <w:szCs w:val="28"/>
          <w:highlight w:val="none"/>
        </w:rPr>
      </w:pPr>
    </w:p>
    <w:p w14:paraId="63E9B509">
      <w:pPr>
        <w:rPr>
          <w:rFonts w:hAnsi="宋体"/>
          <w:sz w:val="28"/>
          <w:szCs w:val="28"/>
          <w:highlight w:val="none"/>
        </w:rPr>
      </w:pPr>
    </w:p>
    <w:p w14:paraId="45741867">
      <w:pPr>
        <w:rPr>
          <w:rFonts w:hAnsi="宋体"/>
          <w:sz w:val="28"/>
          <w:szCs w:val="28"/>
          <w:highlight w:val="none"/>
        </w:rPr>
      </w:pPr>
    </w:p>
    <w:p w14:paraId="5B8B3908">
      <w:pPr>
        <w:rPr>
          <w:rFonts w:hAnsi="宋体"/>
          <w:sz w:val="28"/>
          <w:szCs w:val="28"/>
          <w:highlight w:val="none"/>
        </w:rPr>
      </w:pPr>
    </w:p>
    <w:p w14:paraId="360A96A1">
      <w:pPr>
        <w:rPr>
          <w:rFonts w:hAnsi="宋体"/>
          <w:sz w:val="28"/>
          <w:szCs w:val="28"/>
          <w:highlight w:val="none"/>
        </w:rPr>
      </w:pPr>
    </w:p>
    <w:p w14:paraId="6D0F01DE">
      <w:pPr>
        <w:rPr>
          <w:rFonts w:hAnsi="宋体"/>
          <w:sz w:val="28"/>
          <w:szCs w:val="28"/>
          <w:highlight w:val="none"/>
        </w:rPr>
      </w:pPr>
    </w:p>
    <w:p w14:paraId="6239AED9">
      <w:pPr>
        <w:rPr>
          <w:rFonts w:hAnsi="宋体"/>
          <w:sz w:val="28"/>
          <w:szCs w:val="28"/>
          <w:highlight w:val="none"/>
        </w:rPr>
      </w:pPr>
    </w:p>
    <w:p w14:paraId="07256A57">
      <w:pPr>
        <w:rPr>
          <w:rFonts w:hAnsi="宋体"/>
          <w:sz w:val="28"/>
          <w:szCs w:val="28"/>
          <w:highlight w:val="none"/>
        </w:rPr>
      </w:pPr>
    </w:p>
    <w:p w14:paraId="42C5CFEE">
      <w:pPr>
        <w:rPr>
          <w:rFonts w:hAnsi="宋体"/>
          <w:highlight w:val="none"/>
        </w:rPr>
      </w:pPr>
    </w:p>
    <w:p w14:paraId="18A33F8F">
      <w:pPr>
        <w:rPr>
          <w:rFonts w:hAnsi="宋体"/>
          <w:highlight w:val="none"/>
        </w:rPr>
      </w:pPr>
    </w:p>
    <w:p w14:paraId="1A505C82">
      <w:pPr>
        <w:rPr>
          <w:rFonts w:hAnsi="宋体"/>
          <w:highlight w:val="none"/>
        </w:rPr>
      </w:pPr>
    </w:p>
    <w:p w14:paraId="73737421">
      <w:pPr>
        <w:snapToGrid w:val="0"/>
        <w:spacing w:line="300" w:lineRule="auto"/>
        <w:rPr>
          <w:rFonts w:ascii="宋体" w:hAnsi="宋体" w:cs="宋体"/>
          <w:bCs/>
          <w:sz w:val="28"/>
          <w:szCs w:val="28"/>
          <w:highlight w:val="none"/>
        </w:rPr>
      </w:pPr>
      <w:r>
        <w:rPr>
          <w:rFonts w:ascii="宋体" w:hAnsi="宋体" w:cs="宋体"/>
          <w:bCs/>
          <w:sz w:val="28"/>
          <w:szCs w:val="28"/>
          <w:highlight w:val="none"/>
        </w:rPr>
        <w:br w:type="page"/>
      </w:r>
      <w:r>
        <w:rPr>
          <w:rFonts w:hint="eastAsia" w:ascii="宋体" w:hAnsi="宋体" w:cs="宋体"/>
          <w:bCs/>
          <w:sz w:val="28"/>
          <w:szCs w:val="28"/>
          <w:highlight w:val="none"/>
        </w:rPr>
        <w:t>附件2</w:t>
      </w:r>
    </w:p>
    <w:p w14:paraId="52D8729B">
      <w:pPr>
        <w:spacing w:line="560" w:lineRule="exact"/>
        <w:ind w:firstLine="880" w:firstLineChars="200"/>
        <w:rPr>
          <w:rFonts w:ascii="方正小标宋简体" w:eastAsia="方正小标宋简体"/>
          <w:sz w:val="44"/>
          <w:szCs w:val="44"/>
          <w:highlight w:val="none"/>
        </w:rPr>
      </w:pPr>
    </w:p>
    <w:p w14:paraId="54B1923A">
      <w:pPr>
        <w:spacing w:line="560" w:lineRule="exact"/>
        <w:jc w:val="center"/>
        <w:rPr>
          <w:rFonts w:ascii="楷体" w:hAnsi="楷体" w:eastAsia="楷体" w:cs="方正小标宋简体"/>
          <w:sz w:val="44"/>
          <w:szCs w:val="44"/>
          <w:highlight w:val="none"/>
        </w:rPr>
      </w:pPr>
      <w:bookmarkStart w:id="1" w:name="OLE_LINK5"/>
      <w:r>
        <w:rPr>
          <w:rFonts w:hint="eastAsia" w:ascii="楷体" w:hAnsi="楷体" w:eastAsia="楷体" w:cs="方正小标宋简体"/>
          <w:sz w:val="44"/>
          <w:szCs w:val="44"/>
          <w:highlight w:val="none"/>
        </w:rPr>
        <w:t>廉洁协议书</w:t>
      </w:r>
    </w:p>
    <w:bookmarkEnd w:id="1"/>
    <w:p w14:paraId="3B43A6D1">
      <w:pPr>
        <w:spacing w:line="560" w:lineRule="exact"/>
        <w:ind w:firstLine="560" w:firstLineChars="200"/>
        <w:rPr>
          <w:rFonts w:hint="default" w:ascii="华文楷体" w:hAnsi="华文楷体" w:eastAsia="华文楷体"/>
          <w:sz w:val="28"/>
          <w:szCs w:val="28"/>
          <w:highlight w:val="none"/>
          <w:lang w:val="en-US" w:eastAsia="zh-CN"/>
        </w:rPr>
      </w:pPr>
      <w:r>
        <w:rPr>
          <w:rFonts w:hint="eastAsia" w:ascii="华文楷体" w:hAnsi="华文楷体" w:eastAsia="华文楷体"/>
          <w:sz w:val="28"/>
          <w:szCs w:val="28"/>
          <w:highlight w:val="none"/>
        </w:rPr>
        <w:t>甲方：</w:t>
      </w:r>
      <w:r>
        <w:rPr>
          <w:rFonts w:hint="eastAsia" w:ascii="华文楷体" w:hAnsi="华文楷体" w:eastAsia="华文楷体"/>
          <w:sz w:val="28"/>
          <w:szCs w:val="28"/>
          <w:highlight w:val="none"/>
          <w:lang w:val="en-US" w:eastAsia="zh-CN"/>
        </w:rPr>
        <w:t>广州天华科韵城市更新有限公司</w:t>
      </w:r>
    </w:p>
    <w:p w14:paraId="2D638169">
      <w:pPr>
        <w:spacing w:line="560" w:lineRule="exact"/>
        <w:ind w:firstLine="560" w:firstLineChars="200"/>
        <w:rPr>
          <w:rFonts w:ascii="华文楷体" w:hAnsi="华文楷体" w:eastAsia="华文楷体"/>
          <w:sz w:val="28"/>
          <w:szCs w:val="28"/>
          <w:highlight w:val="none"/>
        </w:rPr>
      </w:pPr>
      <w:r>
        <w:rPr>
          <w:rFonts w:hint="eastAsia" w:ascii="华文楷体" w:hAnsi="华文楷体" w:eastAsia="华文楷体"/>
          <w:sz w:val="28"/>
          <w:szCs w:val="28"/>
          <w:highlight w:val="none"/>
        </w:rPr>
        <w:t>乙方：</w:t>
      </w:r>
    </w:p>
    <w:p w14:paraId="5D6858AF">
      <w:pPr>
        <w:spacing w:line="560" w:lineRule="exact"/>
        <w:ind w:firstLine="560" w:firstLineChars="200"/>
        <w:rPr>
          <w:rFonts w:ascii="华文楷体" w:hAnsi="华文楷体" w:eastAsia="华文楷体"/>
          <w:sz w:val="28"/>
          <w:szCs w:val="28"/>
          <w:highlight w:val="none"/>
        </w:rPr>
      </w:pPr>
    </w:p>
    <w:p w14:paraId="071F0C9E">
      <w:pPr>
        <w:pStyle w:val="7"/>
        <w:spacing w:line="560" w:lineRule="exact"/>
        <w:ind w:firstLine="560"/>
        <w:rPr>
          <w:rFonts w:ascii="仿宋_GB2312" w:eastAsia="仿宋_GB2312"/>
          <w:sz w:val="28"/>
          <w:szCs w:val="28"/>
          <w:highlight w:val="none"/>
        </w:rPr>
      </w:pPr>
      <w:r>
        <w:rPr>
          <w:rFonts w:hint="eastAsia" w:ascii="仿宋_GB2312" w:eastAsia="仿宋_GB2312" w:cs="仿宋_GB2312"/>
          <w:sz w:val="28"/>
          <w:szCs w:val="28"/>
          <w:highlight w:val="none"/>
        </w:rPr>
        <w: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14:paraId="4D33B11C">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第一条 甲、乙双方的共同责任</w:t>
      </w:r>
    </w:p>
    <w:p w14:paraId="531E635A">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（一）严格遵守国家关于市场准入、招标投标、工程建设、物资采购、投资并购、国有资产处置等市场经济活动的法律法规制度以及廉洁建设规定。</w:t>
      </w:r>
    </w:p>
    <w:p w14:paraId="4FD647EA">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（二）严格履行合同约定，自觉承担合同义务。</w:t>
      </w:r>
    </w:p>
    <w:p w14:paraId="6A91BC23">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三）业务活动必须坚持公平、公正、公开和诚实守信的原则（除法律法规另有规定者外），不得为获取不正当利益，损害国家、集体和对方利益，不违反招标投标、工程建设管理、物资采购、投资并购、国有资产处置等方面的规章制度。</w:t>
      </w:r>
    </w:p>
    <w:p w14:paraId="73EB8CA3">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（四）建立健全自我制约制度，开展廉洁教育，公布举报电话，监督并认真查处违法违纪行为。</w:t>
      </w:r>
    </w:p>
    <w:p w14:paraId="2E7F4812">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（五）发现对方在业务活动中有违规、违纪、违法行为的，应及时提醒对方，情节严重的，应向有关纪检监察部门举报。</w:t>
      </w:r>
    </w:p>
    <w:p w14:paraId="63FCA1F2">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第二条  甲方的责任：</w:t>
      </w:r>
    </w:p>
    <w:p w14:paraId="6DDD9EB9">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甲方相关工作人员，在与乙方业务活动的事前、事中、事后，应遵守以下规定：</w:t>
      </w:r>
    </w:p>
    <w:p w14:paraId="6A1F08EE">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（一）贯彻落实广州城投城市更新集团有限公司有关党风廉政建设责任制及廉洁从业的规定；</w:t>
      </w:r>
    </w:p>
    <w:p w14:paraId="43A677B0">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（二）按照公平、公正、公开和诚实守信的原则开展各项业务活动；</w:t>
      </w:r>
    </w:p>
    <w:p w14:paraId="644A83FC">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（三）</w:t>
      </w:r>
      <w:r>
        <w:rPr>
          <w:rFonts w:hint="eastAsia" w:ascii="仿宋_GB2312" w:eastAsia="仿宋_GB2312" w:cs="仿宋_GB2312"/>
          <w:color w:val="000000"/>
          <w:sz w:val="28"/>
          <w:szCs w:val="28"/>
          <w:highlight w:val="none"/>
        </w:rPr>
        <w:t>不准向</w:t>
      </w:r>
      <w:r>
        <w:rPr>
          <w:rFonts w:hint="eastAsia" w:ascii="仿宋_GB2312" w:eastAsia="仿宋_GB2312" w:cs="仿宋_GB2312"/>
          <w:sz w:val="28"/>
          <w:szCs w:val="28"/>
          <w:highlight w:val="none"/>
        </w:rPr>
        <w:t>乙方</w:t>
      </w:r>
      <w:r>
        <w:rPr>
          <w:rFonts w:hint="eastAsia" w:ascii="仿宋_GB2312" w:eastAsia="仿宋_GB2312" w:cs="仿宋_GB2312"/>
          <w:color w:val="000000"/>
          <w:sz w:val="28"/>
          <w:szCs w:val="28"/>
          <w:highlight w:val="none"/>
        </w:rPr>
        <w:t>泄漏涉及</w:t>
      </w:r>
      <w:r>
        <w:rPr>
          <w:rFonts w:hint="eastAsia" w:ascii="仿宋_GB2312" w:eastAsia="仿宋_GB2312" w:cs="仿宋_GB2312"/>
          <w:sz w:val="28"/>
          <w:szCs w:val="28"/>
          <w:highlight w:val="none"/>
        </w:rPr>
        <w:t>有关业务活动</w:t>
      </w:r>
      <w:r>
        <w:rPr>
          <w:rFonts w:hint="eastAsia" w:ascii="仿宋_GB2312" w:eastAsia="仿宋_GB2312" w:cs="仿宋_GB2312"/>
          <w:color w:val="000000"/>
          <w:sz w:val="28"/>
          <w:szCs w:val="28"/>
          <w:highlight w:val="none"/>
        </w:rPr>
        <w:t>的秘密，不准以谋取非正当利益为目的，擅自与乙方工作人员就业务问题达成利益默契；</w:t>
      </w:r>
    </w:p>
    <w:p w14:paraId="19B64DB7">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（四）不准向乙方和相关单位索要或接受回扣、红包、礼金、购物卡、有价证券、贵重物品和好处费、感谢费等；</w:t>
      </w:r>
    </w:p>
    <w:p w14:paraId="01D01FEE">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（五）不准在乙方和相关单位报销任何应由甲方或个人支付的费用；</w:t>
      </w:r>
    </w:p>
    <w:p w14:paraId="286594A6">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（六）不准要求、暗示或接受乙方和相关单位为个人装修住房、婚丧嫁娶、配偶子女的工作安排以及境内外旅游等提供方便；</w:t>
      </w:r>
    </w:p>
    <w:p w14:paraId="5C047E12">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（七）不准向乙方介绍配偶、子女、亲属参与与甲方有关的经济活动，不得以任何理由向乙方和相关单位推荐第三方单位；</w:t>
      </w:r>
    </w:p>
    <w:p w14:paraId="33655A3F">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（八）不准参与影响相关工作正常和公正开展的其他活动；</w:t>
      </w:r>
    </w:p>
    <w:p w14:paraId="5243F755">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（九）不准违反《中共中央纪委关于严格禁止利用职务上的便利谋取不正当利益的若干规定》的内容。</w:t>
      </w:r>
    </w:p>
    <w:p w14:paraId="1474468E">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第三条 乙方的责任：</w:t>
      </w:r>
    </w:p>
    <w:p w14:paraId="4BC384C9">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在与甲方业务交往过程中，按照有关法律法规和程序开展工作，严格执行国家的有关方针、政策，并遵守以下规定：</w:t>
      </w:r>
    </w:p>
    <w:p w14:paraId="26C9ECA3">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（一）不准以任何理由为甲方和相关单位报销应由对方或个人支付的费用；</w:t>
      </w:r>
    </w:p>
    <w:p w14:paraId="2B87E5FC">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（二）不准以任何理由向甲方负责人及其工作人员赠送回扣、红包、礼金、购物卡、有价证券、贵重物品和好处费、感谢费等；</w:t>
      </w:r>
    </w:p>
    <w:p w14:paraId="178EB3F0">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（三）不准以任何理由为甲方、与甲方相关的单位或个人提供高消费宴请及娱乐活动；</w:t>
      </w:r>
    </w:p>
    <w:p w14:paraId="5899CB4A">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（四）不准以任何理由为甲方、与甲方相关的单位或个人购置或提供通讯工具、交通工具和高档办公用品；</w:t>
      </w:r>
    </w:p>
    <w:p w14:paraId="1F18AC34">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（五）不准接受或暗示为甲方、与甲方相关的单位或个人装修住房、婚丧嫁</w:t>
      </w:r>
      <w:r>
        <w:rPr>
          <w:rFonts w:hint="eastAsia" w:ascii="仿宋_GB2312" w:eastAsia="仿宋_GB2312" w:cs="仿宋_GB2312"/>
          <w:sz w:val="28"/>
          <w:szCs w:val="28"/>
          <w:highlight w:val="none"/>
          <w:lang w:val="en-US" w:eastAsia="zh-CN"/>
        </w:rPr>
        <w:t>娶</w:t>
      </w:r>
      <w:r>
        <w:rPr>
          <w:rFonts w:hint="eastAsia" w:ascii="仿宋_GB2312" w:eastAsia="仿宋_GB2312" w:cs="仿宋_GB2312"/>
          <w:sz w:val="28"/>
          <w:szCs w:val="28"/>
          <w:highlight w:val="none"/>
        </w:rPr>
        <w:t>、配偶子女的工作安排以及境内外旅游等提供方便；</w:t>
      </w:r>
    </w:p>
    <w:p w14:paraId="109303F6">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（六）不准以谋取非正当利益为目的，擅自与甲方工作人员就业务问题进行私下商谈或者达成利益默契；</w:t>
      </w:r>
    </w:p>
    <w:p w14:paraId="730BA944">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（七）发现甲方工作人员有违反本廉洁协议书规定的，应向甲方单位举报（反映）。广州城投城市更新集团有限公司受理部门：纪检室；举报邮箱：</w:t>
      </w:r>
      <w:r>
        <w:rPr>
          <w:rFonts w:hint="eastAsia" w:ascii="仿宋_GB2312" w:eastAsia="仿宋_GB2312"/>
          <w:sz w:val="28"/>
          <w:szCs w:val="28"/>
          <w:highlight w:val="none"/>
        </w:rPr>
        <w:t>ctcgjtjjs@163.com</w:t>
      </w:r>
      <w:r>
        <w:rPr>
          <w:rFonts w:hint="eastAsia" w:ascii="仿宋_GB2312" w:eastAsia="仿宋_GB2312" w:cs="仿宋_GB2312"/>
          <w:sz w:val="28"/>
          <w:szCs w:val="28"/>
          <w:highlight w:val="none"/>
        </w:rPr>
        <w:t>。</w:t>
      </w:r>
    </w:p>
    <w:p w14:paraId="216978B0">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第四条 相关责任</w:t>
      </w:r>
    </w:p>
    <w:p w14:paraId="6647A977">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一）甲方有违反本廉洁协议书第一、二条规定的，严格按照管理权限，依据有关法律法规和规章制度给予纪律处分或组织处理；涉嫌犯罪的，移送司法机关依法追究刑事责任；给乙方单位造成经济损失的，应依法予以赔偿。</w:t>
      </w:r>
    </w:p>
    <w:p w14:paraId="663D168A">
      <w:pPr>
        <w:spacing w:line="560" w:lineRule="exact"/>
        <w:ind w:firstLine="560" w:firstLineChars="200"/>
        <w:rPr>
          <w:rFonts w:ascii="仿宋_GB2312" w:eastAsia="仿宋_GB2312" w:cs="仿宋_GB2312"/>
          <w:sz w:val="28"/>
          <w:szCs w:val="28"/>
          <w:highlight w:val="none"/>
        </w:rPr>
      </w:pPr>
      <w:r>
        <w:rPr>
          <w:rFonts w:hint="eastAsia" w:ascii="仿宋_GB2312" w:eastAsia="仿宋_GB2312" w:cs="仿宋_GB2312"/>
          <w:sz w:val="28"/>
          <w:szCs w:val="28"/>
          <w:highlight w:val="none"/>
        </w:rPr>
        <w:t>（二）乙方违反本廉洁协议书第一、三条规定的，根据招投标等有关规定，对乙方进行处理；甲方有权终止与乙方的合同。涉嫌犯罪的，移送司法机关依法追究刑事责任；给甲方单位造成经济损失的，应依法予以赔偿。</w:t>
      </w:r>
    </w:p>
    <w:p w14:paraId="5096A3F1">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（三）乙方违反本廉洁协议书第一、三条规定，发生行贿行为，经有关执纪执法部门或甲方纪检机构查证属实，甲方对乙方实施3年的市场禁入。</w:t>
      </w:r>
    </w:p>
    <w:p w14:paraId="3E1C3F66">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第五条 协议书生效及法律效力</w:t>
      </w:r>
    </w:p>
    <w:p w14:paraId="5CB906A4">
      <w:pPr>
        <w:spacing w:line="560" w:lineRule="exact"/>
        <w:ind w:firstLine="560" w:firstLineChars="200"/>
        <w:rPr>
          <w:rFonts w:ascii="仿宋_GB2312" w:eastAsia="仿宋_GB2312"/>
          <w:color w:val="000000"/>
          <w:sz w:val="28"/>
          <w:szCs w:val="28"/>
          <w:highlight w:val="none"/>
        </w:rPr>
      </w:pPr>
      <w:r>
        <w:rPr>
          <w:rFonts w:hint="eastAsia" w:ascii="仿宋_GB2312" w:eastAsia="仿宋_GB2312" w:cs="仿宋_GB2312"/>
          <w:sz w:val="28"/>
          <w:szCs w:val="28"/>
          <w:highlight w:val="none"/>
        </w:rPr>
        <w:t>（一）本廉洁协议书作为建设工程造价咨询合同的附件，与建设工程造价咨询合同具有同等法律效力，经</w:t>
      </w:r>
      <w:r>
        <w:rPr>
          <w:rFonts w:hint="eastAsia" w:ascii="仿宋_GB2312" w:eastAsia="仿宋_GB2312" w:cs="仿宋_GB2312"/>
          <w:color w:val="000000"/>
          <w:sz w:val="28"/>
          <w:szCs w:val="28"/>
          <w:highlight w:val="none"/>
        </w:rPr>
        <w:t>双方法定代表人或委托代理人签字</w:t>
      </w:r>
      <w:r>
        <w:rPr>
          <w:rFonts w:hint="eastAsia" w:ascii="仿宋_GB2312" w:eastAsia="仿宋_GB2312" w:cs="仿宋_GB2312"/>
          <w:color w:val="000000"/>
          <w:sz w:val="28"/>
          <w:szCs w:val="28"/>
          <w:highlight w:val="none"/>
          <w:lang w:val="en-US" w:eastAsia="zh-CN"/>
        </w:rPr>
        <w:t>并</w:t>
      </w:r>
      <w:r>
        <w:rPr>
          <w:rFonts w:hint="eastAsia" w:ascii="仿宋_GB2312" w:eastAsia="仿宋_GB2312" w:cs="仿宋_GB2312"/>
          <w:color w:val="000000"/>
          <w:sz w:val="28"/>
          <w:szCs w:val="28"/>
          <w:highlight w:val="none"/>
        </w:rPr>
        <w:t>盖</w:t>
      </w:r>
      <w:r>
        <w:rPr>
          <w:rFonts w:hint="eastAsia" w:ascii="仿宋_GB2312" w:eastAsia="仿宋_GB2312" w:cs="仿宋_GB2312"/>
          <w:color w:val="000000"/>
          <w:sz w:val="28"/>
          <w:szCs w:val="28"/>
          <w:highlight w:val="none"/>
          <w:lang w:val="en-US" w:eastAsia="zh-CN"/>
        </w:rPr>
        <w:t>公</w:t>
      </w:r>
      <w:r>
        <w:rPr>
          <w:rFonts w:hint="eastAsia" w:ascii="仿宋_GB2312" w:eastAsia="仿宋_GB2312" w:cs="仿宋_GB2312"/>
          <w:color w:val="000000"/>
          <w:sz w:val="28"/>
          <w:szCs w:val="28"/>
          <w:highlight w:val="none"/>
        </w:rPr>
        <w:t>章后立即生效。</w:t>
      </w:r>
    </w:p>
    <w:p w14:paraId="4140B292">
      <w:pPr>
        <w:pStyle w:val="7"/>
        <w:spacing w:line="560" w:lineRule="exact"/>
        <w:ind w:firstLine="560"/>
        <w:rPr>
          <w:rFonts w:ascii="仿宋_GB2312" w:eastAsia="仿宋_GB2312"/>
          <w:color w:val="000000"/>
          <w:sz w:val="28"/>
          <w:szCs w:val="28"/>
          <w:highlight w:val="none"/>
        </w:rPr>
      </w:pPr>
      <w:r>
        <w:rPr>
          <w:rFonts w:hint="eastAsia" w:ascii="仿宋_GB2312" w:eastAsia="仿宋_GB2312" w:cs="仿宋_GB2312"/>
          <w:sz w:val="28"/>
          <w:szCs w:val="28"/>
          <w:highlight w:val="none"/>
        </w:rPr>
        <w:t>（二）除非甲乙双方另行签订新的廉洁协议书，否则本廉洁协议书在甲方与乙方存在业务关系期间均对双方产生约束力。</w:t>
      </w:r>
    </w:p>
    <w:p w14:paraId="6A0F6194">
      <w:pPr>
        <w:spacing w:line="560" w:lineRule="exact"/>
        <w:ind w:firstLine="560" w:firstLineChars="200"/>
        <w:rPr>
          <w:rFonts w:ascii="仿宋_GB2312" w:eastAsia="仿宋_GB2312"/>
          <w:color w:val="000000"/>
          <w:sz w:val="28"/>
          <w:szCs w:val="28"/>
          <w:highlight w:val="none"/>
        </w:rPr>
      </w:pPr>
      <w:r>
        <w:rPr>
          <w:rFonts w:hint="eastAsia" w:ascii="仿宋_GB2312" w:eastAsia="仿宋_GB2312" w:cs="仿宋_GB2312"/>
          <w:color w:val="000000"/>
          <w:sz w:val="28"/>
          <w:szCs w:val="28"/>
          <w:highlight w:val="none"/>
        </w:rPr>
        <w:t xml:space="preserve">第六条 </w:t>
      </w:r>
      <w:r>
        <w:rPr>
          <w:rFonts w:hint="eastAsia" w:ascii="仿宋_GB2312" w:eastAsia="仿宋_GB2312" w:cs="仿宋_GB2312"/>
          <w:sz w:val="28"/>
          <w:szCs w:val="28"/>
          <w:highlight w:val="none"/>
        </w:rPr>
        <w:t>协议书</w:t>
      </w:r>
      <w:r>
        <w:rPr>
          <w:rFonts w:hint="eastAsia" w:ascii="仿宋_GB2312" w:eastAsia="仿宋_GB2312" w:cs="仿宋_GB2312"/>
          <w:color w:val="000000"/>
          <w:sz w:val="28"/>
          <w:szCs w:val="28"/>
          <w:highlight w:val="none"/>
        </w:rPr>
        <w:t>份数</w:t>
      </w:r>
    </w:p>
    <w:p w14:paraId="6B1F6319">
      <w:pPr>
        <w:spacing w:line="560" w:lineRule="exact"/>
        <w:ind w:firstLine="560" w:firstLineChars="200"/>
        <w:rPr>
          <w:rFonts w:ascii="仿宋_GB2312" w:eastAsia="仿宋_GB2312"/>
          <w:color w:val="000000"/>
          <w:sz w:val="28"/>
          <w:szCs w:val="28"/>
          <w:highlight w:val="none"/>
        </w:rPr>
      </w:pPr>
      <w:r>
        <w:rPr>
          <w:rFonts w:hint="eastAsia" w:ascii="仿宋_GB2312" w:eastAsia="仿宋_GB2312" w:cs="仿宋_GB2312"/>
          <w:sz w:val="28"/>
          <w:szCs w:val="28"/>
          <w:highlight w:val="none"/>
        </w:rPr>
        <w:t>本廉洁协议书一式</w:t>
      </w:r>
      <w:r>
        <w:rPr>
          <w:rFonts w:hint="eastAsia" w:ascii="仿宋_GB2312" w:eastAsia="仿宋_GB2312" w:cs="仿宋_GB2312"/>
          <w:sz w:val="28"/>
          <w:szCs w:val="28"/>
          <w:highlight w:val="none"/>
          <w:u w:val="single"/>
          <w:lang w:val="en-US" w:eastAsia="zh-CN"/>
        </w:rPr>
        <w:t>10</w:t>
      </w:r>
      <w:r>
        <w:rPr>
          <w:rFonts w:hint="eastAsia" w:ascii="仿宋_GB2312" w:eastAsia="仿宋_GB2312" w:cs="仿宋_GB2312"/>
          <w:sz w:val="28"/>
          <w:szCs w:val="28"/>
          <w:highlight w:val="none"/>
        </w:rPr>
        <w:t>份，甲方</w:t>
      </w:r>
      <w:r>
        <w:rPr>
          <w:rFonts w:hint="eastAsia" w:ascii="仿宋_GB2312" w:eastAsia="仿宋_GB2312" w:cs="仿宋_GB2312"/>
          <w:sz w:val="28"/>
          <w:szCs w:val="28"/>
          <w:highlight w:val="none"/>
          <w:u w:val="single"/>
          <w:lang w:val="en-US" w:eastAsia="zh-CN"/>
        </w:rPr>
        <w:t>5</w:t>
      </w:r>
      <w:r>
        <w:rPr>
          <w:rFonts w:hint="eastAsia" w:ascii="仿宋_GB2312" w:eastAsia="仿宋_GB2312" w:cs="仿宋_GB2312"/>
          <w:sz w:val="28"/>
          <w:szCs w:val="28"/>
          <w:highlight w:val="none"/>
        </w:rPr>
        <w:t>份，乙方</w:t>
      </w:r>
      <w:r>
        <w:rPr>
          <w:rFonts w:hint="eastAsia" w:ascii="仿宋_GB2312" w:eastAsia="仿宋_GB2312" w:cs="仿宋_GB2312"/>
          <w:sz w:val="28"/>
          <w:szCs w:val="28"/>
          <w:highlight w:val="none"/>
          <w:u w:val="single"/>
          <w:lang w:val="en-US" w:eastAsia="zh-CN"/>
        </w:rPr>
        <w:t>5</w:t>
      </w:r>
      <w:r>
        <w:rPr>
          <w:rFonts w:hint="eastAsia" w:ascii="仿宋_GB2312" w:eastAsia="仿宋_GB2312" w:cs="仿宋_GB2312"/>
          <w:sz w:val="28"/>
          <w:szCs w:val="28"/>
          <w:highlight w:val="none"/>
        </w:rPr>
        <w:t>份</w:t>
      </w:r>
      <w:r>
        <w:rPr>
          <w:rFonts w:hint="eastAsia" w:ascii="仿宋_GB2312" w:eastAsia="仿宋_GB2312" w:cs="仿宋_GB2312"/>
          <w:color w:val="000000"/>
          <w:sz w:val="28"/>
          <w:szCs w:val="28"/>
          <w:highlight w:val="none"/>
        </w:rPr>
        <w:t>。</w:t>
      </w:r>
    </w:p>
    <w:p w14:paraId="2E29AB59">
      <w:pPr>
        <w:pStyle w:val="10"/>
        <w:spacing w:line="560" w:lineRule="exact"/>
        <w:rPr>
          <w:rFonts w:eastAsia="仿宋_GB2312"/>
          <w:highlight w:val="none"/>
        </w:rPr>
      </w:pPr>
    </w:p>
    <w:p w14:paraId="0F9F3327">
      <w:pPr>
        <w:pStyle w:val="10"/>
        <w:spacing w:line="560" w:lineRule="exact"/>
        <w:rPr>
          <w:rFonts w:eastAsia="仿宋_GB2312"/>
          <w:sz w:val="28"/>
          <w:szCs w:val="28"/>
          <w:highlight w:val="none"/>
        </w:rPr>
      </w:pPr>
      <w:r>
        <w:rPr>
          <w:rFonts w:hint="eastAsia" w:eastAsia="仿宋_GB2312" w:cs="仿宋_GB2312"/>
          <w:sz w:val="28"/>
          <w:szCs w:val="28"/>
          <w:highlight w:val="none"/>
        </w:rPr>
        <w:t>甲乙双方确认在签订本廉洁协议书前已仔细阅读条款内容，甲乙双方对本廉洁协议书所产生的法律责任已清楚知悉并承诺遵守。</w:t>
      </w:r>
    </w:p>
    <w:p w14:paraId="697A0D06">
      <w:pPr>
        <w:spacing w:line="560" w:lineRule="exact"/>
        <w:rPr>
          <w:color w:val="000000"/>
          <w:sz w:val="28"/>
          <w:szCs w:val="28"/>
          <w:highlight w:val="none"/>
        </w:rPr>
      </w:pPr>
    </w:p>
    <w:p w14:paraId="0A527F51">
      <w:pPr>
        <w:spacing w:line="560" w:lineRule="exact"/>
        <w:rPr>
          <w:color w:val="000000"/>
          <w:sz w:val="28"/>
          <w:szCs w:val="28"/>
          <w:highlight w:val="none"/>
        </w:rPr>
      </w:pPr>
    </w:p>
    <w:p w14:paraId="2B3F3CE2">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甲方（盖章）：</w:t>
      </w:r>
      <w:r>
        <w:rPr>
          <w:rFonts w:hint="eastAsia" w:ascii="宋体" w:hAnsi="宋体" w:cs="宋体"/>
          <w:sz w:val="28"/>
          <w:szCs w:val="28"/>
          <w:highlight w:val="none"/>
          <w:lang w:val="en-US" w:eastAsia="zh-CN"/>
        </w:rPr>
        <w:t xml:space="preserve">广州天华科韵城市更新有限公司           </w:t>
      </w:r>
      <w:r>
        <w:rPr>
          <w:rFonts w:hint="eastAsia" w:ascii="宋体" w:hAnsi="宋体" w:cs="宋体"/>
          <w:sz w:val="28"/>
          <w:szCs w:val="28"/>
          <w:highlight w:val="none"/>
        </w:rPr>
        <w:t xml:space="preserve">                     </w:t>
      </w:r>
    </w:p>
    <w:p w14:paraId="340F6D03">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法定代表人</w:t>
      </w:r>
    </w:p>
    <w:p w14:paraId="4ED5EDCC">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或</w:t>
      </w:r>
    </w:p>
    <w:p w14:paraId="00107F8F">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委托代理人：</w:t>
      </w:r>
    </w:p>
    <w:p w14:paraId="13FA3943">
      <w:pPr>
        <w:spacing w:line="560" w:lineRule="exact"/>
        <w:rPr>
          <w:rFonts w:ascii="宋体" w:hAnsi="宋体" w:cs="宋体"/>
          <w:sz w:val="28"/>
          <w:szCs w:val="28"/>
          <w:highlight w:val="none"/>
        </w:rPr>
      </w:pPr>
      <w:r>
        <w:rPr>
          <w:rFonts w:hint="eastAsia" w:ascii="宋体" w:hAnsi="宋体" w:cs="宋体"/>
          <w:sz w:val="28"/>
          <w:szCs w:val="28"/>
          <w:highlight w:val="none"/>
        </w:rPr>
        <w:t xml:space="preserve">                   </w:t>
      </w:r>
    </w:p>
    <w:p w14:paraId="01738E8B">
      <w:pPr>
        <w:spacing w:line="560" w:lineRule="exact"/>
        <w:rPr>
          <w:rFonts w:ascii="宋体" w:hAnsi="宋体" w:cs="宋体"/>
          <w:sz w:val="28"/>
          <w:szCs w:val="28"/>
          <w:highlight w:val="none"/>
        </w:rPr>
      </w:pPr>
    </w:p>
    <w:p w14:paraId="49302B67">
      <w:pPr>
        <w:spacing w:line="560" w:lineRule="exact"/>
        <w:rPr>
          <w:rFonts w:ascii="宋体" w:hAnsi="宋体" w:cs="宋体"/>
          <w:sz w:val="28"/>
          <w:szCs w:val="28"/>
          <w:highlight w:val="none"/>
        </w:rPr>
      </w:pPr>
      <w:r>
        <w:rPr>
          <w:rFonts w:hint="eastAsia" w:ascii="宋体" w:hAnsi="宋体" w:cs="宋体"/>
          <w:sz w:val="28"/>
          <w:szCs w:val="28"/>
          <w:highlight w:val="none"/>
        </w:rPr>
        <w:t xml:space="preserve">乙方（盖章）： </w:t>
      </w:r>
    </w:p>
    <w:p w14:paraId="57FDEBF2">
      <w:pPr>
        <w:spacing w:line="560" w:lineRule="exact"/>
        <w:rPr>
          <w:rFonts w:ascii="宋体" w:hAnsi="宋体" w:cs="宋体"/>
          <w:sz w:val="28"/>
          <w:szCs w:val="28"/>
          <w:highlight w:val="none"/>
        </w:rPr>
      </w:pPr>
      <w:r>
        <w:rPr>
          <w:rFonts w:hint="eastAsia" w:ascii="宋体" w:hAnsi="宋体" w:cs="宋体"/>
          <w:sz w:val="28"/>
          <w:szCs w:val="28"/>
          <w:highlight w:val="none"/>
        </w:rPr>
        <w:t>法定代表人</w:t>
      </w:r>
    </w:p>
    <w:p w14:paraId="43519ACD">
      <w:pPr>
        <w:spacing w:line="560" w:lineRule="exact"/>
        <w:rPr>
          <w:rFonts w:ascii="宋体" w:hAnsi="宋体" w:cs="宋体"/>
          <w:sz w:val="28"/>
          <w:szCs w:val="28"/>
          <w:highlight w:val="none"/>
        </w:rPr>
      </w:pPr>
      <w:r>
        <w:rPr>
          <w:rFonts w:hint="eastAsia" w:ascii="宋体" w:hAnsi="宋体" w:cs="宋体"/>
          <w:sz w:val="28"/>
          <w:szCs w:val="28"/>
          <w:highlight w:val="none"/>
        </w:rPr>
        <w:t>或</w:t>
      </w:r>
    </w:p>
    <w:p w14:paraId="2CAC75ED">
      <w:pPr>
        <w:spacing w:line="560" w:lineRule="exact"/>
        <w:rPr>
          <w:rFonts w:ascii="宋体" w:hAnsi="宋体" w:cs="宋体"/>
          <w:sz w:val="28"/>
          <w:szCs w:val="28"/>
          <w:highlight w:val="none"/>
        </w:rPr>
      </w:pPr>
      <w:r>
        <w:rPr>
          <w:rFonts w:hint="eastAsia" w:ascii="宋体" w:hAnsi="宋体" w:cs="宋体"/>
          <w:sz w:val="28"/>
          <w:szCs w:val="28"/>
          <w:highlight w:val="none"/>
        </w:rPr>
        <w:t>委托代理人：</w:t>
      </w:r>
    </w:p>
    <w:p w14:paraId="1E7F19C0">
      <w:pPr>
        <w:rPr>
          <w:rFonts w:hAnsi="宋体"/>
          <w:sz w:val="28"/>
          <w:szCs w:val="28"/>
          <w:highlight w:val="none"/>
        </w:rPr>
      </w:pPr>
    </w:p>
    <w:p w14:paraId="6BC3077C">
      <w:pPr>
        <w:tabs>
          <w:tab w:val="left" w:pos="4395"/>
          <w:tab w:val="left" w:pos="4678"/>
        </w:tabs>
        <w:adjustRightInd w:val="0"/>
        <w:snapToGrid w:val="0"/>
        <w:spacing w:line="360" w:lineRule="auto"/>
        <w:ind w:right="0" w:rightChars="0"/>
        <w:jc w:val="left"/>
        <w:rPr>
          <w:rFonts w:ascii="宋体" w:hAnsi="宋体"/>
          <w:color w:val="000000"/>
          <w:sz w:val="24"/>
          <w:szCs w:val="24"/>
          <w:highlight w:val="none"/>
        </w:rPr>
      </w:pPr>
      <w:bookmarkStart w:id="2" w:name="OLE_LINK9"/>
      <w:bookmarkStart w:id="3" w:name="OLE_LINK8"/>
      <w:r>
        <w:rPr>
          <w:rFonts w:ascii="Times New Roman" w:hAnsi="Times New Roman"/>
          <w:szCs w:val="21"/>
          <w:highlight w:val="none"/>
        </w:rPr>
        <w:br w:type="page"/>
      </w:r>
      <w:bookmarkEnd w:id="2"/>
      <w:bookmarkEnd w:id="3"/>
      <w:r>
        <w:rPr>
          <w:rFonts w:hint="eastAsia" w:ascii="宋体" w:hAnsi="宋体"/>
          <w:bCs/>
          <w:sz w:val="28"/>
          <w:szCs w:val="28"/>
          <w:highlight w:val="none"/>
        </w:rPr>
        <w:t>附件3</w:t>
      </w:r>
    </w:p>
    <w:p w14:paraId="741C05F4">
      <w:pPr>
        <w:spacing w:line="360" w:lineRule="auto"/>
        <w:jc w:val="center"/>
        <w:rPr>
          <w:rFonts w:ascii="宋体" w:hAnsi="宋体" w:cs="长城行楷体"/>
          <w:sz w:val="44"/>
          <w:szCs w:val="44"/>
          <w:highlight w:val="none"/>
        </w:rPr>
      </w:pPr>
      <w:r>
        <w:rPr>
          <w:rFonts w:hint="eastAsia" w:ascii="宋体" w:hAnsi="宋体" w:cs="长城行楷体"/>
          <w:sz w:val="44"/>
          <w:szCs w:val="44"/>
          <w:highlight w:val="none"/>
        </w:rPr>
        <w:t>保密协议</w:t>
      </w:r>
    </w:p>
    <w:p w14:paraId="6DB9EE28">
      <w:pPr>
        <w:autoSpaceDE w:val="0"/>
        <w:autoSpaceDN w:val="0"/>
        <w:spacing w:line="360" w:lineRule="auto"/>
        <w:ind w:firstLine="540" w:firstLineChars="225"/>
        <w:rPr>
          <w:rFonts w:ascii="宋体" w:hAnsi="宋体" w:cs="长城行楷体"/>
          <w:sz w:val="24"/>
          <w:szCs w:val="24"/>
          <w:highlight w:val="none"/>
        </w:rPr>
      </w:pPr>
      <w:r>
        <w:rPr>
          <w:rFonts w:hint="eastAsia" w:ascii="宋体" w:hAnsi="宋体" w:cs="长城行楷体"/>
          <w:sz w:val="24"/>
          <w:szCs w:val="24"/>
          <w:highlight w:val="none"/>
        </w:rPr>
        <w:t>乙方作为甲方服务单位，乙方同意遵守甲方下列保密条款：</w:t>
      </w:r>
    </w:p>
    <w:p w14:paraId="3D0EF5BD">
      <w:pPr>
        <w:autoSpaceDE w:val="0"/>
        <w:autoSpaceDN w:val="0"/>
        <w:spacing w:line="360" w:lineRule="auto"/>
        <w:ind w:firstLine="540"/>
        <w:outlineLvl w:val="0"/>
        <w:rPr>
          <w:rFonts w:ascii="宋体" w:hAnsi="宋体" w:cs="长城行楷体"/>
          <w:sz w:val="24"/>
          <w:szCs w:val="24"/>
          <w:highlight w:val="none"/>
        </w:rPr>
      </w:pPr>
      <w:r>
        <w:rPr>
          <w:rFonts w:hint="eastAsia" w:ascii="宋体" w:hAnsi="宋体" w:cs="长城行楷体"/>
          <w:sz w:val="24"/>
          <w:szCs w:val="24"/>
          <w:highlight w:val="none"/>
        </w:rPr>
        <w:t>一、保密信息的范围</w:t>
      </w:r>
    </w:p>
    <w:p w14:paraId="59CEDF85">
      <w:pPr>
        <w:autoSpaceDE w:val="0"/>
        <w:autoSpaceDN w:val="0"/>
        <w:spacing w:line="360" w:lineRule="auto"/>
        <w:ind w:firstLine="540"/>
        <w:rPr>
          <w:rFonts w:ascii="宋体" w:hAnsi="宋体"/>
          <w:sz w:val="24"/>
          <w:szCs w:val="24"/>
          <w:highlight w:val="none"/>
          <w:lang w:val="zh-CN"/>
        </w:rPr>
      </w:pPr>
      <w:r>
        <w:rPr>
          <w:rFonts w:hint="eastAsia" w:ascii="宋体" w:hAnsi="宋体" w:cs="长城行楷体"/>
          <w:sz w:val="24"/>
          <w:szCs w:val="24"/>
          <w:highlight w:val="none"/>
        </w:rPr>
        <w:t>“保密信息”在本保密协议中是指乙方在为甲方提供服务工作的过程中所获取的重要工作信息。</w:t>
      </w:r>
      <w:r>
        <w:rPr>
          <w:rFonts w:hint="eastAsia" w:ascii="宋体" w:hAnsi="宋体"/>
          <w:sz w:val="24"/>
          <w:szCs w:val="24"/>
          <w:highlight w:val="none"/>
          <w:lang w:val="zh-CN"/>
        </w:rPr>
        <w:t>该保密信息包括但不限于投资计划、项目规模、项目计划、项目相关数据和图纸、招标文件资料及信息、合同、价格、成本、研究报告、会议资料和文件。</w:t>
      </w:r>
    </w:p>
    <w:p w14:paraId="5D84DE64">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不论以何种形式或载于何种载体，无论在披露时是否以口头、图像或以书面方式表明其具有保密性，都视为甲方的保密信息。</w:t>
      </w:r>
    </w:p>
    <w:p w14:paraId="1B3AA072">
      <w:pPr>
        <w:autoSpaceDE w:val="0"/>
        <w:autoSpaceDN w:val="0"/>
        <w:spacing w:line="360" w:lineRule="auto"/>
        <w:ind w:firstLine="540"/>
        <w:outlineLvl w:val="0"/>
        <w:rPr>
          <w:rFonts w:ascii="宋体" w:hAnsi="宋体" w:cs="长城行楷体"/>
          <w:sz w:val="24"/>
          <w:szCs w:val="24"/>
          <w:highlight w:val="none"/>
        </w:rPr>
      </w:pPr>
      <w:r>
        <w:rPr>
          <w:rFonts w:hint="eastAsia" w:ascii="宋体" w:hAnsi="宋体" w:cs="长城行楷体"/>
          <w:sz w:val="24"/>
          <w:szCs w:val="24"/>
          <w:highlight w:val="none"/>
        </w:rPr>
        <w:t>二、乙方的保密义务</w:t>
      </w:r>
    </w:p>
    <w:p w14:paraId="1C6E920B">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乙方对已知悉的甲方保密信息，在此同意：</w:t>
      </w:r>
    </w:p>
    <w:p w14:paraId="6CCC20B2">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（一）未经甲方事前书面批准，不论服务期间或以后，乙方及其工作人员不得以任何方式泄漏甲方的保密信息。</w:t>
      </w:r>
    </w:p>
    <w:p w14:paraId="6CAA5971">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（二）一旦服务工作终止，乙方及其工作人员将退还保存的属于甲方的所有保密信息及资料，如方案、制度、报告、合同等。</w:t>
      </w:r>
    </w:p>
    <w:p w14:paraId="523AFFD4">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三、保密期限</w:t>
      </w:r>
    </w:p>
    <w:p w14:paraId="570BFA1C">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保密期限包括但不限于：从获知甲方保密信息时起，至保密信息已由甲方通过合法途径让普通公众知悉时止。</w:t>
      </w:r>
    </w:p>
    <w:p w14:paraId="180DB701">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四、违约责任</w:t>
      </w:r>
    </w:p>
    <w:p w14:paraId="345FA51D">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乙方违反本保密协议约定，甲方有权追究乙方的</w:t>
      </w:r>
      <w:r>
        <w:rPr>
          <w:rFonts w:hint="eastAsia" w:ascii="宋体" w:hAnsi="宋体" w:cs="长城行楷体"/>
          <w:sz w:val="24"/>
          <w:szCs w:val="24"/>
          <w:highlight w:val="none"/>
          <w:lang w:val="en-US" w:eastAsia="zh-CN"/>
        </w:rPr>
        <w:t>违约</w:t>
      </w:r>
      <w:r>
        <w:rPr>
          <w:rFonts w:hint="eastAsia" w:ascii="宋体" w:hAnsi="宋体" w:cs="长城行楷体"/>
          <w:sz w:val="24"/>
          <w:szCs w:val="24"/>
          <w:highlight w:val="none"/>
        </w:rPr>
        <w:t>责任并</w:t>
      </w:r>
      <w:r>
        <w:rPr>
          <w:rFonts w:hint="eastAsia" w:ascii="宋体" w:hAnsi="宋体" w:cs="长城行楷体"/>
          <w:sz w:val="24"/>
          <w:szCs w:val="24"/>
          <w:highlight w:val="none"/>
          <w:lang w:val="en-US" w:eastAsia="zh-CN"/>
        </w:rPr>
        <w:t>单方解除</w:t>
      </w:r>
      <w:r>
        <w:rPr>
          <w:rFonts w:hint="eastAsia" w:ascii="宋体" w:hAnsi="宋体"/>
          <w:sz w:val="24"/>
          <w:szCs w:val="24"/>
          <w:highlight w:val="none"/>
          <w:lang w:val="zh-CN"/>
        </w:rPr>
        <w:t>建设工程造价咨询</w:t>
      </w:r>
      <w:r>
        <w:rPr>
          <w:rFonts w:hint="eastAsia" w:ascii="宋体" w:hAnsi="宋体" w:cs="长城行楷体"/>
          <w:sz w:val="24"/>
          <w:szCs w:val="24"/>
          <w:highlight w:val="none"/>
        </w:rPr>
        <w:t>合同。造成</w:t>
      </w:r>
      <w:r>
        <w:rPr>
          <w:rFonts w:hint="eastAsia" w:ascii="宋体" w:hAnsi="宋体" w:cs="长城行楷体"/>
          <w:sz w:val="24"/>
          <w:szCs w:val="24"/>
          <w:highlight w:val="none"/>
          <w:lang w:val="en-US" w:eastAsia="zh-CN"/>
        </w:rPr>
        <w:t>甲方</w:t>
      </w:r>
      <w:r>
        <w:rPr>
          <w:rFonts w:hint="eastAsia" w:ascii="宋体" w:hAnsi="宋体" w:cs="长城行楷体"/>
          <w:sz w:val="24"/>
          <w:szCs w:val="24"/>
          <w:highlight w:val="none"/>
        </w:rPr>
        <w:t>损失的，甲方有权要求乙方进行赔偿并追究乙方其他的法律责任。</w:t>
      </w:r>
    </w:p>
    <w:p w14:paraId="4F30F202">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五、其他约定</w:t>
      </w:r>
    </w:p>
    <w:p w14:paraId="7FDAB286">
      <w:pPr>
        <w:autoSpaceDE w:val="0"/>
        <w:autoSpaceDN w:val="0"/>
        <w:spacing w:line="360" w:lineRule="auto"/>
        <w:ind w:firstLine="540"/>
        <w:rPr>
          <w:rFonts w:hint="eastAsia" w:ascii="宋体" w:hAnsi="宋体"/>
          <w:sz w:val="24"/>
          <w:szCs w:val="24"/>
          <w:highlight w:val="none"/>
          <w:lang w:val="zh-CN" w:eastAsia="zh-CN"/>
        </w:rPr>
      </w:pPr>
      <w:r>
        <w:rPr>
          <w:rFonts w:hint="eastAsia" w:ascii="宋体" w:hAnsi="宋体"/>
          <w:sz w:val="24"/>
          <w:szCs w:val="24"/>
          <w:highlight w:val="none"/>
          <w:lang w:val="zh-CN" w:eastAsia="zh-CN"/>
        </w:rPr>
        <w:t>本</w:t>
      </w:r>
      <w:r>
        <w:rPr>
          <w:rFonts w:hint="eastAsia" w:ascii="宋体" w:hAnsi="宋体"/>
          <w:sz w:val="24"/>
          <w:szCs w:val="24"/>
          <w:highlight w:val="none"/>
          <w:lang w:val="en-US" w:eastAsia="zh-CN"/>
        </w:rPr>
        <w:t>保密协议</w:t>
      </w:r>
      <w:r>
        <w:rPr>
          <w:rFonts w:hint="eastAsia" w:ascii="宋体" w:hAnsi="宋体"/>
          <w:sz w:val="24"/>
          <w:szCs w:val="24"/>
          <w:highlight w:val="none"/>
          <w:lang w:val="zh-CN" w:eastAsia="zh-CN"/>
        </w:rPr>
        <w:t>作为</w:t>
      </w:r>
      <w:r>
        <w:rPr>
          <w:rFonts w:hint="eastAsia" w:ascii="宋体" w:hAnsi="宋体"/>
          <w:sz w:val="24"/>
          <w:szCs w:val="24"/>
          <w:highlight w:val="none"/>
          <w:lang w:val="zh-CN"/>
        </w:rPr>
        <w:t>建设工程造价咨询合同</w:t>
      </w:r>
      <w:r>
        <w:rPr>
          <w:rFonts w:hint="eastAsia" w:ascii="宋体" w:hAnsi="宋体"/>
          <w:sz w:val="24"/>
          <w:szCs w:val="24"/>
          <w:highlight w:val="none"/>
          <w:lang w:val="zh-CN" w:eastAsia="zh-CN"/>
        </w:rPr>
        <w:t>的附件，与该合同具有同等的法律效力，经合同双方</w:t>
      </w:r>
      <w:r>
        <w:rPr>
          <w:rFonts w:hint="eastAsia" w:ascii="宋体" w:hAnsi="宋体"/>
          <w:sz w:val="24"/>
          <w:szCs w:val="24"/>
          <w:highlight w:val="none"/>
          <w:lang w:val="en-US" w:eastAsia="zh-CN"/>
        </w:rPr>
        <w:t>法定代表人或委托代理人签名并加盖公章之日起</w:t>
      </w:r>
      <w:r>
        <w:rPr>
          <w:rFonts w:hint="eastAsia" w:ascii="宋体" w:hAnsi="宋体"/>
          <w:sz w:val="24"/>
          <w:szCs w:val="24"/>
          <w:highlight w:val="none"/>
          <w:lang w:val="zh-CN" w:eastAsia="zh-CN"/>
        </w:rPr>
        <w:t>生效。</w:t>
      </w:r>
    </w:p>
    <w:p w14:paraId="734C8895">
      <w:pPr>
        <w:autoSpaceDE w:val="0"/>
        <w:autoSpaceDN w:val="0"/>
        <w:spacing w:line="360" w:lineRule="auto"/>
        <w:ind w:firstLine="540"/>
        <w:rPr>
          <w:rFonts w:ascii="宋体" w:hAnsi="宋体"/>
          <w:sz w:val="24"/>
          <w:szCs w:val="24"/>
          <w:highlight w:val="none"/>
        </w:rPr>
      </w:pPr>
      <w:r>
        <w:rPr>
          <w:rFonts w:hint="eastAsia" w:ascii="宋体" w:hAnsi="宋体" w:cs="长城行楷体"/>
          <w:sz w:val="24"/>
          <w:szCs w:val="24"/>
          <w:highlight w:val="none"/>
        </w:rPr>
        <w:t>本保密协议一式拾</w:t>
      </w:r>
      <w:r>
        <w:rPr>
          <w:rFonts w:ascii="宋体" w:hAnsi="宋体" w:cs="长城行楷体"/>
          <w:sz w:val="24"/>
          <w:szCs w:val="24"/>
          <w:highlight w:val="none"/>
        </w:rPr>
        <w:t>份，</w:t>
      </w:r>
      <w:r>
        <w:rPr>
          <w:rFonts w:hint="eastAsia" w:ascii="宋体" w:hAnsi="宋体" w:cs="长城行楷体"/>
          <w:sz w:val="24"/>
          <w:szCs w:val="24"/>
          <w:highlight w:val="none"/>
        </w:rPr>
        <w:t>甲方执</w:t>
      </w:r>
      <w:r>
        <w:rPr>
          <w:rFonts w:hint="eastAsia" w:ascii="宋体" w:hAnsi="宋体" w:cs="长城行楷体"/>
          <w:sz w:val="24"/>
          <w:szCs w:val="24"/>
          <w:highlight w:val="none"/>
          <w:lang w:val="en-US" w:eastAsia="zh-CN"/>
        </w:rPr>
        <w:t>伍</w:t>
      </w:r>
      <w:r>
        <w:rPr>
          <w:rFonts w:hint="eastAsia" w:ascii="宋体" w:hAnsi="宋体" w:cs="长城行楷体"/>
          <w:sz w:val="24"/>
          <w:szCs w:val="24"/>
          <w:highlight w:val="none"/>
        </w:rPr>
        <w:t>份，乙方</w:t>
      </w:r>
      <w:r>
        <w:rPr>
          <w:rFonts w:ascii="宋体" w:hAnsi="宋体" w:cs="长城行楷体"/>
          <w:sz w:val="24"/>
          <w:szCs w:val="24"/>
          <w:highlight w:val="none"/>
        </w:rPr>
        <w:t>执</w:t>
      </w:r>
      <w:r>
        <w:rPr>
          <w:rFonts w:hint="eastAsia" w:ascii="宋体" w:hAnsi="宋体" w:cs="长城行楷体"/>
          <w:sz w:val="24"/>
          <w:szCs w:val="24"/>
          <w:highlight w:val="none"/>
          <w:lang w:val="en-US" w:eastAsia="zh-CN"/>
        </w:rPr>
        <w:t>伍</w:t>
      </w:r>
      <w:r>
        <w:rPr>
          <w:rFonts w:hint="eastAsia" w:ascii="宋体" w:hAnsi="宋体" w:cs="长城行楷体"/>
          <w:sz w:val="24"/>
          <w:szCs w:val="24"/>
          <w:highlight w:val="none"/>
        </w:rPr>
        <w:t>份</w:t>
      </w:r>
      <w:r>
        <w:rPr>
          <w:rFonts w:ascii="宋体" w:hAnsi="宋体" w:cs="长城行楷体"/>
          <w:sz w:val="24"/>
          <w:szCs w:val="24"/>
          <w:highlight w:val="none"/>
        </w:rPr>
        <w:t>。</w:t>
      </w:r>
      <w:r>
        <w:rPr>
          <w:rFonts w:hint="eastAsia" w:ascii="宋体" w:hAnsi="宋体" w:cs="长城行楷体"/>
          <w:sz w:val="24"/>
          <w:szCs w:val="24"/>
          <w:highlight w:val="none"/>
        </w:rPr>
        <w:t>均具有同等法律效力。</w:t>
      </w:r>
    </w:p>
    <w:p w14:paraId="00A0E858">
      <w:pPr>
        <w:spacing w:line="560" w:lineRule="exact"/>
        <w:rPr>
          <w:color w:val="000000"/>
          <w:sz w:val="28"/>
          <w:szCs w:val="28"/>
          <w:highlight w:val="none"/>
        </w:rPr>
      </w:pPr>
    </w:p>
    <w:p w14:paraId="04272BAD">
      <w:pPr>
        <w:pStyle w:val="54"/>
        <w:adjustRightInd w:val="0"/>
        <w:snapToGrid w:val="0"/>
        <w:spacing w:after="0" w:line="440" w:lineRule="exact"/>
        <w:jc w:val="left"/>
        <w:rPr>
          <w:rFonts w:hint="eastAsia" w:ascii="宋体" w:hAnsi="宋体" w:cs="宋体"/>
          <w:sz w:val="28"/>
          <w:szCs w:val="28"/>
          <w:highlight w:val="none"/>
        </w:rPr>
      </w:pPr>
    </w:p>
    <w:p w14:paraId="406E6B0F">
      <w:pPr>
        <w:pStyle w:val="54"/>
        <w:adjustRightInd w:val="0"/>
        <w:snapToGrid w:val="0"/>
        <w:spacing w:after="0" w:line="440" w:lineRule="exact"/>
        <w:jc w:val="left"/>
        <w:rPr>
          <w:rFonts w:hint="eastAsia" w:ascii="宋体" w:hAnsi="宋体" w:cs="宋体"/>
          <w:sz w:val="28"/>
          <w:szCs w:val="28"/>
          <w:highlight w:val="none"/>
        </w:rPr>
      </w:pPr>
    </w:p>
    <w:p w14:paraId="5E514340">
      <w:pPr>
        <w:pStyle w:val="54"/>
        <w:adjustRightInd w:val="0"/>
        <w:snapToGrid w:val="0"/>
        <w:spacing w:after="0" w:line="440" w:lineRule="exact"/>
        <w:jc w:val="left"/>
        <w:rPr>
          <w:rFonts w:hint="eastAsia" w:ascii="宋体" w:hAnsi="宋体" w:cs="宋体"/>
          <w:sz w:val="28"/>
          <w:szCs w:val="28"/>
          <w:highlight w:val="none"/>
        </w:rPr>
      </w:pPr>
    </w:p>
    <w:p w14:paraId="37FE2AB2">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甲方（盖章）：</w:t>
      </w:r>
      <w:r>
        <w:rPr>
          <w:rFonts w:hint="eastAsia" w:ascii="宋体" w:hAnsi="宋体" w:cs="宋体"/>
          <w:sz w:val="28"/>
          <w:szCs w:val="28"/>
          <w:highlight w:val="none"/>
          <w:lang w:val="en-US" w:eastAsia="zh-CN"/>
        </w:rPr>
        <w:t>广州天华科韵城市更新有限公司</w:t>
      </w:r>
      <w:r>
        <w:rPr>
          <w:rFonts w:hint="eastAsia" w:ascii="宋体" w:hAnsi="宋体" w:cs="宋体"/>
          <w:sz w:val="28"/>
          <w:szCs w:val="28"/>
          <w:highlight w:val="none"/>
        </w:rPr>
        <w:t xml:space="preserve">                      </w:t>
      </w:r>
    </w:p>
    <w:p w14:paraId="2CB8C762">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法定代表人</w:t>
      </w:r>
    </w:p>
    <w:p w14:paraId="47C5BBF0">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或</w:t>
      </w:r>
    </w:p>
    <w:p w14:paraId="07C7CF04">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委托代理人：</w:t>
      </w:r>
    </w:p>
    <w:p w14:paraId="175D845A">
      <w:pPr>
        <w:spacing w:line="560" w:lineRule="exact"/>
        <w:rPr>
          <w:rFonts w:ascii="宋体" w:hAnsi="宋体" w:cs="宋体"/>
          <w:sz w:val="28"/>
          <w:szCs w:val="28"/>
          <w:highlight w:val="none"/>
        </w:rPr>
      </w:pPr>
      <w:r>
        <w:rPr>
          <w:rFonts w:hint="eastAsia" w:ascii="宋体" w:hAnsi="宋体" w:cs="宋体"/>
          <w:sz w:val="28"/>
          <w:szCs w:val="28"/>
          <w:highlight w:val="none"/>
        </w:rPr>
        <w:t xml:space="preserve">                   </w:t>
      </w:r>
    </w:p>
    <w:p w14:paraId="79AB3780">
      <w:pPr>
        <w:spacing w:line="560" w:lineRule="exact"/>
        <w:rPr>
          <w:rFonts w:ascii="宋体" w:hAnsi="宋体" w:cs="宋体"/>
          <w:sz w:val="28"/>
          <w:szCs w:val="28"/>
          <w:highlight w:val="none"/>
        </w:rPr>
      </w:pPr>
    </w:p>
    <w:p w14:paraId="387D1C4A">
      <w:pPr>
        <w:spacing w:line="560" w:lineRule="exact"/>
        <w:rPr>
          <w:rFonts w:ascii="宋体" w:hAnsi="宋体" w:cs="宋体"/>
          <w:sz w:val="28"/>
          <w:szCs w:val="28"/>
          <w:highlight w:val="none"/>
        </w:rPr>
      </w:pPr>
      <w:r>
        <w:rPr>
          <w:rFonts w:hint="eastAsia" w:ascii="宋体" w:hAnsi="宋体" w:cs="宋体"/>
          <w:sz w:val="28"/>
          <w:szCs w:val="28"/>
          <w:highlight w:val="none"/>
        </w:rPr>
        <w:t xml:space="preserve">乙方（盖章）： </w:t>
      </w:r>
    </w:p>
    <w:p w14:paraId="32B32737">
      <w:pPr>
        <w:spacing w:line="560" w:lineRule="exact"/>
        <w:rPr>
          <w:rFonts w:ascii="宋体" w:hAnsi="宋体" w:cs="宋体"/>
          <w:sz w:val="28"/>
          <w:szCs w:val="28"/>
          <w:highlight w:val="none"/>
        </w:rPr>
      </w:pPr>
      <w:r>
        <w:rPr>
          <w:rFonts w:hint="eastAsia" w:ascii="宋体" w:hAnsi="宋体" w:cs="宋体"/>
          <w:sz w:val="28"/>
          <w:szCs w:val="28"/>
          <w:highlight w:val="none"/>
        </w:rPr>
        <w:t>法定代表人</w:t>
      </w:r>
    </w:p>
    <w:p w14:paraId="1DF424C7">
      <w:pPr>
        <w:spacing w:line="560" w:lineRule="exact"/>
        <w:rPr>
          <w:rFonts w:ascii="宋体" w:hAnsi="宋体" w:cs="宋体"/>
          <w:sz w:val="28"/>
          <w:szCs w:val="28"/>
          <w:highlight w:val="none"/>
        </w:rPr>
      </w:pPr>
      <w:r>
        <w:rPr>
          <w:rFonts w:hint="eastAsia" w:ascii="宋体" w:hAnsi="宋体" w:cs="宋体"/>
          <w:sz w:val="28"/>
          <w:szCs w:val="28"/>
          <w:highlight w:val="none"/>
        </w:rPr>
        <w:t>或</w:t>
      </w:r>
    </w:p>
    <w:p w14:paraId="3A3397D2">
      <w:pPr>
        <w:spacing w:line="560" w:lineRule="exact"/>
        <w:rPr>
          <w:rFonts w:ascii="宋体" w:hAnsi="宋体" w:cs="宋体"/>
          <w:sz w:val="28"/>
          <w:szCs w:val="28"/>
          <w:highlight w:val="none"/>
        </w:rPr>
      </w:pPr>
      <w:r>
        <w:rPr>
          <w:rFonts w:hint="eastAsia" w:ascii="宋体" w:hAnsi="宋体" w:cs="宋体"/>
          <w:sz w:val="28"/>
          <w:szCs w:val="28"/>
          <w:highlight w:val="none"/>
        </w:rPr>
        <w:t>委托代理人：</w:t>
      </w:r>
    </w:p>
    <w:p w14:paraId="5860B847">
      <w:pPr>
        <w:spacing w:line="540" w:lineRule="exact"/>
        <w:rPr>
          <w:rFonts w:ascii="宋体" w:hAnsi="宋体"/>
          <w:sz w:val="24"/>
          <w:szCs w:val="24"/>
          <w:highlight w:val="none"/>
        </w:rPr>
      </w:pPr>
    </w:p>
    <w:p w14:paraId="2EFAFF35">
      <w:pPr>
        <w:spacing w:line="540" w:lineRule="exact"/>
        <w:rPr>
          <w:rFonts w:ascii="宋体" w:hAnsi="宋体"/>
          <w:sz w:val="24"/>
          <w:szCs w:val="24"/>
          <w:highlight w:val="none"/>
        </w:rPr>
      </w:pPr>
    </w:p>
    <w:p w14:paraId="4D932922">
      <w:pPr>
        <w:spacing w:line="540" w:lineRule="exact"/>
        <w:rPr>
          <w:rFonts w:ascii="宋体" w:hAnsi="宋体"/>
          <w:sz w:val="24"/>
          <w:szCs w:val="24"/>
          <w:highlight w:val="none"/>
        </w:rPr>
      </w:pPr>
    </w:p>
    <w:p w14:paraId="2FBD1C6C">
      <w:pPr>
        <w:spacing w:line="540" w:lineRule="exact"/>
        <w:rPr>
          <w:rFonts w:ascii="宋体" w:hAnsi="宋体"/>
          <w:sz w:val="24"/>
          <w:szCs w:val="24"/>
          <w:highlight w:val="none"/>
        </w:rPr>
      </w:pPr>
    </w:p>
    <w:p w14:paraId="5E2780E9">
      <w:pPr>
        <w:spacing w:line="540" w:lineRule="exact"/>
        <w:rPr>
          <w:rFonts w:ascii="宋体" w:hAnsi="宋体"/>
          <w:sz w:val="24"/>
          <w:szCs w:val="24"/>
          <w:highlight w:val="none"/>
        </w:rPr>
      </w:pPr>
    </w:p>
    <w:p w14:paraId="668CA8EC">
      <w:pPr>
        <w:spacing w:line="540" w:lineRule="exact"/>
        <w:rPr>
          <w:rFonts w:ascii="宋体" w:hAnsi="宋体"/>
          <w:sz w:val="24"/>
          <w:szCs w:val="24"/>
          <w:highlight w:val="none"/>
        </w:rPr>
      </w:pPr>
    </w:p>
    <w:p w14:paraId="5AC335E0">
      <w:pPr>
        <w:spacing w:line="540" w:lineRule="exact"/>
        <w:rPr>
          <w:rFonts w:ascii="宋体" w:hAnsi="宋体"/>
          <w:sz w:val="24"/>
          <w:szCs w:val="24"/>
          <w:highlight w:val="none"/>
        </w:rPr>
      </w:pPr>
    </w:p>
    <w:p w14:paraId="26E23CAB">
      <w:pPr>
        <w:spacing w:line="540" w:lineRule="exact"/>
        <w:rPr>
          <w:rFonts w:ascii="宋体" w:hAnsi="宋体"/>
          <w:sz w:val="24"/>
          <w:szCs w:val="24"/>
          <w:highlight w:val="none"/>
        </w:rPr>
      </w:pPr>
    </w:p>
    <w:p w14:paraId="2CD0E376">
      <w:pPr>
        <w:spacing w:line="540" w:lineRule="exact"/>
        <w:rPr>
          <w:rFonts w:ascii="宋体" w:hAnsi="宋体"/>
          <w:sz w:val="24"/>
          <w:szCs w:val="24"/>
          <w:highlight w:val="none"/>
        </w:rPr>
      </w:pPr>
    </w:p>
    <w:p w14:paraId="6D06C0AA">
      <w:pPr>
        <w:spacing w:line="540" w:lineRule="exact"/>
        <w:rPr>
          <w:rFonts w:ascii="宋体" w:hAnsi="宋体"/>
          <w:sz w:val="24"/>
          <w:szCs w:val="24"/>
          <w:highlight w:val="none"/>
        </w:rPr>
      </w:pPr>
    </w:p>
    <w:p w14:paraId="7895D186">
      <w:pPr>
        <w:spacing w:line="540" w:lineRule="exact"/>
        <w:rPr>
          <w:rFonts w:ascii="宋体" w:hAnsi="宋体"/>
          <w:sz w:val="24"/>
          <w:szCs w:val="24"/>
          <w:highlight w:val="none"/>
        </w:rPr>
      </w:pPr>
    </w:p>
    <w:p w14:paraId="3CA630A7">
      <w:pPr>
        <w:rPr>
          <w:rFonts w:hAnsi="宋体"/>
          <w:sz w:val="28"/>
          <w:highlight w:val="none"/>
        </w:rPr>
      </w:pPr>
      <w:r>
        <w:rPr>
          <w:rFonts w:ascii="Times New Roman" w:hAnsi="Times New Roman"/>
          <w:szCs w:val="21"/>
          <w:highlight w:val="none"/>
        </w:rPr>
        <w:br w:type="page"/>
      </w:r>
      <w:bookmarkStart w:id="4" w:name="OLE_LINK10"/>
      <w:bookmarkStart w:id="5" w:name="OLE_LINK11"/>
      <w:r>
        <w:rPr>
          <w:rFonts w:hint="eastAsia" w:hAnsi="宋体"/>
          <w:sz w:val="28"/>
          <w:highlight w:val="none"/>
        </w:rPr>
        <w:t>附件</w:t>
      </w:r>
      <w:r>
        <w:rPr>
          <w:rFonts w:hAnsi="宋体"/>
          <w:sz w:val="28"/>
          <w:highlight w:val="none"/>
        </w:rPr>
        <w:t>4</w:t>
      </w:r>
      <w:r>
        <w:rPr>
          <w:rFonts w:hint="eastAsia" w:hAnsi="宋体"/>
          <w:sz w:val="28"/>
          <w:highlight w:val="none"/>
        </w:rPr>
        <w:t>：投标报价表</w:t>
      </w:r>
      <w:bookmarkEnd w:id="4"/>
      <w:bookmarkEnd w:id="5"/>
    </w:p>
    <w:p w14:paraId="6232BC55">
      <w:pPr>
        <w:spacing w:line="540" w:lineRule="exact"/>
        <w:rPr>
          <w:rFonts w:ascii="宋体" w:hAnsi="宋体"/>
          <w:sz w:val="24"/>
          <w:szCs w:val="24"/>
          <w:highlight w:val="none"/>
        </w:rPr>
      </w:pPr>
    </w:p>
    <w:p w14:paraId="40FFFF7B">
      <w:pPr>
        <w:spacing w:line="540" w:lineRule="exact"/>
        <w:rPr>
          <w:rFonts w:ascii="宋体" w:hAnsi="宋体"/>
          <w:sz w:val="24"/>
          <w:szCs w:val="24"/>
          <w:highlight w:val="none"/>
        </w:rPr>
      </w:pPr>
    </w:p>
    <w:p w14:paraId="372BFACD">
      <w:pPr>
        <w:spacing w:line="540" w:lineRule="exact"/>
        <w:rPr>
          <w:rFonts w:ascii="宋体" w:hAnsi="宋体"/>
          <w:sz w:val="24"/>
          <w:szCs w:val="24"/>
          <w:highlight w:val="none"/>
        </w:rPr>
      </w:pPr>
    </w:p>
    <w:p w14:paraId="3888E6E9">
      <w:pPr>
        <w:spacing w:line="540" w:lineRule="exact"/>
        <w:rPr>
          <w:rFonts w:ascii="宋体" w:hAnsi="宋体"/>
          <w:sz w:val="24"/>
          <w:szCs w:val="24"/>
          <w:highlight w:val="none"/>
        </w:rPr>
      </w:pPr>
    </w:p>
    <w:p w14:paraId="68E23D49">
      <w:pPr>
        <w:spacing w:line="540" w:lineRule="exact"/>
        <w:rPr>
          <w:rFonts w:ascii="宋体" w:hAnsi="宋体"/>
          <w:sz w:val="24"/>
          <w:szCs w:val="24"/>
          <w:highlight w:val="none"/>
        </w:rPr>
      </w:pPr>
    </w:p>
    <w:p w14:paraId="0233F6C4">
      <w:pPr>
        <w:spacing w:line="540" w:lineRule="exact"/>
        <w:rPr>
          <w:rFonts w:ascii="宋体" w:hAnsi="宋体"/>
          <w:sz w:val="24"/>
          <w:szCs w:val="24"/>
          <w:highlight w:val="none"/>
        </w:rPr>
      </w:pPr>
    </w:p>
    <w:p w14:paraId="61E04A95">
      <w:pPr>
        <w:spacing w:line="540" w:lineRule="exact"/>
        <w:rPr>
          <w:rFonts w:ascii="宋体" w:hAnsi="宋体"/>
          <w:sz w:val="24"/>
          <w:szCs w:val="24"/>
          <w:highlight w:val="none"/>
        </w:rPr>
      </w:pPr>
    </w:p>
    <w:p w14:paraId="30EA7AEB">
      <w:pPr>
        <w:spacing w:line="540" w:lineRule="exact"/>
        <w:rPr>
          <w:rFonts w:ascii="宋体" w:hAnsi="宋体"/>
          <w:sz w:val="24"/>
          <w:szCs w:val="24"/>
          <w:highlight w:val="none"/>
        </w:rPr>
      </w:pPr>
    </w:p>
    <w:p w14:paraId="1D1589E9">
      <w:pPr>
        <w:spacing w:line="540" w:lineRule="exact"/>
        <w:rPr>
          <w:rFonts w:ascii="Times New Roman" w:hAnsi="Times New Roman"/>
          <w:szCs w:val="21"/>
          <w:highlight w:val="none"/>
        </w:rPr>
      </w:pPr>
      <w:r>
        <w:rPr>
          <w:rFonts w:ascii="Times New Roman" w:hAnsi="Times New Roman"/>
          <w:szCs w:val="21"/>
          <w:highlight w:val="none"/>
        </w:rPr>
        <w:br w:type="page"/>
      </w:r>
    </w:p>
    <w:p w14:paraId="43E56BF3">
      <w:pPr>
        <w:spacing w:line="540" w:lineRule="exact"/>
        <w:rPr>
          <w:rFonts w:ascii="Times New Roman" w:hAnsi="Times New Roman"/>
          <w:szCs w:val="21"/>
          <w:highlight w:val="none"/>
        </w:rPr>
      </w:pPr>
      <w:r>
        <w:rPr>
          <w:rFonts w:hint="eastAsia" w:hAnsi="宋体"/>
          <w:sz w:val="28"/>
          <w:highlight w:val="none"/>
        </w:rPr>
        <w:t>附件</w:t>
      </w:r>
      <w:r>
        <w:rPr>
          <w:rFonts w:hAnsi="宋体"/>
          <w:sz w:val="28"/>
          <w:highlight w:val="none"/>
        </w:rPr>
        <w:t>5</w:t>
      </w:r>
      <w:r>
        <w:rPr>
          <w:rFonts w:hint="eastAsia" w:hAnsi="宋体"/>
          <w:sz w:val="28"/>
          <w:highlight w:val="none"/>
        </w:rPr>
        <w:t>：拟投入本项目造价人员一览表</w:t>
      </w:r>
    </w:p>
    <w:p w14:paraId="6043C8DC">
      <w:pPr>
        <w:spacing w:line="540" w:lineRule="exact"/>
        <w:rPr>
          <w:rFonts w:ascii="Times New Roman" w:hAnsi="Times New Roman"/>
          <w:szCs w:val="21"/>
          <w:highlight w:val="none"/>
        </w:rPr>
      </w:pPr>
    </w:p>
    <w:p w14:paraId="0A9002A6">
      <w:pPr>
        <w:spacing w:line="540" w:lineRule="exact"/>
        <w:rPr>
          <w:rFonts w:ascii="Times New Roman" w:hAnsi="Times New Roman"/>
          <w:szCs w:val="21"/>
          <w:highlight w:val="none"/>
        </w:rPr>
      </w:pPr>
    </w:p>
    <w:p w14:paraId="760740FB">
      <w:pPr>
        <w:spacing w:line="540" w:lineRule="exact"/>
        <w:rPr>
          <w:rFonts w:ascii="宋体" w:hAnsi="宋体"/>
          <w:sz w:val="24"/>
          <w:szCs w:val="24"/>
          <w:highlight w:val="none"/>
        </w:rPr>
      </w:pPr>
    </w:p>
    <w:sectPr>
      <w:headerReference r:id="rId3" w:type="default"/>
      <w:footerReference r:id="rId4" w:type="default"/>
      <w:pgSz w:w="11906" w:h="16838"/>
      <w:pgMar w:top="1440" w:right="991"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F88E20E-A01B-4E1D-934E-4C3C6B1CFB8D}"/>
  </w:font>
  <w:font w:name="仿宋_GB2312">
    <w:panose1 w:val="02010609030101010101"/>
    <w:charset w:val="86"/>
    <w:family w:val="modern"/>
    <w:pitch w:val="default"/>
    <w:sig w:usb0="00000001" w:usb1="080E0000" w:usb2="00000000" w:usb3="00000000" w:csb0="00040000" w:csb1="00000000"/>
    <w:embedRegular r:id="rId2" w:fontKey="{4A6AD174-28AF-446A-BC47-123BF5B86599}"/>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3" w:fontKey="{8B88B88E-7A4F-410A-8AFC-0B3F6B5B5BC2}"/>
  </w:font>
  <w:font w:name="华文中宋">
    <w:panose1 w:val="02010600040101010101"/>
    <w:charset w:val="86"/>
    <w:family w:val="auto"/>
    <w:pitch w:val="default"/>
    <w:sig w:usb0="00000287" w:usb1="080F0000" w:usb2="00000000" w:usb3="00000000" w:csb0="0004009F" w:csb1="DFD70000"/>
    <w:embedRegular r:id="rId4" w:fontKey="{ECB8214B-5E42-41A3-93B9-6EC18AAC3051}"/>
  </w:font>
  <w:font w:name="仿宋">
    <w:panose1 w:val="02010609060101010101"/>
    <w:charset w:val="86"/>
    <w:family w:val="modern"/>
    <w:pitch w:val="default"/>
    <w:sig w:usb0="800002BF" w:usb1="38CF7CFA" w:usb2="00000016" w:usb3="00000000" w:csb0="00040001" w:csb1="00000000"/>
    <w:embedRegular r:id="rId5" w:fontKey="{27B9EC87-D7CC-4A9C-938A-681E40BCC8B3}"/>
  </w:font>
  <w:font w:name="楷体">
    <w:panose1 w:val="02010609060101010101"/>
    <w:charset w:val="86"/>
    <w:family w:val="modern"/>
    <w:pitch w:val="default"/>
    <w:sig w:usb0="800002BF" w:usb1="38CF7CFA" w:usb2="00000016" w:usb3="00000000" w:csb0="00040001" w:csb1="00000000"/>
    <w:embedRegular r:id="rId6" w:fontKey="{A74D2B3F-8A60-46B2-BD5A-8AA361C23CE2}"/>
  </w:font>
  <w:font w:name="华文楷体">
    <w:panose1 w:val="02010600040101010101"/>
    <w:charset w:val="86"/>
    <w:family w:val="auto"/>
    <w:pitch w:val="default"/>
    <w:sig w:usb0="00000287" w:usb1="080F0000" w:usb2="00000000" w:usb3="00000000" w:csb0="0004009F" w:csb1="DFD70000"/>
    <w:embedRegular r:id="rId7" w:fontKey="{89E431DC-6666-4E43-A72E-C11A3FCB5D76}"/>
  </w:font>
  <w:font w:name="长城行楷体">
    <w:altName w:val="宋体"/>
    <w:panose1 w:val="00000000000000000000"/>
    <w:charset w:val="86"/>
    <w:family w:val="modern"/>
    <w:pitch w:val="default"/>
    <w:sig w:usb0="00000000" w:usb1="00000000" w:usb2="00000010" w:usb3="00000000" w:csb0="00040000" w:csb1="00000000"/>
    <w:embedRegular r:id="rId8" w:fontKey="{AC673A6F-22C2-4416-AFD3-2EB7E10DDCB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1EDFF">
    <w:pPr>
      <w:pStyle w:val="1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37</w:t>
    </w:r>
    <w:r>
      <w:rPr>
        <w:szCs w:val="21"/>
      </w:rPr>
      <w:fldChar w:fldCharType="end"/>
    </w:r>
    <w:r>
      <w:rPr>
        <w:rFonts w:hint="eastAsia"/>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5DBC7">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right"/>
      <w:pPr>
        <w:ind w:left="78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E"/>
    <w:multiLevelType w:val="multilevel"/>
    <w:tmpl w:val="0000000E"/>
    <w:lvl w:ilvl="0" w:tentative="0">
      <w:start w:val="1"/>
      <w:numFmt w:val="chineseCountingThousand"/>
      <w:lvlText w:val="%1、"/>
      <w:lvlJc w:val="left"/>
      <w:pPr>
        <w:ind w:left="780" w:hanging="420"/>
      </w:pPr>
      <w:rPr>
        <w:rFonts w:hint="eastAsia"/>
      </w:rPr>
    </w:lvl>
    <w:lvl w:ilvl="1" w:tentative="0">
      <w:start w:val="1"/>
      <w:numFmt w:val="decimal"/>
      <w:lvlText w:val="%2．"/>
      <w:lvlJc w:val="left"/>
      <w:pPr>
        <w:ind w:left="1140" w:hanging="360"/>
      </w:pPr>
      <w:rPr>
        <w:rFonts w:hint="default"/>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0000000F"/>
    <w:multiLevelType w:val="multilevel"/>
    <w:tmpl w:val="0000000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0"/>
    <w:multiLevelType w:val="multilevel"/>
    <w:tmpl w:val="0000001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11"/>
    <w:multiLevelType w:val="multilevel"/>
    <w:tmpl w:val="0000001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12"/>
    <w:multiLevelType w:val="multilevel"/>
    <w:tmpl w:val="00000012"/>
    <w:lvl w:ilvl="0" w:tentative="0">
      <w:start w:val="1"/>
      <w:numFmt w:val="decimal"/>
      <w:lvlText w:val="%1."/>
      <w:lvlJc w:val="left"/>
      <w:pPr>
        <w:ind w:left="84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6"/>
    <w:multiLevelType w:val="multilevel"/>
    <w:tmpl w:val="00000016"/>
    <w:lvl w:ilvl="0" w:tentative="0">
      <w:start w:val="1"/>
      <w:numFmt w:val="chineseCountingThousand"/>
      <w:lvlText w:val="第%1章"/>
      <w:lvlJc w:val="left"/>
      <w:pPr>
        <w:ind w:left="1694" w:hanging="420"/>
      </w:pPr>
      <w:rPr>
        <w:rFonts w:hint="eastAsia"/>
      </w:rPr>
    </w:lvl>
    <w:lvl w:ilvl="1" w:tentative="0">
      <w:start w:val="1"/>
      <w:numFmt w:val="lowerLetter"/>
      <w:lvlText w:val="%2)"/>
      <w:lvlJc w:val="left"/>
      <w:pPr>
        <w:ind w:left="2114" w:hanging="420"/>
      </w:pPr>
    </w:lvl>
    <w:lvl w:ilvl="2" w:tentative="0">
      <w:start w:val="1"/>
      <w:numFmt w:val="lowerRoman"/>
      <w:lvlText w:val="%3."/>
      <w:lvlJc w:val="right"/>
      <w:pPr>
        <w:ind w:left="2534" w:hanging="420"/>
      </w:pPr>
    </w:lvl>
    <w:lvl w:ilvl="3" w:tentative="0">
      <w:start w:val="1"/>
      <w:numFmt w:val="decimal"/>
      <w:lvlText w:val="%4."/>
      <w:lvlJc w:val="left"/>
      <w:pPr>
        <w:ind w:left="2954" w:hanging="420"/>
      </w:pPr>
    </w:lvl>
    <w:lvl w:ilvl="4" w:tentative="0">
      <w:start w:val="1"/>
      <w:numFmt w:val="lowerLetter"/>
      <w:lvlText w:val="%5)"/>
      <w:lvlJc w:val="left"/>
      <w:pPr>
        <w:ind w:left="3374" w:hanging="420"/>
      </w:pPr>
    </w:lvl>
    <w:lvl w:ilvl="5" w:tentative="0">
      <w:start w:val="1"/>
      <w:numFmt w:val="lowerRoman"/>
      <w:lvlText w:val="%6."/>
      <w:lvlJc w:val="right"/>
      <w:pPr>
        <w:ind w:left="3794" w:hanging="420"/>
      </w:pPr>
    </w:lvl>
    <w:lvl w:ilvl="6" w:tentative="0">
      <w:start w:val="1"/>
      <w:numFmt w:val="decimal"/>
      <w:lvlText w:val="%7."/>
      <w:lvlJc w:val="left"/>
      <w:pPr>
        <w:ind w:left="4214" w:hanging="420"/>
      </w:pPr>
    </w:lvl>
    <w:lvl w:ilvl="7" w:tentative="0">
      <w:start w:val="1"/>
      <w:numFmt w:val="lowerLetter"/>
      <w:lvlText w:val="%8)"/>
      <w:lvlJc w:val="left"/>
      <w:pPr>
        <w:ind w:left="4634" w:hanging="420"/>
      </w:pPr>
    </w:lvl>
    <w:lvl w:ilvl="8" w:tentative="0">
      <w:start w:val="1"/>
      <w:numFmt w:val="lowerRoman"/>
      <w:lvlText w:val="%9."/>
      <w:lvlJc w:val="right"/>
      <w:pPr>
        <w:ind w:left="5054" w:hanging="420"/>
      </w:pPr>
    </w:lvl>
  </w:abstractNum>
  <w:abstractNum w:abstractNumId="7">
    <w:nsid w:val="00000018"/>
    <w:multiLevelType w:val="multilevel"/>
    <w:tmpl w:val="0000001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0000019"/>
    <w:multiLevelType w:val="multilevel"/>
    <w:tmpl w:val="00000019"/>
    <w:lvl w:ilvl="0" w:tentative="0">
      <w:start w:val="1"/>
      <w:numFmt w:val="chineseCountingThousand"/>
      <w:lvlText w:val="第%1条、"/>
      <w:lvlJc w:val="left"/>
      <w:pPr>
        <w:ind w:left="420" w:hanging="420"/>
      </w:pPr>
      <w:rPr>
        <w:rFonts w:hint="eastAsia"/>
      </w:rPr>
    </w:lvl>
    <w:lvl w:ilvl="1" w:tentative="0">
      <w:start w:val="1"/>
      <w:numFmt w:val="chineseCountingThousand"/>
      <w:lvlText w:val="第%2条"/>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C"/>
    <w:multiLevelType w:val="multilevel"/>
    <w:tmpl w:val="0000001C"/>
    <w:lvl w:ilvl="0" w:tentative="0">
      <w:start w:val="1"/>
      <w:numFmt w:val="decimal"/>
      <w:lvlText w:val="%1."/>
      <w:lvlJc w:val="right"/>
      <w:pPr>
        <w:ind w:left="78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9"/>
  </w:num>
  <w:num w:numId="4">
    <w:abstractNumId w:val="6"/>
  </w:num>
  <w:num w:numId="5">
    <w:abstractNumId w:val="8"/>
  </w:num>
  <w:num w:numId="6">
    <w:abstractNumId w:val="5"/>
  </w:num>
  <w:num w:numId="7">
    <w:abstractNumId w:val="3"/>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78F6"/>
    <w:rsid w:val="00055E41"/>
    <w:rsid w:val="00056344"/>
    <w:rsid w:val="000605D5"/>
    <w:rsid w:val="000629CC"/>
    <w:rsid w:val="000630CE"/>
    <w:rsid w:val="00063E37"/>
    <w:rsid w:val="00064F5B"/>
    <w:rsid w:val="00070345"/>
    <w:rsid w:val="000735F7"/>
    <w:rsid w:val="000738AB"/>
    <w:rsid w:val="0007624A"/>
    <w:rsid w:val="0007791A"/>
    <w:rsid w:val="0008310C"/>
    <w:rsid w:val="000837DF"/>
    <w:rsid w:val="00083C78"/>
    <w:rsid w:val="00092981"/>
    <w:rsid w:val="00094707"/>
    <w:rsid w:val="000A27ED"/>
    <w:rsid w:val="000A2C26"/>
    <w:rsid w:val="000A59F1"/>
    <w:rsid w:val="000A60F6"/>
    <w:rsid w:val="000A7008"/>
    <w:rsid w:val="000B3011"/>
    <w:rsid w:val="000B4052"/>
    <w:rsid w:val="000B45BB"/>
    <w:rsid w:val="000B74E0"/>
    <w:rsid w:val="000C34DC"/>
    <w:rsid w:val="000C483C"/>
    <w:rsid w:val="000C4C8A"/>
    <w:rsid w:val="000C5266"/>
    <w:rsid w:val="000C6E7D"/>
    <w:rsid w:val="000D014B"/>
    <w:rsid w:val="000D66F6"/>
    <w:rsid w:val="000F0AB8"/>
    <w:rsid w:val="000F25D1"/>
    <w:rsid w:val="000F63A0"/>
    <w:rsid w:val="000F6FB5"/>
    <w:rsid w:val="000F73EE"/>
    <w:rsid w:val="000F7887"/>
    <w:rsid w:val="00101CE2"/>
    <w:rsid w:val="0010281E"/>
    <w:rsid w:val="00102ACA"/>
    <w:rsid w:val="00102B8C"/>
    <w:rsid w:val="00115E44"/>
    <w:rsid w:val="00115EE9"/>
    <w:rsid w:val="001259AE"/>
    <w:rsid w:val="00133129"/>
    <w:rsid w:val="00145ADD"/>
    <w:rsid w:val="00147338"/>
    <w:rsid w:val="00157797"/>
    <w:rsid w:val="00162258"/>
    <w:rsid w:val="00164F67"/>
    <w:rsid w:val="00170766"/>
    <w:rsid w:val="001710C4"/>
    <w:rsid w:val="00171286"/>
    <w:rsid w:val="0017206E"/>
    <w:rsid w:val="00172A27"/>
    <w:rsid w:val="00176184"/>
    <w:rsid w:val="001803FF"/>
    <w:rsid w:val="001844B4"/>
    <w:rsid w:val="001847A2"/>
    <w:rsid w:val="00187A9C"/>
    <w:rsid w:val="00190F61"/>
    <w:rsid w:val="00191C5C"/>
    <w:rsid w:val="001965AB"/>
    <w:rsid w:val="00196944"/>
    <w:rsid w:val="001A223B"/>
    <w:rsid w:val="001A638A"/>
    <w:rsid w:val="001A75F8"/>
    <w:rsid w:val="001C0ACD"/>
    <w:rsid w:val="001C153A"/>
    <w:rsid w:val="001D0677"/>
    <w:rsid w:val="001D179E"/>
    <w:rsid w:val="001D34B3"/>
    <w:rsid w:val="001E098C"/>
    <w:rsid w:val="001E4D6E"/>
    <w:rsid w:val="001F12C1"/>
    <w:rsid w:val="001F5035"/>
    <w:rsid w:val="002007D2"/>
    <w:rsid w:val="0020650A"/>
    <w:rsid w:val="00210F09"/>
    <w:rsid w:val="002116D2"/>
    <w:rsid w:val="0021413E"/>
    <w:rsid w:val="00214393"/>
    <w:rsid w:val="00215D30"/>
    <w:rsid w:val="00220524"/>
    <w:rsid w:val="0022250B"/>
    <w:rsid w:val="002226C2"/>
    <w:rsid w:val="002232D6"/>
    <w:rsid w:val="00223701"/>
    <w:rsid w:val="00230A67"/>
    <w:rsid w:val="00231454"/>
    <w:rsid w:val="00235897"/>
    <w:rsid w:val="002373B9"/>
    <w:rsid w:val="00237D1B"/>
    <w:rsid w:val="002464DC"/>
    <w:rsid w:val="002476DD"/>
    <w:rsid w:val="00251FB2"/>
    <w:rsid w:val="00252902"/>
    <w:rsid w:val="002539EA"/>
    <w:rsid w:val="00254305"/>
    <w:rsid w:val="00254B56"/>
    <w:rsid w:val="0026241D"/>
    <w:rsid w:val="0026300F"/>
    <w:rsid w:val="00264DAD"/>
    <w:rsid w:val="00264F59"/>
    <w:rsid w:val="0026653F"/>
    <w:rsid w:val="00267107"/>
    <w:rsid w:val="00272037"/>
    <w:rsid w:val="00280552"/>
    <w:rsid w:val="00281953"/>
    <w:rsid w:val="00287FDD"/>
    <w:rsid w:val="00291552"/>
    <w:rsid w:val="00294999"/>
    <w:rsid w:val="002A5ED8"/>
    <w:rsid w:val="002B0C00"/>
    <w:rsid w:val="002B0ED2"/>
    <w:rsid w:val="002B0F5A"/>
    <w:rsid w:val="002B1078"/>
    <w:rsid w:val="002B1499"/>
    <w:rsid w:val="002C3882"/>
    <w:rsid w:val="002D12B8"/>
    <w:rsid w:val="002D1341"/>
    <w:rsid w:val="002D48B0"/>
    <w:rsid w:val="002D59DA"/>
    <w:rsid w:val="002D6ABA"/>
    <w:rsid w:val="002D6E67"/>
    <w:rsid w:val="002D6EA8"/>
    <w:rsid w:val="002D7E93"/>
    <w:rsid w:val="002E5CDB"/>
    <w:rsid w:val="002F68AE"/>
    <w:rsid w:val="00302A49"/>
    <w:rsid w:val="00305E1D"/>
    <w:rsid w:val="00321B88"/>
    <w:rsid w:val="003232C3"/>
    <w:rsid w:val="00324A2B"/>
    <w:rsid w:val="00324C1B"/>
    <w:rsid w:val="00325BB2"/>
    <w:rsid w:val="00331DE9"/>
    <w:rsid w:val="00332254"/>
    <w:rsid w:val="003324C6"/>
    <w:rsid w:val="003432AD"/>
    <w:rsid w:val="0034382B"/>
    <w:rsid w:val="00343D56"/>
    <w:rsid w:val="003467D7"/>
    <w:rsid w:val="00351DFC"/>
    <w:rsid w:val="0035516D"/>
    <w:rsid w:val="00355CAF"/>
    <w:rsid w:val="00357FD0"/>
    <w:rsid w:val="0037065B"/>
    <w:rsid w:val="0037545D"/>
    <w:rsid w:val="00382755"/>
    <w:rsid w:val="00382B53"/>
    <w:rsid w:val="00384F35"/>
    <w:rsid w:val="00386FF0"/>
    <w:rsid w:val="00395EF1"/>
    <w:rsid w:val="003A4265"/>
    <w:rsid w:val="003B3CF0"/>
    <w:rsid w:val="003B5A50"/>
    <w:rsid w:val="003C14E3"/>
    <w:rsid w:val="003C52E8"/>
    <w:rsid w:val="003C7A80"/>
    <w:rsid w:val="003D03E1"/>
    <w:rsid w:val="003D4104"/>
    <w:rsid w:val="003E20FA"/>
    <w:rsid w:val="003E2AB4"/>
    <w:rsid w:val="003E6CAA"/>
    <w:rsid w:val="003E7C77"/>
    <w:rsid w:val="00405445"/>
    <w:rsid w:val="00405E67"/>
    <w:rsid w:val="0040782B"/>
    <w:rsid w:val="004121E7"/>
    <w:rsid w:val="00416406"/>
    <w:rsid w:val="00421EBC"/>
    <w:rsid w:val="004226CF"/>
    <w:rsid w:val="00426289"/>
    <w:rsid w:val="00432D45"/>
    <w:rsid w:val="0043566C"/>
    <w:rsid w:val="004433E3"/>
    <w:rsid w:val="004464D9"/>
    <w:rsid w:val="00446514"/>
    <w:rsid w:val="00454720"/>
    <w:rsid w:val="004619F6"/>
    <w:rsid w:val="00462068"/>
    <w:rsid w:val="004679BB"/>
    <w:rsid w:val="00470695"/>
    <w:rsid w:val="00474041"/>
    <w:rsid w:val="00476F9F"/>
    <w:rsid w:val="00480696"/>
    <w:rsid w:val="004845E3"/>
    <w:rsid w:val="00486374"/>
    <w:rsid w:val="0049737D"/>
    <w:rsid w:val="004A1A45"/>
    <w:rsid w:val="004A5D6A"/>
    <w:rsid w:val="004B6098"/>
    <w:rsid w:val="004B6ED4"/>
    <w:rsid w:val="004C0DA3"/>
    <w:rsid w:val="004C1FF9"/>
    <w:rsid w:val="004C20A2"/>
    <w:rsid w:val="004D203F"/>
    <w:rsid w:val="004D469F"/>
    <w:rsid w:val="004D6900"/>
    <w:rsid w:val="004E7C2B"/>
    <w:rsid w:val="00501775"/>
    <w:rsid w:val="00504227"/>
    <w:rsid w:val="00505A22"/>
    <w:rsid w:val="0052087F"/>
    <w:rsid w:val="00520EDB"/>
    <w:rsid w:val="005220AA"/>
    <w:rsid w:val="00534FE3"/>
    <w:rsid w:val="00540AEC"/>
    <w:rsid w:val="0054493C"/>
    <w:rsid w:val="005452C1"/>
    <w:rsid w:val="00546F76"/>
    <w:rsid w:val="0055245E"/>
    <w:rsid w:val="005577B0"/>
    <w:rsid w:val="0056293F"/>
    <w:rsid w:val="00562B70"/>
    <w:rsid w:val="00570887"/>
    <w:rsid w:val="0058789D"/>
    <w:rsid w:val="005914ED"/>
    <w:rsid w:val="005918B7"/>
    <w:rsid w:val="00595E96"/>
    <w:rsid w:val="005A37E8"/>
    <w:rsid w:val="005A3AE9"/>
    <w:rsid w:val="005A44C8"/>
    <w:rsid w:val="005A44F2"/>
    <w:rsid w:val="005A5A21"/>
    <w:rsid w:val="005A5AA9"/>
    <w:rsid w:val="005A78C4"/>
    <w:rsid w:val="005B124C"/>
    <w:rsid w:val="005B26EB"/>
    <w:rsid w:val="005C03C2"/>
    <w:rsid w:val="005C08A3"/>
    <w:rsid w:val="005C36B6"/>
    <w:rsid w:val="005D3DD7"/>
    <w:rsid w:val="005E1E02"/>
    <w:rsid w:val="005F2F29"/>
    <w:rsid w:val="005F373B"/>
    <w:rsid w:val="005F3C38"/>
    <w:rsid w:val="005F3E79"/>
    <w:rsid w:val="005F6133"/>
    <w:rsid w:val="005F6FC1"/>
    <w:rsid w:val="00605C0A"/>
    <w:rsid w:val="00612F8E"/>
    <w:rsid w:val="006210F8"/>
    <w:rsid w:val="006253C0"/>
    <w:rsid w:val="006268D7"/>
    <w:rsid w:val="006412B4"/>
    <w:rsid w:val="00645F07"/>
    <w:rsid w:val="006531BD"/>
    <w:rsid w:val="00654BC5"/>
    <w:rsid w:val="00655BF0"/>
    <w:rsid w:val="00661E16"/>
    <w:rsid w:val="0066517C"/>
    <w:rsid w:val="0066558D"/>
    <w:rsid w:val="0067015A"/>
    <w:rsid w:val="0068134B"/>
    <w:rsid w:val="006874EF"/>
    <w:rsid w:val="006A017A"/>
    <w:rsid w:val="006A080A"/>
    <w:rsid w:val="006A3C72"/>
    <w:rsid w:val="006B79C9"/>
    <w:rsid w:val="006C4453"/>
    <w:rsid w:val="006C594A"/>
    <w:rsid w:val="006D3132"/>
    <w:rsid w:val="006D5390"/>
    <w:rsid w:val="006E0FF6"/>
    <w:rsid w:val="006E5E47"/>
    <w:rsid w:val="006E7284"/>
    <w:rsid w:val="006F271D"/>
    <w:rsid w:val="006F4935"/>
    <w:rsid w:val="006F4E83"/>
    <w:rsid w:val="006F650A"/>
    <w:rsid w:val="00702733"/>
    <w:rsid w:val="00703052"/>
    <w:rsid w:val="00703B50"/>
    <w:rsid w:val="00704450"/>
    <w:rsid w:val="00704890"/>
    <w:rsid w:val="00705ACC"/>
    <w:rsid w:val="00710360"/>
    <w:rsid w:val="00710C67"/>
    <w:rsid w:val="00711DBD"/>
    <w:rsid w:val="0071247A"/>
    <w:rsid w:val="007129AA"/>
    <w:rsid w:val="007137BA"/>
    <w:rsid w:val="00714909"/>
    <w:rsid w:val="00716FA6"/>
    <w:rsid w:val="00721322"/>
    <w:rsid w:val="00730B28"/>
    <w:rsid w:val="00731408"/>
    <w:rsid w:val="0073228F"/>
    <w:rsid w:val="00736BF2"/>
    <w:rsid w:val="00736ECC"/>
    <w:rsid w:val="00742095"/>
    <w:rsid w:val="00744719"/>
    <w:rsid w:val="007454BE"/>
    <w:rsid w:val="00750CFC"/>
    <w:rsid w:val="00754936"/>
    <w:rsid w:val="00755B59"/>
    <w:rsid w:val="007571D6"/>
    <w:rsid w:val="0075791F"/>
    <w:rsid w:val="0076099F"/>
    <w:rsid w:val="00762992"/>
    <w:rsid w:val="0078221D"/>
    <w:rsid w:val="00792A8F"/>
    <w:rsid w:val="00796CC8"/>
    <w:rsid w:val="007A040B"/>
    <w:rsid w:val="007A1030"/>
    <w:rsid w:val="007A36E8"/>
    <w:rsid w:val="007B15F4"/>
    <w:rsid w:val="007B1FBC"/>
    <w:rsid w:val="007C06EB"/>
    <w:rsid w:val="007C5CAF"/>
    <w:rsid w:val="007D2A7A"/>
    <w:rsid w:val="007D507B"/>
    <w:rsid w:val="007D587D"/>
    <w:rsid w:val="007D7B40"/>
    <w:rsid w:val="007E4A1B"/>
    <w:rsid w:val="007E5243"/>
    <w:rsid w:val="007F2935"/>
    <w:rsid w:val="007F33F4"/>
    <w:rsid w:val="007F3679"/>
    <w:rsid w:val="007F6B79"/>
    <w:rsid w:val="00801E5B"/>
    <w:rsid w:val="008141F3"/>
    <w:rsid w:val="00816218"/>
    <w:rsid w:val="0081730B"/>
    <w:rsid w:val="008208D8"/>
    <w:rsid w:val="00820A6C"/>
    <w:rsid w:val="00824567"/>
    <w:rsid w:val="00826D53"/>
    <w:rsid w:val="008361AF"/>
    <w:rsid w:val="0084148D"/>
    <w:rsid w:val="0084261C"/>
    <w:rsid w:val="0084371C"/>
    <w:rsid w:val="00846565"/>
    <w:rsid w:val="00846DC0"/>
    <w:rsid w:val="00847BEB"/>
    <w:rsid w:val="00851EA8"/>
    <w:rsid w:val="00854B25"/>
    <w:rsid w:val="00854D43"/>
    <w:rsid w:val="008561A3"/>
    <w:rsid w:val="0086077F"/>
    <w:rsid w:val="00863EA3"/>
    <w:rsid w:val="00866A3F"/>
    <w:rsid w:val="00872129"/>
    <w:rsid w:val="00872500"/>
    <w:rsid w:val="00876EFC"/>
    <w:rsid w:val="00881561"/>
    <w:rsid w:val="00883342"/>
    <w:rsid w:val="00885003"/>
    <w:rsid w:val="008941F3"/>
    <w:rsid w:val="008A307D"/>
    <w:rsid w:val="008A3103"/>
    <w:rsid w:val="008A365C"/>
    <w:rsid w:val="008A5D4A"/>
    <w:rsid w:val="008A6CEC"/>
    <w:rsid w:val="008A6E34"/>
    <w:rsid w:val="008A7066"/>
    <w:rsid w:val="008A7BA2"/>
    <w:rsid w:val="008B59CE"/>
    <w:rsid w:val="008B5C19"/>
    <w:rsid w:val="008C4327"/>
    <w:rsid w:val="008C6246"/>
    <w:rsid w:val="008C7961"/>
    <w:rsid w:val="008C7C5D"/>
    <w:rsid w:val="008D002C"/>
    <w:rsid w:val="008D2805"/>
    <w:rsid w:val="008E149A"/>
    <w:rsid w:val="008E298D"/>
    <w:rsid w:val="008E4137"/>
    <w:rsid w:val="008F0A55"/>
    <w:rsid w:val="008F12B5"/>
    <w:rsid w:val="008F3C32"/>
    <w:rsid w:val="008F5F87"/>
    <w:rsid w:val="009014F0"/>
    <w:rsid w:val="00914A56"/>
    <w:rsid w:val="00921D1B"/>
    <w:rsid w:val="00923780"/>
    <w:rsid w:val="00931945"/>
    <w:rsid w:val="00934836"/>
    <w:rsid w:val="00943A1C"/>
    <w:rsid w:val="0094407C"/>
    <w:rsid w:val="00945402"/>
    <w:rsid w:val="009528F0"/>
    <w:rsid w:val="009534FB"/>
    <w:rsid w:val="009557AC"/>
    <w:rsid w:val="0096007C"/>
    <w:rsid w:val="00963725"/>
    <w:rsid w:val="009666FF"/>
    <w:rsid w:val="009674B6"/>
    <w:rsid w:val="00971F7F"/>
    <w:rsid w:val="00974D05"/>
    <w:rsid w:val="00986058"/>
    <w:rsid w:val="009863FA"/>
    <w:rsid w:val="0099056A"/>
    <w:rsid w:val="00990C5F"/>
    <w:rsid w:val="009924C4"/>
    <w:rsid w:val="00996AF9"/>
    <w:rsid w:val="009A3B08"/>
    <w:rsid w:val="009A3F39"/>
    <w:rsid w:val="009A3FEE"/>
    <w:rsid w:val="009A46DB"/>
    <w:rsid w:val="009A735B"/>
    <w:rsid w:val="009A7BB6"/>
    <w:rsid w:val="009B6546"/>
    <w:rsid w:val="009C1D03"/>
    <w:rsid w:val="009C2E40"/>
    <w:rsid w:val="009D2938"/>
    <w:rsid w:val="009D460F"/>
    <w:rsid w:val="009E28B1"/>
    <w:rsid w:val="009E6855"/>
    <w:rsid w:val="009F4F1D"/>
    <w:rsid w:val="009F67C1"/>
    <w:rsid w:val="00A00A54"/>
    <w:rsid w:val="00A00FEA"/>
    <w:rsid w:val="00A02E32"/>
    <w:rsid w:val="00A06F7B"/>
    <w:rsid w:val="00A07567"/>
    <w:rsid w:val="00A15E86"/>
    <w:rsid w:val="00A1612B"/>
    <w:rsid w:val="00A226B5"/>
    <w:rsid w:val="00A27040"/>
    <w:rsid w:val="00A334CA"/>
    <w:rsid w:val="00A34EA0"/>
    <w:rsid w:val="00A36538"/>
    <w:rsid w:val="00A40981"/>
    <w:rsid w:val="00A55AD5"/>
    <w:rsid w:val="00A57381"/>
    <w:rsid w:val="00A61DA5"/>
    <w:rsid w:val="00A65A90"/>
    <w:rsid w:val="00A66FB3"/>
    <w:rsid w:val="00A671AA"/>
    <w:rsid w:val="00A70890"/>
    <w:rsid w:val="00A71206"/>
    <w:rsid w:val="00A8035A"/>
    <w:rsid w:val="00A80C93"/>
    <w:rsid w:val="00A847C9"/>
    <w:rsid w:val="00A85BB9"/>
    <w:rsid w:val="00A924C0"/>
    <w:rsid w:val="00AA3FE5"/>
    <w:rsid w:val="00AB10FE"/>
    <w:rsid w:val="00AB4625"/>
    <w:rsid w:val="00AC56BF"/>
    <w:rsid w:val="00AC57FB"/>
    <w:rsid w:val="00AD2777"/>
    <w:rsid w:val="00AD42D2"/>
    <w:rsid w:val="00AD45A3"/>
    <w:rsid w:val="00AE258B"/>
    <w:rsid w:val="00AE5D31"/>
    <w:rsid w:val="00AE7812"/>
    <w:rsid w:val="00AF1BAB"/>
    <w:rsid w:val="00AF3F97"/>
    <w:rsid w:val="00AF4637"/>
    <w:rsid w:val="00AF7068"/>
    <w:rsid w:val="00B1133A"/>
    <w:rsid w:val="00B11F49"/>
    <w:rsid w:val="00B144CF"/>
    <w:rsid w:val="00B21B84"/>
    <w:rsid w:val="00B21BF4"/>
    <w:rsid w:val="00B239FA"/>
    <w:rsid w:val="00B240AC"/>
    <w:rsid w:val="00B25AB3"/>
    <w:rsid w:val="00B31B60"/>
    <w:rsid w:val="00B364C7"/>
    <w:rsid w:val="00B41B0F"/>
    <w:rsid w:val="00B43738"/>
    <w:rsid w:val="00B51107"/>
    <w:rsid w:val="00B53FDD"/>
    <w:rsid w:val="00B554AA"/>
    <w:rsid w:val="00B57CC8"/>
    <w:rsid w:val="00B61486"/>
    <w:rsid w:val="00B6649D"/>
    <w:rsid w:val="00B716C0"/>
    <w:rsid w:val="00B73903"/>
    <w:rsid w:val="00B76D01"/>
    <w:rsid w:val="00B80F69"/>
    <w:rsid w:val="00B8637A"/>
    <w:rsid w:val="00B90547"/>
    <w:rsid w:val="00B9144F"/>
    <w:rsid w:val="00B95113"/>
    <w:rsid w:val="00BA0742"/>
    <w:rsid w:val="00BA3D1F"/>
    <w:rsid w:val="00BA5B6E"/>
    <w:rsid w:val="00BA6AE3"/>
    <w:rsid w:val="00BB2D73"/>
    <w:rsid w:val="00BB38DF"/>
    <w:rsid w:val="00BB3D72"/>
    <w:rsid w:val="00BB5882"/>
    <w:rsid w:val="00BB5ABD"/>
    <w:rsid w:val="00BB604E"/>
    <w:rsid w:val="00BC2C05"/>
    <w:rsid w:val="00BC407B"/>
    <w:rsid w:val="00BC5B1F"/>
    <w:rsid w:val="00BC61A5"/>
    <w:rsid w:val="00BC6E78"/>
    <w:rsid w:val="00BD05BC"/>
    <w:rsid w:val="00BD2759"/>
    <w:rsid w:val="00BD2A37"/>
    <w:rsid w:val="00BD3915"/>
    <w:rsid w:val="00BD41CA"/>
    <w:rsid w:val="00BD6513"/>
    <w:rsid w:val="00BD685D"/>
    <w:rsid w:val="00BE076E"/>
    <w:rsid w:val="00BE7FB2"/>
    <w:rsid w:val="00BF083A"/>
    <w:rsid w:val="00BF2A51"/>
    <w:rsid w:val="00BF38C4"/>
    <w:rsid w:val="00C00849"/>
    <w:rsid w:val="00C04AD0"/>
    <w:rsid w:val="00C10452"/>
    <w:rsid w:val="00C1737B"/>
    <w:rsid w:val="00C20317"/>
    <w:rsid w:val="00C22B56"/>
    <w:rsid w:val="00C23AF4"/>
    <w:rsid w:val="00C2592C"/>
    <w:rsid w:val="00C43CF8"/>
    <w:rsid w:val="00C515AE"/>
    <w:rsid w:val="00C5233F"/>
    <w:rsid w:val="00C57001"/>
    <w:rsid w:val="00C575BD"/>
    <w:rsid w:val="00C6602A"/>
    <w:rsid w:val="00C666E0"/>
    <w:rsid w:val="00C679D5"/>
    <w:rsid w:val="00C70549"/>
    <w:rsid w:val="00C80E35"/>
    <w:rsid w:val="00C829CF"/>
    <w:rsid w:val="00C848B7"/>
    <w:rsid w:val="00C94C34"/>
    <w:rsid w:val="00CA07C8"/>
    <w:rsid w:val="00CA2D97"/>
    <w:rsid w:val="00CA6F93"/>
    <w:rsid w:val="00CB202B"/>
    <w:rsid w:val="00CB28A8"/>
    <w:rsid w:val="00CC09CC"/>
    <w:rsid w:val="00CD04FF"/>
    <w:rsid w:val="00CE1B39"/>
    <w:rsid w:val="00CE4B97"/>
    <w:rsid w:val="00CF304A"/>
    <w:rsid w:val="00CF3DB0"/>
    <w:rsid w:val="00CF78AD"/>
    <w:rsid w:val="00D0299D"/>
    <w:rsid w:val="00D05335"/>
    <w:rsid w:val="00D06E69"/>
    <w:rsid w:val="00D12F14"/>
    <w:rsid w:val="00D142D4"/>
    <w:rsid w:val="00D211B2"/>
    <w:rsid w:val="00D24D87"/>
    <w:rsid w:val="00D31BD1"/>
    <w:rsid w:val="00D32C13"/>
    <w:rsid w:val="00D443C7"/>
    <w:rsid w:val="00D444A3"/>
    <w:rsid w:val="00D46B68"/>
    <w:rsid w:val="00D50C98"/>
    <w:rsid w:val="00D53BF2"/>
    <w:rsid w:val="00D60788"/>
    <w:rsid w:val="00D6128E"/>
    <w:rsid w:val="00D61478"/>
    <w:rsid w:val="00D706B1"/>
    <w:rsid w:val="00D71223"/>
    <w:rsid w:val="00D71604"/>
    <w:rsid w:val="00D73BF8"/>
    <w:rsid w:val="00D7481D"/>
    <w:rsid w:val="00D74E05"/>
    <w:rsid w:val="00D75971"/>
    <w:rsid w:val="00D766C0"/>
    <w:rsid w:val="00D7689C"/>
    <w:rsid w:val="00D77714"/>
    <w:rsid w:val="00D806E6"/>
    <w:rsid w:val="00D82F65"/>
    <w:rsid w:val="00D9132C"/>
    <w:rsid w:val="00D914A1"/>
    <w:rsid w:val="00DA34F6"/>
    <w:rsid w:val="00DA4469"/>
    <w:rsid w:val="00DC0E32"/>
    <w:rsid w:val="00DC28EE"/>
    <w:rsid w:val="00DC639E"/>
    <w:rsid w:val="00DC7704"/>
    <w:rsid w:val="00DD1DC0"/>
    <w:rsid w:val="00DD761D"/>
    <w:rsid w:val="00DE62A6"/>
    <w:rsid w:val="00DE62C0"/>
    <w:rsid w:val="00DE7C7D"/>
    <w:rsid w:val="00DF6384"/>
    <w:rsid w:val="00E00916"/>
    <w:rsid w:val="00E01D50"/>
    <w:rsid w:val="00E02454"/>
    <w:rsid w:val="00E05B32"/>
    <w:rsid w:val="00E06E77"/>
    <w:rsid w:val="00E123ED"/>
    <w:rsid w:val="00E13C5D"/>
    <w:rsid w:val="00E15FF9"/>
    <w:rsid w:val="00E16137"/>
    <w:rsid w:val="00E163C2"/>
    <w:rsid w:val="00E1701B"/>
    <w:rsid w:val="00E20C6D"/>
    <w:rsid w:val="00E2375C"/>
    <w:rsid w:val="00E25BCD"/>
    <w:rsid w:val="00E27677"/>
    <w:rsid w:val="00E315A3"/>
    <w:rsid w:val="00E4581E"/>
    <w:rsid w:val="00E46BD9"/>
    <w:rsid w:val="00E4756B"/>
    <w:rsid w:val="00E4774D"/>
    <w:rsid w:val="00E5127A"/>
    <w:rsid w:val="00E51FD7"/>
    <w:rsid w:val="00E6088F"/>
    <w:rsid w:val="00E67CBB"/>
    <w:rsid w:val="00E71D8A"/>
    <w:rsid w:val="00E73381"/>
    <w:rsid w:val="00E74C55"/>
    <w:rsid w:val="00E82CDA"/>
    <w:rsid w:val="00E85D99"/>
    <w:rsid w:val="00E86AF6"/>
    <w:rsid w:val="00E907EE"/>
    <w:rsid w:val="00E95882"/>
    <w:rsid w:val="00E97D5B"/>
    <w:rsid w:val="00EA034D"/>
    <w:rsid w:val="00EA0454"/>
    <w:rsid w:val="00EA665B"/>
    <w:rsid w:val="00EA72C7"/>
    <w:rsid w:val="00EA77C8"/>
    <w:rsid w:val="00EB29A3"/>
    <w:rsid w:val="00EC03E1"/>
    <w:rsid w:val="00EC03FC"/>
    <w:rsid w:val="00EC140F"/>
    <w:rsid w:val="00EC2E19"/>
    <w:rsid w:val="00EC3839"/>
    <w:rsid w:val="00EC4E5A"/>
    <w:rsid w:val="00ED1019"/>
    <w:rsid w:val="00ED6FCB"/>
    <w:rsid w:val="00EE0737"/>
    <w:rsid w:val="00EE4430"/>
    <w:rsid w:val="00EE4564"/>
    <w:rsid w:val="00F00F08"/>
    <w:rsid w:val="00F01243"/>
    <w:rsid w:val="00F01818"/>
    <w:rsid w:val="00F01AFA"/>
    <w:rsid w:val="00F03896"/>
    <w:rsid w:val="00F154DA"/>
    <w:rsid w:val="00F15D05"/>
    <w:rsid w:val="00F22351"/>
    <w:rsid w:val="00F233CF"/>
    <w:rsid w:val="00F25BB3"/>
    <w:rsid w:val="00F25F88"/>
    <w:rsid w:val="00F274F4"/>
    <w:rsid w:val="00F321CE"/>
    <w:rsid w:val="00F32E77"/>
    <w:rsid w:val="00F3691E"/>
    <w:rsid w:val="00F378AE"/>
    <w:rsid w:val="00F46A8C"/>
    <w:rsid w:val="00F47B96"/>
    <w:rsid w:val="00F5226C"/>
    <w:rsid w:val="00F650C4"/>
    <w:rsid w:val="00F655BE"/>
    <w:rsid w:val="00F65E6C"/>
    <w:rsid w:val="00F7357A"/>
    <w:rsid w:val="00F75377"/>
    <w:rsid w:val="00F774E4"/>
    <w:rsid w:val="00F8050E"/>
    <w:rsid w:val="00F85A75"/>
    <w:rsid w:val="00F860C9"/>
    <w:rsid w:val="00F8658D"/>
    <w:rsid w:val="00F929C9"/>
    <w:rsid w:val="00F92B71"/>
    <w:rsid w:val="00F947F1"/>
    <w:rsid w:val="00F96055"/>
    <w:rsid w:val="00FA38D5"/>
    <w:rsid w:val="00FA4439"/>
    <w:rsid w:val="00FA690C"/>
    <w:rsid w:val="00FB74A5"/>
    <w:rsid w:val="00FC3CD4"/>
    <w:rsid w:val="00FD0268"/>
    <w:rsid w:val="00FD2DED"/>
    <w:rsid w:val="00FE4557"/>
    <w:rsid w:val="00FF1B09"/>
    <w:rsid w:val="00FF554F"/>
    <w:rsid w:val="00FF65C7"/>
    <w:rsid w:val="01527EDF"/>
    <w:rsid w:val="0187402D"/>
    <w:rsid w:val="01D134FA"/>
    <w:rsid w:val="01E83A82"/>
    <w:rsid w:val="02151639"/>
    <w:rsid w:val="022E26FA"/>
    <w:rsid w:val="02B62AFF"/>
    <w:rsid w:val="02E336A6"/>
    <w:rsid w:val="032543C3"/>
    <w:rsid w:val="03DF1EFE"/>
    <w:rsid w:val="043A3747"/>
    <w:rsid w:val="04485B66"/>
    <w:rsid w:val="04D31337"/>
    <w:rsid w:val="05122B5E"/>
    <w:rsid w:val="05145C6D"/>
    <w:rsid w:val="05953EBB"/>
    <w:rsid w:val="05A30A30"/>
    <w:rsid w:val="06175254"/>
    <w:rsid w:val="065A3ABE"/>
    <w:rsid w:val="068B0B95"/>
    <w:rsid w:val="06DB3F14"/>
    <w:rsid w:val="0721638A"/>
    <w:rsid w:val="072A79B8"/>
    <w:rsid w:val="075A189C"/>
    <w:rsid w:val="07AD40C1"/>
    <w:rsid w:val="08314CF2"/>
    <w:rsid w:val="08554B30"/>
    <w:rsid w:val="08713341"/>
    <w:rsid w:val="0997600A"/>
    <w:rsid w:val="09A50D1C"/>
    <w:rsid w:val="09E44D06"/>
    <w:rsid w:val="0A090062"/>
    <w:rsid w:val="0A8A3743"/>
    <w:rsid w:val="0AEE2A27"/>
    <w:rsid w:val="0B336744"/>
    <w:rsid w:val="0B725406"/>
    <w:rsid w:val="0C6079D8"/>
    <w:rsid w:val="0C8421DE"/>
    <w:rsid w:val="0D97432A"/>
    <w:rsid w:val="0DBA4C90"/>
    <w:rsid w:val="0DF261D4"/>
    <w:rsid w:val="0E6331E7"/>
    <w:rsid w:val="0EF53BC4"/>
    <w:rsid w:val="0F317386"/>
    <w:rsid w:val="0F704352"/>
    <w:rsid w:val="0FAF054E"/>
    <w:rsid w:val="0FF46D31"/>
    <w:rsid w:val="10207B26"/>
    <w:rsid w:val="103128A9"/>
    <w:rsid w:val="103E7FAD"/>
    <w:rsid w:val="107269C0"/>
    <w:rsid w:val="10A73DA4"/>
    <w:rsid w:val="10BF252B"/>
    <w:rsid w:val="11520737"/>
    <w:rsid w:val="12610AFB"/>
    <w:rsid w:val="12F17558"/>
    <w:rsid w:val="13070B2A"/>
    <w:rsid w:val="131274CE"/>
    <w:rsid w:val="1355202B"/>
    <w:rsid w:val="139D323C"/>
    <w:rsid w:val="13BA6ECD"/>
    <w:rsid w:val="143A0A8B"/>
    <w:rsid w:val="14B961F8"/>
    <w:rsid w:val="14D40EDF"/>
    <w:rsid w:val="14DC5FE6"/>
    <w:rsid w:val="15C416E2"/>
    <w:rsid w:val="161F43DC"/>
    <w:rsid w:val="16B105AC"/>
    <w:rsid w:val="16BD3DD9"/>
    <w:rsid w:val="16D76A65"/>
    <w:rsid w:val="1716408D"/>
    <w:rsid w:val="17543F01"/>
    <w:rsid w:val="17A138BF"/>
    <w:rsid w:val="180B680D"/>
    <w:rsid w:val="181628F9"/>
    <w:rsid w:val="185443E6"/>
    <w:rsid w:val="189270E7"/>
    <w:rsid w:val="19BB266E"/>
    <w:rsid w:val="19EC6D02"/>
    <w:rsid w:val="1B291859"/>
    <w:rsid w:val="1B896D16"/>
    <w:rsid w:val="1C1F651A"/>
    <w:rsid w:val="1C872CDB"/>
    <w:rsid w:val="1C964336"/>
    <w:rsid w:val="1CEC2B3E"/>
    <w:rsid w:val="1D103536"/>
    <w:rsid w:val="1D663E3C"/>
    <w:rsid w:val="1D813BCE"/>
    <w:rsid w:val="1D9A7CDD"/>
    <w:rsid w:val="1DAF4298"/>
    <w:rsid w:val="1E346D17"/>
    <w:rsid w:val="1E9F430C"/>
    <w:rsid w:val="1EA3148E"/>
    <w:rsid w:val="1EFF124F"/>
    <w:rsid w:val="1F9000F9"/>
    <w:rsid w:val="1FD60202"/>
    <w:rsid w:val="1FEE252B"/>
    <w:rsid w:val="201605FE"/>
    <w:rsid w:val="20985E0B"/>
    <w:rsid w:val="2099122F"/>
    <w:rsid w:val="20F052F3"/>
    <w:rsid w:val="210F75CC"/>
    <w:rsid w:val="215B1FFA"/>
    <w:rsid w:val="22450ABA"/>
    <w:rsid w:val="22530344"/>
    <w:rsid w:val="225B3E34"/>
    <w:rsid w:val="22761828"/>
    <w:rsid w:val="22B4104F"/>
    <w:rsid w:val="234B2E7A"/>
    <w:rsid w:val="239D2DE4"/>
    <w:rsid w:val="23AB5501"/>
    <w:rsid w:val="23F81D22"/>
    <w:rsid w:val="24156E1F"/>
    <w:rsid w:val="245B565F"/>
    <w:rsid w:val="247752E4"/>
    <w:rsid w:val="24B05C20"/>
    <w:rsid w:val="24C87CBD"/>
    <w:rsid w:val="25A0381A"/>
    <w:rsid w:val="25AA354D"/>
    <w:rsid w:val="264834DB"/>
    <w:rsid w:val="26BB3CAD"/>
    <w:rsid w:val="27084A19"/>
    <w:rsid w:val="27194E78"/>
    <w:rsid w:val="273B48FB"/>
    <w:rsid w:val="27465883"/>
    <w:rsid w:val="27587B28"/>
    <w:rsid w:val="276F1207"/>
    <w:rsid w:val="27CB4F2A"/>
    <w:rsid w:val="27E804A6"/>
    <w:rsid w:val="28AB1ACA"/>
    <w:rsid w:val="28D21782"/>
    <w:rsid w:val="29594129"/>
    <w:rsid w:val="297A286D"/>
    <w:rsid w:val="29A273A6"/>
    <w:rsid w:val="29CC6762"/>
    <w:rsid w:val="29F37C02"/>
    <w:rsid w:val="29FC2A03"/>
    <w:rsid w:val="2A4828F5"/>
    <w:rsid w:val="2A636B36"/>
    <w:rsid w:val="2A81520E"/>
    <w:rsid w:val="2A9D003C"/>
    <w:rsid w:val="2B227BBF"/>
    <w:rsid w:val="2B4F03BE"/>
    <w:rsid w:val="2C197925"/>
    <w:rsid w:val="2C1C26F1"/>
    <w:rsid w:val="2C6941AB"/>
    <w:rsid w:val="2CA60CDA"/>
    <w:rsid w:val="2CCE2C31"/>
    <w:rsid w:val="2CFD758E"/>
    <w:rsid w:val="2D0068BE"/>
    <w:rsid w:val="2D8333F7"/>
    <w:rsid w:val="2D8F19F0"/>
    <w:rsid w:val="2E8779E7"/>
    <w:rsid w:val="2EF15A00"/>
    <w:rsid w:val="2F0970B1"/>
    <w:rsid w:val="2F3458B1"/>
    <w:rsid w:val="2FB05F21"/>
    <w:rsid w:val="2FFB336C"/>
    <w:rsid w:val="301C4E1F"/>
    <w:rsid w:val="30446AC1"/>
    <w:rsid w:val="311D1A88"/>
    <w:rsid w:val="31CD2150"/>
    <w:rsid w:val="320A3D3B"/>
    <w:rsid w:val="328B5249"/>
    <w:rsid w:val="33B026C0"/>
    <w:rsid w:val="33CB48D3"/>
    <w:rsid w:val="33E34664"/>
    <w:rsid w:val="33F5241F"/>
    <w:rsid w:val="34213390"/>
    <w:rsid w:val="349D49F2"/>
    <w:rsid w:val="34AB026B"/>
    <w:rsid w:val="35407D26"/>
    <w:rsid w:val="354E655F"/>
    <w:rsid w:val="355A6D87"/>
    <w:rsid w:val="35B37FAF"/>
    <w:rsid w:val="35DB45DB"/>
    <w:rsid w:val="35FF348B"/>
    <w:rsid w:val="362A675A"/>
    <w:rsid w:val="36AD08B4"/>
    <w:rsid w:val="36BD137C"/>
    <w:rsid w:val="36E42DAC"/>
    <w:rsid w:val="37D0642B"/>
    <w:rsid w:val="37F109D5"/>
    <w:rsid w:val="38170D74"/>
    <w:rsid w:val="384D4981"/>
    <w:rsid w:val="38591265"/>
    <w:rsid w:val="38DE55D9"/>
    <w:rsid w:val="38F31873"/>
    <w:rsid w:val="39B56E8E"/>
    <w:rsid w:val="3B5C5B21"/>
    <w:rsid w:val="3BF9539A"/>
    <w:rsid w:val="3C447E49"/>
    <w:rsid w:val="3C8841DA"/>
    <w:rsid w:val="3CF06D97"/>
    <w:rsid w:val="3D474095"/>
    <w:rsid w:val="3D804EB1"/>
    <w:rsid w:val="3DBB238D"/>
    <w:rsid w:val="3DBB5143"/>
    <w:rsid w:val="3E6E73FF"/>
    <w:rsid w:val="3EB2553E"/>
    <w:rsid w:val="3EBC384F"/>
    <w:rsid w:val="3EBF418B"/>
    <w:rsid w:val="405524EE"/>
    <w:rsid w:val="405C142D"/>
    <w:rsid w:val="40E1210B"/>
    <w:rsid w:val="41CB669E"/>
    <w:rsid w:val="422F2B97"/>
    <w:rsid w:val="42481EEE"/>
    <w:rsid w:val="42CB3072"/>
    <w:rsid w:val="437B23A2"/>
    <w:rsid w:val="438D0328"/>
    <w:rsid w:val="438D657A"/>
    <w:rsid w:val="43F76BF8"/>
    <w:rsid w:val="442B3356"/>
    <w:rsid w:val="44A678F3"/>
    <w:rsid w:val="45202C09"/>
    <w:rsid w:val="452A22D2"/>
    <w:rsid w:val="458F0387"/>
    <w:rsid w:val="463A50D8"/>
    <w:rsid w:val="46E97498"/>
    <w:rsid w:val="47154B28"/>
    <w:rsid w:val="483E74AC"/>
    <w:rsid w:val="4859110F"/>
    <w:rsid w:val="485B27FD"/>
    <w:rsid w:val="48750891"/>
    <w:rsid w:val="48AD14CA"/>
    <w:rsid w:val="4A410842"/>
    <w:rsid w:val="4A4A0D02"/>
    <w:rsid w:val="4A867F1F"/>
    <w:rsid w:val="4B6202EC"/>
    <w:rsid w:val="4B95030D"/>
    <w:rsid w:val="4BAD5139"/>
    <w:rsid w:val="4BBF4969"/>
    <w:rsid w:val="4C2511CC"/>
    <w:rsid w:val="4C5C2F8D"/>
    <w:rsid w:val="4C6D60C5"/>
    <w:rsid w:val="4CA010CC"/>
    <w:rsid w:val="4CB701C3"/>
    <w:rsid w:val="4CFB24FB"/>
    <w:rsid w:val="4D700107"/>
    <w:rsid w:val="4DC04C80"/>
    <w:rsid w:val="4E393F94"/>
    <w:rsid w:val="4E3E294A"/>
    <w:rsid w:val="4E456092"/>
    <w:rsid w:val="4E4F2DA9"/>
    <w:rsid w:val="4EB8375D"/>
    <w:rsid w:val="4F33280F"/>
    <w:rsid w:val="4F7B77BF"/>
    <w:rsid w:val="50244E82"/>
    <w:rsid w:val="5080549C"/>
    <w:rsid w:val="519322AD"/>
    <w:rsid w:val="52432C25"/>
    <w:rsid w:val="530C74BB"/>
    <w:rsid w:val="53476A0B"/>
    <w:rsid w:val="53564815"/>
    <w:rsid w:val="538F3C48"/>
    <w:rsid w:val="539F032F"/>
    <w:rsid w:val="53F27FBF"/>
    <w:rsid w:val="540B3A65"/>
    <w:rsid w:val="545A2D7A"/>
    <w:rsid w:val="555D2250"/>
    <w:rsid w:val="55722772"/>
    <w:rsid w:val="55820B7D"/>
    <w:rsid w:val="55AD03B6"/>
    <w:rsid w:val="565E0A84"/>
    <w:rsid w:val="569074E4"/>
    <w:rsid w:val="56CB4600"/>
    <w:rsid w:val="56D26326"/>
    <w:rsid w:val="56ED4269"/>
    <w:rsid w:val="57452F9B"/>
    <w:rsid w:val="578329AB"/>
    <w:rsid w:val="57842AAA"/>
    <w:rsid w:val="57F447C8"/>
    <w:rsid w:val="586F4584"/>
    <w:rsid w:val="588A0FB2"/>
    <w:rsid w:val="59617DBC"/>
    <w:rsid w:val="59AF10A9"/>
    <w:rsid w:val="59B91A1F"/>
    <w:rsid w:val="59BD1AED"/>
    <w:rsid w:val="5A054C64"/>
    <w:rsid w:val="5A0F368B"/>
    <w:rsid w:val="5A3B6389"/>
    <w:rsid w:val="5AC71F19"/>
    <w:rsid w:val="5B8322E4"/>
    <w:rsid w:val="5B922527"/>
    <w:rsid w:val="5BE508A9"/>
    <w:rsid w:val="5C2A09B2"/>
    <w:rsid w:val="5C3747E5"/>
    <w:rsid w:val="5CA6628A"/>
    <w:rsid w:val="5CBD1826"/>
    <w:rsid w:val="5CFA4828"/>
    <w:rsid w:val="5D2D2508"/>
    <w:rsid w:val="5D7874FB"/>
    <w:rsid w:val="5E2D4789"/>
    <w:rsid w:val="5E524F12"/>
    <w:rsid w:val="5E696E63"/>
    <w:rsid w:val="5F2913F5"/>
    <w:rsid w:val="5F31180B"/>
    <w:rsid w:val="5FCF3D4A"/>
    <w:rsid w:val="5FDF0BA4"/>
    <w:rsid w:val="5FF17AF7"/>
    <w:rsid w:val="601E438A"/>
    <w:rsid w:val="606F72DB"/>
    <w:rsid w:val="60734E27"/>
    <w:rsid w:val="616F2239"/>
    <w:rsid w:val="61C5391B"/>
    <w:rsid w:val="62214605"/>
    <w:rsid w:val="625E7607"/>
    <w:rsid w:val="62A414BE"/>
    <w:rsid w:val="62D33B51"/>
    <w:rsid w:val="63471E49"/>
    <w:rsid w:val="637C7D45"/>
    <w:rsid w:val="63BF40D6"/>
    <w:rsid w:val="63C6093E"/>
    <w:rsid w:val="63F21DB5"/>
    <w:rsid w:val="64234664"/>
    <w:rsid w:val="64882719"/>
    <w:rsid w:val="64B450F5"/>
    <w:rsid w:val="64C059C5"/>
    <w:rsid w:val="64F85C26"/>
    <w:rsid w:val="65270184"/>
    <w:rsid w:val="65660807"/>
    <w:rsid w:val="65925D94"/>
    <w:rsid w:val="65B31A18"/>
    <w:rsid w:val="660E4EA0"/>
    <w:rsid w:val="6617798C"/>
    <w:rsid w:val="66AC6B93"/>
    <w:rsid w:val="66C043ED"/>
    <w:rsid w:val="67136C12"/>
    <w:rsid w:val="67167800"/>
    <w:rsid w:val="67191D4F"/>
    <w:rsid w:val="67513297"/>
    <w:rsid w:val="67803B7C"/>
    <w:rsid w:val="67A3376A"/>
    <w:rsid w:val="67A94E81"/>
    <w:rsid w:val="67FA5148"/>
    <w:rsid w:val="68BC0BE4"/>
    <w:rsid w:val="69660D76"/>
    <w:rsid w:val="69A073C8"/>
    <w:rsid w:val="69EB1780"/>
    <w:rsid w:val="6A510CF2"/>
    <w:rsid w:val="6A923599"/>
    <w:rsid w:val="6BA01CC0"/>
    <w:rsid w:val="6BF52CBB"/>
    <w:rsid w:val="6D29027F"/>
    <w:rsid w:val="6D855A81"/>
    <w:rsid w:val="6DD62748"/>
    <w:rsid w:val="6DE07122"/>
    <w:rsid w:val="6E16292A"/>
    <w:rsid w:val="6EEC1160"/>
    <w:rsid w:val="6F173018"/>
    <w:rsid w:val="6F187B60"/>
    <w:rsid w:val="6F435BBB"/>
    <w:rsid w:val="6F4446A3"/>
    <w:rsid w:val="6FE95867"/>
    <w:rsid w:val="70291255"/>
    <w:rsid w:val="70DB74A5"/>
    <w:rsid w:val="71002299"/>
    <w:rsid w:val="71573514"/>
    <w:rsid w:val="71CC25BE"/>
    <w:rsid w:val="725345E8"/>
    <w:rsid w:val="726241D7"/>
    <w:rsid w:val="727537EB"/>
    <w:rsid w:val="72C40DC1"/>
    <w:rsid w:val="72FC56B6"/>
    <w:rsid w:val="736D135F"/>
    <w:rsid w:val="73773A7A"/>
    <w:rsid w:val="737C6F54"/>
    <w:rsid w:val="74475954"/>
    <w:rsid w:val="751D0C5C"/>
    <w:rsid w:val="755F1275"/>
    <w:rsid w:val="75C573A4"/>
    <w:rsid w:val="75E12911"/>
    <w:rsid w:val="7614205F"/>
    <w:rsid w:val="767E4D94"/>
    <w:rsid w:val="76B92C06"/>
    <w:rsid w:val="78A92684"/>
    <w:rsid w:val="78E92F32"/>
    <w:rsid w:val="79050385"/>
    <w:rsid w:val="792F0F5E"/>
    <w:rsid w:val="796C21B2"/>
    <w:rsid w:val="798679EA"/>
    <w:rsid w:val="79923390"/>
    <w:rsid w:val="79B82EBF"/>
    <w:rsid w:val="7A30625E"/>
    <w:rsid w:val="7A790531"/>
    <w:rsid w:val="7AD91DAC"/>
    <w:rsid w:val="7AF1510B"/>
    <w:rsid w:val="7B0C77A9"/>
    <w:rsid w:val="7B690757"/>
    <w:rsid w:val="7B7706C9"/>
    <w:rsid w:val="7BAF59EF"/>
    <w:rsid w:val="7BD76009"/>
    <w:rsid w:val="7C130823"/>
    <w:rsid w:val="7D016B7E"/>
    <w:rsid w:val="7D1E3617"/>
    <w:rsid w:val="7D376633"/>
    <w:rsid w:val="7E8B2F56"/>
    <w:rsid w:val="7F403EBC"/>
    <w:rsid w:val="7F844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9"/>
    <w:qFormat/>
    <w:uiPriority w:val="0"/>
    <w:pPr>
      <w:keepNext/>
      <w:keepLines/>
      <w:spacing w:before="340" w:after="330" w:line="576" w:lineRule="auto"/>
      <w:outlineLvl w:val="0"/>
    </w:pPr>
    <w:rPr>
      <w:rFonts w:ascii="Times New Roman" w:hAnsi="Times New Roman"/>
      <w:b/>
      <w:kern w:val="44"/>
      <w:sz w:val="4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1"/>
    <w:pPr>
      <w:spacing w:before="157"/>
      <w:ind w:left="120"/>
    </w:pPr>
    <w:rPr>
      <w:rFonts w:ascii="宋体" w:hAnsi="宋体" w:eastAsia="宋体"/>
      <w:b/>
      <w:bCs/>
      <w:sz w:val="24"/>
      <w:szCs w:val="24"/>
    </w:rPr>
  </w:style>
  <w:style w:type="paragraph" w:styleId="4">
    <w:name w:val="Document Map"/>
    <w:basedOn w:val="1"/>
    <w:link w:val="26"/>
    <w:qFormat/>
    <w:uiPriority w:val="0"/>
    <w:rPr>
      <w:rFonts w:ascii="宋体"/>
      <w:sz w:val="18"/>
      <w:szCs w:val="18"/>
    </w:rPr>
  </w:style>
  <w:style w:type="paragraph" w:styleId="5">
    <w:name w:val="annotation text"/>
    <w:basedOn w:val="1"/>
    <w:link w:val="24"/>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link w:val="28"/>
    <w:qFormat/>
    <w:uiPriority w:val="0"/>
    <w:pPr>
      <w:spacing w:line="580" w:lineRule="exact"/>
      <w:ind w:right="-197" w:firstLine="560" w:firstLineChars="200"/>
    </w:pPr>
    <w:rPr>
      <w:rFonts w:ascii="黑体" w:hAnsi="Courier New" w:eastAsia="黑体"/>
      <w:sz w:val="28"/>
      <w:szCs w:val="20"/>
    </w:rPr>
  </w:style>
  <w:style w:type="paragraph" w:styleId="9">
    <w:name w:val="Date"/>
    <w:basedOn w:val="1"/>
    <w:next w:val="1"/>
    <w:link w:val="49"/>
    <w:qFormat/>
    <w:uiPriority w:val="99"/>
    <w:pPr>
      <w:ind w:left="100" w:leftChars="2500"/>
    </w:pPr>
    <w:rPr>
      <w:rFonts w:ascii="仿宋_GB2312" w:hAnsi="Times New Roman" w:eastAsia="仿宋_GB2312" w:cs="仿宋_GB2312"/>
      <w:b/>
      <w:bCs/>
      <w:kern w:val="0"/>
      <w:sz w:val="24"/>
      <w:szCs w:val="24"/>
    </w:rPr>
  </w:style>
  <w:style w:type="paragraph" w:styleId="10">
    <w:name w:val="Body Text Indent 2"/>
    <w:basedOn w:val="1"/>
    <w:link w:val="53"/>
    <w:qFormat/>
    <w:uiPriority w:val="0"/>
    <w:pPr>
      <w:spacing w:after="120" w:line="480" w:lineRule="auto"/>
      <w:ind w:left="420" w:leftChars="200"/>
    </w:pPr>
  </w:style>
  <w:style w:type="paragraph" w:styleId="11">
    <w:name w:val="Balloon Text"/>
    <w:basedOn w:val="1"/>
    <w:link w:val="27"/>
    <w:qFormat/>
    <w:uiPriority w:val="0"/>
    <w:rPr>
      <w:sz w:val="18"/>
      <w:szCs w:val="18"/>
    </w:rPr>
  </w:style>
  <w:style w:type="paragraph" w:styleId="12">
    <w:name w:val="footer"/>
    <w:basedOn w:val="1"/>
    <w:link w:val="25"/>
    <w:qFormat/>
    <w:uiPriority w:val="0"/>
    <w:pPr>
      <w:tabs>
        <w:tab w:val="center" w:pos="4153"/>
        <w:tab w:val="right" w:pos="8306"/>
      </w:tabs>
      <w:snapToGrid w:val="0"/>
      <w:jc w:val="left"/>
    </w:pPr>
    <w:rPr>
      <w:kern w:val="0"/>
      <w:sz w:val="18"/>
      <w:szCs w:val="18"/>
    </w:rPr>
  </w:style>
  <w:style w:type="paragraph" w:styleId="13">
    <w:name w:val="header"/>
    <w:basedOn w:val="1"/>
    <w:link w:val="31"/>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Body Text 2"/>
    <w:basedOn w:val="1"/>
    <w:qFormat/>
    <w:uiPriority w:val="0"/>
    <w:pPr>
      <w:spacing w:after="120" w:line="480" w:lineRule="auto"/>
    </w:pPr>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annotation subject"/>
    <w:basedOn w:val="5"/>
    <w:next w:val="5"/>
    <w:link w:val="30"/>
    <w:qFormat/>
    <w:uiPriority w:val="0"/>
    <w:rPr>
      <w:b/>
      <w:bCs/>
    </w:rPr>
  </w:style>
  <w:style w:type="paragraph" w:styleId="17">
    <w:name w:val="Body Text First Indent"/>
    <w:basedOn w:val="6"/>
    <w:link w:val="39"/>
    <w:qFormat/>
    <w:uiPriority w:val="0"/>
    <w:pPr>
      <w:ind w:firstLine="420"/>
    </w:pPr>
    <w:rPr>
      <w:rFonts w:ascii="Times New Roman" w:hAnsi="Times New Roman"/>
      <w:szCs w:val="20"/>
    </w:rPr>
  </w:style>
  <w:style w:type="table" w:styleId="19">
    <w:name w:val="Table Grid"/>
    <w:basedOn w:val="1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99"/>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批注文字 字符"/>
    <w:link w:val="5"/>
    <w:qFormat/>
    <w:uiPriority w:val="0"/>
    <w:rPr>
      <w:kern w:val="2"/>
      <w:sz w:val="21"/>
      <w:szCs w:val="22"/>
    </w:rPr>
  </w:style>
  <w:style w:type="character" w:customStyle="1" w:styleId="25">
    <w:name w:val="页脚 字符"/>
    <w:link w:val="12"/>
    <w:qFormat/>
    <w:uiPriority w:val="0"/>
    <w:rPr>
      <w:sz w:val="18"/>
      <w:szCs w:val="18"/>
    </w:rPr>
  </w:style>
  <w:style w:type="character" w:customStyle="1" w:styleId="26">
    <w:name w:val="文档结构图 字符"/>
    <w:link w:val="4"/>
    <w:qFormat/>
    <w:uiPriority w:val="0"/>
    <w:rPr>
      <w:rFonts w:ascii="宋体"/>
      <w:kern w:val="2"/>
      <w:sz w:val="18"/>
      <w:szCs w:val="18"/>
    </w:rPr>
  </w:style>
  <w:style w:type="character" w:customStyle="1" w:styleId="27">
    <w:name w:val="批注框文本 字符"/>
    <w:link w:val="11"/>
    <w:qFormat/>
    <w:uiPriority w:val="0"/>
    <w:rPr>
      <w:kern w:val="2"/>
      <w:sz w:val="18"/>
      <w:szCs w:val="18"/>
    </w:rPr>
  </w:style>
  <w:style w:type="character" w:customStyle="1" w:styleId="28">
    <w:name w:val="纯文本 字符"/>
    <w:link w:val="8"/>
    <w:qFormat/>
    <w:uiPriority w:val="0"/>
    <w:rPr>
      <w:rFonts w:ascii="黑体" w:hAnsi="Courier New" w:eastAsia="黑体"/>
      <w:kern w:val="2"/>
      <w:sz w:val="28"/>
    </w:rPr>
  </w:style>
  <w:style w:type="character" w:customStyle="1" w:styleId="29">
    <w:name w:val="标题 1 字符"/>
    <w:link w:val="3"/>
    <w:qFormat/>
    <w:uiPriority w:val="0"/>
    <w:rPr>
      <w:rFonts w:ascii="Times New Roman" w:hAnsi="Times New Roman"/>
      <w:b/>
      <w:kern w:val="44"/>
      <w:sz w:val="44"/>
    </w:rPr>
  </w:style>
  <w:style w:type="character" w:customStyle="1" w:styleId="30">
    <w:name w:val="批注主题 字符"/>
    <w:link w:val="16"/>
    <w:qFormat/>
    <w:uiPriority w:val="0"/>
    <w:rPr>
      <w:b/>
      <w:bCs/>
      <w:kern w:val="2"/>
      <w:sz w:val="21"/>
      <w:szCs w:val="22"/>
    </w:rPr>
  </w:style>
  <w:style w:type="character" w:customStyle="1" w:styleId="31">
    <w:name w:val="页眉 字符"/>
    <w:link w:val="13"/>
    <w:qFormat/>
    <w:uiPriority w:val="99"/>
    <w:rPr>
      <w:sz w:val="18"/>
      <w:szCs w:val="18"/>
    </w:rPr>
  </w:style>
  <w:style w:type="paragraph" w:styleId="32">
    <w:name w:val="List Paragraph"/>
    <w:basedOn w:val="1"/>
    <w:qFormat/>
    <w:uiPriority w:val="0"/>
    <w:pPr>
      <w:ind w:firstLine="420" w:firstLineChars="200"/>
    </w:pPr>
  </w:style>
  <w:style w:type="paragraph" w:customStyle="1" w:styleId="33">
    <w:name w:val="正文 New"/>
    <w:qFormat/>
    <w:uiPriority w:val="0"/>
    <w:pPr>
      <w:widowControl w:val="0"/>
      <w:autoSpaceDE w:val="0"/>
      <w:autoSpaceDN w:val="0"/>
      <w:adjustRightInd w:val="0"/>
    </w:pPr>
    <w:rPr>
      <w:rFonts w:ascii="Calibri" w:hAnsi="Calibri" w:eastAsia="宋体" w:cs="Times New Roman"/>
      <w:lang w:val="en-US" w:eastAsia="zh-CN" w:bidi="ar-SA"/>
    </w:rPr>
  </w:style>
  <w:style w:type="paragraph" w:customStyle="1" w:styleId="34">
    <w:name w:val="正文 New New New"/>
    <w:qFormat/>
    <w:uiPriority w:val="0"/>
    <w:pPr>
      <w:widowControl w:val="0"/>
      <w:autoSpaceDE w:val="0"/>
      <w:autoSpaceDN w:val="0"/>
      <w:adjustRightInd w:val="0"/>
    </w:pPr>
    <w:rPr>
      <w:rFonts w:ascii="Calibri" w:hAnsi="Calibri" w:eastAsia="宋体" w:cs="Times New Roman"/>
      <w:lang w:val="en-US" w:eastAsia="zh-CN" w:bidi="ar-SA"/>
    </w:rPr>
  </w:style>
  <w:style w:type="paragraph" w:customStyle="1" w:styleId="35">
    <w:name w:val="页脚 New"/>
    <w:basedOn w:val="34"/>
    <w:qFormat/>
    <w:uiPriority w:val="0"/>
    <w:pPr>
      <w:tabs>
        <w:tab w:val="center" w:pos="4153"/>
        <w:tab w:val="right" w:pos="8306"/>
      </w:tabs>
      <w:snapToGrid w:val="0"/>
    </w:pPr>
    <w:rPr>
      <w:sz w:val="18"/>
      <w:szCs w:val="18"/>
    </w:rPr>
  </w:style>
  <w:style w:type="paragraph" w:customStyle="1" w:styleId="36">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p0"/>
    <w:basedOn w:val="1"/>
    <w:qFormat/>
    <w:uiPriority w:val="0"/>
    <w:pPr>
      <w:widowControl/>
    </w:pPr>
    <w:rPr>
      <w:rFonts w:cs="宋体"/>
      <w:kern w:val="0"/>
      <w:szCs w:val="21"/>
    </w:rPr>
  </w:style>
  <w:style w:type="paragraph" w:customStyle="1" w:styleId="38">
    <w:name w:val="zhang"/>
    <w:basedOn w:val="1"/>
    <w:qFormat/>
    <w:uiPriority w:val="0"/>
    <w:pPr>
      <w:widowControl/>
      <w:spacing w:before="100" w:beforeAutospacing="1" w:after="100" w:afterAutospacing="1"/>
      <w:jc w:val="left"/>
    </w:pPr>
    <w:rPr>
      <w:rFonts w:ascii="ˎ̥" w:hAnsi="ˎ̥" w:cs="宋体"/>
      <w:b/>
      <w:bCs/>
      <w:smallCaps/>
      <w:color w:val="000000"/>
      <w:kern w:val="0"/>
      <w:sz w:val="20"/>
      <w:szCs w:val="20"/>
    </w:rPr>
  </w:style>
  <w:style w:type="character" w:customStyle="1" w:styleId="39">
    <w:name w:val="正文首行缩进 字符"/>
    <w:link w:val="17"/>
    <w:qFormat/>
    <w:locked/>
    <w:uiPriority w:val="0"/>
    <w:rPr>
      <w:rFonts w:eastAsia="宋体"/>
      <w:kern w:val="2"/>
      <w:sz w:val="21"/>
      <w:lang w:val="en-US" w:eastAsia="zh-CN" w:bidi="ar-SA"/>
    </w:rPr>
  </w:style>
  <w:style w:type="character" w:customStyle="1" w:styleId="40">
    <w:name w:val="Comment Text Char"/>
    <w:semiHidden/>
    <w:qFormat/>
    <w:locked/>
    <w:uiPriority w:val="0"/>
    <w:rPr>
      <w:rFonts w:eastAsia="宋体" w:cs="Times New Roman"/>
      <w:sz w:val="24"/>
    </w:rPr>
  </w:style>
  <w:style w:type="paragraph" w:customStyle="1" w:styleId="41">
    <w:name w:val="普通 (Web)"/>
    <w:basedOn w:val="1"/>
    <w:link w:val="42"/>
    <w:qFormat/>
    <w:uiPriority w:val="0"/>
    <w:pPr>
      <w:widowControl/>
      <w:spacing w:before="100" w:beforeAutospacing="1" w:after="100" w:afterAutospacing="1"/>
      <w:jc w:val="left"/>
    </w:pPr>
    <w:rPr>
      <w:rFonts w:ascii="宋体" w:hAnsi="宋体"/>
      <w:kern w:val="0"/>
      <w:sz w:val="24"/>
      <w:szCs w:val="20"/>
    </w:rPr>
  </w:style>
  <w:style w:type="character" w:customStyle="1" w:styleId="42">
    <w:name w:val="普通 (Web) Char1"/>
    <w:link w:val="41"/>
    <w:qFormat/>
    <w:locked/>
    <w:uiPriority w:val="0"/>
    <w:rPr>
      <w:rFonts w:ascii="宋体" w:hAnsi="宋体" w:eastAsia="宋体"/>
      <w:sz w:val="24"/>
      <w:lang w:val="en-US" w:eastAsia="zh-CN" w:bidi="ar-SA"/>
    </w:rPr>
  </w:style>
  <w:style w:type="paragraph" w:customStyle="1" w:styleId="43">
    <w:name w:val="Char1"/>
    <w:basedOn w:val="1"/>
    <w:qFormat/>
    <w:uiPriority w:val="0"/>
    <w:pPr>
      <w:ind w:left="567" w:hanging="279"/>
    </w:pPr>
    <w:rPr>
      <w:rFonts w:ascii="Times New Roman" w:hAnsi="Times New Roman"/>
      <w:sz w:val="24"/>
      <w:szCs w:val="24"/>
    </w:rPr>
  </w:style>
  <w:style w:type="paragraph" w:customStyle="1" w:styleId="44">
    <w:name w:val="Char Char Char Char Char Char Char Char Char Char"/>
    <w:basedOn w:val="1"/>
    <w:qFormat/>
    <w:uiPriority w:val="0"/>
    <w:rPr>
      <w:rFonts w:ascii="Tahoma" w:hAnsi="Tahoma"/>
      <w:sz w:val="24"/>
      <w:szCs w:val="20"/>
    </w:rPr>
  </w:style>
  <w:style w:type="paragraph" w:customStyle="1" w:styleId="45">
    <w:name w:val="表头"/>
    <w:basedOn w:val="1"/>
    <w:qFormat/>
    <w:uiPriority w:val="0"/>
    <w:pPr>
      <w:spacing w:line="360" w:lineRule="auto"/>
      <w:jc w:val="center"/>
    </w:pPr>
    <w:rPr>
      <w:rFonts w:ascii="黑体" w:hAnsi="Times New Roman" w:eastAsia="黑体"/>
      <w:kern w:val="0"/>
      <w:sz w:val="24"/>
      <w:szCs w:val="4"/>
    </w:rPr>
  </w:style>
  <w:style w:type="paragraph" w:customStyle="1" w:styleId="46">
    <w:name w:val="样式"/>
    <w:basedOn w:val="1"/>
    <w:next w:val="7"/>
    <w:qFormat/>
    <w:uiPriority w:val="0"/>
    <w:pPr>
      <w:jc w:val="center"/>
    </w:pPr>
    <w:rPr>
      <w:rFonts w:ascii="宋体" w:hAnsi="宋体"/>
      <w:color w:val="FF0000"/>
      <w:sz w:val="24"/>
      <w:szCs w:val="24"/>
    </w:rPr>
  </w:style>
  <w:style w:type="character" w:customStyle="1" w:styleId="47">
    <w:name w:val="纯文本 Char1"/>
    <w:qFormat/>
    <w:locked/>
    <w:uiPriority w:val="0"/>
    <w:rPr>
      <w:rFonts w:ascii="宋体" w:hAnsi="Courier New"/>
      <w:kern w:val="2"/>
      <w:sz w:val="21"/>
      <w:lang w:bidi="ar-SA"/>
    </w:rPr>
  </w:style>
  <w:style w:type="paragraph" w:customStyle="1" w:styleId="48">
    <w:name w:val="Char13 Char Char Char Char Char"/>
    <w:basedOn w:val="1"/>
    <w:qFormat/>
    <w:uiPriority w:val="0"/>
    <w:pPr>
      <w:ind w:left="567" w:hanging="279"/>
    </w:pPr>
    <w:rPr>
      <w:rFonts w:ascii="Times New Roman" w:hAnsi="Times New Roman"/>
      <w:kern w:val="0"/>
      <w:sz w:val="20"/>
      <w:szCs w:val="20"/>
    </w:rPr>
  </w:style>
  <w:style w:type="character" w:customStyle="1" w:styleId="49">
    <w:name w:val="日期 字符"/>
    <w:link w:val="9"/>
    <w:qFormat/>
    <w:locked/>
    <w:uiPriority w:val="99"/>
    <w:rPr>
      <w:rFonts w:ascii="仿宋_GB2312" w:hAnsi="Times New Roman" w:eastAsia="仿宋_GB2312" w:cs="仿宋_GB2312"/>
      <w:b/>
      <w:bCs/>
      <w:sz w:val="24"/>
      <w:szCs w:val="24"/>
    </w:rPr>
  </w:style>
  <w:style w:type="character" w:customStyle="1" w:styleId="50">
    <w:name w:val="日期 Char1"/>
    <w:qFormat/>
    <w:uiPriority w:val="0"/>
    <w:rPr>
      <w:kern w:val="2"/>
      <w:sz w:val="21"/>
      <w:szCs w:val="22"/>
    </w:rPr>
  </w:style>
  <w:style w:type="character" w:customStyle="1" w:styleId="51">
    <w:name w:val="15"/>
    <w:qFormat/>
    <w:uiPriority w:val="99"/>
    <w:rPr>
      <w:rFonts w:ascii="Times New Roman" w:hAnsi="Times New Roman" w:cs="Times New Roman"/>
      <w:color w:val="auto"/>
      <w:u w:val="none"/>
    </w:rPr>
  </w:style>
  <w:style w:type="character" w:customStyle="1" w:styleId="52">
    <w:name w:val="Char Char10"/>
    <w:qFormat/>
    <w:uiPriority w:val="99"/>
    <w:rPr>
      <w:rFonts w:ascii="宋体" w:hAnsi="Courier New" w:eastAsia="宋体" w:cs="宋体"/>
      <w:kern w:val="2"/>
      <w:sz w:val="24"/>
      <w:szCs w:val="24"/>
      <w:lang w:val="en-US" w:eastAsia="zh-CN"/>
    </w:rPr>
  </w:style>
  <w:style w:type="character" w:customStyle="1" w:styleId="53">
    <w:name w:val="正文文本缩进 2 字符"/>
    <w:basedOn w:val="20"/>
    <w:link w:val="10"/>
    <w:qFormat/>
    <w:uiPriority w:val="0"/>
    <w:rPr>
      <w:kern w:val="2"/>
      <w:sz w:val="21"/>
      <w:szCs w:val="22"/>
    </w:rPr>
  </w:style>
  <w:style w:type="paragraph" w:customStyle="1" w:styleId="54">
    <w:name w:val="正文_1"/>
    <w:autoRedefine/>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sam</Company>
  <Pages>30</Pages>
  <Words>14917</Words>
  <Characters>15283</Characters>
  <Lines>151</Lines>
  <Paragraphs>42</Paragraphs>
  <TotalTime>0</TotalTime>
  <ScaleCrop>false</ScaleCrop>
  <LinksUpToDate>false</LinksUpToDate>
  <CharactersWithSpaces>15903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2019-11-22T08:30:00Z</dcterms:created>
  <dc:creator>LSK</dc:creator>
  <dc:description>Shankar's Birthday falls on 25th July.  Don't Forget to wish him</dc:description>
  <cp:keywords>Birthday</cp:keywords>
  <cp:lastModifiedBy>Hxj</cp:lastModifiedBy>
  <cp:lastPrinted>2019-12-06T07:32:00Z</cp:lastPrinted>
  <dcterms:modified xsi:type="dcterms:W3CDTF">2025-05-29T09:43:33Z</dcterms:modified>
  <dc:subject>Birthday</dc:subject>
  <dc:title>Are You suprised ?</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eyJoZGlkIjoiYzhlMjlkN2IxZjQ3MmUwNjkxMmI2ZjFjOTAyZjY5OWIiLCJ1c2VySWQiOiI3NzU3MjkwODcifQ==</vt:lpwstr>
  </property>
  <property fmtid="{D5CDD505-2E9C-101B-9397-08002B2CF9AE}" pid="4" name="ICV">
    <vt:lpwstr>08F312E0D48644A38F0CA9A1ECBA01B7_13</vt:lpwstr>
  </property>
</Properties>
</file>