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F3EDA">
      <w:pPr>
        <w:spacing w:before="120" w:beforeLines="50" w:after="120" w:afterLines="50"/>
        <w:ind w:left="993" w:firstLine="420"/>
        <w:jc w:val="left"/>
        <w:rPr>
          <w:rFonts w:hint="eastAsia" w:ascii="方正小标宋简体" w:hAnsi="方正小标宋简体" w:eastAsia="方正小标宋简体" w:cs="方正小标宋简体"/>
          <w:sz w:val="44"/>
          <w:szCs w:val="44"/>
          <w:highlight w:val="none"/>
        </w:rPr>
      </w:pPr>
    </w:p>
    <w:p w14:paraId="2258E400">
      <w:pPr>
        <w:keepNext w:val="0"/>
        <w:keepLines w:val="0"/>
        <w:pageBreakBefore w:val="0"/>
        <w:widowControl w:val="0"/>
        <w:kinsoku/>
        <w:wordWrap/>
        <w:overflowPunct/>
        <w:topLinePunct w:val="0"/>
        <w:autoSpaceDE/>
        <w:autoSpaceDN/>
        <w:bidi w:val="0"/>
        <w:adjustRightInd/>
        <w:snapToGrid w:val="0"/>
        <w:spacing w:line="560" w:lineRule="exact"/>
        <w:ind w:left="993" w:firstLine="420"/>
        <w:jc w:val="left"/>
        <w:textAlignment w:val="auto"/>
        <w:rPr>
          <w:rFonts w:hint="eastAsia" w:ascii="方正小标宋简体" w:hAnsi="方正小标宋简体" w:eastAsia="方正小标宋简体" w:cs="方正小标宋简体"/>
          <w:sz w:val="44"/>
          <w:szCs w:val="44"/>
          <w:highlight w:val="none"/>
        </w:rPr>
      </w:pPr>
    </w:p>
    <w:p w14:paraId="2F1B9930">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outlineLvl w:val="0"/>
        <w:rPr>
          <w:rFonts w:hint="eastAsia" w:ascii="方正小标宋简体" w:hAnsi="方正小标宋简体" w:eastAsia="方正小标宋简体" w:cs="方正小标宋简体"/>
          <w:b/>
          <w:bCs/>
          <w:spacing w:val="3"/>
          <w:sz w:val="44"/>
          <w:szCs w:val="44"/>
          <w:highlight w:val="none"/>
        </w:rPr>
      </w:pPr>
      <w:r>
        <w:rPr>
          <w:rFonts w:hint="eastAsia" w:ascii="方正小标宋简体" w:hAnsi="方正小标宋简体" w:eastAsia="方正小标宋简体" w:cs="方正小标宋简体"/>
          <w:b/>
          <w:bCs/>
          <w:spacing w:val="3"/>
          <w:sz w:val="44"/>
          <w:szCs w:val="44"/>
          <w:highlight w:val="none"/>
        </w:rPr>
        <w:t>广州市海珠区太源里13号拆除重建</w:t>
      </w:r>
    </w:p>
    <w:p w14:paraId="68049BE4">
      <w:pPr>
        <w:spacing w:before="120" w:beforeLines="50" w:after="120" w:afterLines="50"/>
        <w:ind w:firstLine="480"/>
        <w:jc w:val="center"/>
        <w:rPr>
          <w:highlight w:val="none"/>
        </w:rPr>
      </w:pPr>
      <w:bookmarkStart w:id="1125" w:name="_GoBack"/>
      <w:bookmarkEnd w:id="1125"/>
      <w:r>
        <w:rPr>
          <w:rFonts w:hint="eastAsia" w:ascii="方正小标宋简体" w:hAnsi="方正小标宋简体" w:eastAsia="方正小标宋简体" w:cs="方正小标宋简体"/>
          <w:b/>
          <w:bCs/>
          <w:spacing w:val="3"/>
          <w:sz w:val="44"/>
          <w:szCs w:val="44"/>
          <w:highlight w:val="none"/>
        </w:rPr>
        <w:t>工程施工总承包</w:t>
      </w:r>
    </w:p>
    <w:p w14:paraId="155162FC">
      <w:pPr>
        <w:spacing w:before="120" w:beforeLines="50" w:after="120" w:afterLines="50"/>
        <w:ind w:firstLine="480"/>
        <w:jc w:val="center"/>
        <w:rPr>
          <w:highlight w:val="none"/>
        </w:rPr>
      </w:pPr>
    </w:p>
    <w:p w14:paraId="21AAD87A">
      <w:pPr>
        <w:spacing w:before="120" w:beforeLines="50" w:after="120" w:afterLines="50"/>
        <w:ind w:firstLine="480"/>
        <w:jc w:val="center"/>
        <w:rPr>
          <w:highlight w:val="none"/>
        </w:rPr>
      </w:pPr>
    </w:p>
    <w:p w14:paraId="2A0B4985">
      <w:pPr>
        <w:spacing w:before="120" w:beforeLines="50" w:after="120" w:afterLines="50"/>
        <w:ind w:left="0" w:leftChars="0" w:firstLine="0" w:firstLineChars="0"/>
        <w:jc w:val="both"/>
        <w:rPr>
          <w:highlight w:val="none"/>
        </w:rPr>
      </w:pPr>
    </w:p>
    <w:p w14:paraId="4D8D4089">
      <w:pPr>
        <w:spacing w:before="120" w:beforeLines="50" w:after="120" w:afterLines="50"/>
        <w:ind w:firstLine="480"/>
        <w:jc w:val="center"/>
        <w:rPr>
          <w:highlight w:val="none"/>
        </w:rPr>
      </w:pPr>
    </w:p>
    <w:p w14:paraId="0EB6C218">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方正小标宋简体" w:hAnsi="方正小标宋简体" w:eastAsia="方正小标宋简体" w:cs="方正小标宋简体"/>
          <w:sz w:val="28"/>
          <w:szCs w:val="28"/>
          <w:highlight w:val="none"/>
        </w:rPr>
      </w:pPr>
      <w:r>
        <w:rPr>
          <w:rFonts w:hint="eastAsia" w:ascii="方正小标宋简体" w:hAnsi="方正小标宋简体" w:eastAsia="方正小标宋简体" w:cs="方正小标宋简体"/>
          <w:b/>
          <w:bCs/>
          <w:spacing w:val="13"/>
          <w:sz w:val="44"/>
          <w:szCs w:val="44"/>
          <w:highlight w:val="none"/>
        </w:rPr>
        <w:t>发包人技术要求</w:t>
      </w:r>
    </w:p>
    <w:p w14:paraId="6F013D8B">
      <w:pPr>
        <w:spacing w:before="120" w:beforeLines="50" w:after="120" w:afterLines="50"/>
        <w:ind w:firstLine="480"/>
        <w:rPr>
          <w:highlight w:val="none"/>
        </w:rPr>
      </w:pPr>
    </w:p>
    <w:p w14:paraId="2873909A">
      <w:pPr>
        <w:pStyle w:val="2"/>
        <w:rPr>
          <w:highlight w:val="none"/>
        </w:rPr>
      </w:pPr>
    </w:p>
    <w:p w14:paraId="47CA0B5C">
      <w:pPr>
        <w:rPr>
          <w:highlight w:val="none"/>
        </w:rPr>
      </w:pPr>
    </w:p>
    <w:p w14:paraId="33914004">
      <w:pPr>
        <w:pStyle w:val="2"/>
        <w:rPr>
          <w:highlight w:val="none"/>
        </w:rPr>
      </w:pPr>
    </w:p>
    <w:p w14:paraId="3902E8EE">
      <w:pPr>
        <w:rPr>
          <w:highlight w:val="none"/>
        </w:rPr>
      </w:pPr>
    </w:p>
    <w:p w14:paraId="35F94C06">
      <w:pPr>
        <w:pStyle w:val="2"/>
        <w:rPr>
          <w:highlight w:val="none"/>
        </w:rPr>
      </w:pPr>
    </w:p>
    <w:p w14:paraId="034CEACD">
      <w:pPr>
        <w:rPr>
          <w:highlight w:val="none"/>
        </w:rPr>
      </w:pPr>
    </w:p>
    <w:p w14:paraId="2FBC2B90">
      <w:pPr>
        <w:spacing w:before="120" w:beforeLines="50" w:after="120" w:afterLines="50"/>
        <w:ind w:firstLine="480"/>
        <w:rPr>
          <w:highlight w:val="none"/>
        </w:rPr>
      </w:pPr>
    </w:p>
    <w:p w14:paraId="0A7AC5DA">
      <w:pPr>
        <w:spacing w:before="120" w:beforeLines="50" w:after="120" w:afterLines="50"/>
        <w:ind w:firstLine="480"/>
        <w:rPr>
          <w:highlight w:val="none"/>
        </w:rPr>
      </w:pPr>
    </w:p>
    <w:p w14:paraId="15804770">
      <w:pPr>
        <w:spacing w:before="120" w:beforeLines="50" w:after="120" w:afterLines="50"/>
        <w:ind w:firstLine="480"/>
        <w:rPr>
          <w:highlight w:val="none"/>
        </w:rPr>
      </w:pPr>
    </w:p>
    <w:p w14:paraId="729EA565">
      <w:pPr>
        <w:spacing w:before="120" w:beforeLines="50" w:after="120" w:afterLines="50"/>
        <w:ind w:firstLine="480"/>
        <w:rPr>
          <w:highlight w:val="none"/>
        </w:rPr>
      </w:pPr>
    </w:p>
    <w:p w14:paraId="237EE61F">
      <w:pPr>
        <w:spacing w:before="120" w:beforeLines="50" w:after="120" w:afterLines="50"/>
        <w:ind w:firstLine="480"/>
        <w:rPr>
          <w:rFonts w:hint="eastAsia" w:ascii="楷体" w:hAnsi="楷体" w:eastAsia="楷体" w:cs="楷体"/>
          <w:sz w:val="32"/>
          <w:szCs w:val="32"/>
          <w:highlight w:val="none"/>
        </w:rPr>
      </w:pPr>
    </w:p>
    <w:p w14:paraId="3A7B6261">
      <w:pPr>
        <w:spacing w:before="120" w:beforeLines="50" w:after="120" w:afterLines="50"/>
        <w:ind w:firstLine="480"/>
        <w:rPr>
          <w:rFonts w:hint="eastAsia" w:ascii="楷体" w:hAnsi="楷体" w:eastAsia="楷体" w:cs="楷体"/>
          <w:sz w:val="32"/>
          <w:szCs w:val="32"/>
          <w:highlight w:val="none"/>
        </w:rPr>
      </w:pPr>
    </w:p>
    <w:p w14:paraId="7869E99C">
      <w:pPr>
        <w:spacing w:before="120" w:beforeLines="50" w:after="120" w:afterLines="50"/>
        <w:ind w:firstLine="1014" w:firstLineChars="300"/>
        <w:rPr>
          <w:rFonts w:hint="default" w:ascii="Times New Roman" w:hAnsi="Times New Roman" w:eastAsia="楷体" w:cs="Times New Roman"/>
          <w:sz w:val="32"/>
          <w:szCs w:val="32"/>
          <w:highlight w:val="none"/>
        </w:rPr>
      </w:pPr>
      <w:r>
        <w:rPr>
          <w:rFonts w:hint="default" w:ascii="Times New Roman" w:hAnsi="Times New Roman" w:eastAsia="楷体" w:cs="Times New Roman"/>
          <w:spacing w:val="9"/>
          <w:sz w:val="32"/>
          <w:szCs w:val="32"/>
          <w:highlight w:val="none"/>
        </w:rPr>
        <w:t>招标单位：</w:t>
      </w:r>
      <w:r>
        <w:rPr>
          <w:rFonts w:hint="eastAsia" w:ascii="Times New Roman" w:hAnsi="Times New Roman" w:eastAsia="楷体" w:cs="Times New Roman"/>
          <w:spacing w:val="9"/>
          <w:sz w:val="32"/>
          <w:szCs w:val="32"/>
          <w:highlight w:val="none"/>
          <w:u w:val="single"/>
          <w:lang w:eastAsia="zh-CN"/>
        </w:rPr>
        <w:t>广州安居住房置业有限公司</w:t>
      </w:r>
      <w:r>
        <w:rPr>
          <w:rFonts w:hint="default" w:ascii="Times New Roman" w:hAnsi="Times New Roman" w:eastAsia="楷体" w:cs="Times New Roman"/>
          <w:sz w:val="32"/>
          <w:szCs w:val="32"/>
          <w:highlight w:val="none"/>
        </w:rPr>
        <w:t xml:space="preserve"> </w:t>
      </w:r>
    </w:p>
    <w:p w14:paraId="5A5F2FFF">
      <w:pPr>
        <w:spacing w:before="120" w:beforeLines="50" w:after="120" w:afterLines="50"/>
        <w:ind w:firstLine="0" w:firstLineChars="0"/>
        <w:jc w:val="center"/>
        <w:rPr>
          <w:rFonts w:hint="default" w:ascii="Times New Roman" w:hAnsi="Times New Roman" w:eastAsia="楷体" w:cs="Times New Roman"/>
          <w:sz w:val="32"/>
          <w:szCs w:val="32"/>
          <w:highlight w:val="none"/>
        </w:rPr>
      </w:pPr>
      <w:r>
        <w:rPr>
          <w:rFonts w:hint="default" w:ascii="Times New Roman" w:hAnsi="Times New Roman" w:eastAsia="楷体" w:cs="Times New Roman"/>
          <w:spacing w:val="-5"/>
          <w:sz w:val="32"/>
          <w:szCs w:val="32"/>
          <w:highlight w:val="none"/>
        </w:rPr>
        <w:t>日期：202</w:t>
      </w:r>
      <w:r>
        <w:rPr>
          <w:rFonts w:hint="default" w:ascii="Times New Roman" w:hAnsi="Times New Roman" w:eastAsia="楷体" w:cs="Times New Roman"/>
          <w:spacing w:val="-5"/>
          <w:sz w:val="32"/>
          <w:szCs w:val="32"/>
          <w:highlight w:val="none"/>
          <w:lang w:val="en-US" w:eastAsia="zh-CN"/>
        </w:rPr>
        <w:t>5</w:t>
      </w:r>
      <w:r>
        <w:rPr>
          <w:rFonts w:hint="default" w:ascii="Times New Roman" w:hAnsi="Times New Roman" w:eastAsia="楷体" w:cs="Times New Roman"/>
          <w:spacing w:val="-56"/>
          <w:sz w:val="32"/>
          <w:szCs w:val="32"/>
          <w:highlight w:val="none"/>
        </w:rPr>
        <w:t xml:space="preserve"> </w:t>
      </w:r>
      <w:r>
        <w:rPr>
          <w:rFonts w:hint="default" w:ascii="Times New Roman" w:hAnsi="Times New Roman" w:eastAsia="楷体" w:cs="Times New Roman"/>
          <w:spacing w:val="-5"/>
          <w:sz w:val="32"/>
          <w:szCs w:val="32"/>
          <w:highlight w:val="none"/>
        </w:rPr>
        <w:t>年</w:t>
      </w:r>
      <w:r>
        <w:rPr>
          <w:rFonts w:hint="default" w:ascii="Times New Roman" w:hAnsi="Times New Roman" w:eastAsia="楷体" w:cs="Times New Roman"/>
          <w:spacing w:val="-37"/>
          <w:sz w:val="32"/>
          <w:szCs w:val="32"/>
          <w:highlight w:val="none"/>
        </w:rPr>
        <w:t xml:space="preserve"> </w:t>
      </w:r>
      <w:r>
        <w:rPr>
          <w:rFonts w:hint="eastAsia" w:ascii="Times New Roman" w:hAnsi="Times New Roman" w:eastAsia="楷体" w:cs="Times New Roman"/>
          <w:spacing w:val="-37"/>
          <w:sz w:val="32"/>
          <w:szCs w:val="32"/>
          <w:highlight w:val="none"/>
          <w:lang w:val="en-US" w:eastAsia="zh-CN"/>
        </w:rPr>
        <w:t>5</w:t>
      </w:r>
      <w:r>
        <w:rPr>
          <w:rFonts w:hint="default" w:ascii="Times New Roman" w:hAnsi="Times New Roman" w:eastAsia="楷体" w:cs="Times New Roman"/>
          <w:spacing w:val="-5"/>
          <w:sz w:val="32"/>
          <w:szCs w:val="32"/>
          <w:highlight w:val="none"/>
        </w:rPr>
        <w:t>月</w:t>
      </w:r>
    </w:p>
    <w:p w14:paraId="57BD10C5">
      <w:pPr>
        <w:ind w:firstLine="480"/>
        <w:rPr>
          <w:highlight w:val="none"/>
        </w:rPr>
      </w:pPr>
    </w:p>
    <w:p w14:paraId="1D6B01FA">
      <w:pPr>
        <w:ind w:firstLine="480"/>
        <w:rPr>
          <w:highlight w:val="none"/>
        </w:rPr>
        <w:sectPr>
          <w:headerReference r:id="rId7" w:type="first"/>
          <w:footerReference r:id="rId10" w:type="first"/>
          <w:headerReference r:id="rId5" w:type="default"/>
          <w:footerReference r:id="rId8" w:type="default"/>
          <w:headerReference r:id="rId6" w:type="even"/>
          <w:footerReference r:id="rId9" w:type="even"/>
          <w:pgSz w:w="11905" w:h="16839"/>
          <w:pgMar w:top="1440" w:right="1440" w:bottom="1440" w:left="1440" w:header="0" w:footer="1144" w:gutter="0"/>
          <w:pgNumType w:fmt="decimal"/>
          <w:cols w:space="720" w:num="1"/>
        </w:sectPr>
      </w:pPr>
    </w:p>
    <w:p w14:paraId="152B870E">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目录</w:t>
      </w:r>
    </w:p>
    <w:p w14:paraId="186FDDEB">
      <w:pPr>
        <w:pStyle w:val="30"/>
        <w:tabs>
          <w:tab w:val="right" w:leader="dot" w:pos="9025"/>
        </w:tabs>
        <w:rPr>
          <w:highlight w:val="none"/>
        </w:rPr>
      </w:pPr>
      <w:r>
        <w:rPr>
          <w:highlight w:val="none"/>
        </w:rPr>
        <w:fldChar w:fldCharType="begin"/>
      </w:r>
      <w:r>
        <w:rPr>
          <w:highlight w:val="none"/>
        </w:rPr>
        <w:instrText xml:space="preserve">TOC \o "1-3" \h \u </w:instrText>
      </w:r>
      <w:r>
        <w:rPr>
          <w:highlight w:val="none"/>
        </w:rPr>
        <w:fldChar w:fldCharType="separate"/>
      </w:r>
    </w:p>
    <w:p w14:paraId="3621B6BB">
      <w:pPr>
        <w:pStyle w:val="30"/>
        <w:tabs>
          <w:tab w:val="right" w:leader="dot" w:pos="9025"/>
        </w:tabs>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_Toc12662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第1章 工程概况</w:t>
      </w:r>
      <w:r>
        <w:rPr>
          <w:rFonts w:hint="default" w:ascii="Times New Roman" w:hAnsi="Times New Roman" w:eastAsia="仿宋" w:cs="Times New Roman"/>
          <w:sz w:val="21"/>
          <w:szCs w:val="21"/>
          <w:highlight w:val="none"/>
        </w:rPr>
        <w:tab/>
      </w: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PAGEREF _Toc12662 \h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1</w:t>
      </w:r>
      <w:r>
        <w:rPr>
          <w:rFonts w:hint="default" w:ascii="Times New Roman" w:hAnsi="Times New Roman" w:eastAsia="仿宋" w:cs="Times New Roman"/>
          <w:sz w:val="21"/>
          <w:szCs w:val="21"/>
          <w:highlight w:val="none"/>
        </w:rPr>
        <w:fldChar w:fldCharType="end"/>
      </w:r>
      <w:r>
        <w:rPr>
          <w:rFonts w:hint="default" w:ascii="Times New Roman" w:hAnsi="Times New Roman" w:eastAsia="仿宋" w:cs="Times New Roman"/>
          <w:sz w:val="21"/>
          <w:szCs w:val="21"/>
          <w:highlight w:val="none"/>
        </w:rPr>
        <w:fldChar w:fldCharType="end"/>
      </w:r>
    </w:p>
    <w:p w14:paraId="0E9E5384">
      <w:pPr>
        <w:pStyle w:val="29"/>
        <w:tabs>
          <w:tab w:val="right" w:leader="dot" w:pos="9025"/>
        </w:tabs>
        <w:rPr>
          <w:rFonts w:hint="eastAsia"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_Toc12462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1.1工程概况</w:t>
      </w:r>
      <w:r>
        <w:rPr>
          <w:rFonts w:hint="default" w:ascii="Times New Roman" w:hAnsi="Times New Roman" w:eastAsia="仿宋" w:cs="Times New Roman"/>
          <w:sz w:val="21"/>
          <w:szCs w:val="21"/>
          <w:highlight w:val="none"/>
        </w:rPr>
        <w:tab/>
      </w: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PAGEREF _Toc12462 \h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1</w:t>
      </w:r>
      <w:r>
        <w:rPr>
          <w:rFonts w:hint="default" w:ascii="Times New Roman" w:hAnsi="Times New Roman" w:eastAsia="仿宋" w:cs="Times New Roman"/>
          <w:sz w:val="21"/>
          <w:szCs w:val="21"/>
          <w:highlight w:val="none"/>
        </w:rPr>
        <w:fldChar w:fldCharType="end"/>
      </w:r>
      <w:r>
        <w:rPr>
          <w:rFonts w:hint="default" w:ascii="Times New Roman" w:hAnsi="Times New Roman" w:eastAsia="仿宋" w:cs="Times New Roman"/>
          <w:sz w:val="21"/>
          <w:szCs w:val="21"/>
          <w:highlight w:val="none"/>
        </w:rPr>
        <w:fldChar w:fldCharType="end"/>
      </w:r>
    </w:p>
    <w:p w14:paraId="6C12363A">
      <w:pPr>
        <w:pStyle w:val="29"/>
        <w:tabs>
          <w:tab w:val="right" w:leader="dot" w:pos="9025"/>
        </w:tabs>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_Toc27054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1.</w:t>
      </w:r>
      <w:r>
        <w:rPr>
          <w:rFonts w:hint="eastAsia" w:eastAsia="仿宋" w:cs="Times New Roman"/>
          <w:sz w:val="21"/>
          <w:szCs w:val="21"/>
          <w:highlight w:val="none"/>
          <w:lang w:val="en-US" w:eastAsia="zh-CN"/>
        </w:rPr>
        <w:t>2</w:t>
      </w:r>
      <w:r>
        <w:rPr>
          <w:rFonts w:hint="default" w:ascii="Times New Roman" w:hAnsi="Times New Roman" w:eastAsia="仿宋" w:cs="Times New Roman"/>
          <w:sz w:val="21"/>
          <w:szCs w:val="21"/>
          <w:highlight w:val="none"/>
        </w:rPr>
        <w:t>工程重难点</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2</w:t>
      </w:r>
      <w:r>
        <w:rPr>
          <w:rFonts w:hint="default" w:ascii="Times New Roman" w:hAnsi="Times New Roman" w:eastAsia="仿宋" w:cs="Times New Roman"/>
          <w:sz w:val="21"/>
          <w:szCs w:val="21"/>
          <w:highlight w:val="none"/>
        </w:rPr>
        <w:fldChar w:fldCharType="end"/>
      </w:r>
    </w:p>
    <w:p w14:paraId="0EDF5D55">
      <w:pPr>
        <w:pStyle w:val="30"/>
        <w:tabs>
          <w:tab w:val="right" w:leader="dot" w:pos="9025"/>
        </w:tabs>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_Toc15030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第2章 工程目标</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p>
    <w:p w14:paraId="3EC01A87">
      <w:pPr>
        <w:pStyle w:val="29"/>
        <w:tabs>
          <w:tab w:val="right" w:leader="dot" w:pos="9025"/>
        </w:tabs>
        <w:rPr>
          <w:rFonts w:hint="eastAsia"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_Toc546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2.1质量标准和目标</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p>
    <w:p w14:paraId="14C51AB8">
      <w:pPr>
        <w:pStyle w:val="29"/>
        <w:tabs>
          <w:tab w:val="right" w:leader="dot" w:pos="9025"/>
        </w:tabs>
        <w:rPr>
          <w:rFonts w:hint="eastAsia"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_Toc22024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2.2工程进度目标</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p>
    <w:p w14:paraId="5202F862">
      <w:pPr>
        <w:pStyle w:val="29"/>
        <w:tabs>
          <w:tab w:val="right" w:leader="dot" w:pos="9025"/>
        </w:tabs>
        <w:rPr>
          <w:rFonts w:hint="eastAsia"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_Toc796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2.</w:t>
      </w:r>
      <w:r>
        <w:rPr>
          <w:rFonts w:hint="eastAsia" w:ascii="Times New Roman" w:hAnsi="Times New Roman"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t>职业健康安全管理目标和环境管理目标</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p>
    <w:p w14:paraId="309E0256">
      <w:pPr>
        <w:pStyle w:val="30"/>
        <w:tabs>
          <w:tab w:val="right" w:leader="dot" w:pos="9025"/>
        </w:tabs>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_Toc12022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第3章 承包范围及界面划分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5</w:t>
      </w:r>
      <w:r>
        <w:rPr>
          <w:rFonts w:hint="default" w:ascii="Times New Roman" w:hAnsi="Times New Roman" w:eastAsia="仿宋" w:cs="Times New Roman"/>
          <w:sz w:val="21"/>
          <w:szCs w:val="21"/>
          <w:highlight w:val="none"/>
        </w:rPr>
        <w:fldChar w:fldCharType="end"/>
      </w:r>
    </w:p>
    <w:p w14:paraId="1B6F0D9B">
      <w:pPr>
        <w:pStyle w:val="29"/>
        <w:tabs>
          <w:tab w:val="right" w:leader="dot" w:pos="9025"/>
        </w:tabs>
        <w:rPr>
          <w:rFonts w:hint="eastAsia"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_Toc32248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3.</w:t>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t>总承包范围</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5</w:t>
      </w:r>
      <w:r>
        <w:rPr>
          <w:rFonts w:hint="default" w:ascii="Times New Roman" w:hAnsi="Times New Roman" w:eastAsia="仿宋" w:cs="Times New Roman"/>
          <w:sz w:val="21"/>
          <w:szCs w:val="21"/>
          <w:highlight w:val="none"/>
        </w:rPr>
        <w:fldChar w:fldCharType="end"/>
      </w:r>
    </w:p>
    <w:p w14:paraId="3CFD53B8">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_Toc32080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3.</w:t>
      </w:r>
      <w:r>
        <w:rPr>
          <w:rFonts w:hint="eastAsia" w:eastAsia="仿宋" w:cs="Times New Roman"/>
          <w:sz w:val="21"/>
          <w:szCs w:val="21"/>
          <w:highlight w:val="none"/>
          <w:lang w:val="en-US" w:eastAsia="zh-CN"/>
        </w:rPr>
        <w:t>2</w:t>
      </w:r>
      <w:r>
        <w:rPr>
          <w:rFonts w:hint="default" w:ascii="Times New Roman" w:hAnsi="Times New Roman" w:eastAsia="仿宋" w:cs="Times New Roman"/>
          <w:sz w:val="21"/>
          <w:szCs w:val="21"/>
          <w:highlight w:val="none"/>
        </w:rPr>
        <w:t>总承包人与专业承包人/独立承包人措施项目责任界面划分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5</w:t>
      </w:r>
    </w:p>
    <w:p w14:paraId="0C901D91">
      <w:pPr>
        <w:pStyle w:val="30"/>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_Toc24207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第4章 协调配合及工程整体照管要求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2</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5</w:t>
      </w:r>
    </w:p>
    <w:p w14:paraId="6B976C43">
      <w:pPr>
        <w:pStyle w:val="29"/>
        <w:tabs>
          <w:tab w:val="right" w:leader="dot" w:pos="9025"/>
        </w:tabs>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_Toc7226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4.1总承包人与发包人、设计人及监理人的协调配合</w:t>
      </w:r>
      <w:r>
        <w:rPr>
          <w:rFonts w:hint="default" w:ascii="Times New Roman" w:hAnsi="Times New Roman" w:eastAsia="仿宋" w:cs="Times New Roman"/>
          <w:sz w:val="21"/>
          <w:szCs w:val="21"/>
          <w:highlight w:val="none"/>
        </w:rPr>
        <w:tab/>
      </w: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PAGEREF _Toc7226 \h </w:instrText>
      </w:r>
      <w:r>
        <w:rPr>
          <w:rFonts w:hint="default" w:ascii="Times New Roman" w:hAnsi="Times New Roman" w:eastAsia="仿宋" w:cs="Times New Roman"/>
          <w:sz w:val="21"/>
          <w:szCs w:val="21"/>
          <w:highlight w:val="none"/>
        </w:rPr>
        <w:fldChar w:fldCharType="separate"/>
      </w:r>
      <w:r>
        <w:rPr>
          <w:rFonts w:hint="eastAsia" w:eastAsia="仿宋" w:cs="Times New Roman"/>
          <w:sz w:val="21"/>
          <w:szCs w:val="21"/>
          <w:highlight w:val="none"/>
          <w:lang w:val="en-US" w:eastAsia="zh-CN"/>
        </w:rPr>
        <w:t>25</w:t>
      </w:r>
      <w:r>
        <w:rPr>
          <w:rFonts w:hint="default" w:ascii="Times New Roman" w:hAnsi="Times New Roman" w:eastAsia="仿宋" w:cs="Times New Roman"/>
          <w:sz w:val="21"/>
          <w:szCs w:val="21"/>
          <w:highlight w:val="none"/>
        </w:rPr>
        <w:fldChar w:fldCharType="end"/>
      </w:r>
      <w:r>
        <w:rPr>
          <w:rFonts w:hint="default" w:ascii="Times New Roman" w:hAnsi="Times New Roman" w:eastAsia="仿宋" w:cs="Times New Roman"/>
          <w:sz w:val="21"/>
          <w:szCs w:val="21"/>
          <w:highlight w:val="none"/>
        </w:rPr>
        <w:fldChar w:fldCharType="end"/>
      </w:r>
    </w:p>
    <w:p w14:paraId="376EEDBE">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_Toc23636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4.2总承包人现场整体照管的要求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2</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w:t>
      </w:r>
    </w:p>
    <w:p w14:paraId="0AA75704">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_Toc13794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4.3总承包人对专业承包人的照管与协调配合要求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4</w:t>
      </w:r>
    </w:p>
    <w:p w14:paraId="19D0911C">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_Toc18214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4.4总承包人对独立供货人的照管与协调配合要求(若有)</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6</w:t>
      </w:r>
    </w:p>
    <w:p w14:paraId="104BC58B">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_Toc11387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4.5总承包人对独立承包人的照管与协调配合要求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6</w:t>
      </w:r>
    </w:p>
    <w:p w14:paraId="64EF7367">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_Toc5261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4.6总承包人对外部社会环境及公共关系的协调</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w:t>
      </w:r>
    </w:p>
    <w:p w14:paraId="641A0815">
      <w:pPr>
        <w:pStyle w:val="30"/>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_Toc23541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第5章 项目组织架构及工作要求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9</w:t>
      </w:r>
    </w:p>
    <w:p w14:paraId="60E53CE3">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_Toc12343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5.1项目管理团队组织架构设置要求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9</w:t>
      </w:r>
    </w:p>
    <w:p w14:paraId="4370E23E">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_Toc12405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5.2项目负责人的要求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4</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1</w:t>
      </w:r>
    </w:p>
    <w:p w14:paraId="678A43E2">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_Toc3662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5.3项目关键岗位人员的要求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4</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1</w:t>
      </w:r>
    </w:p>
    <w:p w14:paraId="17FAFFD9">
      <w:pPr>
        <w:pStyle w:val="30"/>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_Toc14609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第6章 施工管理要求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4</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3</w:t>
      </w:r>
    </w:p>
    <w:p w14:paraId="3A00D1A6">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_Toc26753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6.1质量管理要求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4</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3</w:t>
      </w:r>
    </w:p>
    <w:p w14:paraId="1644FF99">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_Toc17608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6.2进度管理要求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8</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w:t>
      </w:r>
    </w:p>
    <w:p w14:paraId="4F162E76">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_Toc6317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6.3深化设计要求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9</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w:t>
      </w:r>
    </w:p>
    <w:p w14:paraId="577CA31F">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_Toc14223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6.4施工策划管理要求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9</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5</w:t>
      </w:r>
    </w:p>
    <w:p w14:paraId="2AC9DA45">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_Toc26912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6.5样板管理要求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9</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5</w:t>
      </w:r>
    </w:p>
    <w:p w14:paraId="0EA46FA7">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_Toc522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6.6交付示范区要求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9</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w:t>
      </w:r>
    </w:p>
    <w:p w14:paraId="0FE3DBB5">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_Toc10234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6.7工序交接管理要求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9</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8</w:t>
      </w:r>
    </w:p>
    <w:p w14:paraId="23702534">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_Toc29942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6.8工作面交接管理要求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9</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9</w:t>
      </w:r>
    </w:p>
    <w:p w14:paraId="30EC794E">
      <w:pPr>
        <w:pStyle w:val="29"/>
        <w:tabs>
          <w:tab w:val="right" w:leader="dot" w:pos="9025"/>
        </w:tabs>
        <w:rPr>
          <w:rFonts w:hint="eastAsia"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_Toc15043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6.9成品保护要求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9</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9</w:t>
      </w:r>
    </w:p>
    <w:p w14:paraId="0DB0486F">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_Toc8603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6.10甲供物资管理要求（如有）</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00</w:t>
      </w:r>
    </w:p>
    <w:p w14:paraId="0E47172A">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_Toc16860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6.11乙供物资管理要求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01</w:t>
      </w:r>
    </w:p>
    <w:p w14:paraId="5E7ABE5C">
      <w:pPr>
        <w:pStyle w:val="29"/>
        <w:tabs>
          <w:tab w:val="right" w:leader="dot" w:pos="9025"/>
        </w:tabs>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_Toc29849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w:t>
      </w:r>
      <w:r>
        <w:rPr>
          <w:rFonts w:hint="eastAsia" w:eastAsia="仿宋" w:cs="Times New Roman"/>
          <w:sz w:val="21"/>
          <w:szCs w:val="21"/>
          <w:highlight w:val="none"/>
          <w:lang w:val="en-US" w:eastAsia="zh-CN"/>
        </w:rPr>
        <w:t>2</w:t>
      </w:r>
      <w:r>
        <w:rPr>
          <w:rFonts w:hint="default" w:ascii="Times New Roman" w:hAnsi="Times New Roman" w:eastAsia="仿宋" w:cs="Times New Roman"/>
          <w:sz w:val="21"/>
          <w:szCs w:val="21"/>
          <w:highlight w:val="none"/>
        </w:rPr>
        <w:t>劳务队伍选择要求</w:t>
      </w:r>
      <w:r>
        <w:rPr>
          <w:rFonts w:hint="default" w:ascii="Times New Roman" w:hAnsi="Times New Roman" w:eastAsia="仿宋" w:cs="Times New Roman"/>
          <w:sz w:val="21"/>
          <w:szCs w:val="21"/>
          <w:highlight w:val="none"/>
        </w:rPr>
        <w:tab/>
      </w: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PAGEREF _Toc29849 \h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1</w:t>
      </w:r>
      <w:r>
        <w:rPr>
          <w:rFonts w:hint="eastAsia" w:eastAsia="仿宋" w:cs="Times New Roman"/>
          <w:sz w:val="21"/>
          <w:szCs w:val="21"/>
          <w:highlight w:val="none"/>
          <w:lang w:val="en-US" w:eastAsia="zh-CN"/>
        </w:rPr>
        <w:t>03</w:t>
      </w:r>
      <w:r>
        <w:rPr>
          <w:rFonts w:hint="default" w:ascii="Times New Roman" w:hAnsi="Times New Roman" w:eastAsia="仿宋" w:cs="Times New Roman"/>
          <w:sz w:val="21"/>
          <w:szCs w:val="21"/>
          <w:highlight w:val="none"/>
        </w:rPr>
        <w:fldChar w:fldCharType="end"/>
      </w:r>
      <w:r>
        <w:rPr>
          <w:rFonts w:hint="default" w:ascii="Times New Roman" w:hAnsi="Times New Roman" w:eastAsia="仿宋" w:cs="Times New Roman"/>
          <w:sz w:val="21"/>
          <w:szCs w:val="21"/>
          <w:highlight w:val="none"/>
        </w:rPr>
        <w:fldChar w:fldCharType="end"/>
      </w:r>
    </w:p>
    <w:p w14:paraId="33C30A68">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_Toc10766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w:t>
      </w:r>
      <w:r>
        <w:rPr>
          <w:rFonts w:hint="eastAsia" w:eastAsia="仿宋" w:cs="Times New Roman"/>
          <w:sz w:val="21"/>
          <w:szCs w:val="21"/>
          <w:highlight w:val="none"/>
          <w:lang w:val="en-US" w:eastAsia="zh-CN"/>
        </w:rPr>
        <w:t>3</w:t>
      </w:r>
      <w:r>
        <w:rPr>
          <w:rFonts w:hint="default" w:ascii="Times New Roman" w:hAnsi="Times New Roman" w:eastAsia="仿宋" w:cs="Times New Roman"/>
          <w:sz w:val="21"/>
          <w:szCs w:val="21"/>
          <w:highlight w:val="none"/>
        </w:rPr>
        <w:t>工程验收及移交要求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03</w:t>
      </w:r>
    </w:p>
    <w:p w14:paraId="5BFDD219">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_Toc8316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w:t>
      </w:r>
      <w:r>
        <w:rPr>
          <w:rFonts w:hint="eastAsia" w:eastAsia="仿宋" w:cs="Times New Roman"/>
          <w:sz w:val="21"/>
          <w:szCs w:val="21"/>
          <w:highlight w:val="none"/>
          <w:lang w:val="en-US" w:eastAsia="zh-CN"/>
        </w:rPr>
        <w:t>4</w:t>
      </w:r>
      <w:r>
        <w:rPr>
          <w:rFonts w:hint="default" w:ascii="Times New Roman" w:hAnsi="Times New Roman" w:eastAsia="仿宋" w:cs="Times New Roman"/>
          <w:sz w:val="21"/>
          <w:szCs w:val="21"/>
          <w:highlight w:val="none"/>
        </w:rPr>
        <w:t>质量保证期和售后服务</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06</w:t>
      </w:r>
    </w:p>
    <w:p w14:paraId="33F098DF">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_Toc13606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w:t>
      </w:r>
      <w:r>
        <w:rPr>
          <w:rFonts w:hint="eastAsia" w:eastAsia="仿宋" w:cs="Times New Roman"/>
          <w:sz w:val="21"/>
          <w:szCs w:val="21"/>
          <w:highlight w:val="none"/>
          <w:lang w:val="en-US" w:eastAsia="zh-CN"/>
        </w:rPr>
        <w:t>5</w:t>
      </w:r>
      <w:r>
        <w:rPr>
          <w:rFonts w:hint="default" w:ascii="Times New Roman" w:hAnsi="Times New Roman" w:eastAsia="仿宋" w:cs="Times New Roman"/>
          <w:sz w:val="21"/>
          <w:szCs w:val="21"/>
          <w:highlight w:val="none"/>
        </w:rPr>
        <w:t>检测与试验要求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07</w:t>
      </w:r>
    </w:p>
    <w:p w14:paraId="14737D5A">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_Toc1163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w:t>
      </w:r>
      <w:r>
        <w:rPr>
          <w:rFonts w:hint="eastAsia" w:eastAsia="仿宋" w:cs="Times New Roman"/>
          <w:sz w:val="21"/>
          <w:szCs w:val="21"/>
          <w:highlight w:val="none"/>
          <w:lang w:val="en-US" w:eastAsia="zh-CN"/>
        </w:rPr>
        <w:t>6</w:t>
      </w:r>
      <w:r>
        <w:rPr>
          <w:rFonts w:hint="default" w:ascii="Times New Roman" w:hAnsi="Times New Roman" w:eastAsia="仿宋" w:cs="Times New Roman"/>
          <w:sz w:val="21"/>
          <w:szCs w:val="21"/>
          <w:highlight w:val="none"/>
        </w:rPr>
        <w:t>撤场程序</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07</w:t>
      </w:r>
    </w:p>
    <w:p w14:paraId="43A79413">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_Toc16933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w:t>
      </w:r>
      <w:r>
        <w:rPr>
          <w:rFonts w:hint="eastAsia" w:eastAsia="仿宋" w:cs="Times New Roman"/>
          <w:sz w:val="21"/>
          <w:szCs w:val="21"/>
          <w:highlight w:val="none"/>
          <w:lang w:val="en-US" w:eastAsia="zh-CN"/>
        </w:rPr>
        <w:t>7</w:t>
      </w:r>
      <w:r>
        <w:rPr>
          <w:rFonts w:hint="default" w:ascii="Times New Roman" w:hAnsi="Times New Roman" w:eastAsia="仿宋" w:cs="Times New Roman"/>
          <w:sz w:val="21"/>
          <w:szCs w:val="21"/>
          <w:highlight w:val="none"/>
        </w:rPr>
        <w:t>治污减霾要求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09</w:t>
      </w:r>
    </w:p>
    <w:p w14:paraId="57DB74E2">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_Toc17328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6.1</w:t>
      </w:r>
      <w:r>
        <w:rPr>
          <w:rFonts w:hint="eastAsia" w:eastAsia="仿宋" w:cs="Times New Roman"/>
          <w:sz w:val="21"/>
          <w:szCs w:val="21"/>
          <w:highlight w:val="none"/>
          <w:lang w:val="en-US" w:eastAsia="zh-CN"/>
        </w:rPr>
        <w:t>8</w:t>
      </w:r>
      <w:r>
        <w:rPr>
          <w:rFonts w:hint="default" w:ascii="Times New Roman" w:hAnsi="Times New Roman" w:eastAsia="仿宋" w:cs="Times New Roman"/>
          <w:sz w:val="21"/>
          <w:szCs w:val="21"/>
          <w:highlight w:val="none"/>
        </w:rPr>
        <w:t>绿色施工管理要求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09</w:t>
      </w:r>
    </w:p>
    <w:p w14:paraId="024EA678">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_Toc22787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6.</w:t>
      </w:r>
      <w:r>
        <w:rPr>
          <w:rFonts w:hint="eastAsia" w:eastAsia="仿宋" w:cs="Times New Roman"/>
          <w:sz w:val="21"/>
          <w:szCs w:val="21"/>
          <w:highlight w:val="none"/>
          <w:lang w:val="en-US" w:eastAsia="zh-CN"/>
        </w:rPr>
        <w:t>19</w:t>
      </w:r>
      <w:r>
        <w:rPr>
          <w:rFonts w:hint="default" w:ascii="Times New Roman" w:hAnsi="Times New Roman" w:eastAsia="仿宋" w:cs="Times New Roman"/>
          <w:sz w:val="21"/>
          <w:szCs w:val="21"/>
          <w:highlight w:val="none"/>
        </w:rPr>
        <w:t>其他施工管理要求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09</w:t>
      </w:r>
    </w:p>
    <w:p w14:paraId="3A189481">
      <w:pPr>
        <w:pStyle w:val="30"/>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_Toc29373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第7章 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12</w:t>
      </w:r>
    </w:p>
    <w:p w14:paraId="433A1E13">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_Toc20771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7.1技术规范和标准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12</w:t>
      </w:r>
    </w:p>
    <w:p w14:paraId="6520AA09">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_Toc30015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7.2一般施工技术要求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12</w:t>
      </w:r>
    </w:p>
    <w:p w14:paraId="6D151355">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_Toc15477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7.3地基基础工程施工技术要求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16</w:t>
      </w:r>
    </w:p>
    <w:p w14:paraId="2D57D20A">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_Toc25049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7.4混凝土工程施工技术要求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17</w:t>
      </w:r>
    </w:p>
    <w:p w14:paraId="097362BF">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_Toc3252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7.5砌筑工程技术要求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23</w:t>
      </w:r>
    </w:p>
    <w:p w14:paraId="5BC27B94">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_Toc17953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7.6装饰装修工程技术要求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28</w:t>
      </w:r>
    </w:p>
    <w:p w14:paraId="2266984C">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_Toc28921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7.7外墙工程技术要求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31</w:t>
      </w:r>
    </w:p>
    <w:p w14:paraId="3E61DCB3">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_Toc6195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7.8门窗工程技术要求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32</w:t>
      </w:r>
    </w:p>
    <w:p w14:paraId="3589520E">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_Toc3141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7.9屋面工程技术要求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38</w:t>
      </w:r>
    </w:p>
    <w:p w14:paraId="37358BA6">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_Toc5880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7.10防渗漏专项工程技术要求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38</w:t>
      </w:r>
    </w:p>
    <w:p w14:paraId="062E057A">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_Toc26474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7.11高精砌块砌筑施工技术要求（如有）</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43</w:t>
      </w:r>
    </w:p>
    <w:p w14:paraId="2AD68166">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_Toc32620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7.13机电工程技术要求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44</w:t>
      </w:r>
    </w:p>
    <w:p w14:paraId="59036EF9">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_Toc14326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7.14BIM技术运用要求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68</w:t>
      </w:r>
    </w:p>
    <w:p w14:paraId="52E7C55C">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_Toc9158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7.15脚手架工程技术要求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69</w:t>
      </w:r>
    </w:p>
    <w:p w14:paraId="6A603428">
      <w:pPr>
        <w:pStyle w:val="30"/>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_Toc11872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第8章 EHS管理规定</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70</w:t>
      </w:r>
    </w:p>
    <w:p w14:paraId="23FE755C">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_Toc8264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8.1EHS管理理念、原则</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70</w:t>
      </w:r>
    </w:p>
    <w:p w14:paraId="044D4ECB">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_Toc20174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8.2EHS管理责任界面</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70</w:t>
      </w:r>
    </w:p>
    <w:p w14:paraId="69CEF7C4">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_Toc4488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8.3EHS目标与责任管理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71</w:t>
      </w:r>
    </w:p>
    <w:p w14:paraId="0A1A71F0">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_Toc32151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8.4EHS组织建设及人员配置</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71</w:t>
      </w:r>
    </w:p>
    <w:p w14:paraId="311EF3EA">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_Toc1942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8.5安全管理一般要求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73</w:t>
      </w:r>
    </w:p>
    <w:p w14:paraId="084C4E96">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_Toc19449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8.6安全生产管理协议</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74</w:t>
      </w:r>
    </w:p>
    <w:p w14:paraId="009FD0F3">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_Toc29751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8.7安全生产费用管理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74</w:t>
      </w:r>
    </w:p>
    <w:p w14:paraId="359C53DA">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_Toc5947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8.8危险性较大工程的安全管理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75</w:t>
      </w:r>
    </w:p>
    <w:p w14:paraId="0985A4E6">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_Toc8345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8.9EHS教育培训管理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76</w:t>
      </w:r>
    </w:p>
    <w:p w14:paraId="40A76A73">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_Toc1752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8.10安全生产标准化与双重预防机制建设</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76</w:t>
      </w:r>
    </w:p>
    <w:p w14:paraId="055B79FB">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_Toc22868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8.11应急与事故管理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77</w:t>
      </w:r>
    </w:p>
    <w:p w14:paraId="76E8AF38">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_Toc14092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8.12安全照管要求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78</w:t>
      </w:r>
    </w:p>
    <w:p w14:paraId="2F3E8B4F">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_Toc1700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8.13EHS信息传递与沟通</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79</w:t>
      </w:r>
    </w:p>
    <w:p w14:paraId="7072D0E7">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_Toc16934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8.14生态环境保护</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79</w:t>
      </w:r>
    </w:p>
    <w:p w14:paraId="382AA568">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_Toc7372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8.15工伤保险及安全生产责任保险</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80</w:t>
      </w:r>
    </w:p>
    <w:p w14:paraId="681C8406">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_Toc17560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8.16高处作业管理要求：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80</w:t>
      </w:r>
    </w:p>
    <w:p w14:paraId="71162B75">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_Toc25286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8.17脚手架工程管理要求：</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81</w:t>
      </w:r>
    </w:p>
    <w:p w14:paraId="6AD00812">
      <w:pPr>
        <w:pStyle w:val="29"/>
        <w:tabs>
          <w:tab w:val="right" w:leader="dot" w:pos="9025"/>
        </w:tabs>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fldChar w:fldCharType="begin"/>
      </w:r>
      <w:r>
        <w:rPr>
          <w:rFonts w:hint="default" w:ascii="Times New Roman" w:hAnsi="Times New Roman" w:eastAsia="仿宋" w:cs="Times New Roman"/>
          <w:sz w:val="21"/>
          <w:szCs w:val="21"/>
          <w:highlight w:val="none"/>
        </w:rPr>
        <w:instrText xml:space="preserve"> HYPERLINK \l _Toc7354 </w:instrText>
      </w:r>
      <w:r>
        <w:rPr>
          <w:rFonts w:hint="default" w:ascii="Times New Roman" w:hAnsi="Times New Roman" w:eastAsia="仿宋" w:cs="Times New Roman"/>
          <w:sz w:val="21"/>
          <w:szCs w:val="21"/>
          <w:highlight w:val="none"/>
        </w:rPr>
        <w:fldChar w:fldCharType="separate"/>
      </w:r>
      <w:r>
        <w:rPr>
          <w:rFonts w:hint="default" w:ascii="Times New Roman" w:hAnsi="Times New Roman" w:eastAsia="仿宋" w:cs="Times New Roman"/>
          <w:sz w:val="21"/>
          <w:szCs w:val="21"/>
          <w:highlight w:val="none"/>
        </w:rPr>
        <w:t>8.18办公生活区管理</w:t>
      </w:r>
      <w:r>
        <w:rPr>
          <w:rFonts w:hint="default" w:ascii="Times New Roman" w:hAnsi="Times New Roman" w:eastAsia="仿宋" w:cs="Times New Roman"/>
          <w:sz w:val="21"/>
          <w:szCs w:val="21"/>
          <w:highlight w:val="none"/>
        </w:rPr>
        <w:tab/>
      </w:r>
      <w:r>
        <w:rPr>
          <w:rFonts w:hint="eastAsia" w:eastAsia="仿宋" w:cs="Times New Roman"/>
          <w:sz w:val="21"/>
          <w:szCs w:val="21"/>
          <w:highlight w:val="none"/>
          <w:lang w:val="en-US" w:eastAsia="zh-CN"/>
        </w:rPr>
        <w:t>1</w:t>
      </w:r>
      <w:r>
        <w:rPr>
          <w:rFonts w:hint="default" w:ascii="Times New Roman" w:hAnsi="Times New Roman" w:eastAsia="仿宋" w:cs="Times New Roman"/>
          <w:sz w:val="21"/>
          <w:szCs w:val="21"/>
          <w:highlight w:val="none"/>
        </w:rPr>
        <w:fldChar w:fldCharType="end"/>
      </w:r>
      <w:r>
        <w:rPr>
          <w:rFonts w:hint="eastAsia" w:eastAsia="仿宋" w:cs="Times New Roman"/>
          <w:sz w:val="21"/>
          <w:szCs w:val="21"/>
          <w:highlight w:val="none"/>
          <w:lang w:val="en-US" w:eastAsia="zh-CN"/>
        </w:rPr>
        <w:t>81</w:t>
      </w:r>
    </w:p>
    <w:p w14:paraId="41380710">
      <w:pPr>
        <w:pStyle w:val="2"/>
        <w:rPr>
          <w:highlight w:val="none"/>
        </w:rPr>
        <w:sectPr>
          <w:headerReference r:id="rId11" w:type="default"/>
          <w:footerReference r:id="rId12" w:type="default"/>
          <w:pgSz w:w="11905" w:h="16839"/>
          <w:pgMar w:top="1440" w:right="1440" w:bottom="1440" w:left="1440" w:header="0" w:footer="0" w:gutter="0"/>
          <w:pgNumType w:fmt="decimal" w:start="1"/>
          <w:cols w:space="720" w:num="1"/>
        </w:sectPr>
      </w:pPr>
      <w:r>
        <w:rPr>
          <w:highlight w:val="none"/>
        </w:rPr>
        <w:fldChar w:fldCharType="end"/>
      </w:r>
    </w:p>
    <w:p w14:paraId="7FE9BFED">
      <w:pPr>
        <w:tabs>
          <w:tab w:val="left" w:pos="5443"/>
        </w:tabs>
        <w:spacing w:line="240" w:lineRule="auto"/>
        <w:ind w:firstLine="0" w:firstLineChars="0"/>
        <w:rPr>
          <w:highlight w:val="none"/>
        </w:rPr>
      </w:pPr>
      <w:r>
        <w:rPr>
          <w:rFonts w:hint="eastAsia"/>
          <w:highlight w:val="none"/>
          <w:lang w:eastAsia="zh-CN"/>
        </w:rPr>
        <w:tab/>
      </w:r>
      <w:bookmarkStart w:id="0" w:name="_Toc27926"/>
      <w:bookmarkStart w:id="1" w:name="_Toc24679"/>
      <w:bookmarkStart w:id="2" w:name="_Toc28419"/>
    </w:p>
    <w:p w14:paraId="3ACD1622">
      <w:pPr>
        <w:pStyle w:val="3"/>
        <w:numPr>
          <w:ilvl w:val="0"/>
          <w:numId w:val="0"/>
        </w:numPr>
        <w:ind w:left="432" w:hanging="432"/>
        <w:rPr>
          <w:highlight w:val="none"/>
        </w:rPr>
      </w:pPr>
      <w:bookmarkStart w:id="3" w:name="_Toc4998"/>
      <w:bookmarkStart w:id="4" w:name="_Toc179562955"/>
      <w:bookmarkStart w:id="5" w:name="_Toc12662"/>
      <w:bookmarkStart w:id="6" w:name="_Toc29558"/>
      <w:r>
        <w:rPr>
          <w:highlight w:val="none"/>
        </w:rPr>
        <w:t xml:space="preserve">第1章 </w:t>
      </w:r>
      <w:r>
        <w:rPr>
          <w:rFonts w:hint="eastAsia"/>
          <w:highlight w:val="none"/>
        </w:rPr>
        <w:t>工程</w:t>
      </w:r>
      <w:r>
        <w:rPr>
          <w:highlight w:val="none"/>
        </w:rPr>
        <w:t>概况</w:t>
      </w:r>
      <w:bookmarkEnd w:id="0"/>
      <w:bookmarkEnd w:id="1"/>
      <w:bookmarkEnd w:id="2"/>
      <w:bookmarkEnd w:id="3"/>
      <w:bookmarkEnd w:id="4"/>
      <w:bookmarkEnd w:id="5"/>
      <w:bookmarkEnd w:id="6"/>
    </w:p>
    <w:p w14:paraId="5854AE84">
      <w:pPr>
        <w:pStyle w:val="4"/>
        <w:numPr>
          <w:ilvl w:val="1"/>
          <w:numId w:val="0"/>
        </w:numPr>
        <w:ind w:left="624" w:hanging="624"/>
        <w:rPr>
          <w:highlight w:val="none"/>
        </w:rPr>
      </w:pPr>
      <w:bookmarkStart w:id="7" w:name="_Toc12462"/>
      <w:bookmarkStart w:id="8" w:name="_Toc10853"/>
      <w:bookmarkStart w:id="9" w:name="_Toc569"/>
      <w:bookmarkStart w:id="10" w:name="_Toc179562956"/>
      <w:r>
        <w:rPr>
          <w:rFonts w:hint="eastAsia"/>
          <w:highlight w:val="none"/>
        </w:rPr>
        <w:t>1.1工程概况</w:t>
      </w:r>
      <w:bookmarkEnd w:id="7"/>
      <w:bookmarkEnd w:id="8"/>
      <w:bookmarkEnd w:id="9"/>
      <w:bookmarkEnd w:id="10"/>
    </w:p>
    <w:p w14:paraId="215CEB34">
      <w:pPr>
        <w:pStyle w:val="5"/>
        <w:numPr>
          <w:ilvl w:val="2"/>
          <w:numId w:val="0"/>
        </w:numPr>
        <w:ind w:left="624" w:hanging="624"/>
        <w:rPr>
          <w:highlight w:val="none"/>
        </w:rPr>
      </w:pPr>
      <w:bookmarkStart w:id="11" w:name="_Toc6003"/>
      <w:r>
        <w:rPr>
          <w:rFonts w:hint="eastAsia"/>
          <w:highlight w:val="none"/>
        </w:rPr>
        <w:t>1.1.1工程规模</w:t>
      </w:r>
      <w:bookmarkEnd w:id="11"/>
    </w:p>
    <w:p w14:paraId="2417F033">
      <w:pPr>
        <w:ind w:firstLine="480"/>
        <w:rPr>
          <w:highlight w:val="none"/>
        </w:rPr>
      </w:pPr>
      <w:r>
        <w:rPr>
          <w:rFonts w:hint="eastAsia"/>
          <w:highlight w:val="none"/>
        </w:rPr>
        <w:t>拟建项目位于海珠区龙凤街的行政管辖范围内，近乐峰广场、万国广场商圈。近同福西、凤凰新村地铁站。工程位置见下图1-1“拟建工程位置图”。</w:t>
      </w:r>
    </w:p>
    <w:tbl>
      <w:tblPr>
        <w:tblStyle w:val="23"/>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74"/>
      </w:tblGrid>
      <w:tr w14:paraId="71BC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9374" w:type="dxa"/>
            <w:noWrap w:val="0"/>
            <w:vAlign w:val="top"/>
          </w:tcPr>
          <w:p w14:paraId="0F3EDACC">
            <w:pPr>
              <w:ind w:firstLine="480"/>
              <w:jc w:val="center"/>
              <w:rPr>
                <w:rFonts w:ascii="Times New Roman" w:hAnsi="Times New Roman"/>
                <w:highlight w:val="none"/>
              </w:rPr>
            </w:pPr>
            <w:r>
              <w:rPr>
                <w:rFonts w:ascii="Times New Roman" w:hAnsi="Times New Roman"/>
                <w:highlight w:val="none"/>
              </w:rPr>
              <w:t>拟建工程位置图                  图1-1</w:t>
            </w:r>
          </w:p>
        </w:tc>
      </w:tr>
      <w:tr w14:paraId="38EA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10" w:hRule="atLeast"/>
          <w:jc w:val="center"/>
        </w:trPr>
        <w:tc>
          <w:tcPr>
            <w:tcW w:w="9374" w:type="dxa"/>
            <w:noWrap w:val="0"/>
            <w:vAlign w:val="top"/>
          </w:tcPr>
          <w:p w14:paraId="515676B1">
            <w:pPr>
              <w:ind w:firstLine="0" w:firstLineChars="0"/>
              <w:jc w:val="center"/>
              <w:rPr>
                <w:rFonts w:ascii="Times New Roman" w:hAnsi="Times New Roman"/>
                <w:highlight w:val="none"/>
              </w:rPr>
            </w:pPr>
            <w:r>
              <w:rPr>
                <w:rFonts w:ascii="Times New Roman" w:hAnsi="Times New Roman"/>
                <w:highlight w:val="none"/>
              </w:rPr>
              <w:drawing>
                <wp:inline distT="0" distB="0" distL="114300" distR="114300">
                  <wp:extent cx="5048885" cy="4509770"/>
                  <wp:effectExtent l="0" t="0" r="18415" b="5080"/>
                  <wp:docPr id="1" name="图片 6" descr="C:\Users\Administrator\Desktop\1747966110964.jpg17479661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C:\Users\Administrator\Desktop\1747966110964.jpg1747966110964"/>
                          <pic:cNvPicPr>
                            <a:picLocks noChangeAspect="1"/>
                          </pic:cNvPicPr>
                        </pic:nvPicPr>
                        <pic:blipFill>
                          <a:blip r:embed="rId19"/>
                          <a:srcRect/>
                          <a:stretch>
                            <a:fillRect/>
                          </a:stretch>
                        </pic:blipFill>
                        <pic:spPr>
                          <a:xfrm>
                            <a:off x="0" y="0"/>
                            <a:ext cx="5048885" cy="4509770"/>
                          </a:xfrm>
                          <a:prstGeom prst="rect">
                            <a:avLst/>
                          </a:prstGeom>
                          <a:noFill/>
                          <a:ln>
                            <a:noFill/>
                          </a:ln>
                        </pic:spPr>
                      </pic:pic>
                    </a:graphicData>
                  </a:graphic>
                </wp:inline>
              </w:drawing>
            </w:r>
          </w:p>
        </w:tc>
      </w:tr>
    </w:tbl>
    <w:p w14:paraId="119D4B84">
      <w:pPr>
        <w:ind w:firstLine="480"/>
        <w:rPr>
          <w:highlight w:val="none"/>
        </w:rPr>
      </w:pPr>
      <w:r>
        <w:rPr>
          <w:rFonts w:hint="eastAsia"/>
          <w:highlight w:val="none"/>
        </w:rPr>
        <w:t>海珠区同福中路太源里13号拆除重建工程项目，用地面积740.5857㎡（其中余地187.0066㎡），建基面积553.5791㎡，总建筑面积581.9431㎡，该项目改造后建筑面积约723.38平方米，住宅总套数暂定22套。建设规模及经济技术指标最终以政府相关部门的批复及甲方选定方案为准。</w:t>
      </w:r>
    </w:p>
    <w:p w14:paraId="7B1B73E5">
      <w:pPr>
        <w:pStyle w:val="5"/>
        <w:numPr>
          <w:ilvl w:val="2"/>
          <w:numId w:val="0"/>
        </w:numPr>
        <w:ind w:left="624" w:hanging="624"/>
        <w:rPr>
          <w:highlight w:val="none"/>
        </w:rPr>
      </w:pPr>
      <w:bookmarkStart w:id="12" w:name="_Toc14732"/>
      <w:r>
        <w:rPr>
          <w:rFonts w:hint="eastAsia"/>
          <w:highlight w:val="none"/>
        </w:rPr>
        <w:t>1.1.2现场情况</w:t>
      </w:r>
      <w:bookmarkEnd w:id="12"/>
    </w:p>
    <w:p w14:paraId="354D6C8F">
      <w:pPr>
        <w:pStyle w:val="6"/>
        <w:numPr>
          <w:ilvl w:val="3"/>
          <w:numId w:val="0"/>
        </w:numPr>
        <w:ind w:left="864" w:leftChars="100" w:hanging="624"/>
        <w:rPr>
          <w:highlight w:val="none"/>
        </w:rPr>
      </w:pPr>
      <w:r>
        <w:rPr>
          <w:rFonts w:hint="eastAsia"/>
          <w:highlight w:val="none"/>
        </w:rPr>
        <w:t>1.1.2.1临水临电接驳</w:t>
      </w:r>
    </w:p>
    <w:p w14:paraId="36330C48">
      <w:pPr>
        <w:ind w:firstLine="480"/>
        <w:rPr>
          <w:highlight w:val="none"/>
        </w:rPr>
      </w:pPr>
      <w:r>
        <w:rPr>
          <w:rFonts w:hint="eastAsia"/>
          <w:highlight w:val="none"/>
        </w:rPr>
        <w:t>承包人应根据现场踏勘，结合目前场地已有的临水临电接驳条件，充分考虑自身用水用电需求，包括但不限于使用临时发电机等措施，满足现场临时水电使用，费用含于投标报价中，不再另行计取。</w:t>
      </w:r>
    </w:p>
    <w:p w14:paraId="374C8802">
      <w:pPr>
        <w:pStyle w:val="6"/>
        <w:numPr>
          <w:ilvl w:val="3"/>
          <w:numId w:val="0"/>
        </w:numPr>
        <w:ind w:left="864" w:leftChars="100" w:hanging="624"/>
        <w:rPr>
          <w:highlight w:val="none"/>
        </w:rPr>
      </w:pPr>
      <w:r>
        <w:rPr>
          <w:rFonts w:hint="eastAsia"/>
          <w:highlight w:val="none"/>
        </w:rPr>
        <w:t>1.1.2.2围蔽及临时道路</w:t>
      </w:r>
    </w:p>
    <w:p w14:paraId="4A56C21A">
      <w:pPr>
        <w:ind w:firstLine="480"/>
        <w:rPr>
          <w:highlight w:val="none"/>
        </w:rPr>
      </w:pPr>
      <w:r>
        <w:rPr>
          <w:rFonts w:hint="eastAsia"/>
          <w:highlight w:val="none"/>
        </w:rPr>
        <w:t>（1）围蔽的要求及范围</w:t>
      </w:r>
    </w:p>
    <w:p w14:paraId="6BE15F6E">
      <w:pPr>
        <w:ind w:firstLine="480"/>
        <w:rPr>
          <w:highlight w:val="none"/>
        </w:rPr>
      </w:pPr>
      <w:r>
        <w:rPr>
          <w:rFonts w:hint="eastAsia"/>
          <w:highlight w:val="none"/>
        </w:rPr>
        <w:t>施工期间对施工区域及周边用地范围按照最新版《广东省建设工程安全文明施工规程DB4401》《广州市建设工程安全文明施工规程》《广州市建设工程绿色施工围蔽》及发包人的要求进行围蔽。</w:t>
      </w:r>
    </w:p>
    <w:p w14:paraId="106C0A9F">
      <w:pPr>
        <w:ind w:firstLine="480"/>
        <w:rPr>
          <w:highlight w:val="none"/>
        </w:rPr>
      </w:pPr>
      <w:r>
        <w:rPr>
          <w:rFonts w:hint="eastAsia"/>
          <w:highlight w:val="none"/>
        </w:rPr>
        <w:t>1)施工场地的布置应服从发包人及监理单位的统一安排管理。现场四周设置施工围墙、大门，围墙、大门按照按照最新版《广东省建设工程安全文明施工规程DB4401》《广州市建设工程安全文明施工规程》《广州市建设工程绿色施工围蔽》及发包人的要求进行标志形象设计，大门宽度不少于7米，原则是严谨、完整、牢固、美观大方。</w:t>
      </w:r>
    </w:p>
    <w:p w14:paraId="30B08B11">
      <w:pPr>
        <w:ind w:firstLine="480"/>
        <w:rPr>
          <w:highlight w:val="none"/>
        </w:rPr>
      </w:pPr>
      <w:r>
        <w:rPr>
          <w:rFonts w:hint="eastAsia"/>
          <w:highlight w:val="none"/>
        </w:rPr>
        <w:t>2)施工总承包单位必须根据工程的实际需要，负责修建工地围墙、施工临时围蔽，负责临时围蔽和出入口的增设、维护和管理工作，并保证整个工程建设期间的工地安全保卫和文明生产。各出入口派专人24小时看管。</w:t>
      </w:r>
    </w:p>
    <w:p w14:paraId="10389277">
      <w:pPr>
        <w:ind w:firstLine="480"/>
        <w:rPr>
          <w:highlight w:val="none"/>
        </w:rPr>
      </w:pPr>
      <w:r>
        <w:rPr>
          <w:rFonts w:hint="eastAsia"/>
          <w:highlight w:val="none"/>
        </w:rPr>
        <w:t>（2）临时道路</w:t>
      </w:r>
    </w:p>
    <w:p w14:paraId="6D4DA606">
      <w:pPr>
        <w:ind w:firstLine="480"/>
        <w:rPr>
          <w:highlight w:val="none"/>
        </w:rPr>
      </w:pPr>
      <w:r>
        <w:rPr>
          <w:rFonts w:hint="eastAsia"/>
          <w:highlight w:val="none"/>
        </w:rPr>
        <w:t>目前已形成由南大干线通向场地红线道路，总承包人应在场地接收后，保护并维护现场已有的出入口道路，完善红线内外临时道路的接收、新建、维护、修缮、日常保洁、拆除等并负责相关手续办理。</w:t>
      </w:r>
    </w:p>
    <w:p w14:paraId="08DEE426">
      <w:pPr>
        <w:pStyle w:val="6"/>
        <w:numPr>
          <w:ilvl w:val="3"/>
          <w:numId w:val="0"/>
        </w:numPr>
        <w:ind w:left="864" w:leftChars="100" w:hanging="624"/>
        <w:rPr>
          <w:highlight w:val="none"/>
        </w:rPr>
      </w:pPr>
      <w:r>
        <w:rPr>
          <w:rFonts w:hint="eastAsia"/>
          <w:highlight w:val="none"/>
        </w:rPr>
        <w:t>1.1.2.3临时排水及排污</w:t>
      </w:r>
    </w:p>
    <w:p w14:paraId="18B29AFF">
      <w:pPr>
        <w:ind w:firstLine="480"/>
        <w:rPr>
          <w:highlight w:val="none"/>
        </w:rPr>
      </w:pPr>
      <w:r>
        <w:rPr>
          <w:rFonts w:hint="eastAsia"/>
          <w:highlight w:val="none"/>
        </w:rPr>
        <w:t>临时排水及排污相关手续及排水排污措施由承包人自行解决。由承包人自行修建临时排污设施，且必须设置污水处理系统，符合广州市建筑污水排放标准，费用含于投标报价中，不再另行计取。</w:t>
      </w:r>
    </w:p>
    <w:p w14:paraId="56587582">
      <w:pPr>
        <w:pStyle w:val="5"/>
        <w:numPr>
          <w:ilvl w:val="2"/>
          <w:numId w:val="0"/>
        </w:numPr>
        <w:ind w:left="624" w:hanging="624"/>
        <w:rPr>
          <w:highlight w:val="none"/>
        </w:rPr>
      </w:pPr>
      <w:bookmarkStart w:id="13" w:name="_Toc1271"/>
      <w:r>
        <w:rPr>
          <w:rFonts w:hint="eastAsia"/>
          <w:highlight w:val="none"/>
        </w:rPr>
        <w:t>1.1.3主要</w:t>
      </w:r>
      <w:r>
        <w:rPr>
          <w:highlight w:val="none"/>
        </w:rPr>
        <w:t>参建单位</w:t>
      </w:r>
      <w:bookmarkEnd w:id="13"/>
    </w:p>
    <w:p w14:paraId="4C3F9442">
      <w:pPr>
        <w:ind w:firstLine="480"/>
        <w:rPr>
          <w:rFonts w:hint="eastAsia" w:eastAsia="宋体"/>
          <w:highlight w:val="none"/>
          <w:lang w:eastAsia="zh-CN"/>
        </w:rPr>
      </w:pPr>
      <w:r>
        <w:rPr>
          <w:rFonts w:hint="eastAsia"/>
          <w:highlight w:val="none"/>
        </w:rPr>
        <w:t>发包人：</w:t>
      </w:r>
      <w:r>
        <w:rPr>
          <w:rFonts w:hint="eastAsia"/>
          <w:highlight w:val="none"/>
          <w:lang w:eastAsia="zh-CN"/>
        </w:rPr>
        <w:t>广州安居住房置业有限公司</w:t>
      </w:r>
    </w:p>
    <w:p w14:paraId="1ACE1B3A">
      <w:pPr>
        <w:ind w:firstLine="480"/>
        <w:rPr>
          <w:rFonts w:hint="eastAsia" w:eastAsia="宋体"/>
          <w:highlight w:val="none"/>
          <w:lang w:eastAsia="zh-CN"/>
        </w:rPr>
      </w:pPr>
      <w:bookmarkStart w:id="14" w:name="_Toc491089070"/>
      <w:bookmarkStart w:id="15" w:name="_Toc491847800"/>
      <w:bookmarkStart w:id="16" w:name="_Toc498006848"/>
      <w:bookmarkStart w:id="17" w:name="_Toc497213710"/>
      <w:bookmarkStart w:id="18" w:name="_Toc8533"/>
      <w:r>
        <w:rPr>
          <w:rFonts w:hint="eastAsia"/>
          <w:highlight w:val="none"/>
        </w:rPr>
        <w:t>监理单位：</w:t>
      </w:r>
      <w:r>
        <w:rPr>
          <w:rFonts w:hint="eastAsia"/>
          <w:highlight w:val="none"/>
          <w:lang w:val="en-US" w:eastAsia="zh-CN"/>
        </w:rPr>
        <w:t>待定</w:t>
      </w:r>
    </w:p>
    <w:p w14:paraId="7AAC7B79">
      <w:pPr>
        <w:ind w:firstLine="480"/>
        <w:rPr>
          <w:rFonts w:hint="eastAsia" w:eastAsia="宋体"/>
          <w:highlight w:val="none"/>
          <w:lang w:eastAsia="zh-CN"/>
        </w:rPr>
      </w:pPr>
      <w:r>
        <w:rPr>
          <w:rFonts w:hint="eastAsia"/>
          <w:highlight w:val="none"/>
        </w:rPr>
        <w:t>设计单位：</w:t>
      </w:r>
      <w:r>
        <w:rPr>
          <w:rFonts w:hint="eastAsia"/>
          <w:highlight w:val="none"/>
          <w:lang w:eastAsia="zh-CN"/>
        </w:rPr>
        <w:t>广州市城市更新规划设计研究院有限公司</w:t>
      </w:r>
    </w:p>
    <w:p w14:paraId="63059E41">
      <w:pPr>
        <w:ind w:firstLine="480"/>
        <w:rPr>
          <w:rFonts w:hint="default" w:eastAsia="宋体"/>
          <w:highlight w:val="none"/>
          <w:lang w:val="en-US" w:eastAsia="zh-CN"/>
        </w:rPr>
      </w:pPr>
      <w:r>
        <w:rPr>
          <w:rFonts w:hint="eastAsia"/>
          <w:highlight w:val="none"/>
        </w:rPr>
        <w:t>勘察单位</w:t>
      </w:r>
      <w:r>
        <w:rPr>
          <w:rFonts w:hint="eastAsia"/>
          <w:highlight w:val="none"/>
          <w:lang w:eastAsia="zh-CN"/>
        </w:rPr>
        <w:t>：</w:t>
      </w:r>
      <w:r>
        <w:rPr>
          <w:rFonts w:hint="eastAsia"/>
          <w:highlight w:val="none"/>
          <w:lang w:val="en-US" w:eastAsia="zh-CN"/>
        </w:rPr>
        <w:t>待定</w:t>
      </w:r>
    </w:p>
    <w:bookmarkEnd w:id="14"/>
    <w:bookmarkEnd w:id="15"/>
    <w:bookmarkEnd w:id="16"/>
    <w:bookmarkEnd w:id="17"/>
    <w:bookmarkEnd w:id="18"/>
    <w:p w14:paraId="3A2AAF62">
      <w:pPr>
        <w:pStyle w:val="4"/>
        <w:numPr>
          <w:ilvl w:val="1"/>
          <w:numId w:val="0"/>
        </w:numPr>
        <w:ind w:left="624" w:hanging="624"/>
        <w:rPr>
          <w:highlight w:val="none"/>
        </w:rPr>
      </w:pPr>
      <w:bookmarkStart w:id="19" w:name="_Toc491847803"/>
      <w:bookmarkStart w:id="20" w:name="_Toc13362"/>
      <w:bookmarkStart w:id="21" w:name="_Toc21564"/>
      <w:bookmarkStart w:id="22" w:name="_Toc179562958"/>
      <w:bookmarkStart w:id="23" w:name="_Toc498006851"/>
      <w:bookmarkStart w:id="24" w:name="_Toc497213713"/>
      <w:bookmarkStart w:id="25" w:name="_Toc27054"/>
      <w:bookmarkStart w:id="26" w:name="_Toc491089073"/>
      <w:r>
        <w:rPr>
          <w:rFonts w:hint="eastAsia"/>
          <w:highlight w:val="none"/>
        </w:rPr>
        <w:t>1.</w:t>
      </w:r>
      <w:r>
        <w:rPr>
          <w:rFonts w:hint="eastAsia"/>
          <w:highlight w:val="none"/>
          <w:lang w:val="en-US" w:eastAsia="zh-CN"/>
        </w:rPr>
        <w:t>2</w:t>
      </w:r>
      <w:r>
        <w:rPr>
          <w:rFonts w:hint="eastAsia"/>
          <w:highlight w:val="none"/>
        </w:rPr>
        <w:t>工程</w:t>
      </w:r>
      <w:r>
        <w:rPr>
          <w:highlight w:val="none"/>
        </w:rPr>
        <w:t>重难点</w:t>
      </w:r>
      <w:bookmarkEnd w:id="19"/>
      <w:bookmarkEnd w:id="20"/>
      <w:bookmarkEnd w:id="21"/>
      <w:bookmarkEnd w:id="22"/>
      <w:bookmarkEnd w:id="23"/>
      <w:bookmarkEnd w:id="24"/>
      <w:bookmarkEnd w:id="25"/>
      <w:bookmarkEnd w:id="26"/>
    </w:p>
    <w:p w14:paraId="7A7709C5">
      <w:pPr>
        <w:ind w:firstLine="480"/>
        <w:rPr>
          <w:highlight w:val="none"/>
        </w:rPr>
      </w:pPr>
      <w:bookmarkStart w:id="27" w:name="_Toc169722265"/>
      <w:r>
        <w:rPr>
          <w:rFonts w:hint="eastAsia"/>
          <w:highlight w:val="none"/>
        </w:rPr>
        <w:t>（1）材料管理是质量管理的重中之重。因此，严格实行材料看样定板制度，对进场材料严格按照定板标准组织监理验收并按相关规定进行材料检测，必须是百分百合格且与样板一致的材料才准进场使用。成套设备严格执行开箱验收制度，组织监理严格按照设计图纸和主要材料设备技术需求书列明的参数核对设备信息，确保进场材料设备符合设计要求，承包人需配置专人进行材料管理。</w:t>
      </w:r>
    </w:p>
    <w:p w14:paraId="30451737">
      <w:pPr>
        <w:ind w:firstLine="480"/>
        <w:rPr>
          <w:rFonts w:hint="eastAsia" w:eastAsia="宋体"/>
          <w:highlight w:val="none"/>
          <w:lang w:val="en-US" w:eastAsia="zh-CN"/>
        </w:rPr>
      </w:pPr>
      <w:r>
        <w:rPr>
          <w:rFonts w:hint="eastAsia"/>
          <w:highlight w:val="none"/>
        </w:rPr>
        <w:t>（</w:t>
      </w:r>
      <w:r>
        <w:rPr>
          <w:rFonts w:hint="eastAsia"/>
          <w:highlight w:val="none"/>
          <w:lang w:val="en-US" w:eastAsia="zh-CN"/>
        </w:rPr>
        <w:t>2</w:t>
      </w:r>
      <w:r>
        <w:rPr>
          <w:rFonts w:hint="eastAsia"/>
          <w:highlight w:val="none"/>
        </w:rPr>
        <w:t>）危旧房普遍存在结构老化、抗震性能不足、隐蔽工程（如管线）复杂等问题，拆除时易引发次生风险（如相邻建筑开裂、坍塌）</w:t>
      </w:r>
      <w:r>
        <w:rPr>
          <w:rFonts w:hint="eastAsia"/>
          <w:highlight w:val="none"/>
          <w:lang w:val="en-US" w:eastAsia="zh-CN"/>
        </w:rPr>
        <w:t>.</w:t>
      </w:r>
    </w:p>
    <w:p w14:paraId="3913E5E5">
      <w:pPr>
        <w:ind w:firstLine="480"/>
        <w:rPr>
          <w:rFonts w:eastAsia="黑体"/>
          <w:bCs/>
          <w:kern w:val="44"/>
          <w:sz w:val="18"/>
          <w:szCs w:val="18"/>
          <w:highlight w:val="none"/>
        </w:rPr>
      </w:pPr>
      <w:r>
        <w:rPr>
          <w:rFonts w:hint="eastAsia"/>
          <w:highlight w:val="none"/>
        </w:rPr>
        <w:t>（</w:t>
      </w:r>
      <w:r>
        <w:rPr>
          <w:rFonts w:hint="eastAsia"/>
          <w:highlight w:val="none"/>
          <w:lang w:val="en-US" w:eastAsia="zh-CN"/>
        </w:rPr>
        <w:t>3</w:t>
      </w:r>
      <w:r>
        <w:rPr>
          <w:rFonts w:hint="eastAsia"/>
          <w:highlight w:val="none"/>
        </w:rPr>
        <w:t>）文明施工与绿色施工，承包单位应按照广东省房屋市政工程安全生产文明施  工示范工地的要求做好现场安全生产及文明施工，保证施工场地清洁、扬尘及噪音管理符合环境卫生管理的有关规定。需根据《建筑工程绿色施工评价标准》（GB/T50640-2010）、《广州市建设工程绿色施工工作技术指引》及相关规定，按照不同阶段 进行安全文明与绿色施工策划，使用可重复利用周转材料，半成品推广工厂制作到场安装，全过程标准化，实现节能减排，绿色环保，积极创新，凸显亮点。</w:t>
      </w:r>
      <w:bookmarkEnd w:id="27"/>
      <w:r>
        <w:rPr>
          <w:rFonts w:eastAsia="黑体"/>
          <w:bCs/>
          <w:kern w:val="44"/>
          <w:sz w:val="18"/>
          <w:szCs w:val="18"/>
          <w:highlight w:val="none"/>
        </w:rPr>
        <w:br w:type="page"/>
      </w:r>
    </w:p>
    <w:p w14:paraId="09CC54B6">
      <w:pPr>
        <w:pStyle w:val="3"/>
        <w:numPr>
          <w:ilvl w:val="0"/>
          <w:numId w:val="0"/>
        </w:numPr>
        <w:ind w:left="432" w:hanging="432"/>
        <w:rPr>
          <w:highlight w:val="none"/>
        </w:rPr>
      </w:pPr>
      <w:bookmarkStart w:id="28" w:name="_Toc169722190"/>
      <w:bookmarkStart w:id="29" w:name="_Toc179562959"/>
      <w:bookmarkStart w:id="30" w:name="_Toc29587"/>
      <w:bookmarkStart w:id="31" w:name="_Toc24478"/>
      <w:bookmarkStart w:id="32" w:name="_Toc12880"/>
      <w:bookmarkStart w:id="33" w:name="_Toc14017"/>
      <w:bookmarkStart w:id="34" w:name="_Toc488931141"/>
      <w:bookmarkStart w:id="35" w:name="_Toc17351"/>
      <w:bookmarkStart w:id="36" w:name="_Toc15030"/>
      <w:r>
        <w:rPr>
          <w:highlight w:val="none"/>
        </w:rPr>
        <w:t xml:space="preserve">第2章 </w:t>
      </w:r>
      <w:r>
        <w:rPr>
          <w:rFonts w:hint="eastAsia"/>
          <w:highlight w:val="none"/>
        </w:rPr>
        <w:t>工程目标</w:t>
      </w:r>
      <w:bookmarkEnd w:id="28"/>
      <w:bookmarkEnd w:id="29"/>
      <w:bookmarkEnd w:id="30"/>
      <w:bookmarkEnd w:id="31"/>
      <w:bookmarkEnd w:id="32"/>
      <w:bookmarkEnd w:id="33"/>
      <w:bookmarkEnd w:id="34"/>
      <w:bookmarkEnd w:id="35"/>
      <w:bookmarkEnd w:id="36"/>
    </w:p>
    <w:p w14:paraId="53BE7922">
      <w:pPr>
        <w:pStyle w:val="4"/>
        <w:numPr>
          <w:ilvl w:val="1"/>
          <w:numId w:val="0"/>
        </w:numPr>
        <w:ind w:left="624" w:hanging="624"/>
        <w:rPr>
          <w:highlight w:val="none"/>
        </w:rPr>
      </w:pPr>
      <w:bookmarkStart w:id="37" w:name="_Toc8596"/>
      <w:bookmarkStart w:id="38" w:name="_Toc474"/>
      <w:bookmarkStart w:id="39" w:name="_Toc28467"/>
      <w:bookmarkStart w:id="40" w:name="_Toc546"/>
      <w:bookmarkStart w:id="41" w:name="_Toc3043"/>
      <w:bookmarkStart w:id="42" w:name="_Toc12244"/>
      <w:bookmarkStart w:id="43" w:name="_Toc15202"/>
      <w:bookmarkStart w:id="44" w:name="_Toc20469"/>
      <w:bookmarkStart w:id="45" w:name="_Toc3510"/>
      <w:bookmarkStart w:id="46" w:name="_Toc20272"/>
      <w:bookmarkStart w:id="47" w:name="_Toc179562960"/>
      <w:bookmarkStart w:id="48" w:name="_Toc13289"/>
      <w:bookmarkStart w:id="49" w:name="_Toc21370"/>
      <w:bookmarkStart w:id="50" w:name="_Toc4930"/>
      <w:bookmarkStart w:id="51" w:name="_Toc7391"/>
      <w:bookmarkStart w:id="52" w:name="_Toc169722266"/>
      <w:bookmarkStart w:id="53" w:name="_Toc488931145"/>
      <w:bookmarkStart w:id="54" w:name="_Toc13583"/>
      <w:bookmarkStart w:id="55" w:name="_Toc169722194"/>
      <w:bookmarkStart w:id="56" w:name="_Toc18439"/>
      <w:bookmarkStart w:id="57" w:name="_Toc23059"/>
      <w:bookmarkStart w:id="58" w:name="_Toc369280913"/>
      <w:bookmarkStart w:id="59" w:name="_Toc169722206"/>
      <w:r>
        <w:rPr>
          <w:rFonts w:hint="eastAsia"/>
          <w:highlight w:val="none"/>
        </w:rPr>
        <w:t>2.1质量标准和目标</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5403A20">
      <w:pPr>
        <w:pStyle w:val="5"/>
        <w:numPr>
          <w:ilvl w:val="2"/>
          <w:numId w:val="0"/>
        </w:numPr>
        <w:ind w:left="624" w:hanging="624"/>
        <w:rPr>
          <w:highlight w:val="none"/>
        </w:rPr>
      </w:pPr>
      <w:bookmarkStart w:id="60" w:name="_Toc31878"/>
      <w:r>
        <w:rPr>
          <w:rFonts w:hint="eastAsia"/>
          <w:highlight w:val="none"/>
        </w:rPr>
        <w:t>2.1.1质量标准：</w:t>
      </w:r>
      <w:bookmarkEnd w:id="60"/>
    </w:p>
    <w:p w14:paraId="26F74AF9">
      <w:pPr>
        <w:ind w:firstLine="480"/>
        <w:rPr>
          <w:highlight w:val="none"/>
        </w:rPr>
      </w:pPr>
      <w:r>
        <w:rPr>
          <w:rFonts w:hint="eastAsia"/>
          <w:highlight w:val="none"/>
        </w:rPr>
        <w:t xml:space="preserve">☑ </w:t>
      </w:r>
      <w:r>
        <w:rPr>
          <w:highlight w:val="none"/>
        </w:rPr>
        <w:t>（1）</w:t>
      </w:r>
      <w:r>
        <w:rPr>
          <w:rFonts w:hint="eastAsia"/>
          <w:highlight w:val="none"/>
        </w:rPr>
        <w:t>《建筑工程施工质量验收统一标准》（GB50300-2013）及相应配套的各专业验收规范等。</w:t>
      </w:r>
    </w:p>
    <w:p w14:paraId="282DC0A0">
      <w:pPr>
        <w:ind w:firstLine="480"/>
        <w:rPr>
          <w:highlight w:val="none"/>
        </w:rPr>
      </w:pPr>
      <w:r>
        <w:rPr>
          <w:rFonts w:hint="eastAsia"/>
          <w:highlight w:val="none"/>
        </w:rPr>
        <w:t xml:space="preserve">☑ </w:t>
      </w:r>
      <w:r>
        <w:rPr>
          <w:highlight w:val="none"/>
        </w:rPr>
        <w:t>（2）</w:t>
      </w:r>
      <w:r>
        <w:rPr>
          <w:rFonts w:hint="eastAsia"/>
          <w:highlight w:val="none"/>
        </w:rPr>
        <w:t>《城镇道路工程施工与质量验收规范》（CJJ1-2008）、《市政桥梁工程质量检验评定标准》（CJJ2-2008）、《给水排水管道工程施工及验收规范》（GB 50268-2008）及相应配套的各专业验收规范等。</w:t>
      </w:r>
    </w:p>
    <w:p w14:paraId="031BC875">
      <w:pPr>
        <w:ind w:firstLine="480"/>
        <w:rPr>
          <w:highlight w:val="none"/>
        </w:rPr>
      </w:pPr>
      <w:r>
        <w:rPr>
          <w:rFonts w:hint="eastAsia"/>
          <w:highlight w:val="none"/>
        </w:rPr>
        <w:t>☑ （3）《园林绿化工程施工及验收规范》（CJJ82-2012）、《城市绿化工程施工及验收规范》（DB440100/T114-2007）及相应配套的各专业验收规范等。</w:t>
      </w:r>
    </w:p>
    <w:p w14:paraId="31F81B20">
      <w:pPr>
        <w:pStyle w:val="5"/>
        <w:numPr>
          <w:ilvl w:val="2"/>
          <w:numId w:val="0"/>
        </w:numPr>
        <w:ind w:left="624" w:hanging="624"/>
        <w:rPr>
          <w:highlight w:val="none"/>
        </w:rPr>
      </w:pPr>
      <w:bookmarkStart w:id="61" w:name="_Toc23248"/>
      <w:r>
        <w:rPr>
          <w:rFonts w:hint="eastAsia"/>
          <w:highlight w:val="none"/>
        </w:rPr>
        <w:t>2.1.2质量目标：</w:t>
      </w:r>
      <w:bookmarkEnd w:id="61"/>
    </w:p>
    <w:p w14:paraId="3747F49F">
      <w:pPr>
        <w:ind w:firstLine="480"/>
        <w:rPr>
          <w:highlight w:val="none"/>
        </w:rPr>
      </w:pPr>
      <w:r>
        <w:rPr>
          <w:rFonts w:hint="eastAsia"/>
          <w:highlight w:val="none"/>
        </w:rPr>
        <w:t>一次验收合格，项目移交零渗漏且</w:t>
      </w:r>
    </w:p>
    <w:p w14:paraId="18D7CBEF">
      <w:pPr>
        <w:pStyle w:val="5"/>
        <w:numPr>
          <w:ilvl w:val="2"/>
          <w:numId w:val="0"/>
        </w:numPr>
        <w:ind w:firstLine="480" w:firstLineChars="200"/>
        <w:outlineLvl w:val="1"/>
        <w:rPr>
          <w:highlight w:val="none"/>
        </w:rPr>
      </w:pPr>
      <w:bookmarkStart w:id="62" w:name="_Toc22852"/>
      <w:r>
        <w:rPr>
          <w:highlight w:val="none"/>
        </w:rPr>
        <w:t>☒必须取得广州市建设工程优质奖。</w:t>
      </w:r>
      <w:bookmarkEnd w:id="62"/>
    </w:p>
    <w:p w14:paraId="1BDDFD7B">
      <w:pPr>
        <w:pStyle w:val="5"/>
        <w:numPr>
          <w:ilvl w:val="2"/>
          <w:numId w:val="0"/>
        </w:numPr>
        <w:ind w:firstLine="480" w:firstLineChars="200"/>
        <w:rPr>
          <w:highlight w:val="none"/>
        </w:rPr>
      </w:pPr>
      <w:bookmarkStart w:id="63" w:name="_Toc19681"/>
      <w:r>
        <w:rPr>
          <w:highlight w:val="none"/>
        </w:rPr>
        <w:t>☒必须取得广州市建设工程优质奖，争创广东省建设工程优质奖。</w:t>
      </w:r>
      <w:bookmarkEnd w:id="63"/>
    </w:p>
    <w:p w14:paraId="3C8B2BB9">
      <w:pPr>
        <w:pStyle w:val="5"/>
        <w:numPr>
          <w:ilvl w:val="2"/>
          <w:numId w:val="0"/>
        </w:numPr>
        <w:ind w:firstLine="480" w:firstLineChars="200"/>
        <w:rPr>
          <w:highlight w:val="none"/>
        </w:rPr>
      </w:pPr>
      <w:bookmarkStart w:id="64" w:name="_Toc13389"/>
      <w:r>
        <w:rPr>
          <w:highlight w:val="none"/>
        </w:rPr>
        <w:t>☒必须取得广东省建设工程优质奖。</w:t>
      </w:r>
      <w:bookmarkEnd w:id="64"/>
    </w:p>
    <w:p w14:paraId="4B76E3EA">
      <w:pPr>
        <w:pStyle w:val="5"/>
        <w:numPr>
          <w:ilvl w:val="2"/>
          <w:numId w:val="0"/>
        </w:numPr>
        <w:ind w:firstLine="480" w:firstLineChars="200"/>
        <w:rPr>
          <w:highlight w:val="none"/>
        </w:rPr>
      </w:pPr>
      <w:bookmarkStart w:id="65" w:name="_Toc18867"/>
      <w:r>
        <w:rPr>
          <w:highlight w:val="none"/>
        </w:rPr>
        <w:t>☒必须取得国家优质工程奖。</w:t>
      </w:r>
      <w:bookmarkEnd w:id="65"/>
    </w:p>
    <w:p w14:paraId="46E8C868">
      <w:pPr>
        <w:pStyle w:val="5"/>
        <w:numPr>
          <w:ilvl w:val="2"/>
          <w:numId w:val="0"/>
        </w:numPr>
        <w:ind w:firstLine="480" w:firstLineChars="200"/>
        <w:rPr>
          <w:highlight w:val="none"/>
        </w:rPr>
      </w:pPr>
      <w:bookmarkStart w:id="66" w:name="_Toc12082"/>
      <w:r>
        <w:rPr>
          <w:highlight w:val="none"/>
        </w:rPr>
        <w:t>☒其他</w:t>
      </w:r>
      <w:r>
        <w:rPr>
          <w:highlight w:val="none"/>
          <w:lang w:val="zh-CN"/>
        </w:rPr>
        <w:t>：</w:t>
      </w:r>
      <w:r>
        <w:rPr>
          <w:highlight w:val="none"/>
        </w:rPr>
        <w:t>广州市建设工程结构优质奖。</w:t>
      </w:r>
      <w:bookmarkEnd w:id="66"/>
    </w:p>
    <w:p w14:paraId="17119849">
      <w:pPr>
        <w:pStyle w:val="5"/>
        <w:numPr>
          <w:ilvl w:val="2"/>
          <w:numId w:val="0"/>
        </w:numPr>
        <w:ind w:firstLine="480" w:firstLineChars="200"/>
        <w:rPr>
          <w:highlight w:val="none"/>
        </w:rPr>
      </w:pPr>
      <w:bookmarkStart w:id="67" w:name="_Toc13202"/>
      <w:r>
        <w:rPr>
          <w:highlight w:val="none"/>
        </w:rPr>
        <w:t>具体质量标准及要求详见</w:t>
      </w:r>
      <w:r>
        <w:rPr>
          <w:rFonts w:hint="eastAsia"/>
          <w:highlight w:val="none"/>
        </w:rPr>
        <w:t>《发包人</w:t>
      </w:r>
      <w:r>
        <w:rPr>
          <w:highlight w:val="none"/>
        </w:rPr>
        <w:t>技术要求</w:t>
      </w:r>
      <w:r>
        <w:rPr>
          <w:rFonts w:hint="eastAsia"/>
          <w:highlight w:val="none"/>
        </w:rPr>
        <w:t>》</w:t>
      </w:r>
      <w:r>
        <w:rPr>
          <w:highlight w:val="none"/>
        </w:rPr>
        <w:t>。</w:t>
      </w:r>
      <w:bookmarkEnd w:id="67"/>
    </w:p>
    <w:p w14:paraId="1AE6BBDB">
      <w:pPr>
        <w:pStyle w:val="4"/>
        <w:numPr>
          <w:ilvl w:val="1"/>
          <w:numId w:val="0"/>
        </w:numPr>
        <w:ind w:left="624" w:hanging="624"/>
        <w:rPr>
          <w:rFonts w:hint="eastAsia"/>
          <w:highlight w:val="none"/>
        </w:rPr>
      </w:pPr>
      <w:bookmarkStart w:id="68" w:name="_Toc8183"/>
      <w:bookmarkStart w:id="69" w:name="_Toc179562961"/>
      <w:bookmarkStart w:id="70" w:name="_Toc9454"/>
      <w:bookmarkStart w:id="71" w:name="_Toc22024"/>
      <w:r>
        <w:rPr>
          <w:rFonts w:hint="eastAsia"/>
          <w:highlight w:val="none"/>
        </w:rPr>
        <w:t>2.2工程进度目标</w:t>
      </w:r>
      <w:bookmarkEnd w:id="51"/>
      <w:bookmarkEnd w:id="68"/>
      <w:bookmarkEnd w:id="69"/>
      <w:bookmarkEnd w:id="70"/>
      <w:bookmarkEnd w:id="71"/>
    </w:p>
    <w:p w14:paraId="37240ECD">
      <w:pPr>
        <w:pStyle w:val="5"/>
        <w:numPr>
          <w:ilvl w:val="2"/>
          <w:numId w:val="0"/>
        </w:numPr>
        <w:ind w:left="624" w:hanging="624"/>
        <w:rPr>
          <w:rFonts w:hint="eastAsia"/>
          <w:color w:val="auto"/>
          <w:highlight w:val="none"/>
        </w:rPr>
      </w:pPr>
      <w:r>
        <w:rPr>
          <w:rFonts w:hint="eastAsia" w:ascii="宋体" w:hAnsi="宋体" w:eastAsia="宋体" w:cs="Times New Roman"/>
          <w:highlight w:val="none"/>
          <w:lang w:val="en-US" w:eastAsia="zh-CN"/>
        </w:rPr>
        <w:t>（1）本工程总工期为</w:t>
      </w:r>
      <w:r>
        <w:rPr>
          <w:rFonts w:hint="eastAsia" w:cs="Times New Roman"/>
          <w:highlight w:val="none"/>
          <w:lang w:val="en-US" w:eastAsia="zh-CN"/>
        </w:rPr>
        <w:t>18</w:t>
      </w:r>
      <w:r>
        <w:rPr>
          <w:rFonts w:hint="eastAsia" w:ascii="宋体" w:hAnsi="宋体" w:eastAsia="宋体" w:cs="Times New Roman"/>
          <w:highlight w:val="none"/>
          <w:lang w:val="en-US" w:eastAsia="zh-CN"/>
        </w:rPr>
        <w:t>个</w:t>
      </w:r>
      <w:r>
        <w:rPr>
          <w:rFonts w:hint="eastAsia" w:cs="Times New Roman"/>
          <w:highlight w:val="none"/>
          <w:lang w:val="en-US" w:eastAsia="zh-CN"/>
        </w:rPr>
        <w:t>月</w:t>
      </w:r>
      <w:r>
        <w:rPr>
          <w:rFonts w:hint="eastAsia" w:ascii="宋体" w:hAnsi="宋体" w:eastAsia="宋体" w:cs="Times New Roman"/>
          <w:highlight w:val="none"/>
          <w:lang w:val="en-US" w:eastAsia="zh-CN"/>
        </w:rPr>
        <w:t>，具体开工日期以总监理工程师发出的开工令为</w:t>
      </w:r>
      <w:r>
        <w:rPr>
          <w:rFonts w:hint="eastAsia" w:ascii="宋体" w:hAnsi="宋体" w:eastAsia="宋体" w:cs="Times New Roman"/>
          <w:color w:val="auto"/>
          <w:highlight w:val="none"/>
          <w:lang w:val="en-US" w:eastAsia="zh-CN"/>
        </w:rPr>
        <w:t>准。其中临时施工用水、临时施工用电开通时间为5日历天（施工合同签订之日起开始计算）。</w:t>
      </w:r>
    </w:p>
    <w:p w14:paraId="0858A47B">
      <w:pPr>
        <w:ind w:left="0" w:leftChars="0" w:firstLine="0" w:firstLineChars="0"/>
        <w:rPr>
          <w:highlight w:val="none"/>
        </w:rPr>
      </w:pPr>
      <w:r>
        <w:rPr>
          <w:rFonts w:hint="eastAsia"/>
          <w:highlight w:val="none"/>
        </w:rPr>
        <w:t>（</w:t>
      </w:r>
      <w:r>
        <w:rPr>
          <w:rFonts w:hint="eastAsia"/>
          <w:highlight w:val="none"/>
          <w:lang w:val="en-US" w:eastAsia="zh-CN"/>
        </w:rPr>
        <w:t>2</w:t>
      </w:r>
      <w:r>
        <w:rPr>
          <w:rFonts w:hint="eastAsia"/>
          <w:highlight w:val="none"/>
        </w:rPr>
        <w:t>）发包人根据工程实施情况，有权对本合同工程工期（包括关键节点工期和竣工日期）进行适当调整，并按合同相关条款的约定处理，承包人必须采取一切有效措施保证竣工日期，不得延误，并不得要求另行增加费用；如不能按经发包人批准或下达的计划完成任务，由承包人按合同相关条款约定承担违约责任。</w:t>
      </w:r>
    </w:p>
    <w:p w14:paraId="2347BAA5">
      <w:pPr>
        <w:pStyle w:val="4"/>
        <w:numPr>
          <w:ilvl w:val="1"/>
          <w:numId w:val="0"/>
        </w:numPr>
        <w:ind w:left="624" w:hanging="624"/>
        <w:rPr>
          <w:highlight w:val="none"/>
        </w:rPr>
      </w:pPr>
      <w:bookmarkStart w:id="72" w:name="_Toc22295"/>
      <w:bookmarkStart w:id="73" w:name="_Toc179562962"/>
      <w:bookmarkStart w:id="74" w:name="_Toc14031"/>
      <w:bookmarkStart w:id="75" w:name="_Toc24764"/>
      <w:bookmarkStart w:id="76" w:name="_Toc20815"/>
      <w:bookmarkStart w:id="77" w:name="_Toc25345"/>
      <w:bookmarkStart w:id="78" w:name="_Toc7210"/>
      <w:bookmarkStart w:id="79" w:name="_Toc28919"/>
      <w:bookmarkStart w:id="80" w:name="_Toc7675"/>
      <w:bookmarkStart w:id="81" w:name="_Toc32645"/>
      <w:bookmarkStart w:id="82" w:name="_Toc23227"/>
      <w:bookmarkStart w:id="83" w:name="_Toc16971"/>
      <w:bookmarkStart w:id="84" w:name="_Toc796"/>
      <w:bookmarkStart w:id="85" w:name="_Toc28302"/>
      <w:r>
        <w:rPr>
          <w:rFonts w:hint="eastAsia"/>
          <w:highlight w:val="none"/>
        </w:rPr>
        <w:t>2.</w:t>
      </w:r>
      <w:r>
        <w:rPr>
          <w:rFonts w:hint="eastAsia"/>
          <w:highlight w:val="none"/>
          <w:lang w:val="en-US" w:eastAsia="zh-CN"/>
        </w:rPr>
        <w:t>3</w:t>
      </w:r>
      <w:r>
        <w:rPr>
          <w:rFonts w:hint="eastAsia"/>
          <w:highlight w:val="none"/>
        </w:rPr>
        <w:t>职业健康安全管理目标和环境管理目标</w:t>
      </w:r>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0B16271">
      <w:pPr>
        <w:ind w:firstLine="480"/>
        <w:rPr>
          <w:highlight w:val="none"/>
        </w:rPr>
      </w:pPr>
      <w:r>
        <w:rPr>
          <w:rFonts w:hint="eastAsia"/>
          <w:highlight w:val="none"/>
        </w:rPr>
        <w:t>2.3.1</w:t>
      </w:r>
      <w:r>
        <w:rPr>
          <w:highlight w:val="none"/>
        </w:rPr>
        <w:t>职业健康安全管理目标：事故隐患排查治理覆盖率100%，一般事故隐患整改率100%，重大事故隐患挂牌督办率100%、整改率100%；安全生产非法违法行为举报投诉查办率达到100%。</w:t>
      </w:r>
    </w:p>
    <w:p w14:paraId="1C9E3601">
      <w:pPr>
        <w:ind w:firstLine="480"/>
        <w:rPr>
          <w:highlight w:val="none"/>
        </w:rPr>
      </w:pPr>
      <w:r>
        <w:rPr>
          <w:highlight w:val="none"/>
        </w:rPr>
        <w:t>（1）杜绝发生一般事故等级及以上的伤亡事故且工伤责任事故死亡人数为零。</w:t>
      </w:r>
    </w:p>
    <w:p w14:paraId="7B4B558A">
      <w:pPr>
        <w:ind w:firstLine="480"/>
        <w:outlineLvl w:val="2"/>
        <w:rPr>
          <w:highlight w:val="none"/>
        </w:rPr>
      </w:pPr>
      <w:bookmarkStart w:id="86" w:name="_Toc22448"/>
      <w:r>
        <w:rPr>
          <w:highlight w:val="none"/>
        </w:rPr>
        <w:t>（2）零负面舆情影响事件、零群体性事件。</w:t>
      </w:r>
      <w:bookmarkEnd w:id="86"/>
    </w:p>
    <w:p w14:paraId="5CF3AD39">
      <w:pPr>
        <w:ind w:firstLine="480"/>
        <w:rPr>
          <w:highlight w:val="none"/>
        </w:rPr>
      </w:pPr>
      <w:r>
        <w:rPr>
          <w:highlight w:val="none"/>
        </w:rPr>
        <w:t>（3）项目不发生疫情，杜绝疫情扩散感染，杜绝群体性卫生事件发生。</w:t>
      </w:r>
    </w:p>
    <w:p w14:paraId="388ACB4B">
      <w:pPr>
        <w:ind w:firstLine="480"/>
        <w:outlineLvl w:val="2"/>
        <w:rPr>
          <w:highlight w:val="none"/>
        </w:rPr>
      </w:pPr>
      <w:bookmarkStart w:id="87" w:name="_Toc23900"/>
      <w:r>
        <w:rPr>
          <w:highlight w:val="none"/>
        </w:rPr>
        <w:t>（4）确保</w:t>
      </w:r>
      <w:bookmarkEnd w:id="87"/>
    </w:p>
    <w:p w14:paraId="7A7C4D89">
      <w:pPr>
        <w:ind w:firstLine="480"/>
        <w:rPr>
          <w:highlight w:val="none"/>
        </w:rPr>
      </w:pPr>
      <w:r>
        <w:rPr>
          <w:highlight w:val="none"/>
        </w:rPr>
        <w:t>☑达到广州市安全文明样板工地标准。</w:t>
      </w:r>
    </w:p>
    <w:p w14:paraId="75277EC7">
      <w:pPr>
        <w:ind w:firstLine="480"/>
        <w:rPr>
          <w:highlight w:val="none"/>
        </w:rPr>
      </w:pPr>
      <w:r>
        <w:rPr>
          <w:highlight w:val="none"/>
        </w:rPr>
        <w:t>☒广州市安全文明样板工地，争创广东省安全文明样板工地。</w:t>
      </w:r>
    </w:p>
    <w:p w14:paraId="278A254E">
      <w:pPr>
        <w:ind w:firstLine="480"/>
        <w:rPr>
          <w:highlight w:val="none"/>
        </w:rPr>
      </w:pPr>
      <w:r>
        <w:rPr>
          <w:highlight w:val="none"/>
        </w:rPr>
        <w:t>☒广东省安全文明样板工地。</w:t>
      </w:r>
    </w:p>
    <w:p w14:paraId="65DD37CF">
      <w:pPr>
        <w:ind w:firstLine="480"/>
        <w:rPr>
          <w:highlight w:val="none"/>
        </w:rPr>
      </w:pPr>
      <w:r>
        <w:rPr>
          <w:highlight w:val="none"/>
        </w:rPr>
        <w:t>☒其他：广州市建设工程安全文明绿色施工样板工地。</w:t>
      </w:r>
    </w:p>
    <w:p w14:paraId="2EC66CEF">
      <w:pPr>
        <w:pStyle w:val="5"/>
        <w:numPr>
          <w:ilvl w:val="2"/>
          <w:numId w:val="0"/>
        </w:numPr>
        <w:ind w:left="624" w:hanging="624"/>
        <w:rPr>
          <w:highlight w:val="none"/>
        </w:rPr>
      </w:pPr>
      <w:bookmarkStart w:id="88" w:name="_Toc19089"/>
      <w:r>
        <w:rPr>
          <w:rFonts w:hint="eastAsia"/>
          <w:highlight w:val="none"/>
        </w:rPr>
        <w:t>2.3.2环境管理目标：</w:t>
      </w:r>
      <w:bookmarkEnd w:id="88"/>
    </w:p>
    <w:p w14:paraId="4C21BF9B">
      <w:pPr>
        <w:ind w:firstLine="480"/>
        <w:rPr>
          <w:highlight w:val="none"/>
        </w:rPr>
      </w:pPr>
      <w:r>
        <w:rPr>
          <w:rFonts w:hint="eastAsia"/>
          <w:highlight w:val="none"/>
        </w:rPr>
        <w:t>严格执行《广州市建设工程文明施工管理规定》（广州市人民政府令第158号）、《广州市建设工程现场文明施工管理办法》（穗建质〔2008〕937号）、《关于进一步加强我区建设工地文明施工管理的通知》（穗开规建〔2006〕74号）、《广州市城乡建设委员会关于印发广州市加强建筑工地环保管理工作方案的通知》(穗建质〔2014〕754号) 、《广州市提升建设工程安全文明施工管理水平的工作指引》（穗建质〔2017〕815号）、《广州市建设工程安全文明施工规程（试行版）》（穗建质〔2021) 316 号）、《危险性较大的分部分项工程安全管理规定》(中华人民共和国住房和城乡建设部令第37号)、《关于加强建设工程安全生产管理 落实建设各方主体责任的暂行规定》（穗建规字〔2020〕34号）、《广州市住房和城乡建设委员会关于印发建设工程扬尘防治“6个100%”管理标准细化措施的通知》（穗建质〔2018〕1394号）、广州市住房和城乡建设局关于印发广州市房屋建筑工程安全防护指导图集（防高坠篇）的通知、《广州市建设工程绿色施工围蔽指导图集（V2.0版）》（穗建质〔2020〕1号）和《广东省建筑垃圾管理条例》（广东省第十三届人民代表大会常务委员会公告第126号） 等国家、省、市现行标准、规定和文件要求。严格按照国家、省市最新颁布的法律法规、规章制度及建设行政主管部门最新发布的相关文件等执行，杜绝环境破坏、环境污染和水体污染事故等。以上文件要求不一致的，以后发布文件为准，若相关部门发布有关施工围蔽新文件规定的，按新规定执行，费用不予增加。</w:t>
      </w:r>
    </w:p>
    <w:bookmarkEnd w:id="52"/>
    <w:p w14:paraId="071C0A0F">
      <w:pPr>
        <w:ind w:firstLine="480"/>
        <w:rPr>
          <w:highlight w:val="none"/>
        </w:rPr>
      </w:pPr>
      <w:bookmarkStart w:id="89" w:name="_Toc26616"/>
      <w:r>
        <w:rPr>
          <w:rFonts w:hint="eastAsia"/>
          <w:highlight w:val="none"/>
        </w:rPr>
        <w:br w:type="page"/>
      </w:r>
    </w:p>
    <w:p w14:paraId="37A52C14">
      <w:pPr>
        <w:pStyle w:val="3"/>
        <w:numPr>
          <w:ilvl w:val="0"/>
          <w:numId w:val="0"/>
        </w:numPr>
        <w:ind w:left="432"/>
        <w:rPr>
          <w:highlight w:val="none"/>
        </w:rPr>
      </w:pPr>
      <w:bookmarkStart w:id="90" w:name="_Toc179562963"/>
      <w:bookmarkStart w:id="91" w:name="_Toc32342"/>
      <w:bookmarkStart w:id="92" w:name="_Toc12022"/>
      <w:r>
        <w:rPr>
          <w:highlight w:val="none"/>
        </w:rPr>
        <w:t xml:space="preserve">第3章 </w:t>
      </w:r>
      <w:r>
        <w:rPr>
          <w:rFonts w:hint="eastAsia"/>
          <w:highlight w:val="none"/>
        </w:rPr>
        <w:t>承包</w:t>
      </w:r>
      <w:r>
        <w:rPr>
          <w:highlight w:val="none"/>
        </w:rPr>
        <w:t>范围及界面</w:t>
      </w:r>
      <w:r>
        <w:rPr>
          <w:rFonts w:hint="eastAsia"/>
          <w:highlight w:val="none"/>
        </w:rPr>
        <w:t>划分</w:t>
      </w:r>
      <w:bookmarkEnd w:id="53"/>
      <w:bookmarkEnd w:id="54"/>
      <w:bookmarkEnd w:id="55"/>
      <w:bookmarkEnd w:id="56"/>
      <w:bookmarkEnd w:id="57"/>
      <w:bookmarkEnd w:id="89"/>
      <w:bookmarkEnd w:id="90"/>
      <w:bookmarkEnd w:id="91"/>
      <w:bookmarkEnd w:id="92"/>
    </w:p>
    <w:p w14:paraId="183965AA">
      <w:pPr>
        <w:pStyle w:val="4"/>
        <w:numPr>
          <w:ilvl w:val="1"/>
          <w:numId w:val="0"/>
        </w:numPr>
        <w:ind w:left="624" w:hanging="624"/>
        <w:rPr>
          <w:highlight w:val="none"/>
        </w:rPr>
      </w:pPr>
      <w:bookmarkStart w:id="93" w:name="_Toc14399"/>
      <w:bookmarkStart w:id="94" w:name="_Toc169722196"/>
      <w:bookmarkStart w:id="95" w:name="_Toc21873"/>
      <w:bookmarkStart w:id="96" w:name="_Toc5025"/>
      <w:bookmarkStart w:id="97" w:name="_Toc32248"/>
      <w:bookmarkStart w:id="98" w:name="_Toc488931149"/>
      <w:bookmarkStart w:id="99" w:name="_Toc8114"/>
      <w:bookmarkStart w:id="100" w:name="_Toc945"/>
      <w:bookmarkStart w:id="101" w:name="_Toc179562965"/>
      <w:r>
        <w:rPr>
          <w:rFonts w:hint="eastAsia"/>
          <w:highlight w:val="none"/>
        </w:rPr>
        <w:t>3.</w:t>
      </w:r>
      <w:r>
        <w:rPr>
          <w:rFonts w:hint="eastAsia"/>
          <w:highlight w:val="none"/>
          <w:lang w:val="en-US" w:eastAsia="zh-CN"/>
        </w:rPr>
        <w:t>1</w:t>
      </w:r>
      <w:r>
        <w:rPr>
          <w:rFonts w:hint="eastAsia"/>
          <w:highlight w:val="none"/>
        </w:rPr>
        <w:t>总承包范围</w:t>
      </w:r>
      <w:bookmarkEnd w:id="93"/>
      <w:bookmarkEnd w:id="94"/>
      <w:bookmarkEnd w:id="95"/>
      <w:bookmarkEnd w:id="96"/>
      <w:bookmarkEnd w:id="97"/>
      <w:bookmarkEnd w:id="98"/>
      <w:bookmarkEnd w:id="99"/>
      <w:bookmarkEnd w:id="100"/>
      <w:bookmarkEnd w:id="101"/>
    </w:p>
    <w:p w14:paraId="01E4409B">
      <w:pPr>
        <w:ind w:firstLine="480"/>
        <w:rPr>
          <w:highlight w:val="none"/>
        </w:rPr>
      </w:pPr>
      <w:r>
        <w:rPr>
          <w:rFonts w:hint="eastAsia"/>
          <w:highlight w:val="none"/>
        </w:rPr>
        <w:t>以下所述的工程范围及介绍只是概括的，并不能视为完整无缺的。总承包人应充分研究合同文件，包括投标须知、合同条款、工料规范及工程量清单，特别是按图纸去完全了解本工程的实际范围。</w:t>
      </w:r>
    </w:p>
    <w:p w14:paraId="2BF2B609">
      <w:pPr>
        <w:ind w:firstLine="480"/>
        <w:rPr>
          <w:highlight w:val="none"/>
        </w:rPr>
      </w:pPr>
      <w:r>
        <w:rPr>
          <w:rFonts w:hint="eastAsia"/>
          <w:highlight w:val="none"/>
        </w:rPr>
        <w:t>由总承包人负责直接执行完成的本工程范围及内容包括但不限于下列各项：</w:t>
      </w:r>
    </w:p>
    <w:p w14:paraId="040099BE">
      <w:pPr>
        <w:pStyle w:val="5"/>
        <w:numPr>
          <w:ilvl w:val="2"/>
          <w:numId w:val="0"/>
        </w:numPr>
        <w:ind w:left="624" w:hanging="624"/>
        <w:rPr>
          <w:highlight w:val="yellow"/>
        </w:rPr>
      </w:pPr>
      <w:bookmarkStart w:id="102" w:name="_Toc32560"/>
      <w:r>
        <w:rPr>
          <w:rFonts w:hint="eastAsia"/>
          <w:highlight w:val="none"/>
        </w:rPr>
        <w:t>3.</w:t>
      </w:r>
      <w:r>
        <w:rPr>
          <w:rFonts w:hint="eastAsia"/>
          <w:highlight w:val="none"/>
          <w:lang w:val="en-US" w:eastAsia="zh-CN"/>
        </w:rPr>
        <w:t>1</w:t>
      </w:r>
      <w:r>
        <w:rPr>
          <w:rFonts w:hint="eastAsia"/>
          <w:highlight w:val="none"/>
        </w:rPr>
        <w:t>.1前期工程接收及修缮：负责前期临时出入口围墙及大门、临时出入口道路等的接收及修缮工作，并负责相应的施工出入口开口工作（含手续办理）；负责前期临时施工出入口的沉砂池、截水沟等的接收及修缮工作；负责临时施工用电 设施、临时施工用水、临时排水系统的接管及维护</w:t>
      </w:r>
      <w:r>
        <w:rPr>
          <w:rFonts w:hint="eastAsia"/>
          <w:highlight w:val="yellow"/>
        </w:rPr>
        <w:t>。</w:t>
      </w:r>
      <w:bookmarkEnd w:id="102"/>
      <w:r>
        <w:rPr>
          <w:rFonts w:hint="eastAsia"/>
          <w:highlight w:val="yellow"/>
        </w:rPr>
        <w:t xml:space="preserve"> </w:t>
      </w:r>
    </w:p>
    <w:p w14:paraId="79B59BCC">
      <w:pPr>
        <w:pStyle w:val="5"/>
        <w:numPr>
          <w:ilvl w:val="2"/>
          <w:numId w:val="0"/>
        </w:numPr>
        <w:ind w:left="624" w:hanging="624"/>
        <w:rPr>
          <w:highlight w:val="none"/>
        </w:rPr>
      </w:pPr>
      <w:bookmarkStart w:id="103" w:name="_Toc24317"/>
      <w:r>
        <w:rPr>
          <w:rFonts w:hint="eastAsia"/>
          <w:highlight w:val="none"/>
        </w:rPr>
        <w:t>3.</w:t>
      </w:r>
      <w:r>
        <w:rPr>
          <w:rFonts w:hint="eastAsia"/>
          <w:highlight w:val="none"/>
          <w:lang w:val="en-US" w:eastAsia="zh-CN"/>
        </w:rPr>
        <w:t>1</w:t>
      </w:r>
      <w:r>
        <w:rPr>
          <w:rFonts w:hint="eastAsia"/>
          <w:highlight w:val="none"/>
        </w:rPr>
        <w:t>.2临时设施（临时道路、大门等）：负责自行修建及维护办公区；负责自行修建或租赁场外食堂、职工生活区等；负责较前期新增围墙(包含临时围挡及广告牌（不含广告布））及施工大门修建及维护工作，并负责相应的施工出入口开口工作（含手续办理）；负责较前期新增沉砂池、截水沟等修建及修复工作，并负责自行购置临时出入口的冲洗设备、污水净化设备；负责场地内道路、水电布置给排水系统、加工区等的修建及修复工作；所有工序施工必须做到工完场清，所有场地不得有裸土，土方回填后应及时硬化或铺设密目网。</w:t>
      </w:r>
      <w:bookmarkEnd w:id="103"/>
      <w:r>
        <w:rPr>
          <w:rFonts w:hint="eastAsia"/>
          <w:highlight w:val="none"/>
        </w:rPr>
        <w:t xml:space="preserve"> </w:t>
      </w:r>
    </w:p>
    <w:p w14:paraId="36CC9E04">
      <w:pPr>
        <w:pStyle w:val="5"/>
        <w:numPr>
          <w:ilvl w:val="2"/>
          <w:numId w:val="0"/>
        </w:numPr>
        <w:ind w:left="624" w:hanging="624"/>
        <w:rPr>
          <w:highlight w:val="none"/>
        </w:rPr>
      </w:pPr>
      <w:bookmarkStart w:id="104" w:name="_Toc7207"/>
      <w:r>
        <w:rPr>
          <w:rFonts w:hint="eastAsia"/>
          <w:highlight w:val="none"/>
        </w:rPr>
        <w:t>3.</w:t>
      </w:r>
      <w:r>
        <w:rPr>
          <w:rFonts w:hint="eastAsia"/>
          <w:highlight w:val="none"/>
          <w:lang w:val="en-US" w:eastAsia="zh-CN"/>
        </w:rPr>
        <w:t>1</w:t>
      </w:r>
      <w:r>
        <w:rPr>
          <w:rFonts w:hint="eastAsia"/>
          <w:highlight w:val="none"/>
        </w:rPr>
        <w:t>.3临时甲方办公室工程：总承包人负责根据工程建设及发包人需求向发包方提供临时甲方办公室，负责临时设施建造工程的设计、施工（包含装饰装修）及报批报建等手续；负责办公设施的供应及安装；负责临时工程施工完成后政府相关部门验收等，并负责临时甲方办公室的场地租赁、日常用水、用电、排污、日常保洁、电话及网络线等工作。确保已实施临时甲方办公室使用至项目竣工后发包方通知拆除时止，总承包人在发包人不需要时拆除及修复受影响的地方。</w:t>
      </w:r>
      <w:bookmarkEnd w:id="104"/>
    </w:p>
    <w:p w14:paraId="00DA3146">
      <w:pPr>
        <w:pStyle w:val="5"/>
        <w:numPr>
          <w:ilvl w:val="2"/>
          <w:numId w:val="0"/>
        </w:numPr>
        <w:ind w:left="624" w:hanging="624"/>
        <w:rPr>
          <w:highlight w:val="none"/>
        </w:rPr>
      </w:pPr>
      <w:bookmarkStart w:id="105" w:name="_Toc31270"/>
      <w:r>
        <w:rPr>
          <w:rFonts w:hint="eastAsia"/>
          <w:highlight w:val="none"/>
        </w:rPr>
        <w:t>3.</w:t>
      </w:r>
      <w:r>
        <w:rPr>
          <w:rFonts w:hint="eastAsia"/>
          <w:highlight w:val="none"/>
          <w:lang w:val="en-US" w:eastAsia="zh-CN"/>
        </w:rPr>
        <w:t>1</w:t>
      </w:r>
      <w:r>
        <w:rPr>
          <w:rFonts w:hint="eastAsia"/>
          <w:highlight w:val="none"/>
        </w:rPr>
        <w:t>.4桩基础工程：负责试桩、桩基础方案专项审查及报建（如有）；负责现场定位测量及放线；负责按审查通过的桩基础方案进行施工，包括桩芯土开挖、桩基础施工等，并负责桩芯土清理及外运，施工过程中存在断桩、废桩、钻孔偏移等相关风险需承包人需综合考虑，不予以计取；负责提供桩基础施工机械并负责运输至现场，且负责桩基础施工机械设备的进出场工作；负责施工作业范围内废弃建筑物基础、市政地下管线设施以及其他地下障碍物（如有）的破碎、拆除、外运；负责试桩及试桩检测，并负责与桩基础测试等相关的一切事宜；负责自购材料按规范或政府部门的有关规定而进行的材料检验或实验；负责配合桩基础检测单位工作的开展（如桩基础检测单位配重块及机械设备、车辆等进场道路平整及换填，试桩头周边场地平整等工作），并确保通过政府有关部门的验收。总包须充分考虑广州市对桩施工机械的要求，其费用及配合桩基检测的桩头保护措施费用已在报价中综合考虑，不另计费用。</w:t>
      </w:r>
      <w:bookmarkEnd w:id="105"/>
    </w:p>
    <w:p w14:paraId="7F4624FD">
      <w:pPr>
        <w:pStyle w:val="5"/>
        <w:numPr>
          <w:ilvl w:val="2"/>
          <w:numId w:val="0"/>
        </w:numPr>
        <w:ind w:left="624" w:hanging="624"/>
        <w:rPr>
          <w:highlight w:val="none"/>
        </w:rPr>
      </w:pPr>
      <w:bookmarkStart w:id="106" w:name="_Toc15597"/>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5</w:t>
      </w:r>
      <w:r>
        <w:rPr>
          <w:rFonts w:hint="eastAsia"/>
          <w:highlight w:val="none"/>
        </w:rPr>
        <w:t xml:space="preserve">捡底：负责底板垫层底标高以上 </w:t>
      </w:r>
      <w:r>
        <w:rPr>
          <w:highlight w:val="none"/>
        </w:rPr>
        <w:t xml:space="preserve">300mm </w:t>
      </w:r>
      <w:r>
        <w:rPr>
          <w:rFonts w:hint="eastAsia"/>
          <w:highlight w:val="none"/>
        </w:rPr>
        <w:t>以下部分土方的清理及外运（地质为石方和有地基处理区域除外）。</w:t>
      </w:r>
      <w:bookmarkEnd w:id="106"/>
      <w:r>
        <w:rPr>
          <w:rFonts w:hint="eastAsia"/>
          <w:highlight w:val="none"/>
        </w:rPr>
        <w:t xml:space="preserve"> </w:t>
      </w:r>
    </w:p>
    <w:p w14:paraId="65895C6D">
      <w:pPr>
        <w:pStyle w:val="5"/>
        <w:numPr>
          <w:ilvl w:val="2"/>
          <w:numId w:val="0"/>
        </w:numPr>
        <w:ind w:left="624" w:hanging="624"/>
        <w:rPr>
          <w:highlight w:val="none"/>
        </w:rPr>
      </w:pPr>
      <w:bookmarkStart w:id="107" w:name="_Toc12853"/>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6</w:t>
      </w:r>
      <w:r>
        <w:rPr>
          <w:rFonts w:hint="eastAsia"/>
          <w:highlight w:val="none"/>
        </w:rPr>
        <w:t>地基处理工程：负责地基处理方案及方案专项论证和报建；负责按通过论证的地基处理方案进行施工，包括桩芯土开挖及外运、清理桩头至准确标高、褥垫层铺设及压实、桩间土清理及外运等；负责施工过程中所产生土方、灰饼、砂浆块及清理桩头所产生之桩渣等的清理及外运工作；协助地基处理施工完成后的地基承载力检测，并确保通过政府有关部门验收。</w:t>
      </w:r>
      <w:bookmarkEnd w:id="107"/>
    </w:p>
    <w:p w14:paraId="18B00A2F">
      <w:pPr>
        <w:pStyle w:val="5"/>
        <w:numPr>
          <w:ilvl w:val="2"/>
          <w:numId w:val="0"/>
        </w:numPr>
        <w:ind w:left="624" w:hanging="624"/>
        <w:rPr>
          <w:highlight w:val="none"/>
        </w:rPr>
      </w:pPr>
      <w:bookmarkStart w:id="108" w:name="_Toc18335"/>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7</w:t>
      </w:r>
      <w:r>
        <w:rPr>
          <w:rFonts w:hint="eastAsia"/>
          <w:highlight w:val="none"/>
        </w:rPr>
        <w:t>局部基础换填：负责换填部分土方（设计或地勘判断的不良地基）的挖除及外运（含捡底）；负责级配砂石换填施工（包含级配砂石的供应及换填施工），并负责相应的检测工作（需提供相应的检测报告）（若有）；负责混凝土供应及换填施工（若有）。</w:t>
      </w:r>
      <w:bookmarkEnd w:id="108"/>
      <w:r>
        <w:rPr>
          <w:rFonts w:hint="eastAsia"/>
          <w:highlight w:val="none"/>
        </w:rPr>
        <w:t xml:space="preserve"> </w:t>
      </w:r>
    </w:p>
    <w:p w14:paraId="14A1AA0C">
      <w:pPr>
        <w:pStyle w:val="5"/>
        <w:numPr>
          <w:ilvl w:val="2"/>
          <w:numId w:val="0"/>
        </w:numPr>
        <w:ind w:left="624" w:hanging="624"/>
        <w:rPr>
          <w:highlight w:val="none"/>
        </w:rPr>
      </w:pPr>
      <w:bookmarkStart w:id="109" w:name="_Toc3914"/>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8</w:t>
      </w:r>
      <w:r>
        <w:rPr>
          <w:rFonts w:hint="eastAsia"/>
          <w:highlight w:val="none"/>
        </w:rPr>
        <w:t>主体结构工程（包括项目相关的附属建筑物或构筑物）、预制构件供应及安装：负责建施图及结施图所反映的梁、板、柱、墙、楼梯等施工（含预应力工程和钢结构工程）；负责施工缝及变形缝施工；负责施工图以及钢结构深化图的钢结构现场安装及检测（若有）；负责施工过程中铝模、爬架等重难点措施进行深化（此费用已在合同价款考虑）；负责施工图所反映的所有二次结构的施工，包括砌块和轻质墙板等砌体、构造柱、反坎、设备基础等所有土建二次结构；负责厨房烟道（含止回阀、出屋面风帽）及卫生间等部位水泥制品排气道（含透气帽）等安装；负责主体结构材料检测、施工检测等；负责主体结构沉降观测，钢结构监测（若有）等；负责所有主体结构偏差的修正并确保达到移交下道工序条件。</w:t>
      </w:r>
      <w:bookmarkEnd w:id="109"/>
    </w:p>
    <w:p w14:paraId="408B2C54">
      <w:pPr>
        <w:pStyle w:val="5"/>
        <w:numPr>
          <w:ilvl w:val="2"/>
          <w:numId w:val="0"/>
        </w:numPr>
        <w:ind w:left="624" w:hanging="624"/>
        <w:rPr>
          <w:highlight w:val="none"/>
        </w:rPr>
      </w:pPr>
      <w:bookmarkStart w:id="110" w:name="_Toc6273"/>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9</w:t>
      </w:r>
      <w:r>
        <w:rPr>
          <w:rFonts w:hint="eastAsia"/>
          <w:highlight w:val="none"/>
        </w:rPr>
        <w:t>主体粗装饰工程（包括项目相关的附属建筑物或构筑物）：负责砌体工程（含砌块墙、隔墙等）；负责楼栋以内的粗装修，包括抹灰（含内外墙）、腻子工程（非精装修区域含天棚及墙面）等施工；负责楼梯间、水电管井、设备用房、配电房等区域的粗装修、装修面层，包含瓷砖、乳胶漆面层、各种吊顶工程；负责防火卷帘导轨间及两侧立柱砌体、抹灰及非精装区可见面的饰面施工；负责避难层、设备层、转换层等的天、墙、地面基层处理（含地面回填），以及天、墙、地面饰面材料的采购与施工；负责消防控制室的天花吊顶、墙面饰面（抹灰及腻子）施工；负责楼层楼板洞口及外立面截水、屋面拦水措施。</w:t>
      </w:r>
      <w:r>
        <w:rPr>
          <w:highlight w:val="none"/>
        </w:rPr>
        <w:t>负责楼栋以内的保温工程（含屋面及楼地面保温、外墙保温、架空层保温等，不含幕墙部位保温）等施工，并应保证各项保温性能试验及保温材料的复试能够通过当地质监站及消防局的验收；负责外墙门窗室外及内廊外窗户外收口，外墙外保温与窗框间塞缝；毛坯房室内收口；精装修房总承包区域收口；负责防火门门框与结构洞口间砂浆塞缝，并负责总承包区域防火门门框与土建洞口的收口处理；并负责总承包区域入户门门框与土建洞口的收口处理；负责组织政府有关部门保温专项验收工作，并保证通过。</w:t>
      </w:r>
      <w:bookmarkEnd w:id="110"/>
    </w:p>
    <w:p w14:paraId="7FF74FA3">
      <w:pPr>
        <w:pStyle w:val="5"/>
        <w:numPr>
          <w:ilvl w:val="2"/>
          <w:numId w:val="0"/>
        </w:numPr>
        <w:ind w:left="624" w:hanging="624"/>
        <w:rPr>
          <w:highlight w:val="none"/>
        </w:rPr>
      </w:pPr>
      <w:bookmarkStart w:id="111" w:name="_Toc22581"/>
      <w:r>
        <w:rPr>
          <w:rFonts w:hint="eastAsia"/>
          <w:highlight w:val="none"/>
        </w:rPr>
        <w:t>3.</w:t>
      </w:r>
      <w:r>
        <w:rPr>
          <w:rFonts w:hint="eastAsia"/>
          <w:highlight w:val="none"/>
          <w:lang w:val="en-US" w:eastAsia="zh-CN"/>
        </w:rPr>
        <w:t>1</w:t>
      </w:r>
      <w:r>
        <w:rPr>
          <w:rFonts w:hint="eastAsia"/>
          <w:highlight w:val="none"/>
        </w:rPr>
        <w:t>.1</w:t>
      </w:r>
      <w:r>
        <w:rPr>
          <w:rFonts w:hint="eastAsia"/>
          <w:highlight w:val="none"/>
          <w:lang w:val="en-US" w:eastAsia="zh-CN"/>
        </w:rPr>
        <w:t>0</w:t>
      </w:r>
      <w:r>
        <w:rPr>
          <w:highlight w:val="none"/>
        </w:rPr>
        <w:t>室内地坪：负责楼梯间基层及面层；</w:t>
      </w:r>
      <w:r>
        <w:rPr>
          <w:rFonts w:hint="eastAsia"/>
          <w:highlight w:val="none"/>
        </w:rPr>
        <w:t>负责地上非精装修区域地面基层处理、找平层及饰面施工；</w:t>
      </w:r>
      <w:r>
        <w:rPr>
          <w:highlight w:val="none"/>
        </w:rPr>
        <w:t>总承包人仅对</w:t>
      </w:r>
      <w:r>
        <w:rPr>
          <w:rFonts w:hint="eastAsia"/>
          <w:highlight w:val="none"/>
        </w:rPr>
        <w:t>公区、大堂、走道、室内等精装修区域地坪结构层偏差修正、清理、找平层；</w:t>
      </w:r>
      <w:r>
        <w:rPr>
          <w:highlight w:val="none"/>
        </w:rPr>
        <w:t xml:space="preserve"> </w:t>
      </w:r>
      <w:r>
        <w:rPr>
          <w:rFonts w:hint="eastAsia"/>
          <w:highlight w:val="none"/>
        </w:rPr>
        <w:t>负责精装修范围外的隔音工程施工。</w:t>
      </w:r>
      <w:bookmarkEnd w:id="111"/>
    </w:p>
    <w:p w14:paraId="43E93FC8">
      <w:pPr>
        <w:pStyle w:val="5"/>
        <w:numPr>
          <w:ilvl w:val="2"/>
          <w:numId w:val="0"/>
        </w:numPr>
        <w:ind w:left="624" w:hanging="624"/>
        <w:rPr>
          <w:highlight w:val="none"/>
        </w:rPr>
      </w:pPr>
      <w:bookmarkStart w:id="112" w:name="_Toc23041"/>
      <w:r>
        <w:rPr>
          <w:rFonts w:hint="eastAsia"/>
          <w:highlight w:val="none"/>
        </w:rPr>
        <w:t>3.</w:t>
      </w:r>
      <w:r>
        <w:rPr>
          <w:rFonts w:hint="eastAsia"/>
          <w:highlight w:val="none"/>
          <w:lang w:val="en-US" w:eastAsia="zh-CN"/>
        </w:rPr>
        <w:t>1</w:t>
      </w:r>
      <w:r>
        <w:rPr>
          <w:rFonts w:hint="eastAsia"/>
          <w:highlight w:val="none"/>
        </w:rPr>
        <w:t>.1</w:t>
      </w:r>
      <w:r>
        <w:rPr>
          <w:rFonts w:hint="eastAsia"/>
          <w:highlight w:val="none"/>
          <w:lang w:val="en-US" w:eastAsia="zh-CN"/>
        </w:rPr>
        <w:t>1</w:t>
      </w:r>
      <w:r>
        <w:rPr>
          <w:rFonts w:hint="eastAsia"/>
          <w:highlight w:val="none"/>
        </w:rPr>
        <w:t>屋面工程：负责屋面工程施工，包括屋面保温层、刚性防水层、透气孔及装</w:t>
      </w:r>
      <w:r>
        <w:rPr>
          <w:highlight w:val="none"/>
        </w:rPr>
        <w:t>饰面层等；负责上人屋面之女儿墙里面的找平、抹灰及装饰面层；负责不上人屋面之女儿墙里面的找平、抹灰层及装饰面层；负责屋面瓦采购及施工（若有）。</w:t>
      </w:r>
      <w:bookmarkEnd w:id="112"/>
      <w:r>
        <w:rPr>
          <w:highlight w:val="none"/>
        </w:rPr>
        <w:t xml:space="preserve"> </w:t>
      </w:r>
    </w:p>
    <w:p w14:paraId="24263C13">
      <w:pPr>
        <w:pStyle w:val="5"/>
        <w:numPr>
          <w:ilvl w:val="2"/>
          <w:numId w:val="0"/>
        </w:numPr>
        <w:ind w:left="624" w:hanging="624"/>
        <w:rPr>
          <w:highlight w:val="none"/>
        </w:rPr>
      </w:pPr>
      <w:bookmarkStart w:id="113" w:name="_Toc22806"/>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12</w:t>
      </w:r>
      <w:r>
        <w:rPr>
          <w:rFonts w:hint="eastAsia"/>
          <w:highlight w:val="none"/>
        </w:rPr>
        <w:t>防水工程（含二次防水）：负责室内用水房间、室外露台、桩头、楼板、屋面等区域防水施工（住宅公区及室内精装修区域除外）；污水处理站、衰减池及消防水池按设计要求做到位；负责设备安装完成后的临时防水处理措施（包含抽排水、挡水坎措施）；负责室外及室内除精装修区卫生间、阳台等部位外的防水基层处理、阴角倒圆角、穿墙、穿楼板管根部封堵、预留凹槽及结构闭水、刚性防水保护层施工；负责精装修区卫生间、厨房、阳台等穿墙穿楼板管根部封堵、预留凹槽及结构闭水等施工；负责外墙防水及找平施工；负责责任范围内所有防水工程所需的反坎施工；防水材料须送检；负责防水基层处理、阴角倒圆角及刚性防水保护层施工，包括外墙、污水井、雨水井、混凝土水箱（若有）、消防水池、水泵房、设备机房、卫生间等以及其它所有需做防水的区域。无论何种原因造成的结构裂缝，负责采用注浆及其它方式的修补处理。</w:t>
      </w:r>
      <w:bookmarkEnd w:id="113"/>
    </w:p>
    <w:p w14:paraId="48F10597">
      <w:pPr>
        <w:pStyle w:val="5"/>
        <w:numPr>
          <w:ilvl w:val="2"/>
          <w:numId w:val="0"/>
        </w:numPr>
        <w:ind w:left="624" w:hanging="624"/>
        <w:rPr>
          <w:highlight w:val="none"/>
        </w:rPr>
      </w:pPr>
      <w:bookmarkStart w:id="114" w:name="_Toc793"/>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highlight w:val="none"/>
        </w:rPr>
        <w:t>主体普通水电</w:t>
      </w:r>
      <w:bookmarkEnd w:id="114"/>
      <w:r>
        <w:rPr>
          <w:highlight w:val="none"/>
        </w:rPr>
        <w:t xml:space="preserve"> </w:t>
      </w:r>
    </w:p>
    <w:p w14:paraId="7BE53678">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.1</w:t>
      </w:r>
      <w:r>
        <w:rPr>
          <w:highlight w:val="none"/>
        </w:rPr>
        <w:t>精装房给水系统：负责从水泵房总阀至</w:t>
      </w:r>
      <w:r>
        <w:rPr>
          <w:rFonts w:hint="eastAsia"/>
          <w:highlight w:val="none"/>
        </w:rPr>
        <w:t>户表的</w:t>
      </w:r>
      <w:r>
        <w:rPr>
          <w:highlight w:val="none"/>
        </w:rPr>
        <w:t xml:space="preserve">所有管道、阀门、计量设备的采购安装调试验收（计量设备采购安装根据各地政府要求调整）； </w:t>
      </w:r>
    </w:p>
    <w:p w14:paraId="5BB6ED86">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.2</w:t>
      </w:r>
      <w:r>
        <w:rPr>
          <w:highlight w:val="none"/>
        </w:rPr>
        <w:t>毛坯房给水系统：负责从市政接口至户内设计用水点的所有管道、阀门、计量设备的采购安装调试验收。</w:t>
      </w:r>
    </w:p>
    <w:p w14:paraId="75C5A9F1">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.3</w:t>
      </w:r>
      <w:r>
        <w:rPr>
          <w:highlight w:val="none"/>
        </w:rPr>
        <w:t>负责屋顶消防水箱及进水管道、液位控制阀、溢水泄水管道及阀门、出水管道预留法兰接口等采购及安装。</w:t>
      </w:r>
    </w:p>
    <w:p w14:paraId="63720874">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4卫生间排水由总承包人负责完成主立管预留三通并做好临时封堵，三通排水口之后由由精装单位负责，若主立管未在卫生间，总承包人需将支管接至施工卫生间内墙面300mm；厨房、阳台及设备间排水系统，总承包人负责排水主立管的安装，排水支管伸出板面200mm，前段的排水由精装单位负责；</w:t>
      </w:r>
    </w:p>
    <w:p w14:paraId="32EF4A8A">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.5</w:t>
      </w:r>
      <w:r>
        <w:rPr>
          <w:highlight w:val="none"/>
        </w:rPr>
        <w:t>卫生间排水系统：负责从受水点（</w:t>
      </w:r>
      <w:r>
        <w:rPr>
          <w:rFonts w:hint="eastAsia"/>
          <w:highlight w:val="none"/>
        </w:rPr>
        <w:t>精装修承包单位与总承包单位界面分界点</w:t>
      </w:r>
      <w:r>
        <w:rPr>
          <w:highlight w:val="none"/>
        </w:rPr>
        <w:t xml:space="preserve">） 至出户第一个检查井之间的所有管道、配件采购及施工安装。  </w:t>
      </w:r>
    </w:p>
    <w:p w14:paraId="7F420946">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.6</w:t>
      </w:r>
      <w:r>
        <w:rPr>
          <w:highlight w:val="none"/>
        </w:rPr>
        <w:t>厨房排水系统：负责从受水点（</w:t>
      </w:r>
      <w:r>
        <w:rPr>
          <w:rFonts w:hint="eastAsia"/>
          <w:highlight w:val="none"/>
        </w:rPr>
        <w:t>精装修承包单位与总承包单位界面分界点</w:t>
      </w:r>
      <w:r>
        <w:rPr>
          <w:highlight w:val="none"/>
        </w:rPr>
        <w:t>） 至出户第一个检查井之间的所有管道、配件采购及施工安装。</w:t>
      </w:r>
    </w:p>
    <w:p w14:paraId="1D6EE264">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.7</w:t>
      </w:r>
      <w:r>
        <w:rPr>
          <w:highlight w:val="none"/>
        </w:rPr>
        <w:t>阳台、设备间等排水系统：负责从受水点（</w:t>
      </w:r>
      <w:r>
        <w:rPr>
          <w:rFonts w:hint="eastAsia"/>
          <w:highlight w:val="none"/>
        </w:rPr>
        <w:t>精装修承包单位与总承包单位界面分界点</w:t>
      </w:r>
      <w:r>
        <w:rPr>
          <w:highlight w:val="none"/>
        </w:rPr>
        <w:t>） 至出户第一个检查井之间的所有管道、配件采购及施工安装。</w:t>
      </w:r>
    </w:p>
    <w:p w14:paraId="30B376E5">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.8</w:t>
      </w:r>
      <w:r>
        <w:rPr>
          <w:highlight w:val="none"/>
        </w:rPr>
        <w:t xml:space="preserve">负责排水系统相关的格栅池或化粪池和其他污水处理、提升设备设施的采购及施工安装（如在楼栋内）。 </w:t>
      </w:r>
    </w:p>
    <w:p w14:paraId="430557DE">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13</w:t>
      </w:r>
      <w:r>
        <w:rPr>
          <w:rFonts w:hint="eastAsia"/>
          <w:highlight w:val="none"/>
        </w:rPr>
        <w:t>.9</w:t>
      </w:r>
      <w:r>
        <w:rPr>
          <w:highlight w:val="none"/>
        </w:rPr>
        <w:t>电气系统</w:t>
      </w:r>
    </w:p>
    <w:p w14:paraId="12BA596D">
      <w:pPr>
        <w:ind w:firstLine="480"/>
        <w:rPr>
          <w:highlight w:val="none"/>
        </w:rPr>
      </w:pPr>
      <w:r>
        <w:rPr>
          <w:rFonts w:hint="eastAsia"/>
          <w:highlight w:val="none"/>
        </w:rPr>
        <w:t>（1）</w:t>
      </w:r>
      <w:r>
        <w:rPr>
          <w:highlight w:val="none"/>
        </w:rPr>
        <w:t>负责图纸中的桥架、电缆、电线等的供应（若有）和安装及自购材料按规范或政府部门的有关规定而进行的材料检验或实验</w:t>
      </w:r>
      <w:r>
        <w:rPr>
          <w:rFonts w:hint="eastAsia"/>
          <w:highlight w:val="none"/>
        </w:rPr>
        <w:t>；</w:t>
      </w:r>
    </w:p>
    <w:p w14:paraId="04BE8782">
      <w:pPr>
        <w:ind w:firstLine="480"/>
        <w:rPr>
          <w:highlight w:val="none"/>
        </w:rPr>
      </w:pPr>
      <w:r>
        <w:rPr>
          <w:rFonts w:hint="eastAsia"/>
          <w:highlight w:val="none"/>
        </w:rPr>
        <w:t>（2）大堂、公区、走道、物业用房、社区用房及户内精装修等精装修区域电气管线的二次配管工程（管道接驳、管道开槽、管道敷设、管道封堵等；</w:t>
      </w:r>
    </w:p>
    <w:p w14:paraId="0E180DD9">
      <w:pPr>
        <w:ind w:firstLine="480"/>
        <w:rPr>
          <w:highlight w:val="none"/>
        </w:rPr>
      </w:pPr>
      <w:r>
        <w:rPr>
          <w:rFonts w:hint="eastAsia"/>
          <w:highlight w:val="none"/>
        </w:rPr>
        <w:t>（3）负责为公共空间装饰装修工程提供电源接驳点(分层配电箱)，并负责分层配电箱（含元器件）的安装、电缆采购安装等；户内精装修区域从电井至户内配电箱（含元器件）的进线电缆及配电箱安装由总承包负责；</w:t>
      </w:r>
    </w:p>
    <w:p w14:paraId="2F1BB373">
      <w:pPr>
        <w:ind w:firstLine="480"/>
        <w:rPr>
          <w:highlight w:val="none"/>
        </w:rPr>
      </w:pPr>
      <w:r>
        <w:rPr>
          <w:rFonts w:hint="eastAsia"/>
          <w:highlight w:val="none"/>
        </w:rPr>
        <w:t>（4）非精装区域开关插座及灯具的供应及安装；</w:t>
      </w:r>
    </w:p>
    <w:p w14:paraId="636398E2">
      <w:pPr>
        <w:ind w:firstLine="480"/>
        <w:rPr>
          <w:highlight w:val="none"/>
        </w:rPr>
      </w:pPr>
      <w:r>
        <w:rPr>
          <w:rFonts w:hint="eastAsia"/>
          <w:highlight w:val="none"/>
        </w:rPr>
        <w:t>（5）负责低压照明配电系统、应急照明配电系统、动力设备配电系统内的所有配电、控制箱柜安装、接线、调试及验收；</w:t>
      </w:r>
    </w:p>
    <w:p w14:paraId="52D0EDFD">
      <w:pPr>
        <w:ind w:firstLine="480"/>
        <w:rPr>
          <w:highlight w:val="none"/>
        </w:rPr>
      </w:pPr>
      <w:r>
        <w:rPr>
          <w:rFonts w:hint="eastAsia"/>
          <w:highlight w:val="none"/>
        </w:rPr>
        <w:t>（6）低压照明配电系统、应急照明配电系统、设备动力配电系统的导管、电线、母线槽、桥架、灯具、回路标示标牌等的安装/敷设/接线；</w:t>
      </w:r>
    </w:p>
    <w:p w14:paraId="50F7B93F">
      <w:pPr>
        <w:ind w:firstLine="480"/>
        <w:rPr>
          <w:highlight w:val="none"/>
        </w:rPr>
      </w:pPr>
      <w:r>
        <w:rPr>
          <w:rFonts w:hint="eastAsia"/>
          <w:highlight w:val="none"/>
        </w:rPr>
        <w:t>（7）负责高压桥架、弱电(通信、安防、消防)系统桥架、综合管线支架、弱电箱采购及安装，并负责所有桥架内的防火封堵；</w:t>
      </w:r>
    </w:p>
    <w:p w14:paraId="0D3C481B">
      <w:pPr>
        <w:ind w:firstLine="480"/>
        <w:rPr>
          <w:highlight w:val="none"/>
        </w:rPr>
      </w:pPr>
      <w:r>
        <w:rPr>
          <w:rFonts w:hint="eastAsia"/>
          <w:highlight w:val="none"/>
        </w:rPr>
        <w:t>（8）负责水电竖井照明灯具及开关的配管、穿线、安装；</w:t>
      </w:r>
    </w:p>
    <w:p w14:paraId="72232E2C">
      <w:pPr>
        <w:ind w:firstLine="480"/>
        <w:rPr>
          <w:highlight w:val="none"/>
        </w:rPr>
      </w:pPr>
      <w:r>
        <w:rPr>
          <w:rFonts w:hint="eastAsia"/>
          <w:highlight w:val="none"/>
        </w:rPr>
        <w:t>（9）负责所有的等电位、强电设备及箱柜重复接地等；</w:t>
      </w:r>
    </w:p>
    <w:p w14:paraId="4CE4CFB7">
      <w:pPr>
        <w:ind w:firstLine="480"/>
        <w:rPr>
          <w:highlight w:val="none"/>
        </w:rPr>
      </w:pPr>
      <w:r>
        <w:rPr>
          <w:rFonts w:hint="eastAsia"/>
          <w:highlight w:val="none"/>
        </w:rPr>
        <w:t>（10）负责除总包点位外所有设备的防雷接地，含强电、弱电、暖通等所有设备；</w:t>
      </w:r>
    </w:p>
    <w:p w14:paraId="31D15DC3">
      <w:pPr>
        <w:ind w:firstLine="480"/>
        <w:rPr>
          <w:highlight w:val="none"/>
        </w:rPr>
      </w:pPr>
      <w:r>
        <w:rPr>
          <w:rFonts w:hint="eastAsia"/>
          <w:highlight w:val="none"/>
        </w:rPr>
        <w:t>（11）负责预留煤气报警接电源接线点；</w:t>
      </w:r>
    </w:p>
    <w:p w14:paraId="72440593">
      <w:pPr>
        <w:ind w:firstLine="480"/>
        <w:rPr>
          <w:highlight w:val="none"/>
        </w:rPr>
      </w:pPr>
      <w:r>
        <w:rPr>
          <w:rFonts w:hint="eastAsia"/>
          <w:highlight w:val="none"/>
        </w:rPr>
        <w:t>（12）负责预留多媒体箱底盒(含模块)及电源接线点；</w:t>
      </w:r>
    </w:p>
    <w:p w14:paraId="45965434">
      <w:pPr>
        <w:ind w:firstLine="480"/>
        <w:rPr>
          <w:highlight w:val="none"/>
        </w:rPr>
      </w:pPr>
      <w:r>
        <w:rPr>
          <w:rFonts w:hint="eastAsia"/>
          <w:highlight w:val="none"/>
        </w:rPr>
        <w:t>（1</w:t>
      </w:r>
      <w:r>
        <w:rPr>
          <w:rFonts w:hint="eastAsia"/>
          <w:highlight w:val="none"/>
          <w:lang w:val="en-US" w:eastAsia="zh-CN"/>
        </w:rPr>
        <w:t>3</w:t>
      </w:r>
      <w:r>
        <w:rPr>
          <w:rFonts w:hint="eastAsia"/>
          <w:highlight w:val="none"/>
        </w:rPr>
        <w:t>）负责预留预埋并穿管接线至外墙装饰范围内第一个点位(外墙装饰范围内壁灯)；</w:t>
      </w:r>
    </w:p>
    <w:p w14:paraId="7C3C4794">
      <w:pPr>
        <w:ind w:firstLine="480"/>
        <w:rPr>
          <w:highlight w:val="none"/>
        </w:rPr>
      </w:pPr>
      <w:r>
        <w:rPr>
          <w:rFonts w:hint="eastAsia"/>
          <w:highlight w:val="none"/>
        </w:rPr>
        <w:t>（1</w:t>
      </w:r>
      <w:r>
        <w:rPr>
          <w:rFonts w:hint="eastAsia"/>
          <w:highlight w:val="none"/>
          <w:lang w:val="en-US" w:eastAsia="zh-CN"/>
        </w:rPr>
        <w:t>4</w:t>
      </w:r>
      <w:r>
        <w:rPr>
          <w:rFonts w:hint="eastAsia"/>
          <w:highlight w:val="none"/>
        </w:rPr>
        <w:t>）负责为泛光照明提供电源接驳点(含配电箱安装)；</w:t>
      </w:r>
    </w:p>
    <w:p w14:paraId="397685BC">
      <w:pPr>
        <w:ind w:firstLine="480"/>
        <w:rPr>
          <w:highlight w:val="none"/>
        </w:rPr>
      </w:pPr>
      <w:r>
        <w:rPr>
          <w:rFonts w:hint="eastAsia"/>
          <w:highlight w:val="none"/>
        </w:rPr>
        <w:t>（1</w:t>
      </w:r>
      <w:r>
        <w:rPr>
          <w:rFonts w:hint="eastAsia"/>
          <w:highlight w:val="none"/>
          <w:lang w:val="en-US" w:eastAsia="zh-CN"/>
        </w:rPr>
        <w:t>5</w:t>
      </w:r>
      <w:r>
        <w:rPr>
          <w:rFonts w:hint="eastAsia"/>
          <w:highlight w:val="none"/>
        </w:rPr>
        <w:t>）负责屋面无动力成品风帽的采购及安装(如有)；</w:t>
      </w:r>
    </w:p>
    <w:p w14:paraId="56ED284C">
      <w:pPr>
        <w:pStyle w:val="5"/>
        <w:numPr>
          <w:ilvl w:val="2"/>
          <w:numId w:val="0"/>
        </w:numPr>
        <w:ind w:left="624" w:hanging="624"/>
        <w:rPr>
          <w:highlight w:val="none"/>
        </w:rPr>
      </w:pPr>
      <w:bookmarkStart w:id="115" w:name="_Toc9623"/>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14</w:t>
      </w:r>
      <w:r>
        <w:rPr>
          <w:highlight w:val="none"/>
        </w:rPr>
        <w:t>预留、预埋：负责设计图纸内要求的所有预留预埋施工。</w:t>
      </w:r>
      <w:bookmarkEnd w:id="115"/>
      <w:r>
        <w:rPr>
          <w:highlight w:val="none"/>
        </w:rPr>
        <w:t xml:space="preserve"> </w:t>
      </w:r>
    </w:p>
    <w:p w14:paraId="1EE63BBD">
      <w:pPr>
        <w:pStyle w:val="5"/>
        <w:numPr>
          <w:ilvl w:val="2"/>
          <w:numId w:val="0"/>
        </w:numPr>
        <w:ind w:left="624" w:hanging="624"/>
        <w:rPr>
          <w:highlight w:val="none"/>
        </w:rPr>
      </w:pPr>
      <w:bookmarkStart w:id="116" w:name="_Toc16585"/>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15</w:t>
      </w:r>
      <w:r>
        <w:rPr>
          <w:rFonts w:hint="eastAsia"/>
          <w:highlight w:val="none"/>
        </w:rPr>
        <w:t>孔洞封堵：负责所有孔洞的套管外封堵，套管内封堵由各专业承包人各自负责。</w:t>
      </w:r>
      <w:bookmarkEnd w:id="116"/>
    </w:p>
    <w:p w14:paraId="4383643C">
      <w:pPr>
        <w:pStyle w:val="5"/>
        <w:numPr>
          <w:ilvl w:val="2"/>
          <w:numId w:val="0"/>
        </w:numPr>
        <w:ind w:left="624" w:hanging="624"/>
        <w:rPr>
          <w:highlight w:val="none"/>
        </w:rPr>
      </w:pPr>
      <w:bookmarkStart w:id="117" w:name="_Toc5277"/>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16</w:t>
      </w:r>
      <w:r>
        <w:rPr>
          <w:highlight w:val="none"/>
        </w:rPr>
        <w:t>成品烟道：负责成品烟道的供应与安装。</w:t>
      </w:r>
      <w:bookmarkEnd w:id="117"/>
    </w:p>
    <w:p w14:paraId="18DE0EB5">
      <w:pPr>
        <w:pStyle w:val="5"/>
        <w:numPr>
          <w:ilvl w:val="2"/>
          <w:numId w:val="0"/>
        </w:numPr>
        <w:ind w:left="624" w:hanging="624"/>
        <w:rPr>
          <w:highlight w:val="none"/>
        </w:rPr>
      </w:pPr>
      <w:bookmarkStart w:id="118" w:name="_Toc24723"/>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17</w:t>
      </w:r>
      <w:r>
        <w:rPr>
          <w:rFonts w:hint="eastAsia"/>
          <w:highlight w:val="none"/>
        </w:rPr>
        <w:t>门类工程</w:t>
      </w:r>
      <w:bookmarkEnd w:id="118"/>
    </w:p>
    <w:p w14:paraId="108E167B">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18</w:t>
      </w:r>
      <w:r>
        <w:rPr>
          <w:rFonts w:hint="eastAsia"/>
          <w:highlight w:val="none"/>
        </w:rPr>
        <w:t>.1防火门工程：负责项目的防火门、防火窗及成套配件</w:t>
      </w:r>
      <w:r>
        <w:rPr>
          <w:highlight w:val="none"/>
        </w:rPr>
        <w:t>(如防火门框、门扇、窗框、窗扇、防火胶条、安装固件、铰链、闭门器、顺位器、拉手、防火锁以及防火玻璃等）加工制作、运输至发包人指定地点（含装货、卸货及上楼）、成品保护、安装等；负责钢制防火门门框注浆施工（若有）；负责对防火门、防火窗的各项性能指标进行检测，并出具书面报告；负责协调配合消防验收工作并确保消防验收通过；负责防火门、防火窗上的消防标志及标识</w:t>
      </w:r>
      <w:r>
        <w:rPr>
          <w:rFonts w:hint="eastAsia"/>
          <w:highlight w:val="none"/>
        </w:rPr>
        <w:t>。</w:t>
      </w:r>
    </w:p>
    <w:p w14:paraId="6EA09F24">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18</w:t>
      </w:r>
      <w:r>
        <w:rPr>
          <w:rFonts w:hint="eastAsia"/>
          <w:highlight w:val="none"/>
        </w:rPr>
        <w:t>.</w:t>
      </w:r>
      <w:r>
        <w:rPr>
          <w:rFonts w:hint="eastAsia"/>
          <w:highlight w:val="none"/>
          <w:lang w:val="en-US" w:eastAsia="zh-CN"/>
        </w:rPr>
        <w:t>2</w:t>
      </w:r>
      <w:r>
        <w:rPr>
          <w:highlight w:val="none"/>
        </w:rPr>
        <w:t>防火卷帘工程</w:t>
      </w:r>
      <w:r>
        <w:rPr>
          <w:rFonts w:hint="eastAsia"/>
          <w:highlight w:val="none"/>
        </w:rPr>
        <w:t>：负责防火卷帘的设计、制造、协调、供应、试验和安装，以及防火卷帘周边的耐火填充、隔断( 包括但不限于防火卷帘门卷帘箱上方、侧方至结构梁板、后砌墙体间的耐火隔断)，负责上述所有后开孔洞开孔、预留孔洞留设的工作，满足机电管线的穿过要求；负责封堵耐火隔段上所有后开孔洞、预留孔洞至机电管线间的空隙，封堵材料需满足耐火要求。</w:t>
      </w:r>
    </w:p>
    <w:p w14:paraId="03C42737">
      <w:pPr>
        <w:pStyle w:val="5"/>
        <w:numPr>
          <w:ilvl w:val="2"/>
          <w:numId w:val="0"/>
        </w:numPr>
        <w:ind w:left="624" w:hanging="624"/>
        <w:rPr>
          <w:highlight w:val="none"/>
        </w:rPr>
      </w:pPr>
      <w:bookmarkStart w:id="119" w:name="_Toc16205"/>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19</w:t>
      </w:r>
      <w:r>
        <w:rPr>
          <w:rFonts w:hint="eastAsia"/>
          <w:highlight w:val="none"/>
        </w:rPr>
        <w:t>门窗、栏杆、百叶工程</w:t>
      </w:r>
      <w:bookmarkEnd w:id="119"/>
    </w:p>
    <w:p w14:paraId="2B49FF7B">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19</w:t>
      </w:r>
      <w:r>
        <w:rPr>
          <w:rFonts w:hint="eastAsia"/>
          <w:highlight w:val="none"/>
        </w:rPr>
        <w:t>.1门窗工程：负责铝合金门窗/塑钢门窗/耐火窗等门窗的深化设计、供应和安装；负责门窗的运输（含装货、运输及卸车）、成品保护（含装卸及运输过程中的成品保护等）等工作；负责五金件的供应、运输（含装货、运输及卸车）、成品保护（含装卸及运输过程中的成品保护）等；负责与门窗工程有关的钢结构的深化设计、供应及安装；负责室外门窗的防雷接地及与总防雷接地系统的连接；负责外墙门窗塞缝及内外侧打胶收口等施工；负责外墙门窗外侧塞缝后的防水施工及对塞缝位置的第一道淋水和整窗安装完成后对整窗的第二道淋水；负责自购材料按规范或政府部门的有关规定而进行的材料检验或实验，并负责门窗的性能检测（如密闭性、抗风压等）且获取相应检测报告。</w:t>
      </w:r>
    </w:p>
    <w:p w14:paraId="200CCD16">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19</w:t>
      </w:r>
      <w:r>
        <w:rPr>
          <w:rFonts w:hint="eastAsia"/>
          <w:highlight w:val="none"/>
        </w:rPr>
        <w:t>.2百叶供应及安装工程:负责百叶（包含空调外机位百页、外立面装饰百页、室外风井百叶）深化设计、供应及安装（如有）。</w:t>
      </w:r>
    </w:p>
    <w:p w14:paraId="3CA656C1">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19</w:t>
      </w:r>
      <w:r>
        <w:rPr>
          <w:rFonts w:hint="eastAsia"/>
          <w:highlight w:val="none"/>
        </w:rPr>
        <w:t>.3栏杆供应及安装工程:负责建施图(园林景观区栏杆除外)所反映的各种扶手、栏杆的深化设计、制作及安装；负责室内栏杆的防雷接地及与总防雷接地系统的连接；负责自购材料按规范或政府部门的有关规定而进行的材料检验或实验。</w:t>
      </w:r>
    </w:p>
    <w:p w14:paraId="7664A32D">
      <w:pPr>
        <w:pStyle w:val="5"/>
        <w:numPr>
          <w:ilvl w:val="2"/>
          <w:numId w:val="0"/>
        </w:numPr>
        <w:ind w:left="624" w:hanging="624"/>
        <w:rPr>
          <w:highlight w:val="none"/>
        </w:rPr>
      </w:pPr>
      <w:bookmarkStart w:id="120" w:name="_Toc20605"/>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20</w:t>
      </w:r>
      <w:r>
        <w:rPr>
          <w:rFonts w:hint="eastAsia"/>
          <w:highlight w:val="none"/>
        </w:rPr>
        <w:t>外墙立面装饰工程（涂料、面砖等）：负责外墙基层抹灰，并对外墙基层抹灰的质量进行实测；负责基层处理及外墙涂料施工（包含阳台及上人屋面之女儿墙内侧）；负责架空层墙面及天花饰面层施工（若架空层墙面及天花为涂料）；负责外墙涂料施工；负责外墙面砖施工（含专用粘接剂、勾缝剂的采购及供应）；负责外墙涂料、面砖区域内外墙门窗窗框与土建洞口间的饰面层收口；负责外墙涂料、面砖工程所需外架及吊篮的租赁、运输、搭设、拆除、保管、安全检测等；负责外墙涂料、面砖工程的各项检测、试验。</w:t>
      </w:r>
      <w:bookmarkEnd w:id="120"/>
    </w:p>
    <w:p w14:paraId="7A4BD781">
      <w:pPr>
        <w:pStyle w:val="5"/>
        <w:numPr>
          <w:ilvl w:val="2"/>
          <w:numId w:val="0"/>
        </w:numPr>
        <w:ind w:left="624" w:hanging="624"/>
        <w:rPr>
          <w:highlight w:val="none"/>
        </w:rPr>
      </w:pPr>
      <w:bookmarkStart w:id="121" w:name="_Toc30020"/>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21</w:t>
      </w:r>
      <w:r>
        <w:rPr>
          <w:rFonts w:hint="eastAsia"/>
          <w:highlight w:val="none"/>
        </w:rPr>
        <w:t>幕墙工程：负责玻璃、铝板、一体板、石材等材料的幕墙工程的材料供应及安装。幕墙部位包括外立面幕墙、外立面铝格栅、架空层铝板、天窗、屋顶设备遮挡格栅/设施、屋顶金属饰面、出入口外吊顶、雨棚（包含地库出入库玻璃罩棚）等；负责幕墙（包含骨架、饰面、预埋件、紧固件、密封材料及其他辅助材料等）深化设计、供应及安装；负责幕墙部位的保温施工；幕墙工程在加工、运输、存储、安装及完工之前所需的所有成品保护工作；负责玻璃雨棚（含与玻璃雨棚有关的檐口装饰施工（如有））、铝板雨棚、采光天棚或天棚钢网架施工，且负责玻璃雨棚、铝板雨棚、采光天棚或天棚钢网架于砼中的预埋件施工；负责自购材料按规范或政府部门的有关规定而进行的材料检验或实验，并负责幕墙的性能检测（如密闭性、抗风压等）且获取相应检测报告。</w:t>
      </w:r>
      <w:bookmarkEnd w:id="121"/>
    </w:p>
    <w:p w14:paraId="0DAC9E14">
      <w:pPr>
        <w:pStyle w:val="5"/>
        <w:numPr>
          <w:ilvl w:val="2"/>
          <w:numId w:val="0"/>
        </w:numPr>
        <w:ind w:left="624" w:hanging="624"/>
        <w:rPr>
          <w:highlight w:val="none"/>
        </w:rPr>
      </w:pPr>
      <w:bookmarkStart w:id="122" w:name="_Toc7321"/>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22</w:t>
      </w:r>
      <w:r>
        <w:rPr>
          <w:rFonts w:hint="eastAsia"/>
          <w:highlight w:val="none"/>
        </w:rPr>
        <w:t>外墙广告位及LOGO工程：1、负责外墙广告位的制作安装，包括支撑系统、镀锌背板、马道、灯箱等内容；负责从接驳点到末端点位的全部配电系统。</w:t>
      </w:r>
      <w:bookmarkEnd w:id="122"/>
    </w:p>
    <w:p w14:paraId="6DDEA935">
      <w:pPr>
        <w:pStyle w:val="5"/>
        <w:numPr>
          <w:ilvl w:val="2"/>
          <w:numId w:val="0"/>
        </w:numPr>
        <w:ind w:left="624" w:hanging="624"/>
        <w:rPr>
          <w:highlight w:val="none"/>
        </w:rPr>
      </w:pPr>
      <w:bookmarkStart w:id="123" w:name="_Toc18833"/>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23</w:t>
      </w:r>
      <w:r>
        <w:rPr>
          <w:rFonts w:hint="eastAsia"/>
          <w:highlight w:val="none"/>
        </w:rPr>
        <w:t>泛光照明工程：泛光照明供应及安装工程（如果有泛光照明专项设计，专项设计内容纳入泛光照明范围）</w:t>
      </w:r>
      <w:bookmarkEnd w:id="123"/>
    </w:p>
    <w:p w14:paraId="3F8A8132">
      <w:pPr>
        <w:pStyle w:val="5"/>
        <w:numPr>
          <w:ilvl w:val="2"/>
          <w:numId w:val="0"/>
        </w:numPr>
        <w:ind w:left="624" w:hanging="624"/>
        <w:rPr>
          <w:highlight w:val="none"/>
        </w:rPr>
      </w:pPr>
      <w:bookmarkStart w:id="124" w:name="_Toc28145"/>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24</w:t>
      </w:r>
      <w:r>
        <w:rPr>
          <w:rFonts w:hint="eastAsia"/>
          <w:highlight w:val="none"/>
        </w:rPr>
        <w:t>防雷接地工程：负责避雷针专用接地电缆至预埋大</w:t>
      </w:r>
      <w:r>
        <w:rPr>
          <w:rFonts w:hint="eastAsia"/>
          <w:highlight w:val="yellow"/>
        </w:rPr>
        <w:t>底板</w:t>
      </w:r>
      <w:r>
        <w:rPr>
          <w:rFonts w:hint="eastAsia"/>
          <w:highlight w:val="none"/>
        </w:rPr>
        <w:t>避雷接地系统施工；负责与柱钢筋、测试井、铜导体、接地棒等相连的避雷接地系统施工；负责总防雷接地系统施工，包括为其他分项防雷提供接口，如为外墙金属门窗（扁铁上钻孔或塑铜线引出）、栏杆、外墙装饰工程提供防雷接地系统的焊点等（从均压环引至每个门窗、栏杆洞口）；负责所有消防设备间、变配电房、弱电机房、泛光、管井、电井、幕墙、水景、燃气、室外门窗及栏杆等的防雷接地预留点预留至出主体结构300mm处，负责屋面防雷接地系统的施工，包括为其他外露设备的防雷接地提供接口；负责组织当地政府防雷检测、验收并取得相应报告。防雷检测相应增加的费用由承包人在投标报价中综合考虑。</w:t>
      </w:r>
      <w:bookmarkEnd w:id="124"/>
    </w:p>
    <w:p w14:paraId="271E1020">
      <w:pPr>
        <w:pStyle w:val="5"/>
        <w:numPr>
          <w:ilvl w:val="2"/>
          <w:numId w:val="0"/>
        </w:numPr>
        <w:ind w:left="624" w:hanging="624"/>
        <w:rPr>
          <w:highlight w:val="none"/>
        </w:rPr>
      </w:pPr>
      <w:bookmarkStart w:id="125" w:name="_Toc611"/>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暖通工程（非精装修区域）</w:t>
      </w:r>
      <w:bookmarkEnd w:id="125"/>
    </w:p>
    <w:p w14:paraId="07E521E4">
      <w:pPr>
        <w:ind w:firstLine="480"/>
        <w:rPr>
          <w:highlight w:val="none"/>
        </w:rPr>
      </w:pPr>
      <w:r>
        <w:rPr>
          <w:rFonts w:hint="eastAsia"/>
          <w:highlight w:val="none"/>
        </w:rPr>
        <w:t>包括空调水系统、空调冷凝排水系统、空调风系统、空调电系统、管道及保温等。</w:t>
      </w:r>
    </w:p>
    <w:p w14:paraId="2624C0D2">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.1负责供应及安装整套机械通风系统，包括风机及电动机、风管及阀门、风口、空气过滤器、控制系统及有关设备和配/附件等；</w:t>
      </w:r>
    </w:p>
    <w:p w14:paraId="5DDEF4CF">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.2负责供应及安装整套楼梯加压及前室加压系统、排烟系统，包括所有风机及电动机、风管及阀门、风口、控制系统及有关设备和配/附件等；</w:t>
      </w:r>
    </w:p>
    <w:p w14:paraId="53172091">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.3负责供应及安装所有风管、水管、水泵、阀门及有关设备的保温材料及外表处理及修饰油漆工程；</w:t>
      </w:r>
    </w:p>
    <w:p w14:paraId="2F8CCE90">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.4负责设计、供应及安装所有有关设备的防震及消声设备；</w:t>
      </w:r>
    </w:p>
    <w:p w14:paraId="456558D1">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.5负责楼控系统电动风阀、水阀及执行器的供应安装，并负责选型计算，申报设计确认；</w:t>
      </w:r>
    </w:p>
    <w:p w14:paraId="58ED66C1">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.6负责提供所有系统的一切所需的清洁﹑测试、试运行及系统平衡等工作；</w:t>
      </w:r>
    </w:p>
    <w:p w14:paraId="181B4736">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.7负责向各有关部门申请并获取与空调、采暖及通风系统有关的一切所需许可及审批，包括施工图和设备送审、施工许可证等；</w:t>
      </w:r>
    </w:p>
    <w:p w14:paraId="13AC9A37">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.8负责提供为期二年的保养期及负责在保养期内所有机组及其配件所有免费维修及保养工作；</w:t>
      </w:r>
    </w:p>
    <w:p w14:paraId="2E20AB07">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.9负责提供施工图、大样图及二次线路图等深化图、要求土建配合图及竣工图包括送设计院盖章及备案；</w:t>
      </w:r>
    </w:p>
    <w:p w14:paraId="59590E18">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.10负责提供所有设备和材料的技术资料(包括所需样本及样品)供审批及供货依据；</w:t>
      </w:r>
    </w:p>
    <w:p w14:paraId="178B30AC">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.11负责按工地实际环境, 提供施工及运输方案；</w:t>
      </w:r>
    </w:p>
    <w:p w14:paraId="4ECAD25D">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.12负责施工期间及竣工后清理及运走所有与本合约有关的废料和垃圾；</w:t>
      </w:r>
    </w:p>
    <w:p w14:paraId="36B9863F">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.13负责提供设备的维修设施；</w:t>
      </w:r>
    </w:p>
    <w:p w14:paraId="0DE4F0C0">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.14负责与项目能耗、能效管理平台对接工作，统筹底层系统通讯协议，保证与项目平台一致及顺利对接；</w:t>
      </w:r>
    </w:p>
    <w:p w14:paraId="0BAC25E7">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.15负责提供有关系统的调试及试运行工序及其所需的一切仪器和工具；</w:t>
      </w:r>
    </w:p>
    <w:p w14:paraId="572AA709">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.16负责提交竣工图、设备系统试验报告、备用材料表、操作及维修手册；</w:t>
      </w:r>
    </w:p>
    <w:p w14:paraId="1E0F1B0B">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.17负责除总包完成的预埋外的预埋工程；</w:t>
      </w:r>
    </w:p>
    <w:p w14:paraId="0E7FC8BB">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.18负责按规范要求提供给消防设备的干触点；</w:t>
      </w:r>
    </w:p>
    <w:p w14:paraId="61513847">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.19负责按规范要求为弱电系统提供的干触点；</w:t>
      </w:r>
    </w:p>
    <w:p w14:paraId="16A4BC05">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.20负责暖通设备及管线上的消防标志及标识(疏散指示除外）；</w:t>
      </w:r>
    </w:p>
    <w:p w14:paraId="149DD425">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.21负责总平范围内室外机电机房、风井出风口的机电工程施工；</w:t>
      </w:r>
    </w:p>
    <w:p w14:paraId="6183477B">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.22负责暖通设备及管线与接地系统的驳接；</w:t>
      </w:r>
    </w:p>
    <w:p w14:paraId="79F933E1">
      <w:pPr>
        <w:pStyle w:val="6"/>
        <w:numPr>
          <w:ilvl w:val="3"/>
          <w:numId w:val="0"/>
        </w:numPr>
        <w:ind w:left="864" w:leftChars="100" w:hanging="624"/>
        <w:rPr>
          <w:highlight w:val="none"/>
        </w:rPr>
      </w:pPr>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.23负责自购材料按规范或政府部门的有关规定而进行的；</w:t>
      </w:r>
    </w:p>
    <w:p w14:paraId="7B4D310F">
      <w:pPr>
        <w:pStyle w:val="5"/>
        <w:numPr>
          <w:ilvl w:val="2"/>
          <w:numId w:val="0"/>
        </w:numPr>
        <w:ind w:left="624" w:hanging="624"/>
        <w:rPr>
          <w:highlight w:val="none"/>
        </w:rPr>
      </w:pPr>
      <w:bookmarkStart w:id="126" w:name="_Toc30217"/>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24</w:t>
      </w:r>
      <w:r>
        <w:rPr>
          <w:highlight w:val="none"/>
        </w:rPr>
        <w:t>弱电智能化工程</w:t>
      </w:r>
      <w:r>
        <w:rPr>
          <w:rFonts w:hint="eastAsia"/>
          <w:highlight w:val="none"/>
        </w:rPr>
        <w:t>：负责项目范围内所有智能化工程供应、施工及调试等工作。</w:t>
      </w:r>
      <w:bookmarkEnd w:id="126"/>
    </w:p>
    <w:p w14:paraId="7749232E">
      <w:pPr>
        <w:pStyle w:val="5"/>
        <w:numPr>
          <w:ilvl w:val="2"/>
          <w:numId w:val="0"/>
        </w:numPr>
        <w:ind w:left="624" w:hanging="624"/>
        <w:rPr>
          <w:highlight w:val="none"/>
        </w:rPr>
      </w:pPr>
      <w:bookmarkStart w:id="127" w:name="_Toc10006"/>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25</w:t>
      </w:r>
      <w:r>
        <w:rPr>
          <w:rFonts w:hint="eastAsia"/>
          <w:highlight w:val="none"/>
        </w:rPr>
        <w:t>柴油发电机工程：负责项目范围内柴油发电机供应及安装、满足环保及消防验收要求。</w:t>
      </w:r>
      <w:bookmarkEnd w:id="127"/>
    </w:p>
    <w:p w14:paraId="6D984A7B">
      <w:pPr>
        <w:pStyle w:val="5"/>
        <w:numPr>
          <w:ilvl w:val="2"/>
          <w:numId w:val="0"/>
        </w:numPr>
        <w:ind w:left="624" w:hanging="624"/>
        <w:rPr>
          <w:highlight w:val="none"/>
        </w:rPr>
      </w:pPr>
      <w:bookmarkStart w:id="128" w:name="_Toc21282"/>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26</w:t>
      </w:r>
      <w:r>
        <w:rPr>
          <w:rFonts w:hint="eastAsia"/>
          <w:highlight w:val="none"/>
        </w:rPr>
        <w:t>消防工程：负责项目范围内消防电、消防水、排烟系统等材料、设备供应、安装及调试等工作，满足消防验收要求。</w:t>
      </w:r>
      <w:bookmarkEnd w:id="128"/>
    </w:p>
    <w:p w14:paraId="7EE5347B">
      <w:pPr>
        <w:pStyle w:val="5"/>
        <w:numPr>
          <w:ilvl w:val="2"/>
          <w:numId w:val="0"/>
        </w:numPr>
        <w:ind w:left="624" w:hanging="624"/>
        <w:rPr>
          <w:highlight w:val="none"/>
        </w:rPr>
      </w:pPr>
      <w:bookmarkStart w:id="129" w:name="_Toc7138"/>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27</w:t>
      </w:r>
      <w:r>
        <w:rPr>
          <w:rFonts w:hint="eastAsia"/>
          <w:highlight w:val="none"/>
        </w:rPr>
        <w:t>燃气工程：负责室内外燃气管道安装；负责燃气表、调压器、各种燃气阀门的供应及安装；负责阀门箱的制作和安装；负责按规范要求为弱电系统提供的干触点；负责按规范要求提供给消防设备的干触点；负责燃气设备及管线上的消防标志及标识(疏散指示除外）；负责开槽部分的砼或砂浆砌体封堵；负责燃气设备基础施工；负责燃气报警泄漏系统的供应及安装。</w:t>
      </w:r>
      <w:bookmarkEnd w:id="129"/>
    </w:p>
    <w:p w14:paraId="47F223B3">
      <w:pPr>
        <w:pStyle w:val="5"/>
        <w:numPr>
          <w:ilvl w:val="2"/>
          <w:numId w:val="0"/>
        </w:numPr>
        <w:ind w:left="624" w:hanging="624"/>
        <w:rPr>
          <w:highlight w:val="none"/>
        </w:rPr>
      </w:pPr>
      <w:bookmarkStart w:id="130" w:name="_Toc13106"/>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28</w:t>
      </w:r>
      <w:r>
        <w:rPr>
          <w:rFonts w:hint="eastAsia"/>
          <w:highlight w:val="none"/>
        </w:rPr>
        <w:t>隔音降噪工程:负责非精装修区域的降噪工程的设计、材料供应、安装等所有降噪系统工程相关工作。</w:t>
      </w:r>
      <w:bookmarkEnd w:id="130"/>
    </w:p>
    <w:p w14:paraId="3AE3EE55">
      <w:pPr>
        <w:pStyle w:val="5"/>
        <w:numPr>
          <w:ilvl w:val="2"/>
          <w:numId w:val="0"/>
        </w:numPr>
        <w:ind w:left="624" w:hanging="624"/>
        <w:rPr>
          <w:highlight w:val="none"/>
        </w:rPr>
      </w:pPr>
      <w:bookmarkStart w:id="131" w:name="_Toc29979"/>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29</w:t>
      </w:r>
      <w:r>
        <w:rPr>
          <w:rFonts w:hint="eastAsia"/>
          <w:highlight w:val="none"/>
        </w:rPr>
        <w:t>标识标牌工程：负责室内外标识系统的深化设计；负责室内外标识系统所需的基础施工、电源接驳；负责室内标识、室外标识（园区内及楼梯立面、园区入口等）、后勤区标识等供应、安装、成品保护及保修期内的维护保养等。负责法令规定的标志、标识（包括车向指示牌等）等施工；负责车道缓冲条及车道指示油漆等施工；负责护角、防撞道钉等采购及安装；负责车位划线施工；达到规划验收内容要求，配合规划验收。</w:t>
      </w:r>
      <w:bookmarkEnd w:id="131"/>
    </w:p>
    <w:p w14:paraId="48632E03">
      <w:pPr>
        <w:pStyle w:val="5"/>
        <w:numPr>
          <w:ilvl w:val="2"/>
          <w:numId w:val="0"/>
        </w:numPr>
        <w:ind w:left="624" w:hanging="624"/>
        <w:rPr>
          <w:highlight w:val="none"/>
        </w:rPr>
      </w:pPr>
      <w:bookmarkStart w:id="132" w:name="_Toc12616"/>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30</w:t>
      </w:r>
      <w:r>
        <w:rPr>
          <w:rFonts w:hint="eastAsia"/>
          <w:highlight w:val="none"/>
        </w:rPr>
        <w:t>红线外道路工程：小区红线外市政道路工程的市政配套、基层及沥青面层、道路开口施工（含开口费、砍树等）；小区红线外市政道路的铺装面层及道路开口施工，涉及到的树木及路灯迁移归集到红线外景观工程；负责除城市市政基础设施配套费以外的道路工程范围内行政收费。</w:t>
      </w:r>
      <w:bookmarkEnd w:id="132"/>
    </w:p>
    <w:p w14:paraId="4CDF7BD6">
      <w:pPr>
        <w:pStyle w:val="5"/>
        <w:numPr>
          <w:ilvl w:val="2"/>
          <w:numId w:val="0"/>
        </w:numPr>
        <w:ind w:left="624" w:hanging="624"/>
        <w:rPr>
          <w:highlight w:val="none"/>
        </w:rPr>
      </w:pPr>
      <w:bookmarkStart w:id="133" w:name="_Toc22916"/>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31</w:t>
      </w:r>
      <w:r>
        <w:rPr>
          <w:rFonts w:hint="eastAsia"/>
          <w:highlight w:val="none"/>
        </w:rPr>
        <w:t>供电工程：负责项目范围内高低压系统（高压柜、低压柜、变压器、母线、电缆）安装，满足当地供电部门要求，并通过供电部门验收及通电。</w:t>
      </w:r>
      <w:bookmarkEnd w:id="133"/>
    </w:p>
    <w:p w14:paraId="00ECC2E4">
      <w:pPr>
        <w:pStyle w:val="5"/>
        <w:numPr>
          <w:ilvl w:val="2"/>
          <w:numId w:val="0"/>
        </w:numPr>
        <w:ind w:left="624" w:hanging="624"/>
        <w:rPr>
          <w:highlight w:val="none"/>
        </w:rPr>
      </w:pPr>
      <w:bookmarkStart w:id="134" w:name="_Toc19725"/>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32</w:t>
      </w:r>
      <w:r>
        <w:rPr>
          <w:rFonts w:hint="eastAsia"/>
          <w:highlight w:val="none"/>
        </w:rPr>
        <w:t>小市政给水工程：负责项目的红线内、红线外给水工程的材料供应及安装施工，并办理验收的全部相关手续；负责管网施工的管道开槽及完成后的撼砂回填、场地平整；红线外市政给水管网至小区给水管网的正式给水接驳工程；</w:t>
      </w:r>
      <w:bookmarkEnd w:id="134"/>
    </w:p>
    <w:p w14:paraId="4CB57271">
      <w:pPr>
        <w:pStyle w:val="5"/>
        <w:numPr>
          <w:ilvl w:val="2"/>
          <w:numId w:val="0"/>
        </w:numPr>
        <w:ind w:left="624" w:hanging="624"/>
        <w:rPr>
          <w:highlight w:val="none"/>
        </w:rPr>
      </w:pPr>
      <w:bookmarkStart w:id="135" w:name="_Toc16119"/>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33</w:t>
      </w:r>
      <w:r>
        <w:rPr>
          <w:rFonts w:hint="eastAsia"/>
          <w:highlight w:val="none"/>
        </w:rPr>
        <w:t>电视、电话及网络工程：负责项目范围内电视、电话、网络手机信号覆盖、手机信号放大工程系统安装及验收。</w:t>
      </w:r>
      <w:bookmarkEnd w:id="135"/>
    </w:p>
    <w:p w14:paraId="1513C8EC">
      <w:pPr>
        <w:pStyle w:val="5"/>
        <w:numPr>
          <w:ilvl w:val="2"/>
          <w:numId w:val="0"/>
        </w:numPr>
        <w:ind w:left="624" w:hanging="624"/>
        <w:rPr>
          <w:highlight w:val="none"/>
        </w:rPr>
      </w:pPr>
      <w:bookmarkStart w:id="136" w:name="_Toc7765"/>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34</w:t>
      </w:r>
      <w:r>
        <w:rPr>
          <w:rFonts w:hint="eastAsia"/>
          <w:highlight w:val="none"/>
        </w:rPr>
        <w:t>充电桩工程：负责项目范围内的充电桩供应、安装及调试工程。</w:t>
      </w:r>
      <w:bookmarkEnd w:id="136"/>
    </w:p>
    <w:p w14:paraId="6A26CFE2">
      <w:pPr>
        <w:pStyle w:val="5"/>
        <w:numPr>
          <w:ilvl w:val="2"/>
          <w:numId w:val="0"/>
        </w:numPr>
        <w:ind w:left="624" w:hanging="624"/>
        <w:rPr>
          <w:highlight w:val="none"/>
        </w:rPr>
      </w:pPr>
      <w:bookmarkStart w:id="137" w:name="_Toc20697"/>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35</w:t>
      </w:r>
      <w:r>
        <w:rPr>
          <w:rFonts w:hint="eastAsia"/>
          <w:highlight w:val="none"/>
        </w:rPr>
        <w:t>白蚁防治工程：配合白蚁防治专业承包人做好白蚁防治工作，负责根据现场进度通知专业承包人进场实施白蚁防治工作，协助白蚁防治工程通过政府验收（按时取得相关合格证明文件，不得影响后续验收）。</w:t>
      </w:r>
      <w:bookmarkEnd w:id="137"/>
    </w:p>
    <w:p w14:paraId="059AFC62">
      <w:pPr>
        <w:pStyle w:val="5"/>
        <w:numPr>
          <w:ilvl w:val="2"/>
          <w:numId w:val="0"/>
        </w:numPr>
        <w:ind w:left="624" w:hanging="624"/>
        <w:rPr>
          <w:highlight w:val="none"/>
        </w:rPr>
      </w:pPr>
      <w:bookmarkStart w:id="138" w:name="_Toc14242"/>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36</w:t>
      </w:r>
      <w:r>
        <w:rPr>
          <w:rFonts w:hint="eastAsia"/>
          <w:highlight w:val="none"/>
        </w:rPr>
        <w:t>第三方维修：项目范围内的第三方维修工程。</w:t>
      </w:r>
      <w:bookmarkEnd w:id="138"/>
    </w:p>
    <w:p w14:paraId="2F471342">
      <w:pPr>
        <w:pStyle w:val="5"/>
        <w:numPr>
          <w:ilvl w:val="2"/>
          <w:numId w:val="0"/>
        </w:numPr>
        <w:ind w:left="624" w:hanging="624"/>
        <w:rPr>
          <w:highlight w:val="none"/>
        </w:rPr>
      </w:pPr>
      <w:bookmarkStart w:id="139" w:name="_Toc30647"/>
      <w:r>
        <w:rPr>
          <w:rFonts w:hint="eastAsia"/>
          <w:highlight w:val="none"/>
        </w:rPr>
        <w:t>3.</w:t>
      </w:r>
      <w:r>
        <w:rPr>
          <w:rFonts w:hint="eastAsia"/>
          <w:highlight w:val="none"/>
          <w:lang w:val="en-US" w:eastAsia="zh-CN"/>
        </w:rPr>
        <w:t>1</w:t>
      </w:r>
      <w:r>
        <w:rPr>
          <w:rFonts w:hint="eastAsia"/>
          <w:highlight w:val="none"/>
        </w:rPr>
        <w:t>.</w:t>
      </w:r>
      <w:r>
        <w:rPr>
          <w:rFonts w:hint="eastAsia"/>
          <w:highlight w:val="none"/>
          <w:lang w:val="en-US" w:eastAsia="zh-CN"/>
        </w:rPr>
        <w:t>37</w:t>
      </w:r>
      <w:r>
        <w:rPr>
          <w:rFonts w:hint="eastAsia"/>
          <w:highlight w:val="none"/>
        </w:rPr>
        <w:t>其他工程：</w:t>
      </w:r>
      <w:bookmarkEnd w:id="139"/>
    </w:p>
    <w:p w14:paraId="043A7742">
      <w:pPr>
        <w:ind w:firstLine="480"/>
        <w:rPr>
          <w:highlight w:val="none"/>
        </w:rPr>
      </w:pPr>
      <w:r>
        <w:rPr>
          <w:rFonts w:hint="eastAsia"/>
          <w:highlight w:val="none"/>
        </w:rPr>
        <w:t>（1）钢筋供应：负责钢筋采购、运输至项目现场（含装车及卸货）、按国家规范规定抽取试件作力学性能检验等；负责随车出具相应的材质报告。</w:t>
      </w:r>
    </w:p>
    <w:p w14:paraId="51B0E77E">
      <w:pPr>
        <w:ind w:firstLine="480"/>
        <w:rPr>
          <w:highlight w:val="none"/>
        </w:rPr>
      </w:pPr>
      <w:r>
        <w:rPr>
          <w:rFonts w:hint="eastAsia"/>
          <w:highlight w:val="none"/>
        </w:rPr>
        <w:t>（2）商品混凝土供应：负责商品混凝土的采购（包含有特殊外加剂要求的抗渗混凝土、膨胀混凝土等）、运输、泵送等工作；负责提供泵送设备至现场点，并负责泵送设备进出场及场内转移；负责自行考虑施工场地内泵送设备的走线布置，并自行负责商品混凝土泵送的施工用水、用电接驳工作，且自行承担相应的施工用水、用电费用；负责按国家规范规定对商品混凝土取样和试件留置及送检。</w:t>
      </w:r>
    </w:p>
    <w:p w14:paraId="483E497E">
      <w:pPr>
        <w:ind w:firstLine="480"/>
        <w:rPr>
          <w:highlight w:val="none"/>
        </w:rPr>
      </w:pPr>
      <w:r>
        <w:rPr>
          <w:rFonts w:hint="eastAsia"/>
          <w:highlight w:val="none"/>
        </w:rPr>
        <w:t>（3）砂浆供应：负责砂浆采购供应、运输至项目现场（含装车及卸货）；负责提供足量的配套存储设备，并运输至施工现场（含装车及卸货）；负责砂浆配套存储设备的进出场、场内转移、安拆、保管、清洗；负责每批次砂浆试块制作及送检。</w:t>
      </w:r>
    </w:p>
    <w:p w14:paraId="004410EF">
      <w:pPr>
        <w:ind w:firstLine="480"/>
        <w:rPr>
          <w:highlight w:val="none"/>
        </w:rPr>
      </w:pPr>
      <w:r>
        <w:rPr>
          <w:rFonts w:hint="eastAsia"/>
          <w:highlight w:val="none"/>
        </w:rPr>
        <w:t>（4）住宅视频监控系统供应：负责视频监控系统设备的供应，运输到指定地点卸货并配合调试；负责可视对讲系统设备的供应，运输到指定地点卸货并配合调试。</w:t>
      </w:r>
    </w:p>
    <w:p w14:paraId="0B967A69">
      <w:pPr>
        <w:ind w:firstLine="480"/>
        <w:rPr>
          <w:highlight w:val="none"/>
        </w:rPr>
      </w:pPr>
      <w:r>
        <w:rPr>
          <w:rFonts w:hint="eastAsia"/>
          <w:highlight w:val="none"/>
        </w:rPr>
        <w:t>（5）水泵供应：负责项目范围内的各种水泵制作、供应，并负责出具相应材质报告及产品合格证等检验报告。</w:t>
      </w:r>
    </w:p>
    <w:p w14:paraId="527EAF58">
      <w:pPr>
        <w:ind w:firstLine="480"/>
        <w:rPr>
          <w:highlight w:val="none"/>
        </w:rPr>
      </w:pPr>
      <w:r>
        <w:rPr>
          <w:rFonts w:hint="eastAsia"/>
          <w:highlight w:val="none"/>
        </w:rPr>
        <w:t>（6）热计量表供应：负责项目范围内的热计量表制作、供应，并负责出具相应产品合格证等检验报告。</w:t>
      </w:r>
    </w:p>
    <w:p w14:paraId="3E476C09">
      <w:pPr>
        <w:ind w:firstLine="480"/>
        <w:rPr>
          <w:highlight w:val="none"/>
        </w:rPr>
      </w:pPr>
      <w:r>
        <w:rPr>
          <w:rFonts w:hint="eastAsia"/>
          <w:highlight w:val="none"/>
        </w:rPr>
        <w:t>（7）配电箱供应（含低压元器件供应）：负责项目范围内的配电箱、低压元器件的制作及供应，并负责出具相应产品合格证等检验报告。</w:t>
      </w:r>
    </w:p>
    <w:p w14:paraId="4079789E">
      <w:pPr>
        <w:ind w:firstLine="480"/>
        <w:rPr>
          <w:highlight w:val="none"/>
        </w:rPr>
      </w:pPr>
      <w:r>
        <w:rPr>
          <w:rFonts w:hint="eastAsia"/>
          <w:highlight w:val="none"/>
        </w:rPr>
        <w:t>（8）电缆供应：负责项目范围内的矿物绝缘电缆、普通低压电力电缆及母线的供应，并负责出具相应产品合格证等检验报告。</w:t>
      </w:r>
    </w:p>
    <w:p w14:paraId="11E6CA3F">
      <w:pPr>
        <w:ind w:firstLine="480"/>
        <w:rPr>
          <w:highlight w:val="none"/>
        </w:rPr>
      </w:pPr>
      <w:r>
        <w:rPr>
          <w:rFonts w:hint="eastAsia"/>
          <w:highlight w:val="none"/>
        </w:rPr>
        <w:t>（9）变压器供应：负责变压器的制作、供应、成品运输至指定地点（含包装、装货、运输、卸货等）；负责出具相应材质报告及产品合格证等检验报告。</w:t>
      </w:r>
    </w:p>
    <w:p w14:paraId="32FA646C">
      <w:pPr>
        <w:ind w:firstLine="480"/>
        <w:rPr>
          <w:highlight w:val="none"/>
        </w:rPr>
      </w:pPr>
      <w:r>
        <w:rPr>
          <w:rFonts w:hint="eastAsia"/>
          <w:highlight w:val="none"/>
        </w:rPr>
        <w:t>（10）高压柜（含环网柜、中置柜）供应：负责,高压柜（含环网柜、中置柜）的制作、供应、成品运输至指定地点（含包装、装货、运输、卸货等）；负责出具相应材质报告及产品合格证等检验报告。</w:t>
      </w:r>
    </w:p>
    <w:p w14:paraId="7AC8D8F3">
      <w:pPr>
        <w:ind w:firstLine="480"/>
        <w:rPr>
          <w:highlight w:val="none"/>
        </w:rPr>
      </w:pPr>
      <w:r>
        <w:rPr>
          <w:rFonts w:hint="eastAsia"/>
          <w:highlight w:val="none"/>
        </w:rPr>
        <w:t>（11）低压柜供应：负责低压柜的制作、供应、成品运输至指定地点（含包装、装货、运输、卸货等）；负责出具相应材质报告及产品合格证等检验报告。</w:t>
      </w:r>
    </w:p>
    <w:p w14:paraId="2D724FE7">
      <w:pPr>
        <w:ind w:firstLine="480"/>
        <w:rPr>
          <w:highlight w:val="none"/>
        </w:rPr>
      </w:pPr>
      <w:r>
        <w:rPr>
          <w:rFonts w:hint="eastAsia"/>
          <w:highlight w:val="none"/>
        </w:rPr>
        <w:t>（1</w:t>
      </w:r>
      <w:r>
        <w:rPr>
          <w:rFonts w:hint="eastAsia"/>
          <w:highlight w:val="none"/>
          <w:lang w:val="en-US" w:eastAsia="zh-CN"/>
        </w:rPr>
        <w:t>2</w:t>
      </w:r>
      <w:r>
        <w:rPr>
          <w:rFonts w:hint="eastAsia"/>
          <w:highlight w:val="none"/>
        </w:rPr>
        <w:t>）散水及截水沟：负责散水及截水沟结构层施工。</w:t>
      </w:r>
    </w:p>
    <w:p w14:paraId="6D41F4BD">
      <w:pPr>
        <w:ind w:firstLine="480"/>
        <w:rPr>
          <w:highlight w:val="none"/>
        </w:rPr>
      </w:pPr>
      <w:r>
        <w:rPr>
          <w:rFonts w:hint="eastAsia"/>
          <w:highlight w:val="none"/>
        </w:rPr>
        <w:t>（1</w:t>
      </w:r>
      <w:r>
        <w:rPr>
          <w:rFonts w:hint="eastAsia"/>
          <w:highlight w:val="none"/>
          <w:lang w:val="en-US" w:eastAsia="zh-CN"/>
        </w:rPr>
        <w:t>3</w:t>
      </w:r>
      <w:r>
        <w:rPr>
          <w:rFonts w:hint="eastAsia"/>
          <w:highlight w:val="none"/>
        </w:rPr>
        <w:t>）总平范围内室外机电机房、风井、采光井、车道挡墙等结构：负责总平范围内室外机电机房、风井、采光井、车道挡墙等结构施工。</w:t>
      </w:r>
    </w:p>
    <w:p w14:paraId="655E8758">
      <w:pPr>
        <w:ind w:firstLine="480"/>
        <w:rPr>
          <w:highlight w:val="none"/>
        </w:rPr>
      </w:pPr>
      <w:r>
        <w:rPr>
          <w:rFonts w:hint="eastAsia"/>
          <w:highlight w:val="none"/>
        </w:rPr>
        <w:t>（1</w:t>
      </w:r>
      <w:r>
        <w:rPr>
          <w:rFonts w:hint="eastAsia"/>
          <w:highlight w:val="none"/>
          <w:lang w:val="en-US" w:eastAsia="zh-CN"/>
        </w:rPr>
        <w:t>4</w:t>
      </w:r>
      <w:r>
        <w:rPr>
          <w:rFonts w:hint="eastAsia"/>
          <w:highlight w:val="none"/>
        </w:rPr>
        <w:t>）建施图范围内的构筑物（如垃圾房等）结构：负责建施图范围内的构筑物（如垃圾房等）结构施工。</w:t>
      </w:r>
    </w:p>
    <w:p w14:paraId="7074853A">
      <w:pPr>
        <w:ind w:firstLine="480"/>
        <w:rPr>
          <w:highlight w:val="none"/>
        </w:rPr>
      </w:pPr>
      <w:r>
        <w:rPr>
          <w:rFonts w:hint="eastAsia"/>
          <w:highlight w:val="none"/>
        </w:rPr>
        <w:t>（</w:t>
      </w:r>
      <w:r>
        <w:rPr>
          <w:rFonts w:hint="eastAsia"/>
          <w:highlight w:val="none"/>
          <w:lang w:val="en-US" w:eastAsia="zh-CN"/>
        </w:rPr>
        <w:t>15</w:t>
      </w:r>
      <w:r>
        <w:rPr>
          <w:rFonts w:hint="eastAsia"/>
          <w:highlight w:val="none"/>
        </w:rPr>
        <w:t>）零星金属工程：负责屋面的钢爬梯、检修梯等的深化设计、制作及安装；负责设计图纸内其他零星金属工程。</w:t>
      </w:r>
    </w:p>
    <w:p w14:paraId="17A2528E">
      <w:pPr>
        <w:ind w:firstLine="480"/>
        <w:rPr>
          <w:highlight w:val="none"/>
        </w:rPr>
      </w:pPr>
      <w:r>
        <w:rPr>
          <w:rFonts w:hint="eastAsia"/>
          <w:highlight w:val="none"/>
        </w:rPr>
        <w:t>设备基础：负责各有关专业承包设备基础施工（包括各专业图纸中标识的所有设备基础）。</w:t>
      </w:r>
    </w:p>
    <w:p w14:paraId="786455AF">
      <w:pPr>
        <w:ind w:firstLine="480"/>
        <w:rPr>
          <w:highlight w:val="none"/>
        </w:rPr>
      </w:pPr>
      <w:r>
        <w:rPr>
          <w:rFonts w:hint="eastAsia"/>
          <w:highlight w:val="none"/>
        </w:rPr>
        <w:t>（1</w:t>
      </w:r>
      <w:r>
        <w:rPr>
          <w:rFonts w:hint="eastAsia"/>
          <w:highlight w:val="none"/>
          <w:lang w:val="en-US" w:eastAsia="zh-CN"/>
        </w:rPr>
        <w:t>6</w:t>
      </w:r>
      <w:r>
        <w:rPr>
          <w:rFonts w:hint="eastAsia"/>
          <w:highlight w:val="none"/>
        </w:rPr>
        <w:t>）工程测量及监测：负责责任范围内所有测量放线工作及结构、建筑1m线（需用油漆明显标识）放线工作；负责给各专业承包人提供测量基准点，十字交叉轴线等；负责施工全过程结构安全性、偏差监测及工地周边管线监测。</w:t>
      </w:r>
    </w:p>
    <w:p w14:paraId="3EB0F451">
      <w:pPr>
        <w:ind w:firstLine="480"/>
        <w:rPr>
          <w:highlight w:val="none"/>
        </w:rPr>
      </w:pPr>
      <w:r>
        <w:rPr>
          <w:rFonts w:hint="eastAsia"/>
          <w:highlight w:val="none"/>
        </w:rPr>
        <w:t>（1</w:t>
      </w:r>
      <w:r>
        <w:rPr>
          <w:rFonts w:hint="eastAsia"/>
          <w:highlight w:val="none"/>
          <w:lang w:val="en-US" w:eastAsia="zh-CN"/>
        </w:rPr>
        <w:t>7</w:t>
      </w:r>
      <w:r>
        <w:rPr>
          <w:rFonts w:hint="eastAsia"/>
          <w:highlight w:val="none"/>
        </w:rPr>
        <w:t>）施工阶段工区照明工作：负责施工阶段公区（如施工通道等）照明工作（施工作业面内的照明工作由各专业承包人负责实施）。</w:t>
      </w:r>
    </w:p>
    <w:p w14:paraId="262A571E">
      <w:pPr>
        <w:ind w:firstLine="480"/>
        <w:rPr>
          <w:highlight w:val="none"/>
        </w:rPr>
      </w:pPr>
      <w:r>
        <w:rPr>
          <w:rFonts w:hint="eastAsia"/>
          <w:highlight w:val="none"/>
        </w:rPr>
        <w:t>（1</w:t>
      </w:r>
      <w:r>
        <w:rPr>
          <w:rFonts w:hint="eastAsia"/>
          <w:highlight w:val="none"/>
          <w:lang w:val="en-US" w:eastAsia="zh-CN"/>
        </w:rPr>
        <w:t>8</w:t>
      </w:r>
      <w:r>
        <w:rPr>
          <w:rFonts w:hint="eastAsia"/>
          <w:highlight w:val="none"/>
        </w:rPr>
        <w:t>）机房排水沟：对于大型设备机房须设排水沟的，排水沟需在建筑图上体现，排水沟的施工由承包单位负责。</w:t>
      </w:r>
    </w:p>
    <w:p w14:paraId="45C3C619">
      <w:pPr>
        <w:ind w:firstLine="480"/>
        <w:rPr>
          <w:highlight w:val="none"/>
        </w:rPr>
      </w:pPr>
      <w:r>
        <w:rPr>
          <w:rFonts w:hint="eastAsia"/>
          <w:highlight w:val="none"/>
        </w:rPr>
        <w:t>（</w:t>
      </w:r>
      <w:r>
        <w:rPr>
          <w:rFonts w:hint="eastAsia"/>
          <w:highlight w:val="none"/>
          <w:lang w:val="en-US" w:eastAsia="zh-CN"/>
        </w:rPr>
        <w:t>19</w:t>
      </w:r>
      <w:r>
        <w:rPr>
          <w:rFonts w:hint="eastAsia"/>
          <w:highlight w:val="none"/>
        </w:rPr>
        <w:t>）木构架供应及安装工程：负责木构架的深化设计、材料的采购、制作安装、调试及验收、移交等全部工作；负责自购材料按规范或政府部门的有关规定而进行的材料检验或实验且获取相应检测报告。</w:t>
      </w:r>
    </w:p>
    <w:p w14:paraId="3DC71A7B">
      <w:pPr>
        <w:ind w:firstLine="480"/>
        <w:rPr>
          <w:highlight w:val="none"/>
        </w:rPr>
      </w:pPr>
      <w:r>
        <w:rPr>
          <w:rFonts w:hint="eastAsia"/>
          <w:highlight w:val="none"/>
        </w:rPr>
        <w:t>（2</w:t>
      </w:r>
      <w:r>
        <w:rPr>
          <w:rFonts w:hint="eastAsia"/>
          <w:highlight w:val="none"/>
          <w:lang w:val="en-US" w:eastAsia="zh-CN"/>
        </w:rPr>
        <w:t>0</w:t>
      </w:r>
      <w:r>
        <w:rPr>
          <w:rFonts w:hint="eastAsia"/>
          <w:highlight w:val="none"/>
        </w:rPr>
        <w:t>）特种门工程：负责非精装住宅特种门（包括旋转门、感应门）及五金的设计、供应及安装和成品保护工程，包括所需的预留预埋工作、从总承包人提供的接驳点接驳电源等工作。负责自购材料按规范或政府部门的有关规定而进行的材料检验或实验。</w:t>
      </w:r>
    </w:p>
    <w:p w14:paraId="53046EA7">
      <w:pPr>
        <w:ind w:firstLine="480"/>
        <w:rPr>
          <w:highlight w:val="none"/>
        </w:rPr>
      </w:pPr>
      <w:r>
        <w:rPr>
          <w:rFonts w:hint="eastAsia"/>
          <w:highlight w:val="none"/>
        </w:rPr>
        <w:t>（2</w:t>
      </w:r>
      <w:r>
        <w:rPr>
          <w:rFonts w:hint="eastAsia"/>
          <w:highlight w:val="none"/>
          <w:lang w:val="en-US" w:eastAsia="zh-CN"/>
        </w:rPr>
        <w:t>1</w:t>
      </w:r>
      <w:r>
        <w:rPr>
          <w:rFonts w:hint="eastAsia"/>
          <w:highlight w:val="none"/>
        </w:rPr>
        <w:t>）屋顶钢结构（小型）及其他小型钢结构：负责屋顶钢结构（小型）及其他小钢结构的深化设计、制作、供应、运输、安装和成品保护等；负责出具相应材质报告及产品合格证等检验报告。</w:t>
      </w:r>
    </w:p>
    <w:p w14:paraId="27C5F548">
      <w:pPr>
        <w:ind w:firstLine="480"/>
        <w:rPr>
          <w:highlight w:val="none"/>
        </w:rPr>
      </w:pPr>
      <w:r>
        <w:rPr>
          <w:rFonts w:hint="eastAsia"/>
          <w:highlight w:val="none"/>
        </w:rPr>
        <w:t>（2</w:t>
      </w:r>
      <w:r>
        <w:rPr>
          <w:rFonts w:hint="eastAsia"/>
          <w:highlight w:val="none"/>
          <w:lang w:val="en-US" w:eastAsia="zh-CN"/>
        </w:rPr>
        <w:t>2</w:t>
      </w:r>
      <w:r>
        <w:rPr>
          <w:rFonts w:hint="eastAsia"/>
          <w:highlight w:val="none"/>
        </w:rPr>
        <w:t>）阀门供应（消防工程除外）：负责阀门的制作、供应、成品运输至发包人指定地点（含包装、装货、运输、卸货等）；负责出具相应检验报告及产品合格证、3C认证等检验报告。</w:t>
      </w:r>
    </w:p>
    <w:p w14:paraId="3839A7CF">
      <w:pPr>
        <w:ind w:firstLine="480"/>
        <w:rPr>
          <w:highlight w:val="none"/>
        </w:rPr>
      </w:pPr>
      <w:r>
        <w:rPr>
          <w:rFonts w:hint="eastAsia"/>
          <w:highlight w:val="none"/>
        </w:rPr>
        <w:t>（2</w:t>
      </w:r>
      <w:r>
        <w:rPr>
          <w:rFonts w:hint="eastAsia"/>
          <w:highlight w:val="none"/>
          <w:lang w:val="en-US" w:eastAsia="zh-CN"/>
        </w:rPr>
        <w:t>3</w:t>
      </w:r>
      <w:r>
        <w:rPr>
          <w:rFonts w:hint="eastAsia"/>
          <w:highlight w:val="none"/>
        </w:rPr>
        <w:t>）特殊类工程：负责项目范围内垃圾设备工程、遮阳系统工程、太阳能工程等工程的深化设计、材料设备供应及安装工程。</w:t>
      </w:r>
    </w:p>
    <w:p w14:paraId="4C309372">
      <w:pPr>
        <w:ind w:firstLine="480"/>
        <w:rPr>
          <w:highlight w:val="none"/>
        </w:rPr>
      </w:pPr>
      <w:r>
        <w:rPr>
          <w:rFonts w:hint="eastAsia"/>
          <w:highlight w:val="none"/>
        </w:rPr>
        <w:t>（2</w:t>
      </w:r>
      <w:r>
        <w:rPr>
          <w:rFonts w:hint="eastAsia"/>
          <w:highlight w:val="none"/>
          <w:lang w:val="en-US" w:eastAsia="zh-CN"/>
        </w:rPr>
        <w:t>4</w:t>
      </w:r>
      <w:r>
        <w:rPr>
          <w:rFonts w:hint="eastAsia"/>
          <w:highlight w:val="none"/>
        </w:rPr>
        <w:t>）承包人应负责完成承包范围内涉及到的所有需深化设计(二次结构、外立面、及钢结构、屋面平面、总平等)的项目和工作：</w:t>
      </w:r>
    </w:p>
    <w:p w14:paraId="5FC00B03">
      <w:pPr>
        <w:numPr>
          <w:ilvl w:val="0"/>
          <w:numId w:val="3"/>
        </w:numPr>
        <w:ind w:firstLineChars="0"/>
        <w:rPr>
          <w:highlight w:val="none"/>
        </w:rPr>
      </w:pPr>
      <w:r>
        <w:rPr>
          <w:rFonts w:hint="eastAsia"/>
          <w:highlight w:val="none"/>
        </w:rPr>
        <w:t>承包人在绘制本范围内的末端定位图时应同时考虑与机电专业和BIM公司（如有）的配合与协调等；</w:t>
      </w:r>
    </w:p>
    <w:p w14:paraId="148CAB8C">
      <w:pPr>
        <w:numPr>
          <w:ilvl w:val="0"/>
          <w:numId w:val="3"/>
        </w:numPr>
        <w:ind w:firstLineChars="0"/>
        <w:rPr>
          <w:highlight w:val="none"/>
        </w:rPr>
      </w:pPr>
      <w:r>
        <w:rPr>
          <w:rFonts w:hint="eastAsia"/>
          <w:highlight w:val="none"/>
        </w:rPr>
        <w:t>承包人应配合机电专业和设计院的管线综合设计，并及时向上述单位提供末端定位图、吊顶标高及要求；</w:t>
      </w:r>
    </w:p>
    <w:p w14:paraId="131C0C76">
      <w:pPr>
        <w:numPr>
          <w:ilvl w:val="0"/>
          <w:numId w:val="3"/>
        </w:numPr>
        <w:ind w:firstLineChars="0"/>
        <w:rPr>
          <w:highlight w:val="none"/>
        </w:rPr>
      </w:pPr>
      <w:r>
        <w:rPr>
          <w:rFonts w:hint="eastAsia"/>
          <w:highlight w:val="none"/>
        </w:rPr>
        <w:t>负责结构内、屋（天）面等的防雷接地及为机电设备系统提供防雷接地接驳点、接地极、接地带，负责等电位盒（箱）等的施工，并负责防雷设计审核、检测、验收；</w:t>
      </w:r>
    </w:p>
    <w:p w14:paraId="081A571C">
      <w:pPr>
        <w:numPr>
          <w:ilvl w:val="0"/>
          <w:numId w:val="3"/>
        </w:numPr>
        <w:ind w:firstLineChars="0"/>
        <w:rPr>
          <w:highlight w:val="none"/>
        </w:rPr>
      </w:pPr>
      <w:r>
        <w:rPr>
          <w:rFonts w:hint="eastAsia"/>
          <w:highlight w:val="none"/>
        </w:rPr>
        <w:t>负责出具机电管线预留预埋管线图以及孔洞点位图，以及给排水系统、外线高压配电系统以及弱电系统等管线在结构墙上的孔洞预留和封堵，并相应图纸须报监理和业主审核；</w:t>
      </w:r>
    </w:p>
    <w:p w14:paraId="254B15AF">
      <w:pPr>
        <w:numPr>
          <w:ilvl w:val="0"/>
          <w:numId w:val="3"/>
        </w:numPr>
        <w:ind w:firstLineChars="0"/>
        <w:rPr>
          <w:highlight w:val="none"/>
        </w:rPr>
      </w:pPr>
      <w:r>
        <w:rPr>
          <w:rFonts w:hint="eastAsia"/>
          <w:highlight w:val="none"/>
        </w:rPr>
        <w:t>负责给排水系统与市政管网的接驳，负责配合使用方办理给水开户，负责配合使用方办理排水许可证；</w:t>
      </w:r>
    </w:p>
    <w:p w14:paraId="6EC913DB">
      <w:pPr>
        <w:numPr>
          <w:ilvl w:val="0"/>
          <w:numId w:val="3"/>
        </w:numPr>
        <w:ind w:firstLineChars="0"/>
        <w:rPr>
          <w:highlight w:val="none"/>
        </w:rPr>
      </w:pPr>
      <w:r>
        <w:rPr>
          <w:rFonts w:hint="eastAsia"/>
          <w:highlight w:val="none"/>
        </w:rPr>
        <w:t>负责向使用方提供符合要求的设备、材料堆放场地；</w:t>
      </w:r>
    </w:p>
    <w:p w14:paraId="1D5D40FC">
      <w:pPr>
        <w:numPr>
          <w:ilvl w:val="0"/>
          <w:numId w:val="3"/>
        </w:numPr>
        <w:ind w:firstLineChars="0"/>
        <w:rPr>
          <w:highlight w:val="none"/>
        </w:rPr>
      </w:pPr>
      <w:r>
        <w:rPr>
          <w:rFonts w:hint="eastAsia"/>
          <w:highlight w:val="none"/>
        </w:rPr>
        <w:t>负责在红线范围内向设备供应商提供符合设备运输条件要求的运输通道（含结构加固），负责设备运输、安装完成后按照设计图纸要求进行恢复和封堵，并做好成品保护；</w:t>
      </w:r>
    </w:p>
    <w:p w14:paraId="2D935929">
      <w:pPr>
        <w:numPr>
          <w:ilvl w:val="0"/>
          <w:numId w:val="3"/>
        </w:numPr>
        <w:ind w:firstLineChars="0"/>
        <w:rPr>
          <w:highlight w:val="none"/>
        </w:rPr>
      </w:pPr>
      <w:r>
        <w:rPr>
          <w:rFonts w:hint="eastAsia"/>
          <w:highlight w:val="none"/>
        </w:rPr>
        <w:t>承包人为总协调单位，负责施工现场的安全文明施工和安全文明施工的管理；负责施工临时用水、用电的安装及管理；</w:t>
      </w:r>
    </w:p>
    <w:p w14:paraId="3E002201">
      <w:pPr>
        <w:numPr>
          <w:ilvl w:val="0"/>
          <w:numId w:val="3"/>
        </w:numPr>
        <w:ind w:firstLineChars="0"/>
        <w:rPr>
          <w:highlight w:val="none"/>
        </w:rPr>
      </w:pPr>
      <w:r>
        <w:rPr>
          <w:rFonts w:hint="eastAsia"/>
          <w:highlight w:val="none"/>
        </w:rPr>
        <w:t>承包人负责向其它承包人提供垂直运输机械；垂直运输机械必须经发包人和监理工程师批准后方可拆除；</w:t>
      </w:r>
    </w:p>
    <w:p w14:paraId="4D696E00">
      <w:pPr>
        <w:numPr>
          <w:ilvl w:val="0"/>
          <w:numId w:val="3"/>
        </w:numPr>
        <w:ind w:firstLineChars="0"/>
        <w:rPr>
          <w:highlight w:val="none"/>
        </w:rPr>
      </w:pPr>
      <w:r>
        <w:rPr>
          <w:rFonts w:hint="eastAsia"/>
          <w:highlight w:val="none"/>
        </w:rPr>
        <w:t>负责所有垃圾外运工作，负责承包区域内的所有垃圾清运；</w:t>
      </w:r>
    </w:p>
    <w:p w14:paraId="5A85757B">
      <w:pPr>
        <w:numPr>
          <w:ilvl w:val="0"/>
          <w:numId w:val="3"/>
        </w:numPr>
        <w:ind w:firstLineChars="0"/>
        <w:rPr>
          <w:highlight w:val="none"/>
        </w:rPr>
      </w:pPr>
      <w:r>
        <w:rPr>
          <w:rFonts w:hint="eastAsia"/>
          <w:highlight w:val="none"/>
        </w:rPr>
        <w:t>负责抽水及排水工作；主体结构工程应结合地质情况进行必要的降水工作，确保满足低于设计抗浮水位要求；承包人需单独准备抽排水设备，不得使用已完成安装的固定排水泵；</w:t>
      </w:r>
    </w:p>
    <w:p w14:paraId="2B30BCCA">
      <w:pPr>
        <w:numPr>
          <w:ilvl w:val="0"/>
          <w:numId w:val="3"/>
        </w:numPr>
        <w:ind w:firstLineChars="0"/>
        <w:rPr>
          <w:highlight w:val="none"/>
        </w:rPr>
      </w:pPr>
      <w:r>
        <w:rPr>
          <w:rFonts w:hint="eastAsia"/>
          <w:highlight w:val="none"/>
        </w:rPr>
        <w:t>承包区域范围内安装灯具、风口、喇叭、烟感等机电各专业末端，负责在石膏板、铝板、玻璃、瓷砖、石材等装饰材料上开机电各专业末端孔，同时负责设备检修口开设，并做好收边收口工作；</w:t>
      </w:r>
    </w:p>
    <w:p w14:paraId="349ABF2B">
      <w:pPr>
        <w:numPr>
          <w:ilvl w:val="0"/>
          <w:numId w:val="3"/>
        </w:numPr>
        <w:ind w:firstLineChars="0"/>
        <w:rPr>
          <w:highlight w:val="none"/>
        </w:rPr>
      </w:pPr>
      <w:r>
        <w:rPr>
          <w:rFonts w:hint="eastAsia"/>
          <w:highlight w:val="none"/>
        </w:rPr>
        <w:t>承包区域范围内吊顶施工必须待发包人和监理工程师对机电设备及管线安装完成并验收合格后方可实施；</w:t>
      </w:r>
    </w:p>
    <w:p w14:paraId="2015EF20">
      <w:pPr>
        <w:numPr>
          <w:ilvl w:val="0"/>
          <w:numId w:val="3"/>
        </w:numPr>
        <w:ind w:firstLineChars="0"/>
        <w:rPr>
          <w:highlight w:val="none"/>
        </w:rPr>
      </w:pPr>
      <w:r>
        <w:rPr>
          <w:rFonts w:hint="eastAsia"/>
          <w:highlight w:val="none"/>
        </w:rPr>
        <w:t>负责道路、停车位（地下、地面）等划线按照设计做到位；</w:t>
      </w:r>
    </w:p>
    <w:p w14:paraId="1889290B">
      <w:pPr>
        <w:numPr>
          <w:ilvl w:val="0"/>
          <w:numId w:val="3"/>
        </w:numPr>
        <w:ind w:firstLineChars="0"/>
        <w:rPr>
          <w:highlight w:val="none"/>
        </w:rPr>
      </w:pPr>
      <w:r>
        <w:rPr>
          <w:rFonts w:hint="eastAsia"/>
          <w:highlight w:val="none"/>
        </w:rPr>
        <w:t>负责配合发包人档案信息化管理工作，具体工作按发包人相关要求实施；</w:t>
      </w:r>
    </w:p>
    <w:p w14:paraId="44FDE577">
      <w:pPr>
        <w:numPr>
          <w:ilvl w:val="0"/>
          <w:numId w:val="3"/>
        </w:numPr>
        <w:ind w:firstLineChars="0"/>
        <w:rPr>
          <w:highlight w:val="none"/>
        </w:rPr>
      </w:pPr>
      <w:r>
        <w:rPr>
          <w:rFonts w:hint="eastAsia"/>
          <w:highlight w:val="none"/>
        </w:rPr>
        <w:t>承包人需聘请具有测绘资质的第三方单位进行竣工预测绘工作，并配合发包人完成竣工测绘工作；</w:t>
      </w:r>
    </w:p>
    <w:p w14:paraId="05662699">
      <w:pPr>
        <w:numPr>
          <w:ilvl w:val="0"/>
          <w:numId w:val="3"/>
        </w:numPr>
        <w:ind w:firstLineChars="0"/>
        <w:rPr>
          <w:highlight w:val="none"/>
        </w:rPr>
      </w:pPr>
      <w:r>
        <w:rPr>
          <w:rFonts w:hint="eastAsia"/>
          <w:highlight w:val="none"/>
        </w:rPr>
        <w:t>负责办理发包人委托的相关工作；</w:t>
      </w:r>
    </w:p>
    <w:p w14:paraId="10FF269D">
      <w:pPr>
        <w:numPr>
          <w:ilvl w:val="0"/>
          <w:numId w:val="3"/>
        </w:numPr>
        <w:ind w:firstLineChars="0"/>
        <w:rPr>
          <w:highlight w:val="none"/>
        </w:rPr>
      </w:pPr>
      <w:r>
        <w:rPr>
          <w:rFonts w:hint="eastAsia"/>
          <w:highlight w:val="none"/>
        </w:rPr>
        <w:t>配合办理施工许可证，配合专项验收手续。办理施工所涉及的各种申请、批件手续，接通施工所需的水电，协调有关单位做好通道及其他原有成品的使用和保护，满足相关单位管理规定；</w:t>
      </w:r>
    </w:p>
    <w:p w14:paraId="1E63233F">
      <w:pPr>
        <w:numPr>
          <w:ilvl w:val="0"/>
          <w:numId w:val="3"/>
        </w:numPr>
        <w:ind w:firstLineChars="0"/>
        <w:rPr>
          <w:highlight w:val="none"/>
        </w:rPr>
      </w:pPr>
      <w:r>
        <w:rPr>
          <w:rFonts w:hint="eastAsia"/>
          <w:highlight w:val="none"/>
        </w:rPr>
        <w:t>按发包人要求办理与工程施工及验收相关的各项报批报建手续，包括但不限于：申请临时施工用地、施工许可证、临时给水排水排污、正式市政管线接口、道路开口、地铁安全范围内施工审查、绿化迁移、竣工验收以及承包范围内的分项验收(如：环保、水保、绿化、节能、防雷、燃气、工程档案验收与移交等）,完成正式给排水、供配电、各专业分项验收（如：消防、室内空气检测、室内护眼灯检测、噪音检测等），以及质监、安监、合同备案、竣工备案等；</w:t>
      </w:r>
    </w:p>
    <w:p w14:paraId="41152EED">
      <w:pPr>
        <w:numPr>
          <w:ilvl w:val="0"/>
          <w:numId w:val="3"/>
        </w:numPr>
        <w:ind w:firstLineChars="0"/>
        <w:rPr>
          <w:highlight w:val="none"/>
        </w:rPr>
      </w:pPr>
      <w:r>
        <w:rPr>
          <w:rFonts w:hint="eastAsia"/>
          <w:highlight w:val="none"/>
        </w:rPr>
        <w:t>发包人有权对建筑外立面、内饰面等材料做法/工艺提出优化或更改，承包人不得以建筑外立面做法更改拒绝施工。</w:t>
      </w:r>
    </w:p>
    <w:p w14:paraId="40A06612">
      <w:pPr>
        <w:ind w:firstLine="480"/>
        <w:rPr>
          <w:highlight w:val="none"/>
        </w:rPr>
      </w:pPr>
      <w:r>
        <w:rPr>
          <w:rFonts w:hint="eastAsia"/>
          <w:highlight w:val="none"/>
        </w:rPr>
        <w:t>所有的细目详见施工图纸，承包人不能拒绝执行为完成全部工程而需执行的可能遗漏的工作。</w:t>
      </w:r>
    </w:p>
    <w:p w14:paraId="1B856E58">
      <w:pPr>
        <w:pStyle w:val="4"/>
        <w:numPr>
          <w:ilvl w:val="1"/>
          <w:numId w:val="0"/>
        </w:numPr>
        <w:ind w:left="624" w:hanging="624"/>
        <w:rPr>
          <w:highlight w:val="none"/>
        </w:rPr>
      </w:pPr>
      <w:bookmarkStart w:id="140" w:name="_Toc8824"/>
      <w:bookmarkStart w:id="141" w:name="_Toc31001"/>
      <w:bookmarkStart w:id="142" w:name="_Toc32080"/>
      <w:bookmarkStart w:id="143" w:name="_Toc169722198"/>
      <w:bookmarkStart w:id="144" w:name="_Toc20542"/>
      <w:bookmarkStart w:id="145" w:name="_Toc179562967"/>
      <w:bookmarkStart w:id="146" w:name="_Toc17050"/>
      <w:bookmarkStart w:id="147" w:name="_Toc19022"/>
      <w:r>
        <w:rPr>
          <w:rFonts w:hint="eastAsia"/>
          <w:highlight w:val="none"/>
        </w:rPr>
        <w:t>3.</w:t>
      </w:r>
      <w:r>
        <w:rPr>
          <w:rFonts w:hint="eastAsia"/>
          <w:highlight w:val="none"/>
          <w:lang w:val="en-US" w:eastAsia="zh-CN"/>
        </w:rPr>
        <w:t>2</w:t>
      </w:r>
      <w:r>
        <w:rPr>
          <w:rFonts w:hint="eastAsia"/>
          <w:highlight w:val="none"/>
        </w:rPr>
        <w:t>总承包人与专业承包人/独立承包人措施项目</w:t>
      </w:r>
      <w:r>
        <w:rPr>
          <w:highlight w:val="none"/>
        </w:rPr>
        <w:t>责</w:t>
      </w:r>
      <w:r>
        <w:rPr>
          <w:rFonts w:hint="eastAsia"/>
          <w:highlight w:val="none"/>
        </w:rPr>
        <w:t>任界面划分</w:t>
      </w:r>
      <w:bookmarkEnd w:id="58"/>
      <w:bookmarkEnd w:id="140"/>
      <w:bookmarkEnd w:id="141"/>
      <w:bookmarkEnd w:id="142"/>
      <w:bookmarkEnd w:id="143"/>
      <w:bookmarkEnd w:id="144"/>
      <w:bookmarkEnd w:id="145"/>
      <w:bookmarkEnd w:id="146"/>
      <w:bookmarkEnd w:id="147"/>
    </w:p>
    <w:p w14:paraId="6D482DCF">
      <w:pPr>
        <w:spacing w:before="120" w:beforeLines="50" w:after="120"/>
        <w:ind w:firstLine="480"/>
        <w:rPr>
          <w:kern w:val="0"/>
          <w:szCs w:val="21"/>
          <w:highlight w:val="none"/>
        </w:rPr>
      </w:pPr>
      <w:r>
        <w:rPr>
          <w:rFonts w:hint="eastAsia"/>
          <w:kern w:val="0"/>
          <w:szCs w:val="21"/>
          <w:highlight w:val="none"/>
        </w:rPr>
        <w:t>措施项目责任界面划分表（注：打“√”的项目为责任方）</w:t>
      </w:r>
    </w:p>
    <w:tbl>
      <w:tblPr>
        <w:tblStyle w:val="2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1"/>
        <w:gridCol w:w="3274"/>
        <w:gridCol w:w="1107"/>
        <w:gridCol w:w="1789"/>
        <w:gridCol w:w="2222"/>
      </w:tblGrid>
      <w:tr w14:paraId="7896D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blHeader/>
        </w:trPr>
        <w:tc>
          <w:tcPr>
            <w:tcW w:w="741" w:type="dxa"/>
            <w:noWrap w:val="0"/>
            <w:vAlign w:val="center"/>
          </w:tcPr>
          <w:p w14:paraId="281F7C1D">
            <w:pPr>
              <w:pStyle w:val="13"/>
              <w:rPr>
                <w:b/>
                <w:bCs/>
                <w:highlight w:val="none"/>
              </w:rPr>
            </w:pPr>
            <w:r>
              <w:rPr>
                <w:rFonts w:hint="eastAsia"/>
                <w:b/>
                <w:bCs/>
                <w:highlight w:val="none"/>
              </w:rPr>
              <w:t>编号</w:t>
            </w:r>
          </w:p>
        </w:tc>
        <w:tc>
          <w:tcPr>
            <w:tcW w:w="3274" w:type="dxa"/>
            <w:noWrap w:val="0"/>
            <w:vAlign w:val="center"/>
          </w:tcPr>
          <w:p w14:paraId="0892792F">
            <w:pPr>
              <w:pStyle w:val="13"/>
              <w:rPr>
                <w:b/>
                <w:bCs/>
                <w:highlight w:val="none"/>
              </w:rPr>
            </w:pPr>
            <w:r>
              <w:rPr>
                <w:rFonts w:hint="eastAsia"/>
                <w:b/>
                <w:bCs/>
                <w:highlight w:val="none"/>
              </w:rPr>
              <w:t>措施内容</w:t>
            </w:r>
          </w:p>
        </w:tc>
        <w:tc>
          <w:tcPr>
            <w:tcW w:w="0" w:type="auto"/>
            <w:tcBorders>
              <w:right w:val="single" w:color="auto" w:sz="4" w:space="0"/>
            </w:tcBorders>
            <w:noWrap w:val="0"/>
            <w:vAlign w:val="center"/>
          </w:tcPr>
          <w:p w14:paraId="53309C8F">
            <w:pPr>
              <w:pStyle w:val="13"/>
              <w:rPr>
                <w:b/>
                <w:bCs/>
                <w:highlight w:val="none"/>
              </w:rPr>
            </w:pPr>
            <w:r>
              <w:rPr>
                <w:rFonts w:hint="eastAsia"/>
                <w:b/>
                <w:bCs/>
                <w:highlight w:val="none"/>
              </w:rPr>
              <w:t>总承包人</w:t>
            </w:r>
          </w:p>
        </w:tc>
        <w:tc>
          <w:tcPr>
            <w:tcW w:w="0" w:type="auto"/>
            <w:tcBorders>
              <w:left w:val="single" w:color="auto" w:sz="4" w:space="0"/>
            </w:tcBorders>
            <w:noWrap w:val="0"/>
            <w:vAlign w:val="center"/>
          </w:tcPr>
          <w:p w14:paraId="0006226A">
            <w:pPr>
              <w:pStyle w:val="13"/>
              <w:rPr>
                <w:b/>
                <w:bCs/>
                <w:highlight w:val="none"/>
              </w:rPr>
            </w:pPr>
            <w:r>
              <w:rPr>
                <w:rFonts w:hint="eastAsia"/>
                <w:b/>
                <w:bCs/>
                <w:highlight w:val="none"/>
              </w:rPr>
              <w:t>专业承包人/独立承包人</w:t>
            </w:r>
          </w:p>
        </w:tc>
        <w:tc>
          <w:tcPr>
            <w:tcW w:w="0" w:type="auto"/>
            <w:noWrap w:val="0"/>
            <w:vAlign w:val="center"/>
          </w:tcPr>
          <w:p w14:paraId="320F0CF0">
            <w:pPr>
              <w:pStyle w:val="13"/>
              <w:rPr>
                <w:b/>
                <w:bCs/>
                <w:highlight w:val="none"/>
              </w:rPr>
            </w:pPr>
            <w:r>
              <w:rPr>
                <w:rFonts w:hint="eastAsia"/>
                <w:b/>
                <w:bCs/>
                <w:highlight w:val="none"/>
              </w:rPr>
              <w:t>备注</w:t>
            </w:r>
          </w:p>
        </w:tc>
      </w:tr>
      <w:tr w14:paraId="6E143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62DC961B">
            <w:pPr>
              <w:pStyle w:val="13"/>
              <w:rPr>
                <w:highlight w:val="none"/>
              </w:rPr>
            </w:pPr>
            <w:r>
              <w:rPr>
                <w:rFonts w:hint="eastAsia"/>
                <w:highlight w:val="none"/>
                <w:lang w:val="en-US" w:eastAsia="zh-CN"/>
              </w:rPr>
              <w:t>一</w:t>
            </w:r>
            <w:r>
              <w:rPr>
                <w:rFonts w:hint="eastAsia"/>
                <w:highlight w:val="none"/>
              </w:rPr>
              <w:t>、现场施工道路/围墙（外围项目必须保证满足政府相关规定）</w:t>
            </w:r>
          </w:p>
        </w:tc>
      </w:tr>
      <w:tr w14:paraId="676AC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8A50BFA">
            <w:pPr>
              <w:pStyle w:val="13"/>
              <w:rPr>
                <w:highlight w:val="none"/>
              </w:rPr>
            </w:pPr>
            <w:r>
              <w:rPr>
                <w:rFonts w:hint="eastAsia"/>
                <w:highlight w:val="none"/>
                <w:lang w:val="en-US" w:eastAsia="zh-CN"/>
              </w:rPr>
              <w:t>1</w:t>
            </w:r>
            <w:r>
              <w:rPr>
                <w:rFonts w:hint="eastAsia"/>
                <w:highlight w:val="none"/>
              </w:rPr>
              <w:t>.1</w:t>
            </w:r>
          </w:p>
        </w:tc>
        <w:tc>
          <w:tcPr>
            <w:tcW w:w="3274" w:type="dxa"/>
            <w:tcBorders>
              <w:left w:val="single" w:color="auto" w:sz="4" w:space="0"/>
            </w:tcBorders>
            <w:noWrap w:val="0"/>
            <w:vAlign w:val="center"/>
          </w:tcPr>
          <w:p w14:paraId="4722D5AB">
            <w:pPr>
              <w:pStyle w:val="13"/>
              <w:rPr>
                <w:highlight w:val="none"/>
              </w:rPr>
            </w:pPr>
            <w:r>
              <w:rPr>
                <w:rFonts w:hint="eastAsia"/>
                <w:highlight w:val="none"/>
              </w:rPr>
              <w:t>保护并维护现场已有的出入口道路并负责损坏部分的修复。</w:t>
            </w:r>
          </w:p>
        </w:tc>
        <w:tc>
          <w:tcPr>
            <w:tcW w:w="0" w:type="auto"/>
            <w:noWrap w:val="0"/>
            <w:vAlign w:val="center"/>
          </w:tcPr>
          <w:p w14:paraId="6E3D5BB9">
            <w:pPr>
              <w:pStyle w:val="13"/>
              <w:rPr>
                <w:highlight w:val="none"/>
              </w:rPr>
            </w:pPr>
            <w:r>
              <w:rPr>
                <w:highlight w:val="none"/>
              </w:rPr>
              <w:sym w:font="Wingdings" w:char="F0FC"/>
            </w:r>
          </w:p>
        </w:tc>
        <w:tc>
          <w:tcPr>
            <w:tcW w:w="0" w:type="auto"/>
            <w:noWrap w:val="0"/>
            <w:vAlign w:val="center"/>
          </w:tcPr>
          <w:p w14:paraId="1153BA77">
            <w:pPr>
              <w:pStyle w:val="13"/>
              <w:rPr>
                <w:highlight w:val="none"/>
              </w:rPr>
            </w:pPr>
          </w:p>
        </w:tc>
        <w:tc>
          <w:tcPr>
            <w:tcW w:w="0" w:type="auto"/>
            <w:noWrap w:val="0"/>
            <w:vAlign w:val="center"/>
          </w:tcPr>
          <w:p w14:paraId="76D4260C">
            <w:pPr>
              <w:pStyle w:val="13"/>
              <w:rPr>
                <w:highlight w:val="none"/>
              </w:rPr>
            </w:pPr>
          </w:p>
        </w:tc>
      </w:tr>
      <w:tr w14:paraId="202A5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5173044">
            <w:pPr>
              <w:pStyle w:val="13"/>
              <w:rPr>
                <w:highlight w:val="none"/>
              </w:rPr>
            </w:pPr>
            <w:r>
              <w:rPr>
                <w:rFonts w:hint="eastAsia"/>
                <w:highlight w:val="none"/>
                <w:lang w:val="en-US" w:eastAsia="zh-CN"/>
              </w:rPr>
              <w:t>1</w:t>
            </w:r>
            <w:r>
              <w:rPr>
                <w:rFonts w:hint="eastAsia"/>
                <w:highlight w:val="none"/>
              </w:rPr>
              <w:t>.2</w:t>
            </w:r>
          </w:p>
        </w:tc>
        <w:tc>
          <w:tcPr>
            <w:tcW w:w="3274" w:type="dxa"/>
            <w:tcBorders>
              <w:left w:val="single" w:color="auto" w:sz="4" w:space="0"/>
            </w:tcBorders>
            <w:noWrap w:val="0"/>
            <w:vAlign w:val="center"/>
          </w:tcPr>
          <w:p w14:paraId="308166CC">
            <w:pPr>
              <w:pStyle w:val="13"/>
              <w:rPr>
                <w:highlight w:val="none"/>
              </w:rPr>
            </w:pPr>
            <w:r>
              <w:rPr>
                <w:rFonts w:hint="eastAsia"/>
                <w:highlight w:val="none"/>
              </w:rPr>
              <w:t>负责对现有围墙的维护、修复、改建、及拆除外运，对现有不符合安全文明施工规定的围墙进行改建并对接收后的围墙安全负责。</w:t>
            </w:r>
          </w:p>
        </w:tc>
        <w:tc>
          <w:tcPr>
            <w:tcW w:w="0" w:type="auto"/>
            <w:noWrap w:val="0"/>
            <w:vAlign w:val="center"/>
          </w:tcPr>
          <w:p w14:paraId="2CD6E4AC">
            <w:pPr>
              <w:pStyle w:val="13"/>
              <w:rPr>
                <w:highlight w:val="none"/>
              </w:rPr>
            </w:pPr>
            <w:r>
              <w:rPr>
                <w:highlight w:val="none"/>
              </w:rPr>
              <w:sym w:font="Wingdings" w:char="F0FC"/>
            </w:r>
          </w:p>
        </w:tc>
        <w:tc>
          <w:tcPr>
            <w:tcW w:w="0" w:type="auto"/>
            <w:noWrap w:val="0"/>
            <w:vAlign w:val="center"/>
          </w:tcPr>
          <w:p w14:paraId="1A72ACAB">
            <w:pPr>
              <w:pStyle w:val="13"/>
              <w:rPr>
                <w:highlight w:val="none"/>
              </w:rPr>
            </w:pPr>
          </w:p>
        </w:tc>
        <w:tc>
          <w:tcPr>
            <w:tcW w:w="0" w:type="auto"/>
            <w:noWrap w:val="0"/>
            <w:vAlign w:val="center"/>
          </w:tcPr>
          <w:p w14:paraId="7ABEE19B">
            <w:pPr>
              <w:pStyle w:val="13"/>
              <w:rPr>
                <w:highlight w:val="none"/>
              </w:rPr>
            </w:pPr>
          </w:p>
        </w:tc>
      </w:tr>
      <w:tr w14:paraId="61871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B8710AE">
            <w:pPr>
              <w:pStyle w:val="13"/>
              <w:rPr>
                <w:highlight w:val="none"/>
              </w:rPr>
            </w:pPr>
            <w:r>
              <w:rPr>
                <w:rFonts w:hint="eastAsia"/>
                <w:highlight w:val="none"/>
                <w:lang w:val="en-US" w:eastAsia="zh-CN"/>
              </w:rPr>
              <w:t>1</w:t>
            </w:r>
            <w:r>
              <w:rPr>
                <w:rFonts w:hint="eastAsia"/>
                <w:highlight w:val="none"/>
              </w:rPr>
              <w:t>.</w:t>
            </w:r>
            <w:r>
              <w:rPr>
                <w:highlight w:val="none"/>
              </w:rPr>
              <w:t>3</w:t>
            </w:r>
          </w:p>
        </w:tc>
        <w:tc>
          <w:tcPr>
            <w:tcW w:w="3274" w:type="dxa"/>
            <w:tcBorders>
              <w:left w:val="single" w:color="auto" w:sz="4" w:space="0"/>
            </w:tcBorders>
            <w:noWrap w:val="0"/>
            <w:vAlign w:val="center"/>
          </w:tcPr>
          <w:p w14:paraId="11290A31">
            <w:pPr>
              <w:pStyle w:val="13"/>
              <w:rPr>
                <w:highlight w:val="none"/>
              </w:rPr>
            </w:pPr>
            <w:r>
              <w:rPr>
                <w:rFonts w:hint="eastAsia"/>
                <w:highlight w:val="none"/>
              </w:rPr>
              <w:t>新建或维护、</w:t>
            </w:r>
            <w:r>
              <w:rPr>
                <w:highlight w:val="none"/>
              </w:rPr>
              <w:t>修复、改建</w:t>
            </w:r>
            <w:r>
              <w:rPr>
                <w:rFonts w:hint="eastAsia"/>
                <w:highlight w:val="none"/>
              </w:rPr>
              <w:t>现场已有施工车辆出入口大门并负责使用完成后的拆除外运。</w:t>
            </w:r>
          </w:p>
        </w:tc>
        <w:tc>
          <w:tcPr>
            <w:tcW w:w="0" w:type="auto"/>
            <w:noWrap w:val="0"/>
            <w:vAlign w:val="center"/>
          </w:tcPr>
          <w:p w14:paraId="44B05D30">
            <w:pPr>
              <w:pStyle w:val="13"/>
              <w:rPr>
                <w:highlight w:val="none"/>
              </w:rPr>
            </w:pPr>
            <w:r>
              <w:rPr>
                <w:highlight w:val="none"/>
              </w:rPr>
              <w:sym w:font="Wingdings" w:char="F0FC"/>
            </w:r>
          </w:p>
        </w:tc>
        <w:tc>
          <w:tcPr>
            <w:tcW w:w="0" w:type="auto"/>
            <w:noWrap w:val="0"/>
            <w:vAlign w:val="center"/>
          </w:tcPr>
          <w:p w14:paraId="21C7F283">
            <w:pPr>
              <w:pStyle w:val="13"/>
              <w:rPr>
                <w:highlight w:val="none"/>
              </w:rPr>
            </w:pPr>
          </w:p>
        </w:tc>
        <w:tc>
          <w:tcPr>
            <w:tcW w:w="0" w:type="auto"/>
            <w:noWrap w:val="0"/>
            <w:vAlign w:val="center"/>
          </w:tcPr>
          <w:p w14:paraId="74AFAAFB">
            <w:pPr>
              <w:pStyle w:val="13"/>
              <w:rPr>
                <w:highlight w:val="none"/>
              </w:rPr>
            </w:pPr>
          </w:p>
        </w:tc>
      </w:tr>
      <w:tr w14:paraId="7568B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4543644">
            <w:pPr>
              <w:pStyle w:val="13"/>
              <w:rPr>
                <w:highlight w:val="none"/>
              </w:rPr>
            </w:pPr>
            <w:r>
              <w:rPr>
                <w:rFonts w:hint="eastAsia"/>
                <w:highlight w:val="none"/>
                <w:lang w:val="en-US" w:eastAsia="zh-CN"/>
              </w:rPr>
              <w:t>1</w:t>
            </w:r>
            <w:r>
              <w:rPr>
                <w:rFonts w:hint="eastAsia"/>
                <w:highlight w:val="none"/>
              </w:rPr>
              <w:t>.</w:t>
            </w:r>
            <w:r>
              <w:rPr>
                <w:highlight w:val="none"/>
              </w:rPr>
              <w:t>4</w:t>
            </w:r>
          </w:p>
        </w:tc>
        <w:tc>
          <w:tcPr>
            <w:tcW w:w="3274" w:type="dxa"/>
            <w:tcBorders>
              <w:left w:val="single" w:color="auto" w:sz="4" w:space="0"/>
            </w:tcBorders>
            <w:noWrap w:val="0"/>
            <w:vAlign w:val="center"/>
          </w:tcPr>
          <w:p w14:paraId="5CDC1DB8">
            <w:pPr>
              <w:pStyle w:val="13"/>
              <w:rPr>
                <w:highlight w:val="none"/>
              </w:rPr>
            </w:pPr>
            <w:r>
              <w:rPr>
                <w:rFonts w:hint="eastAsia"/>
                <w:highlight w:val="none"/>
              </w:rPr>
              <w:t>维护、</w:t>
            </w:r>
            <w:r>
              <w:rPr>
                <w:highlight w:val="none"/>
              </w:rPr>
              <w:t>修复、改建</w:t>
            </w:r>
            <w:r>
              <w:rPr>
                <w:rFonts w:hint="eastAsia"/>
                <w:highlight w:val="none"/>
              </w:rPr>
              <w:t>或新建员工出入口并负责使用</w:t>
            </w:r>
            <w:r>
              <w:rPr>
                <w:highlight w:val="none"/>
              </w:rPr>
              <w:t>完成后的</w:t>
            </w:r>
            <w:r>
              <w:rPr>
                <w:rFonts w:hint="eastAsia"/>
                <w:highlight w:val="none"/>
              </w:rPr>
              <w:t>拆除外运。</w:t>
            </w:r>
          </w:p>
        </w:tc>
        <w:tc>
          <w:tcPr>
            <w:tcW w:w="0" w:type="auto"/>
            <w:noWrap w:val="0"/>
            <w:vAlign w:val="center"/>
          </w:tcPr>
          <w:p w14:paraId="0049CAB8">
            <w:pPr>
              <w:pStyle w:val="13"/>
              <w:rPr>
                <w:highlight w:val="none"/>
              </w:rPr>
            </w:pPr>
            <w:r>
              <w:rPr>
                <w:highlight w:val="none"/>
              </w:rPr>
              <w:sym w:font="Wingdings" w:char="F0FC"/>
            </w:r>
          </w:p>
        </w:tc>
        <w:tc>
          <w:tcPr>
            <w:tcW w:w="0" w:type="auto"/>
            <w:noWrap w:val="0"/>
            <w:vAlign w:val="center"/>
          </w:tcPr>
          <w:p w14:paraId="0F0958A3">
            <w:pPr>
              <w:pStyle w:val="13"/>
              <w:rPr>
                <w:highlight w:val="none"/>
              </w:rPr>
            </w:pPr>
          </w:p>
        </w:tc>
        <w:tc>
          <w:tcPr>
            <w:tcW w:w="0" w:type="auto"/>
            <w:noWrap w:val="0"/>
            <w:vAlign w:val="center"/>
          </w:tcPr>
          <w:p w14:paraId="3A2D113E">
            <w:pPr>
              <w:pStyle w:val="13"/>
              <w:rPr>
                <w:highlight w:val="none"/>
              </w:rPr>
            </w:pPr>
          </w:p>
        </w:tc>
      </w:tr>
      <w:tr w14:paraId="143C3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AB0BA9B">
            <w:pPr>
              <w:pStyle w:val="13"/>
              <w:rPr>
                <w:highlight w:val="none"/>
              </w:rPr>
            </w:pPr>
            <w:r>
              <w:rPr>
                <w:rFonts w:hint="eastAsia"/>
                <w:highlight w:val="none"/>
                <w:lang w:val="en-US" w:eastAsia="zh-CN"/>
              </w:rPr>
              <w:t>1</w:t>
            </w:r>
            <w:r>
              <w:rPr>
                <w:rFonts w:hint="eastAsia"/>
                <w:highlight w:val="none"/>
              </w:rPr>
              <w:t>.</w:t>
            </w:r>
            <w:r>
              <w:rPr>
                <w:highlight w:val="none"/>
              </w:rPr>
              <w:t>5</w:t>
            </w:r>
          </w:p>
        </w:tc>
        <w:tc>
          <w:tcPr>
            <w:tcW w:w="3274" w:type="dxa"/>
            <w:tcBorders>
              <w:left w:val="single" w:color="auto" w:sz="4" w:space="0"/>
            </w:tcBorders>
            <w:noWrap w:val="0"/>
            <w:vAlign w:val="center"/>
          </w:tcPr>
          <w:p w14:paraId="699C7D40">
            <w:pPr>
              <w:pStyle w:val="13"/>
              <w:rPr>
                <w:highlight w:val="none"/>
              </w:rPr>
            </w:pPr>
            <w:r>
              <w:rPr>
                <w:rFonts w:hint="eastAsia"/>
                <w:highlight w:val="none"/>
              </w:rPr>
              <w:t>负责各施工阶段的现场施工通道（人流/车流）的建造、改向、维护及拆除外运。</w:t>
            </w:r>
          </w:p>
        </w:tc>
        <w:tc>
          <w:tcPr>
            <w:tcW w:w="0" w:type="auto"/>
            <w:noWrap w:val="0"/>
            <w:vAlign w:val="center"/>
          </w:tcPr>
          <w:p w14:paraId="782F0C81">
            <w:pPr>
              <w:pStyle w:val="13"/>
              <w:rPr>
                <w:highlight w:val="none"/>
              </w:rPr>
            </w:pPr>
            <w:r>
              <w:rPr>
                <w:highlight w:val="none"/>
              </w:rPr>
              <w:sym w:font="Wingdings" w:char="F0FC"/>
            </w:r>
          </w:p>
        </w:tc>
        <w:tc>
          <w:tcPr>
            <w:tcW w:w="0" w:type="auto"/>
            <w:noWrap w:val="0"/>
            <w:vAlign w:val="center"/>
          </w:tcPr>
          <w:p w14:paraId="71E1DBD1">
            <w:pPr>
              <w:pStyle w:val="13"/>
              <w:rPr>
                <w:highlight w:val="none"/>
              </w:rPr>
            </w:pPr>
          </w:p>
        </w:tc>
        <w:tc>
          <w:tcPr>
            <w:tcW w:w="0" w:type="auto"/>
            <w:noWrap w:val="0"/>
            <w:vAlign w:val="center"/>
          </w:tcPr>
          <w:p w14:paraId="43EA1721">
            <w:pPr>
              <w:pStyle w:val="13"/>
              <w:rPr>
                <w:highlight w:val="none"/>
              </w:rPr>
            </w:pPr>
          </w:p>
        </w:tc>
      </w:tr>
      <w:tr w14:paraId="31D66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3293470">
            <w:pPr>
              <w:pStyle w:val="13"/>
              <w:rPr>
                <w:highlight w:val="none"/>
              </w:rPr>
            </w:pPr>
            <w:r>
              <w:rPr>
                <w:rFonts w:hint="eastAsia"/>
                <w:highlight w:val="none"/>
                <w:lang w:val="en-US" w:eastAsia="zh-CN"/>
              </w:rPr>
              <w:t>1</w:t>
            </w:r>
            <w:r>
              <w:rPr>
                <w:rFonts w:hint="eastAsia"/>
                <w:highlight w:val="none"/>
              </w:rPr>
              <w:t>.</w:t>
            </w:r>
            <w:r>
              <w:rPr>
                <w:highlight w:val="none"/>
              </w:rPr>
              <w:t>6</w:t>
            </w:r>
          </w:p>
        </w:tc>
        <w:tc>
          <w:tcPr>
            <w:tcW w:w="3274" w:type="dxa"/>
            <w:tcBorders>
              <w:left w:val="single" w:color="auto" w:sz="4" w:space="0"/>
            </w:tcBorders>
            <w:noWrap w:val="0"/>
            <w:vAlign w:val="center"/>
          </w:tcPr>
          <w:p w14:paraId="0E38F5AE">
            <w:pPr>
              <w:pStyle w:val="13"/>
              <w:rPr>
                <w:highlight w:val="none"/>
              </w:rPr>
            </w:pPr>
            <w:r>
              <w:rPr>
                <w:rFonts w:hint="eastAsia"/>
                <w:highlight w:val="none"/>
              </w:rPr>
              <w:t>维护、</w:t>
            </w:r>
            <w:r>
              <w:rPr>
                <w:highlight w:val="none"/>
              </w:rPr>
              <w:t>修复、改建</w:t>
            </w:r>
            <w:r>
              <w:rPr>
                <w:rFonts w:hint="eastAsia"/>
                <w:highlight w:val="none"/>
              </w:rPr>
              <w:t>入口处的车辆进出清洗设施的设置、拆除外运。</w:t>
            </w:r>
          </w:p>
        </w:tc>
        <w:tc>
          <w:tcPr>
            <w:tcW w:w="0" w:type="auto"/>
            <w:noWrap w:val="0"/>
            <w:vAlign w:val="center"/>
          </w:tcPr>
          <w:p w14:paraId="52F325D9">
            <w:pPr>
              <w:pStyle w:val="13"/>
              <w:rPr>
                <w:highlight w:val="none"/>
              </w:rPr>
            </w:pPr>
            <w:r>
              <w:rPr>
                <w:highlight w:val="none"/>
              </w:rPr>
              <w:sym w:font="Wingdings" w:char="F0FC"/>
            </w:r>
          </w:p>
        </w:tc>
        <w:tc>
          <w:tcPr>
            <w:tcW w:w="0" w:type="auto"/>
            <w:noWrap w:val="0"/>
            <w:vAlign w:val="center"/>
          </w:tcPr>
          <w:p w14:paraId="54D7649D">
            <w:pPr>
              <w:pStyle w:val="13"/>
              <w:rPr>
                <w:highlight w:val="none"/>
              </w:rPr>
            </w:pPr>
          </w:p>
        </w:tc>
        <w:tc>
          <w:tcPr>
            <w:tcW w:w="0" w:type="auto"/>
            <w:noWrap w:val="0"/>
            <w:vAlign w:val="center"/>
          </w:tcPr>
          <w:p w14:paraId="387B7319">
            <w:pPr>
              <w:pStyle w:val="13"/>
              <w:rPr>
                <w:highlight w:val="none"/>
              </w:rPr>
            </w:pPr>
          </w:p>
        </w:tc>
      </w:tr>
      <w:tr w14:paraId="60DAA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8785A41">
            <w:pPr>
              <w:pStyle w:val="13"/>
              <w:rPr>
                <w:highlight w:val="none"/>
              </w:rPr>
            </w:pPr>
            <w:r>
              <w:rPr>
                <w:rFonts w:hint="eastAsia"/>
                <w:highlight w:val="none"/>
                <w:lang w:val="en-US" w:eastAsia="zh-CN"/>
              </w:rPr>
              <w:t>1</w:t>
            </w:r>
            <w:r>
              <w:rPr>
                <w:rFonts w:hint="eastAsia"/>
                <w:highlight w:val="none"/>
              </w:rPr>
              <w:t>.</w:t>
            </w:r>
            <w:r>
              <w:rPr>
                <w:highlight w:val="none"/>
              </w:rPr>
              <w:t>7</w:t>
            </w:r>
          </w:p>
        </w:tc>
        <w:tc>
          <w:tcPr>
            <w:tcW w:w="3274" w:type="dxa"/>
            <w:tcBorders>
              <w:left w:val="single" w:color="auto" w:sz="4" w:space="0"/>
            </w:tcBorders>
            <w:noWrap w:val="0"/>
            <w:vAlign w:val="center"/>
          </w:tcPr>
          <w:p w14:paraId="73AA93E3">
            <w:pPr>
              <w:pStyle w:val="13"/>
              <w:rPr>
                <w:highlight w:val="none"/>
              </w:rPr>
            </w:pPr>
            <w:r>
              <w:rPr>
                <w:rFonts w:hint="eastAsia"/>
                <w:highlight w:val="none"/>
              </w:rPr>
              <w:t>负责外围墙顶水沟间全部地面硬化、维护及拆除外运。</w:t>
            </w:r>
          </w:p>
        </w:tc>
        <w:tc>
          <w:tcPr>
            <w:tcW w:w="0" w:type="auto"/>
            <w:noWrap w:val="0"/>
            <w:vAlign w:val="center"/>
          </w:tcPr>
          <w:p w14:paraId="5E3B112A">
            <w:pPr>
              <w:pStyle w:val="13"/>
              <w:rPr>
                <w:highlight w:val="none"/>
              </w:rPr>
            </w:pPr>
            <w:r>
              <w:rPr>
                <w:highlight w:val="none"/>
              </w:rPr>
              <w:sym w:font="Wingdings" w:char="F0FC"/>
            </w:r>
          </w:p>
        </w:tc>
        <w:tc>
          <w:tcPr>
            <w:tcW w:w="0" w:type="auto"/>
            <w:noWrap w:val="0"/>
            <w:vAlign w:val="center"/>
          </w:tcPr>
          <w:p w14:paraId="42F0FF92">
            <w:pPr>
              <w:pStyle w:val="13"/>
              <w:rPr>
                <w:highlight w:val="none"/>
              </w:rPr>
            </w:pPr>
          </w:p>
        </w:tc>
        <w:tc>
          <w:tcPr>
            <w:tcW w:w="0" w:type="auto"/>
            <w:noWrap w:val="0"/>
            <w:vAlign w:val="center"/>
          </w:tcPr>
          <w:p w14:paraId="69ACD8FF">
            <w:pPr>
              <w:pStyle w:val="13"/>
              <w:rPr>
                <w:highlight w:val="none"/>
              </w:rPr>
            </w:pPr>
          </w:p>
        </w:tc>
      </w:tr>
      <w:tr w14:paraId="3D22F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6B22AA1">
            <w:pPr>
              <w:pStyle w:val="13"/>
              <w:rPr>
                <w:highlight w:val="none"/>
              </w:rPr>
            </w:pPr>
            <w:r>
              <w:rPr>
                <w:rFonts w:hint="eastAsia"/>
                <w:highlight w:val="none"/>
                <w:lang w:val="en-US" w:eastAsia="zh-CN"/>
              </w:rPr>
              <w:t>1</w:t>
            </w:r>
            <w:r>
              <w:rPr>
                <w:rFonts w:hint="eastAsia"/>
                <w:highlight w:val="none"/>
              </w:rPr>
              <w:t>.</w:t>
            </w:r>
            <w:r>
              <w:rPr>
                <w:highlight w:val="none"/>
              </w:rPr>
              <w:t>8</w:t>
            </w:r>
          </w:p>
        </w:tc>
        <w:tc>
          <w:tcPr>
            <w:tcW w:w="3274" w:type="dxa"/>
            <w:tcBorders>
              <w:left w:val="single" w:color="auto" w:sz="4" w:space="0"/>
            </w:tcBorders>
            <w:noWrap w:val="0"/>
            <w:vAlign w:val="center"/>
          </w:tcPr>
          <w:p w14:paraId="7E43DC4B">
            <w:pPr>
              <w:pStyle w:val="13"/>
              <w:rPr>
                <w:highlight w:val="none"/>
              </w:rPr>
            </w:pPr>
            <w:r>
              <w:rPr>
                <w:rFonts w:hint="eastAsia"/>
                <w:highlight w:val="none"/>
              </w:rPr>
              <w:t>负责维护、拆除及清运支护施工方移交的冠梁上排水沟。</w:t>
            </w:r>
          </w:p>
        </w:tc>
        <w:tc>
          <w:tcPr>
            <w:tcW w:w="0" w:type="auto"/>
            <w:noWrap w:val="0"/>
            <w:vAlign w:val="center"/>
          </w:tcPr>
          <w:p w14:paraId="33C125DB">
            <w:pPr>
              <w:pStyle w:val="13"/>
              <w:rPr>
                <w:highlight w:val="none"/>
              </w:rPr>
            </w:pPr>
            <w:r>
              <w:rPr>
                <w:highlight w:val="none"/>
              </w:rPr>
              <w:sym w:font="Wingdings" w:char="F0FC"/>
            </w:r>
          </w:p>
        </w:tc>
        <w:tc>
          <w:tcPr>
            <w:tcW w:w="0" w:type="auto"/>
            <w:noWrap w:val="0"/>
            <w:vAlign w:val="center"/>
          </w:tcPr>
          <w:p w14:paraId="2964AD6A">
            <w:pPr>
              <w:pStyle w:val="13"/>
              <w:rPr>
                <w:highlight w:val="none"/>
              </w:rPr>
            </w:pPr>
          </w:p>
        </w:tc>
        <w:tc>
          <w:tcPr>
            <w:tcW w:w="0" w:type="auto"/>
            <w:noWrap w:val="0"/>
            <w:vAlign w:val="center"/>
          </w:tcPr>
          <w:p w14:paraId="172F54BA">
            <w:pPr>
              <w:pStyle w:val="13"/>
              <w:rPr>
                <w:highlight w:val="none"/>
              </w:rPr>
            </w:pPr>
          </w:p>
        </w:tc>
      </w:tr>
      <w:tr w14:paraId="111E9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DDBB036">
            <w:pPr>
              <w:pStyle w:val="13"/>
              <w:rPr>
                <w:highlight w:val="none"/>
              </w:rPr>
            </w:pPr>
            <w:r>
              <w:rPr>
                <w:rFonts w:hint="eastAsia"/>
                <w:highlight w:val="none"/>
                <w:lang w:val="en-US" w:eastAsia="zh-CN"/>
              </w:rPr>
              <w:t>1</w:t>
            </w:r>
            <w:r>
              <w:rPr>
                <w:rFonts w:hint="eastAsia"/>
                <w:highlight w:val="none"/>
              </w:rPr>
              <w:t>.</w:t>
            </w:r>
            <w:r>
              <w:rPr>
                <w:highlight w:val="none"/>
              </w:rPr>
              <w:t>9</w:t>
            </w:r>
          </w:p>
        </w:tc>
        <w:tc>
          <w:tcPr>
            <w:tcW w:w="3274" w:type="dxa"/>
            <w:tcBorders>
              <w:left w:val="single" w:color="auto" w:sz="4" w:space="0"/>
            </w:tcBorders>
            <w:noWrap w:val="0"/>
            <w:vAlign w:val="center"/>
          </w:tcPr>
          <w:p w14:paraId="2973B01A">
            <w:pPr>
              <w:pStyle w:val="13"/>
              <w:rPr>
                <w:highlight w:val="none"/>
              </w:rPr>
            </w:pPr>
            <w:r>
              <w:rPr>
                <w:rFonts w:hint="eastAsia"/>
                <w:highlight w:val="none"/>
              </w:rPr>
              <w:t>负责施工临时道路及必要场地硬化的建造、维护及使用后的拆除外运。</w:t>
            </w:r>
          </w:p>
        </w:tc>
        <w:tc>
          <w:tcPr>
            <w:tcW w:w="0" w:type="auto"/>
            <w:noWrap w:val="0"/>
            <w:vAlign w:val="center"/>
          </w:tcPr>
          <w:p w14:paraId="195FDA28">
            <w:pPr>
              <w:pStyle w:val="13"/>
              <w:rPr>
                <w:highlight w:val="none"/>
              </w:rPr>
            </w:pPr>
            <w:r>
              <w:rPr>
                <w:highlight w:val="none"/>
              </w:rPr>
              <w:sym w:font="Wingdings" w:char="F0FC"/>
            </w:r>
          </w:p>
        </w:tc>
        <w:tc>
          <w:tcPr>
            <w:tcW w:w="0" w:type="auto"/>
            <w:noWrap w:val="0"/>
            <w:vAlign w:val="center"/>
          </w:tcPr>
          <w:p w14:paraId="478B9149">
            <w:pPr>
              <w:pStyle w:val="13"/>
              <w:rPr>
                <w:highlight w:val="none"/>
              </w:rPr>
            </w:pPr>
          </w:p>
        </w:tc>
        <w:tc>
          <w:tcPr>
            <w:tcW w:w="0" w:type="auto"/>
            <w:noWrap w:val="0"/>
            <w:vAlign w:val="center"/>
          </w:tcPr>
          <w:p w14:paraId="6454B802">
            <w:pPr>
              <w:pStyle w:val="13"/>
              <w:rPr>
                <w:highlight w:val="none"/>
              </w:rPr>
            </w:pPr>
            <w:r>
              <w:rPr>
                <w:rFonts w:hint="eastAsia"/>
                <w:highlight w:val="none"/>
              </w:rPr>
              <w:t>地面硬化必须满足环保及文明施工相关规定</w:t>
            </w:r>
          </w:p>
        </w:tc>
      </w:tr>
      <w:tr w14:paraId="6069C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4BB53F6A">
            <w:pPr>
              <w:pStyle w:val="13"/>
              <w:rPr>
                <w:highlight w:val="none"/>
              </w:rPr>
            </w:pPr>
            <w:r>
              <w:rPr>
                <w:rFonts w:hint="eastAsia"/>
                <w:highlight w:val="none"/>
                <w:lang w:val="en-US" w:eastAsia="zh-CN"/>
              </w:rPr>
              <w:t>二</w:t>
            </w:r>
            <w:r>
              <w:rPr>
                <w:rFonts w:hint="eastAsia"/>
                <w:highlight w:val="none"/>
              </w:rPr>
              <w:t>、现场设施</w:t>
            </w:r>
          </w:p>
        </w:tc>
      </w:tr>
      <w:tr w14:paraId="64372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F0A2BA7">
            <w:pPr>
              <w:pStyle w:val="13"/>
              <w:rPr>
                <w:highlight w:val="none"/>
              </w:rPr>
            </w:pPr>
            <w:r>
              <w:rPr>
                <w:rFonts w:hint="eastAsia"/>
                <w:highlight w:val="none"/>
                <w:lang w:val="en-US" w:eastAsia="zh-CN"/>
              </w:rPr>
              <w:t>2</w:t>
            </w:r>
            <w:r>
              <w:rPr>
                <w:rFonts w:hint="eastAsia"/>
                <w:highlight w:val="none"/>
              </w:rPr>
              <w:t>.1</w:t>
            </w:r>
          </w:p>
        </w:tc>
        <w:tc>
          <w:tcPr>
            <w:tcW w:w="3274" w:type="dxa"/>
            <w:tcBorders>
              <w:left w:val="single" w:color="auto" w:sz="4" w:space="0"/>
            </w:tcBorders>
            <w:noWrap w:val="0"/>
            <w:vAlign w:val="center"/>
          </w:tcPr>
          <w:p w14:paraId="39C1B119">
            <w:pPr>
              <w:pStyle w:val="13"/>
              <w:rPr>
                <w:highlight w:val="none"/>
              </w:rPr>
            </w:pPr>
            <w:r>
              <w:rPr>
                <w:rFonts w:hint="eastAsia"/>
                <w:highlight w:val="none"/>
              </w:rPr>
              <w:t>现场布告栏、项目牌图、警示标牌的设置、维护。</w:t>
            </w:r>
          </w:p>
        </w:tc>
        <w:tc>
          <w:tcPr>
            <w:tcW w:w="0" w:type="auto"/>
            <w:noWrap w:val="0"/>
            <w:vAlign w:val="center"/>
          </w:tcPr>
          <w:p w14:paraId="2D46DCA1">
            <w:pPr>
              <w:pStyle w:val="13"/>
              <w:rPr>
                <w:highlight w:val="none"/>
              </w:rPr>
            </w:pPr>
            <w:r>
              <w:rPr>
                <w:highlight w:val="none"/>
              </w:rPr>
              <w:sym w:font="Wingdings" w:char="F0FC"/>
            </w:r>
          </w:p>
        </w:tc>
        <w:tc>
          <w:tcPr>
            <w:tcW w:w="0" w:type="auto"/>
            <w:noWrap w:val="0"/>
            <w:vAlign w:val="center"/>
          </w:tcPr>
          <w:p w14:paraId="2C642377">
            <w:pPr>
              <w:pStyle w:val="13"/>
              <w:rPr>
                <w:highlight w:val="none"/>
              </w:rPr>
            </w:pPr>
          </w:p>
        </w:tc>
        <w:tc>
          <w:tcPr>
            <w:tcW w:w="0" w:type="auto"/>
            <w:noWrap w:val="0"/>
            <w:vAlign w:val="center"/>
          </w:tcPr>
          <w:p w14:paraId="4615F058">
            <w:pPr>
              <w:pStyle w:val="13"/>
              <w:rPr>
                <w:highlight w:val="none"/>
              </w:rPr>
            </w:pPr>
          </w:p>
        </w:tc>
      </w:tr>
      <w:tr w14:paraId="1216C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48D288D">
            <w:pPr>
              <w:pStyle w:val="13"/>
              <w:rPr>
                <w:highlight w:val="none"/>
              </w:rPr>
            </w:pPr>
            <w:r>
              <w:rPr>
                <w:rFonts w:hint="eastAsia"/>
                <w:highlight w:val="none"/>
                <w:lang w:val="en-US" w:eastAsia="zh-CN"/>
              </w:rPr>
              <w:t>2</w:t>
            </w:r>
            <w:r>
              <w:rPr>
                <w:rFonts w:hint="eastAsia"/>
                <w:highlight w:val="none"/>
              </w:rPr>
              <w:t>.2</w:t>
            </w:r>
          </w:p>
        </w:tc>
        <w:tc>
          <w:tcPr>
            <w:tcW w:w="3274" w:type="dxa"/>
            <w:tcBorders>
              <w:left w:val="single" w:color="auto" w:sz="4" w:space="0"/>
            </w:tcBorders>
            <w:noWrap w:val="0"/>
            <w:vAlign w:val="center"/>
          </w:tcPr>
          <w:p w14:paraId="4CD80B08">
            <w:pPr>
              <w:pStyle w:val="13"/>
              <w:rPr>
                <w:highlight w:val="none"/>
              </w:rPr>
            </w:pPr>
            <w:r>
              <w:rPr>
                <w:rFonts w:hint="eastAsia"/>
                <w:highlight w:val="none"/>
              </w:rPr>
              <w:t>对现场临时变配电设备的保护，使之满足安全用电及防护要求。</w:t>
            </w:r>
          </w:p>
        </w:tc>
        <w:tc>
          <w:tcPr>
            <w:tcW w:w="0" w:type="auto"/>
            <w:noWrap w:val="0"/>
            <w:vAlign w:val="center"/>
          </w:tcPr>
          <w:p w14:paraId="6FA37C6C">
            <w:pPr>
              <w:pStyle w:val="13"/>
              <w:rPr>
                <w:highlight w:val="none"/>
              </w:rPr>
            </w:pPr>
            <w:r>
              <w:rPr>
                <w:highlight w:val="none"/>
              </w:rPr>
              <w:sym w:font="Wingdings" w:char="F0FC"/>
            </w:r>
          </w:p>
        </w:tc>
        <w:tc>
          <w:tcPr>
            <w:tcW w:w="0" w:type="auto"/>
            <w:noWrap w:val="0"/>
            <w:vAlign w:val="center"/>
          </w:tcPr>
          <w:p w14:paraId="1C43796D">
            <w:pPr>
              <w:pStyle w:val="13"/>
              <w:rPr>
                <w:highlight w:val="none"/>
              </w:rPr>
            </w:pPr>
            <w:r>
              <w:rPr>
                <w:rFonts w:hint="eastAsia"/>
                <w:highlight w:val="none"/>
              </w:rPr>
              <w:t>供</w:t>
            </w:r>
          </w:p>
        </w:tc>
        <w:tc>
          <w:tcPr>
            <w:tcW w:w="0" w:type="auto"/>
            <w:noWrap w:val="0"/>
            <w:vAlign w:val="center"/>
          </w:tcPr>
          <w:p w14:paraId="7A282E71">
            <w:pPr>
              <w:pStyle w:val="13"/>
              <w:rPr>
                <w:highlight w:val="none"/>
              </w:rPr>
            </w:pPr>
          </w:p>
        </w:tc>
      </w:tr>
      <w:tr w14:paraId="37DE8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E0431AF">
            <w:pPr>
              <w:pStyle w:val="13"/>
              <w:rPr>
                <w:highlight w:val="none"/>
              </w:rPr>
            </w:pPr>
            <w:r>
              <w:rPr>
                <w:rFonts w:hint="eastAsia"/>
                <w:highlight w:val="none"/>
                <w:lang w:val="en-US" w:eastAsia="zh-CN"/>
              </w:rPr>
              <w:t>2</w:t>
            </w:r>
            <w:r>
              <w:rPr>
                <w:rFonts w:hint="eastAsia"/>
                <w:highlight w:val="none"/>
              </w:rPr>
              <w:t>.3</w:t>
            </w:r>
          </w:p>
        </w:tc>
        <w:tc>
          <w:tcPr>
            <w:tcW w:w="3274" w:type="dxa"/>
            <w:tcBorders>
              <w:left w:val="single" w:color="auto" w:sz="4" w:space="0"/>
            </w:tcBorders>
            <w:noWrap w:val="0"/>
            <w:vAlign w:val="center"/>
          </w:tcPr>
          <w:p w14:paraId="1A6FBE83">
            <w:pPr>
              <w:pStyle w:val="13"/>
              <w:rPr>
                <w:highlight w:val="none"/>
              </w:rPr>
            </w:pPr>
            <w:r>
              <w:rPr>
                <w:rFonts w:hint="eastAsia"/>
                <w:highlight w:val="none"/>
              </w:rPr>
              <w:t>物料卸货区、临时堆放场地的设置、秩序维护。</w:t>
            </w:r>
          </w:p>
        </w:tc>
        <w:tc>
          <w:tcPr>
            <w:tcW w:w="0" w:type="auto"/>
            <w:noWrap w:val="0"/>
            <w:vAlign w:val="center"/>
          </w:tcPr>
          <w:p w14:paraId="5DA128C8">
            <w:pPr>
              <w:pStyle w:val="13"/>
              <w:rPr>
                <w:highlight w:val="none"/>
              </w:rPr>
            </w:pPr>
            <w:r>
              <w:rPr>
                <w:highlight w:val="none"/>
              </w:rPr>
              <w:sym w:font="Wingdings" w:char="F0FC"/>
            </w:r>
          </w:p>
        </w:tc>
        <w:tc>
          <w:tcPr>
            <w:tcW w:w="0" w:type="auto"/>
            <w:noWrap w:val="0"/>
            <w:vAlign w:val="center"/>
          </w:tcPr>
          <w:p w14:paraId="21DE2F18">
            <w:pPr>
              <w:pStyle w:val="13"/>
              <w:rPr>
                <w:highlight w:val="none"/>
              </w:rPr>
            </w:pPr>
          </w:p>
        </w:tc>
        <w:tc>
          <w:tcPr>
            <w:tcW w:w="0" w:type="auto"/>
            <w:noWrap w:val="0"/>
            <w:vAlign w:val="center"/>
          </w:tcPr>
          <w:p w14:paraId="2FBC2865">
            <w:pPr>
              <w:pStyle w:val="13"/>
              <w:rPr>
                <w:highlight w:val="none"/>
              </w:rPr>
            </w:pPr>
          </w:p>
        </w:tc>
      </w:tr>
      <w:tr w14:paraId="4DE74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0D3DE35F">
            <w:pPr>
              <w:pStyle w:val="13"/>
              <w:rPr>
                <w:highlight w:val="none"/>
              </w:rPr>
            </w:pPr>
            <w:r>
              <w:rPr>
                <w:rFonts w:hint="eastAsia"/>
                <w:highlight w:val="none"/>
                <w:lang w:val="en-US" w:eastAsia="zh-CN"/>
              </w:rPr>
              <w:t>2</w:t>
            </w:r>
            <w:r>
              <w:rPr>
                <w:rFonts w:hint="eastAsia"/>
                <w:highlight w:val="none"/>
              </w:rPr>
              <w:t>.4</w:t>
            </w:r>
          </w:p>
        </w:tc>
        <w:tc>
          <w:tcPr>
            <w:tcW w:w="3274" w:type="dxa"/>
            <w:tcBorders>
              <w:left w:val="single" w:color="auto" w:sz="4" w:space="0"/>
            </w:tcBorders>
            <w:noWrap w:val="0"/>
            <w:vAlign w:val="center"/>
          </w:tcPr>
          <w:p w14:paraId="4C6F5FE3">
            <w:pPr>
              <w:pStyle w:val="13"/>
              <w:rPr>
                <w:highlight w:val="none"/>
              </w:rPr>
            </w:pPr>
            <w:r>
              <w:rPr>
                <w:rFonts w:hint="eastAsia"/>
                <w:highlight w:val="none"/>
              </w:rPr>
              <w:t>临时仓库及加工场地的设立、维护、保安及拆卸。</w:t>
            </w:r>
          </w:p>
        </w:tc>
        <w:tc>
          <w:tcPr>
            <w:tcW w:w="0" w:type="auto"/>
            <w:noWrap w:val="0"/>
            <w:vAlign w:val="center"/>
          </w:tcPr>
          <w:p w14:paraId="798BC6EB">
            <w:pPr>
              <w:pStyle w:val="13"/>
              <w:rPr>
                <w:highlight w:val="none"/>
              </w:rPr>
            </w:pPr>
            <w:r>
              <w:rPr>
                <w:highlight w:val="none"/>
              </w:rPr>
              <w:sym w:font="Wingdings" w:char="F0FC"/>
            </w:r>
          </w:p>
        </w:tc>
        <w:tc>
          <w:tcPr>
            <w:tcW w:w="0" w:type="auto"/>
            <w:noWrap w:val="0"/>
            <w:vAlign w:val="center"/>
          </w:tcPr>
          <w:p w14:paraId="2634A05E">
            <w:pPr>
              <w:pStyle w:val="13"/>
              <w:rPr>
                <w:highlight w:val="none"/>
              </w:rPr>
            </w:pPr>
            <w:r>
              <w:rPr>
                <w:rFonts w:hint="eastAsia"/>
                <w:highlight w:val="none"/>
              </w:rPr>
              <w:t>总承包人在现场提供场地，专业承包人/独立承包人自主负责临时仓库和加工场地的设立、维护、保安及拆卸。</w:t>
            </w:r>
          </w:p>
        </w:tc>
        <w:tc>
          <w:tcPr>
            <w:tcW w:w="0" w:type="auto"/>
            <w:noWrap w:val="0"/>
            <w:vAlign w:val="center"/>
          </w:tcPr>
          <w:p w14:paraId="6CB47F1F">
            <w:pPr>
              <w:pStyle w:val="13"/>
              <w:rPr>
                <w:highlight w:val="none"/>
              </w:rPr>
            </w:pPr>
          </w:p>
        </w:tc>
      </w:tr>
      <w:tr w14:paraId="6C8A6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D5BE3DF">
            <w:pPr>
              <w:pStyle w:val="13"/>
              <w:rPr>
                <w:highlight w:val="none"/>
              </w:rPr>
            </w:pPr>
            <w:r>
              <w:rPr>
                <w:rFonts w:hint="eastAsia"/>
                <w:highlight w:val="none"/>
                <w:lang w:val="en-US" w:eastAsia="zh-CN"/>
              </w:rPr>
              <w:t>2</w:t>
            </w:r>
            <w:r>
              <w:rPr>
                <w:rFonts w:hint="eastAsia"/>
                <w:highlight w:val="none"/>
              </w:rPr>
              <w:t>.5</w:t>
            </w:r>
          </w:p>
        </w:tc>
        <w:tc>
          <w:tcPr>
            <w:tcW w:w="3274" w:type="dxa"/>
            <w:tcBorders>
              <w:left w:val="single" w:color="auto" w:sz="4" w:space="0"/>
            </w:tcBorders>
            <w:noWrap w:val="0"/>
            <w:vAlign w:val="center"/>
          </w:tcPr>
          <w:p w14:paraId="119C2EBD">
            <w:pPr>
              <w:pStyle w:val="13"/>
              <w:rPr>
                <w:highlight w:val="none"/>
              </w:rPr>
            </w:pPr>
            <w:r>
              <w:rPr>
                <w:rFonts w:hint="eastAsia"/>
                <w:highlight w:val="none"/>
              </w:rPr>
              <w:t>为全场参与施工的各方施工人员搭设符合卫生要求的工地临时男女厕所、排污及给水设施，提供维护和清洁卫生并承担全部费用（每天清理）。</w:t>
            </w:r>
          </w:p>
        </w:tc>
        <w:tc>
          <w:tcPr>
            <w:tcW w:w="0" w:type="auto"/>
            <w:noWrap w:val="0"/>
            <w:vAlign w:val="center"/>
          </w:tcPr>
          <w:p w14:paraId="633FD9AE">
            <w:pPr>
              <w:pStyle w:val="13"/>
              <w:rPr>
                <w:highlight w:val="none"/>
              </w:rPr>
            </w:pPr>
            <w:r>
              <w:rPr>
                <w:highlight w:val="none"/>
              </w:rPr>
              <w:sym w:font="Wingdings" w:char="F0FC"/>
            </w:r>
          </w:p>
        </w:tc>
        <w:tc>
          <w:tcPr>
            <w:tcW w:w="0" w:type="auto"/>
            <w:noWrap w:val="0"/>
            <w:vAlign w:val="center"/>
          </w:tcPr>
          <w:p w14:paraId="1280EB13">
            <w:pPr>
              <w:pStyle w:val="13"/>
              <w:rPr>
                <w:highlight w:val="none"/>
              </w:rPr>
            </w:pPr>
          </w:p>
        </w:tc>
        <w:tc>
          <w:tcPr>
            <w:tcW w:w="0" w:type="auto"/>
            <w:noWrap w:val="0"/>
            <w:vAlign w:val="center"/>
          </w:tcPr>
          <w:p w14:paraId="2281EE8F">
            <w:pPr>
              <w:pStyle w:val="13"/>
              <w:rPr>
                <w:highlight w:val="none"/>
              </w:rPr>
            </w:pPr>
          </w:p>
        </w:tc>
      </w:tr>
      <w:tr w14:paraId="6E407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427CB97B">
            <w:pPr>
              <w:pStyle w:val="13"/>
              <w:rPr>
                <w:highlight w:val="none"/>
              </w:rPr>
            </w:pPr>
            <w:r>
              <w:rPr>
                <w:rFonts w:hint="eastAsia"/>
                <w:highlight w:val="none"/>
                <w:lang w:val="en-US" w:eastAsia="zh-CN"/>
              </w:rPr>
              <w:t>2</w:t>
            </w:r>
            <w:r>
              <w:rPr>
                <w:rFonts w:hint="eastAsia"/>
                <w:highlight w:val="none"/>
              </w:rPr>
              <w:t>.6</w:t>
            </w:r>
          </w:p>
        </w:tc>
        <w:tc>
          <w:tcPr>
            <w:tcW w:w="3274" w:type="dxa"/>
            <w:tcBorders>
              <w:left w:val="single" w:color="auto" w:sz="4" w:space="0"/>
            </w:tcBorders>
            <w:noWrap w:val="0"/>
            <w:vAlign w:val="center"/>
          </w:tcPr>
          <w:p w14:paraId="3C16475F">
            <w:pPr>
              <w:pStyle w:val="13"/>
              <w:rPr>
                <w:highlight w:val="none"/>
              </w:rPr>
            </w:pPr>
            <w:r>
              <w:rPr>
                <w:rFonts w:hint="eastAsia"/>
                <w:highlight w:val="none"/>
              </w:rPr>
              <w:t>临时厕所需根据工程施工需要移位。</w:t>
            </w:r>
          </w:p>
        </w:tc>
        <w:tc>
          <w:tcPr>
            <w:tcW w:w="0" w:type="auto"/>
            <w:noWrap w:val="0"/>
            <w:vAlign w:val="center"/>
          </w:tcPr>
          <w:p w14:paraId="6AAE6EBB">
            <w:pPr>
              <w:pStyle w:val="13"/>
              <w:rPr>
                <w:highlight w:val="none"/>
              </w:rPr>
            </w:pPr>
            <w:r>
              <w:rPr>
                <w:highlight w:val="none"/>
              </w:rPr>
              <w:sym w:font="Wingdings" w:char="F0FC"/>
            </w:r>
          </w:p>
        </w:tc>
        <w:tc>
          <w:tcPr>
            <w:tcW w:w="0" w:type="auto"/>
            <w:noWrap w:val="0"/>
            <w:vAlign w:val="center"/>
          </w:tcPr>
          <w:p w14:paraId="655BE291">
            <w:pPr>
              <w:pStyle w:val="13"/>
              <w:rPr>
                <w:highlight w:val="none"/>
              </w:rPr>
            </w:pPr>
          </w:p>
        </w:tc>
        <w:tc>
          <w:tcPr>
            <w:tcW w:w="0" w:type="auto"/>
            <w:noWrap w:val="0"/>
            <w:vAlign w:val="center"/>
          </w:tcPr>
          <w:p w14:paraId="19C745B7">
            <w:pPr>
              <w:pStyle w:val="13"/>
              <w:rPr>
                <w:highlight w:val="none"/>
              </w:rPr>
            </w:pPr>
          </w:p>
        </w:tc>
      </w:tr>
      <w:tr w14:paraId="7772C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25FD387">
            <w:pPr>
              <w:pStyle w:val="13"/>
              <w:rPr>
                <w:highlight w:val="none"/>
              </w:rPr>
            </w:pPr>
            <w:r>
              <w:rPr>
                <w:rFonts w:hint="eastAsia"/>
                <w:highlight w:val="none"/>
                <w:lang w:val="en-US" w:eastAsia="zh-CN"/>
              </w:rPr>
              <w:t>2</w:t>
            </w:r>
            <w:r>
              <w:rPr>
                <w:rFonts w:hint="eastAsia"/>
                <w:highlight w:val="none"/>
              </w:rPr>
              <w:t>.7</w:t>
            </w:r>
          </w:p>
        </w:tc>
        <w:tc>
          <w:tcPr>
            <w:tcW w:w="3274" w:type="dxa"/>
            <w:tcBorders>
              <w:left w:val="single" w:color="auto" w:sz="4" w:space="0"/>
            </w:tcBorders>
            <w:noWrap w:val="0"/>
            <w:vAlign w:val="center"/>
          </w:tcPr>
          <w:p w14:paraId="2C4A4A77">
            <w:pPr>
              <w:pStyle w:val="13"/>
              <w:rPr>
                <w:highlight w:val="none"/>
              </w:rPr>
            </w:pPr>
            <w:r>
              <w:rPr>
                <w:rFonts w:hint="eastAsia"/>
                <w:highlight w:val="none"/>
              </w:rPr>
              <w:t>为专业承包人</w:t>
            </w:r>
            <w:r>
              <w:rPr>
                <w:highlight w:val="none"/>
              </w:rPr>
              <w:t>/独立承包人</w:t>
            </w:r>
            <w:r>
              <w:rPr>
                <w:rFonts w:hint="eastAsia"/>
                <w:highlight w:val="none"/>
              </w:rPr>
              <w:t>提供</w:t>
            </w:r>
            <w:r>
              <w:rPr>
                <w:highlight w:val="none"/>
              </w:rPr>
              <w:t>办公室</w:t>
            </w:r>
            <w:r>
              <w:rPr>
                <w:rFonts w:hint="eastAsia"/>
                <w:highlight w:val="none"/>
              </w:rPr>
              <w:t>，办公室数量和面积根据现场实际情况进行协商</w:t>
            </w:r>
            <w:r>
              <w:rPr>
                <w:highlight w:val="none"/>
              </w:rPr>
              <w:t>。</w:t>
            </w:r>
            <w:r>
              <w:rPr>
                <w:rFonts w:hint="eastAsia"/>
                <w:highlight w:val="none"/>
              </w:rPr>
              <w:t>水电费</w:t>
            </w:r>
            <w:r>
              <w:rPr>
                <w:highlight w:val="none"/>
              </w:rPr>
              <w:t>由总承包人负责。</w:t>
            </w:r>
          </w:p>
        </w:tc>
        <w:tc>
          <w:tcPr>
            <w:tcW w:w="0" w:type="auto"/>
            <w:noWrap w:val="0"/>
            <w:vAlign w:val="center"/>
          </w:tcPr>
          <w:p w14:paraId="7BE178BA">
            <w:pPr>
              <w:pStyle w:val="13"/>
              <w:rPr>
                <w:highlight w:val="none"/>
              </w:rPr>
            </w:pPr>
            <w:r>
              <w:rPr>
                <w:highlight w:val="none"/>
              </w:rPr>
              <w:sym w:font="Wingdings" w:char="F0FC"/>
            </w:r>
          </w:p>
        </w:tc>
        <w:tc>
          <w:tcPr>
            <w:tcW w:w="0" w:type="auto"/>
            <w:noWrap w:val="0"/>
            <w:vAlign w:val="center"/>
          </w:tcPr>
          <w:p w14:paraId="4A9B8F72">
            <w:pPr>
              <w:pStyle w:val="13"/>
              <w:rPr>
                <w:highlight w:val="none"/>
              </w:rPr>
            </w:pPr>
            <w:r>
              <w:rPr>
                <w:rFonts w:hint="eastAsia"/>
                <w:highlight w:val="none"/>
              </w:rPr>
              <w:t>若</w:t>
            </w:r>
            <w:r>
              <w:rPr>
                <w:highlight w:val="none"/>
              </w:rPr>
              <w:t>办公面积不够，自行解决。</w:t>
            </w:r>
          </w:p>
        </w:tc>
        <w:tc>
          <w:tcPr>
            <w:tcW w:w="0" w:type="auto"/>
            <w:noWrap w:val="0"/>
            <w:vAlign w:val="center"/>
          </w:tcPr>
          <w:p w14:paraId="3530EF6C">
            <w:pPr>
              <w:pStyle w:val="13"/>
              <w:rPr>
                <w:highlight w:val="none"/>
              </w:rPr>
            </w:pPr>
            <w:r>
              <w:rPr>
                <w:rFonts w:hint="eastAsia"/>
                <w:highlight w:val="none"/>
              </w:rPr>
              <w:t>办公室布置图需得到发包人的批准</w:t>
            </w:r>
          </w:p>
        </w:tc>
      </w:tr>
      <w:tr w14:paraId="4C019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9EE7079">
            <w:pPr>
              <w:pStyle w:val="13"/>
              <w:rPr>
                <w:highlight w:val="none"/>
              </w:rPr>
            </w:pPr>
            <w:r>
              <w:rPr>
                <w:rFonts w:hint="eastAsia"/>
                <w:highlight w:val="none"/>
                <w:lang w:val="en-US" w:eastAsia="zh-CN"/>
              </w:rPr>
              <w:t>2</w:t>
            </w:r>
            <w:r>
              <w:rPr>
                <w:rFonts w:hint="eastAsia"/>
                <w:highlight w:val="none"/>
              </w:rPr>
              <w:t>.</w:t>
            </w:r>
            <w:r>
              <w:rPr>
                <w:highlight w:val="none"/>
              </w:rPr>
              <w:t>8</w:t>
            </w:r>
          </w:p>
        </w:tc>
        <w:tc>
          <w:tcPr>
            <w:tcW w:w="3274" w:type="dxa"/>
            <w:tcBorders>
              <w:left w:val="single" w:color="auto" w:sz="4" w:space="0"/>
            </w:tcBorders>
            <w:noWrap w:val="0"/>
            <w:vAlign w:val="center"/>
          </w:tcPr>
          <w:p w14:paraId="555C3D5E">
            <w:pPr>
              <w:pStyle w:val="13"/>
              <w:rPr>
                <w:highlight w:val="none"/>
              </w:rPr>
            </w:pPr>
            <w:r>
              <w:rPr>
                <w:rFonts w:hint="eastAsia"/>
                <w:highlight w:val="none"/>
              </w:rPr>
              <w:t>为发包人/监理人/顾问提供、维护符合发包人要求的办公室及卫生设施，包括空调设施，并负责保洁工作。办公室数量及面积由发包方根据工程项目实际情况确认。</w:t>
            </w:r>
          </w:p>
        </w:tc>
        <w:tc>
          <w:tcPr>
            <w:tcW w:w="0" w:type="auto"/>
            <w:noWrap w:val="0"/>
            <w:vAlign w:val="center"/>
          </w:tcPr>
          <w:p w14:paraId="38404037">
            <w:pPr>
              <w:pStyle w:val="13"/>
              <w:rPr>
                <w:highlight w:val="none"/>
              </w:rPr>
            </w:pPr>
            <w:r>
              <w:rPr>
                <w:highlight w:val="none"/>
              </w:rPr>
              <w:sym w:font="Wingdings" w:char="F0FC"/>
            </w:r>
          </w:p>
        </w:tc>
        <w:tc>
          <w:tcPr>
            <w:tcW w:w="0" w:type="auto"/>
            <w:noWrap w:val="0"/>
            <w:vAlign w:val="center"/>
          </w:tcPr>
          <w:p w14:paraId="7AEFC34E">
            <w:pPr>
              <w:pStyle w:val="13"/>
              <w:rPr>
                <w:highlight w:val="none"/>
              </w:rPr>
            </w:pPr>
          </w:p>
        </w:tc>
        <w:tc>
          <w:tcPr>
            <w:tcW w:w="0" w:type="auto"/>
            <w:noWrap w:val="0"/>
            <w:vAlign w:val="center"/>
          </w:tcPr>
          <w:p w14:paraId="7E8DBF12">
            <w:pPr>
              <w:pStyle w:val="13"/>
              <w:rPr>
                <w:highlight w:val="none"/>
              </w:rPr>
            </w:pPr>
            <w:r>
              <w:rPr>
                <w:rFonts w:hint="eastAsia"/>
                <w:highlight w:val="none"/>
              </w:rPr>
              <w:t>办公室的装修按发包人批准的临建图纸施工。</w:t>
            </w:r>
          </w:p>
        </w:tc>
      </w:tr>
      <w:tr w14:paraId="7F230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AC39B0B">
            <w:pPr>
              <w:pStyle w:val="13"/>
              <w:rPr>
                <w:highlight w:val="none"/>
              </w:rPr>
            </w:pPr>
            <w:r>
              <w:rPr>
                <w:rFonts w:hint="eastAsia"/>
                <w:highlight w:val="none"/>
                <w:lang w:val="en-US" w:eastAsia="zh-CN"/>
              </w:rPr>
              <w:t>2</w:t>
            </w:r>
            <w:r>
              <w:rPr>
                <w:rFonts w:hint="eastAsia"/>
                <w:highlight w:val="none"/>
              </w:rPr>
              <w:t>.</w:t>
            </w:r>
            <w:r>
              <w:rPr>
                <w:highlight w:val="none"/>
              </w:rPr>
              <w:t>9</w:t>
            </w:r>
          </w:p>
        </w:tc>
        <w:tc>
          <w:tcPr>
            <w:tcW w:w="3274" w:type="dxa"/>
            <w:tcBorders>
              <w:left w:val="single" w:color="auto" w:sz="4" w:space="0"/>
            </w:tcBorders>
            <w:noWrap w:val="0"/>
            <w:vAlign w:val="center"/>
          </w:tcPr>
          <w:p w14:paraId="276075C3">
            <w:pPr>
              <w:pStyle w:val="13"/>
              <w:rPr>
                <w:highlight w:val="none"/>
              </w:rPr>
            </w:pPr>
            <w:r>
              <w:rPr>
                <w:rFonts w:hint="eastAsia"/>
                <w:highlight w:val="none"/>
              </w:rPr>
              <w:t>在施工各阶段为现场排水及避免流溢到邻近土地提供所有需要的临时排水渠、排水沟及临时排水工程。</w:t>
            </w:r>
          </w:p>
        </w:tc>
        <w:tc>
          <w:tcPr>
            <w:tcW w:w="0" w:type="auto"/>
            <w:noWrap w:val="0"/>
            <w:vAlign w:val="center"/>
          </w:tcPr>
          <w:p w14:paraId="212EDC59">
            <w:pPr>
              <w:pStyle w:val="13"/>
              <w:rPr>
                <w:highlight w:val="none"/>
              </w:rPr>
            </w:pPr>
            <w:r>
              <w:rPr>
                <w:highlight w:val="none"/>
              </w:rPr>
              <w:sym w:font="Wingdings" w:char="F0FC"/>
            </w:r>
          </w:p>
        </w:tc>
        <w:tc>
          <w:tcPr>
            <w:tcW w:w="0" w:type="auto"/>
            <w:noWrap w:val="0"/>
            <w:vAlign w:val="center"/>
          </w:tcPr>
          <w:p w14:paraId="5F5D0806">
            <w:pPr>
              <w:pStyle w:val="13"/>
              <w:rPr>
                <w:highlight w:val="none"/>
              </w:rPr>
            </w:pPr>
          </w:p>
        </w:tc>
        <w:tc>
          <w:tcPr>
            <w:tcW w:w="0" w:type="auto"/>
            <w:noWrap w:val="0"/>
            <w:vAlign w:val="center"/>
          </w:tcPr>
          <w:p w14:paraId="3C61A540">
            <w:pPr>
              <w:pStyle w:val="13"/>
              <w:rPr>
                <w:highlight w:val="none"/>
              </w:rPr>
            </w:pPr>
          </w:p>
        </w:tc>
      </w:tr>
      <w:tr w14:paraId="522EC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290AB5D2">
            <w:pPr>
              <w:pStyle w:val="13"/>
              <w:rPr>
                <w:highlight w:val="none"/>
              </w:rPr>
            </w:pPr>
            <w:r>
              <w:rPr>
                <w:rFonts w:hint="eastAsia"/>
                <w:highlight w:val="none"/>
                <w:lang w:val="en-US" w:eastAsia="zh-CN"/>
              </w:rPr>
              <w:t>2</w:t>
            </w:r>
            <w:r>
              <w:rPr>
                <w:rFonts w:hint="eastAsia"/>
                <w:highlight w:val="none"/>
              </w:rPr>
              <w:t>.1</w:t>
            </w:r>
            <w:r>
              <w:rPr>
                <w:highlight w:val="none"/>
              </w:rPr>
              <w:t>0</w:t>
            </w:r>
          </w:p>
        </w:tc>
        <w:tc>
          <w:tcPr>
            <w:tcW w:w="3274" w:type="dxa"/>
            <w:tcBorders>
              <w:left w:val="single" w:color="auto" w:sz="4" w:space="0"/>
            </w:tcBorders>
            <w:noWrap w:val="0"/>
            <w:vAlign w:val="center"/>
          </w:tcPr>
          <w:p w14:paraId="3C497089">
            <w:pPr>
              <w:pStyle w:val="13"/>
              <w:rPr>
                <w:highlight w:val="none"/>
              </w:rPr>
            </w:pPr>
            <w:r>
              <w:rPr>
                <w:rFonts w:hint="eastAsia"/>
                <w:highlight w:val="none"/>
              </w:rPr>
              <w:t>在现场人员出入口设立、维护充足的闸口，闸口数量要满足工程建设需要。并配备人脸识别考勤系统，管理全部现场人员出入。</w:t>
            </w:r>
          </w:p>
        </w:tc>
        <w:tc>
          <w:tcPr>
            <w:tcW w:w="0" w:type="auto"/>
            <w:noWrap w:val="0"/>
            <w:vAlign w:val="center"/>
          </w:tcPr>
          <w:p w14:paraId="5D087B65">
            <w:pPr>
              <w:pStyle w:val="13"/>
              <w:rPr>
                <w:highlight w:val="none"/>
              </w:rPr>
            </w:pPr>
            <w:r>
              <w:rPr>
                <w:highlight w:val="none"/>
              </w:rPr>
              <w:sym w:font="Wingdings" w:char="F0FC"/>
            </w:r>
          </w:p>
        </w:tc>
        <w:tc>
          <w:tcPr>
            <w:tcW w:w="0" w:type="auto"/>
            <w:noWrap w:val="0"/>
            <w:vAlign w:val="center"/>
          </w:tcPr>
          <w:p w14:paraId="34DA2DB1">
            <w:pPr>
              <w:pStyle w:val="13"/>
              <w:rPr>
                <w:highlight w:val="none"/>
              </w:rPr>
            </w:pPr>
          </w:p>
        </w:tc>
        <w:tc>
          <w:tcPr>
            <w:tcW w:w="0" w:type="auto"/>
            <w:noWrap w:val="0"/>
            <w:vAlign w:val="center"/>
          </w:tcPr>
          <w:p w14:paraId="7B2618AA">
            <w:pPr>
              <w:pStyle w:val="13"/>
              <w:rPr>
                <w:highlight w:val="none"/>
              </w:rPr>
            </w:pPr>
          </w:p>
        </w:tc>
      </w:tr>
      <w:tr w14:paraId="1F150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31D224FE">
            <w:pPr>
              <w:pStyle w:val="13"/>
              <w:rPr>
                <w:highlight w:val="none"/>
              </w:rPr>
            </w:pPr>
            <w:r>
              <w:rPr>
                <w:rFonts w:hint="eastAsia"/>
                <w:highlight w:val="none"/>
                <w:lang w:val="en-US" w:eastAsia="zh-CN"/>
              </w:rPr>
              <w:t>2</w:t>
            </w:r>
            <w:r>
              <w:rPr>
                <w:rFonts w:hint="eastAsia"/>
                <w:highlight w:val="none"/>
              </w:rPr>
              <w:t>.1</w:t>
            </w:r>
            <w:r>
              <w:rPr>
                <w:highlight w:val="none"/>
              </w:rPr>
              <w:t>1</w:t>
            </w:r>
          </w:p>
        </w:tc>
        <w:tc>
          <w:tcPr>
            <w:tcW w:w="3274" w:type="dxa"/>
            <w:tcBorders>
              <w:left w:val="single" w:color="auto" w:sz="4" w:space="0"/>
            </w:tcBorders>
            <w:noWrap w:val="0"/>
            <w:vAlign w:val="center"/>
          </w:tcPr>
          <w:p w14:paraId="4ABE9961">
            <w:pPr>
              <w:pStyle w:val="13"/>
              <w:rPr>
                <w:highlight w:val="none"/>
              </w:rPr>
            </w:pPr>
            <w:r>
              <w:rPr>
                <w:rFonts w:hint="eastAsia"/>
                <w:highlight w:val="none"/>
              </w:rPr>
              <w:t>在出入口为各来访者提供合格的安全帽和临时出入卡。</w:t>
            </w:r>
          </w:p>
        </w:tc>
        <w:tc>
          <w:tcPr>
            <w:tcW w:w="0" w:type="auto"/>
            <w:noWrap w:val="0"/>
            <w:vAlign w:val="center"/>
          </w:tcPr>
          <w:p w14:paraId="4A585BEE">
            <w:pPr>
              <w:pStyle w:val="13"/>
              <w:rPr>
                <w:highlight w:val="none"/>
              </w:rPr>
            </w:pPr>
            <w:r>
              <w:rPr>
                <w:highlight w:val="none"/>
              </w:rPr>
              <w:sym w:font="Wingdings" w:char="F0FC"/>
            </w:r>
          </w:p>
        </w:tc>
        <w:tc>
          <w:tcPr>
            <w:tcW w:w="0" w:type="auto"/>
            <w:noWrap w:val="0"/>
            <w:vAlign w:val="center"/>
          </w:tcPr>
          <w:p w14:paraId="31B51F42">
            <w:pPr>
              <w:pStyle w:val="13"/>
              <w:rPr>
                <w:highlight w:val="none"/>
              </w:rPr>
            </w:pPr>
          </w:p>
        </w:tc>
        <w:tc>
          <w:tcPr>
            <w:tcW w:w="0" w:type="auto"/>
            <w:noWrap w:val="0"/>
            <w:vAlign w:val="center"/>
          </w:tcPr>
          <w:p w14:paraId="5DF1B7E2">
            <w:pPr>
              <w:pStyle w:val="13"/>
              <w:rPr>
                <w:highlight w:val="none"/>
              </w:rPr>
            </w:pPr>
            <w:r>
              <w:rPr>
                <w:rFonts w:hint="eastAsia"/>
                <w:highlight w:val="none"/>
              </w:rPr>
              <w:t>保持不少于30个</w:t>
            </w:r>
          </w:p>
        </w:tc>
      </w:tr>
      <w:tr w14:paraId="49D76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2CDE495">
            <w:pPr>
              <w:pStyle w:val="13"/>
              <w:rPr>
                <w:highlight w:val="none"/>
              </w:rPr>
            </w:pPr>
            <w:r>
              <w:rPr>
                <w:rFonts w:hint="eastAsia"/>
                <w:highlight w:val="none"/>
                <w:lang w:val="en-US" w:eastAsia="zh-CN"/>
              </w:rPr>
              <w:t>2</w:t>
            </w:r>
            <w:r>
              <w:rPr>
                <w:rFonts w:hint="eastAsia"/>
                <w:highlight w:val="none"/>
              </w:rPr>
              <w:t>.1</w:t>
            </w:r>
            <w:r>
              <w:rPr>
                <w:highlight w:val="none"/>
              </w:rPr>
              <w:t>2</w:t>
            </w:r>
          </w:p>
        </w:tc>
        <w:tc>
          <w:tcPr>
            <w:tcW w:w="3274" w:type="dxa"/>
            <w:tcBorders>
              <w:left w:val="single" w:color="auto" w:sz="4" w:space="0"/>
            </w:tcBorders>
            <w:noWrap w:val="0"/>
            <w:vAlign w:val="center"/>
          </w:tcPr>
          <w:p w14:paraId="10C09CBD">
            <w:pPr>
              <w:pStyle w:val="13"/>
              <w:rPr>
                <w:highlight w:val="none"/>
              </w:rPr>
            </w:pPr>
            <w:r>
              <w:rPr>
                <w:rFonts w:hint="eastAsia"/>
                <w:highlight w:val="none"/>
              </w:rPr>
              <w:t>在临时围墙上设立、维护红外线安保系统，并确保其正常运行。</w:t>
            </w:r>
          </w:p>
        </w:tc>
        <w:tc>
          <w:tcPr>
            <w:tcW w:w="0" w:type="auto"/>
            <w:noWrap w:val="0"/>
            <w:vAlign w:val="center"/>
          </w:tcPr>
          <w:p w14:paraId="331143DE">
            <w:pPr>
              <w:pStyle w:val="13"/>
              <w:rPr>
                <w:highlight w:val="none"/>
              </w:rPr>
            </w:pPr>
            <w:r>
              <w:rPr>
                <w:highlight w:val="none"/>
              </w:rPr>
              <w:sym w:font="Wingdings" w:char="F0FC"/>
            </w:r>
          </w:p>
        </w:tc>
        <w:tc>
          <w:tcPr>
            <w:tcW w:w="0" w:type="auto"/>
            <w:noWrap w:val="0"/>
            <w:vAlign w:val="center"/>
          </w:tcPr>
          <w:p w14:paraId="6BC882B6">
            <w:pPr>
              <w:pStyle w:val="13"/>
              <w:rPr>
                <w:highlight w:val="none"/>
              </w:rPr>
            </w:pPr>
          </w:p>
        </w:tc>
        <w:tc>
          <w:tcPr>
            <w:tcW w:w="0" w:type="auto"/>
            <w:noWrap w:val="0"/>
            <w:vAlign w:val="center"/>
          </w:tcPr>
          <w:p w14:paraId="4E66F9F0">
            <w:pPr>
              <w:pStyle w:val="13"/>
              <w:rPr>
                <w:highlight w:val="none"/>
              </w:rPr>
            </w:pPr>
          </w:p>
        </w:tc>
      </w:tr>
      <w:tr w14:paraId="006F8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C8984C2">
            <w:pPr>
              <w:pStyle w:val="13"/>
              <w:rPr>
                <w:highlight w:val="none"/>
              </w:rPr>
            </w:pPr>
            <w:r>
              <w:rPr>
                <w:rFonts w:hint="eastAsia"/>
                <w:highlight w:val="none"/>
                <w:lang w:val="en-US" w:eastAsia="zh-CN"/>
              </w:rPr>
              <w:t>2</w:t>
            </w:r>
            <w:r>
              <w:rPr>
                <w:rFonts w:hint="eastAsia"/>
                <w:highlight w:val="none"/>
              </w:rPr>
              <w:t>.13</w:t>
            </w:r>
          </w:p>
        </w:tc>
        <w:tc>
          <w:tcPr>
            <w:tcW w:w="3274" w:type="dxa"/>
            <w:tcBorders>
              <w:left w:val="single" w:color="auto" w:sz="4" w:space="0"/>
            </w:tcBorders>
            <w:noWrap w:val="0"/>
            <w:vAlign w:val="center"/>
          </w:tcPr>
          <w:p w14:paraId="42D36F9E">
            <w:pPr>
              <w:pStyle w:val="13"/>
              <w:rPr>
                <w:highlight w:val="none"/>
              </w:rPr>
            </w:pPr>
            <w:r>
              <w:rPr>
                <w:rFonts w:hint="eastAsia"/>
                <w:highlight w:val="none"/>
              </w:rPr>
              <w:t>在现场各主要出入口设立、维护监控系统，确保其正常运行并定期将监控资料提交发包人。</w:t>
            </w:r>
          </w:p>
        </w:tc>
        <w:tc>
          <w:tcPr>
            <w:tcW w:w="0" w:type="auto"/>
            <w:noWrap w:val="0"/>
            <w:vAlign w:val="center"/>
          </w:tcPr>
          <w:p w14:paraId="29DFAA52">
            <w:pPr>
              <w:pStyle w:val="13"/>
              <w:rPr>
                <w:highlight w:val="none"/>
              </w:rPr>
            </w:pPr>
            <w:r>
              <w:rPr>
                <w:highlight w:val="none"/>
              </w:rPr>
              <w:sym w:font="Wingdings" w:char="F0FC"/>
            </w:r>
          </w:p>
        </w:tc>
        <w:tc>
          <w:tcPr>
            <w:tcW w:w="0" w:type="auto"/>
            <w:noWrap w:val="0"/>
            <w:vAlign w:val="center"/>
          </w:tcPr>
          <w:p w14:paraId="468AF783">
            <w:pPr>
              <w:pStyle w:val="13"/>
              <w:rPr>
                <w:highlight w:val="none"/>
              </w:rPr>
            </w:pPr>
          </w:p>
        </w:tc>
        <w:tc>
          <w:tcPr>
            <w:tcW w:w="0" w:type="auto"/>
            <w:noWrap w:val="0"/>
            <w:vAlign w:val="center"/>
          </w:tcPr>
          <w:p w14:paraId="6C383C91">
            <w:pPr>
              <w:pStyle w:val="13"/>
              <w:rPr>
                <w:highlight w:val="none"/>
              </w:rPr>
            </w:pPr>
          </w:p>
        </w:tc>
      </w:tr>
      <w:tr w14:paraId="77D6A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4D782DC">
            <w:pPr>
              <w:pStyle w:val="13"/>
              <w:rPr>
                <w:highlight w:val="none"/>
              </w:rPr>
            </w:pPr>
            <w:r>
              <w:rPr>
                <w:rFonts w:hint="eastAsia"/>
                <w:highlight w:val="none"/>
                <w:lang w:val="en-US" w:eastAsia="zh-CN"/>
              </w:rPr>
              <w:t>2</w:t>
            </w:r>
            <w:r>
              <w:rPr>
                <w:rFonts w:hint="eastAsia"/>
                <w:highlight w:val="none"/>
              </w:rPr>
              <w:t>.14</w:t>
            </w:r>
          </w:p>
        </w:tc>
        <w:tc>
          <w:tcPr>
            <w:tcW w:w="3274" w:type="dxa"/>
            <w:tcBorders>
              <w:left w:val="single" w:color="auto" w:sz="4" w:space="0"/>
            </w:tcBorders>
            <w:noWrap w:val="0"/>
            <w:vAlign w:val="center"/>
          </w:tcPr>
          <w:p w14:paraId="27BECE98">
            <w:pPr>
              <w:pStyle w:val="13"/>
              <w:rPr>
                <w:highlight w:val="none"/>
              </w:rPr>
            </w:pPr>
            <w:r>
              <w:rPr>
                <w:rFonts w:hint="eastAsia"/>
                <w:highlight w:val="none"/>
              </w:rPr>
              <w:t>给发包人、监理人提供并</w:t>
            </w:r>
            <w:r>
              <w:rPr>
                <w:highlight w:val="none"/>
              </w:rPr>
              <w:t>接入</w:t>
            </w:r>
            <w:r>
              <w:rPr>
                <w:rFonts w:hint="eastAsia"/>
                <w:highlight w:val="none"/>
              </w:rPr>
              <w:t>每日的现场监控视频。</w:t>
            </w:r>
          </w:p>
        </w:tc>
        <w:tc>
          <w:tcPr>
            <w:tcW w:w="0" w:type="auto"/>
            <w:noWrap w:val="0"/>
            <w:vAlign w:val="center"/>
          </w:tcPr>
          <w:p w14:paraId="531D1B68">
            <w:pPr>
              <w:pStyle w:val="13"/>
              <w:rPr>
                <w:highlight w:val="none"/>
              </w:rPr>
            </w:pPr>
            <w:r>
              <w:rPr>
                <w:highlight w:val="none"/>
              </w:rPr>
              <w:sym w:font="Wingdings" w:char="F0FC"/>
            </w:r>
          </w:p>
        </w:tc>
        <w:tc>
          <w:tcPr>
            <w:tcW w:w="0" w:type="auto"/>
            <w:noWrap w:val="0"/>
            <w:vAlign w:val="center"/>
          </w:tcPr>
          <w:p w14:paraId="310710DB">
            <w:pPr>
              <w:pStyle w:val="13"/>
              <w:rPr>
                <w:highlight w:val="none"/>
              </w:rPr>
            </w:pPr>
          </w:p>
        </w:tc>
        <w:tc>
          <w:tcPr>
            <w:tcW w:w="0" w:type="auto"/>
            <w:noWrap w:val="0"/>
            <w:vAlign w:val="center"/>
          </w:tcPr>
          <w:p w14:paraId="05535CB7">
            <w:pPr>
              <w:pStyle w:val="13"/>
              <w:rPr>
                <w:highlight w:val="none"/>
              </w:rPr>
            </w:pPr>
          </w:p>
        </w:tc>
      </w:tr>
      <w:tr w14:paraId="27603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4DEC46A">
            <w:pPr>
              <w:pStyle w:val="13"/>
              <w:rPr>
                <w:highlight w:val="none"/>
              </w:rPr>
            </w:pPr>
            <w:r>
              <w:rPr>
                <w:rFonts w:hint="eastAsia"/>
                <w:highlight w:val="none"/>
                <w:lang w:val="en-US" w:eastAsia="zh-CN"/>
              </w:rPr>
              <w:t>2</w:t>
            </w:r>
            <w:r>
              <w:rPr>
                <w:rFonts w:hint="eastAsia"/>
                <w:highlight w:val="none"/>
              </w:rPr>
              <w:t>.15</w:t>
            </w:r>
          </w:p>
        </w:tc>
        <w:tc>
          <w:tcPr>
            <w:tcW w:w="3274" w:type="dxa"/>
            <w:tcBorders>
              <w:left w:val="single" w:color="auto" w:sz="4" w:space="0"/>
            </w:tcBorders>
            <w:noWrap w:val="0"/>
            <w:vAlign w:val="center"/>
          </w:tcPr>
          <w:p w14:paraId="5AAB23A9">
            <w:pPr>
              <w:pStyle w:val="13"/>
              <w:rPr>
                <w:highlight w:val="none"/>
              </w:rPr>
            </w:pPr>
            <w:r>
              <w:rPr>
                <w:rFonts w:hint="eastAsia"/>
                <w:highlight w:val="none"/>
              </w:rPr>
              <w:t>在现场设立、维护降尘措施（围墙、喷淋等），满足当地政府要求。</w:t>
            </w:r>
          </w:p>
        </w:tc>
        <w:tc>
          <w:tcPr>
            <w:tcW w:w="0" w:type="auto"/>
            <w:noWrap w:val="0"/>
            <w:vAlign w:val="center"/>
          </w:tcPr>
          <w:p w14:paraId="64E0553D">
            <w:pPr>
              <w:pStyle w:val="13"/>
              <w:rPr>
                <w:highlight w:val="none"/>
              </w:rPr>
            </w:pPr>
            <w:r>
              <w:rPr>
                <w:highlight w:val="none"/>
              </w:rPr>
              <w:sym w:font="Wingdings" w:char="F0FC"/>
            </w:r>
          </w:p>
        </w:tc>
        <w:tc>
          <w:tcPr>
            <w:tcW w:w="0" w:type="auto"/>
            <w:noWrap w:val="0"/>
            <w:vAlign w:val="center"/>
          </w:tcPr>
          <w:p w14:paraId="1060216F">
            <w:pPr>
              <w:pStyle w:val="13"/>
              <w:rPr>
                <w:highlight w:val="none"/>
              </w:rPr>
            </w:pPr>
            <w:r>
              <w:rPr>
                <w:highlight w:val="none"/>
              </w:rPr>
              <w:sym w:font="Wingdings" w:char="F0FC"/>
            </w:r>
          </w:p>
        </w:tc>
        <w:tc>
          <w:tcPr>
            <w:tcW w:w="0" w:type="auto"/>
            <w:noWrap w:val="0"/>
            <w:vAlign w:val="center"/>
          </w:tcPr>
          <w:p w14:paraId="2B60D301">
            <w:pPr>
              <w:pStyle w:val="13"/>
              <w:rPr>
                <w:highlight w:val="none"/>
              </w:rPr>
            </w:pPr>
          </w:p>
        </w:tc>
      </w:tr>
      <w:tr w14:paraId="46B88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223D732E">
            <w:pPr>
              <w:pStyle w:val="13"/>
              <w:rPr>
                <w:highlight w:val="none"/>
              </w:rPr>
            </w:pPr>
            <w:r>
              <w:rPr>
                <w:rFonts w:hint="eastAsia"/>
                <w:highlight w:val="none"/>
                <w:lang w:val="en-US" w:eastAsia="zh-CN"/>
              </w:rPr>
              <w:t>三</w:t>
            </w:r>
            <w:r>
              <w:rPr>
                <w:rFonts w:hint="eastAsia"/>
                <w:highlight w:val="none"/>
              </w:rPr>
              <w:t>、安全文明施工及环境保护</w:t>
            </w:r>
          </w:p>
        </w:tc>
      </w:tr>
      <w:tr w14:paraId="376F9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00BA01C">
            <w:pPr>
              <w:pStyle w:val="13"/>
              <w:rPr>
                <w:highlight w:val="none"/>
              </w:rPr>
            </w:pPr>
            <w:r>
              <w:rPr>
                <w:rFonts w:hint="eastAsia"/>
                <w:highlight w:val="none"/>
                <w:lang w:val="en-US" w:eastAsia="zh-CN"/>
              </w:rPr>
              <w:t>3</w:t>
            </w:r>
            <w:r>
              <w:rPr>
                <w:rFonts w:hint="eastAsia"/>
                <w:highlight w:val="none"/>
              </w:rPr>
              <w:t>.1</w:t>
            </w:r>
          </w:p>
        </w:tc>
        <w:tc>
          <w:tcPr>
            <w:tcW w:w="3274" w:type="dxa"/>
            <w:tcBorders>
              <w:left w:val="single" w:color="auto" w:sz="4" w:space="0"/>
            </w:tcBorders>
            <w:noWrap w:val="0"/>
            <w:vAlign w:val="center"/>
          </w:tcPr>
          <w:p w14:paraId="5AA0DA39">
            <w:pPr>
              <w:pStyle w:val="13"/>
              <w:rPr>
                <w:highlight w:val="none"/>
              </w:rPr>
            </w:pPr>
            <w:r>
              <w:rPr>
                <w:rFonts w:hint="eastAsia"/>
                <w:highlight w:val="none"/>
              </w:rPr>
              <w:t>对现场全体参与者进行施工现场的安全管理。</w:t>
            </w:r>
          </w:p>
        </w:tc>
        <w:tc>
          <w:tcPr>
            <w:tcW w:w="0" w:type="auto"/>
            <w:noWrap w:val="0"/>
            <w:vAlign w:val="center"/>
          </w:tcPr>
          <w:p w14:paraId="345440DD">
            <w:pPr>
              <w:pStyle w:val="13"/>
              <w:rPr>
                <w:highlight w:val="none"/>
              </w:rPr>
            </w:pPr>
            <w:r>
              <w:rPr>
                <w:highlight w:val="none"/>
              </w:rPr>
              <w:sym w:font="Wingdings" w:char="F0FC"/>
            </w:r>
          </w:p>
        </w:tc>
        <w:tc>
          <w:tcPr>
            <w:tcW w:w="0" w:type="auto"/>
            <w:noWrap w:val="0"/>
            <w:vAlign w:val="center"/>
          </w:tcPr>
          <w:p w14:paraId="45D31CBE">
            <w:pPr>
              <w:pStyle w:val="13"/>
              <w:rPr>
                <w:highlight w:val="none"/>
              </w:rPr>
            </w:pPr>
          </w:p>
        </w:tc>
        <w:tc>
          <w:tcPr>
            <w:tcW w:w="0" w:type="auto"/>
            <w:noWrap w:val="0"/>
            <w:vAlign w:val="center"/>
          </w:tcPr>
          <w:p w14:paraId="7E550541">
            <w:pPr>
              <w:pStyle w:val="13"/>
              <w:rPr>
                <w:highlight w:val="none"/>
              </w:rPr>
            </w:pPr>
          </w:p>
        </w:tc>
      </w:tr>
      <w:tr w14:paraId="0804B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1BF3887">
            <w:pPr>
              <w:pStyle w:val="13"/>
              <w:rPr>
                <w:highlight w:val="none"/>
              </w:rPr>
            </w:pPr>
            <w:r>
              <w:rPr>
                <w:rFonts w:hint="eastAsia"/>
                <w:highlight w:val="none"/>
                <w:lang w:val="en-US" w:eastAsia="zh-CN"/>
              </w:rPr>
              <w:t>3</w:t>
            </w:r>
            <w:r>
              <w:rPr>
                <w:rFonts w:hint="eastAsia"/>
                <w:highlight w:val="none"/>
              </w:rPr>
              <w:t>.2</w:t>
            </w:r>
          </w:p>
        </w:tc>
        <w:tc>
          <w:tcPr>
            <w:tcW w:w="3274" w:type="dxa"/>
            <w:tcBorders>
              <w:left w:val="single" w:color="auto" w:sz="4" w:space="0"/>
            </w:tcBorders>
            <w:noWrap w:val="0"/>
            <w:vAlign w:val="center"/>
          </w:tcPr>
          <w:p w14:paraId="345BDD40">
            <w:pPr>
              <w:pStyle w:val="13"/>
              <w:rPr>
                <w:highlight w:val="none"/>
              </w:rPr>
            </w:pPr>
            <w:r>
              <w:rPr>
                <w:rFonts w:hint="eastAsia"/>
                <w:highlight w:val="none"/>
              </w:rPr>
              <w:t>督促及检查各施工方包括专业承包人对其雇员提供足够的个人安全装备。</w:t>
            </w:r>
          </w:p>
        </w:tc>
        <w:tc>
          <w:tcPr>
            <w:tcW w:w="0" w:type="auto"/>
            <w:noWrap w:val="0"/>
            <w:vAlign w:val="center"/>
          </w:tcPr>
          <w:p w14:paraId="69D9A919">
            <w:pPr>
              <w:pStyle w:val="13"/>
              <w:rPr>
                <w:highlight w:val="none"/>
              </w:rPr>
            </w:pPr>
            <w:r>
              <w:rPr>
                <w:highlight w:val="none"/>
              </w:rPr>
              <w:sym w:font="Wingdings" w:char="F0FC"/>
            </w:r>
          </w:p>
        </w:tc>
        <w:tc>
          <w:tcPr>
            <w:tcW w:w="0" w:type="auto"/>
            <w:noWrap w:val="0"/>
            <w:vAlign w:val="center"/>
          </w:tcPr>
          <w:p w14:paraId="6037374A">
            <w:pPr>
              <w:pStyle w:val="13"/>
              <w:rPr>
                <w:highlight w:val="none"/>
              </w:rPr>
            </w:pPr>
          </w:p>
        </w:tc>
        <w:tc>
          <w:tcPr>
            <w:tcW w:w="0" w:type="auto"/>
            <w:noWrap w:val="0"/>
            <w:vAlign w:val="center"/>
          </w:tcPr>
          <w:p w14:paraId="04840EC8">
            <w:pPr>
              <w:pStyle w:val="13"/>
              <w:rPr>
                <w:highlight w:val="none"/>
              </w:rPr>
            </w:pPr>
          </w:p>
        </w:tc>
      </w:tr>
      <w:tr w14:paraId="3E601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3187E33">
            <w:pPr>
              <w:pStyle w:val="13"/>
              <w:rPr>
                <w:highlight w:val="none"/>
              </w:rPr>
            </w:pPr>
            <w:r>
              <w:rPr>
                <w:rFonts w:hint="eastAsia"/>
                <w:highlight w:val="none"/>
                <w:lang w:val="en-US" w:eastAsia="zh-CN"/>
              </w:rPr>
              <w:t>3</w:t>
            </w:r>
            <w:r>
              <w:rPr>
                <w:rFonts w:hint="eastAsia"/>
                <w:highlight w:val="none"/>
              </w:rPr>
              <w:t>.3</w:t>
            </w:r>
          </w:p>
        </w:tc>
        <w:tc>
          <w:tcPr>
            <w:tcW w:w="3274" w:type="dxa"/>
            <w:tcBorders>
              <w:left w:val="single" w:color="auto" w:sz="4" w:space="0"/>
            </w:tcBorders>
            <w:noWrap w:val="0"/>
            <w:vAlign w:val="center"/>
          </w:tcPr>
          <w:p w14:paraId="6F85154B">
            <w:pPr>
              <w:pStyle w:val="13"/>
              <w:rPr>
                <w:highlight w:val="none"/>
              </w:rPr>
            </w:pPr>
            <w:r>
              <w:rPr>
                <w:rFonts w:hint="eastAsia"/>
                <w:highlight w:val="none"/>
              </w:rPr>
              <w:t>提供现场一间医务室、急救设备/药品及急救人员。</w:t>
            </w:r>
          </w:p>
        </w:tc>
        <w:tc>
          <w:tcPr>
            <w:tcW w:w="0" w:type="auto"/>
            <w:noWrap w:val="0"/>
            <w:vAlign w:val="center"/>
          </w:tcPr>
          <w:p w14:paraId="39C48241">
            <w:pPr>
              <w:pStyle w:val="13"/>
              <w:rPr>
                <w:highlight w:val="none"/>
              </w:rPr>
            </w:pPr>
            <w:r>
              <w:rPr>
                <w:highlight w:val="none"/>
              </w:rPr>
              <w:sym w:font="Wingdings" w:char="F0FC"/>
            </w:r>
          </w:p>
        </w:tc>
        <w:tc>
          <w:tcPr>
            <w:tcW w:w="0" w:type="auto"/>
            <w:noWrap w:val="0"/>
            <w:vAlign w:val="center"/>
          </w:tcPr>
          <w:p w14:paraId="7BFA2A0A">
            <w:pPr>
              <w:pStyle w:val="13"/>
              <w:rPr>
                <w:highlight w:val="none"/>
              </w:rPr>
            </w:pPr>
          </w:p>
        </w:tc>
        <w:tc>
          <w:tcPr>
            <w:tcW w:w="0" w:type="auto"/>
            <w:noWrap w:val="0"/>
            <w:vAlign w:val="center"/>
          </w:tcPr>
          <w:p w14:paraId="41E7C9F5">
            <w:pPr>
              <w:pStyle w:val="13"/>
              <w:rPr>
                <w:highlight w:val="none"/>
              </w:rPr>
            </w:pPr>
          </w:p>
        </w:tc>
      </w:tr>
      <w:tr w14:paraId="61F34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283ADCC">
            <w:pPr>
              <w:pStyle w:val="13"/>
              <w:rPr>
                <w:highlight w:val="none"/>
              </w:rPr>
            </w:pPr>
            <w:r>
              <w:rPr>
                <w:rFonts w:hint="eastAsia"/>
                <w:highlight w:val="none"/>
                <w:lang w:val="en-US" w:eastAsia="zh-CN"/>
              </w:rPr>
              <w:t>3</w:t>
            </w:r>
            <w:r>
              <w:rPr>
                <w:rFonts w:hint="eastAsia"/>
                <w:highlight w:val="none"/>
              </w:rPr>
              <w:t>.4</w:t>
            </w:r>
          </w:p>
        </w:tc>
        <w:tc>
          <w:tcPr>
            <w:tcW w:w="3274" w:type="dxa"/>
            <w:tcBorders>
              <w:left w:val="single" w:color="auto" w:sz="4" w:space="0"/>
            </w:tcBorders>
            <w:noWrap w:val="0"/>
            <w:vAlign w:val="center"/>
          </w:tcPr>
          <w:p w14:paraId="251EA074">
            <w:pPr>
              <w:pStyle w:val="13"/>
              <w:rPr>
                <w:highlight w:val="none"/>
              </w:rPr>
            </w:pPr>
            <w:r>
              <w:rPr>
                <w:rFonts w:hint="eastAsia"/>
                <w:highlight w:val="none"/>
              </w:rPr>
              <w:t>为发包人、监理人及顾问办公室提供充足的安保工作。</w:t>
            </w:r>
          </w:p>
        </w:tc>
        <w:tc>
          <w:tcPr>
            <w:tcW w:w="0" w:type="auto"/>
            <w:noWrap w:val="0"/>
            <w:vAlign w:val="center"/>
          </w:tcPr>
          <w:p w14:paraId="515DF0F2">
            <w:pPr>
              <w:pStyle w:val="13"/>
              <w:rPr>
                <w:highlight w:val="none"/>
              </w:rPr>
            </w:pPr>
            <w:r>
              <w:rPr>
                <w:highlight w:val="none"/>
              </w:rPr>
              <w:sym w:font="Wingdings" w:char="F0FC"/>
            </w:r>
          </w:p>
        </w:tc>
        <w:tc>
          <w:tcPr>
            <w:tcW w:w="0" w:type="auto"/>
            <w:noWrap w:val="0"/>
            <w:vAlign w:val="center"/>
          </w:tcPr>
          <w:p w14:paraId="7E3DC440">
            <w:pPr>
              <w:pStyle w:val="13"/>
              <w:rPr>
                <w:highlight w:val="none"/>
              </w:rPr>
            </w:pPr>
          </w:p>
        </w:tc>
        <w:tc>
          <w:tcPr>
            <w:tcW w:w="0" w:type="auto"/>
            <w:noWrap w:val="0"/>
            <w:vAlign w:val="center"/>
          </w:tcPr>
          <w:p w14:paraId="2EBFCD1B">
            <w:pPr>
              <w:pStyle w:val="13"/>
              <w:rPr>
                <w:highlight w:val="none"/>
              </w:rPr>
            </w:pPr>
          </w:p>
        </w:tc>
      </w:tr>
      <w:tr w14:paraId="355E9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861A553">
            <w:pPr>
              <w:pStyle w:val="13"/>
              <w:rPr>
                <w:highlight w:val="none"/>
              </w:rPr>
            </w:pPr>
            <w:r>
              <w:rPr>
                <w:rFonts w:hint="eastAsia"/>
                <w:highlight w:val="none"/>
                <w:lang w:val="en-US" w:eastAsia="zh-CN"/>
              </w:rPr>
              <w:t>3</w:t>
            </w:r>
            <w:r>
              <w:rPr>
                <w:rFonts w:hint="eastAsia"/>
                <w:highlight w:val="none"/>
              </w:rPr>
              <w:t>.5</w:t>
            </w:r>
          </w:p>
        </w:tc>
        <w:tc>
          <w:tcPr>
            <w:tcW w:w="3274" w:type="dxa"/>
            <w:tcBorders>
              <w:left w:val="single" w:color="auto" w:sz="4" w:space="0"/>
            </w:tcBorders>
            <w:noWrap w:val="0"/>
            <w:vAlign w:val="center"/>
          </w:tcPr>
          <w:p w14:paraId="2B013369">
            <w:pPr>
              <w:pStyle w:val="13"/>
              <w:rPr>
                <w:highlight w:val="none"/>
              </w:rPr>
            </w:pPr>
            <w:r>
              <w:rPr>
                <w:rFonts w:hint="eastAsia"/>
                <w:highlight w:val="none"/>
              </w:rPr>
              <w:t>负责与相关政府部门的联络、沟通、汇报等工作。</w:t>
            </w:r>
          </w:p>
        </w:tc>
        <w:tc>
          <w:tcPr>
            <w:tcW w:w="0" w:type="auto"/>
            <w:noWrap w:val="0"/>
            <w:vAlign w:val="center"/>
          </w:tcPr>
          <w:p w14:paraId="5EEE21DC">
            <w:pPr>
              <w:pStyle w:val="13"/>
              <w:rPr>
                <w:highlight w:val="none"/>
              </w:rPr>
            </w:pPr>
            <w:r>
              <w:rPr>
                <w:highlight w:val="none"/>
              </w:rPr>
              <w:sym w:font="Wingdings" w:char="F0FC"/>
            </w:r>
          </w:p>
        </w:tc>
        <w:tc>
          <w:tcPr>
            <w:tcW w:w="0" w:type="auto"/>
            <w:noWrap w:val="0"/>
            <w:vAlign w:val="center"/>
          </w:tcPr>
          <w:p w14:paraId="2CF8342A">
            <w:pPr>
              <w:pStyle w:val="13"/>
              <w:rPr>
                <w:highlight w:val="none"/>
              </w:rPr>
            </w:pPr>
          </w:p>
        </w:tc>
        <w:tc>
          <w:tcPr>
            <w:tcW w:w="0" w:type="auto"/>
            <w:noWrap w:val="0"/>
            <w:vAlign w:val="center"/>
          </w:tcPr>
          <w:p w14:paraId="41AF8664">
            <w:pPr>
              <w:pStyle w:val="13"/>
              <w:rPr>
                <w:highlight w:val="none"/>
              </w:rPr>
            </w:pPr>
          </w:p>
        </w:tc>
      </w:tr>
      <w:tr w14:paraId="0F372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93094CC">
            <w:pPr>
              <w:pStyle w:val="13"/>
              <w:rPr>
                <w:highlight w:val="none"/>
              </w:rPr>
            </w:pPr>
            <w:r>
              <w:rPr>
                <w:rFonts w:hint="eastAsia"/>
                <w:highlight w:val="none"/>
                <w:lang w:val="en-US" w:eastAsia="zh-CN"/>
              </w:rPr>
              <w:t>3</w:t>
            </w:r>
            <w:r>
              <w:rPr>
                <w:rFonts w:hint="eastAsia"/>
                <w:highlight w:val="none"/>
              </w:rPr>
              <w:t>.6</w:t>
            </w:r>
          </w:p>
        </w:tc>
        <w:tc>
          <w:tcPr>
            <w:tcW w:w="3274" w:type="dxa"/>
            <w:tcBorders>
              <w:left w:val="single" w:color="auto" w:sz="4" w:space="0"/>
            </w:tcBorders>
            <w:noWrap w:val="0"/>
            <w:vAlign w:val="center"/>
          </w:tcPr>
          <w:p w14:paraId="5FE68D03">
            <w:pPr>
              <w:pStyle w:val="13"/>
              <w:rPr>
                <w:highlight w:val="none"/>
              </w:rPr>
            </w:pPr>
            <w:r>
              <w:rPr>
                <w:rFonts w:hint="eastAsia"/>
                <w:highlight w:val="none"/>
              </w:rPr>
              <w:t>收集进场工人人脸信息，并在安全帽上提供个人信息（姓名、性别、血型、应急联系人、单位、工种等）。</w:t>
            </w:r>
          </w:p>
        </w:tc>
        <w:tc>
          <w:tcPr>
            <w:tcW w:w="0" w:type="auto"/>
            <w:noWrap w:val="0"/>
            <w:vAlign w:val="center"/>
          </w:tcPr>
          <w:p w14:paraId="584F8AE5">
            <w:pPr>
              <w:pStyle w:val="13"/>
              <w:rPr>
                <w:highlight w:val="none"/>
              </w:rPr>
            </w:pPr>
            <w:r>
              <w:rPr>
                <w:highlight w:val="none"/>
              </w:rPr>
              <w:sym w:font="Wingdings" w:char="F0FC"/>
            </w:r>
          </w:p>
        </w:tc>
        <w:tc>
          <w:tcPr>
            <w:tcW w:w="0" w:type="auto"/>
            <w:noWrap w:val="0"/>
            <w:vAlign w:val="center"/>
          </w:tcPr>
          <w:p w14:paraId="7658899C">
            <w:pPr>
              <w:pStyle w:val="13"/>
              <w:rPr>
                <w:highlight w:val="none"/>
              </w:rPr>
            </w:pPr>
            <w:r>
              <w:rPr>
                <w:rFonts w:hint="eastAsia"/>
                <w:highlight w:val="none"/>
              </w:rPr>
              <w:t>配合办理和提供人员信息</w:t>
            </w:r>
          </w:p>
        </w:tc>
        <w:tc>
          <w:tcPr>
            <w:tcW w:w="0" w:type="auto"/>
            <w:noWrap w:val="0"/>
            <w:vAlign w:val="center"/>
          </w:tcPr>
          <w:p w14:paraId="6ACE4563">
            <w:pPr>
              <w:pStyle w:val="13"/>
              <w:rPr>
                <w:highlight w:val="none"/>
              </w:rPr>
            </w:pPr>
          </w:p>
        </w:tc>
      </w:tr>
      <w:tr w14:paraId="023F8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4BA3049">
            <w:pPr>
              <w:pStyle w:val="13"/>
              <w:rPr>
                <w:highlight w:val="none"/>
              </w:rPr>
            </w:pPr>
            <w:r>
              <w:rPr>
                <w:rFonts w:hint="eastAsia"/>
                <w:highlight w:val="none"/>
                <w:lang w:val="en-US" w:eastAsia="zh-CN"/>
              </w:rPr>
              <w:t>3</w:t>
            </w:r>
            <w:r>
              <w:rPr>
                <w:rFonts w:hint="eastAsia"/>
                <w:highlight w:val="none"/>
              </w:rPr>
              <w:t>.7</w:t>
            </w:r>
          </w:p>
        </w:tc>
        <w:tc>
          <w:tcPr>
            <w:tcW w:w="3274" w:type="dxa"/>
            <w:tcBorders>
              <w:left w:val="single" w:color="auto" w:sz="4" w:space="0"/>
            </w:tcBorders>
            <w:noWrap w:val="0"/>
            <w:vAlign w:val="center"/>
          </w:tcPr>
          <w:p w14:paraId="723CCE8E">
            <w:pPr>
              <w:pStyle w:val="13"/>
              <w:rPr>
                <w:highlight w:val="none"/>
              </w:rPr>
            </w:pPr>
            <w:r>
              <w:rPr>
                <w:rFonts w:hint="eastAsia"/>
                <w:highlight w:val="none"/>
              </w:rPr>
              <w:t>为全场的各项工作及材料提供安保，并24小时保安、巡逻、秩序维护。</w:t>
            </w:r>
          </w:p>
        </w:tc>
        <w:tc>
          <w:tcPr>
            <w:tcW w:w="0" w:type="auto"/>
            <w:noWrap w:val="0"/>
            <w:vAlign w:val="center"/>
          </w:tcPr>
          <w:p w14:paraId="2ACB35A2">
            <w:pPr>
              <w:pStyle w:val="13"/>
              <w:rPr>
                <w:highlight w:val="none"/>
              </w:rPr>
            </w:pPr>
            <w:r>
              <w:rPr>
                <w:highlight w:val="none"/>
              </w:rPr>
              <w:sym w:font="Wingdings" w:char="F0FC"/>
            </w:r>
          </w:p>
        </w:tc>
        <w:tc>
          <w:tcPr>
            <w:tcW w:w="0" w:type="auto"/>
            <w:noWrap w:val="0"/>
            <w:vAlign w:val="center"/>
          </w:tcPr>
          <w:p w14:paraId="4CFBCD5B">
            <w:pPr>
              <w:pStyle w:val="13"/>
              <w:rPr>
                <w:highlight w:val="none"/>
              </w:rPr>
            </w:pPr>
          </w:p>
        </w:tc>
        <w:tc>
          <w:tcPr>
            <w:tcW w:w="0" w:type="auto"/>
            <w:noWrap w:val="0"/>
            <w:vAlign w:val="center"/>
          </w:tcPr>
          <w:p w14:paraId="5AF22C35">
            <w:pPr>
              <w:pStyle w:val="13"/>
              <w:rPr>
                <w:highlight w:val="none"/>
              </w:rPr>
            </w:pPr>
          </w:p>
        </w:tc>
      </w:tr>
      <w:tr w14:paraId="5822E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B4C5992">
            <w:pPr>
              <w:pStyle w:val="13"/>
              <w:rPr>
                <w:highlight w:val="none"/>
              </w:rPr>
            </w:pPr>
            <w:r>
              <w:rPr>
                <w:rFonts w:hint="eastAsia"/>
                <w:highlight w:val="none"/>
                <w:lang w:val="en-US" w:eastAsia="zh-CN"/>
              </w:rPr>
              <w:t>3</w:t>
            </w:r>
            <w:r>
              <w:rPr>
                <w:rFonts w:hint="eastAsia"/>
                <w:highlight w:val="none"/>
              </w:rPr>
              <w:t>.8</w:t>
            </w:r>
          </w:p>
        </w:tc>
        <w:tc>
          <w:tcPr>
            <w:tcW w:w="3274" w:type="dxa"/>
            <w:tcBorders>
              <w:left w:val="single" w:color="auto" w:sz="4" w:space="0"/>
            </w:tcBorders>
            <w:noWrap w:val="0"/>
            <w:vAlign w:val="center"/>
          </w:tcPr>
          <w:p w14:paraId="4F19A7AD">
            <w:pPr>
              <w:pStyle w:val="13"/>
              <w:rPr>
                <w:highlight w:val="none"/>
              </w:rPr>
            </w:pPr>
            <w:r>
              <w:rPr>
                <w:rFonts w:hint="eastAsia"/>
                <w:highlight w:val="none"/>
              </w:rPr>
              <w:t>保护附近永久建筑、道路免受施工损坏。并承担由此引起的纠纷和损失。</w:t>
            </w:r>
          </w:p>
        </w:tc>
        <w:tc>
          <w:tcPr>
            <w:tcW w:w="0" w:type="auto"/>
            <w:noWrap w:val="0"/>
            <w:vAlign w:val="center"/>
          </w:tcPr>
          <w:p w14:paraId="23C3A01B">
            <w:pPr>
              <w:pStyle w:val="13"/>
              <w:rPr>
                <w:highlight w:val="none"/>
              </w:rPr>
            </w:pPr>
            <w:r>
              <w:rPr>
                <w:highlight w:val="none"/>
              </w:rPr>
              <w:sym w:font="Wingdings" w:char="F0FC"/>
            </w:r>
          </w:p>
        </w:tc>
        <w:tc>
          <w:tcPr>
            <w:tcW w:w="0" w:type="auto"/>
            <w:noWrap w:val="0"/>
            <w:vAlign w:val="center"/>
          </w:tcPr>
          <w:p w14:paraId="79523389">
            <w:pPr>
              <w:pStyle w:val="13"/>
              <w:rPr>
                <w:highlight w:val="none"/>
              </w:rPr>
            </w:pPr>
          </w:p>
        </w:tc>
        <w:tc>
          <w:tcPr>
            <w:tcW w:w="0" w:type="auto"/>
            <w:noWrap w:val="0"/>
            <w:vAlign w:val="center"/>
          </w:tcPr>
          <w:p w14:paraId="699270B9">
            <w:pPr>
              <w:pStyle w:val="13"/>
              <w:rPr>
                <w:highlight w:val="none"/>
              </w:rPr>
            </w:pPr>
          </w:p>
        </w:tc>
      </w:tr>
      <w:tr w14:paraId="10D13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185334AF">
            <w:pPr>
              <w:pStyle w:val="13"/>
              <w:rPr>
                <w:highlight w:val="none"/>
              </w:rPr>
            </w:pPr>
            <w:r>
              <w:rPr>
                <w:rFonts w:hint="eastAsia"/>
                <w:highlight w:val="none"/>
                <w:lang w:val="en-US" w:eastAsia="zh-CN"/>
              </w:rPr>
              <w:t>3</w:t>
            </w:r>
            <w:r>
              <w:rPr>
                <w:rFonts w:hint="eastAsia"/>
                <w:highlight w:val="none"/>
              </w:rPr>
              <w:t>.9</w:t>
            </w:r>
          </w:p>
        </w:tc>
        <w:tc>
          <w:tcPr>
            <w:tcW w:w="3274" w:type="dxa"/>
            <w:tcBorders>
              <w:left w:val="single" w:color="auto" w:sz="4" w:space="0"/>
            </w:tcBorders>
            <w:noWrap w:val="0"/>
            <w:vAlign w:val="center"/>
          </w:tcPr>
          <w:p w14:paraId="082CF353">
            <w:pPr>
              <w:pStyle w:val="13"/>
              <w:rPr>
                <w:highlight w:val="none"/>
              </w:rPr>
            </w:pPr>
            <w:r>
              <w:rPr>
                <w:rFonts w:hint="eastAsia"/>
                <w:highlight w:val="none"/>
              </w:rPr>
              <w:t>每天完工时清理施工现场并将作业面上垃圾运至指定的垃圾堆场，保持现场清洁。</w:t>
            </w:r>
          </w:p>
        </w:tc>
        <w:tc>
          <w:tcPr>
            <w:tcW w:w="0" w:type="auto"/>
            <w:noWrap w:val="0"/>
            <w:vAlign w:val="center"/>
          </w:tcPr>
          <w:p w14:paraId="5E9A2BAF">
            <w:pPr>
              <w:pStyle w:val="13"/>
              <w:rPr>
                <w:highlight w:val="none"/>
              </w:rPr>
            </w:pPr>
            <w:r>
              <w:rPr>
                <w:highlight w:val="none"/>
              </w:rPr>
              <w:sym w:font="Wingdings" w:char="F0FC"/>
            </w:r>
          </w:p>
        </w:tc>
        <w:tc>
          <w:tcPr>
            <w:tcW w:w="0" w:type="auto"/>
            <w:noWrap w:val="0"/>
            <w:vAlign w:val="center"/>
          </w:tcPr>
          <w:p w14:paraId="5F9802F6">
            <w:pPr>
              <w:pStyle w:val="13"/>
              <w:rPr>
                <w:highlight w:val="none"/>
              </w:rPr>
            </w:pPr>
            <w:r>
              <w:rPr>
                <w:highlight w:val="none"/>
              </w:rPr>
              <w:sym w:font="Wingdings" w:char="F0FC"/>
            </w:r>
          </w:p>
        </w:tc>
        <w:tc>
          <w:tcPr>
            <w:tcW w:w="0" w:type="auto"/>
            <w:noWrap w:val="0"/>
            <w:vAlign w:val="center"/>
          </w:tcPr>
          <w:p w14:paraId="2FE22B5C">
            <w:pPr>
              <w:pStyle w:val="13"/>
              <w:rPr>
                <w:highlight w:val="none"/>
              </w:rPr>
            </w:pPr>
            <w:r>
              <w:rPr>
                <w:rFonts w:hint="eastAsia"/>
                <w:highlight w:val="none"/>
              </w:rPr>
              <w:t>各自负责其工作面垃圾清理，总承包人负责检查、督促</w:t>
            </w:r>
          </w:p>
        </w:tc>
      </w:tr>
      <w:tr w14:paraId="1753E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DA59B28">
            <w:pPr>
              <w:pStyle w:val="13"/>
              <w:rPr>
                <w:highlight w:val="none"/>
              </w:rPr>
            </w:pPr>
            <w:r>
              <w:rPr>
                <w:rFonts w:hint="eastAsia"/>
                <w:highlight w:val="none"/>
                <w:lang w:val="en-US" w:eastAsia="zh-CN"/>
              </w:rPr>
              <w:t>3</w:t>
            </w:r>
            <w:r>
              <w:rPr>
                <w:rFonts w:hint="eastAsia"/>
                <w:highlight w:val="none"/>
              </w:rPr>
              <w:t>.10</w:t>
            </w:r>
          </w:p>
        </w:tc>
        <w:tc>
          <w:tcPr>
            <w:tcW w:w="3274" w:type="dxa"/>
            <w:tcBorders>
              <w:left w:val="single" w:color="auto" w:sz="4" w:space="0"/>
            </w:tcBorders>
            <w:noWrap w:val="0"/>
            <w:vAlign w:val="center"/>
          </w:tcPr>
          <w:p w14:paraId="6939A714">
            <w:pPr>
              <w:pStyle w:val="13"/>
              <w:rPr>
                <w:highlight w:val="none"/>
              </w:rPr>
            </w:pPr>
            <w:r>
              <w:rPr>
                <w:rFonts w:hint="eastAsia"/>
                <w:highlight w:val="none"/>
              </w:rPr>
              <w:t>总承包人每天清运垃圾堆场的垃圾，保持现场清洁，直至交付发包人为止。</w:t>
            </w:r>
          </w:p>
        </w:tc>
        <w:tc>
          <w:tcPr>
            <w:tcW w:w="0" w:type="auto"/>
            <w:noWrap w:val="0"/>
            <w:vAlign w:val="center"/>
          </w:tcPr>
          <w:p w14:paraId="4E9F8618">
            <w:pPr>
              <w:pStyle w:val="13"/>
              <w:rPr>
                <w:highlight w:val="none"/>
              </w:rPr>
            </w:pPr>
            <w:r>
              <w:rPr>
                <w:highlight w:val="none"/>
              </w:rPr>
              <w:sym w:font="Wingdings" w:char="F0FC"/>
            </w:r>
          </w:p>
        </w:tc>
        <w:tc>
          <w:tcPr>
            <w:tcW w:w="0" w:type="auto"/>
            <w:noWrap w:val="0"/>
            <w:vAlign w:val="center"/>
          </w:tcPr>
          <w:p w14:paraId="55961289">
            <w:pPr>
              <w:pStyle w:val="13"/>
              <w:rPr>
                <w:highlight w:val="none"/>
              </w:rPr>
            </w:pPr>
            <w:r>
              <w:rPr>
                <w:highlight w:val="none"/>
              </w:rPr>
              <w:sym w:font="Wingdings" w:char="F0FC"/>
            </w:r>
          </w:p>
        </w:tc>
        <w:tc>
          <w:tcPr>
            <w:tcW w:w="0" w:type="auto"/>
            <w:noWrap w:val="0"/>
            <w:vAlign w:val="center"/>
          </w:tcPr>
          <w:p w14:paraId="659F1D04">
            <w:pPr>
              <w:pStyle w:val="13"/>
              <w:rPr>
                <w:highlight w:val="none"/>
              </w:rPr>
            </w:pPr>
            <w:r>
              <w:rPr>
                <w:rFonts w:hint="eastAsia"/>
                <w:highlight w:val="none"/>
              </w:rPr>
              <w:t>由总承包统筹临时堆放场地、运输安排、弃放场地等并满足文明施工相关规定</w:t>
            </w:r>
          </w:p>
        </w:tc>
      </w:tr>
      <w:tr w14:paraId="2A2EE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EB9395B">
            <w:pPr>
              <w:pStyle w:val="13"/>
              <w:rPr>
                <w:highlight w:val="none"/>
              </w:rPr>
            </w:pPr>
            <w:r>
              <w:rPr>
                <w:rFonts w:hint="eastAsia"/>
                <w:highlight w:val="none"/>
                <w:lang w:val="en-US" w:eastAsia="zh-CN"/>
              </w:rPr>
              <w:t>3</w:t>
            </w:r>
            <w:r>
              <w:rPr>
                <w:rFonts w:hint="eastAsia"/>
                <w:highlight w:val="none"/>
              </w:rPr>
              <w:t>.11</w:t>
            </w:r>
          </w:p>
        </w:tc>
        <w:tc>
          <w:tcPr>
            <w:tcW w:w="3274" w:type="dxa"/>
            <w:tcBorders>
              <w:left w:val="single" w:color="auto" w:sz="4" w:space="0"/>
            </w:tcBorders>
            <w:noWrap w:val="0"/>
            <w:vAlign w:val="center"/>
          </w:tcPr>
          <w:p w14:paraId="24E399C1">
            <w:pPr>
              <w:pStyle w:val="13"/>
              <w:rPr>
                <w:highlight w:val="none"/>
              </w:rPr>
            </w:pPr>
            <w:r>
              <w:rPr>
                <w:rFonts w:hint="eastAsia"/>
                <w:highlight w:val="none"/>
              </w:rPr>
              <w:t>按规范要求于现场设置灭火器、沙桶及其他有效的消防设施。</w:t>
            </w:r>
          </w:p>
        </w:tc>
        <w:tc>
          <w:tcPr>
            <w:tcW w:w="0" w:type="auto"/>
            <w:noWrap w:val="0"/>
            <w:vAlign w:val="center"/>
          </w:tcPr>
          <w:p w14:paraId="682319ED">
            <w:pPr>
              <w:pStyle w:val="13"/>
              <w:rPr>
                <w:highlight w:val="none"/>
              </w:rPr>
            </w:pPr>
            <w:r>
              <w:rPr>
                <w:highlight w:val="none"/>
              </w:rPr>
              <w:sym w:font="Wingdings" w:char="F0FC"/>
            </w:r>
          </w:p>
        </w:tc>
        <w:tc>
          <w:tcPr>
            <w:tcW w:w="0" w:type="auto"/>
            <w:noWrap w:val="0"/>
            <w:vAlign w:val="center"/>
          </w:tcPr>
          <w:p w14:paraId="451DDEF1">
            <w:pPr>
              <w:pStyle w:val="13"/>
              <w:rPr>
                <w:highlight w:val="none"/>
              </w:rPr>
            </w:pPr>
            <w:r>
              <w:rPr>
                <w:highlight w:val="none"/>
              </w:rPr>
              <w:sym w:font="Wingdings" w:char="F0FC"/>
            </w:r>
          </w:p>
        </w:tc>
        <w:tc>
          <w:tcPr>
            <w:tcW w:w="0" w:type="auto"/>
            <w:noWrap w:val="0"/>
            <w:vAlign w:val="center"/>
          </w:tcPr>
          <w:p w14:paraId="5A699919">
            <w:pPr>
              <w:pStyle w:val="13"/>
              <w:rPr>
                <w:highlight w:val="none"/>
              </w:rPr>
            </w:pPr>
            <w:r>
              <w:rPr>
                <w:rFonts w:hint="eastAsia"/>
                <w:highlight w:val="none"/>
              </w:rPr>
              <w:t>各自负责工作区域；公共区域由总承包人负责；消防用水由总承包人接至每一楼层。</w:t>
            </w:r>
          </w:p>
        </w:tc>
      </w:tr>
      <w:tr w14:paraId="10DFB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BFE0B0E">
            <w:pPr>
              <w:pStyle w:val="13"/>
              <w:rPr>
                <w:highlight w:val="none"/>
              </w:rPr>
            </w:pPr>
            <w:r>
              <w:rPr>
                <w:rFonts w:hint="eastAsia"/>
                <w:highlight w:val="none"/>
                <w:lang w:val="en-US" w:eastAsia="zh-CN"/>
              </w:rPr>
              <w:t>3</w:t>
            </w:r>
            <w:r>
              <w:rPr>
                <w:rFonts w:hint="eastAsia"/>
                <w:highlight w:val="none"/>
              </w:rPr>
              <w:t>.12</w:t>
            </w:r>
          </w:p>
        </w:tc>
        <w:tc>
          <w:tcPr>
            <w:tcW w:w="3274" w:type="dxa"/>
            <w:tcBorders>
              <w:left w:val="single" w:color="auto" w:sz="4" w:space="0"/>
            </w:tcBorders>
            <w:noWrap w:val="0"/>
            <w:vAlign w:val="center"/>
          </w:tcPr>
          <w:p w14:paraId="0E0C9349">
            <w:pPr>
              <w:pStyle w:val="13"/>
              <w:rPr>
                <w:highlight w:val="none"/>
              </w:rPr>
            </w:pPr>
            <w:r>
              <w:rPr>
                <w:rFonts w:hint="eastAsia"/>
                <w:highlight w:val="none"/>
              </w:rPr>
              <w:t>在分层装修</w:t>
            </w:r>
            <w:r>
              <w:rPr>
                <w:highlight w:val="none"/>
              </w:rPr>
              <w:t>(</w:t>
            </w:r>
            <w:r>
              <w:rPr>
                <w:rFonts w:hint="eastAsia"/>
                <w:highlight w:val="none"/>
              </w:rPr>
              <w:t>包括内装修与外装修</w:t>
            </w:r>
            <w:r>
              <w:rPr>
                <w:highlight w:val="none"/>
              </w:rPr>
              <w:t>)</w:t>
            </w:r>
            <w:r>
              <w:rPr>
                <w:rFonts w:hint="eastAsia"/>
                <w:highlight w:val="none"/>
              </w:rPr>
              <w:t>时，须提供必要的安全防护。</w:t>
            </w:r>
          </w:p>
        </w:tc>
        <w:tc>
          <w:tcPr>
            <w:tcW w:w="0" w:type="auto"/>
            <w:noWrap w:val="0"/>
            <w:vAlign w:val="center"/>
          </w:tcPr>
          <w:p w14:paraId="1BC41BF8">
            <w:pPr>
              <w:pStyle w:val="13"/>
              <w:rPr>
                <w:highlight w:val="none"/>
              </w:rPr>
            </w:pPr>
            <w:r>
              <w:rPr>
                <w:highlight w:val="none"/>
              </w:rPr>
              <w:sym w:font="Wingdings" w:char="F0FC"/>
            </w:r>
          </w:p>
        </w:tc>
        <w:tc>
          <w:tcPr>
            <w:tcW w:w="0" w:type="auto"/>
            <w:noWrap w:val="0"/>
            <w:vAlign w:val="center"/>
          </w:tcPr>
          <w:p w14:paraId="635CCBB5">
            <w:pPr>
              <w:pStyle w:val="13"/>
              <w:rPr>
                <w:highlight w:val="none"/>
              </w:rPr>
            </w:pPr>
            <w:r>
              <w:rPr>
                <w:highlight w:val="none"/>
              </w:rPr>
              <w:sym w:font="Wingdings" w:char="F0FC"/>
            </w:r>
          </w:p>
        </w:tc>
        <w:tc>
          <w:tcPr>
            <w:tcW w:w="0" w:type="auto"/>
            <w:noWrap w:val="0"/>
            <w:vAlign w:val="center"/>
          </w:tcPr>
          <w:p w14:paraId="26FF31E0">
            <w:pPr>
              <w:pStyle w:val="13"/>
              <w:rPr>
                <w:highlight w:val="none"/>
              </w:rPr>
            </w:pPr>
          </w:p>
        </w:tc>
      </w:tr>
      <w:tr w14:paraId="620DC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AEBBB7A">
            <w:pPr>
              <w:pStyle w:val="13"/>
              <w:rPr>
                <w:highlight w:val="none"/>
              </w:rPr>
            </w:pPr>
            <w:r>
              <w:rPr>
                <w:rFonts w:hint="eastAsia"/>
                <w:highlight w:val="none"/>
                <w:lang w:val="en-US" w:eastAsia="zh-CN"/>
              </w:rPr>
              <w:t>3</w:t>
            </w:r>
            <w:r>
              <w:rPr>
                <w:rFonts w:hint="eastAsia"/>
                <w:highlight w:val="none"/>
              </w:rPr>
              <w:t>.13</w:t>
            </w:r>
          </w:p>
        </w:tc>
        <w:tc>
          <w:tcPr>
            <w:tcW w:w="3274" w:type="dxa"/>
            <w:tcBorders>
              <w:left w:val="single" w:color="auto" w:sz="4" w:space="0"/>
            </w:tcBorders>
            <w:noWrap w:val="0"/>
            <w:vAlign w:val="center"/>
          </w:tcPr>
          <w:p w14:paraId="02D09C4F">
            <w:pPr>
              <w:pStyle w:val="13"/>
              <w:rPr>
                <w:highlight w:val="none"/>
              </w:rPr>
            </w:pPr>
            <w:r>
              <w:rPr>
                <w:rFonts w:hint="eastAsia"/>
                <w:highlight w:val="none"/>
              </w:rPr>
              <w:t xml:space="preserve">搭设、维护各类临边、洞口的安全防护及洞口盖板直至专业承包人/独立承包人工作进展要求拆除为止。 </w:t>
            </w:r>
          </w:p>
        </w:tc>
        <w:tc>
          <w:tcPr>
            <w:tcW w:w="0" w:type="auto"/>
            <w:noWrap w:val="0"/>
            <w:vAlign w:val="center"/>
          </w:tcPr>
          <w:p w14:paraId="628E3696">
            <w:pPr>
              <w:pStyle w:val="13"/>
              <w:rPr>
                <w:highlight w:val="none"/>
              </w:rPr>
            </w:pPr>
            <w:r>
              <w:rPr>
                <w:highlight w:val="none"/>
              </w:rPr>
              <w:sym w:font="Wingdings" w:char="F0FC"/>
            </w:r>
          </w:p>
        </w:tc>
        <w:tc>
          <w:tcPr>
            <w:tcW w:w="0" w:type="auto"/>
            <w:noWrap w:val="0"/>
            <w:vAlign w:val="center"/>
          </w:tcPr>
          <w:p w14:paraId="1278D4A2">
            <w:pPr>
              <w:pStyle w:val="13"/>
              <w:rPr>
                <w:highlight w:val="none"/>
              </w:rPr>
            </w:pPr>
            <w:r>
              <w:rPr>
                <w:rFonts w:hint="eastAsia"/>
                <w:highlight w:val="none"/>
              </w:rPr>
              <w:t>负责继后的修复工作。</w:t>
            </w:r>
          </w:p>
        </w:tc>
        <w:tc>
          <w:tcPr>
            <w:tcW w:w="0" w:type="auto"/>
            <w:noWrap w:val="0"/>
            <w:vAlign w:val="center"/>
          </w:tcPr>
          <w:p w14:paraId="32FA75C6">
            <w:pPr>
              <w:pStyle w:val="13"/>
              <w:rPr>
                <w:highlight w:val="none"/>
              </w:rPr>
            </w:pPr>
          </w:p>
        </w:tc>
      </w:tr>
      <w:tr w14:paraId="6C7D0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1FEB62F">
            <w:pPr>
              <w:pStyle w:val="13"/>
              <w:rPr>
                <w:highlight w:val="none"/>
              </w:rPr>
            </w:pPr>
            <w:r>
              <w:rPr>
                <w:rFonts w:hint="eastAsia"/>
                <w:highlight w:val="none"/>
                <w:lang w:val="en-US" w:eastAsia="zh-CN"/>
              </w:rPr>
              <w:t>3</w:t>
            </w:r>
            <w:r>
              <w:rPr>
                <w:rFonts w:hint="eastAsia"/>
                <w:highlight w:val="none"/>
              </w:rPr>
              <w:t>.14</w:t>
            </w:r>
          </w:p>
        </w:tc>
        <w:tc>
          <w:tcPr>
            <w:tcW w:w="3274" w:type="dxa"/>
            <w:tcBorders>
              <w:left w:val="single" w:color="auto" w:sz="4" w:space="0"/>
            </w:tcBorders>
            <w:noWrap w:val="0"/>
            <w:vAlign w:val="center"/>
          </w:tcPr>
          <w:p w14:paraId="12E590BE">
            <w:pPr>
              <w:pStyle w:val="13"/>
              <w:rPr>
                <w:highlight w:val="none"/>
              </w:rPr>
            </w:pPr>
            <w:r>
              <w:rPr>
                <w:rFonts w:hint="eastAsia"/>
                <w:highlight w:val="none"/>
              </w:rPr>
              <w:t>提供工地上一般现成的围网、围板、安全栏杆等以保障场地安全。</w:t>
            </w:r>
          </w:p>
        </w:tc>
        <w:tc>
          <w:tcPr>
            <w:tcW w:w="0" w:type="auto"/>
            <w:noWrap w:val="0"/>
            <w:vAlign w:val="center"/>
          </w:tcPr>
          <w:p w14:paraId="4781E9D5">
            <w:pPr>
              <w:pStyle w:val="13"/>
              <w:rPr>
                <w:highlight w:val="none"/>
              </w:rPr>
            </w:pPr>
            <w:r>
              <w:rPr>
                <w:highlight w:val="none"/>
              </w:rPr>
              <w:sym w:font="Wingdings" w:char="F0FC"/>
            </w:r>
          </w:p>
        </w:tc>
        <w:tc>
          <w:tcPr>
            <w:tcW w:w="0" w:type="auto"/>
            <w:noWrap w:val="0"/>
            <w:vAlign w:val="center"/>
          </w:tcPr>
          <w:p w14:paraId="1899C447">
            <w:pPr>
              <w:pStyle w:val="13"/>
              <w:rPr>
                <w:highlight w:val="none"/>
              </w:rPr>
            </w:pPr>
            <w:r>
              <w:rPr>
                <w:rFonts w:hint="eastAsia"/>
                <w:highlight w:val="none"/>
              </w:rPr>
              <w:t>因自己施工而需进行拆卸改动，则负责继后的修复工作。</w:t>
            </w:r>
          </w:p>
        </w:tc>
        <w:tc>
          <w:tcPr>
            <w:tcW w:w="0" w:type="auto"/>
            <w:noWrap w:val="0"/>
            <w:vAlign w:val="center"/>
          </w:tcPr>
          <w:p w14:paraId="31276CB7">
            <w:pPr>
              <w:pStyle w:val="13"/>
              <w:rPr>
                <w:highlight w:val="none"/>
              </w:rPr>
            </w:pPr>
          </w:p>
        </w:tc>
      </w:tr>
      <w:tr w14:paraId="47FDD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B930F1A">
            <w:pPr>
              <w:pStyle w:val="13"/>
              <w:rPr>
                <w:highlight w:val="none"/>
              </w:rPr>
            </w:pPr>
            <w:r>
              <w:rPr>
                <w:rFonts w:hint="eastAsia"/>
                <w:highlight w:val="none"/>
                <w:lang w:val="en-US" w:eastAsia="zh-CN"/>
              </w:rPr>
              <w:t>3</w:t>
            </w:r>
            <w:r>
              <w:rPr>
                <w:rFonts w:hint="eastAsia"/>
                <w:highlight w:val="none"/>
              </w:rPr>
              <w:t>.15</w:t>
            </w:r>
          </w:p>
        </w:tc>
        <w:tc>
          <w:tcPr>
            <w:tcW w:w="3274" w:type="dxa"/>
            <w:tcBorders>
              <w:left w:val="single" w:color="auto" w:sz="4" w:space="0"/>
            </w:tcBorders>
            <w:noWrap w:val="0"/>
            <w:vAlign w:val="center"/>
          </w:tcPr>
          <w:p w14:paraId="6704CCA7">
            <w:pPr>
              <w:pStyle w:val="13"/>
              <w:rPr>
                <w:highlight w:val="none"/>
              </w:rPr>
            </w:pPr>
            <w:r>
              <w:rPr>
                <w:rFonts w:hint="eastAsia"/>
                <w:highlight w:val="none"/>
              </w:rPr>
              <w:t>提供工地上一般现成的防水、防风及防雨保护的措施。</w:t>
            </w:r>
          </w:p>
        </w:tc>
        <w:tc>
          <w:tcPr>
            <w:tcW w:w="0" w:type="auto"/>
            <w:noWrap w:val="0"/>
            <w:vAlign w:val="center"/>
          </w:tcPr>
          <w:p w14:paraId="7C251183">
            <w:pPr>
              <w:pStyle w:val="13"/>
              <w:rPr>
                <w:highlight w:val="none"/>
              </w:rPr>
            </w:pPr>
            <w:r>
              <w:rPr>
                <w:highlight w:val="none"/>
              </w:rPr>
              <w:sym w:font="Wingdings" w:char="F0FC"/>
            </w:r>
          </w:p>
        </w:tc>
        <w:tc>
          <w:tcPr>
            <w:tcW w:w="0" w:type="auto"/>
            <w:noWrap w:val="0"/>
            <w:vAlign w:val="center"/>
          </w:tcPr>
          <w:p w14:paraId="11436FE2">
            <w:pPr>
              <w:pStyle w:val="13"/>
              <w:rPr>
                <w:highlight w:val="none"/>
              </w:rPr>
            </w:pPr>
            <w:r>
              <w:rPr>
                <w:rFonts w:hint="eastAsia"/>
                <w:highlight w:val="none"/>
              </w:rPr>
              <w:t>因自己施工而进行拆卸改动，则负责继后的修复工作</w:t>
            </w:r>
            <w:r>
              <w:rPr>
                <w:highlight w:val="none"/>
              </w:rPr>
              <w:t>。</w:t>
            </w:r>
          </w:p>
        </w:tc>
        <w:tc>
          <w:tcPr>
            <w:tcW w:w="0" w:type="auto"/>
            <w:noWrap w:val="0"/>
            <w:vAlign w:val="center"/>
          </w:tcPr>
          <w:p w14:paraId="3293FD2C">
            <w:pPr>
              <w:pStyle w:val="13"/>
              <w:rPr>
                <w:highlight w:val="none"/>
              </w:rPr>
            </w:pPr>
          </w:p>
        </w:tc>
      </w:tr>
      <w:tr w14:paraId="660A5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69FE972">
            <w:pPr>
              <w:pStyle w:val="13"/>
              <w:rPr>
                <w:highlight w:val="none"/>
              </w:rPr>
            </w:pPr>
            <w:r>
              <w:rPr>
                <w:rFonts w:hint="eastAsia"/>
                <w:highlight w:val="none"/>
                <w:lang w:val="en-US" w:eastAsia="zh-CN"/>
              </w:rPr>
              <w:t>3</w:t>
            </w:r>
            <w:r>
              <w:rPr>
                <w:rFonts w:hint="eastAsia"/>
                <w:highlight w:val="none"/>
              </w:rPr>
              <w:t>.16</w:t>
            </w:r>
          </w:p>
        </w:tc>
        <w:tc>
          <w:tcPr>
            <w:tcW w:w="3274" w:type="dxa"/>
            <w:tcBorders>
              <w:left w:val="single" w:color="auto" w:sz="4" w:space="0"/>
            </w:tcBorders>
            <w:noWrap w:val="0"/>
            <w:vAlign w:val="center"/>
          </w:tcPr>
          <w:p w14:paraId="66A05727">
            <w:pPr>
              <w:pStyle w:val="13"/>
              <w:rPr>
                <w:highlight w:val="none"/>
              </w:rPr>
            </w:pPr>
            <w:r>
              <w:rPr>
                <w:rFonts w:hint="eastAsia"/>
                <w:highlight w:val="none"/>
              </w:rPr>
              <w:t>极端严寒酷热天气须采取抗热或保温措施。需要时须提供沙堤沙包或其他临时防排水设施等。</w:t>
            </w:r>
          </w:p>
        </w:tc>
        <w:tc>
          <w:tcPr>
            <w:tcW w:w="0" w:type="auto"/>
            <w:noWrap w:val="0"/>
            <w:vAlign w:val="center"/>
          </w:tcPr>
          <w:p w14:paraId="0DC05480">
            <w:pPr>
              <w:pStyle w:val="13"/>
              <w:rPr>
                <w:highlight w:val="none"/>
              </w:rPr>
            </w:pPr>
            <w:r>
              <w:rPr>
                <w:highlight w:val="none"/>
              </w:rPr>
              <w:sym w:font="Wingdings" w:char="F0FC"/>
            </w:r>
          </w:p>
        </w:tc>
        <w:tc>
          <w:tcPr>
            <w:tcW w:w="0" w:type="auto"/>
            <w:noWrap w:val="0"/>
            <w:vAlign w:val="center"/>
          </w:tcPr>
          <w:p w14:paraId="14B1E1B9">
            <w:pPr>
              <w:pStyle w:val="13"/>
              <w:rPr>
                <w:highlight w:val="none"/>
              </w:rPr>
            </w:pPr>
            <w:r>
              <w:rPr>
                <w:highlight w:val="none"/>
              </w:rPr>
              <w:sym w:font="Wingdings" w:char="F0FC"/>
            </w:r>
          </w:p>
        </w:tc>
        <w:tc>
          <w:tcPr>
            <w:tcW w:w="0" w:type="auto"/>
            <w:noWrap w:val="0"/>
            <w:vAlign w:val="center"/>
          </w:tcPr>
          <w:p w14:paraId="33BFDB9C">
            <w:pPr>
              <w:pStyle w:val="13"/>
              <w:rPr>
                <w:highlight w:val="none"/>
              </w:rPr>
            </w:pPr>
            <w:r>
              <w:rPr>
                <w:rFonts w:hint="eastAsia"/>
                <w:highlight w:val="none"/>
              </w:rPr>
              <w:t>总承包人负总体管理责任。</w:t>
            </w:r>
          </w:p>
        </w:tc>
      </w:tr>
      <w:tr w14:paraId="29DCE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8BEFD0A">
            <w:pPr>
              <w:pStyle w:val="13"/>
              <w:rPr>
                <w:highlight w:val="none"/>
              </w:rPr>
            </w:pPr>
            <w:r>
              <w:rPr>
                <w:rFonts w:hint="eastAsia"/>
                <w:highlight w:val="none"/>
                <w:lang w:val="en-US" w:eastAsia="zh-CN"/>
              </w:rPr>
              <w:t>3</w:t>
            </w:r>
            <w:r>
              <w:rPr>
                <w:rFonts w:hint="eastAsia"/>
                <w:highlight w:val="none"/>
              </w:rPr>
              <w:t>.17</w:t>
            </w:r>
          </w:p>
        </w:tc>
        <w:tc>
          <w:tcPr>
            <w:tcW w:w="3274" w:type="dxa"/>
            <w:tcBorders>
              <w:left w:val="single" w:color="auto" w:sz="4" w:space="0"/>
            </w:tcBorders>
            <w:noWrap w:val="0"/>
            <w:vAlign w:val="center"/>
          </w:tcPr>
          <w:p w14:paraId="5AC5C972">
            <w:pPr>
              <w:pStyle w:val="13"/>
              <w:rPr>
                <w:highlight w:val="none"/>
              </w:rPr>
            </w:pPr>
            <w:r>
              <w:rPr>
                <w:rFonts w:hint="eastAsia"/>
                <w:highlight w:val="none"/>
              </w:rPr>
              <w:t>为保障交通及安全，日间悬挂的旗号、讯号和标志，夜间悬挂警示灯等。</w:t>
            </w:r>
          </w:p>
        </w:tc>
        <w:tc>
          <w:tcPr>
            <w:tcW w:w="0" w:type="auto"/>
            <w:noWrap w:val="0"/>
            <w:vAlign w:val="center"/>
          </w:tcPr>
          <w:p w14:paraId="0D045F9A">
            <w:pPr>
              <w:pStyle w:val="13"/>
              <w:rPr>
                <w:highlight w:val="none"/>
              </w:rPr>
            </w:pPr>
            <w:r>
              <w:rPr>
                <w:highlight w:val="none"/>
              </w:rPr>
              <w:sym w:font="Wingdings" w:char="F0FC"/>
            </w:r>
          </w:p>
        </w:tc>
        <w:tc>
          <w:tcPr>
            <w:tcW w:w="0" w:type="auto"/>
            <w:noWrap w:val="0"/>
            <w:vAlign w:val="center"/>
          </w:tcPr>
          <w:p w14:paraId="465BFC36">
            <w:pPr>
              <w:pStyle w:val="13"/>
              <w:rPr>
                <w:highlight w:val="none"/>
              </w:rPr>
            </w:pPr>
          </w:p>
        </w:tc>
        <w:tc>
          <w:tcPr>
            <w:tcW w:w="0" w:type="auto"/>
            <w:noWrap w:val="0"/>
            <w:vAlign w:val="center"/>
          </w:tcPr>
          <w:p w14:paraId="6D629021">
            <w:pPr>
              <w:pStyle w:val="13"/>
              <w:rPr>
                <w:highlight w:val="none"/>
              </w:rPr>
            </w:pPr>
          </w:p>
        </w:tc>
      </w:tr>
      <w:tr w14:paraId="44A57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81A0C1C">
            <w:pPr>
              <w:pStyle w:val="13"/>
              <w:rPr>
                <w:highlight w:val="none"/>
              </w:rPr>
            </w:pPr>
            <w:r>
              <w:rPr>
                <w:rFonts w:hint="eastAsia"/>
                <w:highlight w:val="none"/>
                <w:lang w:val="en-US" w:eastAsia="zh-CN"/>
              </w:rPr>
              <w:t>3</w:t>
            </w:r>
            <w:r>
              <w:rPr>
                <w:rFonts w:hint="eastAsia"/>
                <w:highlight w:val="none"/>
              </w:rPr>
              <w:t>.18</w:t>
            </w:r>
          </w:p>
        </w:tc>
        <w:tc>
          <w:tcPr>
            <w:tcW w:w="3274" w:type="dxa"/>
            <w:tcBorders>
              <w:left w:val="single" w:color="auto" w:sz="4" w:space="0"/>
            </w:tcBorders>
            <w:noWrap w:val="0"/>
            <w:vAlign w:val="center"/>
          </w:tcPr>
          <w:p w14:paraId="3459F64E">
            <w:pPr>
              <w:pStyle w:val="13"/>
              <w:rPr>
                <w:highlight w:val="none"/>
              </w:rPr>
            </w:pPr>
            <w:r>
              <w:rPr>
                <w:rFonts w:hint="eastAsia"/>
                <w:highlight w:val="none"/>
              </w:rPr>
              <w:t>建造、维护安全通道及其相关的防护设施并免费提供给各方使用并负责拆除。</w:t>
            </w:r>
          </w:p>
        </w:tc>
        <w:tc>
          <w:tcPr>
            <w:tcW w:w="0" w:type="auto"/>
            <w:noWrap w:val="0"/>
            <w:vAlign w:val="center"/>
          </w:tcPr>
          <w:p w14:paraId="3A73D903">
            <w:pPr>
              <w:pStyle w:val="13"/>
              <w:rPr>
                <w:highlight w:val="none"/>
              </w:rPr>
            </w:pPr>
            <w:r>
              <w:rPr>
                <w:highlight w:val="none"/>
              </w:rPr>
              <w:sym w:font="Wingdings" w:char="F0FC"/>
            </w:r>
          </w:p>
        </w:tc>
        <w:tc>
          <w:tcPr>
            <w:tcW w:w="0" w:type="auto"/>
            <w:noWrap w:val="0"/>
            <w:vAlign w:val="center"/>
          </w:tcPr>
          <w:p w14:paraId="4A8D8B4E">
            <w:pPr>
              <w:pStyle w:val="13"/>
              <w:rPr>
                <w:highlight w:val="none"/>
              </w:rPr>
            </w:pPr>
          </w:p>
        </w:tc>
        <w:tc>
          <w:tcPr>
            <w:tcW w:w="0" w:type="auto"/>
            <w:noWrap w:val="0"/>
            <w:vAlign w:val="center"/>
          </w:tcPr>
          <w:p w14:paraId="14D04039">
            <w:pPr>
              <w:pStyle w:val="13"/>
              <w:rPr>
                <w:highlight w:val="none"/>
              </w:rPr>
            </w:pPr>
          </w:p>
        </w:tc>
      </w:tr>
      <w:tr w14:paraId="385FD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DF41538">
            <w:pPr>
              <w:pStyle w:val="13"/>
              <w:rPr>
                <w:highlight w:val="none"/>
              </w:rPr>
            </w:pPr>
            <w:r>
              <w:rPr>
                <w:rFonts w:hint="eastAsia"/>
                <w:highlight w:val="none"/>
                <w:lang w:val="en-US" w:eastAsia="zh-CN"/>
              </w:rPr>
              <w:t>3</w:t>
            </w:r>
            <w:r>
              <w:rPr>
                <w:rFonts w:hint="eastAsia"/>
                <w:highlight w:val="none"/>
              </w:rPr>
              <w:t>.19</w:t>
            </w:r>
          </w:p>
        </w:tc>
        <w:tc>
          <w:tcPr>
            <w:tcW w:w="3274" w:type="dxa"/>
            <w:tcBorders>
              <w:left w:val="single" w:color="auto" w:sz="4" w:space="0"/>
            </w:tcBorders>
            <w:noWrap w:val="0"/>
            <w:vAlign w:val="center"/>
          </w:tcPr>
          <w:p w14:paraId="2E55FD26">
            <w:pPr>
              <w:pStyle w:val="13"/>
              <w:rPr>
                <w:highlight w:val="none"/>
              </w:rPr>
            </w:pPr>
            <w:r>
              <w:rPr>
                <w:rFonts w:hint="eastAsia"/>
                <w:highlight w:val="none"/>
              </w:rPr>
              <w:t>若总承包人脚手架不满足需求，专业承包人/独立承包人自行</w:t>
            </w:r>
            <w:r>
              <w:rPr>
                <w:highlight w:val="none"/>
              </w:rPr>
              <w:t>搭设专用脚手架</w:t>
            </w:r>
            <w:r>
              <w:rPr>
                <w:rFonts w:hint="eastAsia"/>
                <w:highlight w:val="none"/>
              </w:rPr>
              <w:t>。</w:t>
            </w:r>
          </w:p>
        </w:tc>
        <w:tc>
          <w:tcPr>
            <w:tcW w:w="0" w:type="auto"/>
            <w:noWrap w:val="0"/>
            <w:vAlign w:val="center"/>
          </w:tcPr>
          <w:p w14:paraId="03D09DE7">
            <w:pPr>
              <w:pStyle w:val="13"/>
              <w:rPr>
                <w:highlight w:val="none"/>
              </w:rPr>
            </w:pPr>
            <w:r>
              <w:rPr>
                <w:rFonts w:hint="eastAsia"/>
                <w:highlight w:val="none"/>
              </w:rPr>
              <w:t>负责配合搭设</w:t>
            </w:r>
            <w:r>
              <w:rPr>
                <w:highlight w:val="none"/>
              </w:rPr>
              <w:t>和安全</w:t>
            </w:r>
            <w:r>
              <w:rPr>
                <w:rFonts w:hint="eastAsia"/>
                <w:highlight w:val="none"/>
              </w:rPr>
              <w:t>监督</w:t>
            </w:r>
          </w:p>
        </w:tc>
        <w:tc>
          <w:tcPr>
            <w:tcW w:w="0" w:type="auto"/>
            <w:noWrap w:val="0"/>
            <w:vAlign w:val="center"/>
          </w:tcPr>
          <w:p w14:paraId="07831C0D">
            <w:pPr>
              <w:pStyle w:val="13"/>
              <w:rPr>
                <w:highlight w:val="none"/>
              </w:rPr>
            </w:pPr>
            <w:r>
              <w:rPr>
                <w:highlight w:val="none"/>
              </w:rPr>
              <w:sym w:font="Wingdings" w:char="F0FC"/>
            </w:r>
          </w:p>
        </w:tc>
        <w:tc>
          <w:tcPr>
            <w:tcW w:w="0" w:type="auto"/>
            <w:noWrap w:val="0"/>
            <w:vAlign w:val="center"/>
          </w:tcPr>
          <w:p w14:paraId="7D416D0A">
            <w:pPr>
              <w:pStyle w:val="13"/>
              <w:rPr>
                <w:highlight w:val="none"/>
              </w:rPr>
            </w:pPr>
          </w:p>
        </w:tc>
      </w:tr>
      <w:tr w14:paraId="4BB97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54451AF2">
            <w:pPr>
              <w:pStyle w:val="13"/>
              <w:rPr>
                <w:highlight w:val="none"/>
              </w:rPr>
            </w:pPr>
            <w:r>
              <w:rPr>
                <w:rFonts w:hint="eastAsia"/>
                <w:highlight w:val="none"/>
                <w:lang w:val="en-US" w:eastAsia="zh-CN"/>
              </w:rPr>
              <w:t>四</w:t>
            </w:r>
            <w:r>
              <w:rPr>
                <w:rFonts w:hint="eastAsia"/>
                <w:highlight w:val="none"/>
              </w:rPr>
              <w:t>、图纸深化、施工技术方案和施工组织</w:t>
            </w:r>
          </w:p>
        </w:tc>
      </w:tr>
      <w:tr w14:paraId="540B5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21B3FF3">
            <w:pPr>
              <w:pStyle w:val="13"/>
              <w:rPr>
                <w:highlight w:val="none"/>
              </w:rPr>
            </w:pPr>
            <w:r>
              <w:rPr>
                <w:rFonts w:hint="eastAsia"/>
                <w:highlight w:val="none"/>
                <w:lang w:val="en-US" w:eastAsia="zh-CN"/>
              </w:rPr>
              <w:t>4</w:t>
            </w:r>
            <w:r>
              <w:rPr>
                <w:rFonts w:hint="eastAsia"/>
                <w:highlight w:val="none"/>
              </w:rPr>
              <w:t>.1</w:t>
            </w:r>
          </w:p>
        </w:tc>
        <w:tc>
          <w:tcPr>
            <w:tcW w:w="3274" w:type="dxa"/>
            <w:tcBorders>
              <w:left w:val="single" w:color="auto" w:sz="4" w:space="0"/>
            </w:tcBorders>
            <w:noWrap w:val="0"/>
            <w:vAlign w:val="center"/>
          </w:tcPr>
          <w:p w14:paraId="7B93D879">
            <w:pPr>
              <w:pStyle w:val="13"/>
              <w:rPr>
                <w:highlight w:val="none"/>
              </w:rPr>
            </w:pPr>
            <w:r>
              <w:rPr>
                <w:rFonts w:hint="eastAsia"/>
                <w:highlight w:val="none"/>
              </w:rPr>
              <w:t>提供深化设计图纸、施工大样图，及所需的施工方案、计算资料，</w:t>
            </w:r>
            <w:r>
              <w:rPr>
                <w:highlight w:val="none"/>
              </w:rPr>
              <w:t>并负责送审和被审批通过</w:t>
            </w:r>
            <w:r>
              <w:rPr>
                <w:rFonts w:hint="eastAsia"/>
                <w:highlight w:val="none"/>
              </w:rPr>
              <w:t>。</w:t>
            </w:r>
          </w:p>
        </w:tc>
        <w:tc>
          <w:tcPr>
            <w:tcW w:w="0" w:type="auto"/>
            <w:noWrap w:val="0"/>
            <w:vAlign w:val="center"/>
          </w:tcPr>
          <w:p w14:paraId="396D02E6">
            <w:pPr>
              <w:pStyle w:val="13"/>
              <w:rPr>
                <w:highlight w:val="none"/>
              </w:rPr>
            </w:pPr>
            <w:r>
              <w:rPr>
                <w:highlight w:val="none"/>
              </w:rPr>
              <w:sym w:font="Wingdings" w:char="F0FC"/>
            </w:r>
          </w:p>
        </w:tc>
        <w:tc>
          <w:tcPr>
            <w:tcW w:w="0" w:type="auto"/>
            <w:noWrap w:val="0"/>
            <w:vAlign w:val="center"/>
          </w:tcPr>
          <w:p w14:paraId="7490CC7C">
            <w:pPr>
              <w:pStyle w:val="13"/>
              <w:rPr>
                <w:highlight w:val="none"/>
              </w:rPr>
            </w:pPr>
            <w:r>
              <w:rPr>
                <w:highlight w:val="none"/>
              </w:rPr>
              <w:sym w:font="Wingdings" w:char="F0FC"/>
            </w:r>
          </w:p>
        </w:tc>
        <w:tc>
          <w:tcPr>
            <w:tcW w:w="0" w:type="auto"/>
            <w:noWrap w:val="0"/>
            <w:vAlign w:val="center"/>
          </w:tcPr>
          <w:p w14:paraId="0C6A15A9">
            <w:pPr>
              <w:pStyle w:val="13"/>
              <w:rPr>
                <w:highlight w:val="none"/>
              </w:rPr>
            </w:pPr>
            <w:r>
              <w:rPr>
                <w:rFonts w:hint="eastAsia"/>
                <w:highlight w:val="none"/>
              </w:rPr>
              <w:t>各负其责，但总承包人按流程审查并管理深化报批过程并督促完成。</w:t>
            </w:r>
          </w:p>
        </w:tc>
      </w:tr>
      <w:tr w14:paraId="134E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D6157F3">
            <w:pPr>
              <w:pStyle w:val="13"/>
              <w:rPr>
                <w:rFonts w:hint="default" w:eastAsia="宋体"/>
                <w:highlight w:val="none"/>
                <w:lang w:val="en-US" w:eastAsia="zh-CN"/>
              </w:rPr>
            </w:pPr>
            <w:r>
              <w:rPr>
                <w:rFonts w:hint="eastAsia"/>
                <w:highlight w:val="none"/>
                <w:lang w:val="en-US" w:eastAsia="zh-CN"/>
              </w:rPr>
              <w:t>4.2</w:t>
            </w:r>
          </w:p>
        </w:tc>
        <w:tc>
          <w:tcPr>
            <w:tcW w:w="3274" w:type="dxa"/>
            <w:tcBorders>
              <w:left w:val="single" w:color="auto" w:sz="4" w:space="0"/>
            </w:tcBorders>
            <w:noWrap w:val="0"/>
            <w:vAlign w:val="center"/>
          </w:tcPr>
          <w:p w14:paraId="0C818B72">
            <w:pPr>
              <w:pStyle w:val="13"/>
              <w:rPr>
                <w:highlight w:val="none"/>
              </w:rPr>
            </w:pPr>
            <w:r>
              <w:rPr>
                <w:rFonts w:hint="eastAsia"/>
                <w:highlight w:val="none"/>
              </w:rPr>
              <w:t>提交施工方案，包括临时工程、永久工程、现场设备垂吊及运输、临时道路及工作空间、施工机械、测量及监测等。</w:t>
            </w:r>
          </w:p>
        </w:tc>
        <w:tc>
          <w:tcPr>
            <w:tcW w:w="0" w:type="auto"/>
            <w:noWrap w:val="0"/>
            <w:vAlign w:val="center"/>
          </w:tcPr>
          <w:p w14:paraId="3ED44F76">
            <w:pPr>
              <w:pStyle w:val="13"/>
              <w:rPr>
                <w:highlight w:val="none"/>
              </w:rPr>
            </w:pPr>
            <w:r>
              <w:rPr>
                <w:highlight w:val="none"/>
              </w:rPr>
              <w:sym w:font="Wingdings" w:char="F0FC"/>
            </w:r>
          </w:p>
        </w:tc>
        <w:tc>
          <w:tcPr>
            <w:tcW w:w="0" w:type="auto"/>
            <w:noWrap w:val="0"/>
            <w:vAlign w:val="center"/>
          </w:tcPr>
          <w:p w14:paraId="344C1976">
            <w:pPr>
              <w:pStyle w:val="13"/>
              <w:rPr>
                <w:highlight w:val="none"/>
              </w:rPr>
            </w:pPr>
            <w:r>
              <w:rPr>
                <w:highlight w:val="none"/>
              </w:rPr>
              <w:sym w:font="Wingdings" w:char="F0FC"/>
            </w:r>
          </w:p>
        </w:tc>
        <w:tc>
          <w:tcPr>
            <w:tcW w:w="0" w:type="auto"/>
            <w:noWrap w:val="0"/>
            <w:vAlign w:val="center"/>
          </w:tcPr>
          <w:p w14:paraId="1F7B5E69">
            <w:pPr>
              <w:pStyle w:val="13"/>
              <w:rPr>
                <w:highlight w:val="none"/>
              </w:rPr>
            </w:pPr>
            <w:r>
              <w:rPr>
                <w:rFonts w:hint="eastAsia"/>
                <w:highlight w:val="none"/>
              </w:rPr>
              <w:t>各负其责，但总承包人按流程审查并管理方案报批过程并督促完成。</w:t>
            </w:r>
          </w:p>
        </w:tc>
      </w:tr>
      <w:tr w14:paraId="6FF3F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1E4ED91">
            <w:pPr>
              <w:pStyle w:val="13"/>
              <w:rPr>
                <w:highlight w:val="none"/>
              </w:rPr>
            </w:pPr>
            <w:r>
              <w:rPr>
                <w:rFonts w:hint="eastAsia"/>
                <w:highlight w:val="none"/>
                <w:lang w:val="en-US" w:eastAsia="zh-CN"/>
              </w:rPr>
              <w:t>4</w:t>
            </w:r>
            <w:r>
              <w:rPr>
                <w:rFonts w:hint="eastAsia"/>
                <w:highlight w:val="none"/>
              </w:rPr>
              <w:t>.3</w:t>
            </w:r>
          </w:p>
        </w:tc>
        <w:tc>
          <w:tcPr>
            <w:tcW w:w="3274" w:type="dxa"/>
            <w:tcBorders>
              <w:left w:val="single" w:color="auto" w:sz="4" w:space="0"/>
            </w:tcBorders>
            <w:noWrap w:val="0"/>
            <w:vAlign w:val="center"/>
          </w:tcPr>
          <w:p w14:paraId="22FCD67D">
            <w:pPr>
              <w:pStyle w:val="13"/>
              <w:rPr>
                <w:highlight w:val="none"/>
              </w:rPr>
            </w:pPr>
            <w:r>
              <w:rPr>
                <w:rFonts w:hint="eastAsia"/>
                <w:highlight w:val="none"/>
              </w:rPr>
              <w:t>提供按规定需进行专家论证的方案并</w:t>
            </w:r>
            <w:r>
              <w:rPr>
                <w:highlight w:val="none"/>
              </w:rPr>
              <w:t>负责组织专家论证</w:t>
            </w:r>
            <w:r>
              <w:rPr>
                <w:rFonts w:hint="eastAsia"/>
                <w:highlight w:val="none"/>
              </w:rPr>
              <w:t>。承担论证过程所需费用。</w:t>
            </w:r>
          </w:p>
        </w:tc>
        <w:tc>
          <w:tcPr>
            <w:tcW w:w="0" w:type="auto"/>
            <w:noWrap w:val="0"/>
            <w:vAlign w:val="center"/>
          </w:tcPr>
          <w:p w14:paraId="61939559">
            <w:pPr>
              <w:pStyle w:val="13"/>
              <w:rPr>
                <w:highlight w:val="none"/>
              </w:rPr>
            </w:pPr>
            <w:r>
              <w:rPr>
                <w:highlight w:val="none"/>
              </w:rPr>
              <w:sym w:font="Wingdings" w:char="F0FC"/>
            </w:r>
          </w:p>
        </w:tc>
        <w:tc>
          <w:tcPr>
            <w:tcW w:w="0" w:type="auto"/>
            <w:noWrap w:val="0"/>
            <w:vAlign w:val="center"/>
          </w:tcPr>
          <w:p w14:paraId="1040AF40">
            <w:pPr>
              <w:pStyle w:val="13"/>
              <w:rPr>
                <w:highlight w:val="none"/>
              </w:rPr>
            </w:pPr>
            <w:r>
              <w:rPr>
                <w:highlight w:val="none"/>
              </w:rPr>
              <w:sym w:font="Wingdings" w:char="F0FC"/>
            </w:r>
          </w:p>
        </w:tc>
        <w:tc>
          <w:tcPr>
            <w:tcW w:w="0" w:type="auto"/>
            <w:noWrap w:val="0"/>
            <w:vAlign w:val="center"/>
          </w:tcPr>
          <w:p w14:paraId="1ACC7303">
            <w:pPr>
              <w:pStyle w:val="13"/>
              <w:rPr>
                <w:highlight w:val="none"/>
              </w:rPr>
            </w:pPr>
            <w:r>
              <w:rPr>
                <w:rFonts w:hint="eastAsia"/>
                <w:highlight w:val="none"/>
              </w:rPr>
              <w:t>各负其责，但总承包人按流程参与论证过程并督促完成。</w:t>
            </w:r>
          </w:p>
        </w:tc>
      </w:tr>
      <w:tr w14:paraId="32859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19FFAB6">
            <w:pPr>
              <w:pStyle w:val="13"/>
              <w:rPr>
                <w:highlight w:val="none"/>
              </w:rPr>
            </w:pPr>
            <w:r>
              <w:rPr>
                <w:rFonts w:hint="eastAsia"/>
                <w:highlight w:val="none"/>
                <w:lang w:val="en-US" w:eastAsia="zh-CN"/>
              </w:rPr>
              <w:t>4</w:t>
            </w:r>
            <w:r>
              <w:rPr>
                <w:rFonts w:hint="eastAsia"/>
                <w:highlight w:val="none"/>
              </w:rPr>
              <w:t>.4</w:t>
            </w:r>
          </w:p>
        </w:tc>
        <w:tc>
          <w:tcPr>
            <w:tcW w:w="3274" w:type="dxa"/>
            <w:tcBorders>
              <w:left w:val="single" w:color="auto" w:sz="4" w:space="0"/>
            </w:tcBorders>
            <w:noWrap w:val="0"/>
            <w:vAlign w:val="center"/>
          </w:tcPr>
          <w:p w14:paraId="28EBFFE4">
            <w:pPr>
              <w:pStyle w:val="13"/>
              <w:rPr>
                <w:highlight w:val="none"/>
              </w:rPr>
            </w:pPr>
            <w:r>
              <w:rPr>
                <w:rFonts w:hint="eastAsia"/>
                <w:highlight w:val="none"/>
              </w:rPr>
              <w:t>协助发包人审核专业承包人/独立承包人的施工方案，并结合其施工方案进行工程施工组织的优化。</w:t>
            </w:r>
          </w:p>
        </w:tc>
        <w:tc>
          <w:tcPr>
            <w:tcW w:w="0" w:type="auto"/>
            <w:noWrap w:val="0"/>
            <w:vAlign w:val="center"/>
          </w:tcPr>
          <w:p w14:paraId="4827C7C6">
            <w:pPr>
              <w:pStyle w:val="13"/>
              <w:rPr>
                <w:highlight w:val="none"/>
              </w:rPr>
            </w:pPr>
            <w:r>
              <w:rPr>
                <w:highlight w:val="none"/>
              </w:rPr>
              <w:sym w:font="Wingdings" w:char="F0FC"/>
            </w:r>
          </w:p>
        </w:tc>
        <w:tc>
          <w:tcPr>
            <w:tcW w:w="0" w:type="auto"/>
            <w:noWrap w:val="0"/>
            <w:vAlign w:val="center"/>
          </w:tcPr>
          <w:p w14:paraId="743A96FC">
            <w:pPr>
              <w:pStyle w:val="13"/>
              <w:rPr>
                <w:highlight w:val="none"/>
              </w:rPr>
            </w:pPr>
          </w:p>
        </w:tc>
        <w:tc>
          <w:tcPr>
            <w:tcW w:w="0" w:type="auto"/>
            <w:noWrap w:val="0"/>
            <w:vAlign w:val="center"/>
          </w:tcPr>
          <w:p w14:paraId="28CB71C8">
            <w:pPr>
              <w:pStyle w:val="13"/>
              <w:rPr>
                <w:highlight w:val="none"/>
              </w:rPr>
            </w:pPr>
          </w:p>
        </w:tc>
      </w:tr>
      <w:tr w14:paraId="4AC5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6A5F3FC">
            <w:pPr>
              <w:pStyle w:val="13"/>
              <w:rPr>
                <w:highlight w:val="none"/>
              </w:rPr>
            </w:pPr>
            <w:r>
              <w:rPr>
                <w:rFonts w:hint="eastAsia"/>
                <w:highlight w:val="none"/>
                <w:lang w:val="en-US" w:eastAsia="zh-CN"/>
              </w:rPr>
              <w:t>4</w:t>
            </w:r>
            <w:r>
              <w:rPr>
                <w:rFonts w:hint="eastAsia"/>
                <w:highlight w:val="none"/>
              </w:rPr>
              <w:t>.5</w:t>
            </w:r>
          </w:p>
        </w:tc>
        <w:tc>
          <w:tcPr>
            <w:tcW w:w="3274" w:type="dxa"/>
            <w:tcBorders>
              <w:left w:val="single" w:color="auto" w:sz="4" w:space="0"/>
            </w:tcBorders>
            <w:noWrap w:val="0"/>
            <w:vAlign w:val="center"/>
          </w:tcPr>
          <w:p w14:paraId="1116675B">
            <w:pPr>
              <w:pStyle w:val="13"/>
              <w:rPr>
                <w:highlight w:val="none"/>
              </w:rPr>
            </w:pPr>
            <w:r>
              <w:rPr>
                <w:rFonts w:hint="eastAsia"/>
                <w:highlight w:val="none"/>
              </w:rPr>
              <w:t>按发包人要求，验证或提供BIM深化设计成果。</w:t>
            </w:r>
          </w:p>
        </w:tc>
        <w:tc>
          <w:tcPr>
            <w:tcW w:w="0" w:type="auto"/>
            <w:noWrap w:val="0"/>
            <w:vAlign w:val="center"/>
          </w:tcPr>
          <w:p w14:paraId="163B4118">
            <w:pPr>
              <w:pStyle w:val="13"/>
              <w:rPr>
                <w:highlight w:val="none"/>
              </w:rPr>
            </w:pPr>
            <w:r>
              <w:rPr>
                <w:highlight w:val="none"/>
              </w:rPr>
              <w:sym w:font="Wingdings" w:char="F0FC"/>
            </w:r>
          </w:p>
        </w:tc>
        <w:tc>
          <w:tcPr>
            <w:tcW w:w="0" w:type="auto"/>
            <w:noWrap w:val="0"/>
            <w:vAlign w:val="center"/>
          </w:tcPr>
          <w:p w14:paraId="551F5BBB">
            <w:pPr>
              <w:pStyle w:val="13"/>
              <w:rPr>
                <w:highlight w:val="none"/>
              </w:rPr>
            </w:pPr>
            <w:r>
              <w:rPr>
                <w:highlight w:val="none"/>
              </w:rPr>
              <w:sym w:font="Wingdings" w:char="F0FC"/>
            </w:r>
          </w:p>
        </w:tc>
        <w:tc>
          <w:tcPr>
            <w:tcW w:w="0" w:type="auto"/>
            <w:noWrap w:val="0"/>
            <w:vAlign w:val="center"/>
          </w:tcPr>
          <w:p w14:paraId="04503E09">
            <w:pPr>
              <w:pStyle w:val="13"/>
              <w:rPr>
                <w:highlight w:val="none"/>
              </w:rPr>
            </w:pPr>
          </w:p>
        </w:tc>
      </w:tr>
      <w:tr w14:paraId="605A1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112A8275">
            <w:pPr>
              <w:pStyle w:val="13"/>
              <w:rPr>
                <w:highlight w:val="none"/>
              </w:rPr>
            </w:pPr>
            <w:r>
              <w:rPr>
                <w:rFonts w:hint="eastAsia"/>
                <w:highlight w:val="none"/>
                <w:lang w:eastAsia="zh-CN"/>
              </w:rPr>
              <w:t>五</w:t>
            </w:r>
            <w:r>
              <w:rPr>
                <w:rFonts w:hint="eastAsia"/>
                <w:highlight w:val="none"/>
              </w:rPr>
              <w:t>、测量放线</w:t>
            </w:r>
          </w:p>
        </w:tc>
      </w:tr>
      <w:tr w14:paraId="69EBC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C963AC5">
            <w:pPr>
              <w:pStyle w:val="13"/>
              <w:rPr>
                <w:highlight w:val="none"/>
              </w:rPr>
            </w:pPr>
            <w:r>
              <w:rPr>
                <w:rFonts w:hint="eastAsia"/>
                <w:highlight w:val="none"/>
                <w:lang w:val="en-US" w:eastAsia="zh-CN"/>
              </w:rPr>
              <w:t>5</w:t>
            </w:r>
            <w:r>
              <w:rPr>
                <w:rFonts w:hint="eastAsia"/>
                <w:highlight w:val="none"/>
              </w:rPr>
              <w:t>.1</w:t>
            </w:r>
          </w:p>
        </w:tc>
        <w:tc>
          <w:tcPr>
            <w:tcW w:w="3274" w:type="dxa"/>
            <w:tcBorders>
              <w:left w:val="single" w:color="auto" w:sz="4" w:space="0"/>
            </w:tcBorders>
            <w:noWrap w:val="0"/>
            <w:vAlign w:val="center"/>
          </w:tcPr>
          <w:p w14:paraId="4854157A">
            <w:pPr>
              <w:pStyle w:val="13"/>
              <w:rPr>
                <w:highlight w:val="none"/>
              </w:rPr>
            </w:pPr>
            <w:r>
              <w:rPr>
                <w:rFonts w:hint="eastAsia"/>
                <w:highlight w:val="none"/>
              </w:rPr>
              <w:t>原始基准点维护，测量控制网的建立与定期复核，定期复核资料需每月上报监理人审查。</w:t>
            </w:r>
          </w:p>
        </w:tc>
        <w:tc>
          <w:tcPr>
            <w:tcW w:w="0" w:type="auto"/>
            <w:noWrap w:val="0"/>
            <w:vAlign w:val="center"/>
          </w:tcPr>
          <w:p w14:paraId="28282B1E">
            <w:pPr>
              <w:pStyle w:val="13"/>
              <w:rPr>
                <w:highlight w:val="none"/>
              </w:rPr>
            </w:pPr>
            <w:r>
              <w:rPr>
                <w:highlight w:val="none"/>
              </w:rPr>
              <w:sym w:font="Wingdings" w:char="F0FC"/>
            </w:r>
          </w:p>
        </w:tc>
        <w:tc>
          <w:tcPr>
            <w:tcW w:w="0" w:type="auto"/>
            <w:noWrap w:val="0"/>
            <w:vAlign w:val="center"/>
          </w:tcPr>
          <w:p w14:paraId="619CB54E">
            <w:pPr>
              <w:pStyle w:val="13"/>
              <w:rPr>
                <w:highlight w:val="none"/>
              </w:rPr>
            </w:pPr>
          </w:p>
        </w:tc>
        <w:tc>
          <w:tcPr>
            <w:tcW w:w="0" w:type="auto"/>
            <w:noWrap w:val="0"/>
            <w:vAlign w:val="center"/>
          </w:tcPr>
          <w:p w14:paraId="3D793863">
            <w:pPr>
              <w:pStyle w:val="13"/>
              <w:rPr>
                <w:highlight w:val="none"/>
              </w:rPr>
            </w:pPr>
            <w:r>
              <w:rPr>
                <w:rFonts w:hint="eastAsia"/>
                <w:highlight w:val="none"/>
              </w:rPr>
              <w:t>专业承包方负责各自施工作业的测量放线工作。</w:t>
            </w:r>
          </w:p>
        </w:tc>
      </w:tr>
      <w:tr w14:paraId="7F4E8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272434D">
            <w:pPr>
              <w:pStyle w:val="13"/>
              <w:rPr>
                <w:highlight w:val="none"/>
              </w:rPr>
            </w:pPr>
            <w:r>
              <w:rPr>
                <w:rFonts w:hint="eastAsia"/>
                <w:highlight w:val="none"/>
                <w:lang w:val="en-US" w:eastAsia="zh-CN"/>
              </w:rPr>
              <w:t>5</w:t>
            </w:r>
            <w:r>
              <w:rPr>
                <w:rFonts w:hint="eastAsia"/>
                <w:highlight w:val="none"/>
              </w:rPr>
              <w:t>.2</w:t>
            </w:r>
          </w:p>
        </w:tc>
        <w:tc>
          <w:tcPr>
            <w:tcW w:w="3274" w:type="dxa"/>
            <w:tcBorders>
              <w:left w:val="single" w:color="auto" w:sz="4" w:space="0"/>
            </w:tcBorders>
            <w:noWrap w:val="0"/>
            <w:vAlign w:val="center"/>
          </w:tcPr>
          <w:p w14:paraId="0E2C6E91">
            <w:pPr>
              <w:pStyle w:val="13"/>
              <w:rPr>
                <w:highlight w:val="none"/>
              </w:rPr>
            </w:pPr>
            <w:r>
              <w:rPr>
                <w:rFonts w:hint="eastAsia"/>
                <w:highlight w:val="none"/>
              </w:rPr>
              <w:t>项目实施过程中的测量统一管理，设立足够多的测量控制点提供给各专业承包人/独立承包人使用并确保其准确性。</w:t>
            </w:r>
          </w:p>
        </w:tc>
        <w:tc>
          <w:tcPr>
            <w:tcW w:w="0" w:type="auto"/>
            <w:noWrap w:val="0"/>
            <w:vAlign w:val="center"/>
          </w:tcPr>
          <w:p w14:paraId="6D3AE3E2">
            <w:pPr>
              <w:pStyle w:val="13"/>
              <w:rPr>
                <w:highlight w:val="none"/>
              </w:rPr>
            </w:pPr>
            <w:r>
              <w:rPr>
                <w:highlight w:val="none"/>
              </w:rPr>
              <w:sym w:font="Wingdings" w:char="F0FC"/>
            </w:r>
          </w:p>
        </w:tc>
        <w:tc>
          <w:tcPr>
            <w:tcW w:w="0" w:type="auto"/>
            <w:noWrap w:val="0"/>
            <w:vAlign w:val="center"/>
          </w:tcPr>
          <w:p w14:paraId="411CEF8B">
            <w:pPr>
              <w:pStyle w:val="13"/>
              <w:rPr>
                <w:highlight w:val="none"/>
              </w:rPr>
            </w:pPr>
          </w:p>
        </w:tc>
        <w:tc>
          <w:tcPr>
            <w:tcW w:w="0" w:type="auto"/>
            <w:noWrap w:val="0"/>
            <w:vAlign w:val="center"/>
          </w:tcPr>
          <w:p w14:paraId="2FE66F6D">
            <w:pPr>
              <w:pStyle w:val="13"/>
              <w:rPr>
                <w:highlight w:val="none"/>
              </w:rPr>
            </w:pPr>
            <w:r>
              <w:rPr>
                <w:rFonts w:hint="eastAsia"/>
                <w:highlight w:val="none"/>
              </w:rPr>
              <w:t>在各专业承包人进场第一次见面会时总承包人需将整个现场测量控制网平面图及各点参数提交给各专业承包人。</w:t>
            </w:r>
          </w:p>
        </w:tc>
      </w:tr>
      <w:tr w14:paraId="0EE68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596C92B">
            <w:pPr>
              <w:pStyle w:val="13"/>
              <w:rPr>
                <w:highlight w:val="none"/>
              </w:rPr>
            </w:pPr>
            <w:r>
              <w:rPr>
                <w:rFonts w:hint="eastAsia"/>
                <w:highlight w:val="none"/>
                <w:lang w:val="en-US" w:eastAsia="zh-CN"/>
              </w:rPr>
              <w:t>5</w:t>
            </w:r>
            <w:r>
              <w:rPr>
                <w:rFonts w:hint="eastAsia"/>
                <w:highlight w:val="none"/>
              </w:rPr>
              <w:t>.3</w:t>
            </w:r>
          </w:p>
        </w:tc>
        <w:tc>
          <w:tcPr>
            <w:tcW w:w="3274" w:type="dxa"/>
            <w:tcBorders>
              <w:left w:val="single" w:color="auto" w:sz="4" w:space="0"/>
            </w:tcBorders>
            <w:noWrap w:val="0"/>
            <w:vAlign w:val="center"/>
          </w:tcPr>
          <w:p w14:paraId="3C1DF37D">
            <w:pPr>
              <w:pStyle w:val="13"/>
              <w:rPr>
                <w:highlight w:val="none"/>
              </w:rPr>
            </w:pPr>
            <w:r>
              <w:rPr>
                <w:rFonts w:hint="eastAsia"/>
                <w:highlight w:val="none"/>
              </w:rPr>
              <w:t>提供给各专业承包人/独立承包人测量基点。基点距承包工作地点的距离不得大于</w:t>
            </w:r>
            <w:r>
              <w:rPr>
                <w:highlight w:val="none"/>
              </w:rPr>
              <w:t>50</w:t>
            </w:r>
            <w:r>
              <w:rPr>
                <w:rFonts w:hint="eastAsia"/>
                <w:highlight w:val="none"/>
              </w:rPr>
              <w:t>m并保证通视。</w:t>
            </w:r>
          </w:p>
        </w:tc>
        <w:tc>
          <w:tcPr>
            <w:tcW w:w="0" w:type="auto"/>
            <w:noWrap w:val="0"/>
            <w:vAlign w:val="center"/>
          </w:tcPr>
          <w:p w14:paraId="382F2236">
            <w:pPr>
              <w:pStyle w:val="13"/>
              <w:rPr>
                <w:highlight w:val="none"/>
              </w:rPr>
            </w:pPr>
            <w:r>
              <w:rPr>
                <w:highlight w:val="none"/>
              </w:rPr>
              <w:sym w:font="Wingdings" w:char="F0FC"/>
            </w:r>
          </w:p>
        </w:tc>
        <w:tc>
          <w:tcPr>
            <w:tcW w:w="0" w:type="auto"/>
            <w:noWrap w:val="0"/>
            <w:vAlign w:val="center"/>
          </w:tcPr>
          <w:p w14:paraId="36B1693F">
            <w:pPr>
              <w:pStyle w:val="13"/>
              <w:rPr>
                <w:highlight w:val="none"/>
              </w:rPr>
            </w:pPr>
          </w:p>
        </w:tc>
        <w:tc>
          <w:tcPr>
            <w:tcW w:w="0" w:type="auto"/>
            <w:noWrap w:val="0"/>
            <w:vAlign w:val="center"/>
          </w:tcPr>
          <w:p w14:paraId="53D9222B">
            <w:pPr>
              <w:pStyle w:val="13"/>
              <w:rPr>
                <w:highlight w:val="none"/>
              </w:rPr>
            </w:pPr>
          </w:p>
        </w:tc>
      </w:tr>
      <w:tr w14:paraId="5E205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84" w:hRule="atLeast"/>
        </w:trPr>
        <w:tc>
          <w:tcPr>
            <w:tcW w:w="741" w:type="dxa"/>
            <w:tcBorders>
              <w:right w:val="single" w:color="auto" w:sz="4" w:space="0"/>
            </w:tcBorders>
            <w:noWrap w:val="0"/>
            <w:vAlign w:val="center"/>
          </w:tcPr>
          <w:p w14:paraId="66BE0425">
            <w:pPr>
              <w:pStyle w:val="13"/>
              <w:rPr>
                <w:highlight w:val="none"/>
              </w:rPr>
            </w:pPr>
            <w:r>
              <w:rPr>
                <w:rFonts w:hint="eastAsia"/>
                <w:highlight w:val="none"/>
                <w:lang w:val="en-US" w:eastAsia="zh-CN"/>
              </w:rPr>
              <w:t>5</w:t>
            </w:r>
            <w:r>
              <w:rPr>
                <w:rFonts w:hint="eastAsia"/>
                <w:highlight w:val="none"/>
              </w:rPr>
              <w:t>.4</w:t>
            </w:r>
          </w:p>
        </w:tc>
        <w:tc>
          <w:tcPr>
            <w:tcW w:w="3274" w:type="dxa"/>
            <w:tcBorders>
              <w:left w:val="single" w:color="auto" w:sz="4" w:space="0"/>
            </w:tcBorders>
            <w:noWrap w:val="0"/>
            <w:vAlign w:val="center"/>
          </w:tcPr>
          <w:p w14:paraId="2E7EF21D">
            <w:pPr>
              <w:pStyle w:val="13"/>
              <w:rPr>
                <w:highlight w:val="none"/>
              </w:rPr>
            </w:pPr>
            <w:r>
              <w:rPr>
                <w:rFonts w:hint="eastAsia"/>
                <w:highlight w:val="none"/>
              </w:rPr>
              <w:t>主体混凝土结构已完成的楼层，总承包人必须负责将控制轴线明显、规则地标识于柱、墙上，并在柱、墙上标出高于本楼层建筑标高</w:t>
            </w:r>
            <w:r>
              <w:rPr>
                <w:highlight w:val="none"/>
              </w:rPr>
              <w:t>1</w:t>
            </w:r>
            <w:r>
              <w:rPr>
                <w:rFonts w:hint="eastAsia"/>
                <w:highlight w:val="none"/>
              </w:rPr>
              <w:t>m的标高线，在各层隔墙及设备房砌筑完成后，需在墙上标出高于本楼层建筑标高</w:t>
            </w:r>
            <w:r>
              <w:rPr>
                <w:highlight w:val="none"/>
              </w:rPr>
              <w:t>1</w:t>
            </w:r>
            <w:r>
              <w:rPr>
                <w:rFonts w:hint="eastAsia"/>
                <w:highlight w:val="none"/>
              </w:rPr>
              <w:t>m的标高线。</w:t>
            </w:r>
          </w:p>
        </w:tc>
        <w:tc>
          <w:tcPr>
            <w:tcW w:w="0" w:type="auto"/>
            <w:noWrap w:val="0"/>
            <w:vAlign w:val="center"/>
          </w:tcPr>
          <w:p w14:paraId="358767E0">
            <w:pPr>
              <w:pStyle w:val="13"/>
              <w:rPr>
                <w:highlight w:val="none"/>
              </w:rPr>
            </w:pPr>
            <w:r>
              <w:rPr>
                <w:highlight w:val="none"/>
              </w:rPr>
              <w:sym w:font="Wingdings" w:char="F0FC"/>
            </w:r>
          </w:p>
        </w:tc>
        <w:tc>
          <w:tcPr>
            <w:tcW w:w="0" w:type="auto"/>
            <w:noWrap w:val="0"/>
            <w:vAlign w:val="center"/>
          </w:tcPr>
          <w:p w14:paraId="6CA32EE9">
            <w:pPr>
              <w:pStyle w:val="13"/>
              <w:rPr>
                <w:highlight w:val="none"/>
              </w:rPr>
            </w:pPr>
          </w:p>
        </w:tc>
        <w:tc>
          <w:tcPr>
            <w:tcW w:w="0" w:type="auto"/>
            <w:noWrap w:val="0"/>
            <w:vAlign w:val="center"/>
          </w:tcPr>
          <w:p w14:paraId="0AE0EC0A">
            <w:pPr>
              <w:pStyle w:val="13"/>
              <w:rPr>
                <w:highlight w:val="none"/>
              </w:rPr>
            </w:pPr>
          </w:p>
        </w:tc>
      </w:tr>
      <w:tr w14:paraId="5EDA9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049FA07">
            <w:pPr>
              <w:pStyle w:val="13"/>
              <w:rPr>
                <w:highlight w:val="none"/>
              </w:rPr>
            </w:pPr>
            <w:r>
              <w:rPr>
                <w:rFonts w:hint="eastAsia"/>
                <w:highlight w:val="none"/>
                <w:lang w:val="en-US" w:eastAsia="zh-CN"/>
              </w:rPr>
              <w:t>5</w:t>
            </w:r>
            <w:r>
              <w:rPr>
                <w:rFonts w:hint="eastAsia"/>
                <w:highlight w:val="none"/>
              </w:rPr>
              <w:t>.5</w:t>
            </w:r>
          </w:p>
        </w:tc>
        <w:tc>
          <w:tcPr>
            <w:tcW w:w="3274" w:type="dxa"/>
            <w:tcBorders>
              <w:left w:val="single" w:color="auto" w:sz="4" w:space="0"/>
            </w:tcBorders>
            <w:noWrap w:val="0"/>
            <w:vAlign w:val="center"/>
          </w:tcPr>
          <w:p w14:paraId="6C848DA1">
            <w:pPr>
              <w:pStyle w:val="13"/>
              <w:rPr>
                <w:highlight w:val="none"/>
              </w:rPr>
            </w:pPr>
            <w:r>
              <w:rPr>
                <w:rFonts w:hint="eastAsia"/>
                <w:highlight w:val="none"/>
              </w:rPr>
              <w:t>在设备安装区域</w:t>
            </w:r>
            <w:r>
              <w:rPr>
                <w:highlight w:val="none"/>
              </w:rPr>
              <w:t>10</w:t>
            </w:r>
            <w:r>
              <w:rPr>
                <w:rFonts w:hint="eastAsia"/>
                <w:highlight w:val="none"/>
              </w:rPr>
              <w:t>m范围内，需至少提供两条垂直轴线及标高点以便设备定位。</w:t>
            </w:r>
          </w:p>
        </w:tc>
        <w:tc>
          <w:tcPr>
            <w:tcW w:w="0" w:type="auto"/>
            <w:noWrap w:val="0"/>
            <w:vAlign w:val="center"/>
          </w:tcPr>
          <w:p w14:paraId="0919A865">
            <w:pPr>
              <w:pStyle w:val="13"/>
              <w:rPr>
                <w:highlight w:val="none"/>
              </w:rPr>
            </w:pPr>
            <w:r>
              <w:rPr>
                <w:highlight w:val="none"/>
              </w:rPr>
              <w:sym w:font="Wingdings" w:char="F0FC"/>
            </w:r>
          </w:p>
        </w:tc>
        <w:tc>
          <w:tcPr>
            <w:tcW w:w="0" w:type="auto"/>
            <w:noWrap w:val="0"/>
            <w:vAlign w:val="center"/>
          </w:tcPr>
          <w:p w14:paraId="6BEB5335">
            <w:pPr>
              <w:pStyle w:val="13"/>
              <w:rPr>
                <w:highlight w:val="none"/>
              </w:rPr>
            </w:pPr>
          </w:p>
        </w:tc>
        <w:tc>
          <w:tcPr>
            <w:tcW w:w="0" w:type="auto"/>
            <w:noWrap w:val="0"/>
            <w:vAlign w:val="center"/>
          </w:tcPr>
          <w:p w14:paraId="5B561063">
            <w:pPr>
              <w:pStyle w:val="13"/>
              <w:rPr>
                <w:highlight w:val="none"/>
              </w:rPr>
            </w:pPr>
          </w:p>
        </w:tc>
      </w:tr>
      <w:tr w14:paraId="4B858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739F979">
            <w:pPr>
              <w:pStyle w:val="13"/>
              <w:rPr>
                <w:highlight w:val="none"/>
              </w:rPr>
            </w:pPr>
            <w:r>
              <w:rPr>
                <w:rFonts w:hint="eastAsia"/>
                <w:highlight w:val="none"/>
                <w:lang w:val="en-US" w:eastAsia="zh-CN"/>
              </w:rPr>
              <w:t>5</w:t>
            </w:r>
            <w:r>
              <w:rPr>
                <w:rFonts w:hint="eastAsia"/>
                <w:highlight w:val="none"/>
              </w:rPr>
              <w:t>.6</w:t>
            </w:r>
          </w:p>
        </w:tc>
        <w:tc>
          <w:tcPr>
            <w:tcW w:w="3274" w:type="dxa"/>
            <w:tcBorders>
              <w:left w:val="single" w:color="auto" w:sz="4" w:space="0"/>
            </w:tcBorders>
            <w:noWrap w:val="0"/>
            <w:vAlign w:val="center"/>
          </w:tcPr>
          <w:p w14:paraId="043F2773">
            <w:pPr>
              <w:pStyle w:val="13"/>
              <w:rPr>
                <w:highlight w:val="none"/>
              </w:rPr>
            </w:pPr>
            <w:r>
              <w:rPr>
                <w:rFonts w:hint="eastAsia"/>
                <w:highlight w:val="none"/>
              </w:rPr>
              <w:t>为门窗施工单位提供门窗进出线、水平线、左右线的基准线。</w:t>
            </w:r>
          </w:p>
        </w:tc>
        <w:tc>
          <w:tcPr>
            <w:tcW w:w="0" w:type="auto"/>
            <w:noWrap w:val="0"/>
            <w:vAlign w:val="center"/>
          </w:tcPr>
          <w:p w14:paraId="7EE42DA2">
            <w:pPr>
              <w:pStyle w:val="13"/>
              <w:rPr>
                <w:highlight w:val="none"/>
              </w:rPr>
            </w:pPr>
            <w:r>
              <w:rPr>
                <w:highlight w:val="none"/>
              </w:rPr>
              <w:sym w:font="Wingdings" w:char="F0FC"/>
            </w:r>
          </w:p>
        </w:tc>
        <w:tc>
          <w:tcPr>
            <w:tcW w:w="0" w:type="auto"/>
            <w:noWrap w:val="0"/>
            <w:vAlign w:val="center"/>
          </w:tcPr>
          <w:p w14:paraId="460D5257">
            <w:pPr>
              <w:pStyle w:val="13"/>
              <w:rPr>
                <w:highlight w:val="none"/>
              </w:rPr>
            </w:pPr>
          </w:p>
        </w:tc>
        <w:tc>
          <w:tcPr>
            <w:tcW w:w="0" w:type="auto"/>
            <w:noWrap w:val="0"/>
            <w:vAlign w:val="center"/>
          </w:tcPr>
          <w:p w14:paraId="2A1EFB05">
            <w:pPr>
              <w:pStyle w:val="13"/>
              <w:rPr>
                <w:highlight w:val="none"/>
              </w:rPr>
            </w:pPr>
          </w:p>
        </w:tc>
      </w:tr>
      <w:tr w14:paraId="3A15E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F9583EA">
            <w:pPr>
              <w:pStyle w:val="13"/>
              <w:rPr>
                <w:highlight w:val="none"/>
              </w:rPr>
            </w:pPr>
            <w:r>
              <w:rPr>
                <w:rFonts w:hint="eastAsia"/>
                <w:highlight w:val="none"/>
                <w:lang w:val="en-US" w:eastAsia="zh-CN"/>
              </w:rPr>
              <w:t>5</w:t>
            </w:r>
            <w:r>
              <w:rPr>
                <w:rFonts w:hint="eastAsia"/>
                <w:highlight w:val="none"/>
              </w:rPr>
              <w:t>.7</w:t>
            </w:r>
          </w:p>
        </w:tc>
        <w:tc>
          <w:tcPr>
            <w:tcW w:w="3274" w:type="dxa"/>
            <w:tcBorders>
              <w:left w:val="single" w:color="auto" w:sz="4" w:space="0"/>
            </w:tcBorders>
            <w:noWrap w:val="0"/>
            <w:vAlign w:val="center"/>
          </w:tcPr>
          <w:p w14:paraId="69E38C0C">
            <w:pPr>
              <w:pStyle w:val="13"/>
              <w:rPr>
                <w:highlight w:val="none"/>
              </w:rPr>
            </w:pPr>
            <w:r>
              <w:rPr>
                <w:rFonts w:hint="eastAsia"/>
                <w:highlight w:val="none"/>
              </w:rPr>
              <w:t>为室外工程施工方提供主要轴线点及标高点。</w:t>
            </w:r>
          </w:p>
        </w:tc>
        <w:tc>
          <w:tcPr>
            <w:tcW w:w="0" w:type="auto"/>
            <w:noWrap w:val="0"/>
            <w:vAlign w:val="center"/>
          </w:tcPr>
          <w:p w14:paraId="1644697F">
            <w:pPr>
              <w:pStyle w:val="13"/>
              <w:rPr>
                <w:highlight w:val="none"/>
              </w:rPr>
            </w:pPr>
            <w:r>
              <w:rPr>
                <w:highlight w:val="none"/>
              </w:rPr>
              <w:sym w:font="Wingdings" w:char="F0FC"/>
            </w:r>
          </w:p>
        </w:tc>
        <w:tc>
          <w:tcPr>
            <w:tcW w:w="0" w:type="auto"/>
            <w:noWrap w:val="0"/>
            <w:vAlign w:val="center"/>
          </w:tcPr>
          <w:p w14:paraId="36EE7FEA">
            <w:pPr>
              <w:pStyle w:val="13"/>
              <w:rPr>
                <w:highlight w:val="none"/>
              </w:rPr>
            </w:pPr>
          </w:p>
        </w:tc>
        <w:tc>
          <w:tcPr>
            <w:tcW w:w="0" w:type="auto"/>
            <w:noWrap w:val="0"/>
            <w:vAlign w:val="center"/>
          </w:tcPr>
          <w:p w14:paraId="65C49D6A">
            <w:pPr>
              <w:pStyle w:val="13"/>
              <w:rPr>
                <w:highlight w:val="none"/>
              </w:rPr>
            </w:pPr>
          </w:p>
        </w:tc>
      </w:tr>
      <w:tr w14:paraId="59B92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F141FE3">
            <w:pPr>
              <w:pStyle w:val="13"/>
              <w:rPr>
                <w:highlight w:val="none"/>
              </w:rPr>
            </w:pPr>
            <w:r>
              <w:rPr>
                <w:rFonts w:hint="eastAsia"/>
                <w:highlight w:val="none"/>
                <w:lang w:val="en-US" w:eastAsia="zh-CN"/>
              </w:rPr>
              <w:t>5</w:t>
            </w:r>
            <w:r>
              <w:rPr>
                <w:rFonts w:hint="eastAsia"/>
                <w:highlight w:val="none"/>
              </w:rPr>
              <w:t>.8</w:t>
            </w:r>
          </w:p>
        </w:tc>
        <w:tc>
          <w:tcPr>
            <w:tcW w:w="3274" w:type="dxa"/>
            <w:tcBorders>
              <w:left w:val="single" w:color="auto" w:sz="4" w:space="0"/>
            </w:tcBorders>
            <w:noWrap w:val="0"/>
            <w:vAlign w:val="center"/>
          </w:tcPr>
          <w:p w14:paraId="0BBBF2E4">
            <w:pPr>
              <w:pStyle w:val="13"/>
              <w:rPr>
                <w:highlight w:val="none"/>
              </w:rPr>
            </w:pPr>
            <w:r>
              <w:rPr>
                <w:rFonts w:hint="eastAsia"/>
                <w:highlight w:val="none"/>
              </w:rPr>
              <w:t>工程的沉降观测。</w:t>
            </w:r>
          </w:p>
        </w:tc>
        <w:tc>
          <w:tcPr>
            <w:tcW w:w="0" w:type="auto"/>
            <w:noWrap w:val="0"/>
            <w:vAlign w:val="center"/>
          </w:tcPr>
          <w:p w14:paraId="2F75C69E">
            <w:pPr>
              <w:pStyle w:val="13"/>
              <w:rPr>
                <w:highlight w:val="none"/>
              </w:rPr>
            </w:pPr>
            <w:r>
              <w:rPr>
                <w:highlight w:val="none"/>
              </w:rPr>
              <w:sym w:font="Wingdings" w:char="F0FC"/>
            </w:r>
          </w:p>
        </w:tc>
        <w:tc>
          <w:tcPr>
            <w:tcW w:w="0" w:type="auto"/>
            <w:noWrap w:val="0"/>
            <w:vAlign w:val="center"/>
          </w:tcPr>
          <w:p w14:paraId="57A3BA9B">
            <w:pPr>
              <w:pStyle w:val="13"/>
              <w:rPr>
                <w:highlight w:val="none"/>
              </w:rPr>
            </w:pPr>
          </w:p>
        </w:tc>
        <w:tc>
          <w:tcPr>
            <w:tcW w:w="0" w:type="auto"/>
            <w:noWrap w:val="0"/>
            <w:vAlign w:val="center"/>
          </w:tcPr>
          <w:p w14:paraId="5D9CC047">
            <w:pPr>
              <w:pStyle w:val="13"/>
              <w:rPr>
                <w:highlight w:val="none"/>
              </w:rPr>
            </w:pPr>
          </w:p>
        </w:tc>
      </w:tr>
      <w:tr w14:paraId="75403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1A2CE18D">
            <w:pPr>
              <w:pStyle w:val="13"/>
              <w:rPr>
                <w:highlight w:val="none"/>
              </w:rPr>
            </w:pPr>
            <w:r>
              <w:rPr>
                <w:rFonts w:hint="eastAsia"/>
                <w:highlight w:val="none"/>
                <w:lang w:eastAsia="zh-CN"/>
              </w:rPr>
              <w:t>六</w:t>
            </w:r>
            <w:r>
              <w:rPr>
                <w:rFonts w:hint="eastAsia"/>
                <w:highlight w:val="none"/>
              </w:rPr>
              <w:t>、现场材料、样品及样板</w:t>
            </w:r>
          </w:p>
        </w:tc>
      </w:tr>
      <w:tr w14:paraId="767E8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88093BC">
            <w:pPr>
              <w:pStyle w:val="13"/>
              <w:rPr>
                <w:highlight w:val="none"/>
              </w:rPr>
            </w:pPr>
            <w:r>
              <w:rPr>
                <w:rFonts w:hint="eastAsia"/>
                <w:highlight w:val="none"/>
                <w:lang w:val="en-US" w:eastAsia="zh-CN"/>
              </w:rPr>
              <w:t>6</w:t>
            </w:r>
            <w:r>
              <w:rPr>
                <w:rFonts w:hint="eastAsia"/>
                <w:highlight w:val="none"/>
              </w:rPr>
              <w:t>.1</w:t>
            </w:r>
          </w:p>
        </w:tc>
        <w:tc>
          <w:tcPr>
            <w:tcW w:w="3274" w:type="dxa"/>
            <w:tcBorders>
              <w:left w:val="single" w:color="auto" w:sz="4" w:space="0"/>
            </w:tcBorders>
            <w:noWrap w:val="0"/>
            <w:vAlign w:val="center"/>
          </w:tcPr>
          <w:p w14:paraId="64604F9E">
            <w:pPr>
              <w:pStyle w:val="13"/>
              <w:rPr>
                <w:highlight w:val="none"/>
              </w:rPr>
            </w:pPr>
            <w:r>
              <w:rPr>
                <w:rFonts w:hint="eastAsia"/>
                <w:highlight w:val="none"/>
              </w:rPr>
              <w:t>现场检验</w:t>
            </w:r>
            <w:r>
              <w:rPr>
                <w:highlight w:val="none"/>
              </w:rPr>
              <w:t>、</w:t>
            </w:r>
            <w:r>
              <w:rPr>
                <w:rFonts w:hint="eastAsia"/>
                <w:highlight w:val="none"/>
              </w:rPr>
              <w:t>接收、</w:t>
            </w:r>
            <w:r>
              <w:rPr>
                <w:highlight w:val="none"/>
              </w:rPr>
              <w:t>保管</w:t>
            </w:r>
            <w:r>
              <w:rPr>
                <w:rFonts w:hint="eastAsia"/>
                <w:highlight w:val="none"/>
              </w:rPr>
              <w:t>合同范围内发包人采购的材料、设备，并负责储藏和场内倒运。自费补充接收后受损坏、遗失、偷窃的物料。</w:t>
            </w:r>
          </w:p>
        </w:tc>
        <w:tc>
          <w:tcPr>
            <w:tcW w:w="0" w:type="auto"/>
            <w:noWrap w:val="0"/>
            <w:vAlign w:val="center"/>
          </w:tcPr>
          <w:p w14:paraId="00E973D8">
            <w:pPr>
              <w:pStyle w:val="13"/>
              <w:rPr>
                <w:highlight w:val="none"/>
              </w:rPr>
            </w:pPr>
            <w:r>
              <w:rPr>
                <w:highlight w:val="none"/>
              </w:rPr>
              <w:sym w:font="Wingdings" w:char="F0FC"/>
            </w:r>
          </w:p>
        </w:tc>
        <w:tc>
          <w:tcPr>
            <w:tcW w:w="0" w:type="auto"/>
            <w:noWrap w:val="0"/>
            <w:vAlign w:val="center"/>
          </w:tcPr>
          <w:p w14:paraId="1775750D">
            <w:pPr>
              <w:pStyle w:val="13"/>
              <w:rPr>
                <w:highlight w:val="none"/>
              </w:rPr>
            </w:pPr>
            <w:r>
              <w:rPr>
                <w:highlight w:val="none"/>
              </w:rPr>
              <w:sym w:font="Wingdings" w:char="F0FC"/>
            </w:r>
          </w:p>
        </w:tc>
        <w:tc>
          <w:tcPr>
            <w:tcW w:w="0" w:type="auto"/>
            <w:noWrap w:val="0"/>
            <w:vAlign w:val="center"/>
          </w:tcPr>
          <w:p w14:paraId="0E5BB041">
            <w:pPr>
              <w:pStyle w:val="13"/>
              <w:rPr>
                <w:highlight w:val="none"/>
              </w:rPr>
            </w:pPr>
            <w:r>
              <w:rPr>
                <w:rFonts w:hint="eastAsia"/>
                <w:highlight w:val="none"/>
              </w:rPr>
              <w:t>各自负责其施工区域的</w:t>
            </w:r>
            <w:r>
              <w:rPr>
                <w:highlight w:val="none"/>
              </w:rPr>
              <w:t>物料</w:t>
            </w:r>
          </w:p>
        </w:tc>
      </w:tr>
      <w:tr w14:paraId="07682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41EC220">
            <w:pPr>
              <w:pStyle w:val="13"/>
              <w:rPr>
                <w:highlight w:val="none"/>
              </w:rPr>
            </w:pPr>
            <w:r>
              <w:rPr>
                <w:rFonts w:hint="eastAsia"/>
                <w:highlight w:val="none"/>
                <w:lang w:val="en-US" w:eastAsia="zh-CN"/>
              </w:rPr>
              <w:t>6</w:t>
            </w:r>
            <w:r>
              <w:rPr>
                <w:rFonts w:hint="eastAsia"/>
                <w:highlight w:val="none"/>
              </w:rPr>
              <w:t>.2</w:t>
            </w:r>
          </w:p>
        </w:tc>
        <w:tc>
          <w:tcPr>
            <w:tcW w:w="3274" w:type="dxa"/>
            <w:tcBorders>
              <w:left w:val="single" w:color="auto" w:sz="4" w:space="0"/>
            </w:tcBorders>
            <w:noWrap w:val="0"/>
            <w:vAlign w:val="center"/>
          </w:tcPr>
          <w:p w14:paraId="5A30FA1E">
            <w:pPr>
              <w:pStyle w:val="13"/>
              <w:rPr>
                <w:highlight w:val="none"/>
              </w:rPr>
            </w:pPr>
            <w:r>
              <w:rPr>
                <w:rFonts w:hint="eastAsia"/>
                <w:highlight w:val="none"/>
              </w:rPr>
              <w:t>为专业承包人/独立承包人/供应商的人员、设备、物料提供进出场入口。</w:t>
            </w:r>
          </w:p>
        </w:tc>
        <w:tc>
          <w:tcPr>
            <w:tcW w:w="0" w:type="auto"/>
            <w:noWrap w:val="0"/>
            <w:vAlign w:val="center"/>
          </w:tcPr>
          <w:p w14:paraId="2A21D62B">
            <w:pPr>
              <w:pStyle w:val="13"/>
              <w:rPr>
                <w:highlight w:val="none"/>
              </w:rPr>
            </w:pPr>
            <w:r>
              <w:rPr>
                <w:highlight w:val="none"/>
              </w:rPr>
              <w:sym w:font="Wingdings" w:char="F0FC"/>
            </w:r>
          </w:p>
        </w:tc>
        <w:tc>
          <w:tcPr>
            <w:tcW w:w="0" w:type="auto"/>
            <w:noWrap w:val="0"/>
            <w:vAlign w:val="center"/>
          </w:tcPr>
          <w:p w14:paraId="0F021067">
            <w:pPr>
              <w:pStyle w:val="13"/>
              <w:rPr>
                <w:highlight w:val="none"/>
              </w:rPr>
            </w:pPr>
            <w:r>
              <w:rPr>
                <w:rFonts w:hint="eastAsia"/>
                <w:highlight w:val="none"/>
              </w:rPr>
              <w:t>办理进出场手续</w:t>
            </w:r>
          </w:p>
        </w:tc>
        <w:tc>
          <w:tcPr>
            <w:tcW w:w="0" w:type="auto"/>
            <w:noWrap w:val="0"/>
            <w:vAlign w:val="center"/>
          </w:tcPr>
          <w:p w14:paraId="4128DE2A">
            <w:pPr>
              <w:pStyle w:val="13"/>
              <w:rPr>
                <w:highlight w:val="none"/>
              </w:rPr>
            </w:pPr>
          </w:p>
        </w:tc>
      </w:tr>
      <w:tr w14:paraId="64157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D694A13">
            <w:pPr>
              <w:pStyle w:val="13"/>
              <w:rPr>
                <w:highlight w:val="none"/>
              </w:rPr>
            </w:pPr>
            <w:r>
              <w:rPr>
                <w:rFonts w:hint="eastAsia"/>
                <w:highlight w:val="none"/>
                <w:lang w:val="en-US" w:eastAsia="zh-CN"/>
              </w:rPr>
              <w:t>6</w:t>
            </w:r>
            <w:r>
              <w:rPr>
                <w:rFonts w:hint="eastAsia"/>
                <w:highlight w:val="none"/>
              </w:rPr>
              <w:t>.3</w:t>
            </w:r>
          </w:p>
        </w:tc>
        <w:tc>
          <w:tcPr>
            <w:tcW w:w="3274" w:type="dxa"/>
            <w:tcBorders>
              <w:left w:val="single" w:color="auto" w:sz="4" w:space="0"/>
            </w:tcBorders>
            <w:noWrap w:val="0"/>
            <w:vAlign w:val="center"/>
          </w:tcPr>
          <w:p w14:paraId="26CEED21">
            <w:pPr>
              <w:pStyle w:val="13"/>
              <w:rPr>
                <w:highlight w:val="none"/>
              </w:rPr>
            </w:pPr>
            <w:r>
              <w:rPr>
                <w:rFonts w:hint="eastAsia"/>
                <w:highlight w:val="none"/>
              </w:rPr>
              <w:t>现场物料的场内倒运，如从卸货点至储藏点或安装点的搬运。</w:t>
            </w:r>
          </w:p>
        </w:tc>
        <w:tc>
          <w:tcPr>
            <w:tcW w:w="0" w:type="auto"/>
            <w:noWrap w:val="0"/>
            <w:vAlign w:val="center"/>
          </w:tcPr>
          <w:p w14:paraId="5D9AC59D">
            <w:pPr>
              <w:pStyle w:val="13"/>
              <w:rPr>
                <w:highlight w:val="none"/>
              </w:rPr>
            </w:pPr>
            <w:r>
              <w:rPr>
                <w:highlight w:val="none"/>
              </w:rPr>
              <w:sym w:font="Wingdings" w:char="F0FC"/>
            </w:r>
          </w:p>
        </w:tc>
        <w:tc>
          <w:tcPr>
            <w:tcW w:w="0" w:type="auto"/>
            <w:noWrap w:val="0"/>
            <w:vAlign w:val="center"/>
          </w:tcPr>
          <w:p w14:paraId="1F3D0B2C">
            <w:pPr>
              <w:pStyle w:val="13"/>
              <w:rPr>
                <w:highlight w:val="none"/>
              </w:rPr>
            </w:pPr>
            <w:r>
              <w:rPr>
                <w:highlight w:val="none"/>
              </w:rPr>
              <w:sym w:font="Wingdings" w:char="F0FC"/>
            </w:r>
          </w:p>
        </w:tc>
        <w:tc>
          <w:tcPr>
            <w:tcW w:w="0" w:type="auto"/>
            <w:noWrap w:val="0"/>
            <w:vAlign w:val="center"/>
          </w:tcPr>
          <w:p w14:paraId="325B3F1F">
            <w:pPr>
              <w:pStyle w:val="13"/>
              <w:rPr>
                <w:highlight w:val="none"/>
              </w:rPr>
            </w:pPr>
          </w:p>
        </w:tc>
      </w:tr>
      <w:tr w14:paraId="61A77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587D3AD">
            <w:pPr>
              <w:pStyle w:val="13"/>
              <w:rPr>
                <w:highlight w:val="none"/>
              </w:rPr>
            </w:pPr>
            <w:r>
              <w:rPr>
                <w:rFonts w:hint="eastAsia"/>
                <w:highlight w:val="none"/>
                <w:lang w:val="en-US" w:eastAsia="zh-CN"/>
              </w:rPr>
              <w:t>6</w:t>
            </w:r>
            <w:r>
              <w:rPr>
                <w:rFonts w:hint="eastAsia"/>
                <w:highlight w:val="none"/>
              </w:rPr>
              <w:t>.4</w:t>
            </w:r>
          </w:p>
        </w:tc>
        <w:tc>
          <w:tcPr>
            <w:tcW w:w="3274" w:type="dxa"/>
            <w:tcBorders>
              <w:left w:val="single" w:color="auto" w:sz="4" w:space="0"/>
            </w:tcBorders>
            <w:noWrap w:val="0"/>
            <w:vAlign w:val="center"/>
          </w:tcPr>
          <w:p w14:paraId="382797A6">
            <w:pPr>
              <w:pStyle w:val="13"/>
              <w:rPr>
                <w:highlight w:val="none"/>
              </w:rPr>
            </w:pPr>
            <w:r>
              <w:rPr>
                <w:rFonts w:hint="eastAsia"/>
                <w:highlight w:val="none"/>
              </w:rPr>
              <w:t>提交所有物料的进场审批计划。</w:t>
            </w:r>
          </w:p>
        </w:tc>
        <w:tc>
          <w:tcPr>
            <w:tcW w:w="0" w:type="auto"/>
            <w:noWrap w:val="0"/>
            <w:vAlign w:val="center"/>
          </w:tcPr>
          <w:p w14:paraId="369D0396">
            <w:pPr>
              <w:pStyle w:val="13"/>
              <w:rPr>
                <w:highlight w:val="none"/>
              </w:rPr>
            </w:pPr>
            <w:r>
              <w:rPr>
                <w:highlight w:val="none"/>
              </w:rPr>
              <w:sym w:font="Wingdings" w:char="F0FC"/>
            </w:r>
          </w:p>
        </w:tc>
        <w:tc>
          <w:tcPr>
            <w:tcW w:w="0" w:type="auto"/>
            <w:noWrap w:val="0"/>
            <w:vAlign w:val="center"/>
          </w:tcPr>
          <w:p w14:paraId="5C795D20">
            <w:pPr>
              <w:pStyle w:val="13"/>
              <w:rPr>
                <w:highlight w:val="none"/>
              </w:rPr>
            </w:pPr>
            <w:r>
              <w:rPr>
                <w:highlight w:val="none"/>
              </w:rPr>
              <w:sym w:font="Wingdings" w:char="F0FC"/>
            </w:r>
          </w:p>
        </w:tc>
        <w:tc>
          <w:tcPr>
            <w:tcW w:w="0" w:type="auto"/>
            <w:noWrap w:val="0"/>
            <w:vAlign w:val="center"/>
          </w:tcPr>
          <w:p w14:paraId="3C0ED56A">
            <w:pPr>
              <w:pStyle w:val="13"/>
              <w:rPr>
                <w:highlight w:val="none"/>
              </w:rPr>
            </w:pPr>
            <w:r>
              <w:rPr>
                <w:rFonts w:hint="eastAsia"/>
                <w:highlight w:val="none"/>
              </w:rPr>
              <w:t>各负其责，</w:t>
            </w:r>
            <w:r>
              <w:rPr>
                <w:highlight w:val="none"/>
              </w:rPr>
              <w:t>但</w:t>
            </w:r>
            <w:r>
              <w:rPr>
                <w:rFonts w:hint="eastAsia"/>
                <w:highlight w:val="none"/>
              </w:rPr>
              <w:t>专业承包人/独立承包人的</w:t>
            </w:r>
            <w:r>
              <w:rPr>
                <w:highlight w:val="none"/>
              </w:rPr>
              <w:t>进场审批计划需经总承包人审核。</w:t>
            </w:r>
          </w:p>
        </w:tc>
      </w:tr>
      <w:tr w14:paraId="1CF63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A8ABC6B">
            <w:pPr>
              <w:pStyle w:val="13"/>
              <w:rPr>
                <w:highlight w:val="none"/>
              </w:rPr>
            </w:pPr>
            <w:r>
              <w:rPr>
                <w:rFonts w:hint="eastAsia"/>
                <w:highlight w:val="none"/>
                <w:lang w:val="en-US" w:eastAsia="zh-CN"/>
              </w:rPr>
              <w:t>6</w:t>
            </w:r>
            <w:r>
              <w:rPr>
                <w:rFonts w:hint="eastAsia"/>
                <w:highlight w:val="none"/>
              </w:rPr>
              <w:t>.5</w:t>
            </w:r>
          </w:p>
        </w:tc>
        <w:tc>
          <w:tcPr>
            <w:tcW w:w="3274" w:type="dxa"/>
            <w:tcBorders>
              <w:left w:val="single" w:color="auto" w:sz="4" w:space="0"/>
            </w:tcBorders>
            <w:noWrap w:val="0"/>
            <w:vAlign w:val="center"/>
          </w:tcPr>
          <w:p w14:paraId="53D47010">
            <w:pPr>
              <w:pStyle w:val="13"/>
              <w:rPr>
                <w:highlight w:val="none"/>
              </w:rPr>
            </w:pPr>
            <w:r>
              <w:rPr>
                <w:rFonts w:hint="eastAsia"/>
                <w:highlight w:val="none"/>
              </w:rPr>
              <w:t>订购所有材料\设备前，须呈报样板和相关生产及技术规格文件，直至发包人审核批准。</w:t>
            </w:r>
          </w:p>
        </w:tc>
        <w:tc>
          <w:tcPr>
            <w:tcW w:w="0" w:type="auto"/>
            <w:noWrap w:val="0"/>
            <w:vAlign w:val="center"/>
          </w:tcPr>
          <w:p w14:paraId="27BDABDC">
            <w:pPr>
              <w:pStyle w:val="13"/>
              <w:rPr>
                <w:highlight w:val="none"/>
              </w:rPr>
            </w:pPr>
            <w:r>
              <w:rPr>
                <w:highlight w:val="none"/>
              </w:rPr>
              <w:sym w:font="Wingdings" w:char="F0FC"/>
            </w:r>
          </w:p>
        </w:tc>
        <w:tc>
          <w:tcPr>
            <w:tcW w:w="0" w:type="auto"/>
            <w:noWrap w:val="0"/>
            <w:vAlign w:val="center"/>
          </w:tcPr>
          <w:p w14:paraId="00540122">
            <w:pPr>
              <w:pStyle w:val="13"/>
              <w:rPr>
                <w:highlight w:val="none"/>
              </w:rPr>
            </w:pPr>
            <w:r>
              <w:rPr>
                <w:highlight w:val="none"/>
              </w:rPr>
              <w:sym w:font="Wingdings" w:char="F0FC"/>
            </w:r>
          </w:p>
        </w:tc>
        <w:tc>
          <w:tcPr>
            <w:tcW w:w="0" w:type="auto"/>
            <w:noWrap w:val="0"/>
            <w:vAlign w:val="center"/>
          </w:tcPr>
          <w:p w14:paraId="5367B40B">
            <w:pPr>
              <w:pStyle w:val="13"/>
              <w:rPr>
                <w:highlight w:val="none"/>
              </w:rPr>
            </w:pPr>
          </w:p>
        </w:tc>
      </w:tr>
      <w:tr w14:paraId="50C2A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A9A2A57">
            <w:pPr>
              <w:pStyle w:val="13"/>
              <w:rPr>
                <w:highlight w:val="none"/>
              </w:rPr>
            </w:pPr>
            <w:r>
              <w:rPr>
                <w:rFonts w:hint="eastAsia"/>
                <w:highlight w:val="none"/>
                <w:lang w:val="en-US" w:eastAsia="zh-CN"/>
              </w:rPr>
              <w:t>6</w:t>
            </w:r>
            <w:r>
              <w:rPr>
                <w:rFonts w:hint="eastAsia"/>
                <w:highlight w:val="none"/>
              </w:rPr>
              <w:t>.6</w:t>
            </w:r>
          </w:p>
        </w:tc>
        <w:tc>
          <w:tcPr>
            <w:tcW w:w="3274" w:type="dxa"/>
            <w:tcBorders>
              <w:left w:val="single" w:color="auto" w:sz="4" w:space="0"/>
            </w:tcBorders>
            <w:noWrap w:val="0"/>
            <w:vAlign w:val="center"/>
          </w:tcPr>
          <w:p w14:paraId="2656A0B3">
            <w:pPr>
              <w:pStyle w:val="13"/>
              <w:rPr>
                <w:highlight w:val="none"/>
              </w:rPr>
            </w:pPr>
            <w:r>
              <w:rPr>
                <w:rFonts w:hint="eastAsia"/>
                <w:highlight w:val="none"/>
              </w:rPr>
              <w:t>所有经批准的样品和样板须保存现场备查。</w:t>
            </w:r>
          </w:p>
        </w:tc>
        <w:tc>
          <w:tcPr>
            <w:tcW w:w="0" w:type="auto"/>
            <w:noWrap w:val="0"/>
            <w:vAlign w:val="center"/>
          </w:tcPr>
          <w:p w14:paraId="5D939E1A">
            <w:pPr>
              <w:pStyle w:val="13"/>
              <w:rPr>
                <w:highlight w:val="none"/>
              </w:rPr>
            </w:pPr>
            <w:r>
              <w:rPr>
                <w:highlight w:val="none"/>
              </w:rPr>
              <w:sym w:font="Wingdings" w:char="F0FC"/>
            </w:r>
          </w:p>
        </w:tc>
        <w:tc>
          <w:tcPr>
            <w:tcW w:w="0" w:type="auto"/>
            <w:noWrap w:val="0"/>
            <w:vAlign w:val="center"/>
          </w:tcPr>
          <w:p w14:paraId="47A8631C">
            <w:pPr>
              <w:pStyle w:val="13"/>
              <w:rPr>
                <w:highlight w:val="none"/>
              </w:rPr>
            </w:pPr>
            <w:r>
              <w:rPr>
                <w:highlight w:val="none"/>
              </w:rPr>
              <w:sym w:font="Wingdings" w:char="F0FC"/>
            </w:r>
          </w:p>
        </w:tc>
        <w:tc>
          <w:tcPr>
            <w:tcW w:w="0" w:type="auto"/>
            <w:noWrap w:val="0"/>
            <w:vAlign w:val="center"/>
          </w:tcPr>
          <w:p w14:paraId="54F85563">
            <w:pPr>
              <w:pStyle w:val="13"/>
              <w:rPr>
                <w:highlight w:val="none"/>
              </w:rPr>
            </w:pPr>
          </w:p>
        </w:tc>
      </w:tr>
      <w:tr w14:paraId="0671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89A238C">
            <w:pPr>
              <w:pStyle w:val="13"/>
              <w:rPr>
                <w:highlight w:val="none"/>
              </w:rPr>
            </w:pPr>
            <w:r>
              <w:rPr>
                <w:rFonts w:hint="eastAsia"/>
                <w:highlight w:val="none"/>
                <w:lang w:val="en-US" w:eastAsia="zh-CN"/>
              </w:rPr>
              <w:t>6</w:t>
            </w:r>
            <w:r>
              <w:rPr>
                <w:rFonts w:hint="eastAsia"/>
                <w:highlight w:val="none"/>
              </w:rPr>
              <w:t>.7</w:t>
            </w:r>
          </w:p>
        </w:tc>
        <w:tc>
          <w:tcPr>
            <w:tcW w:w="3274" w:type="dxa"/>
            <w:tcBorders>
              <w:left w:val="single" w:color="auto" w:sz="4" w:space="0"/>
            </w:tcBorders>
            <w:noWrap w:val="0"/>
            <w:vAlign w:val="center"/>
          </w:tcPr>
          <w:p w14:paraId="0A18EBC7">
            <w:pPr>
              <w:pStyle w:val="13"/>
              <w:rPr>
                <w:highlight w:val="none"/>
              </w:rPr>
            </w:pPr>
            <w:r>
              <w:rPr>
                <w:rFonts w:hint="eastAsia"/>
                <w:highlight w:val="none"/>
              </w:rPr>
              <w:t>将合同约定的备用材料运送到发包人指定的地方及加以适当保护。</w:t>
            </w:r>
          </w:p>
        </w:tc>
        <w:tc>
          <w:tcPr>
            <w:tcW w:w="0" w:type="auto"/>
            <w:noWrap w:val="0"/>
            <w:vAlign w:val="center"/>
          </w:tcPr>
          <w:p w14:paraId="451E69D1">
            <w:pPr>
              <w:pStyle w:val="13"/>
              <w:rPr>
                <w:highlight w:val="none"/>
              </w:rPr>
            </w:pPr>
            <w:r>
              <w:rPr>
                <w:highlight w:val="none"/>
              </w:rPr>
              <w:sym w:font="Wingdings" w:char="F0FC"/>
            </w:r>
          </w:p>
        </w:tc>
        <w:tc>
          <w:tcPr>
            <w:tcW w:w="0" w:type="auto"/>
            <w:noWrap w:val="0"/>
            <w:vAlign w:val="center"/>
          </w:tcPr>
          <w:p w14:paraId="442E29EA">
            <w:pPr>
              <w:pStyle w:val="13"/>
              <w:rPr>
                <w:highlight w:val="none"/>
              </w:rPr>
            </w:pPr>
            <w:r>
              <w:rPr>
                <w:highlight w:val="none"/>
              </w:rPr>
              <w:sym w:font="Wingdings" w:char="F0FC"/>
            </w:r>
          </w:p>
        </w:tc>
        <w:tc>
          <w:tcPr>
            <w:tcW w:w="0" w:type="auto"/>
            <w:noWrap w:val="0"/>
            <w:vAlign w:val="center"/>
          </w:tcPr>
          <w:p w14:paraId="586E0449">
            <w:pPr>
              <w:pStyle w:val="13"/>
              <w:rPr>
                <w:highlight w:val="none"/>
              </w:rPr>
            </w:pPr>
          </w:p>
        </w:tc>
      </w:tr>
      <w:tr w14:paraId="0242A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3A10A2F9">
            <w:pPr>
              <w:pStyle w:val="13"/>
              <w:rPr>
                <w:highlight w:val="none"/>
              </w:rPr>
            </w:pPr>
            <w:r>
              <w:rPr>
                <w:rFonts w:hint="eastAsia"/>
                <w:highlight w:val="none"/>
                <w:lang w:eastAsia="zh-CN"/>
              </w:rPr>
              <w:t>七</w:t>
            </w:r>
            <w:r>
              <w:rPr>
                <w:rFonts w:hint="eastAsia"/>
                <w:highlight w:val="none"/>
              </w:rPr>
              <w:t>、临时水、电和照明</w:t>
            </w:r>
          </w:p>
        </w:tc>
      </w:tr>
      <w:tr w14:paraId="64152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95ACFA5">
            <w:pPr>
              <w:pStyle w:val="13"/>
              <w:rPr>
                <w:highlight w:val="none"/>
              </w:rPr>
            </w:pPr>
            <w:r>
              <w:rPr>
                <w:rFonts w:hint="eastAsia"/>
                <w:highlight w:val="none"/>
                <w:lang w:val="en-US" w:eastAsia="zh-CN"/>
              </w:rPr>
              <w:t>7</w:t>
            </w:r>
            <w:r>
              <w:rPr>
                <w:rFonts w:hint="eastAsia"/>
                <w:highlight w:val="none"/>
              </w:rPr>
              <w:t>.1</w:t>
            </w:r>
          </w:p>
        </w:tc>
        <w:tc>
          <w:tcPr>
            <w:tcW w:w="3274" w:type="dxa"/>
            <w:tcBorders>
              <w:left w:val="single" w:color="auto" w:sz="4" w:space="0"/>
            </w:tcBorders>
            <w:noWrap w:val="0"/>
            <w:vAlign w:val="center"/>
          </w:tcPr>
          <w:p w14:paraId="19BA307B">
            <w:pPr>
              <w:pStyle w:val="13"/>
              <w:rPr>
                <w:highlight w:val="none"/>
              </w:rPr>
            </w:pPr>
            <w:r>
              <w:rPr>
                <w:rFonts w:hint="eastAsia"/>
                <w:highlight w:val="none"/>
              </w:rPr>
              <w:t>总承包对消防楼梯和通道等提供足够的照明，</w:t>
            </w:r>
            <w:r>
              <w:rPr>
                <w:highlight w:val="none"/>
              </w:rPr>
              <w:t>且不留照明死角</w:t>
            </w:r>
            <w:r>
              <w:rPr>
                <w:rFonts w:hint="eastAsia"/>
                <w:highlight w:val="none"/>
              </w:rPr>
              <w:t>。</w:t>
            </w:r>
          </w:p>
        </w:tc>
        <w:tc>
          <w:tcPr>
            <w:tcW w:w="0" w:type="auto"/>
            <w:noWrap w:val="0"/>
            <w:vAlign w:val="center"/>
          </w:tcPr>
          <w:p w14:paraId="6B46F694">
            <w:pPr>
              <w:pStyle w:val="13"/>
              <w:rPr>
                <w:highlight w:val="none"/>
              </w:rPr>
            </w:pPr>
            <w:r>
              <w:rPr>
                <w:highlight w:val="none"/>
              </w:rPr>
              <w:sym w:font="Wingdings" w:char="F0FC"/>
            </w:r>
          </w:p>
        </w:tc>
        <w:tc>
          <w:tcPr>
            <w:tcW w:w="0" w:type="auto"/>
            <w:noWrap w:val="0"/>
            <w:vAlign w:val="center"/>
          </w:tcPr>
          <w:p w14:paraId="4C423873">
            <w:pPr>
              <w:pStyle w:val="13"/>
              <w:rPr>
                <w:highlight w:val="none"/>
              </w:rPr>
            </w:pPr>
            <w:r>
              <w:rPr>
                <w:rFonts w:hint="eastAsia"/>
                <w:highlight w:val="none"/>
              </w:rPr>
              <w:t>负责自行施工</w:t>
            </w:r>
            <w:r>
              <w:rPr>
                <w:highlight w:val="none"/>
              </w:rPr>
              <w:t>区域</w:t>
            </w:r>
            <w:r>
              <w:rPr>
                <w:rFonts w:hint="eastAsia"/>
                <w:highlight w:val="none"/>
              </w:rPr>
              <w:t>的</w:t>
            </w:r>
            <w:r>
              <w:rPr>
                <w:highlight w:val="none"/>
              </w:rPr>
              <w:t>照明</w:t>
            </w:r>
          </w:p>
        </w:tc>
        <w:tc>
          <w:tcPr>
            <w:tcW w:w="0" w:type="auto"/>
            <w:noWrap w:val="0"/>
            <w:vAlign w:val="center"/>
          </w:tcPr>
          <w:p w14:paraId="31A7ED64">
            <w:pPr>
              <w:pStyle w:val="13"/>
              <w:rPr>
                <w:highlight w:val="none"/>
              </w:rPr>
            </w:pPr>
          </w:p>
        </w:tc>
      </w:tr>
      <w:tr w14:paraId="7FC23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1F55CBC">
            <w:pPr>
              <w:pStyle w:val="13"/>
              <w:rPr>
                <w:highlight w:val="none"/>
              </w:rPr>
            </w:pPr>
            <w:r>
              <w:rPr>
                <w:rFonts w:hint="eastAsia"/>
                <w:highlight w:val="none"/>
                <w:lang w:val="en-US" w:eastAsia="zh-CN"/>
              </w:rPr>
              <w:t>7</w:t>
            </w:r>
            <w:r>
              <w:rPr>
                <w:rFonts w:hint="eastAsia"/>
                <w:highlight w:val="none"/>
              </w:rPr>
              <w:t>.2</w:t>
            </w:r>
          </w:p>
        </w:tc>
        <w:tc>
          <w:tcPr>
            <w:tcW w:w="3274" w:type="dxa"/>
            <w:tcBorders>
              <w:left w:val="single" w:color="auto" w:sz="4" w:space="0"/>
            </w:tcBorders>
            <w:noWrap w:val="0"/>
            <w:vAlign w:val="center"/>
          </w:tcPr>
          <w:p w14:paraId="16F73E2B">
            <w:pPr>
              <w:pStyle w:val="13"/>
              <w:rPr>
                <w:highlight w:val="none"/>
              </w:rPr>
            </w:pPr>
            <w:r>
              <w:rPr>
                <w:rFonts w:hint="eastAsia"/>
                <w:highlight w:val="none"/>
              </w:rPr>
              <w:t>施工临时用电管理</w:t>
            </w:r>
            <w:r>
              <w:rPr>
                <w:highlight w:val="none"/>
              </w:rPr>
              <w:t>及电费</w:t>
            </w:r>
            <w:r>
              <w:rPr>
                <w:rFonts w:hint="eastAsia"/>
                <w:highlight w:val="none"/>
              </w:rPr>
              <w:t>。</w:t>
            </w:r>
          </w:p>
        </w:tc>
        <w:tc>
          <w:tcPr>
            <w:tcW w:w="0" w:type="auto"/>
            <w:noWrap w:val="0"/>
            <w:vAlign w:val="center"/>
          </w:tcPr>
          <w:p w14:paraId="08E9F985">
            <w:pPr>
              <w:pStyle w:val="13"/>
              <w:rPr>
                <w:highlight w:val="none"/>
              </w:rPr>
            </w:pPr>
            <w:r>
              <w:rPr>
                <w:highlight w:val="none"/>
              </w:rPr>
              <w:sym w:font="Wingdings" w:char="F0FC"/>
            </w:r>
          </w:p>
        </w:tc>
        <w:tc>
          <w:tcPr>
            <w:tcW w:w="0" w:type="auto"/>
            <w:noWrap w:val="0"/>
            <w:vAlign w:val="center"/>
          </w:tcPr>
          <w:p w14:paraId="7888C35A">
            <w:pPr>
              <w:pStyle w:val="13"/>
              <w:rPr>
                <w:highlight w:val="none"/>
              </w:rPr>
            </w:pPr>
          </w:p>
        </w:tc>
        <w:tc>
          <w:tcPr>
            <w:tcW w:w="0" w:type="auto"/>
            <w:noWrap w:val="0"/>
            <w:vAlign w:val="center"/>
          </w:tcPr>
          <w:p w14:paraId="06AB98AD">
            <w:pPr>
              <w:pStyle w:val="13"/>
              <w:rPr>
                <w:highlight w:val="none"/>
              </w:rPr>
            </w:pPr>
          </w:p>
        </w:tc>
      </w:tr>
      <w:tr w14:paraId="05575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41" w:type="dxa"/>
            <w:tcBorders>
              <w:right w:val="single" w:color="auto" w:sz="4" w:space="0"/>
            </w:tcBorders>
            <w:noWrap w:val="0"/>
            <w:vAlign w:val="center"/>
          </w:tcPr>
          <w:p w14:paraId="7F3EED80">
            <w:pPr>
              <w:pStyle w:val="13"/>
              <w:rPr>
                <w:highlight w:val="none"/>
              </w:rPr>
            </w:pPr>
            <w:r>
              <w:rPr>
                <w:rFonts w:hint="eastAsia"/>
                <w:highlight w:val="none"/>
                <w:lang w:val="en-US" w:eastAsia="zh-CN"/>
              </w:rPr>
              <w:t>7</w:t>
            </w:r>
            <w:r>
              <w:rPr>
                <w:rFonts w:hint="eastAsia"/>
                <w:highlight w:val="none"/>
              </w:rPr>
              <w:t>.3</w:t>
            </w:r>
          </w:p>
        </w:tc>
        <w:tc>
          <w:tcPr>
            <w:tcW w:w="3274" w:type="dxa"/>
            <w:tcBorders>
              <w:left w:val="single" w:color="auto" w:sz="4" w:space="0"/>
            </w:tcBorders>
            <w:noWrap w:val="0"/>
            <w:vAlign w:val="center"/>
          </w:tcPr>
          <w:p w14:paraId="3109AF4F">
            <w:pPr>
              <w:pStyle w:val="13"/>
              <w:rPr>
                <w:highlight w:val="none"/>
              </w:rPr>
            </w:pPr>
            <w:r>
              <w:rPr>
                <w:rFonts w:hint="eastAsia"/>
                <w:highlight w:val="none"/>
              </w:rPr>
              <w:t>总临电方案编制及临时</w:t>
            </w:r>
            <w:r>
              <w:rPr>
                <w:highlight w:val="none"/>
              </w:rPr>
              <w:t>用电</w:t>
            </w:r>
            <w:r>
              <w:rPr>
                <w:rFonts w:hint="eastAsia"/>
                <w:highlight w:val="none"/>
              </w:rPr>
              <w:t>施工、维护及拆除。</w:t>
            </w:r>
          </w:p>
        </w:tc>
        <w:tc>
          <w:tcPr>
            <w:tcW w:w="0" w:type="auto"/>
            <w:noWrap w:val="0"/>
            <w:vAlign w:val="center"/>
          </w:tcPr>
          <w:p w14:paraId="51B3D50A">
            <w:pPr>
              <w:pStyle w:val="13"/>
              <w:rPr>
                <w:highlight w:val="none"/>
              </w:rPr>
            </w:pPr>
            <w:r>
              <w:rPr>
                <w:highlight w:val="none"/>
              </w:rPr>
              <w:sym w:font="Wingdings" w:char="F0FC"/>
            </w:r>
          </w:p>
        </w:tc>
        <w:tc>
          <w:tcPr>
            <w:tcW w:w="0" w:type="auto"/>
            <w:noWrap w:val="0"/>
            <w:vAlign w:val="center"/>
          </w:tcPr>
          <w:p w14:paraId="15C2352E">
            <w:pPr>
              <w:pStyle w:val="13"/>
              <w:rPr>
                <w:highlight w:val="none"/>
              </w:rPr>
            </w:pPr>
          </w:p>
        </w:tc>
        <w:tc>
          <w:tcPr>
            <w:tcW w:w="0" w:type="auto"/>
            <w:noWrap w:val="0"/>
            <w:vAlign w:val="center"/>
          </w:tcPr>
          <w:p w14:paraId="7C960A84">
            <w:pPr>
              <w:pStyle w:val="13"/>
              <w:rPr>
                <w:highlight w:val="none"/>
              </w:rPr>
            </w:pPr>
            <w:r>
              <w:rPr>
                <w:rFonts w:hint="eastAsia"/>
                <w:highlight w:val="none"/>
              </w:rPr>
              <w:t>专业承包临电方案交总承包人审核</w:t>
            </w:r>
          </w:p>
        </w:tc>
      </w:tr>
      <w:tr w14:paraId="0799C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09FFE53">
            <w:pPr>
              <w:pStyle w:val="13"/>
              <w:rPr>
                <w:highlight w:val="none"/>
              </w:rPr>
            </w:pPr>
            <w:r>
              <w:rPr>
                <w:rFonts w:hint="eastAsia"/>
                <w:highlight w:val="none"/>
                <w:lang w:val="en-US" w:eastAsia="zh-CN"/>
              </w:rPr>
              <w:t>7</w:t>
            </w:r>
            <w:r>
              <w:rPr>
                <w:rFonts w:hint="eastAsia"/>
                <w:highlight w:val="none"/>
              </w:rPr>
              <w:t>.4</w:t>
            </w:r>
          </w:p>
        </w:tc>
        <w:tc>
          <w:tcPr>
            <w:tcW w:w="3274" w:type="dxa"/>
            <w:tcBorders>
              <w:left w:val="single" w:color="auto" w:sz="4" w:space="0"/>
            </w:tcBorders>
            <w:noWrap w:val="0"/>
            <w:vAlign w:val="center"/>
          </w:tcPr>
          <w:p w14:paraId="2CB4EE53">
            <w:pPr>
              <w:pStyle w:val="13"/>
              <w:rPr>
                <w:highlight w:val="none"/>
              </w:rPr>
            </w:pPr>
            <w:r>
              <w:rPr>
                <w:rFonts w:hint="eastAsia"/>
                <w:highlight w:val="none"/>
              </w:rPr>
              <w:t>现场一、二级配电箱供应</w:t>
            </w:r>
            <w:r>
              <w:rPr>
                <w:highlight w:val="none"/>
              </w:rPr>
              <w:t>安装、</w:t>
            </w:r>
            <w:r>
              <w:rPr>
                <w:rFonts w:hint="eastAsia"/>
                <w:highlight w:val="none"/>
              </w:rPr>
              <w:t>管理、维护及保护。</w:t>
            </w:r>
          </w:p>
        </w:tc>
        <w:tc>
          <w:tcPr>
            <w:tcW w:w="0" w:type="auto"/>
            <w:noWrap w:val="0"/>
            <w:vAlign w:val="center"/>
          </w:tcPr>
          <w:p w14:paraId="5C4B9321">
            <w:pPr>
              <w:pStyle w:val="13"/>
              <w:rPr>
                <w:highlight w:val="none"/>
              </w:rPr>
            </w:pPr>
            <w:r>
              <w:rPr>
                <w:highlight w:val="none"/>
              </w:rPr>
              <w:sym w:font="Wingdings" w:char="F0FC"/>
            </w:r>
          </w:p>
        </w:tc>
        <w:tc>
          <w:tcPr>
            <w:tcW w:w="0" w:type="auto"/>
            <w:noWrap w:val="0"/>
            <w:vAlign w:val="center"/>
          </w:tcPr>
          <w:p w14:paraId="191672C6">
            <w:pPr>
              <w:pStyle w:val="13"/>
              <w:rPr>
                <w:highlight w:val="none"/>
              </w:rPr>
            </w:pPr>
          </w:p>
        </w:tc>
        <w:tc>
          <w:tcPr>
            <w:tcW w:w="0" w:type="auto"/>
            <w:noWrap w:val="0"/>
            <w:vAlign w:val="center"/>
          </w:tcPr>
          <w:p w14:paraId="3266AD54">
            <w:pPr>
              <w:pStyle w:val="13"/>
              <w:rPr>
                <w:highlight w:val="none"/>
              </w:rPr>
            </w:pPr>
            <w:r>
              <w:rPr>
                <w:rFonts w:hint="eastAsia"/>
                <w:highlight w:val="none"/>
              </w:rPr>
              <w:t>每两层设置一个二级箱，平面不超过50m一个。</w:t>
            </w:r>
          </w:p>
        </w:tc>
      </w:tr>
      <w:tr w14:paraId="0FF50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55B6FB8">
            <w:pPr>
              <w:pStyle w:val="13"/>
              <w:rPr>
                <w:highlight w:val="none"/>
              </w:rPr>
            </w:pPr>
            <w:r>
              <w:rPr>
                <w:rFonts w:hint="eastAsia"/>
                <w:highlight w:val="none"/>
                <w:lang w:val="en-US" w:eastAsia="zh-CN"/>
              </w:rPr>
              <w:t>7</w:t>
            </w:r>
            <w:r>
              <w:rPr>
                <w:rFonts w:hint="eastAsia"/>
                <w:highlight w:val="none"/>
              </w:rPr>
              <w:t>.5</w:t>
            </w:r>
          </w:p>
        </w:tc>
        <w:tc>
          <w:tcPr>
            <w:tcW w:w="3274" w:type="dxa"/>
            <w:tcBorders>
              <w:left w:val="single" w:color="auto" w:sz="4" w:space="0"/>
            </w:tcBorders>
            <w:noWrap w:val="0"/>
            <w:vAlign w:val="center"/>
          </w:tcPr>
          <w:p w14:paraId="5ACF1C0C">
            <w:pPr>
              <w:pStyle w:val="13"/>
              <w:rPr>
                <w:highlight w:val="none"/>
              </w:rPr>
            </w:pPr>
            <w:r>
              <w:rPr>
                <w:rFonts w:hint="eastAsia"/>
                <w:highlight w:val="none"/>
              </w:rPr>
              <w:t>现场三级配电箱的设立、维护。</w:t>
            </w:r>
          </w:p>
        </w:tc>
        <w:tc>
          <w:tcPr>
            <w:tcW w:w="0" w:type="auto"/>
            <w:noWrap w:val="0"/>
            <w:vAlign w:val="center"/>
          </w:tcPr>
          <w:p w14:paraId="32AEEDB0">
            <w:pPr>
              <w:pStyle w:val="13"/>
              <w:rPr>
                <w:highlight w:val="none"/>
              </w:rPr>
            </w:pPr>
            <w:r>
              <w:rPr>
                <w:rFonts w:hint="eastAsia"/>
                <w:highlight w:val="none"/>
              </w:rPr>
              <w:t>本单位使用部分,并负总责。</w:t>
            </w:r>
          </w:p>
        </w:tc>
        <w:tc>
          <w:tcPr>
            <w:tcW w:w="0" w:type="auto"/>
            <w:noWrap w:val="0"/>
            <w:vAlign w:val="center"/>
          </w:tcPr>
          <w:p w14:paraId="56466528">
            <w:pPr>
              <w:pStyle w:val="13"/>
              <w:rPr>
                <w:highlight w:val="none"/>
              </w:rPr>
            </w:pPr>
            <w:r>
              <w:rPr>
                <w:rFonts w:hint="eastAsia"/>
                <w:highlight w:val="none"/>
              </w:rPr>
              <w:t>本单位使用部分</w:t>
            </w:r>
          </w:p>
        </w:tc>
        <w:tc>
          <w:tcPr>
            <w:tcW w:w="0" w:type="auto"/>
            <w:noWrap w:val="0"/>
            <w:vAlign w:val="center"/>
          </w:tcPr>
          <w:p w14:paraId="19168C1A">
            <w:pPr>
              <w:pStyle w:val="13"/>
              <w:rPr>
                <w:highlight w:val="none"/>
              </w:rPr>
            </w:pPr>
            <w:r>
              <w:rPr>
                <w:rFonts w:hint="eastAsia"/>
                <w:highlight w:val="none"/>
              </w:rPr>
              <w:t>总承包人负责整体管理</w:t>
            </w:r>
          </w:p>
        </w:tc>
      </w:tr>
      <w:tr w14:paraId="5B639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79941EC3">
            <w:pPr>
              <w:pStyle w:val="13"/>
              <w:rPr>
                <w:highlight w:val="none"/>
              </w:rPr>
            </w:pPr>
            <w:r>
              <w:rPr>
                <w:rFonts w:hint="eastAsia"/>
                <w:highlight w:val="none"/>
                <w:lang w:val="en-US" w:eastAsia="zh-CN"/>
              </w:rPr>
              <w:t>7</w:t>
            </w:r>
            <w:r>
              <w:rPr>
                <w:rFonts w:hint="eastAsia"/>
                <w:highlight w:val="none"/>
              </w:rPr>
              <w:t>.6</w:t>
            </w:r>
          </w:p>
        </w:tc>
        <w:tc>
          <w:tcPr>
            <w:tcW w:w="3274" w:type="dxa"/>
            <w:tcBorders>
              <w:left w:val="single" w:color="auto" w:sz="4" w:space="0"/>
            </w:tcBorders>
            <w:noWrap w:val="0"/>
            <w:vAlign w:val="center"/>
          </w:tcPr>
          <w:p w14:paraId="41F13178">
            <w:pPr>
              <w:pStyle w:val="13"/>
              <w:rPr>
                <w:highlight w:val="none"/>
              </w:rPr>
            </w:pPr>
            <w:r>
              <w:rPr>
                <w:rFonts w:hint="eastAsia"/>
                <w:highlight w:val="none"/>
              </w:rPr>
              <w:t>供应足够的不间断的用电量。并在电量不足或停电时，采取任何措施确保临时施工用电充足使用。</w:t>
            </w:r>
          </w:p>
        </w:tc>
        <w:tc>
          <w:tcPr>
            <w:tcW w:w="0" w:type="auto"/>
            <w:noWrap w:val="0"/>
            <w:vAlign w:val="center"/>
          </w:tcPr>
          <w:p w14:paraId="79E1140A">
            <w:pPr>
              <w:pStyle w:val="13"/>
              <w:rPr>
                <w:highlight w:val="none"/>
              </w:rPr>
            </w:pPr>
            <w:r>
              <w:rPr>
                <w:highlight w:val="none"/>
              </w:rPr>
              <w:sym w:font="Wingdings" w:char="F0FC"/>
            </w:r>
          </w:p>
        </w:tc>
        <w:tc>
          <w:tcPr>
            <w:tcW w:w="0" w:type="auto"/>
            <w:noWrap w:val="0"/>
            <w:vAlign w:val="center"/>
          </w:tcPr>
          <w:p w14:paraId="231905DA">
            <w:pPr>
              <w:pStyle w:val="13"/>
              <w:rPr>
                <w:highlight w:val="none"/>
              </w:rPr>
            </w:pPr>
          </w:p>
        </w:tc>
        <w:tc>
          <w:tcPr>
            <w:tcW w:w="0" w:type="auto"/>
            <w:noWrap w:val="0"/>
            <w:vAlign w:val="center"/>
          </w:tcPr>
          <w:p w14:paraId="5A6F95BE">
            <w:pPr>
              <w:pStyle w:val="13"/>
              <w:rPr>
                <w:highlight w:val="none"/>
              </w:rPr>
            </w:pPr>
          </w:p>
        </w:tc>
      </w:tr>
      <w:tr w14:paraId="7AC52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3F1434D2">
            <w:pPr>
              <w:pStyle w:val="13"/>
              <w:rPr>
                <w:highlight w:val="none"/>
              </w:rPr>
            </w:pPr>
            <w:r>
              <w:rPr>
                <w:rFonts w:hint="eastAsia"/>
                <w:highlight w:val="none"/>
                <w:lang w:val="en-US" w:eastAsia="zh-CN"/>
              </w:rPr>
              <w:t>7</w:t>
            </w:r>
            <w:r>
              <w:rPr>
                <w:rFonts w:hint="eastAsia"/>
                <w:highlight w:val="none"/>
              </w:rPr>
              <w:t>.7</w:t>
            </w:r>
          </w:p>
        </w:tc>
        <w:tc>
          <w:tcPr>
            <w:tcW w:w="3274" w:type="dxa"/>
            <w:tcBorders>
              <w:left w:val="single" w:color="auto" w:sz="4" w:space="0"/>
            </w:tcBorders>
            <w:noWrap w:val="0"/>
            <w:vAlign w:val="center"/>
          </w:tcPr>
          <w:p w14:paraId="3DCAB101">
            <w:pPr>
              <w:pStyle w:val="13"/>
              <w:rPr>
                <w:highlight w:val="none"/>
              </w:rPr>
            </w:pPr>
            <w:r>
              <w:rPr>
                <w:rFonts w:hint="eastAsia"/>
                <w:highlight w:val="none"/>
              </w:rPr>
              <w:t>提供必要的临时照明，确保作业要求的照度。</w:t>
            </w:r>
          </w:p>
        </w:tc>
        <w:tc>
          <w:tcPr>
            <w:tcW w:w="0" w:type="auto"/>
            <w:noWrap w:val="0"/>
            <w:vAlign w:val="center"/>
          </w:tcPr>
          <w:p w14:paraId="18186BE5">
            <w:pPr>
              <w:pStyle w:val="13"/>
              <w:rPr>
                <w:highlight w:val="none"/>
              </w:rPr>
            </w:pPr>
            <w:r>
              <w:rPr>
                <w:highlight w:val="none"/>
              </w:rPr>
              <w:sym w:font="Wingdings" w:char="F0FC"/>
            </w:r>
          </w:p>
        </w:tc>
        <w:tc>
          <w:tcPr>
            <w:tcW w:w="0" w:type="auto"/>
            <w:noWrap w:val="0"/>
            <w:vAlign w:val="center"/>
          </w:tcPr>
          <w:p w14:paraId="057BBA4E">
            <w:pPr>
              <w:pStyle w:val="13"/>
              <w:rPr>
                <w:highlight w:val="none"/>
              </w:rPr>
            </w:pPr>
            <w:r>
              <w:rPr>
                <w:highlight w:val="none"/>
              </w:rPr>
              <w:sym w:font="Wingdings" w:char="F0FC"/>
            </w:r>
          </w:p>
        </w:tc>
        <w:tc>
          <w:tcPr>
            <w:tcW w:w="0" w:type="auto"/>
            <w:noWrap w:val="0"/>
            <w:vAlign w:val="center"/>
          </w:tcPr>
          <w:p w14:paraId="08499725">
            <w:pPr>
              <w:pStyle w:val="13"/>
              <w:rPr>
                <w:highlight w:val="none"/>
              </w:rPr>
            </w:pPr>
          </w:p>
        </w:tc>
      </w:tr>
      <w:tr w14:paraId="40C88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977BB26">
            <w:pPr>
              <w:pStyle w:val="13"/>
              <w:rPr>
                <w:highlight w:val="none"/>
              </w:rPr>
            </w:pPr>
            <w:r>
              <w:rPr>
                <w:rFonts w:hint="eastAsia"/>
                <w:highlight w:val="none"/>
                <w:lang w:val="en-US" w:eastAsia="zh-CN"/>
              </w:rPr>
              <w:t>7</w:t>
            </w:r>
            <w:r>
              <w:rPr>
                <w:rFonts w:hint="eastAsia"/>
                <w:highlight w:val="none"/>
              </w:rPr>
              <w:t>.8</w:t>
            </w:r>
          </w:p>
        </w:tc>
        <w:tc>
          <w:tcPr>
            <w:tcW w:w="3274" w:type="dxa"/>
            <w:tcBorders>
              <w:left w:val="single" w:color="auto" w:sz="4" w:space="0"/>
            </w:tcBorders>
            <w:noWrap w:val="0"/>
            <w:vAlign w:val="center"/>
          </w:tcPr>
          <w:p w14:paraId="21E6E66A">
            <w:pPr>
              <w:pStyle w:val="13"/>
              <w:rPr>
                <w:highlight w:val="none"/>
              </w:rPr>
            </w:pPr>
            <w:r>
              <w:rPr>
                <w:rFonts w:hint="eastAsia"/>
                <w:highlight w:val="none"/>
              </w:rPr>
              <w:t>对现场临时电力装置、照明设施、施工机具和设备、漏电保护、供电用插头、变压箱、临时开关、保险丝等进行接地、防水、维护保养。</w:t>
            </w:r>
          </w:p>
        </w:tc>
        <w:tc>
          <w:tcPr>
            <w:tcW w:w="0" w:type="auto"/>
            <w:noWrap w:val="0"/>
            <w:vAlign w:val="center"/>
          </w:tcPr>
          <w:p w14:paraId="4DB0667C">
            <w:pPr>
              <w:pStyle w:val="13"/>
              <w:rPr>
                <w:highlight w:val="none"/>
              </w:rPr>
            </w:pPr>
            <w:r>
              <w:rPr>
                <w:highlight w:val="none"/>
              </w:rPr>
              <w:sym w:font="Wingdings" w:char="F0FC"/>
            </w:r>
          </w:p>
        </w:tc>
        <w:tc>
          <w:tcPr>
            <w:tcW w:w="0" w:type="auto"/>
            <w:noWrap w:val="0"/>
            <w:vAlign w:val="center"/>
          </w:tcPr>
          <w:p w14:paraId="67A4B8A1">
            <w:pPr>
              <w:pStyle w:val="13"/>
              <w:rPr>
                <w:highlight w:val="none"/>
              </w:rPr>
            </w:pPr>
            <w:r>
              <w:rPr>
                <w:rFonts w:hint="eastAsia"/>
                <w:highlight w:val="none"/>
              </w:rPr>
              <w:t>二级箱后线路及设施</w:t>
            </w:r>
          </w:p>
        </w:tc>
        <w:tc>
          <w:tcPr>
            <w:tcW w:w="0" w:type="auto"/>
            <w:noWrap w:val="0"/>
            <w:vAlign w:val="center"/>
          </w:tcPr>
          <w:p w14:paraId="6FED0337">
            <w:pPr>
              <w:pStyle w:val="13"/>
              <w:rPr>
                <w:highlight w:val="none"/>
              </w:rPr>
            </w:pPr>
          </w:p>
        </w:tc>
      </w:tr>
      <w:tr w14:paraId="238A7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112E3E7">
            <w:pPr>
              <w:pStyle w:val="13"/>
              <w:rPr>
                <w:highlight w:val="none"/>
              </w:rPr>
            </w:pPr>
            <w:r>
              <w:rPr>
                <w:rFonts w:hint="eastAsia"/>
                <w:highlight w:val="none"/>
                <w:lang w:val="en-US" w:eastAsia="zh-CN"/>
              </w:rPr>
              <w:t>7</w:t>
            </w:r>
            <w:r>
              <w:rPr>
                <w:rFonts w:hint="eastAsia"/>
                <w:highlight w:val="none"/>
              </w:rPr>
              <w:t>.9</w:t>
            </w:r>
          </w:p>
        </w:tc>
        <w:tc>
          <w:tcPr>
            <w:tcW w:w="3274" w:type="dxa"/>
            <w:tcBorders>
              <w:left w:val="single" w:color="auto" w:sz="4" w:space="0"/>
            </w:tcBorders>
            <w:noWrap w:val="0"/>
            <w:vAlign w:val="center"/>
          </w:tcPr>
          <w:p w14:paraId="3B1BC7EA">
            <w:pPr>
              <w:pStyle w:val="13"/>
              <w:rPr>
                <w:highlight w:val="none"/>
              </w:rPr>
            </w:pPr>
            <w:r>
              <w:rPr>
                <w:rFonts w:hint="eastAsia"/>
                <w:highlight w:val="none"/>
              </w:rPr>
              <w:t>施工临时用水管理</w:t>
            </w:r>
            <w:r>
              <w:rPr>
                <w:highlight w:val="none"/>
              </w:rPr>
              <w:t>及</w:t>
            </w:r>
            <w:r>
              <w:rPr>
                <w:rFonts w:hint="eastAsia"/>
                <w:highlight w:val="none"/>
              </w:rPr>
              <w:t>水</w:t>
            </w:r>
            <w:r>
              <w:rPr>
                <w:highlight w:val="none"/>
              </w:rPr>
              <w:t>费</w:t>
            </w:r>
            <w:r>
              <w:rPr>
                <w:rFonts w:hint="eastAsia"/>
                <w:highlight w:val="none"/>
              </w:rPr>
              <w:t>。</w:t>
            </w:r>
          </w:p>
        </w:tc>
        <w:tc>
          <w:tcPr>
            <w:tcW w:w="0" w:type="auto"/>
            <w:noWrap w:val="0"/>
            <w:vAlign w:val="center"/>
          </w:tcPr>
          <w:p w14:paraId="4AA4517A">
            <w:pPr>
              <w:pStyle w:val="13"/>
              <w:rPr>
                <w:highlight w:val="none"/>
              </w:rPr>
            </w:pPr>
            <w:r>
              <w:rPr>
                <w:highlight w:val="none"/>
              </w:rPr>
              <w:sym w:font="Wingdings" w:char="F0FC"/>
            </w:r>
          </w:p>
        </w:tc>
        <w:tc>
          <w:tcPr>
            <w:tcW w:w="0" w:type="auto"/>
            <w:noWrap w:val="0"/>
            <w:vAlign w:val="center"/>
          </w:tcPr>
          <w:p w14:paraId="57C76A1F">
            <w:pPr>
              <w:pStyle w:val="13"/>
              <w:rPr>
                <w:highlight w:val="none"/>
              </w:rPr>
            </w:pPr>
          </w:p>
        </w:tc>
        <w:tc>
          <w:tcPr>
            <w:tcW w:w="0" w:type="auto"/>
            <w:noWrap w:val="0"/>
            <w:vAlign w:val="center"/>
          </w:tcPr>
          <w:p w14:paraId="4384DBFF">
            <w:pPr>
              <w:pStyle w:val="13"/>
              <w:rPr>
                <w:highlight w:val="none"/>
              </w:rPr>
            </w:pPr>
          </w:p>
        </w:tc>
      </w:tr>
      <w:tr w14:paraId="7AEB9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BD2471F">
            <w:pPr>
              <w:pStyle w:val="13"/>
              <w:rPr>
                <w:highlight w:val="none"/>
              </w:rPr>
            </w:pPr>
            <w:r>
              <w:rPr>
                <w:rFonts w:hint="eastAsia"/>
                <w:highlight w:val="none"/>
                <w:lang w:val="en-US" w:eastAsia="zh-CN"/>
              </w:rPr>
              <w:t>7</w:t>
            </w:r>
            <w:r>
              <w:rPr>
                <w:rFonts w:hint="eastAsia"/>
                <w:highlight w:val="none"/>
              </w:rPr>
              <w:t>.10</w:t>
            </w:r>
          </w:p>
        </w:tc>
        <w:tc>
          <w:tcPr>
            <w:tcW w:w="3274" w:type="dxa"/>
            <w:tcBorders>
              <w:left w:val="single" w:color="auto" w:sz="4" w:space="0"/>
            </w:tcBorders>
            <w:noWrap w:val="0"/>
            <w:vAlign w:val="center"/>
          </w:tcPr>
          <w:p w14:paraId="6CCD93AD">
            <w:pPr>
              <w:pStyle w:val="13"/>
              <w:rPr>
                <w:highlight w:val="none"/>
              </w:rPr>
            </w:pPr>
            <w:r>
              <w:rPr>
                <w:rFonts w:hint="eastAsia"/>
                <w:highlight w:val="none"/>
              </w:rPr>
              <w:t>接驳施工用水至施工现场。</w:t>
            </w:r>
          </w:p>
        </w:tc>
        <w:tc>
          <w:tcPr>
            <w:tcW w:w="0" w:type="auto"/>
            <w:noWrap w:val="0"/>
            <w:vAlign w:val="center"/>
          </w:tcPr>
          <w:p w14:paraId="79A385D7">
            <w:pPr>
              <w:pStyle w:val="13"/>
              <w:rPr>
                <w:highlight w:val="none"/>
              </w:rPr>
            </w:pPr>
            <w:r>
              <w:rPr>
                <w:highlight w:val="none"/>
              </w:rPr>
              <w:sym w:font="Wingdings" w:char="F0FC"/>
            </w:r>
          </w:p>
        </w:tc>
        <w:tc>
          <w:tcPr>
            <w:tcW w:w="0" w:type="auto"/>
            <w:noWrap w:val="0"/>
            <w:vAlign w:val="center"/>
          </w:tcPr>
          <w:p w14:paraId="192DF275">
            <w:pPr>
              <w:pStyle w:val="13"/>
              <w:rPr>
                <w:highlight w:val="none"/>
              </w:rPr>
            </w:pPr>
          </w:p>
        </w:tc>
        <w:tc>
          <w:tcPr>
            <w:tcW w:w="0" w:type="auto"/>
            <w:noWrap w:val="0"/>
            <w:vAlign w:val="center"/>
          </w:tcPr>
          <w:p w14:paraId="3B8F5E60">
            <w:pPr>
              <w:pStyle w:val="13"/>
              <w:rPr>
                <w:highlight w:val="none"/>
              </w:rPr>
            </w:pPr>
          </w:p>
        </w:tc>
      </w:tr>
      <w:tr w14:paraId="08CDB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264E90B">
            <w:pPr>
              <w:pStyle w:val="13"/>
              <w:rPr>
                <w:highlight w:val="none"/>
              </w:rPr>
            </w:pPr>
            <w:r>
              <w:rPr>
                <w:rFonts w:hint="eastAsia"/>
                <w:highlight w:val="none"/>
                <w:lang w:val="en-US" w:eastAsia="zh-CN"/>
              </w:rPr>
              <w:t>7</w:t>
            </w:r>
            <w:r>
              <w:rPr>
                <w:rFonts w:hint="eastAsia"/>
                <w:highlight w:val="none"/>
              </w:rPr>
              <w:t>.11</w:t>
            </w:r>
          </w:p>
        </w:tc>
        <w:tc>
          <w:tcPr>
            <w:tcW w:w="3274" w:type="dxa"/>
            <w:tcBorders>
              <w:left w:val="single" w:color="auto" w:sz="4" w:space="0"/>
            </w:tcBorders>
            <w:noWrap w:val="0"/>
            <w:vAlign w:val="center"/>
          </w:tcPr>
          <w:p w14:paraId="6501656B">
            <w:pPr>
              <w:pStyle w:val="13"/>
              <w:rPr>
                <w:highlight w:val="none"/>
              </w:rPr>
            </w:pPr>
            <w:r>
              <w:rPr>
                <w:rFonts w:hint="eastAsia"/>
                <w:highlight w:val="none"/>
              </w:rPr>
              <w:t>施工临时用水设计、施工、维护及拆除。</w:t>
            </w:r>
          </w:p>
        </w:tc>
        <w:tc>
          <w:tcPr>
            <w:tcW w:w="0" w:type="auto"/>
            <w:noWrap w:val="0"/>
            <w:vAlign w:val="center"/>
          </w:tcPr>
          <w:p w14:paraId="4C15D5C1">
            <w:pPr>
              <w:pStyle w:val="13"/>
              <w:rPr>
                <w:highlight w:val="none"/>
              </w:rPr>
            </w:pPr>
            <w:r>
              <w:rPr>
                <w:highlight w:val="none"/>
              </w:rPr>
              <w:sym w:font="Wingdings" w:char="F0FC"/>
            </w:r>
          </w:p>
        </w:tc>
        <w:tc>
          <w:tcPr>
            <w:tcW w:w="0" w:type="auto"/>
            <w:noWrap w:val="0"/>
            <w:vAlign w:val="center"/>
          </w:tcPr>
          <w:p w14:paraId="59DA1C1F">
            <w:pPr>
              <w:pStyle w:val="13"/>
              <w:rPr>
                <w:highlight w:val="none"/>
              </w:rPr>
            </w:pPr>
            <w:r>
              <w:rPr>
                <w:rFonts w:hint="eastAsia"/>
                <w:highlight w:val="none"/>
              </w:rPr>
              <w:t>总承包人提供的接口点之后</w:t>
            </w:r>
          </w:p>
        </w:tc>
        <w:tc>
          <w:tcPr>
            <w:tcW w:w="0" w:type="auto"/>
            <w:noWrap w:val="0"/>
            <w:vAlign w:val="center"/>
          </w:tcPr>
          <w:p w14:paraId="31859A81">
            <w:pPr>
              <w:pStyle w:val="13"/>
              <w:rPr>
                <w:highlight w:val="none"/>
              </w:rPr>
            </w:pPr>
            <w:r>
              <w:rPr>
                <w:rFonts w:hint="eastAsia"/>
                <w:highlight w:val="none"/>
              </w:rPr>
              <w:t>与精装修单位移交后由精装单位负责维护。</w:t>
            </w:r>
          </w:p>
        </w:tc>
      </w:tr>
      <w:tr w14:paraId="1D9AA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B985C77">
            <w:pPr>
              <w:pStyle w:val="13"/>
              <w:rPr>
                <w:highlight w:val="none"/>
              </w:rPr>
            </w:pPr>
            <w:r>
              <w:rPr>
                <w:rFonts w:hint="eastAsia"/>
                <w:highlight w:val="none"/>
                <w:lang w:val="en-US" w:eastAsia="zh-CN"/>
              </w:rPr>
              <w:t>7</w:t>
            </w:r>
            <w:r>
              <w:rPr>
                <w:rFonts w:hint="eastAsia"/>
                <w:highlight w:val="none"/>
              </w:rPr>
              <w:t>.12</w:t>
            </w:r>
          </w:p>
        </w:tc>
        <w:tc>
          <w:tcPr>
            <w:tcW w:w="3274" w:type="dxa"/>
            <w:tcBorders>
              <w:left w:val="single" w:color="auto" w:sz="4" w:space="0"/>
            </w:tcBorders>
            <w:noWrap w:val="0"/>
            <w:vAlign w:val="center"/>
          </w:tcPr>
          <w:p w14:paraId="2D352B4F">
            <w:pPr>
              <w:pStyle w:val="13"/>
              <w:rPr>
                <w:highlight w:val="none"/>
              </w:rPr>
            </w:pPr>
            <w:r>
              <w:rPr>
                <w:rFonts w:hint="eastAsia"/>
                <w:highlight w:val="none"/>
              </w:rPr>
              <w:t>为所有施工方供应有关工程所需的用水接驳点。</w:t>
            </w:r>
          </w:p>
        </w:tc>
        <w:tc>
          <w:tcPr>
            <w:tcW w:w="0" w:type="auto"/>
            <w:noWrap w:val="0"/>
            <w:vAlign w:val="center"/>
          </w:tcPr>
          <w:p w14:paraId="22816607">
            <w:pPr>
              <w:pStyle w:val="13"/>
              <w:rPr>
                <w:highlight w:val="none"/>
              </w:rPr>
            </w:pPr>
            <w:r>
              <w:rPr>
                <w:highlight w:val="none"/>
              </w:rPr>
              <w:sym w:font="Wingdings" w:char="F0FC"/>
            </w:r>
          </w:p>
        </w:tc>
        <w:tc>
          <w:tcPr>
            <w:tcW w:w="0" w:type="auto"/>
            <w:noWrap w:val="0"/>
            <w:vAlign w:val="center"/>
          </w:tcPr>
          <w:p w14:paraId="25A36A33">
            <w:pPr>
              <w:pStyle w:val="13"/>
              <w:rPr>
                <w:highlight w:val="none"/>
              </w:rPr>
            </w:pPr>
            <w:r>
              <w:rPr>
                <w:rFonts w:hint="eastAsia"/>
                <w:highlight w:val="none"/>
              </w:rPr>
              <w:t>总承包人提供的接水口至作业点</w:t>
            </w:r>
          </w:p>
        </w:tc>
        <w:tc>
          <w:tcPr>
            <w:tcW w:w="0" w:type="auto"/>
            <w:noWrap w:val="0"/>
            <w:vAlign w:val="center"/>
          </w:tcPr>
          <w:p w14:paraId="5C0869D7">
            <w:pPr>
              <w:pStyle w:val="13"/>
              <w:rPr>
                <w:highlight w:val="none"/>
              </w:rPr>
            </w:pPr>
            <w:r>
              <w:rPr>
                <w:rFonts w:hint="eastAsia"/>
                <w:highlight w:val="none"/>
              </w:rPr>
              <w:t>每一楼层至少提供一个接水口（N50管径</w:t>
            </w:r>
            <w:r>
              <w:rPr>
                <w:highlight w:val="none"/>
              </w:rPr>
              <w:t>）</w:t>
            </w:r>
            <w:r>
              <w:rPr>
                <w:rFonts w:hint="eastAsia"/>
                <w:highlight w:val="none"/>
              </w:rPr>
              <w:t>，平面每3000m2不少于一个接水口。</w:t>
            </w:r>
          </w:p>
        </w:tc>
      </w:tr>
      <w:tr w14:paraId="6A269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9618CC7">
            <w:pPr>
              <w:pStyle w:val="13"/>
              <w:rPr>
                <w:highlight w:val="none"/>
              </w:rPr>
            </w:pPr>
            <w:r>
              <w:rPr>
                <w:rFonts w:hint="eastAsia"/>
                <w:highlight w:val="none"/>
                <w:lang w:val="en-US" w:eastAsia="zh-CN"/>
              </w:rPr>
              <w:t>7</w:t>
            </w:r>
            <w:r>
              <w:rPr>
                <w:rFonts w:hint="eastAsia"/>
                <w:highlight w:val="none"/>
              </w:rPr>
              <w:t>.13</w:t>
            </w:r>
          </w:p>
        </w:tc>
        <w:tc>
          <w:tcPr>
            <w:tcW w:w="3274" w:type="dxa"/>
            <w:tcBorders>
              <w:left w:val="single" w:color="auto" w:sz="4" w:space="0"/>
            </w:tcBorders>
            <w:noWrap w:val="0"/>
            <w:vAlign w:val="center"/>
          </w:tcPr>
          <w:p w14:paraId="78CE6A09">
            <w:pPr>
              <w:pStyle w:val="13"/>
              <w:rPr>
                <w:highlight w:val="none"/>
              </w:rPr>
            </w:pPr>
            <w:r>
              <w:rPr>
                <w:rFonts w:hint="eastAsia"/>
                <w:highlight w:val="none"/>
              </w:rPr>
              <w:t>为现场需要用水的工种提供不间断的施工用水。确保足够的水压供试水测试用。</w:t>
            </w:r>
          </w:p>
        </w:tc>
        <w:tc>
          <w:tcPr>
            <w:tcW w:w="0" w:type="auto"/>
            <w:noWrap w:val="0"/>
            <w:vAlign w:val="center"/>
          </w:tcPr>
          <w:p w14:paraId="55271330">
            <w:pPr>
              <w:pStyle w:val="13"/>
              <w:rPr>
                <w:highlight w:val="none"/>
              </w:rPr>
            </w:pPr>
            <w:r>
              <w:rPr>
                <w:highlight w:val="none"/>
              </w:rPr>
              <w:sym w:font="Wingdings" w:char="F0FC"/>
            </w:r>
          </w:p>
        </w:tc>
        <w:tc>
          <w:tcPr>
            <w:tcW w:w="0" w:type="auto"/>
            <w:noWrap w:val="0"/>
            <w:vAlign w:val="center"/>
          </w:tcPr>
          <w:p w14:paraId="57E26146">
            <w:pPr>
              <w:pStyle w:val="13"/>
              <w:rPr>
                <w:highlight w:val="none"/>
              </w:rPr>
            </w:pPr>
          </w:p>
        </w:tc>
        <w:tc>
          <w:tcPr>
            <w:tcW w:w="0" w:type="auto"/>
            <w:noWrap w:val="0"/>
            <w:vAlign w:val="center"/>
          </w:tcPr>
          <w:p w14:paraId="4B2FDCE3">
            <w:pPr>
              <w:pStyle w:val="13"/>
              <w:rPr>
                <w:highlight w:val="none"/>
              </w:rPr>
            </w:pPr>
          </w:p>
        </w:tc>
      </w:tr>
      <w:tr w14:paraId="2D658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84A3874">
            <w:pPr>
              <w:pStyle w:val="13"/>
              <w:rPr>
                <w:highlight w:val="none"/>
              </w:rPr>
            </w:pPr>
            <w:r>
              <w:rPr>
                <w:rFonts w:hint="eastAsia"/>
                <w:highlight w:val="none"/>
                <w:lang w:val="en-US" w:eastAsia="zh-CN"/>
              </w:rPr>
              <w:t>7</w:t>
            </w:r>
            <w:r>
              <w:rPr>
                <w:rFonts w:hint="eastAsia"/>
                <w:highlight w:val="none"/>
              </w:rPr>
              <w:t>.14</w:t>
            </w:r>
          </w:p>
        </w:tc>
        <w:tc>
          <w:tcPr>
            <w:tcW w:w="3274" w:type="dxa"/>
            <w:tcBorders>
              <w:left w:val="single" w:color="auto" w:sz="4" w:space="0"/>
            </w:tcBorders>
            <w:noWrap w:val="0"/>
            <w:vAlign w:val="center"/>
          </w:tcPr>
          <w:p w14:paraId="77533A99">
            <w:pPr>
              <w:pStyle w:val="13"/>
              <w:rPr>
                <w:highlight w:val="none"/>
              </w:rPr>
            </w:pPr>
            <w:r>
              <w:rPr>
                <w:rFonts w:hint="eastAsia"/>
                <w:highlight w:val="none"/>
              </w:rPr>
              <w:t>负责在外墙（含外墙面、外墙门窗、外墙幕墙）施工完成后，对外墙面、外墙门窗、外墙幕墙等进行淋水实验。</w:t>
            </w:r>
          </w:p>
        </w:tc>
        <w:tc>
          <w:tcPr>
            <w:tcW w:w="0" w:type="auto"/>
            <w:noWrap w:val="0"/>
            <w:vAlign w:val="center"/>
          </w:tcPr>
          <w:p w14:paraId="71FAF453">
            <w:pPr>
              <w:pStyle w:val="13"/>
              <w:rPr>
                <w:highlight w:val="none"/>
              </w:rPr>
            </w:pPr>
            <w:r>
              <w:rPr>
                <w:highlight w:val="none"/>
              </w:rPr>
              <w:sym w:font="Wingdings" w:char="F0FC"/>
            </w:r>
          </w:p>
        </w:tc>
        <w:tc>
          <w:tcPr>
            <w:tcW w:w="0" w:type="auto"/>
            <w:noWrap w:val="0"/>
            <w:vAlign w:val="center"/>
          </w:tcPr>
          <w:p w14:paraId="43BA4BA3">
            <w:pPr>
              <w:pStyle w:val="13"/>
              <w:rPr>
                <w:highlight w:val="none"/>
              </w:rPr>
            </w:pPr>
            <w:r>
              <w:rPr>
                <w:rFonts w:hint="eastAsia"/>
                <w:highlight w:val="none"/>
              </w:rPr>
              <w:t>配合</w:t>
            </w:r>
          </w:p>
        </w:tc>
        <w:tc>
          <w:tcPr>
            <w:tcW w:w="0" w:type="auto"/>
            <w:noWrap w:val="0"/>
            <w:vAlign w:val="center"/>
          </w:tcPr>
          <w:p w14:paraId="10CFCCFB">
            <w:pPr>
              <w:pStyle w:val="13"/>
              <w:rPr>
                <w:highlight w:val="none"/>
              </w:rPr>
            </w:pPr>
            <w:r>
              <w:rPr>
                <w:rFonts w:hint="eastAsia"/>
                <w:highlight w:val="none"/>
              </w:rPr>
              <w:t>专业承包人/独立承包人负责自行承包范围内工程完成后的淋水</w:t>
            </w:r>
          </w:p>
        </w:tc>
      </w:tr>
      <w:tr w14:paraId="21269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477389C">
            <w:pPr>
              <w:pStyle w:val="13"/>
              <w:rPr>
                <w:highlight w:val="none"/>
              </w:rPr>
            </w:pPr>
            <w:r>
              <w:rPr>
                <w:rFonts w:hint="eastAsia"/>
                <w:highlight w:val="none"/>
                <w:lang w:val="en-US" w:eastAsia="zh-CN"/>
              </w:rPr>
              <w:t>7</w:t>
            </w:r>
            <w:r>
              <w:rPr>
                <w:rFonts w:hint="eastAsia"/>
                <w:highlight w:val="none"/>
              </w:rPr>
              <w:t>.15</w:t>
            </w:r>
          </w:p>
        </w:tc>
        <w:tc>
          <w:tcPr>
            <w:tcW w:w="3274" w:type="dxa"/>
            <w:tcBorders>
              <w:left w:val="single" w:color="auto" w:sz="4" w:space="0"/>
            </w:tcBorders>
            <w:noWrap w:val="0"/>
            <w:vAlign w:val="center"/>
          </w:tcPr>
          <w:p w14:paraId="39CF73AD">
            <w:pPr>
              <w:pStyle w:val="13"/>
              <w:rPr>
                <w:highlight w:val="none"/>
              </w:rPr>
            </w:pPr>
            <w:r>
              <w:rPr>
                <w:rFonts w:hint="eastAsia"/>
                <w:highlight w:val="none"/>
              </w:rPr>
              <w:t>提供足够的排水通风设施，保证干燥不积水，满足施工的要求。</w:t>
            </w:r>
          </w:p>
        </w:tc>
        <w:tc>
          <w:tcPr>
            <w:tcW w:w="0" w:type="auto"/>
            <w:noWrap w:val="0"/>
            <w:vAlign w:val="center"/>
          </w:tcPr>
          <w:p w14:paraId="792BBBA8">
            <w:pPr>
              <w:pStyle w:val="13"/>
              <w:rPr>
                <w:highlight w:val="none"/>
              </w:rPr>
            </w:pPr>
            <w:r>
              <w:rPr>
                <w:highlight w:val="none"/>
              </w:rPr>
              <w:sym w:font="Wingdings" w:char="F0FC"/>
            </w:r>
          </w:p>
        </w:tc>
        <w:tc>
          <w:tcPr>
            <w:tcW w:w="0" w:type="auto"/>
            <w:noWrap w:val="0"/>
            <w:vAlign w:val="center"/>
          </w:tcPr>
          <w:p w14:paraId="40AF2DF9">
            <w:pPr>
              <w:pStyle w:val="13"/>
              <w:rPr>
                <w:highlight w:val="none"/>
              </w:rPr>
            </w:pPr>
          </w:p>
        </w:tc>
        <w:tc>
          <w:tcPr>
            <w:tcW w:w="0" w:type="auto"/>
            <w:noWrap w:val="0"/>
            <w:vAlign w:val="center"/>
          </w:tcPr>
          <w:p w14:paraId="29847BBA">
            <w:pPr>
              <w:pStyle w:val="13"/>
              <w:rPr>
                <w:highlight w:val="none"/>
              </w:rPr>
            </w:pPr>
          </w:p>
        </w:tc>
      </w:tr>
      <w:tr w14:paraId="2E9A8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DBA2828">
            <w:pPr>
              <w:pStyle w:val="13"/>
              <w:rPr>
                <w:highlight w:val="none"/>
              </w:rPr>
            </w:pPr>
            <w:r>
              <w:rPr>
                <w:rFonts w:hint="eastAsia"/>
                <w:highlight w:val="none"/>
                <w:lang w:val="en-US" w:eastAsia="zh-CN"/>
              </w:rPr>
              <w:t>7</w:t>
            </w:r>
            <w:r>
              <w:rPr>
                <w:rFonts w:hint="eastAsia"/>
                <w:highlight w:val="none"/>
              </w:rPr>
              <w:t>.16</w:t>
            </w:r>
          </w:p>
        </w:tc>
        <w:tc>
          <w:tcPr>
            <w:tcW w:w="3274" w:type="dxa"/>
            <w:tcBorders>
              <w:left w:val="single" w:color="auto" w:sz="4" w:space="0"/>
            </w:tcBorders>
            <w:noWrap w:val="0"/>
            <w:vAlign w:val="center"/>
          </w:tcPr>
          <w:p w14:paraId="648353A5">
            <w:pPr>
              <w:pStyle w:val="13"/>
              <w:rPr>
                <w:highlight w:val="none"/>
              </w:rPr>
            </w:pPr>
            <w:r>
              <w:rPr>
                <w:rFonts w:hint="eastAsia"/>
                <w:highlight w:val="none"/>
              </w:rPr>
              <w:t>设置足够的自动排水系统。</w:t>
            </w:r>
          </w:p>
        </w:tc>
        <w:tc>
          <w:tcPr>
            <w:tcW w:w="0" w:type="auto"/>
            <w:noWrap w:val="0"/>
            <w:vAlign w:val="center"/>
          </w:tcPr>
          <w:p w14:paraId="23084499">
            <w:pPr>
              <w:pStyle w:val="13"/>
              <w:rPr>
                <w:highlight w:val="none"/>
              </w:rPr>
            </w:pPr>
            <w:r>
              <w:rPr>
                <w:highlight w:val="none"/>
              </w:rPr>
              <w:sym w:font="Wingdings" w:char="F0FC"/>
            </w:r>
          </w:p>
        </w:tc>
        <w:tc>
          <w:tcPr>
            <w:tcW w:w="0" w:type="auto"/>
            <w:noWrap w:val="0"/>
            <w:vAlign w:val="center"/>
          </w:tcPr>
          <w:p w14:paraId="1AF9CBAF">
            <w:pPr>
              <w:pStyle w:val="13"/>
              <w:rPr>
                <w:highlight w:val="none"/>
              </w:rPr>
            </w:pPr>
          </w:p>
        </w:tc>
        <w:tc>
          <w:tcPr>
            <w:tcW w:w="0" w:type="auto"/>
            <w:noWrap w:val="0"/>
            <w:vAlign w:val="center"/>
          </w:tcPr>
          <w:p w14:paraId="310894D4">
            <w:pPr>
              <w:pStyle w:val="13"/>
              <w:rPr>
                <w:highlight w:val="none"/>
              </w:rPr>
            </w:pPr>
          </w:p>
        </w:tc>
      </w:tr>
      <w:tr w14:paraId="6FA8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38C3B02">
            <w:pPr>
              <w:pStyle w:val="13"/>
              <w:rPr>
                <w:highlight w:val="none"/>
              </w:rPr>
            </w:pPr>
            <w:r>
              <w:rPr>
                <w:rFonts w:hint="eastAsia"/>
                <w:highlight w:val="none"/>
                <w:lang w:val="en-US" w:eastAsia="zh-CN"/>
              </w:rPr>
              <w:t>7</w:t>
            </w:r>
            <w:r>
              <w:rPr>
                <w:rFonts w:hint="eastAsia"/>
                <w:highlight w:val="none"/>
              </w:rPr>
              <w:t>.17</w:t>
            </w:r>
          </w:p>
        </w:tc>
        <w:tc>
          <w:tcPr>
            <w:tcW w:w="3274" w:type="dxa"/>
            <w:tcBorders>
              <w:left w:val="single" w:color="auto" w:sz="4" w:space="0"/>
            </w:tcBorders>
            <w:noWrap w:val="0"/>
            <w:vAlign w:val="center"/>
          </w:tcPr>
          <w:p w14:paraId="50AD0AA0">
            <w:pPr>
              <w:pStyle w:val="13"/>
              <w:rPr>
                <w:highlight w:val="none"/>
              </w:rPr>
            </w:pPr>
            <w:r>
              <w:rPr>
                <w:rFonts w:hint="eastAsia"/>
                <w:highlight w:val="none"/>
              </w:rPr>
              <w:t>设置楼层截水、断水措施。</w:t>
            </w:r>
          </w:p>
        </w:tc>
        <w:tc>
          <w:tcPr>
            <w:tcW w:w="0" w:type="auto"/>
            <w:noWrap w:val="0"/>
            <w:vAlign w:val="center"/>
          </w:tcPr>
          <w:p w14:paraId="19ED1DE0">
            <w:pPr>
              <w:pStyle w:val="13"/>
              <w:rPr>
                <w:highlight w:val="none"/>
              </w:rPr>
            </w:pPr>
            <w:r>
              <w:rPr>
                <w:highlight w:val="none"/>
              </w:rPr>
              <w:sym w:font="Wingdings" w:char="F0FC"/>
            </w:r>
          </w:p>
        </w:tc>
        <w:tc>
          <w:tcPr>
            <w:tcW w:w="0" w:type="auto"/>
            <w:noWrap w:val="0"/>
            <w:vAlign w:val="center"/>
          </w:tcPr>
          <w:p w14:paraId="1CFBF3DF">
            <w:pPr>
              <w:pStyle w:val="13"/>
              <w:rPr>
                <w:highlight w:val="none"/>
              </w:rPr>
            </w:pPr>
          </w:p>
        </w:tc>
        <w:tc>
          <w:tcPr>
            <w:tcW w:w="0" w:type="auto"/>
            <w:noWrap w:val="0"/>
            <w:vAlign w:val="center"/>
          </w:tcPr>
          <w:p w14:paraId="7F2EDB2E">
            <w:pPr>
              <w:pStyle w:val="13"/>
              <w:rPr>
                <w:highlight w:val="none"/>
              </w:rPr>
            </w:pPr>
          </w:p>
        </w:tc>
      </w:tr>
      <w:tr w14:paraId="7BEE8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E5C1A0A">
            <w:pPr>
              <w:pStyle w:val="13"/>
              <w:rPr>
                <w:highlight w:val="none"/>
              </w:rPr>
            </w:pPr>
            <w:r>
              <w:rPr>
                <w:rFonts w:hint="eastAsia"/>
                <w:highlight w:val="none"/>
                <w:lang w:val="en-US" w:eastAsia="zh-CN"/>
              </w:rPr>
              <w:t>7</w:t>
            </w:r>
            <w:r>
              <w:rPr>
                <w:rFonts w:hint="eastAsia"/>
                <w:highlight w:val="none"/>
              </w:rPr>
              <w:t>.18</w:t>
            </w:r>
          </w:p>
        </w:tc>
        <w:tc>
          <w:tcPr>
            <w:tcW w:w="3274" w:type="dxa"/>
            <w:tcBorders>
              <w:left w:val="single" w:color="auto" w:sz="4" w:space="0"/>
            </w:tcBorders>
            <w:noWrap w:val="0"/>
            <w:vAlign w:val="center"/>
          </w:tcPr>
          <w:p w14:paraId="6C79A203">
            <w:pPr>
              <w:pStyle w:val="13"/>
              <w:rPr>
                <w:highlight w:val="none"/>
              </w:rPr>
            </w:pPr>
            <w:r>
              <w:rPr>
                <w:rFonts w:hint="eastAsia"/>
                <w:highlight w:val="none"/>
              </w:rPr>
              <w:t>总承包人须在工地设置、维护雨污水系统，统一规划施工区、办公区的雨污水排放，并负责排放管理。</w:t>
            </w:r>
          </w:p>
        </w:tc>
        <w:tc>
          <w:tcPr>
            <w:tcW w:w="0" w:type="auto"/>
            <w:noWrap w:val="0"/>
            <w:vAlign w:val="center"/>
          </w:tcPr>
          <w:p w14:paraId="60ED0A01">
            <w:pPr>
              <w:pStyle w:val="13"/>
              <w:rPr>
                <w:highlight w:val="none"/>
              </w:rPr>
            </w:pPr>
            <w:r>
              <w:rPr>
                <w:highlight w:val="none"/>
              </w:rPr>
              <w:sym w:font="Wingdings" w:char="F0FC"/>
            </w:r>
          </w:p>
        </w:tc>
        <w:tc>
          <w:tcPr>
            <w:tcW w:w="0" w:type="auto"/>
            <w:noWrap w:val="0"/>
            <w:vAlign w:val="center"/>
          </w:tcPr>
          <w:p w14:paraId="62E34E08">
            <w:pPr>
              <w:pStyle w:val="13"/>
              <w:rPr>
                <w:highlight w:val="none"/>
              </w:rPr>
            </w:pPr>
            <w:r>
              <w:rPr>
                <w:rFonts w:hint="eastAsia"/>
                <w:highlight w:val="none"/>
              </w:rPr>
              <w:t>服从管理</w:t>
            </w:r>
          </w:p>
        </w:tc>
        <w:tc>
          <w:tcPr>
            <w:tcW w:w="0" w:type="auto"/>
            <w:noWrap w:val="0"/>
            <w:vAlign w:val="center"/>
          </w:tcPr>
          <w:p w14:paraId="5A5B8F46">
            <w:pPr>
              <w:pStyle w:val="13"/>
              <w:rPr>
                <w:highlight w:val="none"/>
              </w:rPr>
            </w:pPr>
            <w:r>
              <w:rPr>
                <w:rFonts w:hint="eastAsia"/>
                <w:highlight w:val="none"/>
              </w:rPr>
              <w:t>排放必须符合要求。</w:t>
            </w:r>
          </w:p>
        </w:tc>
      </w:tr>
      <w:tr w14:paraId="3853B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6C10C6D">
            <w:pPr>
              <w:pStyle w:val="13"/>
              <w:rPr>
                <w:highlight w:val="none"/>
              </w:rPr>
            </w:pPr>
            <w:r>
              <w:rPr>
                <w:rFonts w:hint="eastAsia"/>
                <w:highlight w:val="none"/>
                <w:lang w:val="en-US" w:eastAsia="zh-CN"/>
              </w:rPr>
              <w:t>7</w:t>
            </w:r>
            <w:r>
              <w:rPr>
                <w:rFonts w:hint="eastAsia"/>
                <w:highlight w:val="none"/>
              </w:rPr>
              <w:t>.19</w:t>
            </w:r>
          </w:p>
        </w:tc>
        <w:tc>
          <w:tcPr>
            <w:tcW w:w="3274" w:type="dxa"/>
            <w:tcBorders>
              <w:left w:val="single" w:color="auto" w:sz="4" w:space="0"/>
            </w:tcBorders>
            <w:noWrap w:val="0"/>
            <w:vAlign w:val="center"/>
          </w:tcPr>
          <w:p w14:paraId="3E619728">
            <w:pPr>
              <w:pStyle w:val="13"/>
              <w:rPr>
                <w:highlight w:val="none"/>
              </w:rPr>
            </w:pPr>
            <w:r>
              <w:rPr>
                <w:rFonts w:hint="eastAsia"/>
                <w:highlight w:val="none"/>
              </w:rPr>
              <w:t>临时消防水设施的布置。</w:t>
            </w:r>
          </w:p>
        </w:tc>
        <w:tc>
          <w:tcPr>
            <w:tcW w:w="0" w:type="auto"/>
            <w:noWrap w:val="0"/>
            <w:vAlign w:val="center"/>
          </w:tcPr>
          <w:p w14:paraId="39F255EF">
            <w:pPr>
              <w:pStyle w:val="13"/>
              <w:rPr>
                <w:highlight w:val="none"/>
              </w:rPr>
            </w:pPr>
            <w:r>
              <w:rPr>
                <w:highlight w:val="none"/>
              </w:rPr>
              <w:sym w:font="Wingdings" w:char="F0FC"/>
            </w:r>
          </w:p>
        </w:tc>
        <w:tc>
          <w:tcPr>
            <w:tcW w:w="0" w:type="auto"/>
            <w:noWrap w:val="0"/>
            <w:vAlign w:val="center"/>
          </w:tcPr>
          <w:p w14:paraId="42DCB079">
            <w:pPr>
              <w:pStyle w:val="13"/>
              <w:rPr>
                <w:highlight w:val="none"/>
              </w:rPr>
            </w:pPr>
          </w:p>
        </w:tc>
        <w:tc>
          <w:tcPr>
            <w:tcW w:w="0" w:type="auto"/>
            <w:noWrap w:val="0"/>
            <w:vAlign w:val="center"/>
          </w:tcPr>
          <w:p w14:paraId="02D396F0">
            <w:pPr>
              <w:pStyle w:val="13"/>
              <w:rPr>
                <w:highlight w:val="none"/>
              </w:rPr>
            </w:pPr>
            <w:r>
              <w:rPr>
                <w:rFonts w:hint="eastAsia"/>
                <w:highlight w:val="none"/>
              </w:rPr>
              <w:t>楼层每层设置一个消防栓接驳口</w:t>
            </w:r>
          </w:p>
        </w:tc>
      </w:tr>
      <w:tr w14:paraId="74E54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49F3E1C0">
            <w:pPr>
              <w:pStyle w:val="13"/>
              <w:rPr>
                <w:highlight w:val="none"/>
              </w:rPr>
            </w:pPr>
            <w:r>
              <w:rPr>
                <w:rFonts w:hint="eastAsia"/>
                <w:highlight w:val="none"/>
                <w:lang w:eastAsia="zh-CN"/>
              </w:rPr>
              <w:t>八</w:t>
            </w:r>
            <w:r>
              <w:rPr>
                <w:rFonts w:hint="eastAsia"/>
                <w:highlight w:val="none"/>
              </w:rPr>
              <w:t>、垂直运输设备/脚手架</w:t>
            </w:r>
          </w:p>
        </w:tc>
      </w:tr>
      <w:tr w14:paraId="3CD77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0BC39D2">
            <w:pPr>
              <w:pStyle w:val="13"/>
              <w:rPr>
                <w:highlight w:val="none"/>
              </w:rPr>
            </w:pPr>
            <w:r>
              <w:rPr>
                <w:rFonts w:hint="eastAsia"/>
                <w:highlight w:val="none"/>
                <w:lang w:val="en-US" w:eastAsia="zh-CN"/>
              </w:rPr>
              <w:t>8</w:t>
            </w:r>
            <w:r>
              <w:rPr>
                <w:rFonts w:hint="eastAsia"/>
                <w:highlight w:val="none"/>
              </w:rPr>
              <w:t>.1</w:t>
            </w:r>
          </w:p>
        </w:tc>
        <w:tc>
          <w:tcPr>
            <w:tcW w:w="3274" w:type="dxa"/>
            <w:tcBorders>
              <w:left w:val="single" w:color="auto" w:sz="4" w:space="0"/>
            </w:tcBorders>
            <w:noWrap w:val="0"/>
            <w:vAlign w:val="center"/>
          </w:tcPr>
          <w:p w14:paraId="28C61070">
            <w:pPr>
              <w:pStyle w:val="13"/>
              <w:rPr>
                <w:highlight w:val="none"/>
              </w:rPr>
            </w:pPr>
            <w:r>
              <w:rPr>
                <w:rFonts w:hint="eastAsia"/>
                <w:highlight w:val="none"/>
              </w:rPr>
              <w:t>总承包人</w:t>
            </w:r>
            <w:r>
              <w:rPr>
                <w:highlight w:val="none"/>
              </w:rPr>
              <w:t>施工用</w:t>
            </w:r>
            <w:r>
              <w:rPr>
                <w:rFonts w:hint="eastAsia"/>
                <w:highlight w:val="none"/>
              </w:rPr>
              <w:t>外架搭建、维护及拆除。</w:t>
            </w:r>
          </w:p>
        </w:tc>
        <w:tc>
          <w:tcPr>
            <w:tcW w:w="0" w:type="auto"/>
            <w:noWrap w:val="0"/>
            <w:vAlign w:val="center"/>
          </w:tcPr>
          <w:p w14:paraId="7423D74F">
            <w:pPr>
              <w:pStyle w:val="13"/>
              <w:rPr>
                <w:highlight w:val="none"/>
              </w:rPr>
            </w:pPr>
            <w:r>
              <w:rPr>
                <w:highlight w:val="none"/>
              </w:rPr>
              <w:sym w:font="Wingdings" w:char="F0FC"/>
            </w:r>
          </w:p>
        </w:tc>
        <w:tc>
          <w:tcPr>
            <w:tcW w:w="0" w:type="auto"/>
            <w:noWrap w:val="0"/>
            <w:vAlign w:val="center"/>
          </w:tcPr>
          <w:p w14:paraId="41D656C1">
            <w:pPr>
              <w:pStyle w:val="13"/>
              <w:rPr>
                <w:highlight w:val="none"/>
              </w:rPr>
            </w:pPr>
            <w:r>
              <w:rPr>
                <w:rFonts w:hint="eastAsia"/>
                <w:highlight w:val="none"/>
              </w:rPr>
              <w:t>承担因自身的工期延误导致的脚手架延期拆除的脚手架使用费。</w:t>
            </w:r>
          </w:p>
        </w:tc>
        <w:tc>
          <w:tcPr>
            <w:tcW w:w="0" w:type="auto"/>
            <w:noWrap w:val="0"/>
            <w:vAlign w:val="center"/>
          </w:tcPr>
          <w:p w14:paraId="65DDBBED">
            <w:pPr>
              <w:pStyle w:val="13"/>
              <w:rPr>
                <w:highlight w:val="none"/>
              </w:rPr>
            </w:pPr>
            <w:r>
              <w:rPr>
                <w:rFonts w:hint="eastAsia"/>
                <w:highlight w:val="none"/>
              </w:rPr>
              <w:t>总承包人免费为专业承包人/独立承包人提供现有外架。外架拆除需报监理人、发包人审批同意后方可实施</w:t>
            </w:r>
            <w:r>
              <w:rPr>
                <w:highlight w:val="none"/>
              </w:rPr>
              <w:t>。</w:t>
            </w:r>
          </w:p>
        </w:tc>
      </w:tr>
      <w:tr w14:paraId="56558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AC71CB4">
            <w:pPr>
              <w:pStyle w:val="13"/>
              <w:rPr>
                <w:rFonts w:hint="eastAsia" w:eastAsia="宋体"/>
                <w:highlight w:val="none"/>
                <w:lang w:eastAsia="zh-CN"/>
              </w:rPr>
            </w:pPr>
            <w:r>
              <w:rPr>
                <w:rFonts w:hint="eastAsia"/>
                <w:highlight w:val="none"/>
                <w:lang w:val="en-US" w:eastAsia="zh-CN"/>
              </w:rPr>
              <w:t>8</w:t>
            </w:r>
            <w:r>
              <w:rPr>
                <w:rFonts w:hint="eastAsia"/>
                <w:highlight w:val="none"/>
              </w:rPr>
              <w:t>.</w:t>
            </w:r>
            <w:r>
              <w:rPr>
                <w:rFonts w:hint="eastAsia"/>
                <w:highlight w:val="none"/>
                <w:lang w:val="en-US" w:eastAsia="zh-CN"/>
              </w:rPr>
              <w:t>2</w:t>
            </w:r>
          </w:p>
        </w:tc>
        <w:tc>
          <w:tcPr>
            <w:tcW w:w="3274" w:type="dxa"/>
            <w:tcBorders>
              <w:left w:val="single" w:color="auto" w:sz="4" w:space="0"/>
            </w:tcBorders>
            <w:noWrap w:val="0"/>
            <w:vAlign w:val="center"/>
          </w:tcPr>
          <w:p w14:paraId="3264986C">
            <w:pPr>
              <w:pStyle w:val="13"/>
              <w:rPr>
                <w:highlight w:val="none"/>
              </w:rPr>
            </w:pPr>
            <w:r>
              <w:rPr>
                <w:rFonts w:hint="eastAsia"/>
                <w:highlight w:val="none"/>
              </w:rPr>
              <w:t>提供并维护己安装在现场的爬架、挑架、内脚手架及爬梯，并连同所需的一切滑车、隔板、临时架桥、工具、器材、梯子、油布、围网、防坠网等，保持其良好的操作状况。</w:t>
            </w:r>
          </w:p>
        </w:tc>
        <w:tc>
          <w:tcPr>
            <w:tcW w:w="0" w:type="auto"/>
            <w:noWrap w:val="0"/>
            <w:vAlign w:val="center"/>
          </w:tcPr>
          <w:p w14:paraId="76B7D7F2">
            <w:pPr>
              <w:pStyle w:val="13"/>
              <w:rPr>
                <w:highlight w:val="none"/>
              </w:rPr>
            </w:pPr>
            <w:r>
              <w:rPr>
                <w:highlight w:val="none"/>
              </w:rPr>
              <w:sym w:font="Wingdings" w:char="F0FC"/>
            </w:r>
          </w:p>
        </w:tc>
        <w:tc>
          <w:tcPr>
            <w:tcW w:w="0" w:type="auto"/>
            <w:noWrap w:val="0"/>
            <w:vAlign w:val="center"/>
          </w:tcPr>
          <w:p w14:paraId="61C7EC1D">
            <w:pPr>
              <w:pStyle w:val="13"/>
              <w:rPr>
                <w:highlight w:val="none"/>
              </w:rPr>
            </w:pPr>
            <w:r>
              <w:rPr>
                <w:rFonts w:hint="eastAsia"/>
                <w:highlight w:val="none"/>
              </w:rPr>
              <w:t>专业承包人/独立承包人需</w:t>
            </w:r>
            <w:r>
              <w:rPr>
                <w:highlight w:val="none"/>
              </w:rPr>
              <w:t>根据总承包人使用计</w:t>
            </w:r>
            <w:r>
              <w:rPr>
                <w:rFonts w:hint="eastAsia"/>
                <w:highlight w:val="none"/>
              </w:rPr>
              <w:t>划</w:t>
            </w:r>
            <w:r>
              <w:rPr>
                <w:highlight w:val="none"/>
              </w:rPr>
              <w:t>使用。</w:t>
            </w:r>
            <w:r>
              <w:rPr>
                <w:rFonts w:hint="eastAsia"/>
                <w:highlight w:val="none"/>
              </w:rPr>
              <w:t>否则负责</w:t>
            </w:r>
            <w:r>
              <w:rPr>
                <w:highlight w:val="none"/>
              </w:rPr>
              <w:t>自</w:t>
            </w:r>
            <w:r>
              <w:rPr>
                <w:rFonts w:hint="eastAsia"/>
                <w:highlight w:val="none"/>
              </w:rPr>
              <w:t>施工</w:t>
            </w:r>
            <w:r>
              <w:rPr>
                <w:highlight w:val="none"/>
              </w:rPr>
              <w:t>所需</w:t>
            </w:r>
            <w:r>
              <w:rPr>
                <w:rFonts w:hint="eastAsia"/>
                <w:highlight w:val="none"/>
              </w:rPr>
              <w:t>爬梯</w:t>
            </w:r>
            <w:r>
              <w:rPr>
                <w:highlight w:val="none"/>
              </w:rPr>
              <w:t>和脚手架</w:t>
            </w:r>
            <w:r>
              <w:rPr>
                <w:rFonts w:hint="eastAsia"/>
                <w:highlight w:val="none"/>
              </w:rPr>
              <w:t>。</w:t>
            </w:r>
          </w:p>
        </w:tc>
        <w:tc>
          <w:tcPr>
            <w:tcW w:w="0" w:type="auto"/>
            <w:noWrap w:val="0"/>
            <w:vAlign w:val="center"/>
          </w:tcPr>
          <w:p w14:paraId="72B63FBB">
            <w:pPr>
              <w:pStyle w:val="13"/>
              <w:rPr>
                <w:highlight w:val="none"/>
              </w:rPr>
            </w:pPr>
            <w:r>
              <w:rPr>
                <w:rFonts w:hint="eastAsia"/>
                <w:highlight w:val="none"/>
              </w:rPr>
              <w:t>总承包人应提供属于其在施工场地上架设而仍未拆除的爬梯及脚手架给专业承包人/独立承包人使用。拆除须报监理人、发包人批准。</w:t>
            </w:r>
          </w:p>
        </w:tc>
      </w:tr>
      <w:tr w14:paraId="45475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5A3F135">
            <w:pPr>
              <w:pStyle w:val="13"/>
              <w:rPr>
                <w:rFonts w:hint="default" w:eastAsia="宋体"/>
                <w:highlight w:val="none"/>
                <w:lang w:val="en-US" w:eastAsia="zh-CN"/>
              </w:rPr>
            </w:pPr>
            <w:r>
              <w:rPr>
                <w:rFonts w:hint="eastAsia"/>
                <w:highlight w:val="none"/>
                <w:lang w:val="en-US" w:eastAsia="zh-CN"/>
              </w:rPr>
              <w:t>8.3</w:t>
            </w:r>
          </w:p>
        </w:tc>
        <w:tc>
          <w:tcPr>
            <w:tcW w:w="3274" w:type="dxa"/>
            <w:tcBorders>
              <w:left w:val="single" w:color="auto" w:sz="4" w:space="0"/>
            </w:tcBorders>
            <w:noWrap w:val="0"/>
            <w:vAlign w:val="center"/>
          </w:tcPr>
          <w:p w14:paraId="17443EEA">
            <w:pPr>
              <w:pStyle w:val="13"/>
              <w:rPr>
                <w:highlight w:val="none"/>
              </w:rPr>
            </w:pPr>
            <w:r>
              <w:rPr>
                <w:rFonts w:hint="eastAsia"/>
                <w:highlight w:val="none"/>
              </w:rPr>
              <w:t>脚手架修改以满足工作需要。</w:t>
            </w:r>
          </w:p>
        </w:tc>
        <w:tc>
          <w:tcPr>
            <w:tcW w:w="0" w:type="auto"/>
            <w:noWrap w:val="0"/>
            <w:vAlign w:val="center"/>
          </w:tcPr>
          <w:p w14:paraId="6842844D">
            <w:pPr>
              <w:pStyle w:val="13"/>
              <w:rPr>
                <w:highlight w:val="none"/>
              </w:rPr>
            </w:pPr>
            <w:r>
              <w:rPr>
                <w:highlight w:val="none"/>
              </w:rPr>
              <w:sym w:font="Wingdings" w:char="F0FC"/>
            </w:r>
          </w:p>
        </w:tc>
        <w:tc>
          <w:tcPr>
            <w:tcW w:w="0" w:type="auto"/>
            <w:noWrap w:val="0"/>
            <w:vAlign w:val="center"/>
          </w:tcPr>
          <w:p w14:paraId="65CC0C04">
            <w:pPr>
              <w:pStyle w:val="13"/>
              <w:rPr>
                <w:highlight w:val="none"/>
              </w:rPr>
            </w:pPr>
            <w:r>
              <w:rPr>
                <w:rFonts w:hint="eastAsia"/>
                <w:highlight w:val="none"/>
              </w:rPr>
              <w:t>负责申请及相关费用。</w:t>
            </w:r>
          </w:p>
        </w:tc>
        <w:tc>
          <w:tcPr>
            <w:tcW w:w="0" w:type="auto"/>
            <w:noWrap w:val="0"/>
            <w:vAlign w:val="center"/>
          </w:tcPr>
          <w:p w14:paraId="477EE918">
            <w:pPr>
              <w:pStyle w:val="13"/>
              <w:rPr>
                <w:highlight w:val="none"/>
              </w:rPr>
            </w:pPr>
          </w:p>
        </w:tc>
      </w:tr>
      <w:tr w14:paraId="183A6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C018904">
            <w:pPr>
              <w:pStyle w:val="13"/>
              <w:rPr>
                <w:rFonts w:hint="default" w:eastAsia="宋体"/>
                <w:highlight w:val="none"/>
                <w:lang w:val="en-US" w:eastAsia="zh-CN"/>
              </w:rPr>
            </w:pPr>
            <w:r>
              <w:rPr>
                <w:rFonts w:hint="eastAsia"/>
                <w:highlight w:val="none"/>
                <w:lang w:val="en-US" w:eastAsia="zh-CN"/>
              </w:rPr>
              <w:t>8.4</w:t>
            </w:r>
          </w:p>
        </w:tc>
        <w:tc>
          <w:tcPr>
            <w:tcW w:w="3274" w:type="dxa"/>
            <w:tcBorders>
              <w:left w:val="single" w:color="auto" w:sz="4" w:space="0"/>
            </w:tcBorders>
            <w:noWrap w:val="0"/>
            <w:vAlign w:val="center"/>
          </w:tcPr>
          <w:p w14:paraId="20700263">
            <w:pPr>
              <w:pStyle w:val="13"/>
              <w:rPr>
                <w:highlight w:val="none"/>
              </w:rPr>
            </w:pPr>
            <w:r>
              <w:rPr>
                <w:rFonts w:hint="eastAsia"/>
                <w:highlight w:val="none"/>
              </w:rPr>
              <w:t>免费提供、维护、</w:t>
            </w:r>
            <w:r>
              <w:rPr>
                <w:highlight w:val="none"/>
              </w:rPr>
              <w:t>拆卸</w:t>
            </w:r>
            <w:r>
              <w:rPr>
                <w:rFonts w:hint="eastAsia"/>
                <w:highlight w:val="none"/>
              </w:rPr>
              <w:t>己安装在现场的施工机械、升降设备。</w:t>
            </w:r>
            <w:r>
              <w:rPr>
                <w:highlight w:val="none"/>
              </w:rPr>
              <w:t xml:space="preserve"> </w:t>
            </w:r>
          </w:p>
        </w:tc>
        <w:tc>
          <w:tcPr>
            <w:tcW w:w="0" w:type="auto"/>
            <w:noWrap w:val="0"/>
            <w:vAlign w:val="center"/>
          </w:tcPr>
          <w:p w14:paraId="0F34B646">
            <w:pPr>
              <w:pStyle w:val="13"/>
              <w:rPr>
                <w:highlight w:val="none"/>
              </w:rPr>
            </w:pPr>
            <w:r>
              <w:rPr>
                <w:highlight w:val="none"/>
              </w:rPr>
              <w:sym w:font="Wingdings" w:char="F0FC"/>
            </w:r>
          </w:p>
        </w:tc>
        <w:tc>
          <w:tcPr>
            <w:tcW w:w="0" w:type="auto"/>
            <w:noWrap w:val="0"/>
            <w:vAlign w:val="center"/>
          </w:tcPr>
          <w:p w14:paraId="5E8960EF">
            <w:pPr>
              <w:pStyle w:val="13"/>
              <w:rPr>
                <w:highlight w:val="none"/>
              </w:rPr>
            </w:pPr>
            <w:r>
              <w:rPr>
                <w:rFonts w:hint="eastAsia"/>
                <w:highlight w:val="none"/>
              </w:rPr>
              <w:t>承担因自身的工期延误导致的此类设施延期拆除的使用费。</w:t>
            </w:r>
          </w:p>
        </w:tc>
        <w:tc>
          <w:tcPr>
            <w:tcW w:w="0" w:type="auto"/>
            <w:noWrap w:val="0"/>
            <w:vAlign w:val="center"/>
          </w:tcPr>
          <w:p w14:paraId="512A5A1F">
            <w:pPr>
              <w:pStyle w:val="13"/>
              <w:rPr>
                <w:highlight w:val="none"/>
              </w:rPr>
            </w:pPr>
          </w:p>
        </w:tc>
      </w:tr>
      <w:tr w14:paraId="4485F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4153133">
            <w:pPr>
              <w:pStyle w:val="13"/>
              <w:rPr>
                <w:rFonts w:hint="default"/>
                <w:highlight w:val="none"/>
                <w:lang w:val="en-US" w:eastAsia="zh-CN"/>
              </w:rPr>
            </w:pPr>
            <w:r>
              <w:rPr>
                <w:rFonts w:hint="eastAsia"/>
                <w:highlight w:val="none"/>
                <w:lang w:val="en-US" w:eastAsia="zh-CN"/>
              </w:rPr>
              <w:t>8.5</w:t>
            </w:r>
          </w:p>
        </w:tc>
        <w:tc>
          <w:tcPr>
            <w:tcW w:w="3274" w:type="dxa"/>
            <w:tcBorders>
              <w:left w:val="single" w:color="auto" w:sz="4" w:space="0"/>
            </w:tcBorders>
            <w:noWrap w:val="0"/>
            <w:vAlign w:val="center"/>
          </w:tcPr>
          <w:p w14:paraId="5E2BDECE">
            <w:pPr>
              <w:pStyle w:val="13"/>
              <w:rPr>
                <w:highlight w:val="none"/>
              </w:rPr>
            </w:pPr>
            <w:r>
              <w:rPr>
                <w:rFonts w:hint="eastAsia"/>
                <w:highlight w:val="none"/>
              </w:rPr>
              <w:t>为发包人和监理人检查验收提供足够的检测设备、安全设施和通道。</w:t>
            </w:r>
          </w:p>
        </w:tc>
        <w:tc>
          <w:tcPr>
            <w:tcW w:w="0" w:type="auto"/>
            <w:noWrap w:val="0"/>
            <w:vAlign w:val="center"/>
          </w:tcPr>
          <w:p w14:paraId="170D9F67">
            <w:pPr>
              <w:pStyle w:val="13"/>
              <w:rPr>
                <w:highlight w:val="none"/>
              </w:rPr>
            </w:pPr>
            <w:r>
              <w:rPr>
                <w:highlight w:val="none"/>
              </w:rPr>
              <w:sym w:font="Wingdings" w:char="F0FC"/>
            </w:r>
          </w:p>
        </w:tc>
        <w:tc>
          <w:tcPr>
            <w:tcW w:w="0" w:type="auto"/>
            <w:noWrap w:val="0"/>
            <w:vAlign w:val="center"/>
          </w:tcPr>
          <w:p w14:paraId="5CE2F319">
            <w:pPr>
              <w:pStyle w:val="13"/>
              <w:rPr>
                <w:highlight w:val="none"/>
              </w:rPr>
            </w:pPr>
            <w:r>
              <w:rPr>
                <w:highlight w:val="none"/>
              </w:rPr>
              <w:sym w:font="Wingdings" w:char="F0FC"/>
            </w:r>
          </w:p>
        </w:tc>
        <w:tc>
          <w:tcPr>
            <w:tcW w:w="0" w:type="auto"/>
            <w:noWrap w:val="0"/>
            <w:vAlign w:val="center"/>
          </w:tcPr>
          <w:p w14:paraId="65941566">
            <w:pPr>
              <w:pStyle w:val="13"/>
              <w:rPr>
                <w:highlight w:val="none"/>
              </w:rPr>
            </w:pPr>
          </w:p>
        </w:tc>
      </w:tr>
      <w:tr w14:paraId="0B3F8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474FB3F0">
            <w:pPr>
              <w:pStyle w:val="13"/>
              <w:rPr>
                <w:highlight w:val="none"/>
              </w:rPr>
            </w:pPr>
            <w:r>
              <w:rPr>
                <w:rFonts w:hint="eastAsia"/>
                <w:highlight w:val="none"/>
                <w:lang w:eastAsia="zh-CN"/>
              </w:rPr>
              <w:t>九</w:t>
            </w:r>
            <w:r>
              <w:rPr>
                <w:rFonts w:hint="eastAsia"/>
                <w:highlight w:val="none"/>
              </w:rPr>
              <w:t>、试验检验、竣工图纸/档案资料</w:t>
            </w:r>
          </w:p>
        </w:tc>
      </w:tr>
      <w:tr w14:paraId="04B13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040C58C">
            <w:pPr>
              <w:pStyle w:val="13"/>
              <w:rPr>
                <w:highlight w:val="none"/>
              </w:rPr>
            </w:pPr>
            <w:r>
              <w:rPr>
                <w:rFonts w:hint="eastAsia"/>
                <w:highlight w:val="none"/>
                <w:lang w:val="en-US" w:eastAsia="zh-CN"/>
              </w:rPr>
              <w:t>9</w:t>
            </w:r>
            <w:r>
              <w:rPr>
                <w:rFonts w:hint="eastAsia"/>
                <w:highlight w:val="none"/>
              </w:rPr>
              <w:t>.1</w:t>
            </w:r>
          </w:p>
        </w:tc>
        <w:tc>
          <w:tcPr>
            <w:tcW w:w="3274" w:type="dxa"/>
            <w:tcBorders>
              <w:left w:val="single" w:color="auto" w:sz="4" w:space="0"/>
            </w:tcBorders>
            <w:noWrap w:val="0"/>
            <w:vAlign w:val="center"/>
          </w:tcPr>
          <w:p w14:paraId="442E0F8F">
            <w:pPr>
              <w:pStyle w:val="13"/>
              <w:rPr>
                <w:highlight w:val="none"/>
              </w:rPr>
            </w:pPr>
            <w:r>
              <w:rPr>
                <w:rFonts w:hint="eastAsia"/>
                <w:highlight w:val="none"/>
              </w:rPr>
              <w:t>自购材料按规范或政府部门的有关规定进行的材料检验或实验</w:t>
            </w:r>
          </w:p>
        </w:tc>
        <w:tc>
          <w:tcPr>
            <w:tcW w:w="0" w:type="auto"/>
            <w:noWrap w:val="0"/>
            <w:vAlign w:val="center"/>
          </w:tcPr>
          <w:p w14:paraId="767FFA2A">
            <w:pPr>
              <w:pStyle w:val="13"/>
              <w:rPr>
                <w:highlight w:val="none"/>
              </w:rPr>
            </w:pPr>
            <w:r>
              <w:rPr>
                <w:highlight w:val="none"/>
              </w:rPr>
              <w:sym w:font="Wingdings" w:char="F0FC"/>
            </w:r>
          </w:p>
        </w:tc>
        <w:tc>
          <w:tcPr>
            <w:tcW w:w="0" w:type="auto"/>
            <w:noWrap w:val="0"/>
            <w:vAlign w:val="center"/>
          </w:tcPr>
          <w:p w14:paraId="054E6945">
            <w:pPr>
              <w:pStyle w:val="13"/>
              <w:rPr>
                <w:highlight w:val="none"/>
              </w:rPr>
            </w:pPr>
            <w:r>
              <w:rPr>
                <w:highlight w:val="none"/>
              </w:rPr>
              <w:sym w:font="Wingdings" w:char="F0FC"/>
            </w:r>
          </w:p>
        </w:tc>
        <w:tc>
          <w:tcPr>
            <w:tcW w:w="0" w:type="auto"/>
            <w:noWrap w:val="0"/>
            <w:vAlign w:val="center"/>
          </w:tcPr>
          <w:p w14:paraId="7E13015B">
            <w:pPr>
              <w:pStyle w:val="13"/>
              <w:rPr>
                <w:highlight w:val="none"/>
              </w:rPr>
            </w:pPr>
            <w:r>
              <w:rPr>
                <w:rFonts w:hint="eastAsia"/>
                <w:highlight w:val="none"/>
              </w:rPr>
              <w:t>承担各自合同工程内容的部分。</w:t>
            </w:r>
          </w:p>
        </w:tc>
      </w:tr>
      <w:tr w14:paraId="36523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F259EDD">
            <w:pPr>
              <w:pStyle w:val="13"/>
              <w:rPr>
                <w:highlight w:val="none"/>
              </w:rPr>
            </w:pPr>
            <w:r>
              <w:rPr>
                <w:rFonts w:hint="eastAsia"/>
                <w:highlight w:val="none"/>
                <w:lang w:val="en-US" w:eastAsia="zh-CN"/>
              </w:rPr>
              <w:t>9</w:t>
            </w:r>
            <w:r>
              <w:rPr>
                <w:rFonts w:hint="eastAsia"/>
                <w:highlight w:val="none"/>
              </w:rPr>
              <w:t>.2</w:t>
            </w:r>
          </w:p>
        </w:tc>
        <w:tc>
          <w:tcPr>
            <w:tcW w:w="3274" w:type="dxa"/>
            <w:tcBorders>
              <w:left w:val="single" w:color="auto" w:sz="4" w:space="0"/>
            </w:tcBorders>
            <w:noWrap w:val="0"/>
            <w:vAlign w:val="center"/>
          </w:tcPr>
          <w:p w14:paraId="13600EB7">
            <w:pPr>
              <w:pStyle w:val="13"/>
              <w:rPr>
                <w:highlight w:val="none"/>
              </w:rPr>
            </w:pPr>
            <w:r>
              <w:rPr>
                <w:rFonts w:hint="eastAsia"/>
                <w:highlight w:val="none"/>
              </w:rPr>
              <w:t>竣工图的编制</w:t>
            </w:r>
          </w:p>
        </w:tc>
        <w:tc>
          <w:tcPr>
            <w:tcW w:w="0" w:type="auto"/>
            <w:noWrap w:val="0"/>
            <w:vAlign w:val="center"/>
          </w:tcPr>
          <w:p w14:paraId="662EEA60">
            <w:pPr>
              <w:pStyle w:val="13"/>
              <w:rPr>
                <w:highlight w:val="none"/>
              </w:rPr>
            </w:pPr>
            <w:r>
              <w:rPr>
                <w:highlight w:val="none"/>
              </w:rPr>
              <w:sym w:font="Wingdings" w:char="F0FC"/>
            </w:r>
          </w:p>
        </w:tc>
        <w:tc>
          <w:tcPr>
            <w:tcW w:w="0" w:type="auto"/>
            <w:noWrap w:val="0"/>
            <w:vAlign w:val="center"/>
          </w:tcPr>
          <w:p w14:paraId="359BFAF5">
            <w:pPr>
              <w:pStyle w:val="13"/>
              <w:rPr>
                <w:highlight w:val="none"/>
              </w:rPr>
            </w:pPr>
            <w:r>
              <w:rPr>
                <w:rFonts w:hint="eastAsia"/>
                <w:highlight w:val="none"/>
              </w:rPr>
              <w:t>绘制自身工作</w:t>
            </w:r>
          </w:p>
        </w:tc>
        <w:tc>
          <w:tcPr>
            <w:tcW w:w="0" w:type="auto"/>
            <w:noWrap w:val="0"/>
            <w:vAlign w:val="center"/>
          </w:tcPr>
          <w:p w14:paraId="4E7B318D">
            <w:pPr>
              <w:pStyle w:val="13"/>
              <w:rPr>
                <w:highlight w:val="none"/>
              </w:rPr>
            </w:pPr>
            <w:r>
              <w:rPr>
                <w:rFonts w:hint="eastAsia"/>
                <w:highlight w:val="none"/>
              </w:rPr>
              <w:t>绘制及组织、指导管理并确保结果符合政府要求。</w:t>
            </w:r>
          </w:p>
        </w:tc>
      </w:tr>
      <w:tr w14:paraId="3F5A1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F4FBC20">
            <w:pPr>
              <w:pStyle w:val="13"/>
              <w:rPr>
                <w:highlight w:val="none"/>
              </w:rPr>
            </w:pPr>
            <w:r>
              <w:rPr>
                <w:rFonts w:hint="eastAsia"/>
                <w:highlight w:val="none"/>
                <w:lang w:val="en-US" w:eastAsia="zh-CN"/>
              </w:rPr>
              <w:t>9</w:t>
            </w:r>
            <w:r>
              <w:rPr>
                <w:rFonts w:hint="eastAsia"/>
                <w:highlight w:val="none"/>
              </w:rPr>
              <w:t>.3</w:t>
            </w:r>
          </w:p>
        </w:tc>
        <w:tc>
          <w:tcPr>
            <w:tcW w:w="3274" w:type="dxa"/>
            <w:tcBorders>
              <w:left w:val="single" w:color="auto" w:sz="4" w:space="0"/>
            </w:tcBorders>
            <w:noWrap w:val="0"/>
            <w:vAlign w:val="center"/>
          </w:tcPr>
          <w:p w14:paraId="22219D64">
            <w:pPr>
              <w:pStyle w:val="13"/>
              <w:rPr>
                <w:highlight w:val="none"/>
              </w:rPr>
            </w:pPr>
            <w:r>
              <w:rPr>
                <w:rFonts w:hint="eastAsia"/>
                <w:highlight w:val="none"/>
              </w:rPr>
              <w:t>竣工档案编制。</w:t>
            </w:r>
          </w:p>
        </w:tc>
        <w:tc>
          <w:tcPr>
            <w:tcW w:w="0" w:type="auto"/>
            <w:noWrap w:val="0"/>
            <w:vAlign w:val="center"/>
          </w:tcPr>
          <w:p w14:paraId="4BF91DB4">
            <w:pPr>
              <w:pStyle w:val="13"/>
              <w:rPr>
                <w:highlight w:val="none"/>
              </w:rPr>
            </w:pPr>
            <w:r>
              <w:rPr>
                <w:highlight w:val="none"/>
              </w:rPr>
              <w:sym w:font="Wingdings" w:char="F0FC"/>
            </w:r>
          </w:p>
        </w:tc>
        <w:tc>
          <w:tcPr>
            <w:tcW w:w="0" w:type="auto"/>
            <w:noWrap w:val="0"/>
            <w:vAlign w:val="center"/>
          </w:tcPr>
          <w:p w14:paraId="25BA145A">
            <w:pPr>
              <w:pStyle w:val="13"/>
              <w:rPr>
                <w:highlight w:val="none"/>
              </w:rPr>
            </w:pPr>
            <w:r>
              <w:rPr>
                <w:rFonts w:hint="eastAsia"/>
                <w:highlight w:val="none"/>
              </w:rPr>
              <w:t>编制自身资料</w:t>
            </w:r>
          </w:p>
        </w:tc>
        <w:tc>
          <w:tcPr>
            <w:tcW w:w="0" w:type="auto"/>
            <w:noWrap w:val="0"/>
            <w:vAlign w:val="center"/>
          </w:tcPr>
          <w:p w14:paraId="4DE6AC44">
            <w:pPr>
              <w:pStyle w:val="13"/>
              <w:rPr>
                <w:highlight w:val="none"/>
              </w:rPr>
            </w:pPr>
            <w:r>
              <w:rPr>
                <w:rFonts w:hint="eastAsia"/>
                <w:highlight w:val="none"/>
              </w:rPr>
              <w:t>总承包人负责汇总及统筹管理</w:t>
            </w:r>
          </w:p>
        </w:tc>
      </w:tr>
      <w:tr w14:paraId="1C480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8DC5BFA">
            <w:pPr>
              <w:pStyle w:val="13"/>
              <w:rPr>
                <w:highlight w:val="none"/>
              </w:rPr>
            </w:pPr>
            <w:r>
              <w:rPr>
                <w:rFonts w:hint="eastAsia"/>
                <w:highlight w:val="none"/>
                <w:lang w:val="en-US" w:eastAsia="zh-CN"/>
              </w:rPr>
              <w:t>9</w:t>
            </w:r>
            <w:r>
              <w:rPr>
                <w:rFonts w:hint="eastAsia"/>
                <w:highlight w:val="none"/>
              </w:rPr>
              <w:t>.4</w:t>
            </w:r>
          </w:p>
        </w:tc>
        <w:tc>
          <w:tcPr>
            <w:tcW w:w="3274" w:type="dxa"/>
            <w:tcBorders>
              <w:left w:val="single" w:color="auto" w:sz="4" w:space="0"/>
            </w:tcBorders>
            <w:noWrap w:val="0"/>
            <w:vAlign w:val="center"/>
          </w:tcPr>
          <w:p w14:paraId="2F156B6C">
            <w:pPr>
              <w:pStyle w:val="13"/>
              <w:rPr>
                <w:highlight w:val="none"/>
              </w:rPr>
            </w:pPr>
            <w:r>
              <w:rPr>
                <w:rFonts w:hint="eastAsia"/>
                <w:highlight w:val="none"/>
              </w:rPr>
              <w:t>申报竣工备案及各分项验收。</w:t>
            </w:r>
          </w:p>
        </w:tc>
        <w:tc>
          <w:tcPr>
            <w:tcW w:w="0" w:type="auto"/>
            <w:noWrap w:val="0"/>
            <w:vAlign w:val="center"/>
          </w:tcPr>
          <w:p w14:paraId="5D15762D">
            <w:pPr>
              <w:pStyle w:val="13"/>
              <w:rPr>
                <w:highlight w:val="none"/>
              </w:rPr>
            </w:pPr>
            <w:r>
              <w:rPr>
                <w:highlight w:val="none"/>
              </w:rPr>
              <w:sym w:font="Wingdings" w:char="F0FC"/>
            </w:r>
          </w:p>
        </w:tc>
        <w:tc>
          <w:tcPr>
            <w:tcW w:w="0" w:type="auto"/>
            <w:noWrap w:val="0"/>
            <w:vAlign w:val="center"/>
          </w:tcPr>
          <w:p w14:paraId="6C066919">
            <w:pPr>
              <w:pStyle w:val="13"/>
              <w:rPr>
                <w:highlight w:val="none"/>
              </w:rPr>
            </w:pPr>
            <w:r>
              <w:rPr>
                <w:rFonts w:hint="eastAsia"/>
                <w:highlight w:val="none"/>
              </w:rPr>
              <w:t>配合</w:t>
            </w:r>
          </w:p>
        </w:tc>
        <w:tc>
          <w:tcPr>
            <w:tcW w:w="0" w:type="auto"/>
            <w:noWrap w:val="0"/>
            <w:vAlign w:val="center"/>
          </w:tcPr>
          <w:p w14:paraId="0DA12E31">
            <w:pPr>
              <w:pStyle w:val="13"/>
              <w:rPr>
                <w:highlight w:val="none"/>
              </w:rPr>
            </w:pPr>
          </w:p>
        </w:tc>
      </w:tr>
      <w:tr w14:paraId="6441C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A7B3FA9">
            <w:pPr>
              <w:pStyle w:val="13"/>
              <w:rPr>
                <w:highlight w:val="none"/>
              </w:rPr>
            </w:pPr>
            <w:r>
              <w:rPr>
                <w:rFonts w:hint="eastAsia"/>
                <w:highlight w:val="none"/>
                <w:lang w:val="en-US" w:eastAsia="zh-CN"/>
              </w:rPr>
              <w:t>9</w:t>
            </w:r>
            <w:r>
              <w:rPr>
                <w:rFonts w:hint="eastAsia"/>
                <w:highlight w:val="none"/>
              </w:rPr>
              <w:t>.5</w:t>
            </w:r>
          </w:p>
        </w:tc>
        <w:tc>
          <w:tcPr>
            <w:tcW w:w="3274" w:type="dxa"/>
            <w:tcBorders>
              <w:left w:val="single" w:color="auto" w:sz="4" w:space="0"/>
            </w:tcBorders>
            <w:noWrap w:val="0"/>
            <w:vAlign w:val="center"/>
          </w:tcPr>
          <w:p w14:paraId="71222D70">
            <w:pPr>
              <w:pStyle w:val="13"/>
              <w:rPr>
                <w:highlight w:val="none"/>
              </w:rPr>
            </w:pPr>
            <w:r>
              <w:rPr>
                <w:rFonts w:hint="eastAsia"/>
                <w:highlight w:val="none"/>
              </w:rPr>
              <w:t>协助发包人进行竣工资料的整理、检查、汇总、上交档案馆及办理档案验收等工作，并提供有关资料。</w:t>
            </w:r>
          </w:p>
        </w:tc>
        <w:tc>
          <w:tcPr>
            <w:tcW w:w="0" w:type="auto"/>
            <w:noWrap w:val="0"/>
            <w:vAlign w:val="center"/>
          </w:tcPr>
          <w:p w14:paraId="01F064CF">
            <w:pPr>
              <w:pStyle w:val="13"/>
              <w:rPr>
                <w:highlight w:val="none"/>
              </w:rPr>
            </w:pPr>
            <w:r>
              <w:rPr>
                <w:highlight w:val="none"/>
              </w:rPr>
              <w:sym w:font="Wingdings" w:char="F0FC"/>
            </w:r>
          </w:p>
        </w:tc>
        <w:tc>
          <w:tcPr>
            <w:tcW w:w="0" w:type="auto"/>
            <w:noWrap w:val="0"/>
            <w:vAlign w:val="center"/>
          </w:tcPr>
          <w:p w14:paraId="563D2867">
            <w:pPr>
              <w:pStyle w:val="13"/>
              <w:rPr>
                <w:highlight w:val="none"/>
              </w:rPr>
            </w:pPr>
            <w:r>
              <w:rPr>
                <w:rFonts w:hint="eastAsia"/>
                <w:highlight w:val="none"/>
              </w:rPr>
              <w:t>配合</w:t>
            </w:r>
          </w:p>
        </w:tc>
        <w:tc>
          <w:tcPr>
            <w:tcW w:w="0" w:type="auto"/>
            <w:noWrap w:val="0"/>
            <w:vAlign w:val="center"/>
          </w:tcPr>
          <w:p w14:paraId="7B2EF9DD">
            <w:pPr>
              <w:pStyle w:val="13"/>
              <w:rPr>
                <w:highlight w:val="none"/>
              </w:rPr>
            </w:pPr>
          </w:p>
        </w:tc>
      </w:tr>
      <w:tr w14:paraId="6A749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0998258B">
            <w:pPr>
              <w:pStyle w:val="13"/>
              <w:rPr>
                <w:highlight w:val="none"/>
              </w:rPr>
            </w:pPr>
            <w:r>
              <w:rPr>
                <w:rFonts w:hint="eastAsia"/>
                <w:highlight w:val="none"/>
              </w:rPr>
              <w:t>十、报建报批</w:t>
            </w:r>
          </w:p>
        </w:tc>
      </w:tr>
      <w:tr w14:paraId="10EC7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1D15229">
            <w:pPr>
              <w:pStyle w:val="13"/>
              <w:rPr>
                <w:highlight w:val="none"/>
              </w:rPr>
            </w:pPr>
            <w:r>
              <w:rPr>
                <w:rFonts w:hint="eastAsia"/>
                <w:highlight w:val="none"/>
              </w:rPr>
              <w:t>1</w:t>
            </w:r>
            <w:r>
              <w:rPr>
                <w:rFonts w:hint="eastAsia"/>
                <w:highlight w:val="none"/>
                <w:lang w:val="en-US" w:eastAsia="zh-CN"/>
              </w:rPr>
              <w:t>0</w:t>
            </w:r>
            <w:r>
              <w:rPr>
                <w:rFonts w:hint="eastAsia"/>
                <w:highlight w:val="none"/>
              </w:rPr>
              <w:t>.1</w:t>
            </w:r>
          </w:p>
        </w:tc>
        <w:tc>
          <w:tcPr>
            <w:tcW w:w="3274" w:type="dxa"/>
            <w:tcBorders>
              <w:left w:val="single" w:color="auto" w:sz="4" w:space="0"/>
            </w:tcBorders>
            <w:noWrap w:val="0"/>
            <w:vAlign w:val="center"/>
          </w:tcPr>
          <w:p w14:paraId="752F80A1">
            <w:pPr>
              <w:pStyle w:val="13"/>
              <w:rPr>
                <w:highlight w:val="none"/>
              </w:rPr>
            </w:pPr>
            <w:r>
              <w:rPr>
                <w:rFonts w:hint="eastAsia"/>
                <w:highlight w:val="none"/>
              </w:rPr>
              <w:t>配合发包人办理一切为进行本工程所需的政府手续，包括施工许可证、质监验收、各类工程备案等。</w:t>
            </w:r>
          </w:p>
        </w:tc>
        <w:tc>
          <w:tcPr>
            <w:tcW w:w="0" w:type="auto"/>
            <w:noWrap w:val="0"/>
            <w:vAlign w:val="center"/>
          </w:tcPr>
          <w:p w14:paraId="38EE4AA7">
            <w:pPr>
              <w:pStyle w:val="13"/>
              <w:rPr>
                <w:highlight w:val="none"/>
              </w:rPr>
            </w:pPr>
            <w:r>
              <w:rPr>
                <w:highlight w:val="none"/>
              </w:rPr>
              <w:sym w:font="Wingdings" w:char="F0FC"/>
            </w:r>
          </w:p>
        </w:tc>
        <w:tc>
          <w:tcPr>
            <w:tcW w:w="0" w:type="auto"/>
            <w:noWrap w:val="0"/>
            <w:vAlign w:val="center"/>
          </w:tcPr>
          <w:p w14:paraId="7DB1F2C6">
            <w:pPr>
              <w:pStyle w:val="13"/>
              <w:rPr>
                <w:highlight w:val="none"/>
              </w:rPr>
            </w:pPr>
            <w:r>
              <w:rPr>
                <w:rFonts w:hint="eastAsia"/>
                <w:highlight w:val="none"/>
              </w:rPr>
              <w:t>配合</w:t>
            </w:r>
          </w:p>
        </w:tc>
        <w:tc>
          <w:tcPr>
            <w:tcW w:w="0" w:type="auto"/>
            <w:noWrap w:val="0"/>
            <w:vAlign w:val="center"/>
          </w:tcPr>
          <w:p w14:paraId="44A53B19">
            <w:pPr>
              <w:pStyle w:val="13"/>
              <w:rPr>
                <w:highlight w:val="none"/>
              </w:rPr>
            </w:pPr>
          </w:p>
        </w:tc>
      </w:tr>
      <w:tr w14:paraId="33810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644F5CA2">
            <w:pPr>
              <w:pStyle w:val="13"/>
              <w:rPr>
                <w:highlight w:val="none"/>
              </w:rPr>
            </w:pPr>
            <w:r>
              <w:rPr>
                <w:rFonts w:hint="eastAsia"/>
                <w:highlight w:val="none"/>
              </w:rPr>
              <w:t>十</w:t>
            </w:r>
            <w:r>
              <w:rPr>
                <w:rFonts w:hint="eastAsia"/>
                <w:highlight w:val="none"/>
                <w:lang w:eastAsia="zh-CN"/>
              </w:rPr>
              <w:t>一</w:t>
            </w:r>
            <w:r>
              <w:rPr>
                <w:rFonts w:hint="eastAsia"/>
                <w:highlight w:val="none"/>
              </w:rPr>
              <w:t>、成品保护（总原则：谁施工谁保护，谁使用谁保护。）</w:t>
            </w:r>
          </w:p>
        </w:tc>
      </w:tr>
      <w:tr w14:paraId="7B6DB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1A2C527">
            <w:pPr>
              <w:pStyle w:val="13"/>
              <w:rPr>
                <w:highlight w:val="none"/>
              </w:rPr>
            </w:pPr>
            <w:r>
              <w:rPr>
                <w:rFonts w:hint="eastAsia"/>
                <w:highlight w:val="none"/>
              </w:rPr>
              <w:t>1</w:t>
            </w:r>
            <w:r>
              <w:rPr>
                <w:rFonts w:hint="eastAsia"/>
                <w:highlight w:val="none"/>
                <w:lang w:val="en-US" w:eastAsia="zh-CN"/>
              </w:rPr>
              <w:t>1</w:t>
            </w:r>
            <w:r>
              <w:rPr>
                <w:rFonts w:hint="eastAsia"/>
                <w:highlight w:val="none"/>
              </w:rPr>
              <w:t>.1</w:t>
            </w:r>
          </w:p>
        </w:tc>
        <w:tc>
          <w:tcPr>
            <w:tcW w:w="3274" w:type="dxa"/>
            <w:tcBorders>
              <w:left w:val="single" w:color="auto" w:sz="4" w:space="0"/>
            </w:tcBorders>
            <w:noWrap w:val="0"/>
            <w:vAlign w:val="center"/>
          </w:tcPr>
          <w:p w14:paraId="447C859A">
            <w:pPr>
              <w:pStyle w:val="13"/>
              <w:rPr>
                <w:highlight w:val="none"/>
              </w:rPr>
            </w:pPr>
            <w:r>
              <w:rPr>
                <w:rFonts w:hint="eastAsia"/>
                <w:highlight w:val="none"/>
              </w:rPr>
              <w:t>对自身施工区域封闭、管理和成品保护。</w:t>
            </w:r>
          </w:p>
        </w:tc>
        <w:tc>
          <w:tcPr>
            <w:tcW w:w="0" w:type="auto"/>
            <w:noWrap w:val="0"/>
            <w:vAlign w:val="center"/>
          </w:tcPr>
          <w:p w14:paraId="4420919F">
            <w:pPr>
              <w:pStyle w:val="13"/>
              <w:rPr>
                <w:highlight w:val="none"/>
              </w:rPr>
            </w:pPr>
            <w:r>
              <w:rPr>
                <w:highlight w:val="none"/>
              </w:rPr>
              <w:sym w:font="Wingdings" w:char="F0FC"/>
            </w:r>
          </w:p>
        </w:tc>
        <w:tc>
          <w:tcPr>
            <w:tcW w:w="0" w:type="auto"/>
            <w:noWrap w:val="0"/>
            <w:vAlign w:val="center"/>
          </w:tcPr>
          <w:p w14:paraId="15F6CB67">
            <w:pPr>
              <w:pStyle w:val="13"/>
              <w:rPr>
                <w:highlight w:val="none"/>
              </w:rPr>
            </w:pPr>
            <w:r>
              <w:rPr>
                <w:highlight w:val="none"/>
              </w:rPr>
              <w:sym w:font="Wingdings" w:char="F0FC"/>
            </w:r>
          </w:p>
        </w:tc>
        <w:tc>
          <w:tcPr>
            <w:tcW w:w="0" w:type="auto"/>
            <w:noWrap w:val="0"/>
            <w:vAlign w:val="center"/>
          </w:tcPr>
          <w:p w14:paraId="0D8A4B1F">
            <w:pPr>
              <w:pStyle w:val="13"/>
              <w:rPr>
                <w:highlight w:val="none"/>
              </w:rPr>
            </w:pPr>
            <w:r>
              <w:rPr>
                <w:rFonts w:hint="eastAsia"/>
                <w:highlight w:val="none"/>
              </w:rPr>
              <w:t>谁施工谁保护</w:t>
            </w:r>
          </w:p>
        </w:tc>
      </w:tr>
      <w:tr w14:paraId="3D0D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B55D126">
            <w:pPr>
              <w:pStyle w:val="13"/>
              <w:rPr>
                <w:highlight w:val="none"/>
              </w:rPr>
            </w:pPr>
            <w:r>
              <w:rPr>
                <w:rFonts w:hint="eastAsia"/>
                <w:highlight w:val="none"/>
              </w:rPr>
              <w:t>1</w:t>
            </w:r>
            <w:r>
              <w:rPr>
                <w:rFonts w:hint="eastAsia"/>
                <w:highlight w:val="none"/>
                <w:lang w:val="en-US" w:eastAsia="zh-CN"/>
              </w:rPr>
              <w:t>1</w:t>
            </w:r>
            <w:r>
              <w:rPr>
                <w:rFonts w:hint="eastAsia"/>
                <w:highlight w:val="none"/>
              </w:rPr>
              <w:t>.2</w:t>
            </w:r>
          </w:p>
        </w:tc>
        <w:tc>
          <w:tcPr>
            <w:tcW w:w="3274" w:type="dxa"/>
            <w:tcBorders>
              <w:left w:val="single" w:color="auto" w:sz="4" w:space="0"/>
            </w:tcBorders>
            <w:noWrap w:val="0"/>
            <w:vAlign w:val="center"/>
          </w:tcPr>
          <w:p w14:paraId="54EDCDBE">
            <w:pPr>
              <w:pStyle w:val="13"/>
              <w:rPr>
                <w:highlight w:val="none"/>
              </w:rPr>
            </w:pPr>
            <w:r>
              <w:rPr>
                <w:rFonts w:hint="eastAsia"/>
                <w:highlight w:val="none"/>
              </w:rPr>
              <w:t>已完工作面移交给其他施工单位进行施工的，双方办理移交手续，并由移交单位按规定做好成品保护，接收单位对移交工程具有照管责任，对移交后的工程造成的损坏，承担相应的责任。</w:t>
            </w:r>
          </w:p>
        </w:tc>
        <w:tc>
          <w:tcPr>
            <w:tcW w:w="0" w:type="auto"/>
            <w:noWrap w:val="0"/>
            <w:vAlign w:val="center"/>
          </w:tcPr>
          <w:p w14:paraId="71AE7EA3">
            <w:pPr>
              <w:pStyle w:val="13"/>
              <w:rPr>
                <w:highlight w:val="none"/>
              </w:rPr>
            </w:pPr>
            <w:r>
              <w:rPr>
                <w:highlight w:val="none"/>
              </w:rPr>
              <w:sym w:font="Wingdings" w:char="F0FC"/>
            </w:r>
          </w:p>
        </w:tc>
        <w:tc>
          <w:tcPr>
            <w:tcW w:w="0" w:type="auto"/>
            <w:noWrap w:val="0"/>
            <w:vAlign w:val="center"/>
          </w:tcPr>
          <w:p w14:paraId="686FF373">
            <w:pPr>
              <w:pStyle w:val="13"/>
              <w:rPr>
                <w:highlight w:val="none"/>
              </w:rPr>
            </w:pPr>
            <w:r>
              <w:rPr>
                <w:highlight w:val="none"/>
              </w:rPr>
              <w:sym w:font="Wingdings" w:char="F0FC"/>
            </w:r>
          </w:p>
        </w:tc>
        <w:tc>
          <w:tcPr>
            <w:tcW w:w="0" w:type="auto"/>
            <w:noWrap w:val="0"/>
            <w:vAlign w:val="center"/>
          </w:tcPr>
          <w:p w14:paraId="78829CCA">
            <w:pPr>
              <w:pStyle w:val="13"/>
              <w:rPr>
                <w:highlight w:val="none"/>
              </w:rPr>
            </w:pPr>
          </w:p>
        </w:tc>
      </w:tr>
      <w:tr w14:paraId="68FC1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04C62A3">
            <w:pPr>
              <w:pStyle w:val="13"/>
              <w:rPr>
                <w:highlight w:val="none"/>
              </w:rPr>
            </w:pPr>
            <w:r>
              <w:rPr>
                <w:rFonts w:hint="eastAsia"/>
                <w:highlight w:val="none"/>
              </w:rPr>
              <w:t>1</w:t>
            </w:r>
            <w:r>
              <w:rPr>
                <w:rFonts w:hint="eastAsia"/>
                <w:highlight w:val="none"/>
                <w:lang w:val="en-US" w:eastAsia="zh-CN"/>
              </w:rPr>
              <w:t>1</w:t>
            </w:r>
            <w:r>
              <w:rPr>
                <w:rFonts w:hint="eastAsia"/>
                <w:highlight w:val="none"/>
              </w:rPr>
              <w:t>.3</w:t>
            </w:r>
          </w:p>
        </w:tc>
        <w:tc>
          <w:tcPr>
            <w:tcW w:w="3274" w:type="dxa"/>
            <w:tcBorders>
              <w:left w:val="single" w:color="auto" w:sz="4" w:space="0"/>
            </w:tcBorders>
            <w:noWrap w:val="0"/>
            <w:vAlign w:val="center"/>
          </w:tcPr>
          <w:p w14:paraId="5554FDAA">
            <w:pPr>
              <w:pStyle w:val="13"/>
              <w:rPr>
                <w:highlight w:val="none"/>
              </w:rPr>
            </w:pPr>
            <w:r>
              <w:rPr>
                <w:rFonts w:hint="eastAsia"/>
                <w:highlight w:val="none"/>
              </w:rPr>
              <w:t>对于多家施工单位同时进行作业的区域，各施工单位对自身成品做好保护和管理，其他单位需配合对成品的保护，任何单位对于成品的破坏，应承担恢复和赔偿的责任。</w:t>
            </w:r>
          </w:p>
        </w:tc>
        <w:tc>
          <w:tcPr>
            <w:tcW w:w="0" w:type="auto"/>
            <w:noWrap w:val="0"/>
            <w:vAlign w:val="center"/>
          </w:tcPr>
          <w:p w14:paraId="717702E8">
            <w:pPr>
              <w:pStyle w:val="13"/>
              <w:rPr>
                <w:highlight w:val="none"/>
              </w:rPr>
            </w:pPr>
            <w:r>
              <w:rPr>
                <w:highlight w:val="none"/>
              </w:rPr>
              <w:sym w:font="Wingdings" w:char="F0FC"/>
            </w:r>
          </w:p>
        </w:tc>
        <w:tc>
          <w:tcPr>
            <w:tcW w:w="0" w:type="auto"/>
            <w:noWrap w:val="0"/>
            <w:vAlign w:val="center"/>
          </w:tcPr>
          <w:p w14:paraId="215DBF61">
            <w:pPr>
              <w:pStyle w:val="13"/>
              <w:rPr>
                <w:highlight w:val="none"/>
              </w:rPr>
            </w:pPr>
            <w:r>
              <w:rPr>
                <w:highlight w:val="none"/>
              </w:rPr>
              <w:sym w:font="Wingdings" w:char="F0FC"/>
            </w:r>
          </w:p>
        </w:tc>
        <w:tc>
          <w:tcPr>
            <w:tcW w:w="0" w:type="auto"/>
            <w:noWrap w:val="0"/>
            <w:vAlign w:val="center"/>
          </w:tcPr>
          <w:p w14:paraId="2BD231E4">
            <w:pPr>
              <w:pStyle w:val="13"/>
              <w:rPr>
                <w:highlight w:val="none"/>
              </w:rPr>
            </w:pPr>
            <w:r>
              <w:rPr>
                <w:rFonts w:hint="eastAsia"/>
                <w:highlight w:val="none"/>
              </w:rPr>
              <w:t>找不到责任人者由作业区域</w:t>
            </w:r>
            <w:r>
              <w:rPr>
                <w:highlight w:val="none"/>
              </w:rPr>
              <w:t>主要负责单位</w:t>
            </w:r>
            <w:r>
              <w:rPr>
                <w:rFonts w:hint="eastAsia"/>
                <w:highlight w:val="none"/>
              </w:rPr>
              <w:t>负最终责任或者各单位均摊。</w:t>
            </w:r>
          </w:p>
        </w:tc>
      </w:tr>
      <w:tr w14:paraId="20B57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2AE6391">
            <w:pPr>
              <w:pStyle w:val="13"/>
              <w:rPr>
                <w:highlight w:val="none"/>
              </w:rPr>
            </w:pPr>
            <w:r>
              <w:rPr>
                <w:rFonts w:hint="eastAsia"/>
                <w:highlight w:val="none"/>
              </w:rPr>
              <w:t>1</w:t>
            </w:r>
            <w:r>
              <w:rPr>
                <w:rFonts w:hint="eastAsia"/>
                <w:highlight w:val="none"/>
                <w:lang w:val="en-US" w:eastAsia="zh-CN"/>
              </w:rPr>
              <w:t>1</w:t>
            </w:r>
            <w:r>
              <w:rPr>
                <w:rFonts w:hint="eastAsia"/>
                <w:highlight w:val="none"/>
              </w:rPr>
              <w:t>.4</w:t>
            </w:r>
          </w:p>
        </w:tc>
        <w:tc>
          <w:tcPr>
            <w:tcW w:w="3274" w:type="dxa"/>
            <w:tcBorders>
              <w:left w:val="single" w:color="auto" w:sz="4" w:space="0"/>
            </w:tcBorders>
            <w:noWrap w:val="0"/>
            <w:vAlign w:val="center"/>
          </w:tcPr>
          <w:p w14:paraId="65BC09B2">
            <w:pPr>
              <w:pStyle w:val="13"/>
              <w:rPr>
                <w:highlight w:val="none"/>
              </w:rPr>
            </w:pPr>
            <w:r>
              <w:rPr>
                <w:rFonts w:hint="eastAsia"/>
                <w:highlight w:val="none"/>
              </w:rPr>
              <w:t>运输通道由总承包人统一组织安排，并经发包人确认。对于装饰施工阶段，主通道上各专业工程成品需做好保护。</w:t>
            </w:r>
          </w:p>
        </w:tc>
        <w:tc>
          <w:tcPr>
            <w:tcW w:w="0" w:type="auto"/>
            <w:noWrap w:val="0"/>
            <w:vAlign w:val="center"/>
          </w:tcPr>
          <w:p w14:paraId="062A0DB0">
            <w:pPr>
              <w:pStyle w:val="13"/>
              <w:rPr>
                <w:highlight w:val="none"/>
              </w:rPr>
            </w:pPr>
            <w:r>
              <w:rPr>
                <w:rFonts w:hint="eastAsia"/>
                <w:highlight w:val="none"/>
              </w:rPr>
              <w:t>保护自身成品并对全通道的成品保护负监督责任</w:t>
            </w:r>
          </w:p>
        </w:tc>
        <w:tc>
          <w:tcPr>
            <w:tcW w:w="0" w:type="auto"/>
            <w:noWrap w:val="0"/>
            <w:vAlign w:val="center"/>
          </w:tcPr>
          <w:p w14:paraId="72A5EEB2">
            <w:pPr>
              <w:pStyle w:val="13"/>
              <w:rPr>
                <w:highlight w:val="none"/>
              </w:rPr>
            </w:pPr>
            <w:r>
              <w:rPr>
                <w:rFonts w:hint="eastAsia"/>
                <w:highlight w:val="none"/>
              </w:rPr>
              <w:t>做好自身成品的保护</w:t>
            </w:r>
          </w:p>
        </w:tc>
        <w:tc>
          <w:tcPr>
            <w:tcW w:w="0" w:type="auto"/>
            <w:noWrap w:val="0"/>
            <w:vAlign w:val="center"/>
          </w:tcPr>
          <w:p w14:paraId="29B29850">
            <w:pPr>
              <w:pStyle w:val="13"/>
              <w:rPr>
                <w:highlight w:val="none"/>
              </w:rPr>
            </w:pPr>
            <w:r>
              <w:rPr>
                <w:rFonts w:hint="eastAsia"/>
                <w:highlight w:val="none"/>
              </w:rPr>
              <w:t>任何单位在施工过程中对成品保护的损坏，由其进行恢复或委托进行恢复，对成品造成损失的，并须承担相应的责任。</w:t>
            </w:r>
          </w:p>
        </w:tc>
      </w:tr>
      <w:tr w14:paraId="3F030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86078AA">
            <w:pPr>
              <w:pStyle w:val="13"/>
              <w:rPr>
                <w:highlight w:val="none"/>
              </w:rPr>
            </w:pPr>
            <w:r>
              <w:rPr>
                <w:rFonts w:hint="eastAsia"/>
                <w:highlight w:val="none"/>
              </w:rPr>
              <w:t>1</w:t>
            </w:r>
            <w:r>
              <w:rPr>
                <w:rFonts w:hint="eastAsia"/>
                <w:highlight w:val="none"/>
                <w:lang w:val="en-US" w:eastAsia="zh-CN"/>
              </w:rPr>
              <w:t>1</w:t>
            </w:r>
            <w:r>
              <w:rPr>
                <w:rFonts w:hint="eastAsia"/>
                <w:highlight w:val="none"/>
              </w:rPr>
              <w:t>.5</w:t>
            </w:r>
          </w:p>
        </w:tc>
        <w:tc>
          <w:tcPr>
            <w:tcW w:w="3274" w:type="dxa"/>
            <w:tcBorders>
              <w:left w:val="single" w:color="auto" w:sz="4" w:space="0"/>
            </w:tcBorders>
            <w:noWrap w:val="0"/>
            <w:vAlign w:val="center"/>
          </w:tcPr>
          <w:p w14:paraId="709DB0E1">
            <w:pPr>
              <w:pStyle w:val="13"/>
              <w:rPr>
                <w:highlight w:val="none"/>
              </w:rPr>
            </w:pPr>
            <w:r>
              <w:rPr>
                <w:rFonts w:hint="eastAsia"/>
                <w:highlight w:val="none"/>
              </w:rPr>
              <w:t>在工程交付发包人前，进行全面的清理工作，包括作最后清理及清洁。</w:t>
            </w:r>
          </w:p>
        </w:tc>
        <w:tc>
          <w:tcPr>
            <w:tcW w:w="0" w:type="auto"/>
            <w:noWrap w:val="0"/>
            <w:vAlign w:val="center"/>
          </w:tcPr>
          <w:p w14:paraId="7017AFE7">
            <w:pPr>
              <w:pStyle w:val="13"/>
              <w:rPr>
                <w:highlight w:val="none"/>
              </w:rPr>
            </w:pPr>
            <w:r>
              <w:rPr>
                <w:highlight w:val="none"/>
              </w:rPr>
              <w:sym w:font="Wingdings" w:char="F0FC"/>
            </w:r>
          </w:p>
        </w:tc>
        <w:tc>
          <w:tcPr>
            <w:tcW w:w="0" w:type="auto"/>
            <w:noWrap w:val="0"/>
            <w:vAlign w:val="center"/>
          </w:tcPr>
          <w:p w14:paraId="03CDEE94">
            <w:pPr>
              <w:pStyle w:val="13"/>
              <w:rPr>
                <w:highlight w:val="none"/>
              </w:rPr>
            </w:pPr>
            <w:r>
              <w:rPr>
                <w:highlight w:val="none"/>
              </w:rPr>
              <w:sym w:font="Wingdings" w:char="F0FC"/>
            </w:r>
          </w:p>
        </w:tc>
        <w:tc>
          <w:tcPr>
            <w:tcW w:w="0" w:type="auto"/>
            <w:noWrap w:val="0"/>
            <w:vAlign w:val="center"/>
          </w:tcPr>
          <w:p w14:paraId="39822FCD">
            <w:pPr>
              <w:pStyle w:val="13"/>
              <w:rPr>
                <w:highlight w:val="none"/>
              </w:rPr>
            </w:pPr>
            <w:r>
              <w:rPr>
                <w:rFonts w:hint="eastAsia"/>
                <w:highlight w:val="none"/>
              </w:rPr>
              <w:t>承担各自工程的清洁</w:t>
            </w:r>
          </w:p>
        </w:tc>
      </w:tr>
      <w:tr w14:paraId="60F93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2A6D43C4">
            <w:pPr>
              <w:pStyle w:val="13"/>
              <w:rPr>
                <w:highlight w:val="none"/>
              </w:rPr>
            </w:pPr>
            <w:r>
              <w:rPr>
                <w:rFonts w:hint="eastAsia"/>
                <w:highlight w:val="none"/>
              </w:rPr>
              <w:t>十</w:t>
            </w:r>
            <w:r>
              <w:rPr>
                <w:rFonts w:hint="eastAsia"/>
                <w:highlight w:val="none"/>
                <w:lang w:eastAsia="zh-CN"/>
              </w:rPr>
              <w:t>二</w:t>
            </w:r>
            <w:r>
              <w:rPr>
                <w:rFonts w:hint="eastAsia"/>
                <w:highlight w:val="none"/>
              </w:rPr>
              <w:t>、保险</w:t>
            </w:r>
          </w:p>
        </w:tc>
      </w:tr>
      <w:tr w14:paraId="346F3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AD9B0DD">
            <w:pPr>
              <w:pStyle w:val="13"/>
              <w:rPr>
                <w:highlight w:val="none"/>
              </w:rPr>
            </w:pPr>
            <w:r>
              <w:rPr>
                <w:rFonts w:hint="eastAsia"/>
                <w:highlight w:val="none"/>
              </w:rPr>
              <w:t>1</w:t>
            </w:r>
            <w:r>
              <w:rPr>
                <w:rFonts w:hint="eastAsia"/>
                <w:highlight w:val="none"/>
                <w:lang w:val="en-US" w:eastAsia="zh-CN"/>
              </w:rPr>
              <w:t>2</w:t>
            </w:r>
            <w:r>
              <w:rPr>
                <w:rFonts w:hint="eastAsia"/>
                <w:highlight w:val="none"/>
              </w:rPr>
              <w:t>.1</w:t>
            </w:r>
          </w:p>
        </w:tc>
        <w:tc>
          <w:tcPr>
            <w:tcW w:w="3274" w:type="dxa"/>
            <w:tcBorders>
              <w:left w:val="single" w:color="auto" w:sz="4" w:space="0"/>
            </w:tcBorders>
            <w:noWrap w:val="0"/>
            <w:vAlign w:val="center"/>
          </w:tcPr>
          <w:p w14:paraId="599B5D39">
            <w:pPr>
              <w:pStyle w:val="13"/>
              <w:rPr>
                <w:highlight w:val="none"/>
              </w:rPr>
            </w:pPr>
            <w:r>
              <w:rPr>
                <w:rFonts w:hint="eastAsia"/>
                <w:highlight w:val="none"/>
              </w:rPr>
              <w:t>协助发包人审查专业承包人/独立承包人的相关保险是否满足发包人要求。</w:t>
            </w:r>
          </w:p>
        </w:tc>
        <w:tc>
          <w:tcPr>
            <w:tcW w:w="0" w:type="auto"/>
            <w:noWrap w:val="0"/>
            <w:vAlign w:val="center"/>
          </w:tcPr>
          <w:p w14:paraId="5BE0BE16">
            <w:pPr>
              <w:pStyle w:val="13"/>
              <w:rPr>
                <w:highlight w:val="none"/>
              </w:rPr>
            </w:pPr>
            <w:r>
              <w:rPr>
                <w:highlight w:val="none"/>
              </w:rPr>
              <w:sym w:font="Wingdings" w:char="F0FC"/>
            </w:r>
          </w:p>
        </w:tc>
        <w:tc>
          <w:tcPr>
            <w:tcW w:w="0" w:type="auto"/>
            <w:noWrap w:val="0"/>
            <w:vAlign w:val="center"/>
          </w:tcPr>
          <w:p w14:paraId="0C6C5761">
            <w:pPr>
              <w:pStyle w:val="13"/>
              <w:rPr>
                <w:highlight w:val="none"/>
              </w:rPr>
            </w:pPr>
          </w:p>
        </w:tc>
        <w:tc>
          <w:tcPr>
            <w:tcW w:w="0" w:type="auto"/>
            <w:noWrap w:val="0"/>
            <w:vAlign w:val="center"/>
          </w:tcPr>
          <w:p w14:paraId="4F9FAAB1">
            <w:pPr>
              <w:pStyle w:val="13"/>
              <w:rPr>
                <w:highlight w:val="none"/>
              </w:rPr>
            </w:pPr>
          </w:p>
        </w:tc>
      </w:tr>
      <w:tr w14:paraId="37955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2A4BA32D">
            <w:pPr>
              <w:pStyle w:val="13"/>
              <w:rPr>
                <w:highlight w:val="none"/>
              </w:rPr>
            </w:pPr>
            <w:r>
              <w:rPr>
                <w:rFonts w:hint="eastAsia"/>
                <w:highlight w:val="none"/>
              </w:rPr>
              <w:t>十</w:t>
            </w:r>
            <w:r>
              <w:rPr>
                <w:rFonts w:hint="eastAsia"/>
                <w:highlight w:val="none"/>
                <w:lang w:eastAsia="zh-CN"/>
              </w:rPr>
              <w:t>三</w:t>
            </w:r>
            <w:r>
              <w:rPr>
                <w:rFonts w:hint="eastAsia"/>
                <w:highlight w:val="none"/>
              </w:rPr>
              <w:t>、现场会议/报告</w:t>
            </w:r>
          </w:p>
        </w:tc>
      </w:tr>
      <w:tr w14:paraId="056A4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F617508">
            <w:pPr>
              <w:pStyle w:val="13"/>
              <w:rPr>
                <w:highlight w:val="none"/>
              </w:rPr>
            </w:pPr>
            <w:r>
              <w:rPr>
                <w:rFonts w:hint="eastAsia"/>
                <w:highlight w:val="none"/>
              </w:rPr>
              <w:t>1</w:t>
            </w:r>
            <w:r>
              <w:rPr>
                <w:rFonts w:hint="eastAsia"/>
                <w:highlight w:val="none"/>
                <w:lang w:val="en-US" w:eastAsia="zh-CN"/>
              </w:rPr>
              <w:t>3</w:t>
            </w:r>
            <w:r>
              <w:rPr>
                <w:rFonts w:hint="eastAsia"/>
                <w:highlight w:val="none"/>
              </w:rPr>
              <w:t>.1</w:t>
            </w:r>
          </w:p>
        </w:tc>
        <w:tc>
          <w:tcPr>
            <w:tcW w:w="3274" w:type="dxa"/>
            <w:tcBorders>
              <w:left w:val="single" w:color="auto" w:sz="4" w:space="0"/>
            </w:tcBorders>
            <w:noWrap w:val="0"/>
            <w:vAlign w:val="center"/>
          </w:tcPr>
          <w:p w14:paraId="55252AEA">
            <w:pPr>
              <w:pStyle w:val="13"/>
              <w:rPr>
                <w:highlight w:val="none"/>
              </w:rPr>
            </w:pPr>
            <w:r>
              <w:rPr>
                <w:rFonts w:hint="eastAsia"/>
                <w:highlight w:val="none"/>
              </w:rPr>
              <w:t>按要求提供日、</w:t>
            </w:r>
            <w:r>
              <w:rPr>
                <w:highlight w:val="none"/>
              </w:rPr>
              <w:t>周、月</w:t>
            </w:r>
            <w:r>
              <w:rPr>
                <w:rFonts w:hint="eastAsia"/>
                <w:highlight w:val="none"/>
              </w:rPr>
              <w:t>工作报告。</w:t>
            </w:r>
          </w:p>
        </w:tc>
        <w:tc>
          <w:tcPr>
            <w:tcW w:w="0" w:type="auto"/>
            <w:noWrap w:val="0"/>
            <w:vAlign w:val="center"/>
          </w:tcPr>
          <w:p w14:paraId="5ECD843E">
            <w:pPr>
              <w:pStyle w:val="13"/>
              <w:rPr>
                <w:highlight w:val="none"/>
              </w:rPr>
            </w:pPr>
            <w:r>
              <w:rPr>
                <w:highlight w:val="none"/>
              </w:rPr>
              <w:sym w:font="Wingdings" w:char="F0FC"/>
            </w:r>
          </w:p>
        </w:tc>
        <w:tc>
          <w:tcPr>
            <w:tcW w:w="0" w:type="auto"/>
            <w:noWrap w:val="0"/>
            <w:vAlign w:val="center"/>
          </w:tcPr>
          <w:p w14:paraId="518DDE9D">
            <w:pPr>
              <w:pStyle w:val="13"/>
              <w:rPr>
                <w:highlight w:val="none"/>
              </w:rPr>
            </w:pPr>
            <w:r>
              <w:rPr>
                <w:highlight w:val="none"/>
              </w:rPr>
              <w:sym w:font="Wingdings" w:char="F0FC"/>
            </w:r>
          </w:p>
        </w:tc>
        <w:tc>
          <w:tcPr>
            <w:tcW w:w="0" w:type="auto"/>
            <w:noWrap w:val="0"/>
            <w:vAlign w:val="center"/>
          </w:tcPr>
          <w:p w14:paraId="45214B5F">
            <w:pPr>
              <w:pStyle w:val="13"/>
              <w:rPr>
                <w:highlight w:val="none"/>
              </w:rPr>
            </w:pPr>
            <w:r>
              <w:rPr>
                <w:rFonts w:hint="eastAsia"/>
                <w:highlight w:val="none"/>
              </w:rPr>
              <w:t>要求包含各专业承包工作</w:t>
            </w:r>
          </w:p>
        </w:tc>
      </w:tr>
      <w:tr w14:paraId="7BBC7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51CFB5F">
            <w:pPr>
              <w:pStyle w:val="13"/>
              <w:rPr>
                <w:highlight w:val="none"/>
              </w:rPr>
            </w:pPr>
            <w:r>
              <w:rPr>
                <w:rFonts w:hint="eastAsia"/>
                <w:highlight w:val="none"/>
              </w:rPr>
              <w:t>1</w:t>
            </w:r>
            <w:r>
              <w:rPr>
                <w:rFonts w:hint="eastAsia"/>
                <w:highlight w:val="none"/>
                <w:lang w:val="en-US" w:eastAsia="zh-CN"/>
              </w:rPr>
              <w:t>3</w:t>
            </w:r>
            <w:r>
              <w:rPr>
                <w:rFonts w:hint="eastAsia"/>
                <w:highlight w:val="none"/>
              </w:rPr>
              <w:t>.2</w:t>
            </w:r>
          </w:p>
        </w:tc>
        <w:tc>
          <w:tcPr>
            <w:tcW w:w="3274" w:type="dxa"/>
            <w:tcBorders>
              <w:left w:val="single" w:color="auto" w:sz="4" w:space="0"/>
            </w:tcBorders>
            <w:noWrap w:val="0"/>
            <w:vAlign w:val="center"/>
          </w:tcPr>
          <w:p w14:paraId="3F5782D4">
            <w:pPr>
              <w:pStyle w:val="13"/>
              <w:rPr>
                <w:highlight w:val="none"/>
              </w:rPr>
            </w:pPr>
            <w:r>
              <w:rPr>
                <w:rFonts w:hint="eastAsia"/>
                <w:highlight w:val="none"/>
              </w:rPr>
              <w:t>按要求提供特殊事项报告。</w:t>
            </w:r>
          </w:p>
        </w:tc>
        <w:tc>
          <w:tcPr>
            <w:tcW w:w="0" w:type="auto"/>
            <w:noWrap w:val="0"/>
            <w:vAlign w:val="center"/>
          </w:tcPr>
          <w:p w14:paraId="3F20E07F">
            <w:pPr>
              <w:pStyle w:val="13"/>
              <w:rPr>
                <w:highlight w:val="none"/>
              </w:rPr>
            </w:pPr>
            <w:r>
              <w:rPr>
                <w:highlight w:val="none"/>
              </w:rPr>
              <w:sym w:font="Wingdings" w:char="F0FC"/>
            </w:r>
          </w:p>
        </w:tc>
        <w:tc>
          <w:tcPr>
            <w:tcW w:w="0" w:type="auto"/>
            <w:noWrap w:val="0"/>
            <w:vAlign w:val="center"/>
          </w:tcPr>
          <w:p w14:paraId="09A93CD0">
            <w:pPr>
              <w:pStyle w:val="13"/>
              <w:rPr>
                <w:highlight w:val="none"/>
              </w:rPr>
            </w:pPr>
            <w:r>
              <w:rPr>
                <w:highlight w:val="none"/>
              </w:rPr>
              <w:sym w:font="Wingdings" w:char="F0FC"/>
            </w:r>
          </w:p>
        </w:tc>
        <w:tc>
          <w:tcPr>
            <w:tcW w:w="0" w:type="auto"/>
            <w:noWrap w:val="0"/>
            <w:vAlign w:val="center"/>
          </w:tcPr>
          <w:p w14:paraId="2DEA4BD4">
            <w:pPr>
              <w:pStyle w:val="13"/>
              <w:rPr>
                <w:highlight w:val="none"/>
              </w:rPr>
            </w:pPr>
            <w:r>
              <w:rPr>
                <w:rFonts w:hint="eastAsia"/>
                <w:highlight w:val="none"/>
              </w:rPr>
              <w:t>要求包含各专业承包工作</w:t>
            </w:r>
          </w:p>
        </w:tc>
      </w:tr>
      <w:tr w14:paraId="44237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656D9A0">
            <w:pPr>
              <w:pStyle w:val="13"/>
              <w:rPr>
                <w:highlight w:val="none"/>
              </w:rPr>
            </w:pPr>
            <w:r>
              <w:rPr>
                <w:rFonts w:hint="eastAsia"/>
                <w:highlight w:val="none"/>
              </w:rPr>
              <w:t>1</w:t>
            </w:r>
            <w:r>
              <w:rPr>
                <w:rFonts w:hint="eastAsia"/>
                <w:highlight w:val="none"/>
                <w:lang w:val="en-US" w:eastAsia="zh-CN"/>
              </w:rPr>
              <w:t>3</w:t>
            </w:r>
            <w:r>
              <w:rPr>
                <w:rFonts w:hint="eastAsia"/>
                <w:highlight w:val="none"/>
              </w:rPr>
              <w:t>.3</w:t>
            </w:r>
          </w:p>
        </w:tc>
        <w:tc>
          <w:tcPr>
            <w:tcW w:w="3274" w:type="dxa"/>
            <w:tcBorders>
              <w:left w:val="single" w:color="auto" w:sz="4" w:space="0"/>
            </w:tcBorders>
            <w:noWrap w:val="0"/>
            <w:vAlign w:val="center"/>
          </w:tcPr>
          <w:p w14:paraId="2B1CD624">
            <w:pPr>
              <w:pStyle w:val="13"/>
              <w:rPr>
                <w:highlight w:val="none"/>
              </w:rPr>
            </w:pPr>
            <w:r>
              <w:rPr>
                <w:rFonts w:hint="eastAsia"/>
                <w:highlight w:val="none"/>
              </w:rPr>
              <w:t>每周提供工程进度照片。</w:t>
            </w:r>
          </w:p>
        </w:tc>
        <w:tc>
          <w:tcPr>
            <w:tcW w:w="0" w:type="auto"/>
            <w:noWrap w:val="0"/>
            <w:vAlign w:val="center"/>
          </w:tcPr>
          <w:p w14:paraId="03E30310">
            <w:pPr>
              <w:pStyle w:val="13"/>
              <w:rPr>
                <w:highlight w:val="none"/>
              </w:rPr>
            </w:pPr>
            <w:r>
              <w:rPr>
                <w:highlight w:val="none"/>
              </w:rPr>
              <w:sym w:font="Wingdings" w:char="F0FC"/>
            </w:r>
          </w:p>
        </w:tc>
        <w:tc>
          <w:tcPr>
            <w:tcW w:w="0" w:type="auto"/>
            <w:noWrap w:val="0"/>
            <w:vAlign w:val="center"/>
          </w:tcPr>
          <w:p w14:paraId="49AE0049">
            <w:pPr>
              <w:pStyle w:val="13"/>
              <w:rPr>
                <w:highlight w:val="none"/>
              </w:rPr>
            </w:pPr>
            <w:r>
              <w:rPr>
                <w:highlight w:val="none"/>
              </w:rPr>
              <w:sym w:font="Wingdings" w:char="F0FC"/>
            </w:r>
          </w:p>
        </w:tc>
        <w:tc>
          <w:tcPr>
            <w:tcW w:w="0" w:type="auto"/>
            <w:noWrap w:val="0"/>
            <w:vAlign w:val="center"/>
          </w:tcPr>
          <w:p w14:paraId="0B0E831C">
            <w:pPr>
              <w:pStyle w:val="13"/>
              <w:rPr>
                <w:highlight w:val="none"/>
              </w:rPr>
            </w:pPr>
            <w:r>
              <w:rPr>
                <w:rFonts w:hint="eastAsia"/>
                <w:highlight w:val="none"/>
              </w:rPr>
              <w:t>要求包含各专业承包工作</w:t>
            </w:r>
          </w:p>
        </w:tc>
      </w:tr>
      <w:tr w14:paraId="0B85B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A023CC9">
            <w:pPr>
              <w:pStyle w:val="13"/>
              <w:rPr>
                <w:highlight w:val="none"/>
              </w:rPr>
            </w:pPr>
            <w:r>
              <w:rPr>
                <w:rFonts w:hint="eastAsia"/>
                <w:highlight w:val="none"/>
              </w:rPr>
              <w:t>1</w:t>
            </w:r>
            <w:r>
              <w:rPr>
                <w:rFonts w:hint="eastAsia"/>
                <w:highlight w:val="none"/>
                <w:lang w:val="en-US" w:eastAsia="zh-CN"/>
              </w:rPr>
              <w:t>3</w:t>
            </w:r>
            <w:r>
              <w:rPr>
                <w:rFonts w:hint="eastAsia"/>
                <w:highlight w:val="none"/>
              </w:rPr>
              <w:t>.4</w:t>
            </w:r>
          </w:p>
        </w:tc>
        <w:tc>
          <w:tcPr>
            <w:tcW w:w="3274" w:type="dxa"/>
            <w:tcBorders>
              <w:left w:val="single" w:color="auto" w:sz="4" w:space="0"/>
            </w:tcBorders>
            <w:noWrap w:val="0"/>
            <w:vAlign w:val="center"/>
          </w:tcPr>
          <w:p w14:paraId="7178C8FF">
            <w:pPr>
              <w:pStyle w:val="13"/>
              <w:rPr>
                <w:highlight w:val="none"/>
              </w:rPr>
            </w:pPr>
            <w:r>
              <w:rPr>
                <w:rFonts w:hint="eastAsia"/>
                <w:highlight w:val="none"/>
              </w:rPr>
              <w:t>提供反映变更或返工细节的照片。</w:t>
            </w:r>
          </w:p>
        </w:tc>
        <w:tc>
          <w:tcPr>
            <w:tcW w:w="0" w:type="auto"/>
            <w:noWrap w:val="0"/>
            <w:vAlign w:val="center"/>
          </w:tcPr>
          <w:p w14:paraId="38E63341">
            <w:pPr>
              <w:pStyle w:val="13"/>
              <w:rPr>
                <w:highlight w:val="none"/>
              </w:rPr>
            </w:pPr>
            <w:r>
              <w:rPr>
                <w:highlight w:val="none"/>
              </w:rPr>
              <w:sym w:font="Wingdings" w:char="F0FC"/>
            </w:r>
          </w:p>
        </w:tc>
        <w:tc>
          <w:tcPr>
            <w:tcW w:w="0" w:type="auto"/>
            <w:noWrap w:val="0"/>
            <w:vAlign w:val="center"/>
          </w:tcPr>
          <w:p w14:paraId="79CAAF40">
            <w:pPr>
              <w:pStyle w:val="13"/>
              <w:rPr>
                <w:highlight w:val="none"/>
              </w:rPr>
            </w:pPr>
            <w:r>
              <w:rPr>
                <w:highlight w:val="none"/>
              </w:rPr>
              <w:sym w:font="Wingdings" w:char="F0FC"/>
            </w:r>
          </w:p>
        </w:tc>
        <w:tc>
          <w:tcPr>
            <w:tcW w:w="0" w:type="auto"/>
            <w:noWrap w:val="0"/>
            <w:vAlign w:val="center"/>
          </w:tcPr>
          <w:p w14:paraId="6E0355D7">
            <w:pPr>
              <w:pStyle w:val="13"/>
              <w:rPr>
                <w:highlight w:val="none"/>
              </w:rPr>
            </w:pPr>
          </w:p>
        </w:tc>
      </w:tr>
      <w:tr w14:paraId="601CB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6A6065DC">
            <w:pPr>
              <w:pStyle w:val="13"/>
              <w:rPr>
                <w:highlight w:val="none"/>
              </w:rPr>
            </w:pPr>
            <w:r>
              <w:rPr>
                <w:rFonts w:hint="eastAsia"/>
                <w:highlight w:val="none"/>
              </w:rPr>
              <w:t>1</w:t>
            </w:r>
            <w:r>
              <w:rPr>
                <w:rFonts w:hint="eastAsia"/>
                <w:highlight w:val="none"/>
                <w:lang w:val="en-US" w:eastAsia="zh-CN"/>
              </w:rPr>
              <w:t>3</w:t>
            </w:r>
            <w:r>
              <w:rPr>
                <w:rFonts w:hint="eastAsia"/>
                <w:highlight w:val="none"/>
              </w:rPr>
              <w:t>.5</w:t>
            </w:r>
          </w:p>
        </w:tc>
        <w:tc>
          <w:tcPr>
            <w:tcW w:w="3274" w:type="dxa"/>
            <w:tcBorders>
              <w:left w:val="single" w:color="auto" w:sz="4" w:space="0"/>
            </w:tcBorders>
            <w:noWrap w:val="0"/>
            <w:vAlign w:val="center"/>
          </w:tcPr>
          <w:p w14:paraId="298E3F19">
            <w:pPr>
              <w:pStyle w:val="13"/>
              <w:rPr>
                <w:highlight w:val="none"/>
              </w:rPr>
            </w:pPr>
            <w:r>
              <w:rPr>
                <w:rFonts w:hint="eastAsia"/>
                <w:highlight w:val="none"/>
              </w:rPr>
              <w:t>组织、召开、参加现场工作会议，并制作会议纪要。</w:t>
            </w:r>
          </w:p>
        </w:tc>
        <w:tc>
          <w:tcPr>
            <w:tcW w:w="0" w:type="auto"/>
            <w:noWrap w:val="0"/>
            <w:vAlign w:val="center"/>
          </w:tcPr>
          <w:p w14:paraId="5B1A917C">
            <w:pPr>
              <w:pStyle w:val="13"/>
              <w:rPr>
                <w:highlight w:val="none"/>
              </w:rPr>
            </w:pPr>
            <w:r>
              <w:rPr>
                <w:highlight w:val="none"/>
              </w:rPr>
              <w:sym w:font="Wingdings" w:char="F0FC"/>
            </w:r>
          </w:p>
        </w:tc>
        <w:tc>
          <w:tcPr>
            <w:tcW w:w="0" w:type="auto"/>
            <w:noWrap w:val="0"/>
            <w:vAlign w:val="center"/>
          </w:tcPr>
          <w:p w14:paraId="63ABC705">
            <w:pPr>
              <w:pStyle w:val="13"/>
              <w:rPr>
                <w:highlight w:val="none"/>
              </w:rPr>
            </w:pPr>
            <w:r>
              <w:rPr>
                <w:highlight w:val="none"/>
              </w:rPr>
              <w:sym w:font="Wingdings" w:char="F0FC"/>
            </w:r>
          </w:p>
        </w:tc>
        <w:tc>
          <w:tcPr>
            <w:tcW w:w="0" w:type="auto"/>
            <w:noWrap w:val="0"/>
            <w:vAlign w:val="center"/>
          </w:tcPr>
          <w:p w14:paraId="129D62B5">
            <w:pPr>
              <w:pStyle w:val="13"/>
              <w:rPr>
                <w:highlight w:val="none"/>
              </w:rPr>
            </w:pPr>
          </w:p>
        </w:tc>
      </w:tr>
      <w:tr w14:paraId="79E74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11FF5674">
            <w:pPr>
              <w:pStyle w:val="13"/>
              <w:rPr>
                <w:highlight w:val="none"/>
              </w:rPr>
            </w:pPr>
            <w:r>
              <w:rPr>
                <w:rFonts w:hint="eastAsia"/>
                <w:highlight w:val="none"/>
              </w:rPr>
              <w:t>十</w:t>
            </w:r>
            <w:r>
              <w:rPr>
                <w:rFonts w:hint="eastAsia"/>
                <w:highlight w:val="none"/>
                <w:lang w:eastAsia="zh-CN"/>
              </w:rPr>
              <w:t>四</w:t>
            </w:r>
            <w:r>
              <w:rPr>
                <w:rFonts w:hint="eastAsia"/>
                <w:highlight w:val="none"/>
              </w:rPr>
              <w:t>、与大小市政工程接驳</w:t>
            </w:r>
          </w:p>
        </w:tc>
      </w:tr>
      <w:tr w14:paraId="140EC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3FB46DD">
            <w:pPr>
              <w:pStyle w:val="13"/>
              <w:rPr>
                <w:highlight w:val="none"/>
              </w:rPr>
            </w:pPr>
            <w:r>
              <w:rPr>
                <w:rFonts w:hint="eastAsia"/>
                <w:highlight w:val="none"/>
              </w:rPr>
              <w:t>1</w:t>
            </w:r>
            <w:r>
              <w:rPr>
                <w:rFonts w:hint="eastAsia"/>
                <w:highlight w:val="none"/>
                <w:lang w:val="en-US" w:eastAsia="zh-CN"/>
              </w:rPr>
              <w:t>4</w:t>
            </w:r>
            <w:r>
              <w:rPr>
                <w:rFonts w:hint="eastAsia"/>
                <w:highlight w:val="none"/>
              </w:rPr>
              <w:t>.1</w:t>
            </w:r>
          </w:p>
        </w:tc>
        <w:tc>
          <w:tcPr>
            <w:tcW w:w="3274" w:type="dxa"/>
            <w:tcBorders>
              <w:left w:val="single" w:color="auto" w:sz="4" w:space="0"/>
            </w:tcBorders>
            <w:noWrap w:val="0"/>
            <w:vAlign w:val="center"/>
          </w:tcPr>
          <w:p w14:paraId="790CE513">
            <w:pPr>
              <w:pStyle w:val="13"/>
              <w:rPr>
                <w:highlight w:val="none"/>
              </w:rPr>
            </w:pPr>
            <w:r>
              <w:rPr>
                <w:rFonts w:hint="eastAsia"/>
                <w:highlight w:val="none"/>
              </w:rPr>
              <w:t>给水管的干管接驳。</w:t>
            </w:r>
          </w:p>
        </w:tc>
        <w:tc>
          <w:tcPr>
            <w:tcW w:w="0" w:type="auto"/>
            <w:noWrap w:val="0"/>
            <w:vAlign w:val="center"/>
          </w:tcPr>
          <w:p w14:paraId="4F11916B">
            <w:pPr>
              <w:pStyle w:val="13"/>
              <w:rPr>
                <w:highlight w:val="none"/>
              </w:rPr>
            </w:pPr>
            <w:r>
              <w:rPr>
                <w:highlight w:val="none"/>
              </w:rPr>
              <w:sym w:font="Wingdings" w:char="F0FC"/>
            </w:r>
          </w:p>
        </w:tc>
        <w:tc>
          <w:tcPr>
            <w:tcW w:w="0" w:type="auto"/>
            <w:noWrap w:val="0"/>
            <w:vAlign w:val="center"/>
          </w:tcPr>
          <w:p w14:paraId="257978FC">
            <w:pPr>
              <w:pStyle w:val="13"/>
              <w:rPr>
                <w:highlight w:val="none"/>
              </w:rPr>
            </w:pPr>
            <w:r>
              <w:rPr>
                <w:highlight w:val="none"/>
              </w:rPr>
              <w:sym w:font="Wingdings" w:char="F0FC"/>
            </w:r>
          </w:p>
        </w:tc>
        <w:tc>
          <w:tcPr>
            <w:tcW w:w="0" w:type="auto"/>
            <w:noWrap w:val="0"/>
            <w:vAlign w:val="center"/>
          </w:tcPr>
          <w:p w14:paraId="790C1C48">
            <w:pPr>
              <w:pStyle w:val="13"/>
              <w:rPr>
                <w:highlight w:val="none"/>
              </w:rPr>
            </w:pPr>
          </w:p>
        </w:tc>
      </w:tr>
      <w:tr w14:paraId="17161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5E68F63">
            <w:pPr>
              <w:pStyle w:val="13"/>
              <w:rPr>
                <w:highlight w:val="none"/>
              </w:rPr>
            </w:pPr>
            <w:r>
              <w:rPr>
                <w:rFonts w:hint="eastAsia"/>
                <w:highlight w:val="none"/>
              </w:rPr>
              <w:t>1</w:t>
            </w:r>
            <w:r>
              <w:rPr>
                <w:rFonts w:hint="eastAsia"/>
                <w:highlight w:val="none"/>
                <w:lang w:val="en-US" w:eastAsia="zh-CN"/>
              </w:rPr>
              <w:t>4</w:t>
            </w:r>
            <w:r>
              <w:rPr>
                <w:rFonts w:hint="eastAsia"/>
                <w:highlight w:val="none"/>
              </w:rPr>
              <w:t>.2</w:t>
            </w:r>
          </w:p>
        </w:tc>
        <w:tc>
          <w:tcPr>
            <w:tcW w:w="3274" w:type="dxa"/>
            <w:tcBorders>
              <w:left w:val="single" w:color="auto" w:sz="4" w:space="0"/>
            </w:tcBorders>
            <w:noWrap w:val="0"/>
            <w:vAlign w:val="center"/>
          </w:tcPr>
          <w:p w14:paraId="1444B780">
            <w:pPr>
              <w:pStyle w:val="13"/>
              <w:rPr>
                <w:highlight w:val="none"/>
              </w:rPr>
            </w:pPr>
            <w:r>
              <w:rPr>
                <w:rFonts w:hint="eastAsia"/>
                <w:highlight w:val="none"/>
              </w:rPr>
              <w:t>与市政排水系统接驳。</w:t>
            </w:r>
          </w:p>
        </w:tc>
        <w:tc>
          <w:tcPr>
            <w:tcW w:w="0" w:type="auto"/>
            <w:noWrap w:val="0"/>
            <w:vAlign w:val="center"/>
          </w:tcPr>
          <w:p w14:paraId="0C8B0245">
            <w:pPr>
              <w:pStyle w:val="13"/>
              <w:rPr>
                <w:highlight w:val="none"/>
              </w:rPr>
            </w:pPr>
            <w:r>
              <w:rPr>
                <w:highlight w:val="none"/>
              </w:rPr>
              <w:sym w:font="Wingdings" w:char="F0FC"/>
            </w:r>
          </w:p>
        </w:tc>
        <w:tc>
          <w:tcPr>
            <w:tcW w:w="0" w:type="auto"/>
            <w:noWrap w:val="0"/>
            <w:vAlign w:val="center"/>
          </w:tcPr>
          <w:p w14:paraId="33ED183B">
            <w:pPr>
              <w:pStyle w:val="13"/>
              <w:rPr>
                <w:highlight w:val="none"/>
              </w:rPr>
            </w:pPr>
            <w:r>
              <w:rPr>
                <w:highlight w:val="none"/>
              </w:rPr>
              <w:sym w:font="Wingdings" w:char="F0FC"/>
            </w:r>
          </w:p>
        </w:tc>
        <w:tc>
          <w:tcPr>
            <w:tcW w:w="0" w:type="auto"/>
            <w:noWrap w:val="0"/>
            <w:vAlign w:val="center"/>
          </w:tcPr>
          <w:p w14:paraId="6B606DAD">
            <w:pPr>
              <w:pStyle w:val="13"/>
              <w:rPr>
                <w:highlight w:val="none"/>
              </w:rPr>
            </w:pPr>
          </w:p>
        </w:tc>
      </w:tr>
      <w:tr w14:paraId="77C71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18F52B5">
            <w:pPr>
              <w:pStyle w:val="13"/>
              <w:rPr>
                <w:highlight w:val="none"/>
              </w:rPr>
            </w:pPr>
            <w:r>
              <w:rPr>
                <w:rFonts w:hint="eastAsia"/>
                <w:highlight w:val="none"/>
              </w:rPr>
              <w:t>1</w:t>
            </w:r>
            <w:r>
              <w:rPr>
                <w:rFonts w:hint="eastAsia"/>
                <w:highlight w:val="none"/>
                <w:lang w:val="en-US" w:eastAsia="zh-CN"/>
              </w:rPr>
              <w:t>4</w:t>
            </w:r>
            <w:r>
              <w:rPr>
                <w:rFonts w:hint="eastAsia"/>
                <w:highlight w:val="none"/>
              </w:rPr>
              <w:t>.3</w:t>
            </w:r>
          </w:p>
        </w:tc>
        <w:tc>
          <w:tcPr>
            <w:tcW w:w="3274" w:type="dxa"/>
            <w:tcBorders>
              <w:left w:val="single" w:color="auto" w:sz="4" w:space="0"/>
            </w:tcBorders>
            <w:noWrap w:val="0"/>
            <w:vAlign w:val="center"/>
          </w:tcPr>
          <w:p w14:paraId="62EDF8AD">
            <w:pPr>
              <w:pStyle w:val="13"/>
              <w:rPr>
                <w:highlight w:val="none"/>
              </w:rPr>
            </w:pPr>
            <w:r>
              <w:rPr>
                <w:rFonts w:hint="eastAsia"/>
                <w:highlight w:val="none"/>
              </w:rPr>
              <w:t>高压电缆接驳。</w:t>
            </w:r>
          </w:p>
        </w:tc>
        <w:tc>
          <w:tcPr>
            <w:tcW w:w="0" w:type="auto"/>
            <w:noWrap w:val="0"/>
            <w:vAlign w:val="center"/>
          </w:tcPr>
          <w:p w14:paraId="0FE20CE6">
            <w:pPr>
              <w:pStyle w:val="13"/>
              <w:rPr>
                <w:highlight w:val="none"/>
              </w:rPr>
            </w:pPr>
            <w:r>
              <w:rPr>
                <w:highlight w:val="none"/>
              </w:rPr>
              <w:sym w:font="Wingdings" w:char="F0FC"/>
            </w:r>
          </w:p>
        </w:tc>
        <w:tc>
          <w:tcPr>
            <w:tcW w:w="0" w:type="auto"/>
            <w:noWrap w:val="0"/>
            <w:vAlign w:val="center"/>
          </w:tcPr>
          <w:p w14:paraId="7A646160">
            <w:pPr>
              <w:pStyle w:val="13"/>
              <w:rPr>
                <w:highlight w:val="none"/>
              </w:rPr>
            </w:pPr>
          </w:p>
        </w:tc>
        <w:tc>
          <w:tcPr>
            <w:tcW w:w="0" w:type="auto"/>
            <w:noWrap w:val="0"/>
            <w:vAlign w:val="center"/>
          </w:tcPr>
          <w:p w14:paraId="6669E303">
            <w:pPr>
              <w:pStyle w:val="13"/>
              <w:rPr>
                <w:highlight w:val="none"/>
              </w:rPr>
            </w:pPr>
          </w:p>
        </w:tc>
      </w:tr>
      <w:tr w14:paraId="72780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7C96096">
            <w:pPr>
              <w:pStyle w:val="13"/>
              <w:rPr>
                <w:highlight w:val="none"/>
              </w:rPr>
            </w:pPr>
            <w:r>
              <w:rPr>
                <w:rFonts w:hint="eastAsia"/>
                <w:highlight w:val="none"/>
              </w:rPr>
              <w:t>1</w:t>
            </w:r>
            <w:r>
              <w:rPr>
                <w:rFonts w:hint="eastAsia"/>
                <w:highlight w:val="none"/>
                <w:lang w:val="en-US" w:eastAsia="zh-CN"/>
              </w:rPr>
              <w:t>4</w:t>
            </w:r>
            <w:r>
              <w:rPr>
                <w:rFonts w:hint="eastAsia"/>
                <w:highlight w:val="none"/>
              </w:rPr>
              <w:t>.4</w:t>
            </w:r>
          </w:p>
        </w:tc>
        <w:tc>
          <w:tcPr>
            <w:tcW w:w="3274" w:type="dxa"/>
            <w:tcBorders>
              <w:left w:val="single" w:color="auto" w:sz="4" w:space="0"/>
            </w:tcBorders>
            <w:noWrap w:val="0"/>
            <w:vAlign w:val="center"/>
          </w:tcPr>
          <w:p w14:paraId="2A0315FC">
            <w:pPr>
              <w:pStyle w:val="13"/>
              <w:rPr>
                <w:highlight w:val="none"/>
              </w:rPr>
            </w:pPr>
            <w:r>
              <w:rPr>
                <w:rFonts w:hint="eastAsia"/>
                <w:highlight w:val="none"/>
              </w:rPr>
              <w:t>其他有关市政配套接驳。</w:t>
            </w:r>
          </w:p>
        </w:tc>
        <w:tc>
          <w:tcPr>
            <w:tcW w:w="0" w:type="auto"/>
            <w:noWrap w:val="0"/>
            <w:vAlign w:val="center"/>
          </w:tcPr>
          <w:p w14:paraId="32EDA8B1">
            <w:pPr>
              <w:pStyle w:val="13"/>
              <w:rPr>
                <w:highlight w:val="none"/>
              </w:rPr>
            </w:pPr>
            <w:r>
              <w:rPr>
                <w:highlight w:val="none"/>
              </w:rPr>
              <w:sym w:font="Wingdings" w:char="F0FC"/>
            </w:r>
          </w:p>
        </w:tc>
        <w:tc>
          <w:tcPr>
            <w:tcW w:w="0" w:type="auto"/>
            <w:noWrap w:val="0"/>
            <w:vAlign w:val="center"/>
          </w:tcPr>
          <w:p w14:paraId="46C70E46">
            <w:pPr>
              <w:pStyle w:val="13"/>
              <w:rPr>
                <w:highlight w:val="none"/>
              </w:rPr>
            </w:pPr>
            <w:r>
              <w:rPr>
                <w:highlight w:val="none"/>
              </w:rPr>
              <w:sym w:font="Wingdings" w:char="F0FC"/>
            </w:r>
          </w:p>
        </w:tc>
        <w:tc>
          <w:tcPr>
            <w:tcW w:w="0" w:type="auto"/>
            <w:noWrap w:val="0"/>
            <w:vAlign w:val="center"/>
          </w:tcPr>
          <w:p w14:paraId="62C1946F">
            <w:pPr>
              <w:pStyle w:val="13"/>
              <w:rPr>
                <w:highlight w:val="none"/>
              </w:rPr>
            </w:pPr>
          </w:p>
        </w:tc>
      </w:tr>
      <w:tr w14:paraId="55D6A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535594E2">
            <w:pPr>
              <w:pStyle w:val="13"/>
              <w:rPr>
                <w:highlight w:val="none"/>
              </w:rPr>
            </w:pPr>
            <w:r>
              <w:rPr>
                <w:rFonts w:hint="eastAsia"/>
                <w:highlight w:val="none"/>
              </w:rPr>
              <w:t>十</w:t>
            </w:r>
            <w:r>
              <w:rPr>
                <w:rFonts w:hint="eastAsia"/>
                <w:highlight w:val="none"/>
                <w:lang w:eastAsia="zh-CN"/>
              </w:rPr>
              <w:t>五</w:t>
            </w:r>
            <w:r>
              <w:rPr>
                <w:rFonts w:hint="eastAsia"/>
                <w:highlight w:val="none"/>
              </w:rPr>
              <w:t>、与政府间</w:t>
            </w:r>
            <w:r>
              <w:rPr>
                <w:highlight w:val="none"/>
              </w:rPr>
              <w:t>协调</w:t>
            </w:r>
          </w:p>
        </w:tc>
      </w:tr>
      <w:tr w14:paraId="3388D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7A2BD64">
            <w:pPr>
              <w:pStyle w:val="13"/>
              <w:rPr>
                <w:highlight w:val="none"/>
              </w:rPr>
            </w:pPr>
            <w:r>
              <w:rPr>
                <w:rFonts w:hint="eastAsia"/>
                <w:highlight w:val="none"/>
              </w:rPr>
              <w:t>1</w:t>
            </w:r>
            <w:r>
              <w:rPr>
                <w:rFonts w:hint="eastAsia"/>
                <w:highlight w:val="none"/>
                <w:lang w:val="en-US" w:eastAsia="zh-CN"/>
              </w:rPr>
              <w:t>5</w:t>
            </w:r>
            <w:r>
              <w:rPr>
                <w:rFonts w:hint="eastAsia"/>
                <w:highlight w:val="none"/>
              </w:rPr>
              <w:t>.1</w:t>
            </w:r>
          </w:p>
        </w:tc>
        <w:tc>
          <w:tcPr>
            <w:tcW w:w="3274" w:type="dxa"/>
            <w:tcBorders>
              <w:left w:val="single" w:color="auto" w:sz="4" w:space="0"/>
            </w:tcBorders>
            <w:noWrap w:val="0"/>
            <w:vAlign w:val="center"/>
          </w:tcPr>
          <w:p w14:paraId="73FB827E">
            <w:pPr>
              <w:pStyle w:val="13"/>
              <w:rPr>
                <w:highlight w:val="none"/>
              </w:rPr>
            </w:pPr>
            <w:r>
              <w:rPr>
                <w:rFonts w:hint="eastAsia"/>
                <w:highlight w:val="none"/>
              </w:rPr>
              <w:t>整个项目的外部协调与沟通，包括但不限于统一与质监站、居/管委会、</w:t>
            </w:r>
            <w:r>
              <w:rPr>
                <w:highlight w:val="none"/>
              </w:rPr>
              <w:t>城管</w:t>
            </w:r>
            <w:r>
              <w:rPr>
                <w:rFonts w:hint="eastAsia"/>
                <w:highlight w:val="none"/>
              </w:rPr>
              <w:t>等政府部门的日常工作联系和接洽，协调过程中可要求相关专业承包人参加和协助。</w:t>
            </w:r>
          </w:p>
        </w:tc>
        <w:tc>
          <w:tcPr>
            <w:tcW w:w="0" w:type="auto"/>
            <w:noWrap w:val="0"/>
            <w:vAlign w:val="center"/>
          </w:tcPr>
          <w:p w14:paraId="6B4A6080">
            <w:pPr>
              <w:pStyle w:val="13"/>
              <w:rPr>
                <w:highlight w:val="none"/>
              </w:rPr>
            </w:pPr>
            <w:r>
              <w:rPr>
                <w:highlight w:val="none"/>
              </w:rPr>
              <w:sym w:font="Wingdings" w:char="F0FC"/>
            </w:r>
          </w:p>
        </w:tc>
        <w:tc>
          <w:tcPr>
            <w:tcW w:w="0" w:type="auto"/>
            <w:noWrap w:val="0"/>
            <w:vAlign w:val="center"/>
          </w:tcPr>
          <w:p w14:paraId="1B8AC220">
            <w:pPr>
              <w:pStyle w:val="13"/>
              <w:rPr>
                <w:highlight w:val="none"/>
              </w:rPr>
            </w:pPr>
            <w:r>
              <w:rPr>
                <w:rFonts w:hint="eastAsia"/>
                <w:highlight w:val="none"/>
              </w:rPr>
              <w:t>配合</w:t>
            </w:r>
          </w:p>
        </w:tc>
        <w:tc>
          <w:tcPr>
            <w:tcW w:w="0" w:type="auto"/>
            <w:noWrap w:val="0"/>
            <w:vAlign w:val="center"/>
          </w:tcPr>
          <w:p w14:paraId="6761A477">
            <w:pPr>
              <w:pStyle w:val="13"/>
              <w:rPr>
                <w:highlight w:val="none"/>
              </w:rPr>
            </w:pPr>
          </w:p>
        </w:tc>
      </w:tr>
      <w:tr w14:paraId="57595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2B435521">
            <w:pPr>
              <w:pStyle w:val="13"/>
              <w:rPr>
                <w:highlight w:val="none"/>
              </w:rPr>
            </w:pPr>
            <w:r>
              <w:rPr>
                <w:rFonts w:hint="eastAsia"/>
                <w:highlight w:val="none"/>
              </w:rPr>
              <w:t>1</w:t>
            </w:r>
            <w:r>
              <w:rPr>
                <w:rFonts w:hint="eastAsia"/>
                <w:highlight w:val="none"/>
                <w:lang w:val="en-US" w:eastAsia="zh-CN"/>
              </w:rPr>
              <w:t>5</w:t>
            </w:r>
            <w:r>
              <w:rPr>
                <w:rFonts w:hint="eastAsia"/>
                <w:highlight w:val="none"/>
              </w:rPr>
              <w:t>.2</w:t>
            </w:r>
          </w:p>
        </w:tc>
        <w:tc>
          <w:tcPr>
            <w:tcW w:w="3274" w:type="dxa"/>
            <w:tcBorders>
              <w:left w:val="single" w:color="auto" w:sz="4" w:space="0"/>
            </w:tcBorders>
            <w:noWrap w:val="0"/>
            <w:vAlign w:val="center"/>
          </w:tcPr>
          <w:p w14:paraId="1E8EAB64">
            <w:pPr>
              <w:pStyle w:val="13"/>
              <w:rPr>
                <w:highlight w:val="none"/>
              </w:rPr>
            </w:pPr>
            <w:r>
              <w:rPr>
                <w:rFonts w:hint="eastAsia"/>
                <w:highlight w:val="none"/>
              </w:rPr>
              <w:t>与工程有关的可能对环境产生影响</w:t>
            </w:r>
            <w:r>
              <w:rPr>
                <w:highlight w:val="none"/>
              </w:rPr>
              <w:t>(</w:t>
            </w:r>
            <w:r>
              <w:rPr>
                <w:rFonts w:hint="eastAsia"/>
                <w:highlight w:val="none"/>
              </w:rPr>
              <w:t>噪声、灰尘</w:t>
            </w:r>
            <w:r>
              <w:rPr>
                <w:highlight w:val="none"/>
              </w:rPr>
              <w:t>)</w:t>
            </w:r>
            <w:r>
              <w:rPr>
                <w:rFonts w:hint="eastAsia"/>
                <w:highlight w:val="none"/>
              </w:rPr>
              <w:t xml:space="preserve"> 等项目的控制与协调。</w:t>
            </w:r>
          </w:p>
        </w:tc>
        <w:tc>
          <w:tcPr>
            <w:tcW w:w="0" w:type="auto"/>
            <w:noWrap w:val="0"/>
            <w:vAlign w:val="center"/>
          </w:tcPr>
          <w:p w14:paraId="6EE4A4A7">
            <w:pPr>
              <w:pStyle w:val="13"/>
              <w:rPr>
                <w:highlight w:val="none"/>
              </w:rPr>
            </w:pPr>
            <w:r>
              <w:rPr>
                <w:highlight w:val="none"/>
              </w:rPr>
              <w:sym w:font="Wingdings" w:char="F0FC"/>
            </w:r>
          </w:p>
        </w:tc>
        <w:tc>
          <w:tcPr>
            <w:tcW w:w="0" w:type="auto"/>
            <w:noWrap w:val="0"/>
            <w:vAlign w:val="center"/>
          </w:tcPr>
          <w:p w14:paraId="75C4F13E">
            <w:pPr>
              <w:pStyle w:val="13"/>
              <w:rPr>
                <w:highlight w:val="none"/>
              </w:rPr>
            </w:pPr>
            <w:r>
              <w:rPr>
                <w:rFonts w:hint="eastAsia"/>
                <w:highlight w:val="none"/>
              </w:rPr>
              <w:t>配合</w:t>
            </w:r>
          </w:p>
        </w:tc>
        <w:tc>
          <w:tcPr>
            <w:tcW w:w="0" w:type="auto"/>
            <w:noWrap w:val="0"/>
            <w:vAlign w:val="center"/>
          </w:tcPr>
          <w:p w14:paraId="7509431C">
            <w:pPr>
              <w:pStyle w:val="13"/>
              <w:rPr>
                <w:highlight w:val="none"/>
              </w:rPr>
            </w:pPr>
          </w:p>
        </w:tc>
      </w:tr>
      <w:tr w14:paraId="2A04F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5B3D0EA7">
            <w:pPr>
              <w:pStyle w:val="13"/>
              <w:rPr>
                <w:highlight w:val="none"/>
              </w:rPr>
            </w:pPr>
            <w:r>
              <w:rPr>
                <w:rFonts w:hint="eastAsia"/>
                <w:highlight w:val="none"/>
              </w:rPr>
              <w:t>十</w:t>
            </w:r>
            <w:r>
              <w:rPr>
                <w:rFonts w:hint="eastAsia"/>
                <w:highlight w:val="none"/>
                <w:lang w:eastAsia="zh-CN"/>
              </w:rPr>
              <w:t>六</w:t>
            </w:r>
            <w:r>
              <w:rPr>
                <w:rFonts w:hint="eastAsia"/>
                <w:highlight w:val="none"/>
              </w:rPr>
              <w:t>、其它照管工作</w:t>
            </w:r>
          </w:p>
        </w:tc>
      </w:tr>
      <w:tr w14:paraId="5062E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3A623552">
            <w:pPr>
              <w:pStyle w:val="13"/>
              <w:rPr>
                <w:highlight w:val="none"/>
              </w:rPr>
            </w:pPr>
            <w:r>
              <w:rPr>
                <w:rFonts w:hint="eastAsia"/>
                <w:highlight w:val="none"/>
              </w:rPr>
              <w:t>1</w:t>
            </w:r>
            <w:r>
              <w:rPr>
                <w:rFonts w:hint="eastAsia"/>
                <w:highlight w:val="none"/>
                <w:lang w:val="en-US" w:eastAsia="zh-CN"/>
              </w:rPr>
              <w:t>6</w:t>
            </w:r>
            <w:r>
              <w:rPr>
                <w:rFonts w:hint="eastAsia"/>
                <w:highlight w:val="none"/>
              </w:rPr>
              <w:t>.1</w:t>
            </w:r>
          </w:p>
        </w:tc>
        <w:tc>
          <w:tcPr>
            <w:tcW w:w="3274" w:type="dxa"/>
            <w:tcBorders>
              <w:left w:val="single" w:color="auto" w:sz="4" w:space="0"/>
            </w:tcBorders>
            <w:noWrap w:val="0"/>
            <w:vAlign w:val="center"/>
          </w:tcPr>
          <w:p w14:paraId="4A7140C8">
            <w:pPr>
              <w:pStyle w:val="13"/>
              <w:rPr>
                <w:highlight w:val="none"/>
              </w:rPr>
            </w:pPr>
            <w:r>
              <w:rPr>
                <w:rFonts w:hint="eastAsia"/>
                <w:highlight w:val="none"/>
              </w:rPr>
              <w:t>工程施工完至竣工验收后正式移交发包人期间的全部照管及成品保护工作。</w:t>
            </w:r>
          </w:p>
        </w:tc>
        <w:tc>
          <w:tcPr>
            <w:tcW w:w="0" w:type="auto"/>
            <w:noWrap w:val="0"/>
            <w:vAlign w:val="center"/>
          </w:tcPr>
          <w:p w14:paraId="2EFB18D2">
            <w:pPr>
              <w:pStyle w:val="13"/>
              <w:rPr>
                <w:highlight w:val="none"/>
              </w:rPr>
            </w:pPr>
            <w:r>
              <w:rPr>
                <w:highlight w:val="none"/>
              </w:rPr>
              <w:sym w:font="Wingdings" w:char="F0FC"/>
            </w:r>
          </w:p>
        </w:tc>
        <w:tc>
          <w:tcPr>
            <w:tcW w:w="0" w:type="auto"/>
            <w:noWrap w:val="0"/>
            <w:vAlign w:val="center"/>
          </w:tcPr>
          <w:p w14:paraId="4E483770">
            <w:pPr>
              <w:pStyle w:val="13"/>
              <w:rPr>
                <w:highlight w:val="none"/>
              </w:rPr>
            </w:pPr>
            <w:r>
              <w:rPr>
                <w:highlight w:val="none"/>
              </w:rPr>
              <w:sym w:font="Wingdings" w:char="F0FC"/>
            </w:r>
          </w:p>
        </w:tc>
        <w:tc>
          <w:tcPr>
            <w:tcW w:w="0" w:type="auto"/>
            <w:noWrap w:val="0"/>
            <w:vAlign w:val="center"/>
          </w:tcPr>
          <w:p w14:paraId="3028CF2E">
            <w:pPr>
              <w:pStyle w:val="13"/>
              <w:rPr>
                <w:highlight w:val="none"/>
              </w:rPr>
            </w:pPr>
            <w:r>
              <w:rPr>
                <w:rFonts w:hint="eastAsia"/>
                <w:highlight w:val="none"/>
              </w:rPr>
              <w:t>承担各自合同范围的工作的照管及保护</w:t>
            </w:r>
          </w:p>
        </w:tc>
      </w:tr>
      <w:tr w14:paraId="527F6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5DCBDB3">
            <w:pPr>
              <w:pStyle w:val="13"/>
              <w:rPr>
                <w:highlight w:val="none"/>
              </w:rPr>
            </w:pPr>
            <w:r>
              <w:rPr>
                <w:rFonts w:hint="eastAsia"/>
                <w:highlight w:val="none"/>
              </w:rPr>
              <w:t>1</w:t>
            </w:r>
            <w:r>
              <w:rPr>
                <w:rFonts w:hint="eastAsia"/>
                <w:highlight w:val="none"/>
                <w:lang w:val="en-US" w:eastAsia="zh-CN"/>
              </w:rPr>
              <w:t>6</w:t>
            </w:r>
            <w:r>
              <w:rPr>
                <w:rFonts w:hint="eastAsia"/>
                <w:highlight w:val="none"/>
              </w:rPr>
              <w:t>.2</w:t>
            </w:r>
          </w:p>
        </w:tc>
        <w:tc>
          <w:tcPr>
            <w:tcW w:w="3274" w:type="dxa"/>
            <w:tcBorders>
              <w:left w:val="single" w:color="auto" w:sz="4" w:space="0"/>
            </w:tcBorders>
            <w:noWrap w:val="0"/>
            <w:vAlign w:val="center"/>
          </w:tcPr>
          <w:p w14:paraId="1879AB2E">
            <w:pPr>
              <w:pStyle w:val="13"/>
              <w:rPr>
                <w:highlight w:val="none"/>
              </w:rPr>
            </w:pPr>
            <w:r>
              <w:rPr>
                <w:rFonts w:hint="eastAsia"/>
                <w:highlight w:val="none"/>
              </w:rPr>
              <w:t>需及时移交工作面，移交时间和标准需获得发包人认可。</w:t>
            </w:r>
          </w:p>
        </w:tc>
        <w:tc>
          <w:tcPr>
            <w:tcW w:w="0" w:type="auto"/>
            <w:noWrap w:val="0"/>
            <w:vAlign w:val="center"/>
          </w:tcPr>
          <w:p w14:paraId="0BE17C8D">
            <w:pPr>
              <w:pStyle w:val="13"/>
              <w:rPr>
                <w:highlight w:val="none"/>
              </w:rPr>
            </w:pPr>
            <w:r>
              <w:rPr>
                <w:highlight w:val="none"/>
              </w:rPr>
              <w:sym w:font="Wingdings" w:char="F0FC"/>
            </w:r>
          </w:p>
        </w:tc>
        <w:tc>
          <w:tcPr>
            <w:tcW w:w="0" w:type="auto"/>
            <w:noWrap w:val="0"/>
            <w:vAlign w:val="center"/>
          </w:tcPr>
          <w:p w14:paraId="40EC6B0F">
            <w:pPr>
              <w:pStyle w:val="13"/>
              <w:rPr>
                <w:highlight w:val="none"/>
              </w:rPr>
            </w:pPr>
            <w:r>
              <w:rPr>
                <w:highlight w:val="none"/>
              </w:rPr>
              <w:sym w:font="Wingdings" w:char="F0FC"/>
            </w:r>
          </w:p>
        </w:tc>
        <w:tc>
          <w:tcPr>
            <w:tcW w:w="0" w:type="auto"/>
            <w:noWrap w:val="0"/>
            <w:vAlign w:val="center"/>
          </w:tcPr>
          <w:p w14:paraId="6E6C638C">
            <w:pPr>
              <w:pStyle w:val="13"/>
              <w:rPr>
                <w:highlight w:val="none"/>
              </w:rPr>
            </w:pPr>
          </w:p>
        </w:tc>
      </w:tr>
      <w:tr w14:paraId="2BD0E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7A13191">
            <w:pPr>
              <w:pStyle w:val="13"/>
              <w:rPr>
                <w:rFonts w:hint="eastAsia" w:eastAsia="宋体"/>
                <w:highlight w:val="none"/>
                <w:lang w:val="en-US" w:eastAsia="zh-CN"/>
              </w:rPr>
            </w:pPr>
            <w:r>
              <w:rPr>
                <w:rFonts w:hint="eastAsia"/>
                <w:highlight w:val="none"/>
              </w:rPr>
              <w:t>1</w:t>
            </w:r>
            <w:r>
              <w:rPr>
                <w:rFonts w:hint="eastAsia"/>
                <w:highlight w:val="none"/>
                <w:lang w:val="en-US" w:eastAsia="zh-CN"/>
              </w:rPr>
              <w:t>6</w:t>
            </w:r>
            <w:r>
              <w:rPr>
                <w:rFonts w:hint="eastAsia"/>
                <w:highlight w:val="none"/>
              </w:rPr>
              <w:t>.</w:t>
            </w:r>
            <w:r>
              <w:rPr>
                <w:rFonts w:hint="eastAsia"/>
                <w:highlight w:val="none"/>
                <w:lang w:val="en-US" w:eastAsia="zh-CN"/>
              </w:rPr>
              <w:t>3</w:t>
            </w:r>
          </w:p>
        </w:tc>
        <w:tc>
          <w:tcPr>
            <w:tcW w:w="3274" w:type="dxa"/>
            <w:tcBorders>
              <w:left w:val="single" w:color="auto" w:sz="4" w:space="0"/>
            </w:tcBorders>
            <w:noWrap w:val="0"/>
            <w:vAlign w:val="center"/>
          </w:tcPr>
          <w:p w14:paraId="7BBBAB26">
            <w:pPr>
              <w:pStyle w:val="13"/>
              <w:rPr>
                <w:highlight w:val="none"/>
              </w:rPr>
            </w:pPr>
            <w:r>
              <w:rPr>
                <w:rFonts w:hint="eastAsia"/>
                <w:highlight w:val="none"/>
              </w:rPr>
              <w:t>负责专业承包人/独立承包人工程的招投标备案及审批手续。</w:t>
            </w:r>
          </w:p>
        </w:tc>
        <w:tc>
          <w:tcPr>
            <w:tcW w:w="0" w:type="auto"/>
            <w:noWrap w:val="0"/>
            <w:vAlign w:val="center"/>
          </w:tcPr>
          <w:p w14:paraId="5E489729">
            <w:pPr>
              <w:pStyle w:val="13"/>
              <w:rPr>
                <w:highlight w:val="none"/>
              </w:rPr>
            </w:pPr>
            <w:r>
              <w:rPr>
                <w:highlight w:val="none"/>
              </w:rPr>
              <w:sym w:font="Wingdings" w:char="F0FC"/>
            </w:r>
          </w:p>
        </w:tc>
        <w:tc>
          <w:tcPr>
            <w:tcW w:w="0" w:type="auto"/>
            <w:noWrap w:val="0"/>
            <w:vAlign w:val="center"/>
          </w:tcPr>
          <w:p w14:paraId="6FD4806A">
            <w:pPr>
              <w:pStyle w:val="13"/>
              <w:rPr>
                <w:highlight w:val="none"/>
              </w:rPr>
            </w:pPr>
            <w:r>
              <w:rPr>
                <w:rFonts w:hint="eastAsia"/>
                <w:highlight w:val="none"/>
              </w:rPr>
              <w:t>配合</w:t>
            </w:r>
          </w:p>
        </w:tc>
        <w:tc>
          <w:tcPr>
            <w:tcW w:w="0" w:type="auto"/>
            <w:noWrap w:val="0"/>
            <w:vAlign w:val="center"/>
          </w:tcPr>
          <w:p w14:paraId="6C5B9B1E">
            <w:pPr>
              <w:pStyle w:val="13"/>
              <w:rPr>
                <w:highlight w:val="none"/>
              </w:rPr>
            </w:pPr>
          </w:p>
        </w:tc>
      </w:tr>
      <w:tr w14:paraId="7438A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1F12F7B5">
            <w:pPr>
              <w:pStyle w:val="13"/>
              <w:rPr>
                <w:rFonts w:hint="eastAsia" w:eastAsia="宋体"/>
                <w:highlight w:val="none"/>
                <w:lang w:val="en-US" w:eastAsia="zh-CN"/>
              </w:rPr>
            </w:pPr>
            <w:r>
              <w:rPr>
                <w:rFonts w:hint="eastAsia"/>
                <w:highlight w:val="none"/>
              </w:rPr>
              <w:t>1</w:t>
            </w:r>
            <w:r>
              <w:rPr>
                <w:rFonts w:hint="eastAsia"/>
                <w:highlight w:val="none"/>
                <w:lang w:val="en-US" w:eastAsia="zh-CN"/>
              </w:rPr>
              <w:t>6</w:t>
            </w:r>
            <w:r>
              <w:rPr>
                <w:rFonts w:hint="eastAsia"/>
                <w:highlight w:val="none"/>
              </w:rPr>
              <w:t>.</w:t>
            </w:r>
            <w:r>
              <w:rPr>
                <w:rFonts w:hint="eastAsia"/>
                <w:highlight w:val="none"/>
                <w:lang w:val="en-US" w:eastAsia="zh-CN"/>
              </w:rPr>
              <w:t>4</w:t>
            </w:r>
          </w:p>
        </w:tc>
        <w:tc>
          <w:tcPr>
            <w:tcW w:w="3274" w:type="dxa"/>
            <w:tcBorders>
              <w:left w:val="single" w:color="auto" w:sz="4" w:space="0"/>
            </w:tcBorders>
            <w:noWrap w:val="0"/>
            <w:vAlign w:val="center"/>
          </w:tcPr>
          <w:p w14:paraId="76D13713">
            <w:pPr>
              <w:pStyle w:val="13"/>
              <w:rPr>
                <w:highlight w:val="none"/>
              </w:rPr>
            </w:pPr>
            <w:r>
              <w:rPr>
                <w:rFonts w:hint="eastAsia"/>
                <w:highlight w:val="none"/>
              </w:rPr>
              <w:t>配合发包人对专业承包人的合同及</w:t>
            </w:r>
            <w:r>
              <w:rPr>
                <w:highlight w:val="none"/>
              </w:rPr>
              <w:t>有关文件</w:t>
            </w:r>
            <w:r>
              <w:rPr>
                <w:rFonts w:hint="eastAsia"/>
                <w:highlight w:val="none"/>
              </w:rPr>
              <w:t>签订的工作。</w:t>
            </w:r>
          </w:p>
        </w:tc>
        <w:tc>
          <w:tcPr>
            <w:tcW w:w="0" w:type="auto"/>
            <w:noWrap w:val="0"/>
            <w:vAlign w:val="center"/>
          </w:tcPr>
          <w:p w14:paraId="64D5E33C">
            <w:pPr>
              <w:pStyle w:val="13"/>
              <w:rPr>
                <w:highlight w:val="none"/>
              </w:rPr>
            </w:pPr>
            <w:r>
              <w:rPr>
                <w:highlight w:val="none"/>
              </w:rPr>
              <w:sym w:font="Wingdings" w:char="F0FC"/>
            </w:r>
          </w:p>
        </w:tc>
        <w:tc>
          <w:tcPr>
            <w:tcW w:w="0" w:type="auto"/>
            <w:noWrap w:val="0"/>
            <w:vAlign w:val="center"/>
          </w:tcPr>
          <w:p w14:paraId="5296A803">
            <w:pPr>
              <w:pStyle w:val="13"/>
              <w:rPr>
                <w:highlight w:val="none"/>
              </w:rPr>
            </w:pPr>
          </w:p>
        </w:tc>
        <w:tc>
          <w:tcPr>
            <w:tcW w:w="0" w:type="auto"/>
            <w:noWrap w:val="0"/>
            <w:vAlign w:val="center"/>
          </w:tcPr>
          <w:p w14:paraId="1E764BC4">
            <w:pPr>
              <w:pStyle w:val="13"/>
              <w:rPr>
                <w:highlight w:val="none"/>
              </w:rPr>
            </w:pPr>
          </w:p>
        </w:tc>
      </w:tr>
      <w:tr w14:paraId="25125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DF16A2F">
            <w:pPr>
              <w:pStyle w:val="13"/>
              <w:rPr>
                <w:rFonts w:hint="eastAsia" w:eastAsia="宋体"/>
                <w:highlight w:val="none"/>
                <w:lang w:val="en-US" w:eastAsia="zh-CN"/>
              </w:rPr>
            </w:pPr>
            <w:r>
              <w:rPr>
                <w:rFonts w:hint="eastAsia"/>
                <w:highlight w:val="none"/>
              </w:rPr>
              <w:t>1</w:t>
            </w:r>
            <w:r>
              <w:rPr>
                <w:rFonts w:hint="eastAsia"/>
                <w:highlight w:val="none"/>
                <w:lang w:val="en-US" w:eastAsia="zh-CN"/>
              </w:rPr>
              <w:t>6</w:t>
            </w:r>
            <w:r>
              <w:rPr>
                <w:rFonts w:hint="eastAsia"/>
                <w:highlight w:val="none"/>
              </w:rPr>
              <w:t>.</w:t>
            </w:r>
            <w:r>
              <w:rPr>
                <w:rFonts w:hint="eastAsia"/>
                <w:highlight w:val="none"/>
                <w:lang w:val="en-US" w:eastAsia="zh-CN"/>
              </w:rPr>
              <w:t>5</w:t>
            </w:r>
          </w:p>
        </w:tc>
        <w:tc>
          <w:tcPr>
            <w:tcW w:w="3274" w:type="dxa"/>
            <w:tcBorders>
              <w:left w:val="single" w:color="auto" w:sz="4" w:space="0"/>
            </w:tcBorders>
            <w:noWrap w:val="0"/>
            <w:vAlign w:val="center"/>
          </w:tcPr>
          <w:p w14:paraId="05B1594D">
            <w:pPr>
              <w:pStyle w:val="13"/>
              <w:rPr>
                <w:highlight w:val="none"/>
              </w:rPr>
            </w:pPr>
            <w:r>
              <w:rPr>
                <w:rFonts w:hint="eastAsia"/>
                <w:highlight w:val="none"/>
              </w:rPr>
              <w:t>专业承包人/独立承包人工程之</w:t>
            </w:r>
            <w:r>
              <w:rPr>
                <w:highlight w:val="none"/>
              </w:rPr>
              <w:t>测试、调校、试运行</w:t>
            </w:r>
            <w:r>
              <w:rPr>
                <w:rFonts w:hint="eastAsia"/>
                <w:highlight w:val="none"/>
              </w:rPr>
              <w:t>。</w:t>
            </w:r>
          </w:p>
        </w:tc>
        <w:tc>
          <w:tcPr>
            <w:tcW w:w="0" w:type="auto"/>
            <w:noWrap w:val="0"/>
            <w:vAlign w:val="center"/>
          </w:tcPr>
          <w:p w14:paraId="292F54E8">
            <w:pPr>
              <w:pStyle w:val="13"/>
              <w:rPr>
                <w:highlight w:val="none"/>
              </w:rPr>
            </w:pPr>
            <w:r>
              <w:rPr>
                <w:rFonts w:hint="eastAsia"/>
                <w:highlight w:val="none"/>
              </w:rPr>
              <w:t>配合协调</w:t>
            </w:r>
          </w:p>
        </w:tc>
        <w:tc>
          <w:tcPr>
            <w:tcW w:w="0" w:type="auto"/>
            <w:noWrap w:val="0"/>
            <w:vAlign w:val="center"/>
          </w:tcPr>
          <w:p w14:paraId="64A37A09">
            <w:pPr>
              <w:pStyle w:val="13"/>
              <w:rPr>
                <w:highlight w:val="none"/>
              </w:rPr>
            </w:pPr>
            <w:r>
              <w:rPr>
                <w:highlight w:val="none"/>
              </w:rPr>
              <w:sym w:font="Wingdings" w:char="F0FC"/>
            </w:r>
          </w:p>
        </w:tc>
        <w:tc>
          <w:tcPr>
            <w:tcW w:w="0" w:type="auto"/>
            <w:noWrap w:val="0"/>
            <w:vAlign w:val="center"/>
          </w:tcPr>
          <w:p w14:paraId="7BADED78">
            <w:pPr>
              <w:pStyle w:val="13"/>
              <w:rPr>
                <w:highlight w:val="none"/>
              </w:rPr>
            </w:pPr>
          </w:p>
        </w:tc>
      </w:tr>
      <w:tr w14:paraId="03027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ED15447">
            <w:pPr>
              <w:pStyle w:val="13"/>
              <w:rPr>
                <w:rFonts w:hint="eastAsia" w:eastAsia="宋体"/>
                <w:highlight w:val="none"/>
                <w:lang w:val="en-US" w:eastAsia="zh-CN"/>
              </w:rPr>
            </w:pPr>
            <w:r>
              <w:rPr>
                <w:rFonts w:hint="eastAsia"/>
                <w:highlight w:val="none"/>
              </w:rPr>
              <w:t>1</w:t>
            </w:r>
            <w:r>
              <w:rPr>
                <w:rFonts w:hint="eastAsia"/>
                <w:highlight w:val="none"/>
                <w:lang w:val="en-US" w:eastAsia="zh-CN"/>
              </w:rPr>
              <w:t>6</w:t>
            </w:r>
            <w:r>
              <w:rPr>
                <w:rFonts w:hint="eastAsia"/>
                <w:highlight w:val="none"/>
              </w:rPr>
              <w:t>.</w:t>
            </w:r>
            <w:r>
              <w:rPr>
                <w:rFonts w:hint="eastAsia"/>
                <w:highlight w:val="none"/>
                <w:lang w:val="en-US" w:eastAsia="zh-CN"/>
              </w:rPr>
              <w:t>6</w:t>
            </w:r>
          </w:p>
        </w:tc>
        <w:tc>
          <w:tcPr>
            <w:tcW w:w="3274" w:type="dxa"/>
            <w:tcBorders>
              <w:left w:val="single" w:color="auto" w:sz="4" w:space="0"/>
            </w:tcBorders>
            <w:noWrap w:val="0"/>
            <w:vAlign w:val="center"/>
          </w:tcPr>
          <w:p w14:paraId="673475DC">
            <w:pPr>
              <w:pStyle w:val="13"/>
              <w:rPr>
                <w:highlight w:val="none"/>
              </w:rPr>
            </w:pPr>
            <w:r>
              <w:rPr>
                <w:rFonts w:hint="eastAsia"/>
                <w:highlight w:val="none"/>
              </w:rPr>
              <w:t>每个工序开始前及浇筑混凝土前，通知及协调专业承包人/独立承包人并给予其足够的时间去放置电缆、电线管、其它管道及</w:t>
            </w:r>
            <w:r>
              <w:rPr>
                <w:highlight w:val="none"/>
              </w:rPr>
              <w:t>预埋件</w:t>
            </w:r>
            <w:r>
              <w:rPr>
                <w:rFonts w:hint="eastAsia"/>
                <w:highlight w:val="none"/>
              </w:rPr>
              <w:t>等。</w:t>
            </w:r>
          </w:p>
        </w:tc>
        <w:tc>
          <w:tcPr>
            <w:tcW w:w="0" w:type="auto"/>
            <w:noWrap w:val="0"/>
            <w:vAlign w:val="center"/>
          </w:tcPr>
          <w:p w14:paraId="024EED79">
            <w:pPr>
              <w:pStyle w:val="13"/>
              <w:rPr>
                <w:highlight w:val="none"/>
              </w:rPr>
            </w:pPr>
            <w:r>
              <w:rPr>
                <w:highlight w:val="none"/>
              </w:rPr>
              <w:sym w:font="Wingdings" w:char="F0FC"/>
            </w:r>
          </w:p>
        </w:tc>
        <w:tc>
          <w:tcPr>
            <w:tcW w:w="0" w:type="auto"/>
            <w:noWrap w:val="0"/>
            <w:vAlign w:val="center"/>
          </w:tcPr>
          <w:p w14:paraId="1C62A336">
            <w:pPr>
              <w:pStyle w:val="13"/>
              <w:rPr>
                <w:highlight w:val="none"/>
              </w:rPr>
            </w:pPr>
            <w:r>
              <w:rPr>
                <w:rFonts w:hint="eastAsia"/>
                <w:highlight w:val="none"/>
              </w:rPr>
              <w:t>配合</w:t>
            </w:r>
          </w:p>
        </w:tc>
        <w:tc>
          <w:tcPr>
            <w:tcW w:w="0" w:type="auto"/>
            <w:noWrap w:val="0"/>
            <w:vAlign w:val="center"/>
          </w:tcPr>
          <w:p w14:paraId="5684BF2E">
            <w:pPr>
              <w:pStyle w:val="13"/>
              <w:rPr>
                <w:highlight w:val="none"/>
              </w:rPr>
            </w:pPr>
          </w:p>
        </w:tc>
      </w:tr>
      <w:tr w14:paraId="23B98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350A28C">
            <w:pPr>
              <w:pStyle w:val="13"/>
              <w:rPr>
                <w:rFonts w:hint="eastAsia" w:eastAsia="宋体"/>
                <w:highlight w:val="none"/>
                <w:lang w:eastAsia="zh-CN"/>
              </w:rPr>
            </w:pPr>
            <w:r>
              <w:rPr>
                <w:rFonts w:hint="eastAsia"/>
                <w:highlight w:val="none"/>
              </w:rPr>
              <w:t>1</w:t>
            </w:r>
            <w:r>
              <w:rPr>
                <w:rFonts w:hint="eastAsia"/>
                <w:highlight w:val="none"/>
                <w:lang w:val="en-US" w:eastAsia="zh-CN"/>
              </w:rPr>
              <w:t>6</w:t>
            </w:r>
            <w:r>
              <w:rPr>
                <w:rFonts w:hint="eastAsia"/>
                <w:highlight w:val="none"/>
              </w:rPr>
              <w:t>.</w:t>
            </w:r>
            <w:r>
              <w:rPr>
                <w:rFonts w:hint="eastAsia"/>
                <w:highlight w:val="none"/>
                <w:lang w:val="en-US" w:eastAsia="zh-CN"/>
              </w:rPr>
              <w:t>7</w:t>
            </w:r>
          </w:p>
        </w:tc>
        <w:tc>
          <w:tcPr>
            <w:tcW w:w="3274" w:type="dxa"/>
            <w:tcBorders>
              <w:left w:val="single" w:color="auto" w:sz="4" w:space="0"/>
            </w:tcBorders>
            <w:noWrap w:val="0"/>
            <w:vAlign w:val="center"/>
          </w:tcPr>
          <w:p w14:paraId="5A48064E">
            <w:pPr>
              <w:pStyle w:val="13"/>
              <w:rPr>
                <w:highlight w:val="none"/>
              </w:rPr>
            </w:pPr>
            <w:r>
              <w:rPr>
                <w:rFonts w:hint="eastAsia"/>
                <w:highlight w:val="none"/>
              </w:rPr>
              <w:t>按照当地政府或</w:t>
            </w:r>
            <w:r>
              <w:rPr>
                <w:highlight w:val="none"/>
              </w:rPr>
              <w:t>规范</w:t>
            </w:r>
            <w:r>
              <w:rPr>
                <w:rFonts w:hint="eastAsia"/>
                <w:highlight w:val="none"/>
              </w:rPr>
              <w:t>的要求按时进行污染物排放等检测。</w:t>
            </w:r>
          </w:p>
        </w:tc>
        <w:tc>
          <w:tcPr>
            <w:tcW w:w="0" w:type="auto"/>
            <w:noWrap w:val="0"/>
            <w:vAlign w:val="center"/>
          </w:tcPr>
          <w:p w14:paraId="060CCD71">
            <w:pPr>
              <w:pStyle w:val="13"/>
              <w:rPr>
                <w:highlight w:val="none"/>
              </w:rPr>
            </w:pPr>
            <w:r>
              <w:rPr>
                <w:highlight w:val="none"/>
              </w:rPr>
              <w:sym w:font="Wingdings" w:char="F0FC"/>
            </w:r>
          </w:p>
        </w:tc>
        <w:tc>
          <w:tcPr>
            <w:tcW w:w="0" w:type="auto"/>
            <w:noWrap w:val="0"/>
            <w:vAlign w:val="center"/>
          </w:tcPr>
          <w:p w14:paraId="0E1F1234">
            <w:pPr>
              <w:pStyle w:val="13"/>
              <w:rPr>
                <w:highlight w:val="none"/>
              </w:rPr>
            </w:pPr>
            <w:r>
              <w:rPr>
                <w:rFonts w:hint="eastAsia"/>
                <w:highlight w:val="none"/>
              </w:rPr>
              <w:t>配合</w:t>
            </w:r>
          </w:p>
        </w:tc>
        <w:tc>
          <w:tcPr>
            <w:tcW w:w="0" w:type="auto"/>
            <w:noWrap w:val="0"/>
            <w:vAlign w:val="center"/>
          </w:tcPr>
          <w:p w14:paraId="31CAADED">
            <w:pPr>
              <w:pStyle w:val="13"/>
              <w:rPr>
                <w:highlight w:val="none"/>
              </w:rPr>
            </w:pPr>
          </w:p>
        </w:tc>
      </w:tr>
      <w:tr w14:paraId="2DD2D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8EEC8CF">
            <w:pPr>
              <w:pStyle w:val="13"/>
              <w:rPr>
                <w:rFonts w:hint="eastAsia" w:eastAsia="宋体"/>
                <w:highlight w:val="none"/>
                <w:lang w:eastAsia="zh-CN"/>
              </w:rPr>
            </w:pPr>
            <w:r>
              <w:rPr>
                <w:rFonts w:hint="eastAsia"/>
                <w:highlight w:val="none"/>
              </w:rPr>
              <w:t>1</w:t>
            </w:r>
            <w:r>
              <w:rPr>
                <w:rFonts w:hint="eastAsia"/>
                <w:highlight w:val="none"/>
                <w:lang w:val="en-US" w:eastAsia="zh-CN"/>
              </w:rPr>
              <w:t>6</w:t>
            </w:r>
            <w:r>
              <w:rPr>
                <w:rFonts w:hint="eastAsia"/>
                <w:highlight w:val="none"/>
              </w:rPr>
              <w:t>.</w:t>
            </w:r>
            <w:r>
              <w:rPr>
                <w:rFonts w:hint="eastAsia"/>
                <w:highlight w:val="none"/>
                <w:lang w:val="en-US" w:eastAsia="zh-CN"/>
              </w:rPr>
              <w:t>8</w:t>
            </w:r>
          </w:p>
        </w:tc>
        <w:tc>
          <w:tcPr>
            <w:tcW w:w="3274" w:type="dxa"/>
            <w:tcBorders>
              <w:left w:val="single" w:color="auto" w:sz="4" w:space="0"/>
            </w:tcBorders>
            <w:noWrap w:val="0"/>
            <w:vAlign w:val="center"/>
          </w:tcPr>
          <w:p w14:paraId="0C2D4306">
            <w:pPr>
              <w:pStyle w:val="13"/>
              <w:rPr>
                <w:highlight w:val="none"/>
              </w:rPr>
            </w:pPr>
            <w:r>
              <w:rPr>
                <w:rFonts w:hint="eastAsia"/>
                <w:highlight w:val="none"/>
              </w:rPr>
              <w:t>负责工地临近</w:t>
            </w:r>
            <w:r>
              <w:rPr>
                <w:highlight w:val="none"/>
              </w:rPr>
              <w:t>建筑和</w:t>
            </w:r>
            <w:r>
              <w:rPr>
                <w:rFonts w:hint="eastAsia"/>
                <w:highlight w:val="none"/>
              </w:rPr>
              <w:t>周边管线监测。</w:t>
            </w:r>
          </w:p>
        </w:tc>
        <w:tc>
          <w:tcPr>
            <w:tcW w:w="0" w:type="auto"/>
            <w:noWrap w:val="0"/>
            <w:vAlign w:val="center"/>
          </w:tcPr>
          <w:p w14:paraId="4CC5E167">
            <w:pPr>
              <w:pStyle w:val="13"/>
              <w:rPr>
                <w:highlight w:val="none"/>
              </w:rPr>
            </w:pPr>
            <w:r>
              <w:rPr>
                <w:highlight w:val="none"/>
              </w:rPr>
              <w:sym w:font="Wingdings" w:char="F0FC"/>
            </w:r>
          </w:p>
        </w:tc>
        <w:tc>
          <w:tcPr>
            <w:tcW w:w="0" w:type="auto"/>
            <w:noWrap w:val="0"/>
            <w:vAlign w:val="center"/>
          </w:tcPr>
          <w:p w14:paraId="0225B56C">
            <w:pPr>
              <w:pStyle w:val="13"/>
              <w:rPr>
                <w:highlight w:val="none"/>
              </w:rPr>
            </w:pPr>
            <w:r>
              <w:rPr>
                <w:rFonts w:hint="eastAsia"/>
                <w:highlight w:val="none"/>
              </w:rPr>
              <w:t>配合</w:t>
            </w:r>
          </w:p>
        </w:tc>
        <w:tc>
          <w:tcPr>
            <w:tcW w:w="0" w:type="auto"/>
            <w:noWrap w:val="0"/>
            <w:vAlign w:val="center"/>
          </w:tcPr>
          <w:p w14:paraId="2A4A7FF0">
            <w:pPr>
              <w:pStyle w:val="13"/>
              <w:rPr>
                <w:highlight w:val="none"/>
              </w:rPr>
            </w:pPr>
          </w:p>
        </w:tc>
      </w:tr>
      <w:tr w14:paraId="5C08C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02FFC797">
            <w:pPr>
              <w:pStyle w:val="13"/>
              <w:rPr>
                <w:rFonts w:hint="eastAsia" w:eastAsia="宋体"/>
                <w:highlight w:val="none"/>
                <w:lang w:eastAsia="zh-CN"/>
              </w:rPr>
            </w:pPr>
            <w:r>
              <w:rPr>
                <w:rFonts w:hint="eastAsia"/>
                <w:highlight w:val="none"/>
              </w:rPr>
              <w:t>1</w:t>
            </w:r>
            <w:r>
              <w:rPr>
                <w:rFonts w:hint="eastAsia"/>
                <w:highlight w:val="none"/>
                <w:lang w:val="en-US" w:eastAsia="zh-CN"/>
              </w:rPr>
              <w:t>6</w:t>
            </w:r>
            <w:r>
              <w:rPr>
                <w:rFonts w:hint="eastAsia"/>
                <w:highlight w:val="none"/>
              </w:rPr>
              <w:t>.</w:t>
            </w:r>
            <w:r>
              <w:rPr>
                <w:rFonts w:hint="eastAsia"/>
                <w:highlight w:val="none"/>
                <w:lang w:val="en-US" w:eastAsia="zh-CN"/>
              </w:rPr>
              <w:t>9</w:t>
            </w:r>
          </w:p>
        </w:tc>
        <w:tc>
          <w:tcPr>
            <w:tcW w:w="3274" w:type="dxa"/>
            <w:tcBorders>
              <w:left w:val="single" w:color="auto" w:sz="4" w:space="0"/>
            </w:tcBorders>
            <w:noWrap w:val="0"/>
            <w:vAlign w:val="center"/>
          </w:tcPr>
          <w:p w14:paraId="761F5A63">
            <w:pPr>
              <w:pStyle w:val="13"/>
              <w:rPr>
                <w:highlight w:val="none"/>
              </w:rPr>
            </w:pPr>
            <w:r>
              <w:rPr>
                <w:rFonts w:hint="eastAsia"/>
                <w:highlight w:val="none"/>
              </w:rPr>
              <w:t>对民扰和</w:t>
            </w:r>
            <w:r>
              <w:rPr>
                <w:highlight w:val="none"/>
              </w:rPr>
              <w:t>扰民</w:t>
            </w:r>
            <w:r>
              <w:rPr>
                <w:rFonts w:hint="eastAsia"/>
                <w:highlight w:val="none"/>
              </w:rPr>
              <w:t>情况进行处理。</w:t>
            </w:r>
          </w:p>
        </w:tc>
        <w:tc>
          <w:tcPr>
            <w:tcW w:w="0" w:type="auto"/>
            <w:noWrap w:val="0"/>
            <w:vAlign w:val="center"/>
          </w:tcPr>
          <w:p w14:paraId="056ED809">
            <w:pPr>
              <w:pStyle w:val="13"/>
              <w:rPr>
                <w:highlight w:val="none"/>
              </w:rPr>
            </w:pPr>
            <w:r>
              <w:rPr>
                <w:highlight w:val="none"/>
              </w:rPr>
              <w:sym w:font="Wingdings" w:char="F0FC"/>
            </w:r>
          </w:p>
        </w:tc>
        <w:tc>
          <w:tcPr>
            <w:tcW w:w="0" w:type="auto"/>
            <w:noWrap w:val="0"/>
            <w:vAlign w:val="center"/>
          </w:tcPr>
          <w:p w14:paraId="128D266B">
            <w:pPr>
              <w:pStyle w:val="13"/>
              <w:rPr>
                <w:highlight w:val="none"/>
              </w:rPr>
            </w:pPr>
            <w:r>
              <w:rPr>
                <w:rFonts w:hint="eastAsia"/>
                <w:highlight w:val="none"/>
              </w:rPr>
              <w:t>配合</w:t>
            </w:r>
          </w:p>
        </w:tc>
        <w:tc>
          <w:tcPr>
            <w:tcW w:w="0" w:type="auto"/>
            <w:noWrap w:val="0"/>
            <w:vAlign w:val="center"/>
          </w:tcPr>
          <w:p w14:paraId="2674C91E">
            <w:pPr>
              <w:pStyle w:val="13"/>
              <w:rPr>
                <w:highlight w:val="none"/>
              </w:rPr>
            </w:pPr>
          </w:p>
        </w:tc>
      </w:tr>
      <w:tr w14:paraId="583F7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11A810F">
            <w:pPr>
              <w:pStyle w:val="13"/>
              <w:rPr>
                <w:rFonts w:hint="eastAsia" w:eastAsia="宋体"/>
                <w:highlight w:val="none"/>
                <w:lang w:val="en-US" w:eastAsia="zh-CN"/>
              </w:rPr>
            </w:pPr>
            <w:r>
              <w:rPr>
                <w:rFonts w:hint="eastAsia"/>
                <w:highlight w:val="none"/>
              </w:rPr>
              <w:t>1</w:t>
            </w:r>
            <w:r>
              <w:rPr>
                <w:rFonts w:hint="eastAsia"/>
                <w:highlight w:val="none"/>
                <w:lang w:val="en-US" w:eastAsia="zh-CN"/>
              </w:rPr>
              <w:t>6</w:t>
            </w:r>
            <w:r>
              <w:rPr>
                <w:rFonts w:hint="eastAsia"/>
                <w:highlight w:val="none"/>
              </w:rPr>
              <w:t>.1</w:t>
            </w:r>
            <w:r>
              <w:rPr>
                <w:rFonts w:hint="eastAsia"/>
                <w:highlight w:val="none"/>
                <w:lang w:val="en-US" w:eastAsia="zh-CN"/>
              </w:rPr>
              <w:t>0</w:t>
            </w:r>
          </w:p>
        </w:tc>
        <w:tc>
          <w:tcPr>
            <w:tcW w:w="3274" w:type="dxa"/>
            <w:tcBorders>
              <w:left w:val="single" w:color="auto" w:sz="4" w:space="0"/>
            </w:tcBorders>
            <w:noWrap w:val="0"/>
            <w:vAlign w:val="center"/>
          </w:tcPr>
          <w:p w14:paraId="7B45CDEE">
            <w:pPr>
              <w:pStyle w:val="13"/>
              <w:rPr>
                <w:highlight w:val="none"/>
              </w:rPr>
            </w:pPr>
            <w:r>
              <w:rPr>
                <w:rFonts w:hint="eastAsia"/>
                <w:highlight w:val="none"/>
              </w:rPr>
              <w:t>做好各大型设备吊装的协调和配合。</w:t>
            </w:r>
          </w:p>
        </w:tc>
        <w:tc>
          <w:tcPr>
            <w:tcW w:w="0" w:type="auto"/>
            <w:noWrap w:val="0"/>
            <w:vAlign w:val="center"/>
          </w:tcPr>
          <w:p w14:paraId="6EB4D5B1">
            <w:pPr>
              <w:pStyle w:val="13"/>
              <w:rPr>
                <w:highlight w:val="none"/>
              </w:rPr>
            </w:pPr>
            <w:r>
              <w:rPr>
                <w:highlight w:val="none"/>
              </w:rPr>
              <w:sym w:font="Wingdings" w:char="F0FC"/>
            </w:r>
          </w:p>
        </w:tc>
        <w:tc>
          <w:tcPr>
            <w:tcW w:w="0" w:type="auto"/>
            <w:noWrap w:val="0"/>
            <w:vAlign w:val="center"/>
          </w:tcPr>
          <w:p w14:paraId="5CC6BF0C">
            <w:pPr>
              <w:pStyle w:val="13"/>
              <w:rPr>
                <w:highlight w:val="none"/>
              </w:rPr>
            </w:pPr>
            <w:r>
              <w:rPr>
                <w:highlight w:val="none"/>
              </w:rPr>
              <w:sym w:font="Wingdings" w:char="F0FC"/>
            </w:r>
          </w:p>
        </w:tc>
        <w:tc>
          <w:tcPr>
            <w:tcW w:w="0" w:type="auto"/>
            <w:noWrap w:val="0"/>
            <w:vAlign w:val="center"/>
          </w:tcPr>
          <w:p w14:paraId="51F3B20A">
            <w:pPr>
              <w:pStyle w:val="13"/>
              <w:rPr>
                <w:highlight w:val="none"/>
              </w:rPr>
            </w:pPr>
          </w:p>
        </w:tc>
      </w:tr>
      <w:tr w14:paraId="6826D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center"/>
          </w:tcPr>
          <w:p w14:paraId="2591468D">
            <w:pPr>
              <w:pStyle w:val="13"/>
              <w:rPr>
                <w:rFonts w:hint="eastAsia" w:eastAsia="宋体"/>
                <w:highlight w:val="none"/>
                <w:lang w:eastAsia="zh-CN"/>
              </w:rPr>
            </w:pPr>
            <w:r>
              <w:rPr>
                <w:rFonts w:hint="eastAsia"/>
                <w:highlight w:val="none"/>
              </w:rPr>
              <w:t>1</w:t>
            </w:r>
            <w:r>
              <w:rPr>
                <w:rFonts w:hint="eastAsia"/>
                <w:highlight w:val="none"/>
                <w:lang w:val="en-US" w:eastAsia="zh-CN"/>
              </w:rPr>
              <w:t>6</w:t>
            </w:r>
            <w:r>
              <w:rPr>
                <w:rFonts w:hint="eastAsia"/>
                <w:highlight w:val="none"/>
              </w:rPr>
              <w:t>.1</w:t>
            </w:r>
            <w:r>
              <w:rPr>
                <w:rFonts w:hint="eastAsia"/>
                <w:highlight w:val="none"/>
                <w:lang w:val="en-US" w:eastAsia="zh-CN"/>
              </w:rPr>
              <w:t>1</w:t>
            </w:r>
          </w:p>
        </w:tc>
        <w:tc>
          <w:tcPr>
            <w:tcW w:w="3274" w:type="dxa"/>
            <w:tcBorders>
              <w:left w:val="single" w:color="auto" w:sz="4" w:space="0"/>
            </w:tcBorders>
            <w:noWrap w:val="0"/>
            <w:vAlign w:val="center"/>
          </w:tcPr>
          <w:p w14:paraId="3BE6F64F">
            <w:pPr>
              <w:pStyle w:val="13"/>
              <w:rPr>
                <w:highlight w:val="none"/>
              </w:rPr>
            </w:pPr>
            <w:r>
              <w:rPr>
                <w:rFonts w:hint="eastAsia"/>
                <w:highlight w:val="none"/>
              </w:rPr>
              <w:t>按发包人指示，将不符合摆放要求的设备和物料移至发包人要求的地方。</w:t>
            </w:r>
          </w:p>
        </w:tc>
        <w:tc>
          <w:tcPr>
            <w:tcW w:w="0" w:type="auto"/>
            <w:noWrap w:val="0"/>
            <w:vAlign w:val="center"/>
          </w:tcPr>
          <w:p w14:paraId="66B0F8C4">
            <w:pPr>
              <w:pStyle w:val="13"/>
              <w:rPr>
                <w:highlight w:val="none"/>
              </w:rPr>
            </w:pPr>
            <w:r>
              <w:rPr>
                <w:highlight w:val="none"/>
              </w:rPr>
              <w:sym w:font="Wingdings" w:char="F0FC"/>
            </w:r>
          </w:p>
        </w:tc>
        <w:tc>
          <w:tcPr>
            <w:tcW w:w="0" w:type="auto"/>
            <w:noWrap w:val="0"/>
            <w:vAlign w:val="center"/>
          </w:tcPr>
          <w:p w14:paraId="1B70A5FC">
            <w:pPr>
              <w:pStyle w:val="13"/>
              <w:rPr>
                <w:highlight w:val="none"/>
              </w:rPr>
            </w:pPr>
            <w:r>
              <w:rPr>
                <w:highlight w:val="none"/>
              </w:rPr>
              <w:sym w:font="Wingdings" w:char="F0FC"/>
            </w:r>
          </w:p>
        </w:tc>
        <w:tc>
          <w:tcPr>
            <w:tcW w:w="0" w:type="auto"/>
            <w:noWrap w:val="0"/>
            <w:vAlign w:val="top"/>
          </w:tcPr>
          <w:p w14:paraId="2AEDD312">
            <w:pPr>
              <w:pStyle w:val="13"/>
              <w:rPr>
                <w:highlight w:val="none"/>
              </w:rPr>
            </w:pPr>
            <w:r>
              <w:rPr>
                <w:rFonts w:hint="eastAsia"/>
                <w:highlight w:val="none"/>
              </w:rPr>
              <w:t>各自完成所属的物料，总承包人统筹并督促。</w:t>
            </w:r>
          </w:p>
        </w:tc>
      </w:tr>
      <w:tr w14:paraId="46FF3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741" w:type="dxa"/>
            <w:tcBorders>
              <w:right w:val="single" w:color="auto" w:sz="4" w:space="0"/>
            </w:tcBorders>
            <w:noWrap w:val="0"/>
            <w:vAlign w:val="top"/>
          </w:tcPr>
          <w:p w14:paraId="28C7499D">
            <w:pPr>
              <w:pStyle w:val="13"/>
              <w:rPr>
                <w:rFonts w:hint="eastAsia" w:eastAsia="宋体"/>
                <w:highlight w:val="none"/>
                <w:lang w:eastAsia="zh-CN"/>
              </w:rPr>
            </w:pPr>
            <w:r>
              <w:rPr>
                <w:rFonts w:hint="eastAsia"/>
                <w:highlight w:val="none"/>
              </w:rPr>
              <w:t>1</w:t>
            </w:r>
            <w:r>
              <w:rPr>
                <w:rFonts w:hint="eastAsia"/>
                <w:highlight w:val="none"/>
                <w:lang w:val="en-US" w:eastAsia="zh-CN"/>
              </w:rPr>
              <w:t>6</w:t>
            </w:r>
            <w:r>
              <w:rPr>
                <w:rFonts w:hint="eastAsia"/>
                <w:highlight w:val="none"/>
              </w:rPr>
              <w:t>.1</w:t>
            </w:r>
            <w:r>
              <w:rPr>
                <w:rFonts w:hint="eastAsia"/>
                <w:highlight w:val="none"/>
                <w:lang w:val="en-US" w:eastAsia="zh-CN"/>
              </w:rPr>
              <w:t>2</w:t>
            </w:r>
          </w:p>
        </w:tc>
        <w:tc>
          <w:tcPr>
            <w:tcW w:w="3274" w:type="dxa"/>
            <w:tcBorders>
              <w:left w:val="single" w:color="auto" w:sz="4" w:space="0"/>
            </w:tcBorders>
            <w:noWrap w:val="0"/>
            <w:vAlign w:val="top"/>
          </w:tcPr>
          <w:p w14:paraId="0953B421">
            <w:pPr>
              <w:pStyle w:val="13"/>
              <w:rPr>
                <w:highlight w:val="none"/>
              </w:rPr>
            </w:pPr>
            <w:r>
              <w:rPr>
                <w:rFonts w:hint="eastAsia"/>
                <w:highlight w:val="none"/>
              </w:rPr>
              <w:t>不再需要的设备、工具在经发包人同意后迁离出现场。</w:t>
            </w:r>
          </w:p>
        </w:tc>
        <w:tc>
          <w:tcPr>
            <w:tcW w:w="0" w:type="auto"/>
            <w:noWrap w:val="0"/>
            <w:vAlign w:val="center"/>
          </w:tcPr>
          <w:p w14:paraId="46D9DB17">
            <w:pPr>
              <w:pStyle w:val="13"/>
              <w:rPr>
                <w:highlight w:val="none"/>
              </w:rPr>
            </w:pPr>
            <w:r>
              <w:rPr>
                <w:highlight w:val="none"/>
              </w:rPr>
              <w:sym w:font="Wingdings" w:char="F0FC"/>
            </w:r>
          </w:p>
        </w:tc>
        <w:tc>
          <w:tcPr>
            <w:tcW w:w="0" w:type="auto"/>
            <w:noWrap w:val="0"/>
            <w:vAlign w:val="center"/>
          </w:tcPr>
          <w:p w14:paraId="11AA39C7">
            <w:pPr>
              <w:pStyle w:val="13"/>
              <w:rPr>
                <w:highlight w:val="none"/>
              </w:rPr>
            </w:pPr>
            <w:r>
              <w:rPr>
                <w:highlight w:val="none"/>
              </w:rPr>
              <w:sym w:font="Wingdings" w:char="F0FC"/>
            </w:r>
          </w:p>
        </w:tc>
        <w:tc>
          <w:tcPr>
            <w:tcW w:w="0" w:type="auto"/>
            <w:noWrap w:val="0"/>
            <w:vAlign w:val="top"/>
          </w:tcPr>
          <w:p w14:paraId="47417197">
            <w:pPr>
              <w:pStyle w:val="13"/>
              <w:rPr>
                <w:highlight w:val="none"/>
              </w:rPr>
            </w:pPr>
          </w:p>
        </w:tc>
      </w:tr>
      <w:tr w14:paraId="7378E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72D9AE3">
            <w:pPr>
              <w:pStyle w:val="13"/>
              <w:rPr>
                <w:rFonts w:hint="eastAsia" w:eastAsia="宋体"/>
                <w:highlight w:val="none"/>
                <w:lang w:eastAsia="zh-CN"/>
              </w:rPr>
            </w:pPr>
            <w:r>
              <w:rPr>
                <w:rFonts w:hint="eastAsia"/>
                <w:highlight w:val="none"/>
              </w:rPr>
              <w:t>1</w:t>
            </w:r>
            <w:r>
              <w:rPr>
                <w:rFonts w:hint="eastAsia"/>
                <w:highlight w:val="none"/>
                <w:lang w:val="en-US" w:eastAsia="zh-CN"/>
              </w:rPr>
              <w:t>6</w:t>
            </w:r>
            <w:r>
              <w:rPr>
                <w:rFonts w:hint="eastAsia"/>
                <w:highlight w:val="none"/>
              </w:rPr>
              <w:t>.1</w:t>
            </w:r>
            <w:r>
              <w:rPr>
                <w:rFonts w:hint="eastAsia"/>
                <w:highlight w:val="none"/>
                <w:lang w:val="en-US" w:eastAsia="zh-CN"/>
              </w:rPr>
              <w:t>3</w:t>
            </w:r>
          </w:p>
        </w:tc>
        <w:tc>
          <w:tcPr>
            <w:tcW w:w="3274" w:type="dxa"/>
            <w:tcBorders>
              <w:left w:val="single" w:color="auto" w:sz="4" w:space="0"/>
            </w:tcBorders>
            <w:noWrap w:val="0"/>
            <w:vAlign w:val="top"/>
          </w:tcPr>
          <w:p w14:paraId="5B52E334">
            <w:pPr>
              <w:pStyle w:val="13"/>
              <w:rPr>
                <w:highlight w:val="none"/>
              </w:rPr>
            </w:pPr>
            <w:r>
              <w:rPr>
                <w:rFonts w:hint="eastAsia"/>
                <w:highlight w:val="none"/>
              </w:rPr>
              <w:t>为防备偷盗、损毁、恶劣天气等采取措施，以及装箱或覆盖以保护所需工程。</w:t>
            </w:r>
          </w:p>
        </w:tc>
        <w:tc>
          <w:tcPr>
            <w:tcW w:w="0" w:type="auto"/>
            <w:noWrap w:val="0"/>
            <w:vAlign w:val="center"/>
          </w:tcPr>
          <w:p w14:paraId="623A1FEB">
            <w:pPr>
              <w:pStyle w:val="13"/>
              <w:rPr>
                <w:highlight w:val="none"/>
              </w:rPr>
            </w:pPr>
            <w:r>
              <w:rPr>
                <w:highlight w:val="none"/>
              </w:rPr>
              <w:sym w:font="Wingdings" w:char="F0FC"/>
            </w:r>
          </w:p>
        </w:tc>
        <w:tc>
          <w:tcPr>
            <w:tcW w:w="0" w:type="auto"/>
            <w:noWrap w:val="0"/>
            <w:vAlign w:val="center"/>
          </w:tcPr>
          <w:p w14:paraId="63EDFD17">
            <w:pPr>
              <w:pStyle w:val="13"/>
              <w:rPr>
                <w:highlight w:val="none"/>
              </w:rPr>
            </w:pPr>
            <w:r>
              <w:rPr>
                <w:highlight w:val="none"/>
              </w:rPr>
              <w:sym w:font="Wingdings" w:char="F0FC"/>
            </w:r>
          </w:p>
        </w:tc>
        <w:tc>
          <w:tcPr>
            <w:tcW w:w="0" w:type="auto"/>
            <w:noWrap w:val="0"/>
            <w:vAlign w:val="center"/>
          </w:tcPr>
          <w:p w14:paraId="6900D5C0">
            <w:pPr>
              <w:pStyle w:val="13"/>
              <w:rPr>
                <w:highlight w:val="none"/>
              </w:rPr>
            </w:pPr>
            <w:r>
              <w:rPr>
                <w:rFonts w:hint="eastAsia"/>
                <w:highlight w:val="none"/>
              </w:rPr>
              <w:t>各负其责，总承包人负管理责任。</w:t>
            </w:r>
          </w:p>
        </w:tc>
      </w:tr>
      <w:tr w14:paraId="64191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gridSpan w:val="5"/>
            <w:noWrap w:val="0"/>
            <w:vAlign w:val="center"/>
          </w:tcPr>
          <w:p w14:paraId="567CA6CA">
            <w:pPr>
              <w:pStyle w:val="13"/>
              <w:rPr>
                <w:highlight w:val="none"/>
              </w:rPr>
            </w:pPr>
            <w:r>
              <w:rPr>
                <w:rFonts w:hint="eastAsia"/>
                <w:highlight w:val="none"/>
              </w:rPr>
              <w:t>十</w:t>
            </w:r>
            <w:r>
              <w:rPr>
                <w:rFonts w:hint="eastAsia"/>
                <w:highlight w:val="none"/>
                <w:lang w:eastAsia="zh-CN"/>
              </w:rPr>
              <w:t>七</w:t>
            </w:r>
            <w:r>
              <w:rPr>
                <w:rFonts w:hint="eastAsia"/>
                <w:highlight w:val="none"/>
              </w:rPr>
              <w:t>、其他</w:t>
            </w:r>
          </w:p>
        </w:tc>
      </w:tr>
      <w:tr w14:paraId="512BF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5B7ED06D">
            <w:pPr>
              <w:pStyle w:val="13"/>
              <w:rPr>
                <w:highlight w:val="none"/>
              </w:rPr>
            </w:pPr>
            <w:r>
              <w:rPr>
                <w:rFonts w:hint="eastAsia"/>
                <w:highlight w:val="none"/>
              </w:rPr>
              <w:t>1</w:t>
            </w:r>
            <w:r>
              <w:rPr>
                <w:rFonts w:hint="eastAsia"/>
                <w:highlight w:val="none"/>
                <w:lang w:val="en-US" w:eastAsia="zh-CN"/>
              </w:rPr>
              <w:t>7</w:t>
            </w:r>
            <w:r>
              <w:rPr>
                <w:rFonts w:hint="eastAsia"/>
                <w:highlight w:val="none"/>
              </w:rPr>
              <w:t>.1</w:t>
            </w:r>
          </w:p>
        </w:tc>
        <w:tc>
          <w:tcPr>
            <w:tcW w:w="3274" w:type="dxa"/>
            <w:tcBorders>
              <w:left w:val="single" w:color="auto" w:sz="4" w:space="0"/>
            </w:tcBorders>
            <w:noWrap w:val="0"/>
            <w:vAlign w:val="center"/>
          </w:tcPr>
          <w:p w14:paraId="5F454A27">
            <w:pPr>
              <w:pStyle w:val="13"/>
              <w:rPr>
                <w:highlight w:val="none"/>
              </w:rPr>
            </w:pPr>
            <w:r>
              <w:rPr>
                <w:rFonts w:hint="eastAsia"/>
                <w:highlight w:val="none"/>
              </w:rPr>
              <w:t>无论任何原因，发包人调整部分工程内容，总承包人仍需负照管责任。</w:t>
            </w:r>
          </w:p>
        </w:tc>
        <w:tc>
          <w:tcPr>
            <w:tcW w:w="0" w:type="auto"/>
            <w:noWrap w:val="0"/>
            <w:vAlign w:val="center"/>
          </w:tcPr>
          <w:p w14:paraId="18569956">
            <w:pPr>
              <w:pStyle w:val="13"/>
              <w:rPr>
                <w:highlight w:val="none"/>
              </w:rPr>
            </w:pPr>
            <w:r>
              <w:rPr>
                <w:highlight w:val="none"/>
              </w:rPr>
              <w:sym w:font="Wingdings" w:char="F0FC"/>
            </w:r>
          </w:p>
        </w:tc>
        <w:tc>
          <w:tcPr>
            <w:tcW w:w="0" w:type="auto"/>
            <w:noWrap w:val="0"/>
            <w:vAlign w:val="center"/>
          </w:tcPr>
          <w:p w14:paraId="69F39BD2">
            <w:pPr>
              <w:pStyle w:val="13"/>
              <w:rPr>
                <w:highlight w:val="none"/>
              </w:rPr>
            </w:pPr>
          </w:p>
        </w:tc>
        <w:tc>
          <w:tcPr>
            <w:tcW w:w="0" w:type="auto"/>
            <w:noWrap w:val="0"/>
            <w:vAlign w:val="center"/>
          </w:tcPr>
          <w:p w14:paraId="0A388FF9">
            <w:pPr>
              <w:pStyle w:val="13"/>
              <w:rPr>
                <w:highlight w:val="none"/>
              </w:rPr>
            </w:pPr>
          </w:p>
        </w:tc>
      </w:tr>
      <w:tr w14:paraId="746FE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top"/>
          </w:tcPr>
          <w:p w14:paraId="44DA8DB3">
            <w:pPr>
              <w:pStyle w:val="13"/>
              <w:rPr>
                <w:highlight w:val="none"/>
              </w:rPr>
            </w:pPr>
            <w:r>
              <w:rPr>
                <w:rFonts w:hint="eastAsia"/>
                <w:highlight w:val="none"/>
              </w:rPr>
              <w:t>1</w:t>
            </w:r>
            <w:r>
              <w:rPr>
                <w:rFonts w:hint="eastAsia"/>
                <w:highlight w:val="none"/>
                <w:lang w:val="en-US" w:eastAsia="zh-CN"/>
              </w:rPr>
              <w:t>7</w:t>
            </w:r>
            <w:r>
              <w:rPr>
                <w:rFonts w:hint="eastAsia"/>
                <w:highlight w:val="none"/>
              </w:rPr>
              <w:t>.2</w:t>
            </w:r>
          </w:p>
        </w:tc>
        <w:tc>
          <w:tcPr>
            <w:tcW w:w="3274" w:type="dxa"/>
            <w:tcBorders>
              <w:left w:val="single" w:color="auto" w:sz="4" w:space="0"/>
            </w:tcBorders>
            <w:noWrap w:val="0"/>
            <w:vAlign w:val="top"/>
          </w:tcPr>
          <w:p w14:paraId="15F0912E">
            <w:pPr>
              <w:pStyle w:val="13"/>
              <w:rPr>
                <w:highlight w:val="none"/>
              </w:rPr>
            </w:pPr>
            <w:r>
              <w:rPr>
                <w:rFonts w:hint="eastAsia"/>
                <w:highlight w:val="none"/>
              </w:rPr>
              <w:t>所有强弱电井、机房及电线槽等穿楼板洞口周边防水反坎施工。</w:t>
            </w:r>
          </w:p>
        </w:tc>
        <w:tc>
          <w:tcPr>
            <w:tcW w:w="0" w:type="auto"/>
            <w:noWrap w:val="0"/>
            <w:vAlign w:val="center"/>
          </w:tcPr>
          <w:p w14:paraId="26D5197E">
            <w:pPr>
              <w:pStyle w:val="13"/>
              <w:rPr>
                <w:highlight w:val="none"/>
              </w:rPr>
            </w:pPr>
            <w:r>
              <w:rPr>
                <w:highlight w:val="none"/>
              </w:rPr>
              <w:sym w:font="Wingdings" w:char="F0FC"/>
            </w:r>
          </w:p>
        </w:tc>
        <w:tc>
          <w:tcPr>
            <w:tcW w:w="0" w:type="auto"/>
            <w:noWrap w:val="0"/>
            <w:vAlign w:val="center"/>
          </w:tcPr>
          <w:p w14:paraId="03562E88">
            <w:pPr>
              <w:pStyle w:val="13"/>
              <w:rPr>
                <w:highlight w:val="none"/>
              </w:rPr>
            </w:pPr>
          </w:p>
        </w:tc>
        <w:tc>
          <w:tcPr>
            <w:tcW w:w="0" w:type="auto"/>
            <w:noWrap w:val="0"/>
            <w:vAlign w:val="center"/>
          </w:tcPr>
          <w:p w14:paraId="20326479">
            <w:pPr>
              <w:pStyle w:val="13"/>
              <w:rPr>
                <w:highlight w:val="none"/>
              </w:rPr>
            </w:pPr>
          </w:p>
        </w:tc>
      </w:tr>
      <w:tr w14:paraId="4DEAF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top"/>
          </w:tcPr>
          <w:p w14:paraId="69AE5583">
            <w:pPr>
              <w:pStyle w:val="13"/>
              <w:rPr>
                <w:highlight w:val="none"/>
              </w:rPr>
            </w:pPr>
            <w:r>
              <w:rPr>
                <w:rFonts w:hint="eastAsia"/>
                <w:highlight w:val="none"/>
              </w:rPr>
              <w:t>1</w:t>
            </w:r>
            <w:r>
              <w:rPr>
                <w:rFonts w:hint="eastAsia"/>
                <w:highlight w:val="none"/>
                <w:lang w:val="en-US" w:eastAsia="zh-CN"/>
              </w:rPr>
              <w:t>7</w:t>
            </w:r>
            <w:r>
              <w:rPr>
                <w:rFonts w:hint="eastAsia"/>
                <w:highlight w:val="none"/>
              </w:rPr>
              <w:t>.3</w:t>
            </w:r>
          </w:p>
        </w:tc>
        <w:tc>
          <w:tcPr>
            <w:tcW w:w="3274" w:type="dxa"/>
            <w:tcBorders>
              <w:left w:val="single" w:color="auto" w:sz="4" w:space="0"/>
            </w:tcBorders>
            <w:noWrap w:val="0"/>
            <w:vAlign w:val="top"/>
          </w:tcPr>
          <w:p w14:paraId="777CD174">
            <w:pPr>
              <w:pStyle w:val="13"/>
              <w:rPr>
                <w:highlight w:val="none"/>
              </w:rPr>
            </w:pPr>
            <w:r>
              <w:rPr>
                <w:rFonts w:hint="eastAsia"/>
                <w:highlight w:val="none"/>
              </w:rPr>
              <w:t>协调所有现场交货、卸货的通道位置及临时存放位置。</w:t>
            </w:r>
          </w:p>
        </w:tc>
        <w:tc>
          <w:tcPr>
            <w:tcW w:w="0" w:type="auto"/>
            <w:noWrap w:val="0"/>
            <w:vAlign w:val="center"/>
          </w:tcPr>
          <w:p w14:paraId="31AB9918">
            <w:pPr>
              <w:pStyle w:val="13"/>
              <w:rPr>
                <w:highlight w:val="none"/>
              </w:rPr>
            </w:pPr>
            <w:r>
              <w:rPr>
                <w:highlight w:val="none"/>
              </w:rPr>
              <w:sym w:font="Wingdings" w:char="F0FC"/>
            </w:r>
          </w:p>
        </w:tc>
        <w:tc>
          <w:tcPr>
            <w:tcW w:w="0" w:type="auto"/>
            <w:noWrap w:val="0"/>
            <w:vAlign w:val="center"/>
          </w:tcPr>
          <w:p w14:paraId="2D80895D">
            <w:pPr>
              <w:pStyle w:val="13"/>
              <w:rPr>
                <w:highlight w:val="none"/>
              </w:rPr>
            </w:pPr>
          </w:p>
        </w:tc>
        <w:tc>
          <w:tcPr>
            <w:tcW w:w="0" w:type="auto"/>
            <w:noWrap w:val="0"/>
            <w:vAlign w:val="center"/>
          </w:tcPr>
          <w:p w14:paraId="03187C20">
            <w:pPr>
              <w:pStyle w:val="13"/>
              <w:rPr>
                <w:highlight w:val="none"/>
              </w:rPr>
            </w:pPr>
          </w:p>
        </w:tc>
      </w:tr>
      <w:tr w14:paraId="7C85F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top"/>
          </w:tcPr>
          <w:p w14:paraId="10DBC43E">
            <w:pPr>
              <w:pStyle w:val="13"/>
              <w:rPr>
                <w:highlight w:val="none"/>
              </w:rPr>
            </w:pPr>
            <w:r>
              <w:rPr>
                <w:rFonts w:hint="eastAsia"/>
                <w:highlight w:val="none"/>
              </w:rPr>
              <w:t>1</w:t>
            </w:r>
            <w:r>
              <w:rPr>
                <w:rFonts w:hint="eastAsia"/>
                <w:highlight w:val="none"/>
                <w:lang w:val="en-US" w:eastAsia="zh-CN"/>
              </w:rPr>
              <w:t>7</w:t>
            </w:r>
            <w:r>
              <w:rPr>
                <w:rFonts w:hint="eastAsia"/>
                <w:highlight w:val="none"/>
              </w:rPr>
              <w:t>.4</w:t>
            </w:r>
          </w:p>
        </w:tc>
        <w:tc>
          <w:tcPr>
            <w:tcW w:w="3274" w:type="dxa"/>
            <w:tcBorders>
              <w:left w:val="single" w:color="auto" w:sz="4" w:space="0"/>
            </w:tcBorders>
            <w:noWrap w:val="0"/>
            <w:vAlign w:val="top"/>
          </w:tcPr>
          <w:p w14:paraId="7D633A9D">
            <w:pPr>
              <w:pStyle w:val="13"/>
              <w:rPr>
                <w:highlight w:val="none"/>
              </w:rPr>
            </w:pPr>
            <w:r>
              <w:rPr>
                <w:rFonts w:hint="eastAsia"/>
                <w:highlight w:val="none"/>
              </w:rPr>
              <w:t>供应可贮放施工用料和工具的合理空间。</w:t>
            </w:r>
          </w:p>
        </w:tc>
        <w:tc>
          <w:tcPr>
            <w:tcW w:w="0" w:type="auto"/>
            <w:noWrap w:val="0"/>
            <w:vAlign w:val="center"/>
          </w:tcPr>
          <w:p w14:paraId="5BBC6B3B">
            <w:pPr>
              <w:pStyle w:val="13"/>
              <w:rPr>
                <w:highlight w:val="none"/>
              </w:rPr>
            </w:pPr>
            <w:r>
              <w:rPr>
                <w:highlight w:val="none"/>
              </w:rPr>
              <w:sym w:font="Wingdings" w:char="F0FC"/>
            </w:r>
          </w:p>
        </w:tc>
        <w:tc>
          <w:tcPr>
            <w:tcW w:w="0" w:type="auto"/>
            <w:noWrap w:val="0"/>
            <w:vAlign w:val="center"/>
          </w:tcPr>
          <w:p w14:paraId="30FAB2DE">
            <w:pPr>
              <w:pStyle w:val="13"/>
              <w:rPr>
                <w:highlight w:val="none"/>
              </w:rPr>
            </w:pPr>
          </w:p>
        </w:tc>
        <w:tc>
          <w:tcPr>
            <w:tcW w:w="0" w:type="auto"/>
            <w:noWrap w:val="0"/>
            <w:vAlign w:val="center"/>
          </w:tcPr>
          <w:p w14:paraId="463D06A6">
            <w:pPr>
              <w:pStyle w:val="13"/>
              <w:rPr>
                <w:highlight w:val="none"/>
              </w:rPr>
            </w:pPr>
          </w:p>
        </w:tc>
      </w:tr>
      <w:tr w14:paraId="4CAED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top"/>
          </w:tcPr>
          <w:p w14:paraId="4385FD9A">
            <w:pPr>
              <w:pStyle w:val="13"/>
              <w:rPr>
                <w:highlight w:val="none"/>
              </w:rPr>
            </w:pPr>
            <w:r>
              <w:rPr>
                <w:rFonts w:hint="eastAsia"/>
                <w:highlight w:val="none"/>
              </w:rPr>
              <w:t>1</w:t>
            </w:r>
            <w:r>
              <w:rPr>
                <w:rFonts w:hint="eastAsia"/>
                <w:highlight w:val="none"/>
                <w:lang w:val="en-US" w:eastAsia="zh-CN"/>
              </w:rPr>
              <w:t>7</w:t>
            </w:r>
            <w:r>
              <w:rPr>
                <w:rFonts w:hint="eastAsia"/>
                <w:highlight w:val="none"/>
              </w:rPr>
              <w:t>.5</w:t>
            </w:r>
          </w:p>
        </w:tc>
        <w:tc>
          <w:tcPr>
            <w:tcW w:w="3274" w:type="dxa"/>
            <w:tcBorders>
              <w:left w:val="single" w:color="auto" w:sz="4" w:space="0"/>
            </w:tcBorders>
            <w:noWrap w:val="0"/>
            <w:vAlign w:val="top"/>
          </w:tcPr>
          <w:p w14:paraId="20E92B31">
            <w:pPr>
              <w:pStyle w:val="13"/>
              <w:rPr>
                <w:highlight w:val="none"/>
              </w:rPr>
            </w:pPr>
            <w:r>
              <w:rPr>
                <w:rFonts w:hint="eastAsia"/>
                <w:highlight w:val="none"/>
              </w:rPr>
              <w:t>提供消防验收时的所有临时照明及确保通道畅通。</w:t>
            </w:r>
          </w:p>
        </w:tc>
        <w:tc>
          <w:tcPr>
            <w:tcW w:w="0" w:type="auto"/>
            <w:noWrap w:val="0"/>
            <w:vAlign w:val="center"/>
          </w:tcPr>
          <w:p w14:paraId="2F2358D9">
            <w:pPr>
              <w:pStyle w:val="13"/>
              <w:rPr>
                <w:highlight w:val="none"/>
              </w:rPr>
            </w:pPr>
            <w:r>
              <w:rPr>
                <w:highlight w:val="none"/>
              </w:rPr>
              <w:sym w:font="Wingdings" w:char="F0FC"/>
            </w:r>
          </w:p>
        </w:tc>
        <w:tc>
          <w:tcPr>
            <w:tcW w:w="0" w:type="auto"/>
            <w:noWrap w:val="0"/>
            <w:vAlign w:val="center"/>
          </w:tcPr>
          <w:p w14:paraId="09168495">
            <w:pPr>
              <w:pStyle w:val="13"/>
              <w:rPr>
                <w:highlight w:val="none"/>
              </w:rPr>
            </w:pPr>
          </w:p>
        </w:tc>
        <w:tc>
          <w:tcPr>
            <w:tcW w:w="0" w:type="auto"/>
            <w:noWrap w:val="0"/>
            <w:vAlign w:val="center"/>
          </w:tcPr>
          <w:p w14:paraId="528BE9C2">
            <w:pPr>
              <w:pStyle w:val="13"/>
              <w:rPr>
                <w:highlight w:val="none"/>
              </w:rPr>
            </w:pPr>
          </w:p>
        </w:tc>
      </w:tr>
      <w:tr w14:paraId="25865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top"/>
          </w:tcPr>
          <w:p w14:paraId="000C2E16">
            <w:pPr>
              <w:pStyle w:val="13"/>
              <w:rPr>
                <w:highlight w:val="none"/>
              </w:rPr>
            </w:pPr>
            <w:r>
              <w:rPr>
                <w:rFonts w:hint="eastAsia"/>
                <w:highlight w:val="none"/>
              </w:rPr>
              <w:t>1</w:t>
            </w:r>
            <w:r>
              <w:rPr>
                <w:rFonts w:hint="eastAsia"/>
                <w:highlight w:val="none"/>
                <w:lang w:val="en-US" w:eastAsia="zh-CN"/>
              </w:rPr>
              <w:t>7</w:t>
            </w:r>
            <w:r>
              <w:rPr>
                <w:rFonts w:hint="eastAsia"/>
                <w:highlight w:val="none"/>
              </w:rPr>
              <w:t>.6</w:t>
            </w:r>
          </w:p>
        </w:tc>
        <w:tc>
          <w:tcPr>
            <w:tcW w:w="3274" w:type="dxa"/>
            <w:tcBorders>
              <w:left w:val="single" w:color="auto" w:sz="4" w:space="0"/>
            </w:tcBorders>
            <w:noWrap w:val="0"/>
            <w:vAlign w:val="top"/>
          </w:tcPr>
          <w:p w14:paraId="5378D6B3">
            <w:pPr>
              <w:pStyle w:val="13"/>
              <w:rPr>
                <w:highlight w:val="none"/>
              </w:rPr>
            </w:pPr>
            <w:r>
              <w:rPr>
                <w:rFonts w:hint="eastAsia"/>
                <w:highlight w:val="none"/>
              </w:rPr>
              <w:t>统筹各专业的设备运输通道，并确保设备能方便地运至安装地点。</w:t>
            </w:r>
          </w:p>
        </w:tc>
        <w:tc>
          <w:tcPr>
            <w:tcW w:w="0" w:type="auto"/>
            <w:noWrap w:val="0"/>
            <w:vAlign w:val="center"/>
          </w:tcPr>
          <w:p w14:paraId="31DF0EEB">
            <w:pPr>
              <w:pStyle w:val="13"/>
              <w:rPr>
                <w:highlight w:val="none"/>
              </w:rPr>
            </w:pPr>
            <w:r>
              <w:rPr>
                <w:highlight w:val="none"/>
              </w:rPr>
              <w:sym w:font="Wingdings" w:char="F0FC"/>
            </w:r>
          </w:p>
        </w:tc>
        <w:tc>
          <w:tcPr>
            <w:tcW w:w="0" w:type="auto"/>
            <w:noWrap w:val="0"/>
            <w:vAlign w:val="center"/>
          </w:tcPr>
          <w:p w14:paraId="2B59930E">
            <w:pPr>
              <w:pStyle w:val="13"/>
              <w:rPr>
                <w:highlight w:val="none"/>
              </w:rPr>
            </w:pPr>
          </w:p>
        </w:tc>
        <w:tc>
          <w:tcPr>
            <w:tcW w:w="0" w:type="auto"/>
            <w:noWrap w:val="0"/>
            <w:vAlign w:val="center"/>
          </w:tcPr>
          <w:p w14:paraId="1DE8EF3F">
            <w:pPr>
              <w:pStyle w:val="13"/>
              <w:rPr>
                <w:highlight w:val="none"/>
              </w:rPr>
            </w:pPr>
          </w:p>
        </w:tc>
      </w:tr>
      <w:tr w14:paraId="3C40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D899B2B">
            <w:pPr>
              <w:pStyle w:val="13"/>
              <w:rPr>
                <w:highlight w:val="none"/>
              </w:rPr>
            </w:pPr>
            <w:r>
              <w:rPr>
                <w:rFonts w:hint="eastAsia"/>
                <w:highlight w:val="none"/>
              </w:rPr>
              <w:t>1</w:t>
            </w:r>
            <w:r>
              <w:rPr>
                <w:rFonts w:hint="eastAsia"/>
                <w:highlight w:val="none"/>
                <w:lang w:val="en-US" w:eastAsia="zh-CN"/>
              </w:rPr>
              <w:t>7</w:t>
            </w:r>
            <w:r>
              <w:rPr>
                <w:rFonts w:hint="eastAsia"/>
                <w:highlight w:val="none"/>
              </w:rPr>
              <w:t>.7</w:t>
            </w:r>
          </w:p>
        </w:tc>
        <w:tc>
          <w:tcPr>
            <w:tcW w:w="3274" w:type="dxa"/>
            <w:tcBorders>
              <w:left w:val="single" w:color="auto" w:sz="4" w:space="0"/>
            </w:tcBorders>
            <w:noWrap w:val="0"/>
            <w:vAlign w:val="center"/>
          </w:tcPr>
          <w:p w14:paraId="023BA8B9">
            <w:pPr>
              <w:pStyle w:val="13"/>
              <w:rPr>
                <w:highlight w:val="none"/>
              </w:rPr>
            </w:pPr>
            <w:r>
              <w:rPr>
                <w:rFonts w:hint="eastAsia"/>
                <w:highlight w:val="none"/>
              </w:rPr>
              <w:t>统筹计划、建造、维护及拆除主体结构上的运输/吊装平台，并提供各被照管方使用。</w:t>
            </w:r>
          </w:p>
        </w:tc>
        <w:tc>
          <w:tcPr>
            <w:tcW w:w="0" w:type="auto"/>
            <w:noWrap w:val="0"/>
            <w:vAlign w:val="center"/>
          </w:tcPr>
          <w:p w14:paraId="7C5D6C6C">
            <w:pPr>
              <w:pStyle w:val="13"/>
              <w:rPr>
                <w:highlight w:val="none"/>
              </w:rPr>
            </w:pPr>
            <w:r>
              <w:rPr>
                <w:highlight w:val="none"/>
              </w:rPr>
              <w:sym w:font="Wingdings" w:char="F0FC"/>
            </w:r>
          </w:p>
        </w:tc>
        <w:tc>
          <w:tcPr>
            <w:tcW w:w="0" w:type="auto"/>
            <w:noWrap w:val="0"/>
            <w:vAlign w:val="center"/>
          </w:tcPr>
          <w:p w14:paraId="5E987172">
            <w:pPr>
              <w:pStyle w:val="13"/>
              <w:rPr>
                <w:highlight w:val="none"/>
              </w:rPr>
            </w:pPr>
            <w:r>
              <w:rPr>
                <w:rFonts w:hint="eastAsia"/>
                <w:highlight w:val="none"/>
              </w:rPr>
              <w:t>承担因自身的工期延误导致延期拆除的使用费。</w:t>
            </w:r>
          </w:p>
        </w:tc>
        <w:tc>
          <w:tcPr>
            <w:tcW w:w="0" w:type="auto"/>
            <w:noWrap w:val="0"/>
            <w:vAlign w:val="center"/>
          </w:tcPr>
          <w:p w14:paraId="649E3DE6">
            <w:pPr>
              <w:pStyle w:val="13"/>
              <w:rPr>
                <w:highlight w:val="none"/>
              </w:rPr>
            </w:pPr>
          </w:p>
        </w:tc>
      </w:tr>
      <w:tr w14:paraId="0C359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AFDCEAB">
            <w:pPr>
              <w:pStyle w:val="13"/>
              <w:rPr>
                <w:highlight w:val="none"/>
              </w:rPr>
            </w:pPr>
            <w:r>
              <w:rPr>
                <w:rFonts w:hint="eastAsia"/>
                <w:highlight w:val="none"/>
              </w:rPr>
              <w:t>1</w:t>
            </w:r>
            <w:r>
              <w:rPr>
                <w:rFonts w:hint="eastAsia"/>
                <w:highlight w:val="none"/>
                <w:lang w:val="en-US" w:eastAsia="zh-CN"/>
              </w:rPr>
              <w:t>7</w:t>
            </w:r>
            <w:r>
              <w:rPr>
                <w:rFonts w:hint="eastAsia"/>
                <w:highlight w:val="none"/>
              </w:rPr>
              <w:t>.8</w:t>
            </w:r>
          </w:p>
        </w:tc>
        <w:tc>
          <w:tcPr>
            <w:tcW w:w="3274" w:type="dxa"/>
            <w:tcBorders>
              <w:left w:val="single" w:color="auto" w:sz="4" w:space="0"/>
            </w:tcBorders>
            <w:noWrap w:val="0"/>
            <w:vAlign w:val="top"/>
          </w:tcPr>
          <w:p w14:paraId="317ED703">
            <w:pPr>
              <w:pStyle w:val="13"/>
              <w:rPr>
                <w:highlight w:val="none"/>
              </w:rPr>
            </w:pPr>
            <w:r>
              <w:rPr>
                <w:rFonts w:hint="eastAsia"/>
                <w:highlight w:val="none"/>
              </w:rPr>
              <w:t>根据发包人总控计划为各分段（竖向）建造、维护及拆除各类完整的水平防护设施包括抛撑、平网和硬防护。</w:t>
            </w:r>
          </w:p>
        </w:tc>
        <w:tc>
          <w:tcPr>
            <w:tcW w:w="0" w:type="auto"/>
            <w:noWrap w:val="0"/>
            <w:vAlign w:val="center"/>
          </w:tcPr>
          <w:p w14:paraId="7F616EA1">
            <w:pPr>
              <w:pStyle w:val="13"/>
              <w:rPr>
                <w:highlight w:val="none"/>
              </w:rPr>
            </w:pPr>
            <w:r>
              <w:rPr>
                <w:highlight w:val="none"/>
              </w:rPr>
              <w:sym w:font="Wingdings" w:char="F0FC"/>
            </w:r>
          </w:p>
        </w:tc>
        <w:tc>
          <w:tcPr>
            <w:tcW w:w="0" w:type="auto"/>
            <w:noWrap w:val="0"/>
            <w:vAlign w:val="center"/>
          </w:tcPr>
          <w:p w14:paraId="38A668F9">
            <w:pPr>
              <w:pStyle w:val="13"/>
              <w:rPr>
                <w:highlight w:val="none"/>
              </w:rPr>
            </w:pPr>
          </w:p>
        </w:tc>
        <w:tc>
          <w:tcPr>
            <w:tcW w:w="0" w:type="auto"/>
            <w:noWrap w:val="0"/>
            <w:vAlign w:val="center"/>
          </w:tcPr>
          <w:p w14:paraId="3F390343">
            <w:pPr>
              <w:pStyle w:val="13"/>
              <w:rPr>
                <w:highlight w:val="none"/>
              </w:rPr>
            </w:pPr>
            <w:r>
              <w:rPr>
                <w:rFonts w:hint="eastAsia"/>
                <w:highlight w:val="none"/>
              </w:rPr>
              <w:t>需满足安全要求和幕墙施工使用要求。</w:t>
            </w:r>
          </w:p>
        </w:tc>
      </w:tr>
      <w:tr w14:paraId="7CBA7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7251EE19">
            <w:pPr>
              <w:pStyle w:val="13"/>
              <w:rPr>
                <w:highlight w:val="none"/>
              </w:rPr>
            </w:pPr>
            <w:r>
              <w:rPr>
                <w:rFonts w:hint="eastAsia"/>
                <w:highlight w:val="none"/>
              </w:rPr>
              <w:t>1</w:t>
            </w:r>
            <w:r>
              <w:rPr>
                <w:rFonts w:hint="eastAsia"/>
                <w:highlight w:val="none"/>
                <w:lang w:val="en-US" w:eastAsia="zh-CN"/>
              </w:rPr>
              <w:t>7</w:t>
            </w:r>
            <w:r>
              <w:rPr>
                <w:rFonts w:hint="eastAsia"/>
                <w:highlight w:val="none"/>
              </w:rPr>
              <w:t>.9</w:t>
            </w:r>
          </w:p>
        </w:tc>
        <w:tc>
          <w:tcPr>
            <w:tcW w:w="3274" w:type="dxa"/>
            <w:tcBorders>
              <w:left w:val="single" w:color="auto" w:sz="4" w:space="0"/>
            </w:tcBorders>
            <w:noWrap w:val="0"/>
            <w:vAlign w:val="top"/>
          </w:tcPr>
          <w:p w14:paraId="7E9FC230">
            <w:pPr>
              <w:pStyle w:val="13"/>
              <w:rPr>
                <w:highlight w:val="none"/>
              </w:rPr>
            </w:pPr>
            <w:r>
              <w:rPr>
                <w:rFonts w:hint="eastAsia"/>
                <w:highlight w:val="none"/>
              </w:rPr>
              <w:t>统筹、部署并管理好全项目节能、环保等方面工作并保证达到要求。</w:t>
            </w:r>
          </w:p>
        </w:tc>
        <w:tc>
          <w:tcPr>
            <w:tcW w:w="0" w:type="auto"/>
            <w:noWrap w:val="0"/>
            <w:vAlign w:val="center"/>
          </w:tcPr>
          <w:p w14:paraId="459C5AEF">
            <w:pPr>
              <w:pStyle w:val="13"/>
              <w:rPr>
                <w:highlight w:val="none"/>
              </w:rPr>
            </w:pPr>
            <w:r>
              <w:rPr>
                <w:highlight w:val="none"/>
              </w:rPr>
              <w:sym w:font="Wingdings" w:char="F0FC"/>
            </w:r>
          </w:p>
        </w:tc>
        <w:tc>
          <w:tcPr>
            <w:tcW w:w="0" w:type="auto"/>
            <w:noWrap w:val="0"/>
            <w:vAlign w:val="center"/>
          </w:tcPr>
          <w:p w14:paraId="2E0052C9">
            <w:pPr>
              <w:pStyle w:val="13"/>
              <w:rPr>
                <w:highlight w:val="none"/>
              </w:rPr>
            </w:pPr>
            <w:r>
              <w:rPr>
                <w:rFonts w:hint="eastAsia"/>
                <w:highlight w:val="none"/>
              </w:rPr>
              <w:t>配合</w:t>
            </w:r>
          </w:p>
        </w:tc>
        <w:tc>
          <w:tcPr>
            <w:tcW w:w="0" w:type="auto"/>
            <w:noWrap w:val="0"/>
            <w:vAlign w:val="center"/>
          </w:tcPr>
          <w:p w14:paraId="763BB90B">
            <w:pPr>
              <w:pStyle w:val="13"/>
              <w:rPr>
                <w:highlight w:val="none"/>
              </w:rPr>
            </w:pPr>
          </w:p>
        </w:tc>
      </w:tr>
      <w:tr w14:paraId="4862E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center"/>
          </w:tcPr>
          <w:p w14:paraId="4FBD1CE8">
            <w:pPr>
              <w:pStyle w:val="13"/>
              <w:rPr>
                <w:highlight w:val="none"/>
              </w:rPr>
            </w:pPr>
            <w:r>
              <w:rPr>
                <w:rFonts w:hint="eastAsia"/>
                <w:highlight w:val="none"/>
              </w:rPr>
              <w:t>1</w:t>
            </w:r>
            <w:r>
              <w:rPr>
                <w:rFonts w:hint="eastAsia"/>
                <w:highlight w:val="none"/>
                <w:lang w:val="en-US" w:eastAsia="zh-CN"/>
              </w:rPr>
              <w:t>7</w:t>
            </w:r>
            <w:r>
              <w:rPr>
                <w:rFonts w:hint="eastAsia"/>
                <w:highlight w:val="none"/>
              </w:rPr>
              <w:t>.10</w:t>
            </w:r>
          </w:p>
        </w:tc>
        <w:tc>
          <w:tcPr>
            <w:tcW w:w="3274" w:type="dxa"/>
            <w:tcBorders>
              <w:left w:val="single" w:color="auto" w:sz="4" w:space="0"/>
            </w:tcBorders>
            <w:noWrap w:val="0"/>
            <w:vAlign w:val="top"/>
          </w:tcPr>
          <w:p w14:paraId="4084EC54">
            <w:pPr>
              <w:pStyle w:val="13"/>
              <w:rPr>
                <w:highlight w:val="none"/>
              </w:rPr>
            </w:pPr>
            <w:r>
              <w:rPr>
                <w:rFonts w:hint="eastAsia"/>
                <w:highlight w:val="none"/>
              </w:rPr>
              <w:t>总承包人有权根据发包人审批同意的管理制度对专业承包人/独立承包人行为进行奖罚，每单奖罚单需经发包人同意，确保罚款透明并用于项目奖励。</w:t>
            </w:r>
          </w:p>
        </w:tc>
        <w:tc>
          <w:tcPr>
            <w:tcW w:w="0" w:type="auto"/>
            <w:noWrap w:val="0"/>
            <w:vAlign w:val="center"/>
          </w:tcPr>
          <w:p w14:paraId="5B75192D">
            <w:pPr>
              <w:pStyle w:val="13"/>
              <w:rPr>
                <w:highlight w:val="none"/>
              </w:rPr>
            </w:pPr>
            <w:r>
              <w:rPr>
                <w:highlight w:val="none"/>
              </w:rPr>
              <w:sym w:font="Wingdings" w:char="F0FC"/>
            </w:r>
          </w:p>
        </w:tc>
        <w:tc>
          <w:tcPr>
            <w:tcW w:w="0" w:type="auto"/>
            <w:noWrap w:val="0"/>
            <w:vAlign w:val="center"/>
          </w:tcPr>
          <w:p w14:paraId="68A8A429">
            <w:pPr>
              <w:pStyle w:val="13"/>
              <w:rPr>
                <w:highlight w:val="none"/>
              </w:rPr>
            </w:pPr>
          </w:p>
        </w:tc>
        <w:tc>
          <w:tcPr>
            <w:tcW w:w="0" w:type="auto"/>
            <w:noWrap w:val="0"/>
            <w:vAlign w:val="center"/>
          </w:tcPr>
          <w:p w14:paraId="19E6C447">
            <w:pPr>
              <w:pStyle w:val="13"/>
              <w:rPr>
                <w:highlight w:val="none"/>
              </w:rPr>
            </w:pPr>
          </w:p>
        </w:tc>
      </w:tr>
      <w:tr w14:paraId="79DD6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noWrap w:val="0"/>
            <w:vAlign w:val="top"/>
          </w:tcPr>
          <w:p w14:paraId="2596ECC1">
            <w:pPr>
              <w:pStyle w:val="13"/>
              <w:rPr>
                <w:highlight w:val="none"/>
              </w:rPr>
            </w:pPr>
            <w:r>
              <w:rPr>
                <w:highlight w:val="none"/>
              </w:rPr>
              <w:t>1</w:t>
            </w:r>
            <w:r>
              <w:rPr>
                <w:rFonts w:hint="eastAsia"/>
                <w:highlight w:val="none"/>
                <w:lang w:val="en-US" w:eastAsia="zh-CN"/>
              </w:rPr>
              <w:t>7</w:t>
            </w:r>
            <w:r>
              <w:rPr>
                <w:highlight w:val="none"/>
              </w:rPr>
              <w:t>.11</w:t>
            </w:r>
          </w:p>
        </w:tc>
        <w:tc>
          <w:tcPr>
            <w:tcW w:w="3274" w:type="dxa"/>
            <w:tcBorders>
              <w:left w:val="single" w:color="auto" w:sz="4" w:space="0"/>
            </w:tcBorders>
            <w:noWrap w:val="0"/>
            <w:vAlign w:val="center"/>
          </w:tcPr>
          <w:p w14:paraId="7C08C82F">
            <w:pPr>
              <w:pStyle w:val="13"/>
              <w:rPr>
                <w:highlight w:val="none"/>
              </w:rPr>
            </w:pPr>
            <w:r>
              <w:rPr>
                <w:rFonts w:hint="eastAsia"/>
                <w:highlight w:val="none"/>
              </w:rPr>
              <w:t>智慧软件的使用及维护。</w:t>
            </w:r>
          </w:p>
        </w:tc>
        <w:tc>
          <w:tcPr>
            <w:tcW w:w="0" w:type="auto"/>
            <w:noWrap w:val="0"/>
            <w:vAlign w:val="center"/>
          </w:tcPr>
          <w:p w14:paraId="61EB9F73">
            <w:pPr>
              <w:pStyle w:val="13"/>
              <w:rPr>
                <w:highlight w:val="none"/>
              </w:rPr>
            </w:pPr>
            <w:r>
              <w:rPr>
                <w:highlight w:val="none"/>
              </w:rPr>
              <w:sym w:font="Wingdings" w:char="F0FC"/>
            </w:r>
          </w:p>
        </w:tc>
        <w:tc>
          <w:tcPr>
            <w:tcW w:w="0" w:type="auto"/>
            <w:noWrap w:val="0"/>
            <w:vAlign w:val="center"/>
          </w:tcPr>
          <w:p w14:paraId="5821BAD9">
            <w:pPr>
              <w:pStyle w:val="13"/>
              <w:rPr>
                <w:highlight w:val="none"/>
              </w:rPr>
            </w:pPr>
            <w:r>
              <w:rPr>
                <w:highlight w:val="none"/>
              </w:rPr>
              <w:sym w:font="Wingdings" w:char="F0FC"/>
            </w:r>
          </w:p>
        </w:tc>
        <w:tc>
          <w:tcPr>
            <w:tcW w:w="0" w:type="auto"/>
            <w:noWrap w:val="0"/>
            <w:vAlign w:val="center"/>
          </w:tcPr>
          <w:p w14:paraId="1B142517">
            <w:pPr>
              <w:pStyle w:val="13"/>
              <w:rPr>
                <w:highlight w:val="none"/>
              </w:rPr>
            </w:pPr>
          </w:p>
        </w:tc>
      </w:tr>
    </w:tbl>
    <w:p w14:paraId="4C21D4E7">
      <w:pPr>
        <w:spacing w:before="120" w:after="120"/>
        <w:ind w:firstLine="480"/>
        <w:rPr>
          <w:highlight w:val="none"/>
        </w:rPr>
      </w:pPr>
      <w:r>
        <w:rPr>
          <w:highlight w:val="none"/>
        </w:rPr>
        <w:br w:type="page"/>
      </w:r>
    </w:p>
    <w:p w14:paraId="66933D97">
      <w:pPr>
        <w:pStyle w:val="3"/>
        <w:numPr>
          <w:ilvl w:val="0"/>
          <w:numId w:val="0"/>
        </w:numPr>
        <w:ind w:left="432"/>
        <w:rPr>
          <w:highlight w:val="none"/>
        </w:rPr>
      </w:pPr>
      <w:bookmarkStart w:id="148" w:name="_Toc792"/>
      <w:bookmarkStart w:id="149" w:name="_Toc179562968"/>
      <w:bookmarkStart w:id="150" w:name="_Toc21005"/>
      <w:bookmarkStart w:id="151" w:name="_Toc169722199"/>
      <w:bookmarkStart w:id="152" w:name="_Toc5247"/>
      <w:bookmarkStart w:id="153" w:name="_Toc26296"/>
      <w:bookmarkStart w:id="154" w:name="_Toc24207"/>
      <w:bookmarkStart w:id="155" w:name="_Toc11729"/>
      <w:r>
        <w:rPr>
          <w:highlight w:val="none"/>
        </w:rPr>
        <w:t xml:space="preserve">第4章 </w:t>
      </w:r>
      <w:r>
        <w:rPr>
          <w:rFonts w:hint="eastAsia"/>
          <w:highlight w:val="none"/>
        </w:rPr>
        <w:t>协调配合及工程整体照管要求</w:t>
      </w:r>
      <w:bookmarkEnd w:id="148"/>
      <w:bookmarkEnd w:id="149"/>
      <w:bookmarkEnd w:id="150"/>
      <w:bookmarkEnd w:id="151"/>
      <w:bookmarkEnd w:id="152"/>
      <w:bookmarkEnd w:id="153"/>
      <w:bookmarkEnd w:id="154"/>
      <w:bookmarkEnd w:id="155"/>
    </w:p>
    <w:p w14:paraId="4BC27E13">
      <w:pPr>
        <w:pStyle w:val="4"/>
        <w:numPr>
          <w:ilvl w:val="1"/>
          <w:numId w:val="0"/>
        </w:numPr>
        <w:ind w:left="624" w:hanging="624"/>
        <w:rPr>
          <w:highlight w:val="none"/>
        </w:rPr>
      </w:pPr>
      <w:bookmarkStart w:id="156" w:name="_Toc520245230"/>
      <w:bookmarkEnd w:id="156"/>
      <w:bookmarkStart w:id="157" w:name="_Toc520244602"/>
      <w:bookmarkEnd w:id="157"/>
      <w:bookmarkStart w:id="158" w:name="_Toc7226"/>
      <w:bookmarkStart w:id="159" w:name="_Toc179562969"/>
      <w:bookmarkStart w:id="160" w:name="_Toc13691"/>
      <w:bookmarkStart w:id="161" w:name="_Toc28528"/>
      <w:bookmarkStart w:id="162" w:name="_Toc169722200"/>
      <w:bookmarkStart w:id="163" w:name="_Toc30114"/>
      <w:bookmarkStart w:id="164" w:name="_Toc6902"/>
      <w:bookmarkStart w:id="165" w:name="_Toc23391"/>
      <w:r>
        <w:rPr>
          <w:rFonts w:hint="eastAsia"/>
          <w:highlight w:val="none"/>
        </w:rPr>
        <w:t>4.1总承包人与发包人、设计人及监理人的协调配合</w:t>
      </w:r>
      <w:bookmarkEnd w:id="158"/>
      <w:bookmarkEnd w:id="159"/>
      <w:bookmarkEnd w:id="160"/>
      <w:bookmarkEnd w:id="161"/>
      <w:bookmarkEnd w:id="162"/>
      <w:bookmarkEnd w:id="163"/>
      <w:bookmarkEnd w:id="164"/>
      <w:bookmarkEnd w:id="165"/>
    </w:p>
    <w:p w14:paraId="4F00EF29">
      <w:pPr>
        <w:pStyle w:val="5"/>
        <w:numPr>
          <w:ilvl w:val="2"/>
          <w:numId w:val="0"/>
        </w:numPr>
        <w:ind w:left="624" w:hanging="624"/>
        <w:rPr>
          <w:highlight w:val="none"/>
        </w:rPr>
      </w:pPr>
      <w:bookmarkStart w:id="166" w:name="_Toc14261"/>
      <w:r>
        <w:rPr>
          <w:rFonts w:hint="eastAsia"/>
          <w:highlight w:val="none"/>
        </w:rPr>
        <w:t>4.1.1与发包人的协调配合</w:t>
      </w:r>
      <w:bookmarkEnd w:id="166"/>
    </w:p>
    <w:p w14:paraId="7758B8A6">
      <w:pPr>
        <w:pStyle w:val="6"/>
        <w:numPr>
          <w:ilvl w:val="3"/>
          <w:numId w:val="0"/>
        </w:numPr>
        <w:ind w:left="864" w:leftChars="100" w:hanging="624"/>
        <w:rPr>
          <w:highlight w:val="none"/>
        </w:rPr>
      </w:pPr>
      <w:r>
        <w:rPr>
          <w:rFonts w:hint="eastAsia"/>
          <w:highlight w:val="none"/>
        </w:rPr>
        <w:t>4.1.1.1按照合同约定，对发包人负责，执行发包人指令，不得拖延、推诿。</w:t>
      </w:r>
    </w:p>
    <w:p w14:paraId="4377950D">
      <w:pPr>
        <w:pStyle w:val="6"/>
        <w:numPr>
          <w:ilvl w:val="3"/>
          <w:numId w:val="0"/>
        </w:numPr>
        <w:ind w:left="864" w:leftChars="100" w:hanging="624"/>
        <w:rPr>
          <w:highlight w:val="none"/>
        </w:rPr>
      </w:pPr>
      <w:r>
        <w:rPr>
          <w:rFonts w:hint="eastAsia"/>
          <w:highlight w:val="none"/>
        </w:rPr>
        <w:t>4.1.1.2在发包人不完全具备施工条件时，应积极配合发包人进行手续报批、外围机构的协调沟通等工作。</w:t>
      </w:r>
    </w:p>
    <w:p w14:paraId="75DAC1F4">
      <w:pPr>
        <w:pStyle w:val="6"/>
        <w:numPr>
          <w:ilvl w:val="3"/>
          <w:numId w:val="0"/>
        </w:numPr>
        <w:ind w:left="864" w:leftChars="100" w:hanging="624"/>
        <w:rPr>
          <w:highlight w:val="none"/>
        </w:rPr>
      </w:pPr>
      <w:r>
        <w:rPr>
          <w:rFonts w:hint="eastAsia"/>
          <w:highlight w:val="none"/>
        </w:rPr>
        <w:t>4.1.1.3在施工准备阶段，应积极配合发包人完成临水、临电、道路开口等准备工作。</w:t>
      </w:r>
    </w:p>
    <w:p w14:paraId="0E39EF32">
      <w:pPr>
        <w:pStyle w:val="6"/>
        <w:numPr>
          <w:ilvl w:val="3"/>
          <w:numId w:val="0"/>
        </w:numPr>
        <w:ind w:left="864" w:leftChars="100" w:hanging="624"/>
        <w:rPr>
          <w:highlight w:val="none"/>
        </w:rPr>
      </w:pPr>
      <w:r>
        <w:rPr>
          <w:rFonts w:hint="eastAsia"/>
          <w:highlight w:val="none"/>
        </w:rPr>
        <w:t>4.1.1.4定期（每周/月）向发包人提供工程报告，工程报告内容需包含工程形象进度、计划执行情况、重点施工部位照片、质量和安全文明施工等情况，还应包括对专业承包人</w:t>
      </w:r>
      <w:r>
        <w:rPr>
          <w:highlight w:val="none"/>
        </w:rPr>
        <w:t>及自身的评价、</w:t>
      </w:r>
      <w:r>
        <w:rPr>
          <w:rFonts w:hint="eastAsia"/>
          <w:highlight w:val="none"/>
        </w:rPr>
        <w:t>进度延期原因分析及措施等内容。此外，总承包人需根据发包人要求提供阶段性总结，并采取相关措施，提升上一阶段在工期、质量及安全文明方面存在的问题，保证相关措施的落地。</w:t>
      </w:r>
    </w:p>
    <w:p w14:paraId="10897B27">
      <w:pPr>
        <w:pStyle w:val="6"/>
        <w:numPr>
          <w:ilvl w:val="3"/>
          <w:numId w:val="0"/>
        </w:numPr>
        <w:ind w:left="864" w:leftChars="100" w:hanging="624"/>
        <w:rPr>
          <w:highlight w:val="none"/>
        </w:rPr>
      </w:pPr>
      <w:r>
        <w:rPr>
          <w:rFonts w:hint="eastAsia"/>
          <w:highlight w:val="none"/>
        </w:rPr>
        <w:t>4.1.1.5参加由发包人组织的各项例会，并确保会议所达成果的及时落地。</w:t>
      </w:r>
    </w:p>
    <w:p w14:paraId="63508880">
      <w:pPr>
        <w:pStyle w:val="6"/>
        <w:numPr>
          <w:ilvl w:val="3"/>
          <w:numId w:val="0"/>
        </w:numPr>
        <w:ind w:left="864" w:leftChars="100" w:hanging="624"/>
        <w:rPr>
          <w:highlight w:val="none"/>
        </w:rPr>
      </w:pPr>
      <w:r>
        <w:rPr>
          <w:rFonts w:hint="eastAsia"/>
          <w:highlight w:val="none"/>
        </w:rPr>
        <w:t>4.1.1.6配合发包人进行质量安全检查工作。</w:t>
      </w:r>
    </w:p>
    <w:p w14:paraId="060F0CBF">
      <w:pPr>
        <w:pStyle w:val="6"/>
        <w:numPr>
          <w:ilvl w:val="3"/>
          <w:numId w:val="0"/>
        </w:numPr>
        <w:ind w:left="864" w:leftChars="100" w:hanging="624"/>
        <w:rPr>
          <w:highlight w:val="none"/>
        </w:rPr>
      </w:pPr>
      <w:r>
        <w:rPr>
          <w:rFonts w:hint="eastAsia"/>
          <w:highlight w:val="none"/>
        </w:rPr>
        <w:t>4.1.1.7竣工验收时承包人统一汇总竣工资料，并向发包人移交至少六套竣工资料，满足发包人要求。</w:t>
      </w:r>
    </w:p>
    <w:p w14:paraId="42BA8F3D">
      <w:pPr>
        <w:pStyle w:val="6"/>
        <w:numPr>
          <w:ilvl w:val="3"/>
          <w:numId w:val="0"/>
        </w:numPr>
        <w:ind w:left="864" w:leftChars="100" w:hanging="624"/>
        <w:rPr>
          <w:highlight w:val="none"/>
        </w:rPr>
      </w:pPr>
      <w:r>
        <w:rPr>
          <w:rFonts w:hint="eastAsia"/>
          <w:highlight w:val="none"/>
        </w:rPr>
        <w:t>4.1.1.8对发包人安排的</w:t>
      </w:r>
      <w:r>
        <w:rPr>
          <w:highlight w:val="none"/>
        </w:rPr>
        <w:t>临时工程</w:t>
      </w:r>
      <w:r>
        <w:rPr>
          <w:rFonts w:hint="eastAsia"/>
          <w:highlight w:val="none"/>
        </w:rPr>
        <w:t>、</w:t>
      </w:r>
      <w:r>
        <w:rPr>
          <w:highlight w:val="none"/>
        </w:rPr>
        <w:t>零星工程，以及</w:t>
      </w:r>
      <w:r>
        <w:rPr>
          <w:rFonts w:hint="eastAsia"/>
          <w:highlight w:val="none"/>
        </w:rPr>
        <w:t>质量缺陷整改及后续的维保工作，总承包人应以积极的</w:t>
      </w:r>
      <w:r>
        <w:rPr>
          <w:highlight w:val="none"/>
        </w:rPr>
        <w:t>态度</w:t>
      </w:r>
      <w:r>
        <w:rPr>
          <w:rFonts w:hint="eastAsia"/>
          <w:highlight w:val="none"/>
        </w:rPr>
        <w:t>予以配合并立即实施，不得以各种理由进行推脱。</w:t>
      </w:r>
    </w:p>
    <w:p w14:paraId="5CA8048B">
      <w:pPr>
        <w:pStyle w:val="6"/>
        <w:numPr>
          <w:ilvl w:val="3"/>
          <w:numId w:val="0"/>
        </w:numPr>
        <w:ind w:left="864" w:leftChars="100" w:hanging="624"/>
        <w:rPr>
          <w:highlight w:val="none"/>
        </w:rPr>
      </w:pPr>
      <w:r>
        <w:rPr>
          <w:rFonts w:hint="eastAsia"/>
          <w:highlight w:val="none"/>
        </w:rPr>
        <w:t>4.1.1.9当工程出现渗漏等质量问题时，在接到发包人通知后须在《工程质量保修协议》中规定时间内到达工程现场，积极履行保修义务。</w:t>
      </w:r>
    </w:p>
    <w:p w14:paraId="396FA650">
      <w:pPr>
        <w:pStyle w:val="6"/>
        <w:numPr>
          <w:ilvl w:val="3"/>
          <w:numId w:val="0"/>
        </w:numPr>
        <w:ind w:left="864" w:leftChars="100" w:hanging="624"/>
        <w:rPr>
          <w:highlight w:val="none"/>
        </w:rPr>
      </w:pPr>
      <w:r>
        <w:rPr>
          <w:rFonts w:hint="eastAsia"/>
          <w:highlight w:val="none"/>
        </w:rPr>
        <w:t>4.1.1.10工程完工后应定期进行回访。交房后一个月应组织各专业承包人对工程进行回访，了解工程的实际使用情况。保修期内定期（每半年度）对工程进行再回访。</w:t>
      </w:r>
    </w:p>
    <w:p w14:paraId="0A39242D">
      <w:pPr>
        <w:pStyle w:val="6"/>
        <w:numPr>
          <w:ilvl w:val="3"/>
          <w:numId w:val="0"/>
        </w:numPr>
        <w:ind w:left="864" w:leftChars="100" w:hanging="624"/>
        <w:rPr>
          <w:highlight w:val="none"/>
        </w:rPr>
      </w:pPr>
      <w:r>
        <w:rPr>
          <w:rFonts w:hint="eastAsia"/>
          <w:highlight w:val="none"/>
        </w:rPr>
        <w:t>4.1.1.11</w:t>
      </w:r>
      <w:r>
        <w:rPr>
          <w:rFonts w:hint="eastAsia" w:cs="Arial"/>
          <w:highlight w:val="none"/>
        </w:rPr>
        <w:t>发包人进行</w:t>
      </w:r>
      <w:r>
        <w:rPr>
          <w:rFonts w:hint="eastAsia"/>
          <w:highlight w:val="none"/>
        </w:rPr>
        <w:t>专业承包人</w:t>
      </w:r>
      <w:r>
        <w:rPr>
          <w:rFonts w:hint="eastAsia" w:cs="Arial"/>
          <w:highlight w:val="none"/>
        </w:rPr>
        <w:t>的招标时，总承包人应提供总承包人与发包人管理协议，供发包人</w:t>
      </w:r>
      <w:r>
        <w:rPr>
          <w:rFonts w:cs="Arial"/>
          <w:highlight w:val="none"/>
        </w:rPr>
        <w:t>作为招标参考</w:t>
      </w:r>
      <w:r>
        <w:rPr>
          <w:rFonts w:hint="eastAsia" w:cs="Arial"/>
          <w:highlight w:val="none"/>
        </w:rPr>
        <w:t>。</w:t>
      </w:r>
    </w:p>
    <w:p w14:paraId="4416F44B">
      <w:pPr>
        <w:pStyle w:val="5"/>
        <w:numPr>
          <w:ilvl w:val="2"/>
          <w:numId w:val="0"/>
        </w:numPr>
        <w:ind w:left="624" w:hanging="624"/>
        <w:rPr>
          <w:highlight w:val="none"/>
        </w:rPr>
      </w:pPr>
      <w:bookmarkStart w:id="167" w:name="_Toc15805"/>
      <w:r>
        <w:rPr>
          <w:rFonts w:hint="eastAsia"/>
          <w:highlight w:val="none"/>
        </w:rPr>
        <w:t>4.1.2与设计人的协调配合</w:t>
      </w:r>
      <w:bookmarkEnd w:id="167"/>
    </w:p>
    <w:p w14:paraId="2A510A60">
      <w:pPr>
        <w:pStyle w:val="6"/>
        <w:numPr>
          <w:ilvl w:val="3"/>
          <w:numId w:val="0"/>
        </w:numPr>
        <w:ind w:left="864" w:leftChars="100" w:hanging="624"/>
        <w:rPr>
          <w:highlight w:val="none"/>
        </w:rPr>
      </w:pPr>
      <w:r>
        <w:rPr>
          <w:rFonts w:hint="eastAsia"/>
          <w:highlight w:val="none"/>
        </w:rPr>
        <w:t>4.1.2.1组织协调深化设计工作，严格按照设计要求由总承包人或专业承包人绘制各种加工图、安装节点图、专业深化设计、二次设计等，报送发包人及设计人批准，</w:t>
      </w:r>
      <w:r>
        <w:rPr>
          <w:highlight w:val="none"/>
        </w:rPr>
        <w:t>并承担和支付</w:t>
      </w:r>
      <w:r>
        <w:rPr>
          <w:rFonts w:hint="eastAsia"/>
          <w:highlight w:val="none"/>
        </w:rPr>
        <w:t>深化设计图纸</w:t>
      </w:r>
      <w:r>
        <w:rPr>
          <w:highlight w:val="none"/>
        </w:rPr>
        <w:t>所需的</w:t>
      </w:r>
      <w:r>
        <w:rPr>
          <w:rFonts w:hint="eastAsia"/>
          <w:highlight w:val="none"/>
        </w:rPr>
        <w:t>各种费用。</w:t>
      </w:r>
    </w:p>
    <w:p w14:paraId="4A1665C3">
      <w:pPr>
        <w:pStyle w:val="6"/>
        <w:numPr>
          <w:ilvl w:val="3"/>
          <w:numId w:val="0"/>
        </w:numPr>
        <w:ind w:left="864" w:leftChars="100" w:hanging="624"/>
        <w:rPr>
          <w:highlight w:val="none"/>
        </w:rPr>
      </w:pPr>
      <w:r>
        <w:rPr>
          <w:rFonts w:hint="eastAsia"/>
          <w:highlight w:val="none"/>
        </w:rPr>
        <w:t>4.1.2.2在设计协调工作中，总承包人要有全局意识，协调各专业承包人在施工中需要与设计人协商解决的问题，并能根据以往丰富的施工经验预见一些涉及专业交叉的普遍性问题，减少工程的拆改、返工。</w:t>
      </w:r>
    </w:p>
    <w:p w14:paraId="6E7F0640">
      <w:pPr>
        <w:pStyle w:val="6"/>
        <w:numPr>
          <w:ilvl w:val="3"/>
          <w:numId w:val="0"/>
        </w:numPr>
        <w:ind w:left="864" w:leftChars="100" w:hanging="624"/>
        <w:rPr>
          <w:highlight w:val="none"/>
        </w:rPr>
      </w:pPr>
      <w:r>
        <w:rPr>
          <w:rFonts w:hint="eastAsia"/>
          <w:highlight w:val="none"/>
        </w:rPr>
        <w:t>4.1.2.3在发包人的组织下，邀请设计人员对工程进行指导，提前了解设计意图，明确质量要求，将图纸上存在的问题和错误、各专业之间的矛盾等尽最大可能解决在工程开工之前。报请发包人、设计、监理工程师确认后，及时汇总、整理出图纸会审记录或及时请设计单位下发设计变更。</w:t>
      </w:r>
    </w:p>
    <w:p w14:paraId="2A72B146">
      <w:pPr>
        <w:pStyle w:val="6"/>
        <w:numPr>
          <w:ilvl w:val="3"/>
          <w:numId w:val="0"/>
        </w:numPr>
        <w:ind w:left="864" w:leftChars="100" w:hanging="624"/>
        <w:rPr>
          <w:highlight w:val="none"/>
        </w:rPr>
      </w:pPr>
      <w:r>
        <w:rPr>
          <w:rFonts w:hint="eastAsia"/>
          <w:highlight w:val="none"/>
        </w:rPr>
        <w:t>4.1.2.4在发包人的组织下，承包人参与图纸会审及图纸交底工作。</w:t>
      </w:r>
    </w:p>
    <w:p w14:paraId="34EA59E2">
      <w:pPr>
        <w:pStyle w:val="6"/>
        <w:numPr>
          <w:ilvl w:val="3"/>
          <w:numId w:val="0"/>
        </w:numPr>
        <w:ind w:left="864" w:leftChars="100" w:hanging="624"/>
        <w:rPr>
          <w:highlight w:val="none"/>
        </w:rPr>
      </w:pPr>
      <w:r>
        <w:rPr>
          <w:rFonts w:hint="eastAsia"/>
          <w:highlight w:val="none"/>
        </w:rPr>
        <w:t>4.1.2.5按照发包人要求，编制自承包范围内的深化设计计划，并按照工程需要分阶段进行。</w:t>
      </w:r>
    </w:p>
    <w:p w14:paraId="4813D250">
      <w:pPr>
        <w:pStyle w:val="6"/>
        <w:numPr>
          <w:ilvl w:val="3"/>
          <w:numId w:val="0"/>
        </w:numPr>
        <w:ind w:left="864" w:leftChars="100" w:hanging="624"/>
        <w:rPr>
          <w:highlight w:val="none"/>
        </w:rPr>
      </w:pPr>
      <w:r>
        <w:rPr>
          <w:rFonts w:hint="eastAsia"/>
          <w:highlight w:val="none"/>
        </w:rPr>
        <w:t>4.1.2.6由于总承包人原因造成的错误或整改，总承包人要编制专门的整改方案，方案经发包人</w:t>
      </w:r>
      <w:r>
        <w:rPr>
          <w:highlight w:val="none"/>
        </w:rPr>
        <w:t>协调设计人</w:t>
      </w:r>
      <w:r>
        <w:rPr>
          <w:rFonts w:hint="eastAsia"/>
          <w:highlight w:val="none"/>
        </w:rPr>
        <w:t>审批后方可执行。</w:t>
      </w:r>
    </w:p>
    <w:p w14:paraId="465C8C1C">
      <w:pPr>
        <w:pStyle w:val="5"/>
        <w:numPr>
          <w:ilvl w:val="2"/>
          <w:numId w:val="0"/>
        </w:numPr>
        <w:ind w:left="624" w:hanging="624"/>
        <w:rPr>
          <w:highlight w:val="none"/>
        </w:rPr>
      </w:pPr>
      <w:bookmarkStart w:id="168" w:name="_Toc24681"/>
      <w:r>
        <w:rPr>
          <w:rFonts w:hint="eastAsia"/>
          <w:highlight w:val="none"/>
        </w:rPr>
        <w:t>4.1.3与监理人的协调配合</w:t>
      </w:r>
      <w:bookmarkEnd w:id="168"/>
    </w:p>
    <w:p w14:paraId="27793250">
      <w:pPr>
        <w:pStyle w:val="6"/>
        <w:numPr>
          <w:ilvl w:val="3"/>
          <w:numId w:val="0"/>
        </w:numPr>
        <w:ind w:left="864" w:leftChars="100" w:hanging="624"/>
        <w:rPr>
          <w:highlight w:val="none"/>
        </w:rPr>
      </w:pPr>
      <w:r>
        <w:rPr>
          <w:rFonts w:hint="eastAsia"/>
          <w:highlight w:val="none"/>
        </w:rPr>
        <w:t>4.1.3.1总承包人在本工程合同实施过程中的往来文件、报告必须通过监理人向发包人传递。</w:t>
      </w:r>
    </w:p>
    <w:p w14:paraId="2DB54651">
      <w:pPr>
        <w:pStyle w:val="6"/>
        <w:numPr>
          <w:ilvl w:val="3"/>
          <w:numId w:val="0"/>
        </w:numPr>
        <w:ind w:left="864" w:leftChars="100" w:hanging="624"/>
        <w:rPr>
          <w:highlight w:val="none"/>
        </w:rPr>
      </w:pPr>
      <w:r>
        <w:rPr>
          <w:rFonts w:hint="eastAsia"/>
          <w:highlight w:val="none"/>
        </w:rPr>
        <w:t>4.1.3.2承包人的管理人员要按时参加监理例会，例会形成的决议要得到坚决的贯彻执行；除监理工程师通知外，各种会议纪要、工作联系单等文件也应在规定的时间内进行回复。</w:t>
      </w:r>
    </w:p>
    <w:p w14:paraId="3F83A21A">
      <w:pPr>
        <w:pStyle w:val="6"/>
        <w:numPr>
          <w:ilvl w:val="3"/>
          <w:numId w:val="0"/>
        </w:numPr>
        <w:ind w:left="864" w:leftChars="100" w:hanging="624"/>
        <w:rPr>
          <w:highlight w:val="none"/>
        </w:rPr>
      </w:pPr>
      <w:r>
        <w:rPr>
          <w:rFonts w:hint="eastAsia"/>
          <w:highlight w:val="none"/>
        </w:rPr>
        <w:t>4.1.3.3对监理工程师的指令应严格执行并及时回复，如有不同意见，应书面报告监理工程师并可直接抄送发包人。</w:t>
      </w:r>
    </w:p>
    <w:p w14:paraId="62E67FA3">
      <w:pPr>
        <w:pStyle w:val="6"/>
        <w:numPr>
          <w:ilvl w:val="3"/>
          <w:numId w:val="0"/>
        </w:numPr>
        <w:ind w:left="864" w:leftChars="100" w:hanging="624"/>
        <w:rPr>
          <w:highlight w:val="none"/>
        </w:rPr>
      </w:pPr>
      <w:r>
        <w:rPr>
          <w:rFonts w:hint="eastAsia"/>
          <w:highlight w:val="none"/>
        </w:rPr>
        <w:t>4.1.3.4总承包人必须随时接受监理人对各类工程资料、质量保证体系及运行情况、安全保证体系及运行情况的检查，并派专人协助、督促各专业承包人整理好各类工程资料。</w:t>
      </w:r>
    </w:p>
    <w:p w14:paraId="63A1DD93">
      <w:pPr>
        <w:pStyle w:val="6"/>
        <w:numPr>
          <w:ilvl w:val="3"/>
          <w:numId w:val="0"/>
        </w:numPr>
        <w:ind w:left="864" w:leftChars="100" w:hanging="624"/>
        <w:rPr>
          <w:highlight w:val="none"/>
        </w:rPr>
      </w:pPr>
      <w:r>
        <w:rPr>
          <w:rFonts w:hint="eastAsia"/>
          <w:highlight w:val="none"/>
        </w:rPr>
        <w:t>4.1.3.5督促专业承包单位执行监理工程师的指令。</w:t>
      </w:r>
    </w:p>
    <w:p w14:paraId="7919BE6E">
      <w:pPr>
        <w:pStyle w:val="5"/>
        <w:numPr>
          <w:ilvl w:val="2"/>
          <w:numId w:val="0"/>
        </w:numPr>
        <w:ind w:left="624" w:hanging="624"/>
        <w:rPr>
          <w:highlight w:val="none"/>
        </w:rPr>
      </w:pPr>
      <w:bookmarkStart w:id="169" w:name="_Toc24462"/>
      <w:r>
        <w:rPr>
          <w:rFonts w:hint="eastAsia"/>
          <w:highlight w:val="none"/>
        </w:rPr>
        <w:t>4.1.4</w:t>
      </w:r>
      <w:r>
        <w:rPr>
          <w:highlight w:val="none"/>
        </w:rPr>
        <w:t xml:space="preserve"> </w:t>
      </w:r>
      <w:r>
        <w:rPr>
          <w:rFonts w:hint="eastAsia"/>
          <w:highlight w:val="none"/>
        </w:rPr>
        <w:t>与</w:t>
      </w:r>
      <w:r>
        <w:rPr>
          <w:highlight w:val="none"/>
        </w:rPr>
        <w:t>第三检测、监测配合要求</w:t>
      </w:r>
      <w:bookmarkEnd w:id="169"/>
    </w:p>
    <w:p w14:paraId="5B6229A8">
      <w:pPr>
        <w:pStyle w:val="6"/>
        <w:numPr>
          <w:ilvl w:val="3"/>
          <w:numId w:val="0"/>
        </w:numPr>
        <w:ind w:left="864" w:leftChars="100" w:hanging="624"/>
        <w:rPr>
          <w:highlight w:val="none"/>
        </w:rPr>
      </w:pPr>
      <w:r>
        <w:rPr>
          <w:rFonts w:hint="eastAsia"/>
          <w:highlight w:val="none"/>
        </w:rPr>
        <w:t>4.1.4.1</w:t>
      </w:r>
      <w:r>
        <w:rPr>
          <w:highlight w:val="none"/>
        </w:rPr>
        <w:t>提供有关该工程检测、监测所需的相关工程技术资料；</w:t>
      </w:r>
    </w:p>
    <w:p w14:paraId="03A8FED0">
      <w:pPr>
        <w:pStyle w:val="6"/>
        <w:numPr>
          <w:ilvl w:val="3"/>
          <w:numId w:val="0"/>
        </w:numPr>
        <w:ind w:left="864" w:leftChars="100" w:hanging="624"/>
        <w:rPr>
          <w:highlight w:val="none"/>
        </w:rPr>
      </w:pPr>
      <w:r>
        <w:rPr>
          <w:rFonts w:hint="eastAsia"/>
          <w:highlight w:val="none"/>
        </w:rPr>
        <w:t>4.1.4.2</w:t>
      </w:r>
      <w:r>
        <w:rPr>
          <w:highlight w:val="none"/>
        </w:rPr>
        <w:t>现场保障足够的安全措施，符合安全施工要求，保障检测、监测人员及设备的安全；</w:t>
      </w:r>
    </w:p>
    <w:p w14:paraId="44F69490">
      <w:pPr>
        <w:pStyle w:val="6"/>
        <w:numPr>
          <w:ilvl w:val="3"/>
          <w:numId w:val="0"/>
        </w:numPr>
        <w:ind w:left="864" w:leftChars="100" w:hanging="624"/>
        <w:rPr>
          <w:highlight w:val="none"/>
        </w:rPr>
      </w:pPr>
      <w:r>
        <w:rPr>
          <w:rFonts w:hint="eastAsia"/>
          <w:highlight w:val="none"/>
        </w:rPr>
        <w:t>4.1.4.3</w:t>
      </w:r>
      <w:r>
        <w:rPr>
          <w:highlight w:val="none"/>
        </w:rPr>
        <w:t>协助检测、监测单位的设备进退场，包括但不限于提供场内小型机械设备吊运， 安排专人协助检测、监测单位主要检测、监测设备场内搬运等，安排必须的人员配合检测、监测单位工作；</w:t>
      </w:r>
    </w:p>
    <w:p w14:paraId="305022AB">
      <w:pPr>
        <w:pStyle w:val="6"/>
        <w:numPr>
          <w:ilvl w:val="3"/>
          <w:numId w:val="0"/>
        </w:numPr>
        <w:ind w:left="864" w:leftChars="100" w:hanging="624"/>
        <w:rPr>
          <w:highlight w:val="none"/>
        </w:rPr>
      </w:pPr>
      <w:r>
        <w:rPr>
          <w:rFonts w:hint="eastAsia"/>
          <w:highlight w:val="none"/>
        </w:rPr>
        <w:t>4.1.4.4</w:t>
      </w:r>
      <w:r>
        <w:rPr>
          <w:highlight w:val="none"/>
        </w:rPr>
        <w:t>负责协调相关方的关系，及时解决现场检测、监测作业时与相关方产生的矛盾。 对由于未能协调好相关方关系而影响检测、监测工作的顺利进行，造成相应的经济损失承担责任；</w:t>
      </w:r>
    </w:p>
    <w:p w14:paraId="73AEC43A">
      <w:pPr>
        <w:pStyle w:val="6"/>
        <w:numPr>
          <w:ilvl w:val="3"/>
          <w:numId w:val="0"/>
        </w:numPr>
        <w:ind w:left="864" w:leftChars="100" w:hanging="624"/>
        <w:rPr>
          <w:highlight w:val="none"/>
        </w:rPr>
      </w:pPr>
      <w:r>
        <w:rPr>
          <w:rFonts w:hint="eastAsia"/>
          <w:highlight w:val="none"/>
        </w:rPr>
        <w:t>4.1.4.5</w:t>
      </w:r>
      <w:r>
        <w:rPr>
          <w:highlight w:val="none"/>
        </w:rPr>
        <w:t>现场配合工作：收到进场检测通知后，根据检测、监测单位要求做好配合工作，包括且不限于：提供场地、水、电，修筑满足检测、监测要求的临时施工便道、检测用反力板、桩帽，做好挖土方、换填、检测用梯子、门式架、排水等工作；</w:t>
      </w:r>
    </w:p>
    <w:p w14:paraId="4D87B659">
      <w:pPr>
        <w:pStyle w:val="6"/>
        <w:numPr>
          <w:ilvl w:val="3"/>
          <w:numId w:val="0"/>
        </w:numPr>
        <w:ind w:left="864" w:leftChars="100" w:hanging="624"/>
        <w:rPr>
          <w:highlight w:val="none"/>
        </w:rPr>
      </w:pPr>
      <w:r>
        <w:rPr>
          <w:rFonts w:hint="eastAsia"/>
          <w:highlight w:val="none"/>
        </w:rPr>
        <w:t>4.1.4.6</w:t>
      </w:r>
      <w:r>
        <w:rPr>
          <w:highlight w:val="none"/>
        </w:rPr>
        <w:t>检测过程中可能造成桩头钢筋、砖胎模、垫层、承台钢筋等损坏，</w:t>
      </w:r>
      <w:r>
        <w:rPr>
          <w:rFonts w:hint="eastAsia"/>
          <w:highlight w:val="none"/>
        </w:rPr>
        <w:t>承包人</w:t>
      </w:r>
      <w:r>
        <w:rPr>
          <w:highlight w:val="none"/>
        </w:rPr>
        <w:t>负责修复，所产生的费用已在投标报价中综合考虑。</w:t>
      </w:r>
    </w:p>
    <w:p w14:paraId="231E9A20">
      <w:pPr>
        <w:pStyle w:val="4"/>
        <w:numPr>
          <w:ilvl w:val="1"/>
          <w:numId w:val="0"/>
        </w:numPr>
        <w:ind w:left="624" w:hanging="624"/>
        <w:rPr>
          <w:highlight w:val="none"/>
        </w:rPr>
      </w:pPr>
      <w:bookmarkStart w:id="170" w:name="_Toc179562970"/>
      <w:bookmarkStart w:id="171" w:name="_Toc4101"/>
      <w:bookmarkStart w:id="172" w:name="_Toc19349"/>
      <w:bookmarkStart w:id="173" w:name="_Toc27617"/>
      <w:bookmarkStart w:id="174" w:name="_Toc2157"/>
      <w:bookmarkStart w:id="175" w:name="_Toc23636"/>
      <w:bookmarkStart w:id="176" w:name="_Toc19910"/>
      <w:bookmarkStart w:id="177" w:name="_Toc169722201"/>
      <w:r>
        <w:rPr>
          <w:rFonts w:hint="eastAsia"/>
          <w:highlight w:val="none"/>
        </w:rPr>
        <w:t>4.2总承包人现场整体照管的要求</w:t>
      </w:r>
      <w:bookmarkEnd w:id="170"/>
      <w:bookmarkEnd w:id="171"/>
      <w:bookmarkEnd w:id="172"/>
      <w:bookmarkEnd w:id="173"/>
      <w:bookmarkEnd w:id="174"/>
      <w:bookmarkEnd w:id="175"/>
      <w:bookmarkEnd w:id="176"/>
      <w:bookmarkEnd w:id="177"/>
    </w:p>
    <w:p w14:paraId="05E52F69">
      <w:pPr>
        <w:pStyle w:val="5"/>
        <w:numPr>
          <w:ilvl w:val="2"/>
          <w:numId w:val="0"/>
        </w:numPr>
        <w:ind w:left="624" w:hanging="624"/>
        <w:rPr>
          <w:highlight w:val="none"/>
        </w:rPr>
      </w:pPr>
      <w:bookmarkStart w:id="178" w:name="_Toc10316"/>
      <w:r>
        <w:rPr>
          <w:rFonts w:hint="eastAsia"/>
          <w:highlight w:val="none"/>
        </w:rPr>
        <w:t>4.2.1 一般原则</w:t>
      </w:r>
      <w:bookmarkEnd w:id="178"/>
    </w:p>
    <w:p w14:paraId="1949FA8C">
      <w:pPr>
        <w:pStyle w:val="6"/>
        <w:numPr>
          <w:ilvl w:val="3"/>
          <w:numId w:val="0"/>
        </w:numPr>
        <w:ind w:left="864" w:leftChars="100" w:hanging="624"/>
        <w:rPr>
          <w:highlight w:val="none"/>
        </w:rPr>
      </w:pPr>
      <w:r>
        <w:rPr>
          <w:rFonts w:hint="eastAsia"/>
          <w:highlight w:val="none"/>
        </w:rPr>
        <w:t>4.2.1.1照管的定义与范围</w:t>
      </w:r>
    </w:p>
    <w:p w14:paraId="32861CF8">
      <w:pPr>
        <w:ind w:firstLine="480"/>
        <w:rPr>
          <w:highlight w:val="none"/>
        </w:rPr>
      </w:pPr>
      <w:r>
        <w:rPr>
          <w:rFonts w:hint="eastAsia"/>
          <w:highlight w:val="none"/>
        </w:rPr>
        <w:t>总承包人对专业承包人/独立承包人按照合同要求进行配合、协调及管理。在施工现场照管方面，由总承包人统一进行组织。其范围包括但不限于：临时</w:t>
      </w:r>
      <w:r>
        <w:rPr>
          <w:highlight w:val="none"/>
        </w:rPr>
        <w:t>设施、</w:t>
      </w:r>
      <w:r>
        <w:rPr>
          <w:rFonts w:hint="eastAsia"/>
          <w:highlight w:val="none"/>
        </w:rPr>
        <w:t>临时</w:t>
      </w:r>
      <w:r>
        <w:rPr>
          <w:highlight w:val="none"/>
        </w:rPr>
        <w:t>用水、临时用电、临时排污、临时排水、临时</w:t>
      </w:r>
      <w:r>
        <w:rPr>
          <w:rFonts w:hint="eastAsia"/>
          <w:highlight w:val="none"/>
        </w:rPr>
        <w:t>通风、</w:t>
      </w:r>
      <w:r>
        <w:rPr>
          <w:highlight w:val="none"/>
        </w:rPr>
        <w:t>施工场地、现场临时道路、施工机械、脚手架、照明、垃圾清运、安全保卫</w:t>
      </w:r>
      <w:r>
        <w:rPr>
          <w:rFonts w:hint="eastAsia"/>
          <w:highlight w:val="none"/>
        </w:rPr>
        <w:t>、治污减霾等。此外，总承包人应提供冬雨季及特别极端天气所需的特别措施。发包人将根据此规定进行监督、检查、验收，否则，发包人有权在后续费用中扣除。精装修区域与精装修单位组织工作面移交后，由精装专业承包负责对户内精装施工区域进行协调、配合和照管。</w:t>
      </w:r>
    </w:p>
    <w:p w14:paraId="38456195">
      <w:pPr>
        <w:pStyle w:val="6"/>
        <w:numPr>
          <w:ilvl w:val="3"/>
          <w:numId w:val="0"/>
        </w:numPr>
        <w:ind w:left="864" w:leftChars="100" w:hanging="624"/>
        <w:rPr>
          <w:highlight w:val="none"/>
        </w:rPr>
      </w:pPr>
      <w:r>
        <w:rPr>
          <w:rFonts w:hint="eastAsia"/>
          <w:highlight w:val="none"/>
        </w:rPr>
        <w:t>4.2.1.2照管时间要求</w:t>
      </w:r>
    </w:p>
    <w:p w14:paraId="660AB733">
      <w:pPr>
        <w:ind w:firstLine="480"/>
        <w:rPr>
          <w:highlight w:val="none"/>
        </w:rPr>
      </w:pPr>
      <w:r>
        <w:rPr>
          <w:rFonts w:hint="eastAsia"/>
          <w:highlight w:val="none"/>
        </w:rPr>
        <w:t>总承包人照管职责自总承包单位以发包方确认的场地移交之日起，到集中交付止（工程移交使用方）</w:t>
      </w:r>
      <w:r>
        <w:rPr>
          <w:highlight w:val="none"/>
        </w:rPr>
        <w:t>。</w:t>
      </w:r>
    </w:p>
    <w:p w14:paraId="4EAEA78E">
      <w:pPr>
        <w:pStyle w:val="6"/>
        <w:numPr>
          <w:ilvl w:val="3"/>
          <w:numId w:val="0"/>
        </w:numPr>
        <w:ind w:left="864" w:leftChars="100" w:hanging="624"/>
        <w:rPr>
          <w:highlight w:val="none"/>
        </w:rPr>
      </w:pPr>
      <w:r>
        <w:rPr>
          <w:rFonts w:hint="eastAsia"/>
          <w:highlight w:val="none"/>
        </w:rPr>
        <w:t>4.2.1.3照管费（总包配合管理服务费）</w:t>
      </w:r>
    </w:p>
    <w:p w14:paraId="331389C4">
      <w:pPr>
        <w:ind w:firstLine="480"/>
        <w:rPr>
          <w:highlight w:val="none"/>
        </w:rPr>
      </w:pPr>
      <w:r>
        <w:rPr>
          <w:rFonts w:hint="eastAsia"/>
          <w:highlight w:val="none"/>
        </w:rPr>
        <w:t>照管</w:t>
      </w:r>
      <w:r>
        <w:rPr>
          <w:highlight w:val="none"/>
        </w:rPr>
        <w:t>费</w:t>
      </w:r>
      <w:r>
        <w:rPr>
          <w:rFonts w:hint="eastAsia"/>
          <w:highlight w:val="none"/>
        </w:rPr>
        <w:t>由总承包人在报价中考虑，发包人统一支付给总承包人，总承包人不得再向专业承包人/独立承包人收取任何费用。</w:t>
      </w:r>
    </w:p>
    <w:p w14:paraId="26BC950A">
      <w:pPr>
        <w:pStyle w:val="5"/>
        <w:numPr>
          <w:ilvl w:val="2"/>
          <w:numId w:val="0"/>
        </w:numPr>
        <w:ind w:left="624" w:hanging="624"/>
        <w:rPr>
          <w:highlight w:val="none"/>
        </w:rPr>
      </w:pPr>
      <w:bookmarkStart w:id="179" w:name="_Toc10937"/>
      <w:r>
        <w:rPr>
          <w:rFonts w:hint="eastAsia"/>
          <w:highlight w:val="none"/>
        </w:rPr>
        <w:t>4.2.2 临时</w:t>
      </w:r>
      <w:r>
        <w:rPr>
          <w:highlight w:val="none"/>
        </w:rPr>
        <w:t>设施</w:t>
      </w:r>
      <w:bookmarkEnd w:id="179"/>
    </w:p>
    <w:p w14:paraId="28BF2E29">
      <w:pPr>
        <w:pStyle w:val="6"/>
        <w:numPr>
          <w:ilvl w:val="3"/>
          <w:numId w:val="0"/>
        </w:numPr>
        <w:ind w:left="864" w:leftChars="100" w:hanging="624"/>
        <w:rPr>
          <w:highlight w:val="none"/>
        </w:rPr>
      </w:pPr>
      <w:r>
        <w:rPr>
          <w:rFonts w:hint="eastAsia"/>
          <w:highlight w:val="none"/>
        </w:rPr>
        <w:t>4.2.2.1发包人不向总承包人提供生活用地及用房。</w:t>
      </w:r>
    </w:p>
    <w:p w14:paraId="79EA1F4B">
      <w:pPr>
        <w:pStyle w:val="6"/>
        <w:numPr>
          <w:ilvl w:val="3"/>
          <w:numId w:val="0"/>
        </w:numPr>
        <w:ind w:left="864" w:leftChars="100" w:hanging="624"/>
        <w:rPr>
          <w:highlight w:val="none"/>
        </w:rPr>
      </w:pPr>
      <w:r>
        <w:rPr>
          <w:rFonts w:hint="eastAsia"/>
          <w:highlight w:val="none"/>
        </w:rPr>
        <w:t>4.2.2.2本项目任何临时工程的施工方案和开工，必须经监理单位及发包人的同意。合同结束后，对所有修建的红线内外的临时设施，承包人均须拆除运走，恢复修建前的原有状态，并达到监理单位及发包人要求，除非工程合同另有协议约定或监理单位及发包人另有指令。</w:t>
      </w:r>
    </w:p>
    <w:p w14:paraId="551B6E3C">
      <w:pPr>
        <w:pStyle w:val="6"/>
        <w:numPr>
          <w:ilvl w:val="3"/>
          <w:numId w:val="0"/>
        </w:numPr>
        <w:ind w:left="864" w:leftChars="100" w:hanging="624"/>
        <w:rPr>
          <w:b/>
          <w:highlight w:val="none"/>
        </w:rPr>
      </w:pPr>
      <w:r>
        <w:rPr>
          <w:rFonts w:hint="eastAsia"/>
          <w:b/>
          <w:highlight w:val="none"/>
        </w:rPr>
        <w:t>4.2.2.3要求承包人在现有的甲方临时办公设施基础上统一将发包人、承包人、监理方对办公的需求考虑在内，根据发包人的具体要求，不限接受、修缮已有的甲方临时办公设施及新建甲方临时办公设施，后续由承包人进行统一管理、维护、保洁等。（此项需在基本要求费中进行报价）</w:t>
      </w:r>
    </w:p>
    <w:p w14:paraId="257C1BD5">
      <w:pPr>
        <w:pStyle w:val="6"/>
        <w:numPr>
          <w:ilvl w:val="3"/>
          <w:numId w:val="0"/>
        </w:numPr>
        <w:ind w:left="864" w:leftChars="100" w:hanging="624"/>
        <w:rPr>
          <w:highlight w:val="none"/>
        </w:rPr>
      </w:pPr>
      <w:r>
        <w:rPr>
          <w:rFonts w:hint="eastAsia"/>
          <w:highlight w:val="none"/>
        </w:rPr>
        <w:t>4.2.2.4临时设施由总承包人统一规划、统一安排并经发包人审批同意后执行。临时设施根据施工的不同阶段（基础、主体结构、装修、园林市政）进行局部调整，但必须符合各阶段施工平面布置图的总体规划。</w:t>
      </w:r>
    </w:p>
    <w:p w14:paraId="0873FBB0">
      <w:pPr>
        <w:pStyle w:val="6"/>
        <w:numPr>
          <w:ilvl w:val="3"/>
          <w:numId w:val="0"/>
        </w:numPr>
        <w:ind w:left="864" w:leftChars="100" w:hanging="624"/>
        <w:rPr>
          <w:highlight w:val="none"/>
        </w:rPr>
      </w:pPr>
      <w:r>
        <w:rPr>
          <w:rFonts w:hint="eastAsia"/>
          <w:highlight w:val="none"/>
        </w:rPr>
        <w:t>4.2.2.5除专业承包人/独立承包人的加工场、现场仓库房外，其他所有施工现场临时设施搭建与拆除由总承包人负责，总承包人应做好临时设施的维护、维修、更换工作。</w:t>
      </w:r>
    </w:p>
    <w:p w14:paraId="52FAD392">
      <w:pPr>
        <w:pStyle w:val="6"/>
        <w:numPr>
          <w:ilvl w:val="3"/>
          <w:numId w:val="0"/>
        </w:numPr>
        <w:ind w:left="864" w:leftChars="100" w:hanging="624"/>
        <w:rPr>
          <w:highlight w:val="none"/>
        </w:rPr>
      </w:pPr>
      <w:r>
        <w:rPr>
          <w:rFonts w:hint="eastAsia"/>
          <w:highlight w:val="none"/>
        </w:rPr>
        <w:t>4.2.2.6总承包人应为专业承包人</w:t>
      </w:r>
      <w:r>
        <w:rPr>
          <w:highlight w:val="none"/>
        </w:rPr>
        <w:t>/</w:t>
      </w:r>
      <w:r>
        <w:rPr>
          <w:rFonts w:hint="eastAsia"/>
          <w:highlight w:val="none"/>
        </w:rPr>
        <w:t>独立承包人提供位置及空间，用以搭建加工场、现场仓库，专业承包人/独立承包人做好相应的维护、维修、更换和拆除工作。</w:t>
      </w:r>
    </w:p>
    <w:p w14:paraId="7E4F32CD">
      <w:pPr>
        <w:pStyle w:val="6"/>
        <w:numPr>
          <w:ilvl w:val="3"/>
          <w:numId w:val="0"/>
        </w:numPr>
        <w:ind w:left="864" w:leftChars="100" w:hanging="624"/>
        <w:rPr>
          <w:highlight w:val="none"/>
        </w:rPr>
      </w:pPr>
      <w:r>
        <w:rPr>
          <w:rFonts w:hint="eastAsia"/>
          <w:highlight w:val="none"/>
        </w:rPr>
        <w:t>4.2.2.7临时设施（活动室、食堂、临时停车场、厕所、隔油池、化粪池、沉淀池等）要有设计详图和节点图，以上设施及临时管线在各阶段施工平面布置图中要有具体定位。</w:t>
      </w:r>
    </w:p>
    <w:p w14:paraId="6AAD2545">
      <w:pPr>
        <w:pStyle w:val="6"/>
        <w:numPr>
          <w:ilvl w:val="3"/>
          <w:numId w:val="0"/>
        </w:numPr>
        <w:ind w:left="864" w:leftChars="100" w:hanging="624"/>
        <w:rPr>
          <w:highlight w:val="none"/>
        </w:rPr>
      </w:pPr>
      <w:r>
        <w:rPr>
          <w:rFonts w:hint="eastAsia"/>
          <w:highlight w:val="none"/>
        </w:rPr>
        <w:t>4.2.2.8向发包人及监理人提供办公室、</w:t>
      </w:r>
      <w:r>
        <w:rPr>
          <w:highlight w:val="none"/>
        </w:rPr>
        <w:t>宿舍</w:t>
      </w:r>
      <w:r>
        <w:rPr>
          <w:rFonts w:hint="eastAsia"/>
          <w:highlight w:val="none"/>
        </w:rPr>
        <w:t>，数量</w:t>
      </w:r>
      <w:r>
        <w:rPr>
          <w:highlight w:val="none"/>
        </w:rPr>
        <w:t>、大小及具体配置要求需根据</w:t>
      </w:r>
      <w:r>
        <w:rPr>
          <w:rFonts w:hint="eastAsia"/>
          <w:highlight w:val="none"/>
        </w:rPr>
        <w:t>发包人签发</w:t>
      </w:r>
      <w:r>
        <w:rPr>
          <w:highlight w:val="none"/>
        </w:rPr>
        <w:t>的图纸</w:t>
      </w:r>
      <w:r>
        <w:rPr>
          <w:rFonts w:hint="eastAsia"/>
          <w:highlight w:val="none"/>
        </w:rPr>
        <w:t>进行布置。</w:t>
      </w:r>
    </w:p>
    <w:p w14:paraId="143D0398">
      <w:pPr>
        <w:pStyle w:val="6"/>
        <w:numPr>
          <w:ilvl w:val="3"/>
          <w:numId w:val="0"/>
        </w:numPr>
        <w:ind w:left="864" w:leftChars="100" w:hanging="624"/>
        <w:rPr>
          <w:highlight w:val="none"/>
        </w:rPr>
      </w:pPr>
      <w:r>
        <w:rPr>
          <w:rFonts w:hint="eastAsia"/>
          <w:highlight w:val="none"/>
        </w:rPr>
        <w:t>4.2.2.9向专业承包人有偿提供办公用房。</w:t>
      </w:r>
    </w:p>
    <w:p w14:paraId="070BDED6">
      <w:pPr>
        <w:pStyle w:val="6"/>
        <w:numPr>
          <w:ilvl w:val="3"/>
          <w:numId w:val="0"/>
        </w:numPr>
        <w:ind w:left="864" w:leftChars="100" w:hanging="624"/>
        <w:rPr>
          <w:highlight w:val="none"/>
        </w:rPr>
      </w:pPr>
      <w:r>
        <w:rPr>
          <w:rFonts w:hint="eastAsia"/>
          <w:highlight w:val="none"/>
        </w:rPr>
        <w:t>4.2.2.10统一提供的办公</w:t>
      </w:r>
      <w:r>
        <w:rPr>
          <w:highlight w:val="none"/>
        </w:rPr>
        <w:t>区</w:t>
      </w:r>
      <w:r>
        <w:rPr>
          <w:rFonts w:hint="eastAsia"/>
          <w:highlight w:val="none"/>
        </w:rPr>
        <w:t>厕所。办公室区域设置供总、专业承包及监理人使用的厕所；自开工至竣工期间，总承包人须保证该厕所的正常使用，派专人对厕所每天进行冲洗及保洁、消毒并保证无异味。</w:t>
      </w:r>
    </w:p>
    <w:p w14:paraId="769AECAA">
      <w:pPr>
        <w:pStyle w:val="6"/>
        <w:numPr>
          <w:ilvl w:val="3"/>
          <w:numId w:val="0"/>
        </w:numPr>
        <w:ind w:left="864" w:leftChars="100" w:hanging="624"/>
        <w:rPr>
          <w:highlight w:val="none"/>
        </w:rPr>
      </w:pPr>
      <w:r>
        <w:rPr>
          <w:rFonts w:hint="eastAsia"/>
          <w:highlight w:val="none"/>
        </w:rPr>
        <w:t>4.2.2.11承包人及时与当地卫生防疫部门联系，按相关规定采取有效措施防止发生疫情，并配备设施。</w:t>
      </w:r>
    </w:p>
    <w:p w14:paraId="54980774">
      <w:pPr>
        <w:pStyle w:val="6"/>
        <w:numPr>
          <w:ilvl w:val="3"/>
          <w:numId w:val="0"/>
        </w:numPr>
        <w:ind w:left="864" w:leftChars="100" w:hanging="624"/>
        <w:rPr>
          <w:highlight w:val="none"/>
        </w:rPr>
      </w:pPr>
      <w:r>
        <w:rPr>
          <w:rFonts w:hint="eastAsia"/>
          <w:highlight w:val="none"/>
        </w:rPr>
        <w:t>4.2.2.12在合同履行期内，承包人除应与当地消防部门取得联系必要时请予协助外，还应负责在现场采取一切有效的防火与消防措施，并应在现场的仓库、加工厂等处及施工机械车辆上采取一切有效的防火与消防措施，并承担所有一切费用。</w:t>
      </w:r>
    </w:p>
    <w:p w14:paraId="1E1DDBA7">
      <w:pPr>
        <w:pStyle w:val="6"/>
        <w:numPr>
          <w:ilvl w:val="3"/>
          <w:numId w:val="0"/>
        </w:numPr>
        <w:ind w:left="864" w:leftChars="100" w:hanging="624"/>
        <w:rPr>
          <w:highlight w:val="none"/>
        </w:rPr>
      </w:pPr>
      <w:r>
        <w:rPr>
          <w:rFonts w:hint="eastAsia"/>
          <w:highlight w:val="none"/>
        </w:rPr>
        <w:t>4.2.2.13已完工的专业承包人临建设施应及时交回总承包人，以安排给后续专业承包人使用。</w:t>
      </w:r>
    </w:p>
    <w:p w14:paraId="54CE49CF">
      <w:pPr>
        <w:pStyle w:val="5"/>
        <w:numPr>
          <w:ilvl w:val="2"/>
          <w:numId w:val="0"/>
        </w:numPr>
        <w:ind w:left="624" w:hanging="624"/>
        <w:rPr>
          <w:highlight w:val="none"/>
        </w:rPr>
      </w:pPr>
      <w:bookmarkStart w:id="180" w:name="_Toc10471"/>
      <w:r>
        <w:rPr>
          <w:rFonts w:hint="eastAsia"/>
          <w:highlight w:val="none"/>
        </w:rPr>
        <w:t>4.2.3临时</w:t>
      </w:r>
      <w:r>
        <w:rPr>
          <w:highlight w:val="none"/>
        </w:rPr>
        <w:t>用水</w:t>
      </w:r>
      <w:r>
        <w:rPr>
          <w:rFonts w:hint="eastAsia"/>
          <w:highlight w:val="none"/>
        </w:rPr>
        <w:t>、</w:t>
      </w:r>
      <w:r>
        <w:rPr>
          <w:highlight w:val="none"/>
        </w:rPr>
        <w:t>用电</w:t>
      </w:r>
      <w:r>
        <w:rPr>
          <w:rFonts w:hint="eastAsia"/>
          <w:highlight w:val="none"/>
        </w:rPr>
        <w:t>、</w:t>
      </w:r>
      <w:r>
        <w:rPr>
          <w:highlight w:val="none"/>
        </w:rPr>
        <w:t>排污</w:t>
      </w:r>
      <w:r>
        <w:rPr>
          <w:rFonts w:hint="eastAsia"/>
          <w:highlight w:val="none"/>
        </w:rPr>
        <w:t>、</w:t>
      </w:r>
      <w:r>
        <w:rPr>
          <w:highlight w:val="none"/>
        </w:rPr>
        <w:t>排水</w:t>
      </w:r>
      <w:r>
        <w:rPr>
          <w:rFonts w:hint="eastAsia"/>
          <w:highlight w:val="none"/>
        </w:rPr>
        <w:t>及</w:t>
      </w:r>
      <w:r>
        <w:rPr>
          <w:highlight w:val="none"/>
        </w:rPr>
        <w:t>通风</w:t>
      </w:r>
      <w:bookmarkEnd w:id="180"/>
    </w:p>
    <w:p w14:paraId="5310A144">
      <w:pPr>
        <w:pStyle w:val="6"/>
        <w:numPr>
          <w:ilvl w:val="3"/>
          <w:numId w:val="0"/>
        </w:numPr>
        <w:ind w:left="864" w:leftChars="100" w:hanging="624"/>
        <w:rPr>
          <w:highlight w:val="none"/>
        </w:rPr>
      </w:pPr>
      <w:r>
        <w:rPr>
          <w:rFonts w:hint="eastAsia"/>
          <w:highlight w:val="none"/>
        </w:rPr>
        <w:t>4.2.3.1发包人提供的临时用水用电无法满足承包人的需求，总承包人需自行考虑。</w:t>
      </w:r>
    </w:p>
    <w:p w14:paraId="789EF7E0">
      <w:pPr>
        <w:pStyle w:val="6"/>
        <w:numPr>
          <w:ilvl w:val="3"/>
          <w:numId w:val="0"/>
        </w:numPr>
        <w:ind w:left="864" w:leftChars="100" w:hanging="624"/>
        <w:rPr>
          <w:highlight w:val="none"/>
        </w:rPr>
      </w:pPr>
      <w:r>
        <w:rPr>
          <w:rFonts w:hint="eastAsia"/>
          <w:highlight w:val="none"/>
        </w:rPr>
        <w:t>4.2.3.2临时用水及临时用电未接通期间，承包人需自行解决临时电、临时水（如外借电源或租用发电机等方式），上述费用由承包人结合自身的施工组织安排及承包人的工期要求在开办费中进行综合考虑，后期不予进行费用调整且不得因此影响工程进度。</w:t>
      </w:r>
    </w:p>
    <w:p w14:paraId="751D5AFA">
      <w:pPr>
        <w:pStyle w:val="6"/>
        <w:numPr>
          <w:ilvl w:val="3"/>
          <w:numId w:val="0"/>
        </w:numPr>
        <w:ind w:left="864" w:leftChars="100" w:hanging="624"/>
        <w:rPr>
          <w:highlight w:val="none"/>
        </w:rPr>
      </w:pPr>
      <w:r>
        <w:rPr>
          <w:rFonts w:hint="eastAsia"/>
          <w:highlight w:val="none"/>
        </w:rPr>
        <w:t>4.2.3.3自</w:t>
      </w:r>
      <w:r>
        <w:rPr>
          <w:highlight w:val="none"/>
        </w:rPr>
        <w:t>总承包人进场</w:t>
      </w:r>
      <w:r>
        <w:rPr>
          <w:rFonts w:hint="eastAsia"/>
          <w:highlight w:val="none"/>
        </w:rPr>
        <w:t>接受场地</w:t>
      </w:r>
      <w:r>
        <w:rPr>
          <w:highlight w:val="none"/>
        </w:rPr>
        <w:t>后，施工现场的临时用水</w:t>
      </w:r>
      <w:r>
        <w:rPr>
          <w:rFonts w:hint="eastAsia"/>
          <w:highlight w:val="none"/>
        </w:rPr>
        <w:t>、用电</w:t>
      </w:r>
      <w:r>
        <w:rPr>
          <w:highlight w:val="none"/>
        </w:rPr>
        <w:t>由总承包</w:t>
      </w:r>
      <w:r>
        <w:rPr>
          <w:rFonts w:hint="eastAsia"/>
          <w:highlight w:val="none"/>
        </w:rPr>
        <w:t>人</w:t>
      </w:r>
      <w:r>
        <w:rPr>
          <w:highlight w:val="none"/>
        </w:rPr>
        <w:t>负责</w:t>
      </w:r>
      <w:r>
        <w:rPr>
          <w:rFonts w:hint="eastAsia"/>
          <w:highlight w:val="none"/>
        </w:rPr>
        <w:t>敷设、</w:t>
      </w:r>
      <w:r>
        <w:rPr>
          <w:highlight w:val="none"/>
        </w:rPr>
        <w:t>配置及维护，</w:t>
      </w:r>
      <w:r>
        <w:rPr>
          <w:rFonts w:hint="eastAsia"/>
          <w:highlight w:val="none"/>
        </w:rPr>
        <w:t>并</w:t>
      </w:r>
      <w:r>
        <w:rPr>
          <w:highlight w:val="none"/>
        </w:rPr>
        <w:t>承担全部</w:t>
      </w:r>
      <w:r>
        <w:rPr>
          <w:rFonts w:hint="eastAsia"/>
          <w:highlight w:val="none"/>
        </w:rPr>
        <w:t>施工用水、用电的费用，并含所有专业工程的调试水电费等，至竣工验收场地移交业主/使用单位之后结束</w:t>
      </w:r>
      <w:r>
        <w:rPr>
          <w:highlight w:val="none"/>
        </w:rPr>
        <w:t>。</w:t>
      </w:r>
      <w:r>
        <w:rPr>
          <w:rFonts w:hint="eastAsia"/>
          <w:highlight w:val="none"/>
        </w:rPr>
        <w:t>总承包人并每月按时缴纳水电费。</w:t>
      </w:r>
    </w:p>
    <w:p w14:paraId="5A0331AB">
      <w:pPr>
        <w:pStyle w:val="6"/>
        <w:numPr>
          <w:ilvl w:val="3"/>
          <w:numId w:val="0"/>
        </w:numPr>
        <w:ind w:left="864" w:leftChars="100" w:hanging="624"/>
        <w:rPr>
          <w:highlight w:val="none"/>
        </w:rPr>
      </w:pPr>
      <w:r>
        <w:rPr>
          <w:rFonts w:hint="eastAsia"/>
          <w:highlight w:val="none"/>
        </w:rPr>
        <w:t>4.2.3.4承包人在合同履行期内，应负责对本工程的实施与缺陷修复以及所需全部用水（含饮用）的供应，并承担所有一切费用。</w:t>
      </w:r>
    </w:p>
    <w:p w14:paraId="29E18DB7">
      <w:pPr>
        <w:pStyle w:val="6"/>
        <w:numPr>
          <w:ilvl w:val="3"/>
          <w:numId w:val="0"/>
        </w:numPr>
        <w:ind w:left="864" w:leftChars="100" w:hanging="624"/>
        <w:rPr>
          <w:highlight w:val="none"/>
        </w:rPr>
      </w:pPr>
      <w:r>
        <w:rPr>
          <w:rFonts w:hint="eastAsia"/>
          <w:highlight w:val="none"/>
        </w:rPr>
        <w:t>4.2.3.5施工期间在现场周围布置若干临水接驳点，按照施工要求设置楼层临水接驳点，每</w:t>
      </w:r>
      <w:r>
        <w:rPr>
          <w:highlight w:val="none"/>
        </w:rPr>
        <w:t>个楼层不少于一个</w:t>
      </w:r>
      <w:r>
        <w:rPr>
          <w:rFonts w:hint="eastAsia"/>
          <w:highlight w:val="none"/>
        </w:rPr>
        <w:t>。从接驳点至施工现场的临水管线由专业承包人/</w:t>
      </w:r>
      <w:r>
        <w:rPr>
          <w:highlight w:val="none"/>
        </w:rPr>
        <w:t>独立承包人</w:t>
      </w:r>
      <w:r>
        <w:rPr>
          <w:rFonts w:hint="eastAsia"/>
          <w:highlight w:val="none"/>
        </w:rPr>
        <w:t>按照总承包人的临水方案要求铺设。施工用水的排放按照要求排放至指定地点。</w:t>
      </w:r>
    </w:p>
    <w:p w14:paraId="2B185AC2">
      <w:pPr>
        <w:pStyle w:val="6"/>
        <w:numPr>
          <w:ilvl w:val="3"/>
          <w:numId w:val="0"/>
        </w:numPr>
        <w:ind w:left="864" w:leftChars="100" w:hanging="624"/>
        <w:rPr>
          <w:highlight w:val="none"/>
        </w:rPr>
      </w:pPr>
      <w:r>
        <w:rPr>
          <w:rFonts w:hint="eastAsia"/>
          <w:highlight w:val="none"/>
        </w:rPr>
        <w:t>4.2.3.6在现场设置符合相应要求的消防临时设施，承担</w:t>
      </w:r>
      <w:r>
        <w:rPr>
          <w:highlight w:val="none"/>
        </w:rPr>
        <w:t>消防责任</w:t>
      </w:r>
      <w:r>
        <w:rPr>
          <w:rFonts w:hint="eastAsia"/>
          <w:highlight w:val="none"/>
        </w:rPr>
        <w:t>，且须满足现行消防相关规范要求。</w:t>
      </w:r>
      <w:r>
        <w:rPr>
          <w:highlight w:val="none"/>
        </w:rPr>
        <w:t>临时消防立管使用正式消防立管。</w:t>
      </w:r>
    </w:p>
    <w:p w14:paraId="391A353B">
      <w:pPr>
        <w:pStyle w:val="6"/>
        <w:numPr>
          <w:ilvl w:val="3"/>
          <w:numId w:val="0"/>
        </w:numPr>
        <w:ind w:left="864" w:leftChars="100" w:hanging="624"/>
        <w:rPr>
          <w:highlight w:val="none"/>
        </w:rPr>
      </w:pPr>
      <w:r>
        <w:rPr>
          <w:rFonts w:hint="eastAsia"/>
          <w:highlight w:val="none"/>
        </w:rPr>
        <w:t>4.2.3.7在精装闭水试验、门窗（幕墙外墙）淋水试验、室外园林临时浇灌用水及其他需要用水期间，总承包人需根据专业承包人的实际用水要求，提供专业承包人所需水压、容量。</w:t>
      </w:r>
    </w:p>
    <w:p w14:paraId="6548FCE0">
      <w:pPr>
        <w:pStyle w:val="6"/>
        <w:numPr>
          <w:ilvl w:val="3"/>
          <w:numId w:val="0"/>
        </w:numPr>
        <w:ind w:left="864" w:leftChars="100" w:hanging="624"/>
        <w:rPr>
          <w:highlight w:val="none"/>
        </w:rPr>
      </w:pPr>
      <w:r>
        <w:rPr>
          <w:rFonts w:hint="eastAsia"/>
          <w:highlight w:val="none"/>
        </w:rPr>
        <w:t>4.2.3.8承包人负责临时配电设施（容量需满足本工程施工单位施工、生活及办公要求）的设计、安装等工作，并负责维护、看护、管理等责任。使用期间所发生的电费计量抄表、电费核算及缴纳、电费缴纳制度的建立和实施均由承包人负责。本工程发包人和监理单位现场使用的电费由承包人支付，费用在投标报价中综合考虑，不再另行计价。</w:t>
      </w:r>
    </w:p>
    <w:p w14:paraId="4E36F5BE">
      <w:pPr>
        <w:pStyle w:val="6"/>
        <w:numPr>
          <w:ilvl w:val="3"/>
          <w:numId w:val="0"/>
        </w:numPr>
        <w:ind w:left="864" w:leftChars="100" w:hanging="624"/>
        <w:rPr>
          <w:highlight w:val="none"/>
        </w:rPr>
      </w:pPr>
      <w:r>
        <w:rPr>
          <w:rFonts w:hint="eastAsia"/>
          <w:highlight w:val="none"/>
        </w:rPr>
        <w:t>4.2.3.9承包人应根据发包人的进度要求配备一定数量的发电机，以满足现场施工及临设办公区用电要求，不能因临电申办和施工安装延误现场进度。</w:t>
      </w:r>
    </w:p>
    <w:p w14:paraId="3E11F4DE">
      <w:pPr>
        <w:pStyle w:val="6"/>
        <w:numPr>
          <w:ilvl w:val="3"/>
          <w:numId w:val="0"/>
        </w:numPr>
        <w:ind w:left="864" w:leftChars="100" w:hanging="624"/>
        <w:rPr>
          <w:highlight w:val="none"/>
        </w:rPr>
      </w:pPr>
      <w:r>
        <w:rPr>
          <w:rFonts w:hint="eastAsia"/>
          <w:highlight w:val="none"/>
        </w:rPr>
        <w:t>4.2.3.10总承包人</w:t>
      </w:r>
      <w:r>
        <w:rPr>
          <w:highlight w:val="none"/>
        </w:rPr>
        <w:t>应根据</w:t>
      </w:r>
      <w:r>
        <w:rPr>
          <w:rFonts w:hint="eastAsia"/>
          <w:highlight w:val="none"/>
        </w:rPr>
        <w:t>临</w:t>
      </w:r>
      <w:r>
        <w:rPr>
          <w:highlight w:val="none"/>
        </w:rPr>
        <w:t>电方案提供符合要求的</w:t>
      </w:r>
      <w:r>
        <w:rPr>
          <w:rFonts w:hint="eastAsia"/>
          <w:highlight w:val="none"/>
        </w:rPr>
        <w:t>新订制的一级配电箱</w:t>
      </w:r>
      <w:r>
        <w:rPr>
          <w:highlight w:val="none"/>
        </w:rPr>
        <w:t>。</w:t>
      </w:r>
      <w:r>
        <w:rPr>
          <w:rFonts w:hint="eastAsia"/>
          <w:highlight w:val="none"/>
        </w:rPr>
        <w:t>在现场周围布设若干个一级配电箱，专业承包人/独立承包人在施工前提出施工用电计划，经总承包人审核后确定二级配电箱的接口位置、数量，以确保各</w:t>
      </w:r>
      <w:r>
        <w:rPr>
          <w:highlight w:val="none"/>
        </w:rPr>
        <w:t>施工单位</w:t>
      </w:r>
      <w:r>
        <w:rPr>
          <w:rFonts w:hint="eastAsia"/>
          <w:highlight w:val="none"/>
        </w:rPr>
        <w:t>的用电需求。二级配电箱每2</w:t>
      </w:r>
      <w:r>
        <w:rPr>
          <w:highlight w:val="none"/>
        </w:rPr>
        <w:t>层至少设置一个，</w:t>
      </w:r>
      <w:r>
        <w:rPr>
          <w:rFonts w:hint="eastAsia"/>
          <w:highlight w:val="none"/>
        </w:rPr>
        <w:t>且水平距离不超过</w:t>
      </w:r>
      <w:r>
        <w:rPr>
          <w:highlight w:val="none"/>
        </w:rPr>
        <w:t>50m</w:t>
      </w:r>
      <w:r>
        <w:rPr>
          <w:rFonts w:hint="eastAsia"/>
          <w:highlight w:val="none"/>
        </w:rPr>
        <w:t>，</w:t>
      </w:r>
      <w:r>
        <w:rPr>
          <w:highlight w:val="none"/>
        </w:rPr>
        <w:t>同时必须满足临时用电需求</w:t>
      </w:r>
      <w:r>
        <w:rPr>
          <w:rFonts w:hint="eastAsia"/>
          <w:highlight w:val="none"/>
        </w:rPr>
        <w:t>。</w:t>
      </w:r>
      <w:r>
        <w:rPr>
          <w:highlight w:val="none"/>
        </w:rPr>
        <w:t>总承包人承担全部施工用电的费用。</w:t>
      </w:r>
      <w:r>
        <w:rPr>
          <w:rFonts w:hint="eastAsia"/>
          <w:highlight w:val="none"/>
        </w:rPr>
        <w:t>从二级配电箱出口位置至施工用电点位的电线电缆，由专业承包人/独立承包人按照临电方案要求铺设。</w:t>
      </w:r>
    </w:p>
    <w:p w14:paraId="4DBFBF61">
      <w:pPr>
        <w:pStyle w:val="6"/>
        <w:numPr>
          <w:ilvl w:val="3"/>
          <w:numId w:val="0"/>
        </w:numPr>
        <w:ind w:left="864" w:leftChars="100" w:hanging="624"/>
        <w:rPr>
          <w:highlight w:val="none"/>
        </w:rPr>
      </w:pPr>
      <w:r>
        <w:rPr>
          <w:rFonts w:hint="eastAsia"/>
          <w:highlight w:val="none"/>
        </w:rPr>
        <w:t>4.2.3.11在设备测试、调试、试运转期间，总承包人按照专业承包人/独立承包人要求，提供所需的电压及容量，满足各专业测试、调试及试运转的要求，</w:t>
      </w:r>
      <w:r>
        <w:rPr>
          <w:highlight w:val="none"/>
        </w:rPr>
        <w:t>总承包人承担全部</w:t>
      </w:r>
      <w:r>
        <w:rPr>
          <w:rFonts w:hint="eastAsia"/>
          <w:highlight w:val="none"/>
        </w:rPr>
        <w:t>测试、调试、试运转期间</w:t>
      </w:r>
      <w:r>
        <w:rPr>
          <w:highlight w:val="none"/>
        </w:rPr>
        <w:t>用电的费用</w:t>
      </w:r>
      <w:r>
        <w:rPr>
          <w:rFonts w:hint="eastAsia"/>
          <w:highlight w:val="none"/>
        </w:rPr>
        <w:t>，并配备一定数量的备用发电机。</w:t>
      </w:r>
    </w:p>
    <w:p w14:paraId="51171F10">
      <w:pPr>
        <w:pStyle w:val="6"/>
        <w:numPr>
          <w:ilvl w:val="3"/>
          <w:numId w:val="0"/>
        </w:numPr>
        <w:ind w:left="864" w:leftChars="100" w:hanging="624"/>
        <w:rPr>
          <w:rFonts w:hint="eastAsia"/>
          <w:highlight w:val="none"/>
        </w:rPr>
      </w:pPr>
      <w:r>
        <w:rPr>
          <w:rFonts w:hint="eastAsia"/>
          <w:highlight w:val="none"/>
        </w:rPr>
        <w:t>4.2.3.12总承包人应负责所有施工区域的临时照明系统的建设、维护管理及拆除。布置临时照明系统，消防楼梯间、消防前室及安全通道必须每层设置LED照明灯具，提供足够的照明，且不留死角。</w:t>
      </w:r>
      <w:bookmarkStart w:id="181" w:name="_Hlk168303996"/>
    </w:p>
    <w:p w14:paraId="724F88FC">
      <w:pPr>
        <w:pStyle w:val="6"/>
        <w:numPr>
          <w:ilvl w:val="3"/>
          <w:numId w:val="0"/>
        </w:numPr>
        <w:ind w:left="864" w:leftChars="100" w:hanging="624"/>
        <w:rPr>
          <w:highlight w:val="none"/>
        </w:rPr>
      </w:pPr>
      <w:r>
        <w:rPr>
          <w:rFonts w:hint="eastAsia"/>
          <w:highlight w:val="none"/>
        </w:rPr>
        <w:t>4.2.3.13总承包人负责售楼处(若有)、展示区及样板房的临电临水接入和日常维护（需要提供专用电缆供展示区使用，电缆规格满足负荷需要，并提供专用配电箱，电源必须由一级箱引入），保证开放展示时间内供电供水稳定可靠，费用在开办费中列项报价（暂定数量）。</w:t>
      </w:r>
    </w:p>
    <w:p w14:paraId="7F075B9D">
      <w:pPr>
        <w:pStyle w:val="6"/>
        <w:numPr>
          <w:ilvl w:val="3"/>
          <w:numId w:val="0"/>
        </w:numPr>
        <w:ind w:left="864" w:leftChars="100" w:hanging="624"/>
        <w:rPr>
          <w:highlight w:val="none"/>
        </w:rPr>
      </w:pPr>
      <w:r>
        <w:rPr>
          <w:rFonts w:hint="eastAsia"/>
          <w:highlight w:val="none"/>
        </w:rPr>
        <w:t>4.2.3.14负责承担售楼处（若有）、展示区、样板房在展示期间产生的水电费。</w:t>
      </w:r>
      <w:bookmarkEnd w:id="181"/>
    </w:p>
    <w:p w14:paraId="3E468EBB">
      <w:pPr>
        <w:pStyle w:val="6"/>
        <w:numPr>
          <w:ilvl w:val="3"/>
          <w:numId w:val="0"/>
        </w:numPr>
        <w:ind w:left="864" w:leftChars="100" w:hanging="624"/>
        <w:rPr>
          <w:highlight w:val="none"/>
        </w:rPr>
      </w:pPr>
      <w:r>
        <w:rPr>
          <w:rFonts w:hint="eastAsia"/>
          <w:highlight w:val="none"/>
        </w:rPr>
        <w:t>4.2.3.1</w:t>
      </w:r>
      <w:r>
        <w:rPr>
          <w:rFonts w:hint="eastAsia"/>
          <w:highlight w:val="none"/>
          <w:lang w:val="en-US" w:eastAsia="zh-CN"/>
        </w:rPr>
        <w:t>5</w:t>
      </w:r>
      <w:r>
        <w:rPr>
          <w:highlight w:val="none"/>
        </w:rPr>
        <w:t>排水排污：发包人提供周边</w:t>
      </w:r>
      <w:r>
        <w:rPr>
          <w:rFonts w:hint="eastAsia"/>
          <w:highlight w:val="none"/>
        </w:rPr>
        <w:t>管网</w:t>
      </w:r>
      <w:r>
        <w:rPr>
          <w:highlight w:val="none"/>
        </w:rPr>
        <w:t>条件</w:t>
      </w:r>
      <w:r>
        <w:rPr>
          <w:rFonts w:hint="eastAsia"/>
          <w:highlight w:val="none"/>
        </w:rPr>
        <w:t>及</w:t>
      </w:r>
      <w:r>
        <w:rPr>
          <w:highlight w:val="none"/>
        </w:rPr>
        <w:t>相关资料、图纸</w:t>
      </w:r>
      <w:r>
        <w:rPr>
          <w:rFonts w:hint="eastAsia"/>
          <w:highlight w:val="none"/>
        </w:rPr>
        <w:t>，</w:t>
      </w:r>
      <w:r>
        <w:rPr>
          <w:highlight w:val="none"/>
        </w:rPr>
        <w:t>总承包人自行解决，</w:t>
      </w:r>
      <w:r>
        <w:rPr>
          <w:rFonts w:hint="eastAsia"/>
          <w:highlight w:val="none"/>
        </w:rPr>
        <w:t>负责照管和组织整个现场的排水排污工作，包含排污许可证办理及费用缴纳。</w:t>
      </w:r>
    </w:p>
    <w:p w14:paraId="16394433">
      <w:pPr>
        <w:pStyle w:val="6"/>
        <w:numPr>
          <w:ilvl w:val="3"/>
          <w:numId w:val="0"/>
        </w:numPr>
        <w:ind w:left="864" w:leftChars="100" w:hanging="624"/>
        <w:rPr>
          <w:highlight w:val="none"/>
        </w:rPr>
      </w:pPr>
      <w:r>
        <w:rPr>
          <w:rFonts w:hint="eastAsia"/>
          <w:highlight w:val="none"/>
        </w:rPr>
        <w:t>4.2.3.1</w:t>
      </w:r>
      <w:r>
        <w:rPr>
          <w:rFonts w:hint="eastAsia"/>
          <w:highlight w:val="none"/>
          <w:lang w:val="en-US" w:eastAsia="zh-CN"/>
        </w:rPr>
        <w:t>6</w:t>
      </w:r>
      <w:r>
        <w:rPr>
          <w:rFonts w:hint="eastAsia"/>
          <w:highlight w:val="none"/>
        </w:rPr>
        <w:t>承包人负责精装修穿插施工期间楼层及外墙等部位的截水、止水措施。包含不限于以下穿插施工断水措施：</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233"/>
        <w:gridCol w:w="2348"/>
        <w:gridCol w:w="5470"/>
      </w:tblGrid>
      <w:tr w14:paraId="59AA15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exact"/>
          <w:jc w:val="center"/>
        </w:trPr>
        <w:tc>
          <w:tcPr>
            <w:tcW w:w="681" w:type="pct"/>
            <w:noWrap w:val="0"/>
            <w:tcMar>
              <w:top w:w="15" w:type="dxa"/>
              <w:left w:w="15" w:type="dxa"/>
              <w:bottom w:w="0" w:type="dxa"/>
              <w:right w:w="15" w:type="dxa"/>
            </w:tcMar>
            <w:vAlign w:val="center"/>
          </w:tcPr>
          <w:p w14:paraId="6EBCFDA6">
            <w:pPr>
              <w:spacing w:line="240" w:lineRule="auto"/>
              <w:ind w:left="738" w:hanging="738" w:hangingChars="350"/>
              <w:jc w:val="center"/>
              <w:rPr>
                <w:sz w:val="21"/>
                <w:szCs w:val="21"/>
                <w:highlight w:val="none"/>
              </w:rPr>
            </w:pPr>
            <w:r>
              <w:rPr>
                <w:rFonts w:hint="eastAsia"/>
                <w:b/>
                <w:bCs/>
                <w:sz w:val="21"/>
                <w:szCs w:val="21"/>
                <w:highlight w:val="none"/>
              </w:rPr>
              <w:t>序号</w:t>
            </w:r>
          </w:p>
        </w:tc>
        <w:tc>
          <w:tcPr>
            <w:tcW w:w="1297" w:type="pct"/>
            <w:noWrap w:val="0"/>
            <w:tcMar>
              <w:top w:w="15" w:type="dxa"/>
              <w:left w:w="15" w:type="dxa"/>
              <w:bottom w:w="0" w:type="dxa"/>
              <w:right w:w="15" w:type="dxa"/>
            </w:tcMar>
            <w:vAlign w:val="center"/>
          </w:tcPr>
          <w:p w14:paraId="580130FD">
            <w:pPr>
              <w:spacing w:line="240" w:lineRule="auto"/>
              <w:ind w:left="738" w:hanging="738" w:hangingChars="350"/>
              <w:jc w:val="center"/>
              <w:rPr>
                <w:sz w:val="21"/>
                <w:szCs w:val="21"/>
                <w:highlight w:val="none"/>
              </w:rPr>
            </w:pPr>
            <w:r>
              <w:rPr>
                <w:rFonts w:hint="eastAsia"/>
                <w:b/>
                <w:bCs/>
                <w:sz w:val="21"/>
                <w:szCs w:val="21"/>
                <w:highlight w:val="none"/>
              </w:rPr>
              <w:t>止水部位</w:t>
            </w:r>
          </w:p>
        </w:tc>
        <w:tc>
          <w:tcPr>
            <w:tcW w:w="3021" w:type="pct"/>
            <w:noWrap w:val="0"/>
            <w:tcMar>
              <w:top w:w="15" w:type="dxa"/>
              <w:left w:w="15" w:type="dxa"/>
              <w:bottom w:w="0" w:type="dxa"/>
              <w:right w:w="15" w:type="dxa"/>
            </w:tcMar>
            <w:vAlign w:val="center"/>
          </w:tcPr>
          <w:p w14:paraId="00D11DA8">
            <w:pPr>
              <w:spacing w:line="240" w:lineRule="auto"/>
              <w:ind w:left="738" w:hanging="738" w:hangingChars="350"/>
              <w:jc w:val="center"/>
              <w:rPr>
                <w:sz w:val="21"/>
                <w:szCs w:val="21"/>
                <w:highlight w:val="none"/>
              </w:rPr>
            </w:pPr>
            <w:r>
              <w:rPr>
                <w:rFonts w:hint="eastAsia"/>
                <w:b/>
                <w:bCs/>
                <w:sz w:val="21"/>
                <w:szCs w:val="21"/>
                <w:highlight w:val="none"/>
              </w:rPr>
              <w:t>止水措施</w:t>
            </w:r>
          </w:p>
        </w:tc>
      </w:tr>
      <w:tr w14:paraId="4F3A9B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exact"/>
          <w:jc w:val="center"/>
        </w:trPr>
        <w:tc>
          <w:tcPr>
            <w:tcW w:w="681" w:type="pct"/>
            <w:noWrap w:val="0"/>
            <w:tcMar>
              <w:top w:w="15" w:type="dxa"/>
              <w:left w:w="15" w:type="dxa"/>
              <w:bottom w:w="0" w:type="dxa"/>
              <w:right w:w="15" w:type="dxa"/>
            </w:tcMar>
            <w:vAlign w:val="center"/>
          </w:tcPr>
          <w:p w14:paraId="70EC901B">
            <w:pPr>
              <w:spacing w:line="240" w:lineRule="auto"/>
              <w:ind w:left="735" w:hanging="735" w:hangingChars="350"/>
              <w:jc w:val="center"/>
              <w:rPr>
                <w:sz w:val="21"/>
                <w:szCs w:val="21"/>
                <w:highlight w:val="none"/>
              </w:rPr>
            </w:pPr>
            <w:r>
              <w:rPr>
                <w:sz w:val="21"/>
                <w:szCs w:val="21"/>
                <w:highlight w:val="none"/>
              </w:rPr>
              <w:t>1</w:t>
            </w:r>
          </w:p>
        </w:tc>
        <w:tc>
          <w:tcPr>
            <w:tcW w:w="1297" w:type="pct"/>
            <w:noWrap w:val="0"/>
            <w:tcMar>
              <w:top w:w="15" w:type="dxa"/>
              <w:left w:w="15" w:type="dxa"/>
              <w:bottom w:w="0" w:type="dxa"/>
              <w:right w:w="15" w:type="dxa"/>
            </w:tcMar>
            <w:vAlign w:val="center"/>
          </w:tcPr>
          <w:p w14:paraId="37C46C06">
            <w:pPr>
              <w:spacing w:line="240" w:lineRule="auto"/>
              <w:ind w:left="735" w:hanging="735" w:hangingChars="350"/>
              <w:jc w:val="center"/>
              <w:rPr>
                <w:sz w:val="21"/>
                <w:szCs w:val="21"/>
                <w:highlight w:val="none"/>
              </w:rPr>
            </w:pPr>
            <w:r>
              <w:rPr>
                <w:rFonts w:hint="eastAsia"/>
                <w:sz w:val="21"/>
                <w:szCs w:val="21"/>
                <w:highlight w:val="none"/>
              </w:rPr>
              <w:t>烟道</w:t>
            </w:r>
          </w:p>
        </w:tc>
        <w:tc>
          <w:tcPr>
            <w:tcW w:w="3021" w:type="pct"/>
            <w:noWrap w:val="0"/>
            <w:tcMar>
              <w:top w:w="15" w:type="dxa"/>
              <w:left w:w="15" w:type="dxa"/>
              <w:bottom w:w="0" w:type="dxa"/>
              <w:right w:w="15" w:type="dxa"/>
            </w:tcMar>
            <w:vAlign w:val="center"/>
          </w:tcPr>
          <w:p w14:paraId="01E87354">
            <w:pPr>
              <w:spacing w:line="240" w:lineRule="auto"/>
              <w:ind w:left="735" w:hanging="735" w:hangingChars="350"/>
              <w:jc w:val="left"/>
              <w:rPr>
                <w:sz w:val="21"/>
                <w:szCs w:val="21"/>
                <w:highlight w:val="none"/>
              </w:rPr>
            </w:pPr>
            <w:r>
              <w:rPr>
                <w:rFonts w:hint="eastAsia"/>
                <w:sz w:val="21"/>
                <w:szCs w:val="21"/>
                <w:highlight w:val="none"/>
              </w:rPr>
              <w:t>在止水层施工反坎盖板钉死止水</w:t>
            </w:r>
          </w:p>
        </w:tc>
      </w:tr>
      <w:tr w14:paraId="09726F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exact"/>
          <w:jc w:val="center"/>
        </w:trPr>
        <w:tc>
          <w:tcPr>
            <w:tcW w:w="681" w:type="pct"/>
            <w:noWrap w:val="0"/>
            <w:tcMar>
              <w:top w:w="15" w:type="dxa"/>
              <w:left w:w="15" w:type="dxa"/>
              <w:bottom w:w="0" w:type="dxa"/>
              <w:right w:w="15" w:type="dxa"/>
            </w:tcMar>
            <w:vAlign w:val="center"/>
          </w:tcPr>
          <w:p w14:paraId="3037CA95">
            <w:pPr>
              <w:spacing w:line="240" w:lineRule="auto"/>
              <w:ind w:left="735" w:hanging="735" w:hangingChars="350"/>
              <w:jc w:val="center"/>
              <w:rPr>
                <w:sz w:val="21"/>
                <w:szCs w:val="21"/>
                <w:highlight w:val="none"/>
              </w:rPr>
            </w:pPr>
            <w:r>
              <w:rPr>
                <w:sz w:val="21"/>
                <w:szCs w:val="21"/>
                <w:highlight w:val="none"/>
              </w:rPr>
              <w:t>2</w:t>
            </w:r>
          </w:p>
        </w:tc>
        <w:tc>
          <w:tcPr>
            <w:tcW w:w="1297" w:type="pct"/>
            <w:noWrap w:val="0"/>
            <w:tcMar>
              <w:top w:w="15" w:type="dxa"/>
              <w:left w:w="15" w:type="dxa"/>
              <w:bottom w:w="0" w:type="dxa"/>
              <w:right w:w="15" w:type="dxa"/>
            </w:tcMar>
            <w:vAlign w:val="center"/>
          </w:tcPr>
          <w:p w14:paraId="1741C045">
            <w:pPr>
              <w:spacing w:line="240" w:lineRule="auto"/>
              <w:ind w:left="735" w:hanging="735" w:hangingChars="350"/>
              <w:jc w:val="center"/>
              <w:rPr>
                <w:sz w:val="21"/>
                <w:szCs w:val="21"/>
                <w:highlight w:val="none"/>
              </w:rPr>
            </w:pPr>
            <w:r>
              <w:rPr>
                <w:rFonts w:hint="eastAsia"/>
                <w:sz w:val="21"/>
                <w:szCs w:val="21"/>
                <w:highlight w:val="none"/>
              </w:rPr>
              <w:t>厨卫间、阳台预留洞</w:t>
            </w:r>
          </w:p>
        </w:tc>
        <w:tc>
          <w:tcPr>
            <w:tcW w:w="3021" w:type="pct"/>
            <w:noWrap w:val="0"/>
            <w:tcMar>
              <w:top w:w="15" w:type="dxa"/>
              <w:left w:w="15" w:type="dxa"/>
              <w:bottom w:w="0" w:type="dxa"/>
              <w:right w:w="15" w:type="dxa"/>
            </w:tcMar>
            <w:vAlign w:val="center"/>
          </w:tcPr>
          <w:p w14:paraId="3B1CA45F">
            <w:pPr>
              <w:spacing w:line="240" w:lineRule="auto"/>
              <w:ind w:left="735" w:hanging="735" w:hangingChars="350"/>
              <w:jc w:val="left"/>
              <w:rPr>
                <w:sz w:val="21"/>
                <w:szCs w:val="21"/>
                <w:highlight w:val="none"/>
              </w:rPr>
            </w:pPr>
            <w:r>
              <w:rPr>
                <w:rFonts w:hint="eastAsia"/>
                <w:sz w:val="21"/>
                <w:szCs w:val="21"/>
                <w:highlight w:val="none"/>
              </w:rPr>
              <w:t>在止水层完成排水管安装直接将水排出</w:t>
            </w:r>
          </w:p>
        </w:tc>
      </w:tr>
      <w:tr w14:paraId="38C36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exact"/>
          <w:jc w:val="center"/>
        </w:trPr>
        <w:tc>
          <w:tcPr>
            <w:tcW w:w="681" w:type="pct"/>
            <w:noWrap w:val="0"/>
            <w:tcMar>
              <w:top w:w="15" w:type="dxa"/>
              <w:left w:w="15" w:type="dxa"/>
              <w:bottom w:w="0" w:type="dxa"/>
              <w:right w:w="15" w:type="dxa"/>
            </w:tcMar>
            <w:vAlign w:val="center"/>
          </w:tcPr>
          <w:p w14:paraId="3E44DA9E">
            <w:pPr>
              <w:spacing w:line="240" w:lineRule="auto"/>
              <w:ind w:left="735" w:hanging="735" w:hangingChars="350"/>
              <w:jc w:val="center"/>
              <w:rPr>
                <w:sz w:val="21"/>
                <w:szCs w:val="21"/>
                <w:highlight w:val="none"/>
              </w:rPr>
            </w:pPr>
            <w:r>
              <w:rPr>
                <w:sz w:val="21"/>
                <w:szCs w:val="21"/>
                <w:highlight w:val="none"/>
              </w:rPr>
              <w:t>3</w:t>
            </w:r>
          </w:p>
        </w:tc>
        <w:tc>
          <w:tcPr>
            <w:tcW w:w="1297" w:type="pct"/>
            <w:noWrap w:val="0"/>
            <w:tcMar>
              <w:top w:w="15" w:type="dxa"/>
              <w:left w:w="15" w:type="dxa"/>
              <w:bottom w:w="0" w:type="dxa"/>
              <w:right w:w="15" w:type="dxa"/>
            </w:tcMar>
            <w:vAlign w:val="center"/>
          </w:tcPr>
          <w:p w14:paraId="4B326534">
            <w:pPr>
              <w:spacing w:line="240" w:lineRule="auto"/>
              <w:ind w:left="735" w:hanging="735" w:hangingChars="350"/>
              <w:jc w:val="center"/>
              <w:rPr>
                <w:sz w:val="21"/>
                <w:szCs w:val="21"/>
                <w:highlight w:val="none"/>
              </w:rPr>
            </w:pPr>
            <w:r>
              <w:rPr>
                <w:rFonts w:hint="eastAsia"/>
                <w:sz w:val="21"/>
                <w:szCs w:val="21"/>
                <w:highlight w:val="none"/>
              </w:rPr>
              <w:t>放线孔</w:t>
            </w:r>
          </w:p>
        </w:tc>
        <w:tc>
          <w:tcPr>
            <w:tcW w:w="3021" w:type="pct"/>
            <w:noWrap w:val="0"/>
            <w:tcMar>
              <w:top w:w="15" w:type="dxa"/>
              <w:left w:w="15" w:type="dxa"/>
              <w:bottom w:w="0" w:type="dxa"/>
              <w:right w:w="15" w:type="dxa"/>
            </w:tcMar>
            <w:vAlign w:val="center"/>
          </w:tcPr>
          <w:p w14:paraId="3FF6F028">
            <w:pPr>
              <w:spacing w:line="240" w:lineRule="auto"/>
              <w:ind w:left="735" w:hanging="735" w:hangingChars="350"/>
              <w:jc w:val="left"/>
              <w:rPr>
                <w:sz w:val="21"/>
                <w:szCs w:val="21"/>
                <w:highlight w:val="none"/>
              </w:rPr>
            </w:pPr>
            <w:r>
              <w:rPr>
                <w:rFonts w:hint="eastAsia"/>
                <w:sz w:val="21"/>
                <w:szCs w:val="21"/>
                <w:highlight w:val="none"/>
              </w:rPr>
              <w:t>在止水层施工反坎盖板止水，移交装修时浇砼封闭</w:t>
            </w:r>
          </w:p>
        </w:tc>
      </w:tr>
      <w:tr w14:paraId="6C498F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exact"/>
          <w:jc w:val="center"/>
        </w:trPr>
        <w:tc>
          <w:tcPr>
            <w:tcW w:w="681" w:type="pct"/>
            <w:noWrap w:val="0"/>
            <w:tcMar>
              <w:top w:w="15" w:type="dxa"/>
              <w:left w:w="15" w:type="dxa"/>
              <w:bottom w:w="0" w:type="dxa"/>
              <w:right w:w="15" w:type="dxa"/>
            </w:tcMar>
            <w:vAlign w:val="center"/>
          </w:tcPr>
          <w:p w14:paraId="7258275E">
            <w:pPr>
              <w:spacing w:line="240" w:lineRule="auto"/>
              <w:ind w:left="735" w:hanging="735" w:hangingChars="350"/>
              <w:jc w:val="center"/>
              <w:rPr>
                <w:sz w:val="21"/>
                <w:szCs w:val="21"/>
                <w:highlight w:val="none"/>
              </w:rPr>
            </w:pPr>
            <w:r>
              <w:rPr>
                <w:sz w:val="21"/>
                <w:szCs w:val="21"/>
                <w:highlight w:val="none"/>
              </w:rPr>
              <w:t>4</w:t>
            </w:r>
          </w:p>
        </w:tc>
        <w:tc>
          <w:tcPr>
            <w:tcW w:w="1297" w:type="pct"/>
            <w:noWrap w:val="0"/>
            <w:tcMar>
              <w:top w:w="15" w:type="dxa"/>
              <w:left w:w="15" w:type="dxa"/>
              <w:bottom w:w="0" w:type="dxa"/>
              <w:right w:w="15" w:type="dxa"/>
            </w:tcMar>
            <w:vAlign w:val="center"/>
          </w:tcPr>
          <w:p w14:paraId="59BAC2D7">
            <w:pPr>
              <w:spacing w:line="240" w:lineRule="auto"/>
              <w:ind w:left="735" w:hanging="735" w:hangingChars="350"/>
              <w:jc w:val="center"/>
              <w:rPr>
                <w:sz w:val="21"/>
                <w:szCs w:val="21"/>
                <w:highlight w:val="none"/>
              </w:rPr>
            </w:pPr>
            <w:r>
              <w:rPr>
                <w:rFonts w:hint="eastAsia"/>
                <w:sz w:val="21"/>
                <w:szCs w:val="21"/>
                <w:highlight w:val="none"/>
              </w:rPr>
              <w:t>传料孔</w:t>
            </w:r>
          </w:p>
        </w:tc>
        <w:tc>
          <w:tcPr>
            <w:tcW w:w="3021" w:type="pct"/>
            <w:noWrap w:val="0"/>
            <w:tcMar>
              <w:top w:w="15" w:type="dxa"/>
              <w:left w:w="15" w:type="dxa"/>
              <w:bottom w:w="0" w:type="dxa"/>
              <w:right w:w="15" w:type="dxa"/>
            </w:tcMar>
            <w:vAlign w:val="center"/>
          </w:tcPr>
          <w:p w14:paraId="47EF2B58">
            <w:pPr>
              <w:spacing w:line="240" w:lineRule="auto"/>
              <w:ind w:left="735" w:hanging="735" w:hangingChars="350"/>
              <w:jc w:val="left"/>
              <w:rPr>
                <w:sz w:val="21"/>
                <w:szCs w:val="21"/>
                <w:highlight w:val="none"/>
              </w:rPr>
            </w:pPr>
            <w:r>
              <w:rPr>
                <w:rFonts w:hint="eastAsia"/>
                <w:sz w:val="21"/>
                <w:szCs w:val="21"/>
                <w:highlight w:val="none"/>
              </w:rPr>
              <w:t>在反坎施工时浇筑封闭</w:t>
            </w:r>
          </w:p>
        </w:tc>
      </w:tr>
      <w:tr w14:paraId="5D5C36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exact"/>
          <w:jc w:val="center"/>
        </w:trPr>
        <w:tc>
          <w:tcPr>
            <w:tcW w:w="681" w:type="pct"/>
            <w:noWrap w:val="0"/>
            <w:tcMar>
              <w:top w:w="15" w:type="dxa"/>
              <w:left w:w="15" w:type="dxa"/>
              <w:bottom w:w="0" w:type="dxa"/>
              <w:right w:w="15" w:type="dxa"/>
            </w:tcMar>
            <w:vAlign w:val="center"/>
          </w:tcPr>
          <w:p w14:paraId="32D7F89D">
            <w:pPr>
              <w:spacing w:line="240" w:lineRule="auto"/>
              <w:ind w:left="735" w:hanging="735" w:hangingChars="350"/>
              <w:jc w:val="center"/>
              <w:rPr>
                <w:sz w:val="21"/>
                <w:szCs w:val="21"/>
                <w:highlight w:val="none"/>
              </w:rPr>
            </w:pPr>
            <w:r>
              <w:rPr>
                <w:sz w:val="21"/>
                <w:szCs w:val="21"/>
                <w:highlight w:val="none"/>
              </w:rPr>
              <w:t>5</w:t>
            </w:r>
          </w:p>
        </w:tc>
        <w:tc>
          <w:tcPr>
            <w:tcW w:w="1297" w:type="pct"/>
            <w:noWrap w:val="0"/>
            <w:tcMar>
              <w:top w:w="15" w:type="dxa"/>
              <w:left w:w="15" w:type="dxa"/>
              <w:bottom w:w="0" w:type="dxa"/>
              <w:right w:w="15" w:type="dxa"/>
            </w:tcMar>
            <w:vAlign w:val="center"/>
          </w:tcPr>
          <w:p w14:paraId="37A8A4C1">
            <w:pPr>
              <w:spacing w:line="240" w:lineRule="auto"/>
              <w:ind w:left="735" w:hanging="735" w:hangingChars="350"/>
              <w:jc w:val="center"/>
              <w:rPr>
                <w:sz w:val="21"/>
                <w:szCs w:val="21"/>
                <w:highlight w:val="none"/>
              </w:rPr>
            </w:pPr>
            <w:r>
              <w:rPr>
                <w:rFonts w:hint="eastAsia"/>
                <w:sz w:val="21"/>
                <w:szCs w:val="21"/>
                <w:highlight w:val="none"/>
              </w:rPr>
              <w:t>水井预留洞</w:t>
            </w:r>
          </w:p>
        </w:tc>
        <w:tc>
          <w:tcPr>
            <w:tcW w:w="3021" w:type="pct"/>
            <w:noWrap w:val="0"/>
            <w:tcMar>
              <w:top w:w="15" w:type="dxa"/>
              <w:left w:w="15" w:type="dxa"/>
              <w:bottom w:w="0" w:type="dxa"/>
              <w:right w:w="15" w:type="dxa"/>
            </w:tcMar>
            <w:vAlign w:val="center"/>
          </w:tcPr>
          <w:p w14:paraId="677488AA">
            <w:pPr>
              <w:spacing w:line="240" w:lineRule="auto"/>
              <w:ind w:left="735" w:hanging="735" w:hangingChars="350"/>
              <w:jc w:val="left"/>
              <w:rPr>
                <w:sz w:val="21"/>
                <w:szCs w:val="21"/>
                <w:highlight w:val="none"/>
              </w:rPr>
            </w:pPr>
            <w:r>
              <w:rPr>
                <w:rFonts w:hint="eastAsia"/>
                <w:sz w:val="21"/>
                <w:szCs w:val="21"/>
                <w:highlight w:val="none"/>
              </w:rPr>
              <w:t>在止水层完成排水管安装直接将水排出</w:t>
            </w:r>
          </w:p>
        </w:tc>
      </w:tr>
      <w:tr w14:paraId="1FEBBA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exact"/>
          <w:jc w:val="center"/>
        </w:trPr>
        <w:tc>
          <w:tcPr>
            <w:tcW w:w="681" w:type="pct"/>
            <w:noWrap w:val="0"/>
            <w:tcMar>
              <w:top w:w="15" w:type="dxa"/>
              <w:left w:w="15" w:type="dxa"/>
              <w:bottom w:w="0" w:type="dxa"/>
              <w:right w:w="15" w:type="dxa"/>
            </w:tcMar>
            <w:vAlign w:val="center"/>
          </w:tcPr>
          <w:p w14:paraId="2A5F9656">
            <w:pPr>
              <w:spacing w:line="240" w:lineRule="auto"/>
              <w:ind w:left="735" w:hanging="735" w:hangingChars="350"/>
              <w:jc w:val="center"/>
              <w:rPr>
                <w:sz w:val="21"/>
                <w:szCs w:val="21"/>
                <w:highlight w:val="none"/>
              </w:rPr>
            </w:pPr>
            <w:r>
              <w:rPr>
                <w:sz w:val="21"/>
                <w:szCs w:val="21"/>
                <w:highlight w:val="none"/>
              </w:rPr>
              <w:t>6</w:t>
            </w:r>
          </w:p>
        </w:tc>
        <w:tc>
          <w:tcPr>
            <w:tcW w:w="1297" w:type="pct"/>
            <w:noWrap w:val="0"/>
            <w:tcMar>
              <w:top w:w="15" w:type="dxa"/>
              <w:left w:w="15" w:type="dxa"/>
              <w:bottom w:w="0" w:type="dxa"/>
              <w:right w:w="15" w:type="dxa"/>
            </w:tcMar>
            <w:vAlign w:val="center"/>
          </w:tcPr>
          <w:p w14:paraId="490D61D1">
            <w:pPr>
              <w:spacing w:line="240" w:lineRule="auto"/>
              <w:ind w:left="735" w:hanging="735" w:hangingChars="350"/>
              <w:jc w:val="center"/>
              <w:rPr>
                <w:sz w:val="21"/>
                <w:szCs w:val="21"/>
                <w:highlight w:val="none"/>
              </w:rPr>
            </w:pPr>
            <w:r>
              <w:rPr>
                <w:rFonts w:hint="eastAsia"/>
                <w:sz w:val="21"/>
                <w:szCs w:val="21"/>
                <w:highlight w:val="none"/>
              </w:rPr>
              <w:t>电井预留洞</w:t>
            </w:r>
          </w:p>
        </w:tc>
        <w:tc>
          <w:tcPr>
            <w:tcW w:w="3021" w:type="pct"/>
            <w:noWrap w:val="0"/>
            <w:tcMar>
              <w:top w:w="15" w:type="dxa"/>
              <w:left w:w="15" w:type="dxa"/>
              <w:bottom w:w="0" w:type="dxa"/>
              <w:right w:w="15" w:type="dxa"/>
            </w:tcMar>
            <w:vAlign w:val="center"/>
          </w:tcPr>
          <w:p w14:paraId="2CCEA6CF">
            <w:pPr>
              <w:spacing w:line="240" w:lineRule="auto"/>
              <w:ind w:left="735" w:hanging="735" w:hangingChars="350"/>
              <w:jc w:val="left"/>
              <w:rPr>
                <w:sz w:val="21"/>
                <w:szCs w:val="21"/>
                <w:highlight w:val="none"/>
              </w:rPr>
            </w:pPr>
            <w:r>
              <w:rPr>
                <w:rFonts w:hint="eastAsia"/>
                <w:sz w:val="21"/>
                <w:szCs w:val="21"/>
                <w:highlight w:val="none"/>
              </w:rPr>
              <w:t>在止水层施工反坎，盖板钉死止水</w:t>
            </w:r>
          </w:p>
        </w:tc>
      </w:tr>
      <w:tr w14:paraId="73F23B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1" w:hRule="exact"/>
          <w:jc w:val="center"/>
        </w:trPr>
        <w:tc>
          <w:tcPr>
            <w:tcW w:w="681" w:type="pct"/>
            <w:noWrap w:val="0"/>
            <w:tcMar>
              <w:top w:w="15" w:type="dxa"/>
              <w:left w:w="15" w:type="dxa"/>
              <w:bottom w:w="0" w:type="dxa"/>
              <w:right w:w="15" w:type="dxa"/>
            </w:tcMar>
            <w:vAlign w:val="center"/>
          </w:tcPr>
          <w:p w14:paraId="19F79597">
            <w:pPr>
              <w:spacing w:line="240" w:lineRule="auto"/>
              <w:ind w:left="735" w:hanging="735" w:hangingChars="350"/>
              <w:jc w:val="center"/>
              <w:rPr>
                <w:sz w:val="21"/>
                <w:szCs w:val="21"/>
                <w:highlight w:val="none"/>
              </w:rPr>
            </w:pPr>
            <w:r>
              <w:rPr>
                <w:sz w:val="21"/>
                <w:szCs w:val="21"/>
                <w:highlight w:val="none"/>
              </w:rPr>
              <w:t>7</w:t>
            </w:r>
          </w:p>
        </w:tc>
        <w:tc>
          <w:tcPr>
            <w:tcW w:w="1297" w:type="pct"/>
            <w:noWrap w:val="0"/>
            <w:tcMar>
              <w:top w:w="15" w:type="dxa"/>
              <w:left w:w="15" w:type="dxa"/>
              <w:bottom w:w="0" w:type="dxa"/>
              <w:right w:w="15" w:type="dxa"/>
            </w:tcMar>
            <w:vAlign w:val="center"/>
          </w:tcPr>
          <w:p w14:paraId="3D7D6883">
            <w:pPr>
              <w:spacing w:line="240" w:lineRule="auto"/>
              <w:ind w:left="735" w:hanging="735" w:hangingChars="350"/>
              <w:jc w:val="center"/>
              <w:rPr>
                <w:sz w:val="21"/>
                <w:szCs w:val="21"/>
                <w:highlight w:val="none"/>
              </w:rPr>
            </w:pPr>
            <w:r>
              <w:rPr>
                <w:rFonts w:hint="eastAsia"/>
                <w:sz w:val="21"/>
                <w:szCs w:val="21"/>
                <w:highlight w:val="none"/>
              </w:rPr>
              <w:t>泵管洞</w:t>
            </w:r>
          </w:p>
        </w:tc>
        <w:tc>
          <w:tcPr>
            <w:tcW w:w="3021" w:type="pct"/>
            <w:noWrap w:val="0"/>
            <w:tcMar>
              <w:top w:w="15" w:type="dxa"/>
              <w:left w:w="15" w:type="dxa"/>
              <w:bottom w:w="0" w:type="dxa"/>
              <w:right w:w="15" w:type="dxa"/>
            </w:tcMar>
            <w:vAlign w:val="center"/>
          </w:tcPr>
          <w:p w14:paraId="3559D730">
            <w:pPr>
              <w:spacing w:line="240" w:lineRule="auto"/>
              <w:ind w:left="735" w:hanging="735" w:hangingChars="350"/>
              <w:jc w:val="left"/>
              <w:rPr>
                <w:sz w:val="21"/>
                <w:szCs w:val="21"/>
                <w:highlight w:val="none"/>
              </w:rPr>
            </w:pPr>
            <w:r>
              <w:rPr>
                <w:rFonts w:hint="eastAsia"/>
                <w:sz w:val="21"/>
                <w:szCs w:val="21"/>
                <w:highlight w:val="none"/>
              </w:rPr>
              <w:t>在止水层施工反坎，并用雨布与泵管绑扎牢固，确保水不能沿泵管周边流下</w:t>
            </w:r>
          </w:p>
        </w:tc>
      </w:tr>
      <w:tr w14:paraId="7AF5EA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1" w:hRule="exact"/>
          <w:jc w:val="center"/>
        </w:trPr>
        <w:tc>
          <w:tcPr>
            <w:tcW w:w="681" w:type="pct"/>
            <w:noWrap w:val="0"/>
            <w:tcMar>
              <w:top w:w="15" w:type="dxa"/>
              <w:left w:w="15" w:type="dxa"/>
              <w:bottom w:w="0" w:type="dxa"/>
              <w:right w:w="15" w:type="dxa"/>
            </w:tcMar>
            <w:vAlign w:val="center"/>
          </w:tcPr>
          <w:p w14:paraId="0224DD00">
            <w:pPr>
              <w:spacing w:line="240" w:lineRule="auto"/>
              <w:ind w:left="735" w:hanging="735" w:hangingChars="350"/>
              <w:jc w:val="center"/>
              <w:rPr>
                <w:sz w:val="21"/>
                <w:szCs w:val="21"/>
                <w:highlight w:val="none"/>
              </w:rPr>
            </w:pPr>
            <w:r>
              <w:rPr>
                <w:sz w:val="21"/>
                <w:szCs w:val="21"/>
                <w:highlight w:val="none"/>
              </w:rPr>
              <w:t>8</w:t>
            </w:r>
          </w:p>
        </w:tc>
        <w:tc>
          <w:tcPr>
            <w:tcW w:w="1297" w:type="pct"/>
            <w:noWrap w:val="0"/>
            <w:tcMar>
              <w:top w:w="15" w:type="dxa"/>
              <w:left w:w="15" w:type="dxa"/>
              <w:bottom w:w="0" w:type="dxa"/>
              <w:right w:w="15" w:type="dxa"/>
            </w:tcMar>
            <w:vAlign w:val="center"/>
          </w:tcPr>
          <w:p w14:paraId="3745BAEB">
            <w:pPr>
              <w:spacing w:line="240" w:lineRule="auto"/>
              <w:ind w:left="735" w:hanging="735" w:hangingChars="350"/>
              <w:jc w:val="center"/>
              <w:rPr>
                <w:sz w:val="21"/>
                <w:szCs w:val="21"/>
                <w:highlight w:val="none"/>
              </w:rPr>
            </w:pPr>
            <w:r>
              <w:rPr>
                <w:rFonts w:hint="eastAsia"/>
                <w:sz w:val="21"/>
                <w:szCs w:val="21"/>
                <w:highlight w:val="none"/>
              </w:rPr>
              <w:t>楼梯间</w:t>
            </w:r>
          </w:p>
        </w:tc>
        <w:tc>
          <w:tcPr>
            <w:tcW w:w="3021" w:type="pct"/>
            <w:noWrap w:val="0"/>
            <w:tcMar>
              <w:top w:w="15" w:type="dxa"/>
              <w:left w:w="15" w:type="dxa"/>
              <w:bottom w:w="0" w:type="dxa"/>
              <w:right w:w="15" w:type="dxa"/>
            </w:tcMar>
            <w:vAlign w:val="center"/>
          </w:tcPr>
          <w:p w14:paraId="09B501CA">
            <w:pPr>
              <w:spacing w:line="240" w:lineRule="auto"/>
              <w:ind w:left="735" w:hanging="735" w:hangingChars="350"/>
              <w:jc w:val="left"/>
              <w:rPr>
                <w:sz w:val="21"/>
                <w:szCs w:val="21"/>
                <w:highlight w:val="none"/>
              </w:rPr>
            </w:pPr>
            <w:r>
              <w:rPr>
                <w:rFonts w:hint="eastAsia"/>
                <w:sz w:val="21"/>
                <w:szCs w:val="21"/>
                <w:highlight w:val="none"/>
              </w:rPr>
              <w:t>及时塞缝，两侧打胶，中间缝设截水槽排至止水层后，集中排放。</w:t>
            </w:r>
          </w:p>
        </w:tc>
      </w:tr>
      <w:tr w14:paraId="1ABE26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33" w:hRule="exact"/>
          <w:jc w:val="center"/>
        </w:trPr>
        <w:tc>
          <w:tcPr>
            <w:tcW w:w="681" w:type="pct"/>
            <w:noWrap w:val="0"/>
            <w:tcMar>
              <w:top w:w="15" w:type="dxa"/>
              <w:left w:w="15" w:type="dxa"/>
              <w:bottom w:w="0" w:type="dxa"/>
              <w:right w:w="15" w:type="dxa"/>
            </w:tcMar>
            <w:vAlign w:val="center"/>
          </w:tcPr>
          <w:p w14:paraId="0DAF296C">
            <w:pPr>
              <w:spacing w:line="240" w:lineRule="auto"/>
              <w:ind w:left="735" w:hanging="735" w:hangingChars="350"/>
              <w:jc w:val="center"/>
              <w:rPr>
                <w:rFonts w:hint="eastAsia" w:eastAsia="宋体"/>
                <w:sz w:val="21"/>
                <w:szCs w:val="21"/>
                <w:highlight w:val="none"/>
                <w:lang w:val="en-US" w:eastAsia="zh-CN"/>
              </w:rPr>
            </w:pPr>
            <w:r>
              <w:rPr>
                <w:rFonts w:hint="eastAsia"/>
                <w:sz w:val="21"/>
                <w:szCs w:val="21"/>
                <w:highlight w:val="none"/>
                <w:lang w:val="en-US" w:eastAsia="zh-CN"/>
              </w:rPr>
              <w:t>9</w:t>
            </w:r>
          </w:p>
        </w:tc>
        <w:tc>
          <w:tcPr>
            <w:tcW w:w="1297" w:type="pct"/>
            <w:noWrap w:val="0"/>
            <w:tcMar>
              <w:top w:w="15" w:type="dxa"/>
              <w:left w:w="15" w:type="dxa"/>
              <w:bottom w:w="0" w:type="dxa"/>
              <w:right w:w="15" w:type="dxa"/>
            </w:tcMar>
            <w:vAlign w:val="center"/>
          </w:tcPr>
          <w:p w14:paraId="67365038">
            <w:pPr>
              <w:spacing w:line="240" w:lineRule="auto"/>
              <w:ind w:left="735" w:hanging="735" w:hangingChars="350"/>
              <w:jc w:val="center"/>
              <w:rPr>
                <w:sz w:val="21"/>
                <w:szCs w:val="21"/>
                <w:highlight w:val="none"/>
              </w:rPr>
            </w:pPr>
            <w:r>
              <w:rPr>
                <w:rFonts w:hint="eastAsia"/>
                <w:sz w:val="21"/>
                <w:szCs w:val="21"/>
                <w:highlight w:val="none"/>
              </w:rPr>
              <w:t>各流水作业区防水</w:t>
            </w:r>
          </w:p>
        </w:tc>
        <w:tc>
          <w:tcPr>
            <w:tcW w:w="3021" w:type="pct"/>
            <w:noWrap w:val="0"/>
            <w:tcMar>
              <w:top w:w="15" w:type="dxa"/>
              <w:left w:w="15" w:type="dxa"/>
              <w:bottom w:w="0" w:type="dxa"/>
              <w:right w:w="15" w:type="dxa"/>
            </w:tcMar>
            <w:vAlign w:val="center"/>
          </w:tcPr>
          <w:p w14:paraId="7BEED481">
            <w:pPr>
              <w:spacing w:line="240" w:lineRule="auto"/>
              <w:ind w:left="735" w:hanging="735" w:hangingChars="350"/>
              <w:rPr>
                <w:sz w:val="21"/>
                <w:szCs w:val="21"/>
                <w:highlight w:val="none"/>
              </w:rPr>
            </w:pPr>
            <w:r>
              <w:rPr>
                <w:rFonts w:hint="eastAsia"/>
                <w:sz w:val="21"/>
                <w:szCs w:val="21"/>
                <w:highlight w:val="none"/>
              </w:rPr>
              <w:t>结构流水段底层、二次结构及砌筑流水段底层、粗装修流水段底层加强防水</w:t>
            </w:r>
          </w:p>
        </w:tc>
      </w:tr>
    </w:tbl>
    <w:p w14:paraId="5AA8769B">
      <w:pPr>
        <w:pStyle w:val="6"/>
        <w:numPr>
          <w:ilvl w:val="3"/>
          <w:numId w:val="0"/>
        </w:numPr>
        <w:ind w:left="864" w:leftChars="100" w:hanging="624"/>
        <w:rPr>
          <w:highlight w:val="none"/>
        </w:rPr>
      </w:pPr>
      <w:r>
        <w:rPr>
          <w:rFonts w:hint="eastAsia"/>
          <w:highlight w:val="none"/>
        </w:rPr>
        <w:t>4.2.3.</w:t>
      </w:r>
      <w:r>
        <w:rPr>
          <w:rFonts w:hint="eastAsia"/>
          <w:highlight w:val="none"/>
          <w:lang w:val="en-US" w:eastAsia="zh-CN"/>
        </w:rPr>
        <w:t>17</w:t>
      </w:r>
      <w:r>
        <w:rPr>
          <w:rFonts w:hint="eastAsia"/>
          <w:highlight w:val="none"/>
        </w:rPr>
        <w:t>满足精装修穿插施工要求，承包人应根据项目总控计划安排，在合适的楼层分别设置外墙及楼层内止水层。</w:t>
      </w:r>
    </w:p>
    <w:p w14:paraId="605EAD32">
      <w:pPr>
        <w:pStyle w:val="6"/>
        <w:numPr>
          <w:ilvl w:val="3"/>
          <w:numId w:val="0"/>
        </w:numPr>
        <w:ind w:left="864" w:leftChars="100" w:hanging="624"/>
        <w:rPr>
          <w:highlight w:val="none"/>
        </w:rPr>
      </w:pPr>
      <w:r>
        <w:rPr>
          <w:rFonts w:hint="eastAsia"/>
          <w:highlight w:val="none"/>
        </w:rPr>
        <w:t>4.2.3.</w:t>
      </w:r>
      <w:r>
        <w:rPr>
          <w:rFonts w:hint="eastAsia"/>
          <w:highlight w:val="none"/>
          <w:lang w:val="en-US" w:eastAsia="zh-CN"/>
        </w:rPr>
        <w:t>18</w:t>
      </w:r>
      <w:r>
        <w:rPr>
          <w:rFonts w:hint="eastAsia"/>
          <w:highlight w:val="none"/>
        </w:rPr>
        <w:t>在外墙及楼层分别设置有效的截水设施，对施工用水和雨水进行有组织的拦截与引流，实现楼层干湿分区。</w:t>
      </w:r>
    </w:p>
    <w:p w14:paraId="0C8645AC">
      <w:pPr>
        <w:pStyle w:val="6"/>
        <w:numPr>
          <w:ilvl w:val="3"/>
          <w:numId w:val="0"/>
        </w:numPr>
        <w:ind w:left="864" w:leftChars="100" w:hanging="624"/>
        <w:rPr>
          <w:highlight w:val="none"/>
        </w:rPr>
      </w:pPr>
      <w:r>
        <w:rPr>
          <w:rFonts w:hint="eastAsia"/>
          <w:highlight w:val="none"/>
        </w:rPr>
        <w:t>4.2.3.</w:t>
      </w:r>
      <w:r>
        <w:rPr>
          <w:rFonts w:hint="eastAsia"/>
          <w:highlight w:val="none"/>
          <w:lang w:val="en-US" w:eastAsia="zh-CN"/>
        </w:rPr>
        <w:t>19</w:t>
      </w:r>
      <w:r>
        <w:rPr>
          <w:rFonts w:hint="eastAsia"/>
          <w:highlight w:val="none"/>
        </w:rPr>
        <w:t>外墙截水措施：在外墙四周连续布置成品U型截水槽，并按3-5%放坡,最低点处增加排水管，引流至最近集水点。</w:t>
      </w:r>
    </w:p>
    <w:p w14:paraId="64DB702E">
      <w:pPr>
        <w:pStyle w:val="6"/>
        <w:numPr>
          <w:ilvl w:val="3"/>
          <w:numId w:val="0"/>
        </w:numPr>
        <w:ind w:left="864" w:leftChars="100" w:hanging="624"/>
        <w:rPr>
          <w:highlight w:val="none"/>
        </w:rPr>
      </w:pPr>
      <w:r>
        <w:rPr>
          <w:rFonts w:hint="eastAsia"/>
          <w:highlight w:val="none"/>
        </w:rPr>
        <w:t>4.2.3.</w:t>
      </w:r>
      <w:r>
        <w:rPr>
          <w:rFonts w:hint="eastAsia"/>
          <w:highlight w:val="none"/>
          <w:lang w:val="en-US" w:eastAsia="zh-CN"/>
        </w:rPr>
        <w:t>20</w:t>
      </w:r>
      <w:r>
        <w:rPr>
          <w:rFonts w:hint="eastAsia"/>
          <w:highlight w:val="none"/>
        </w:rPr>
        <w:t>楼梯间截水引流措施：在楼梯斜板及平台边缘设置截水系统，将水引流至排水管中。</w:t>
      </w:r>
    </w:p>
    <w:p w14:paraId="6F6E822E">
      <w:pPr>
        <w:pStyle w:val="6"/>
        <w:numPr>
          <w:ilvl w:val="3"/>
          <w:numId w:val="0"/>
        </w:numPr>
        <w:ind w:left="864" w:leftChars="100" w:hanging="624"/>
        <w:rPr>
          <w:highlight w:val="none"/>
        </w:rPr>
      </w:pPr>
      <w:r>
        <w:rPr>
          <w:rFonts w:hint="eastAsia"/>
          <w:highlight w:val="none"/>
        </w:rPr>
        <w:t>4.2.3.2</w:t>
      </w:r>
      <w:r>
        <w:rPr>
          <w:rFonts w:hint="eastAsia"/>
          <w:highlight w:val="none"/>
          <w:lang w:val="en-US" w:eastAsia="zh-CN"/>
        </w:rPr>
        <w:t>1</w:t>
      </w:r>
      <w:r>
        <w:rPr>
          <w:rFonts w:hint="eastAsia"/>
          <w:highlight w:val="none"/>
        </w:rPr>
        <w:t>临时用水点、临时消防水点等用水区域周边应设置混凝土挡水坎，并对洞口进行临时截水封堵。</w:t>
      </w:r>
    </w:p>
    <w:p w14:paraId="0C30843B">
      <w:pPr>
        <w:pStyle w:val="6"/>
        <w:numPr>
          <w:ilvl w:val="3"/>
          <w:numId w:val="0"/>
        </w:numPr>
        <w:ind w:left="864" w:leftChars="100" w:hanging="624"/>
        <w:rPr>
          <w:highlight w:val="none"/>
        </w:rPr>
      </w:pPr>
      <w:r>
        <w:rPr>
          <w:rFonts w:hint="eastAsia"/>
          <w:highlight w:val="none"/>
        </w:rPr>
        <w:t>4.2.3.2</w:t>
      </w:r>
      <w:r>
        <w:rPr>
          <w:rFonts w:hint="eastAsia"/>
          <w:highlight w:val="none"/>
          <w:lang w:val="en-US" w:eastAsia="zh-CN"/>
        </w:rPr>
        <w:t>2</w:t>
      </w:r>
      <w:r>
        <w:rPr>
          <w:rFonts w:hint="eastAsia"/>
          <w:highlight w:val="none"/>
        </w:rPr>
        <w:t>泵管预留洞及时塞缝固定并打胶，布料机口、传料口、放线口在止水层进行封堵封闭，烟道口、风道口、管道井采用盖板临时封闭，卫生间、阳台、厨房排水管道在止水层完成安装，直接将水排出。</w:t>
      </w:r>
    </w:p>
    <w:p w14:paraId="38B6F7F0">
      <w:pPr>
        <w:pStyle w:val="6"/>
        <w:numPr>
          <w:ilvl w:val="3"/>
          <w:numId w:val="0"/>
        </w:numPr>
        <w:ind w:left="864" w:leftChars="100" w:hanging="624"/>
        <w:rPr>
          <w:highlight w:val="none"/>
        </w:rPr>
      </w:pPr>
      <w:r>
        <w:rPr>
          <w:rFonts w:hint="eastAsia"/>
          <w:highlight w:val="none"/>
        </w:rPr>
        <w:t>4.2.3.2</w:t>
      </w:r>
      <w:r>
        <w:rPr>
          <w:rFonts w:hint="eastAsia"/>
          <w:highlight w:val="none"/>
          <w:lang w:val="en-US" w:eastAsia="zh-CN"/>
        </w:rPr>
        <w:t>3</w:t>
      </w:r>
      <w:r>
        <w:rPr>
          <w:rFonts w:hint="eastAsia"/>
          <w:highlight w:val="none"/>
        </w:rPr>
        <w:t>食堂排水应与其它排水系统分开设置，并设隔油池。厕所必须设化粪池，污水经化粪池排入城市污水管网或指定排放点。</w:t>
      </w:r>
    </w:p>
    <w:p w14:paraId="69DD3E43">
      <w:pPr>
        <w:pStyle w:val="6"/>
        <w:numPr>
          <w:ilvl w:val="3"/>
          <w:numId w:val="0"/>
        </w:numPr>
        <w:ind w:left="864" w:leftChars="100" w:hanging="624"/>
        <w:rPr>
          <w:highlight w:val="none"/>
        </w:rPr>
      </w:pPr>
      <w:r>
        <w:rPr>
          <w:rFonts w:hint="eastAsia"/>
          <w:highlight w:val="none"/>
        </w:rPr>
        <w:t>4.2.3.2</w:t>
      </w:r>
      <w:r>
        <w:rPr>
          <w:rFonts w:hint="eastAsia"/>
          <w:highlight w:val="none"/>
          <w:lang w:val="en-US" w:eastAsia="zh-CN"/>
        </w:rPr>
        <w:t>4</w:t>
      </w:r>
      <w:r>
        <w:rPr>
          <w:rFonts w:hint="eastAsia"/>
          <w:highlight w:val="none"/>
        </w:rPr>
        <w:t>总承包人应充分考虑封闭空间的临时通风措施，采用风扇、风机、通风管道等措施保证空气流通及满足总承包自行施工作业范围内施工要求的空气湿度控制，并负责此措施的实施和日常维护。专业承包人</w:t>
      </w:r>
      <w:r>
        <w:rPr>
          <w:highlight w:val="none"/>
        </w:rPr>
        <w:t>施工作业</w:t>
      </w:r>
      <w:r>
        <w:rPr>
          <w:rFonts w:hint="eastAsia"/>
          <w:highlight w:val="none"/>
        </w:rPr>
        <w:t>范围</w:t>
      </w:r>
      <w:r>
        <w:rPr>
          <w:highlight w:val="none"/>
        </w:rPr>
        <w:t>内</w:t>
      </w:r>
      <w:r>
        <w:rPr>
          <w:rFonts w:hint="eastAsia"/>
          <w:highlight w:val="none"/>
        </w:rPr>
        <w:t>的空气</w:t>
      </w:r>
      <w:r>
        <w:rPr>
          <w:highlight w:val="none"/>
        </w:rPr>
        <w:t>湿度控制由</w:t>
      </w:r>
      <w:r>
        <w:rPr>
          <w:rFonts w:hint="eastAsia"/>
          <w:highlight w:val="none"/>
        </w:rPr>
        <w:t>专业承包人负责</w:t>
      </w:r>
      <w:r>
        <w:rPr>
          <w:highlight w:val="none"/>
        </w:rPr>
        <w:t>实施</w:t>
      </w:r>
      <w:r>
        <w:rPr>
          <w:rFonts w:hint="eastAsia"/>
          <w:highlight w:val="none"/>
        </w:rPr>
        <w:t>和</w:t>
      </w:r>
      <w:r>
        <w:rPr>
          <w:highlight w:val="none"/>
        </w:rPr>
        <w:t>维护</w:t>
      </w:r>
      <w:r>
        <w:rPr>
          <w:rFonts w:hint="eastAsia"/>
          <w:highlight w:val="none"/>
        </w:rPr>
        <w:t>。</w:t>
      </w:r>
    </w:p>
    <w:p w14:paraId="0914126F">
      <w:pPr>
        <w:pStyle w:val="6"/>
        <w:numPr>
          <w:ilvl w:val="3"/>
          <w:numId w:val="0"/>
        </w:numPr>
        <w:ind w:left="864" w:leftChars="100" w:hanging="624"/>
        <w:rPr>
          <w:highlight w:val="none"/>
        </w:rPr>
      </w:pPr>
      <w:r>
        <w:rPr>
          <w:rFonts w:hint="eastAsia"/>
          <w:highlight w:val="none"/>
        </w:rPr>
        <w:t>4.2.3.2</w:t>
      </w:r>
      <w:r>
        <w:rPr>
          <w:rFonts w:hint="eastAsia"/>
          <w:highlight w:val="none"/>
          <w:lang w:val="en-US" w:eastAsia="zh-CN"/>
        </w:rPr>
        <w:t>5</w:t>
      </w:r>
      <w:r>
        <w:rPr>
          <w:rFonts w:hint="eastAsia"/>
          <w:highlight w:val="none"/>
        </w:rPr>
        <w:t>临时用</w:t>
      </w:r>
      <w:r>
        <w:rPr>
          <w:highlight w:val="none"/>
        </w:rPr>
        <w:t>水</w:t>
      </w:r>
      <w:r>
        <w:rPr>
          <w:rFonts w:hint="eastAsia"/>
          <w:highlight w:val="none"/>
        </w:rPr>
        <w:t>、用电、排</w:t>
      </w:r>
      <w:r>
        <w:rPr>
          <w:highlight w:val="none"/>
        </w:rPr>
        <w:t>污、排水及通风等所产生的费用，总承包人</w:t>
      </w:r>
      <w:r>
        <w:rPr>
          <w:rFonts w:hint="eastAsia"/>
          <w:highlight w:val="none"/>
        </w:rPr>
        <w:t>需</w:t>
      </w:r>
      <w:r>
        <w:rPr>
          <w:highlight w:val="none"/>
        </w:rPr>
        <w:t>充分</w:t>
      </w:r>
      <w:r>
        <w:rPr>
          <w:rFonts w:hint="eastAsia"/>
          <w:highlight w:val="none"/>
        </w:rPr>
        <w:t>考虑</w:t>
      </w:r>
      <w:r>
        <w:rPr>
          <w:highlight w:val="none"/>
        </w:rPr>
        <w:tab/>
      </w:r>
      <w:r>
        <w:rPr>
          <w:highlight w:val="none"/>
        </w:rPr>
        <w:t>和预估</w:t>
      </w:r>
      <w:r>
        <w:rPr>
          <w:rFonts w:hint="eastAsia"/>
          <w:highlight w:val="none"/>
        </w:rPr>
        <w:t>，包干</w:t>
      </w:r>
      <w:r>
        <w:rPr>
          <w:highlight w:val="none"/>
        </w:rPr>
        <w:t>报价。</w:t>
      </w:r>
    </w:p>
    <w:p w14:paraId="20FC150B">
      <w:pPr>
        <w:pStyle w:val="5"/>
        <w:numPr>
          <w:ilvl w:val="2"/>
          <w:numId w:val="0"/>
        </w:numPr>
        <w:ind w:left="624" w:hanging="624"/>
        <w:rPr>
          <w:highlight w:val="none"/>
        </w:rPr>
      </w:pPr>
      <w:bookmarkStart w:id="182" w:name="_Toc13482"/>
      <w:r>
        <w:rPr>
          <w:rFonts w:hint="eastAsia"/>
          <w:highlight w:val="none"/>
        </w:rPr>
        <w:t>4.2.4施工</w:t>
      </w:r>
      <w:r>
        <w:rPr>
          <w:highlight w:val="none"/>
        </w:rPr>
        <w:t>场地</w:t>
      </w:r>
      <w:bookmarkEnd w:id="182"/>
    </w:p>
    <w:p w14:paraId="6BE3FFB5">
      <w:pPr>
        <w:ind w:firstLine="480"/>
        <w:rPr>
          <w:highlight w:val="none"/>
        </w:rPr>
      </w:pPr>
      <w:r>
        <w:rPr>
          <w:highlight w:val="none"/>
        </w:rPr>
        <w:tab/>
      </w:r>
      <w:r>
        <w:rPr>
          <w:rFonts w:hint="eastAsia"/>
          <w:highlight w:val="none"/>
        </w:rPr>
        <w:t>根据施工进度计划安排以及现场实际情况，合理安排施工场地，并为专业承包人提供指定区域</w:t>
      </w:r>
      <w:r>
        <w:rPr>
          <w:highlight w:val="none"/>
        </w:rPr>
        <w:t>，用以</w:t>
      </w:r>
      <w:r>
        <w:rPr>
          <w:rFonts w:hint="eastAsia"/>
          <w:highlight w:val="none"/>
        </w:rPr>
        <w:t>搭建加工</w:t>
      </w:r>
      <w:r>
        <w:rPr>
          <w:highlight w:val="none"/>
        </w:rPr>
        <w:t>场、</w:t>
      </w:r>
      <w:r>
        <w:rPr>
          <w:rFonts w:hint="eastAsia"/>
          <w:highlight w:val="none"/>
        </w:rPr>
        <w:t>物资仓库、材料堆放区，并划分各自的责任区。</w:t>
      </w:r>
    </w:p>
    <w:p w14:paraId="100EF481">
      <w:pPr>
        <w:pStyle w:val="5"/>
        <w:numPr>
          <w:ilvl w:val="2"/>
          <w:numId w:val="0"/>
        </w:numPr>
        <w:ind w:left="624" w:hanging="624"/>
        <w:rPr>
          <w:highlight w:val="none"/>
        </w:rPr>
      </w:pPr>
      <w:bookmarkStart w:id="183" w:name="_Toc31335"/>
      <w:r>
        <w:rPr>
          <w:rFonts w:hint="eastAsia"/>
          <w:highlight w:val="none"/>
        </w:rPr>
        <w:t>4.2.5 施工运输通道及道路</w:t>
      </w:r>
      <w:bookmarkEnd w:id="183"/>
    </w:p>
    <w:p w14:paraId="7896D6A7">
      <w:pPr>
        <w:pStyle w:val="6"/>
        <w:numPr>
          <w:ilvl w:val="3"/>
          <w:numId w:val="0"/>
        </w:numPr>
        <w:ind w:left="864" w:leftChars="100" w:hanging="624"/>
        <w:rPr>
          <w:highlight w:val="none"/>
        </w:rPr>
      </w:pPr>
      <w:r>
        <w:rPr>
          <w:rFonts w:hint="eastAsia"/>
          <w:highlight w:val="none"/>
        </w:rPr>
        <w:t>4.2.5.1总承包人应规划并硬化承包标段范围内的施工运输通道及道路，且该道路应满足混凝土罐车的通行条件（包括装配式建筑车辆运行、吊装、堆场的临时道路及硬化），并承担工程施工完成后或因施工需要而导致的红线内外临时道路拆除工作，同时将产生的垃圾清运至场外。工程施工时，应合理安排专业承包人的施工顺序、设备、材料进场时间、车辆流量控制，确保现场施工道路畅通。除按</w:t>
      </w:r>
      <w:r>
        <w:rPr>
          <w:highlight w:val="none"/>
        </w:rPr>
        <w:t>要求硬化施工场地及施工道路，还需</w:t>
      </w:r>
      <w:r>
        <w:rPr>
          <w:rFonts w:hint="eastAsia"/>
          <w:highlight w:val="none"/>
        </w:rPr>
        <w:t>保证</w:t>
      </w:r>
      <w:r>
        <w:rPr>
          <w:highlight w:val="none"/>
        </w:rPr>
        <w:t>对施工红线范围内的</w:t>
      </w:r>
      <w:r>
        <w:rPr>
          <w:rFonts w:hint="eastAsia"/>
          <w:highlight w:val="none"/>
        </w:rPr>
        <w:t>地面</w:t>
      </w:r>
      <w:r>
        <w:rPr>
          <w:highlight w:val="none"/>
        </w:rPr>
        <w:t>露土</w:t>
      </w:r>
      <w:r>
        <w:rPr>
          <w:rFonts w:hint="eastAsia"/>
          <w:highlight w:val="none"/>
        </w:rPr>
        <w:t>区域</w:t>
      </w:r>
      <w:r>
        <w:rPr>
          <w:highlight w:val="none"/>
        </w:rPr>
        <w:t>进行覆盖。</w:t>
      </w:r>
    </w:p>
    <w:p w14:paraId="32C48A4C">
      <w:pPr>
        <w:pStyle w:val="6"/>
        <w:numPr>
          <w:ilvl w:val="3"/>
          <w:numId w:val="0"/>
        </w:numPr>
        <w:ind w:left="864" w:leftChars="100" w:hanging="624"/>
        <w:rPr>
          <w:highlight w:val="none"/>
        </w:rPr>
      </w:pPr>
      <w:r>
        <w:rPr>
          <w:rFonts w:hint="eastAsia"/>
          <w:highlight w:val="none"/>
        </w:rPr>
        <w:t>4.2.5.2现有通行的道路、桥梁，凡与本合同工程的施工发生干扰或不能直接抵达施工现场时，承包人应根据工程建设需要修缮、新修筑红线内临时道路，并对其进行硬化、养护、维护，以确保交通的畅通。承包人负责道路的维修平整、清洁、洒水、沿线设施保护等。相关费用在投标时综合考虑，结算时不单独列项计取，承包人不得以此项工作主张任何费用。</w:t>
      </w:r>
    </w:p>
    <w:p w14:paraId="21D783F1">
      <w:pPr>
        <w:pStyle w:val="6"/>
        <w:numPr>
          <w:ilvl w:val="3"/>
          <w:numId w:val="0"/>
        </w:numPr>
        <w:ind w:left="864" w:leftChars="100" w:hanging="624"/>
        <w:rPr>
          <w:highlight w:val="none"/>
        </w:rPr>
      </w:pPr>
      <w:r>
        <w:rPr>
          <w:rFonts w:hint="eastAsia"/>
          <w:highlight w:val="none"/>
        </w:rPr>
        <w:t xml:space="preserve">4.2.5.3在合同履行期内，承包人应参照前期已修筑临时道路，根据施工实际需要增加场内临时道路、施工便道（包含桩基施工、桩基检测等工作和专业承包需求的临时砖渣路面）等，并在使用期间进行平整、排水、清理、洒水等维护工作，保证运输畅通。场内临时路结构、宽度和长度应保证施工车辆的运输需要。开工前承包人施工临时道路、施工便道等的修筑方案须得到监理单位认可。相关费用在投标时综合考虑，结算时不单独列项计取，承包人不得以此项工作主张任何费用。  </w:t>
      </w:r>
    </w:p>
    <w:p w14:paraId="560B940F">
      <w:pPr>
        <w:pStyle w:val="6"/>
        <w:numPr>
          <w:ilvl w:val="3"/>
          <w:numId w:val="0"/>
        </w:numPr>
        <w:ind w:left="864" w:leftChars="100" w:hanging="624"/>
        <w:rPr>
          <w:highlight w:val="none"/>
        </w:rPr>
      </w:pPr>
      <w:r>
        <w:rPr>
          <w:rFonts w:hint="eastAsia"/>
          <w:highlight w:val="none"/>
        </w:rPr>
        <w:t>4.2.5.4施工期间对交通组织的要求必须符合公安交通管理和市交通部门的有关规定，编报施工组织设计时，应充分考虑施工期间的交通组织，并保证车辆运行畅通和安全。</w:t>
      </w:r>
    </w:p>
    <w:p w14:paraId="7830AD0B">
      <w:pPr>
        <w:pStyle w:val="6"/>
        <w:numPr>
          <w:ilvl w:val="3"/>
          <w:numId w:val="0"/>
        </w:numPr>
        <w:ind w:left="864" w:leftChars="100" w:hanging="624"/>
        <w:rPr>
          <w:highlight w:val="none"/>
        </w:rPr>
      </w:pPr>
      <w:r>
        <w:rPr>
          <w:rFonts w:hint="eastAsia"/>
          <w:highlight w:val="none"/>
        </w:rPr>
        <w:t>4.2.5.5车辆行驶产生尘埃须满足环保部门的检测要求，对于尘埃超标，承包人进行调查并采取措施以降低尘埃至有关部门可接受的程度，并令监理单位满意。</w:t>
      </w:r>
    </w:p>
    <w:p w14:paraId="5BECC13B">
      <w:pPr>
        <w:pStyle w:val="6"/>
        <w:numPr>
          <w:ilvl w:val="3"/>
          <w:numId w:val="0"/>
        </w:numPr>
        <w:ind w:left="864" w:leftChars="100" w:hanging="624"/>
        <w:rPr>
          <w:highlight w:val="none"/>
        </w:rPr>
      </w:pPr>
      <w:r>
        <w:rPr>
          <w:rFonts w:hint="eastAsia"/>
          <w:highlight w:val="none"/>
        </w:rPr>
        <w:t>4.2.5.6运输车辆产生的噪音须低于环保部门规定的程度，夜晚施工或靠近民居的工地，噪音将被要求降得更低，并满足环保部门的要求。</w:t>
      </w:r>
    </w:p>
    <w:p w14:paraId="18B9049F">
      <w:pPr>
        <w:pStyle w:val="6"/>
        <w:numPr>
          <w:ilvl w:val="3"/>
          <w:numId w:val="0"/>
        </w:numPr>
        <w:ind w:left="864" w:leftChars="100" w:hanging="624"/>
        <w:rPr>
          <w:highlight w:val="none"/>
        </w:rPr>
      </w:pPr>
      <w:r>
        <w:rPr>
          <w:rFonts w:hint="eastAsia"/>
          <w:highlight w:val="none"/>
        </w:rPr>
        <w:t>4.2.5.7承包人仅能使用经发包人、监理单位同意的并经有关部门批准的干道出入口点，这些干道出入口点的使用也应遵守相关主管部门的限制规定。标段范围内如需增加临时出入口点，承包人须经监理单位同意后，自行办理相关手续及承担相关费用。在干道、人行道、出入口点内、或附近的施工应尽量减少干扰，应合理的、尽可能短的时间内完成。如本项目范围内设有发包人提供的临时出入口点，承包人应负责临时出入口点的施工、看管、围护和保卫工作；承包人自行申请的出入口由承包人自己负责看管、围护和保卫工作。</w:t>
      </w:r>
    </w:p>
    <w:p w14:paraId="21D09738">
      <w:pPr>
        <w:pStyle w:val="6"/>
        <w:numPr>
          <w:ilvl w:val="3"/>
          <w:numId w:val="0"/>
        </w:numPr>
        <w:ind w:left="864" w:leftChars="100" w:hanging="624"/>
        <w:rPr>
          <w:highlight w:val="none"/>
        </w:rPr>
      </w:pPr>
      <w:r>
        <w:rPr>
          <w:rFonts w:hint="eastAsia"/>
          <w:highlight w:val="none"/>
        </w:rPr>
        <w:t>4.2.5.8临时便道与洗车池等一切相关费用计入措施项目清单中，含淤泥清理，淤泥清运是指在本工程施工过程中所有发生的淤泥开挖、清理、外运和废弃，所产生的费用综合考虑列入相关的综合单价或措施费中。承包人不得因此获得索偿。</w:t>
      </w:r>
    </w:p>
    <w:p w14:paraId="4030349A">
      <w:pPr>
        <w:pStyle w:val="5"/>
        <w:numPr>
          <w:ilvl w:val="2"/>
          <w:numId w:val="0"/>
        </w:numPr>
        <w:ind w:left="624" w:hanging="624"/>
        <w:rPr>
          <w:highlight w:val="none"/>
        </w:rPr>
      </w:pPr>
      <w:bookmarkStart w:id="184" w:name="_Toc14930"/>
      <w:r>
        <w:rPr>
          <w:rFonts w:hint="eastAsia"/>
          <w:highlight w:val="none"/>
        </w:rPr>
        <w:t>4.2.6施工</w:t>
      </w:r>
      <w:r>
        <w:rPr>
          <w:highlight w:val="none"/>
        </w:rPr>
        <w:t>机械</w:t>
      </w:r>
      <w:bookmarkEnd w:id="184"/>
    </w:p>
    <w:p w14:paraId="282DE8DA">
      <w:pPr>
        <w:pStyle w:val="6"/>
        <w:numPr>
          <w:ilvl w:val="3"/>
          <w:numId w:val="0"/>
        </w:numPr>
        <w:ind w:left="864" w:leftChars="100" w:hanging="624"/>
        <w:rPr>
          <w:highlight w:val="none"/>
        </w:rPr>
      </w:pPr>
      <w:r>
        <w:rPr>
          <w:rFonts w:hint="eastAsia"/>
          <w:highlight w:val="none"/>
        </w:rPr>
        <w:t>4.2.6.1无偿向专业承包人提供现场已有的能够满足需求的爬梯、工作台等。</w:t>
      </w:r>
    </w:p>
    <w:p w14:paraId="51AE7BD2">
      <w:pPr>
        <w:pStyle w:val="5"/>
        <w:numPr>
          <w:ilvl w:val="2"/>
          <w:numId w:val="0"/>
        </w:numPr>
        <w:ind w:left="624" w:hanging="624"/>
        <w:rPr>
          <w:highlight w:val="none"/>
        </w:rPr>
      </w:pPr>
      <w:bookmarkStart w:id="185" w:name="_Toc8863"/>
      <w:r>
        <w:rPr>
          <w:rFonts w:hint="eastAsia"/>
          <w:highlight w:val="none"/>
        </w:rPr>
        <w:t>4.2.7 脚手架</w:t>
      </w:r>
      <w:bookmarkEnd w:id="185"/>
    </w:p>
    <w:p w14:paraId="6D10EE99">
      <w:pPr>
        <w:ind w:firstLine="480"/>
        <w:rPr>
          <w:highlight w:val="none"/>
        </w:rPr>
      </w:pPr>
      <w:r>
        <w:rPr>
          <w:rFonts w:hint="eastAsia"/>
          <w:highlight w:val="none"/>
        </w:rPr>
        <w:t>施工脚手架拆除前，总承包人应无偿向专业承包人/独立承包人提供施工脚手架以供使用，施工脚手架拆除后，如专业承包人/独立承包人有使用需要，由专业承包人自行搭设总承包人予以配合；或由总承包人有偿提供搭设脚手架服务，搭设费用标准</w:t>
      </w:r>
      <w:r>
        <w:rPr>
          <w:highlight w:val="none"/>
        </w:rPr>
        <w:t>应与市场价格相当</w:t>
      </w:r>
      <w:r>
        <w:rPr>
          <w:rFonts w:hint="eastAsia"/>
          <w:highlight w:val="none"/>
        </w:rPr>
        <w:t>。</w:t>
      </w:r>
    </w:p>
    <w:p w14:paraId="07F10DA4">
      <w:pPr>
        <w:widowControl/>
        <w:snapToGrid/>
        <w:spacing w:line="360" w:lineRule="auto"/>
        <w:ind w:firstLine="480"/>
        <w:jc w:val="left"/>
        <w:outlineLvl w:val="2"/>
        <w:rPr>
          <w:highlight w:val="none"/>
        </w:rPr>
      </w:pPr>
      <w:bookmarkStart w:id="186" w:name="_Toc7993"/>
      <w:r>
        <w:rPr>
          <w:rFonts w:hint="eastAsia"/>
          <w:highlight w:val="none"/>
        </w:rPr>
        <w:t>4.2.8垃圾</w:t>
      </w:r>
      <w:r>
        <w:rPr>
          <w:highlight w:val="none"/>
        </w:rPr>
        <w:t>清运</w:t>
      </w:r>
      <w:bookmarkEnd w:id="186"/>
    </w:p>
    <w:p w14:paraId="7BC822B7">
      <w:pPr>
        <w:widowControl/>
        <w:snapToGrid/>
        <w:spacing w:line="360" w:lineRule="auto"/>
        <w:ind w:firstLine="480"/>
        <w:jc w:val="left"/>
        <w:rPr>
          <w:rFonts w:hint="eastAsia"/>
          <w:highlight w:val="none"/>
          <w:lang w:val="zh-TW"/>
        </w:rPr>
      </w:pPr>
      <w:r>
        <w:rPr>
          <w:rFonts w:hint="eastAsia"/>
          <w:highlight w:val="none"/>
        </w:rPr>
        <w:t>4.2.8.1</w:t>
      </w:r>
      <w:r>
        <w:rPr>
          <w:rFonts w:hint="eastAsia"/>
          <w:highlight w:val="none"/>
          <w:lang w:val="zh-TW"/>
        </w:rPr>
        <w:t>本工程按照国家有关规定、规范进行施工、验收，具体以施工图纸及相关技术和验收标准、遵照发包人相关规定要求为准。</w:t>
      </w:r>
    </w:p>
    <w:p w14:paraId="5249D69C">
      <w:pPr>
        <w:widowControl/>
        <w:snapToGrid/>
        <w:spacing w:line="360" w:lineRule="auto"/>
        <w:ind w:firstLine="480"/>
        <w:jc w:val="left"/>
        <w:rPr>
          <w:rFonts w:hint="eastAsia"/>
          <w:highlight w:val="none"/>
          <w:lang w:val="zh-TW"/>
        </w:rPr>
      </w:pPr>
      <w:r>
        <w:rPr>
          <w:rFonts w:hint="eastAsia"/>
          <w:highlight w:val="none"/>
        </w:rPr>
        <w:t>（1）</w:t>
      </w:r>
      <w:r>
        <w:rPr>
          <w:rFonts w:hint="eastAsia"/>
          <w:highlight w:val="none"/>
          <w:lang w:val="zh-TW"/>
        </w:rPr>
        <w:t>本工程采用的工程建设标准、规范必须遵守现行中华人民共和国以及广东省、广州市或行业最新的工程建设标准及规范，且必须满足设计文件的相关要求，和上级主管部门对配售型</w:t>
      </w:r>
      <w:r>
        <w:rPr>
          <w:rFonts w:hint="eastAsia"/>
          <w:highlight w:val="none"/>
        </w:rPr>
        <w:t>住</w:t>
      </w:r>
      <w:r>
        <w:rPr>
          <w:rFonts w:hint="eastAsia"/>
          <w:highlight w:val="none"/>
          <w:lang w:val="zh-TW"/>
        </w:rPr>
        <w:t>房的要求。</w:t>
      </w:r>
    </w:p>
    <w:p w14:paraId="010BD26A">
      <w:pPr>
        <w:widowControl/>
        <w:snapToGrid/>
        <w:spacing w:line="360" w:lineRule="auto"/>
        <w:ind w:firstLine="480"/>
        <w:jc w:val="left"/>
        <w:rPr>
          <w:highlight w:val="none"/>
        </w:rPr>
      </w:pPr>
      <w:r>
        <w:rPr>
          <w:rFonts w:hint="eastAsia"/>
          <w:highlight w:val="none"/>
        </w:rPr>
        <w:t>（2）</w:t>
      </w:r>
      <w:r>
        <w:rPr>
          <w:rFonts w:hint="eastAsia"/>
          <w:highlight w:val="none"/>
          <w:lang w:val="zh-TW"/>
        </w:rPr>
        <w:t>本工程实施中采用的材料、设备与工艺，都必须符合上述标准、规范及设计文件的相应要求。</w:t>
      </w:r>
    </w:p>
    <w:p w14:paraId="3966FD19">
      <w:pPr>
        <w:pStyle w:val="6"/>
        <w:numPr>
          <w:ilvl w:val="3"/>
          <w:numId w:val="0"/>
        </w:numPr>
        <w:ind w:firstLine="480" w:firstLineChars="200"/>
        <w:rPr>
          <w:highlight w:val="none"/>
        </w:rPr>
      </w:pPr>
      <w:r>
        <w:rPr>
          <w:highlight w:val="none"/>
        </w:rPr>
        <w:t>4.2.8.</w:t>
      </w:r>
      <w:r>
        <w:rPr>
          <w:rFonts w:hint="eastAsia"/>
          <w:highlight w:val="none"/>
        </w:rPr>
        <w:t>2</w:t>
      </w:r>
      <w:r>
        <w:rPr>
          <w:highlight w:val="none"/>
        </w:rPr>
        <w:t>总承包人应严格遵守并执行《广东省建筑垃圾管理条例》，应通过施工图纸深化、施工方案优化、永临结合、临时设施和周转材料重复利用、施工过程管理等控制措施，从源头控制施工现场建筑垃圾的产生。</w:t>
      </w:r>
    </w:p>
    <w:p w14:paraId="238C646C">
      <w:pPr>
        <w:pStyle w:val="6"/>
        <w:numPr>
          <w:ilvl w:val="3"/>
          <w:numId w:val="0"/>
        </w:numPr>
        <w:ind w:firstLine="480" w:firstLineChars="200"/>
        <w:rPr>
          <w:highlight w:val="none"/>
        </w:rPr>
      </w:pPr>
      <w:r>
        <w:rPr>
          <w:highlight w:val="none"/>
        </w:rPr>
        <w:t>4.2.8.</w:t>
      </w:r>
      <w:r>
        <w:rPr>
          <w:rFonts w:hint="eastAsia"/>
          <w:highlight w:val="none"/>
        </w:rPr>
        <w:t>3</w:t>
      </w:r>
      <w:r>
        <w:rPr>
          <w:highlight w:val="none"/>
        </w:rPr>
        <w:t>总承包人应落实《广东省建筑垃圾管理条例》要求，对施工现场的建筑垃圾精细化分类分质利用，将符合条件的建筑垃圾用于生产以建筑垃圾为主要原料的再生粉料、再生骨料、再生骨料混凝土及其构件、再生骨料砂浆、再生混合料、再生混凝土砖、再生混凝土砌块、再生混凝土墙板、烧结砖和烧结砌块等建筑垃圾综合利用产品。对建筑垃圾里分拣出来的废钢筋、废电线、废铁丝等，可用于材料再生；废竹木料可用于制造人造板材或者生产生物质碳等产品。</w:t>
      </w:r>
    </w:p>
    <w:p w14:paraId="0968B992">
      <w:pPr>
        <w:pStyle w:val="6"/>
        <w:numPr>
          <w:ilvl w:val="3"/>
          <w:numId w:val="0"/>
        </w:numPr>
        <w:ind w:firstLine="480" w:firstLineChars="200"/>
        <w:rPr>
          <w:highlight w:val="none"/>
        </w:rPr>
      </w:pPr>
      <w:r>
        <w:rPr>
          <w:highlight w:val="none"/>
        </w:rPr>
        <w:t>4.2.8.</w:t>
      </w:r>
      <w:r>
        <w:rPr>
          <w:rFonts w:hint="eastAsia"/>
          <w:highlight w:val="none"/>
        </w:rPr>
        <w:t>4</w:t>
      </w:r>
      <w:r>
        <w:rPr>
          <w:highlight w:val="none"/>
        </w:rPr>
        <w:t>总承包单位应当编制建筑垃圾处理方案，采取污染防治措施，并在开工前报工程所在地建筑垃圾主管部门备案。建筑垃圾处理方案内容有调整的，应当及时报告接受备案的部门。建筑垃圾处理方案应当包括下列内容：</w:t>
      </w:r>
    </w:p>
    <w:p w14:paraId="05588043">
      <w:pPr>
        <w:ind w:firstLine="480"/>
        <w:rPr>
          <w:highlight w:val="none"/>
        </w:rPr>
      </w:pPr>
      <w:r>
        <w:rPr>
          <w:rFonts w:hint="eastAsia"/>
          <w:highlight w:val="none"/>
        </w:rPr>
        <w:t>（</w:t>
      </w:r>
      <w:r>
        <w:rPr>
          <w:highlight w:val="none"/>
        </w:rPr>
        <w:t>1）工程概况和施工单位基本信息；</w:t>
      </w:r>
    </w:p>
    <w:p w14:paraId="7AC7541D">
      <w:pPr>
        <w:ind w:firstLine="480"/>
        <w:rPr>
          <w:highlight w:val="none"/>
        </w:rPr>
      </w:pPr>
      <w:r>
        <w:rPr>
          <w:rFonts w:hint="eastAsia"/>
          <w:highlight w:val="none"/>
        </w:rPr>
        <w:t>（</w:t>
      </w:r>
      <w:r>
        <w:rPr>
          <w:highlight w:val="none"/>
        </w:rPr>
        <w:t>2）建筑垃圾产生量与种类；</w:t>
      </w:r>
    </w:p>
    <w:p w14:paraId="5FAA7A67">
      <w:pPr>
        <w:ind w:firstLine="480"/>
        <w:rPr>
          <w:highlight w:val="none"/>
        </w:rPr>
      </w:pPr>
      <w:r>
        <w:rPr>
          <w:rFonts w:hint="eastAsia"/>
          <w:highlight w:val="none"/>
        </w:rPr>
        <w:t>（</w:t>
      </w:r>
      <w:r>
        <w:rPr>
          <w:highlight w:val="none"/>
        </w:rPr>
        <w:t>3）建筑垃圾源头减量、分类收集、综合利用、污染防治的措施和目标；</w:t>
      </w:r>
    </w:p>
    <w:p w14:paraId="3A969010">
      <w:pPr>
        <w:ind w:firstLine="480"/>
        <w:rPr>
          <w:highlight w:val="none"/>
        </w:rPr>
      </w:pPr>
      <w:r>
        <w:rPr>
          <w:rFonts w:hint="eastAsia"/>
          <w:highlight w:val="none"/>
        </w:rPr>
        <w:t>（</w:t>
      </w:r>
      <w:r>
        <w:rPr>
          <w:highlight w:val="none"/>
        </w:rPr>
        <w:t>4）需要外运的建筑垃圾种类、数量与运输的时间、路线、方式和运输单位；</w:t>
      </w:r>
    </w:p>
    <w:p w14:paraId="68D6B2FB">
      <w:pPr>
        <w:ind w:firstLine="480"/>
        <w:rPr>
          <w:highlight w:val="none"/>
        </w:rPr>
      </w:pPr>
      <w:r>
        <w:rPr>
          <w:rFonts w:hint="eastAsia"/>
          <w:highlight w:val="none"/>
        </w:rPr>
        <w:t>（</w:t>
      </w:r>
      <w:r>
        <w:rPr>
          <w:highlight w:val="none"/>
        </w:rPr>
        <w:t>5）建筑垃圾回填、消纳、综合利用场所名称；</w:t>
      </w:r>
    </w:p>
    <w:p w14:paraId="223C6809">
      <w:pPr>
        <w:ind w:firstLine="480"/>
        <w:rPr>
          <w:highlight w:val="none"/>
        </w:rPr>
      </w:pPr>
      <w:r>
        <w:rPr>
          <w:rFonts w:hint="eastAsia"/>
          <w:highlight w:val="none"/>
        </w:rPr>
        <w:t>（</w:t>
      </w:r>
      <w:r>
        <w:rPr>
          <w:highlight w:val="none"/>
        </w:rPr>
        <w:t>6）法律、法规规定的其他内容。</w:t>
      </w:r>
    </w:p>
    <w:p w14:paraId="2DEA4B14">
      <w:pPr>
        <w:pStyle w:val="6"/>
        <w:numPr>
          <w:ilvl w:val="3"/>
          <w:numId w:val="0"/>
        </w:numPr>
        <w:ind w:firstLine="480" w:firstLineChars="200"/>
        <w:rPr>
          <w:highlight w:val="none"/>
        </w:rPr>
      </w:pPr>
      <w:r>
        <w:rPr>
          <w:highlight w:val="none"/>
        </w:rPr>
        <w:t>4.2.8.</w:t>
      </w:r>
      <w:r>
        <w:rPr>
          <w:rFonts w:hint="eastAsia"/>
          <w:highlight w:val="none"/>
        </w:rPr>
        <w:t>5</w:t>
      </w:r>
      <w:r>
        <w:rPr>
          <w:highlight w:val="none"/>
        </w:rPr>
        <w:t>总承包单位应当按照国家有关规定对施工现场的建筑垃圾进行分类，实行分类收集、分类贮存、分类运输、分类处置。</w:t>
      </w:r>
    </w:p>
    <w:p w14:paraId="63A1B071">
      <w:pPr>
        <w:pStyle w:val="6"/>
        <w:numPr>
          <w:ilvl w:val="3"/>
          <w:numId w:val="0"/>
        </w:numPr>
        <w:ind w:firstLine="480" w:firstLineChars="200"/>
        <w:rPr>
          <w:highlight w:val="none"/>
        </w:rPr>
      </w:pPr>
      <w:r>
        <w:rPr>
          <w:highlight w:val="none"/>
        </w:rPr>
        <w:t>4.2.8.</w:t>
      </w:r>
      <w:r>
        <w:rPr>
          <w:rFonts w:hint="eastAsia"/>
          <w:highlight w:val="none"/>
        </w:rPr>
        <w:t>6</w:t>
      </w:r>
      <w:r>
        <w:rPr>
          <w:highlight w:val="none"/>
        </w:rPr>
        <w:t>总承包单位应开展建筑垃圾分类和合法装载，并及时向工程所在地建筑垃圾主管部门报送建筑垃圾处理方案。总承包单位应当建立建筑垃圾管理台账，分类收集、贮存和及时清运施工过程中产生的建筑垃圾，采取有效措施防止混合已分类的建筑垃圾。总承包单位应当将建筑垃圾的产生量与种类、清运时间、最终去向等信息在施工现场公示，接受社会监督。</w:t>
      </w:r>
    </w:p>
    <w:p w14:paraId="3AF1D9D9">
      <w:pPr>
        <w:ind w:firstLine="480"/>
        <w:rPr>
          <w:highlight w:val="none"/>
        </w:rPr>
      </w:pPr>
      <w:r>
        <w:rPr>
          <w:rFonts w:hint="eastAsia"/>
          <w:highlight w:val="none"/>
        </w:rPr>
        <w:t>运输建筑垃圾应当遵守下列规定：</w:t>
      </w:r>
    </w:p>
    <w:p w14:paraId="27FDA301">
      <w:pPr>
        <w:ind w:firstLine="480"/>
        <w:rPr>
          <w:highlight w:val="none"/>
        </w:rPr>
      </w:pPr>
      <w:r>
        <w:rPr>
          <w:rFonts w:hint="eastAsia"/>
          <w:highlight w:val="none"/>
        </w:rPr>
        <w:t>（</w:t>
      </w:r>
      <w:r>
        <w:rPr>
          <w:highlight w:val="none"/>
        </w:rPr>
        <w:t>1）建立建筑垃圾运输管理台账；</w:t>
      </w:r>
    </w:p>
    <w:p w14:paraId="446E03BC">
      <w:pPr>
        <w:ind w:firstLine="480"/>
        <w:rPr>
          <w:highlight w:val="none"/>
        </w:rPr>
      </w:pPr>
      <w:r>
        <w:rPr>
          <w:rFonts w:hint="eastAsia"/>
          <w:highlight w:val="none"/>
        </w:rPr>
        <w:t>（</w:t>
      </w:r>
      <w:r>
        <w:rPr>
          <w:highlight w:val="none"/>
        </w:rPr>
        <w:t>2）不得将工程渣土、工程泥浆与其他建筑垃圾混合运输；</w:t>
      </w:r>
    </w:p>
    <w:p w14:paraId="3BBB09A1">
      <w:pPr>
        <w:ind w:firstLine="480"/>
        <w:rPr>
          <w:highlight w:val="none"/>
        </w:rPr>
      </w:pPr>
      <w:r>
        <w:rPr>
          <w:rFonts w:hint="eastAsia"/>
          <w:highlight w:val="none"/>
        </w:rPr>
        <w:t>（</w:t>
      </w:r>
      <w:r>
        <w:rPr>
          <w:highlight w:val="none"/>
        </w:rPr>
        <w:t>3）保持运输车辆、船舶等运输工具的行驶记录、卫星定位等电子装置正常使用；</w:t>
      </w:r>
    </w:p>
    <w:p w14:paraId="581989B5">
      <w:pPr>
        <w:ind w:firstLine="480"/>
        <w:rPr>
          <w:highlight w:val="none"/>
        </w:rPr>
      </w:pPr>
      <w:r>
        <w:rPr>
          <w:rFonts w:hint="eastAsia"/>
          <w:highlight w:val="none"/>
        </w:rPr>
        <w:t>（</w:t>
      </w:r>
      <w:r>
        <w:rPr>
          <w:highlight w:val="none"/>
        </w:rPr>
        <w:t>4）运输过程中保持运输工具整洁，采取密闭或者其他有效措施防止遗撒建筑垃圾，不得擅自倾倒、抛撒建筑垃圾；</w:t>
      </w:r>
    </w:p>
    <w:p w14:paraId="6EC8D957">
      <w:pPr>
        <w:ind w:firstLine="480"/>
        <w:rPr>
          <w:highlight w:val="none"/>
        </w:rPr>
      </w:pPr>
      <w:r>
        <w:rPr>
          <w:rFonts w:hint="eastAsia"/>
          <w:highlight w:val="none"/>
        </w:rPr>
        <w:t>（</w:t>
      </w:r>
      <w:r>
        <w:rPr>
          <w:highlight w:val="none"/>
        </w:rPr>
        <w:t>5）按照建筑垃圾处理方案确定的时间、路线、方式、场所进行运输。建筑垃圾运输车辆、船舶应当符合相应的载运技术条件。建筑垃圾处置场所为陆域的，不得采用开底式船舶运输建筑垃圾。</w:t>
      </w:r>
    </w:p>
    <w:p w14:paraId="46D6F921">
      <w:pPr>
        <w:pStyle w:val="6"/>
        <w:numPr>
          <w:ilvl w:val="3"/>
          <w:numId w:val="0"/>
        </w:numPr>
        <w:ind w:firstLine="480" w:firstLineChars="200"/>
        <w:rPr>
          <w:highlight w:val="none"/>
        </w:rPr>
      </w:pPr>
      <w:r>
        <w:rPr>
          <w:highlight w:val="none"/>
        </w:rPr>
        <w:t>4.2.8.</w:t>
      </w:r>
      <w:r>
        <w:rPr>
          <w:rFonts w:hint="eastAsia"/>
          <w:highlight w:val="none"/>
        </w:rPr>
        <w:t>7</w:t>
      </w:r>
      <w:r>
        <w:rPr>
          <w:highlight w:val="none"/>
        </w:rPr>
        <w:t>工程泥浆应当在施工现场进行脱水固化处理。施工现场不具备条件的，应当采用罐装器具密闭运输至依法设置的建筑垃圾处置场所进行处置。水上工程中依法无需经脱水处理的除外。建筑垃圾应当按照下列方式，优先就地就近利用：</w:t>
      </w:r>
    </w:p>
    <w:p w14:paraId="32A914CA">
      <w:pPr>
        <w:ind w:firstLine="480"/>
        <w:rPr>
          <w:highlight w:val="none"/>
        </w:rPr>
      </w:pPr>
      <w:r>
        <w:rPr>
          <w:rFonts w:hint="eastAsia"/>
          <w:highlight w:val="none"/>
        </w:rPr>
        <w:t>（</w:t>
      </w:r>
      <w:r>
        <w:rPr>
          <w:highlight w:val="none"/>
        </w:rPr>
        <w:t>1）工程渣土及脱水后的工程泥浆优先用于土方平衡、矿坑修复、环境治理、烧结制品及回填等；</w:t>
      </w:r>
    </w:p>
    <w:p w14:paraId="07A7777A">
      <w:pPr>
        <w:ind w:firstLine="480"/>
        <w:rPr>
          <w:highlight w:val="none"/>
        </w:rPr>
      </w:pPr>
      <w:r>
        <w:rPr>
          <w:rFonts w:hint="eastAsia"/>
          <w:highlight w:val="none"/>
        </w:rPr>
        <w:t>（</w:t>
      </w:r>
      <w:r>
        <w:rPr>
          <w:highlight w:val="none"/>
        </w:rPr>
        <w:t>2）工程垃圾、拆除垃圾和装修垃圾优先用于生产再生骨料、再生砖、再生砌块、再生沥青混合料等建筑垃圾综合利用产品。具备现场综合利用条件的建设工程，应当进行建筑垃圾现场综合利用。</w:t>
      </w:r>
    </w:p>
    <w:p w14:paraId="2C4ED113">
      <w:pPr>
        <w:pStyle w:val="6"/>
        <w:numPr>
          <w:ilvl w:val="3"/>
          <w:numId w:val="0"/>
        </w:numPr>
        <w:ind w:firstLine="480" w:firstLineChars="200"/>
        <w:rPr>
          <w:highlight w:val="none"/>
        </w:rPr>
      </w:pPr>
      <w:r>
        <w:rPr>
          <w:rFonts w:hint="eastAsia"/>
          <w:highlight w:val="none"/>
        </w:rPr>
        <w:t>4.2.8.8总承包人须在施工现场的合理位置设置废弃物与垃圾堆场，并根据施工现场总平面的变化及时变更废弃物与垃圾堆场的位置。</w:t>
      </w:r>
    </w:p>
    <w:p w14:paraId="4C1C8173">
      <w:pPr>
        <w:pStyle w:val="6"/>
        <w:numPr>
          <w:ilvl w:val="3"/>
          <w:numId w:val="0"/>
        </w:numPr>
        <w:ind w:firstLine="480" w:firstLineChars="200"/>
        <w:rPr>
          <w:highlight w:val="none"/>
        </w:rPr>
      </w:pPr>
      <w:bookmarkStart w:id="187" w:name="_Hlk168670636"/>
      <w:r>
        <w:rPr>
          <w:rFonts w:hint="eastAsia"/>
          <w:highlight w:val="none"/>
        </w:rPr>
        <w:t>4.2.8.9现场设置垃圾堆场，专业承包人/独立承包人将各自垃圾清理集中运至就近</w:t>
      </w:r>
      <w:r>
        <w:rPr>
          <w:highlight w:val="none"/>
        </w:rPr>
        <w:t>的废物收集点</w:t>
      </w:r>
      <w:r>
        <w:rPr>
          <w:rFonts w:hint="eastAsia"/>
          <w:highlight w:val="none"/>
        </w:rPr>
        <w:t>后，分别进行外运处理，并保证垃圾不过夜。由总承包统筹临时堆放场地、运输安排、弃放场地等并满足文明施工相关规定，费用各自自行承担。</w:t>
      </w:r>
    </w:p>
    <w:bookmarkEnd w:id="187"/>
    <w:p w14:paraId="20EF7343">
      <w:pPr>
        <w:pStyle w:val="5"/>
        <w:numPr>
          <w:ilvl w:val="2"/>
          <w:numId w:val="0"/>
        </w:numPr>
        <w:ind w:left="624" w:hanging="624"/>
        <w:rPr>
          <w:highlight w:val="none"/>
        </w:rPr>
      </w:pPr>
      <w:bookmarkStart w:id="188" w:name="_Toc16345"/>
      <w:r>
        <w:rPr>
          <w:rFonts w:hint="eastAsia"/>
          <w:highlight w:val="none"/>
        </w:rPr>
        <w:t>4.2.9安全</w:t>
      </w:r>
      <w:r>
        <w:rPr>
          <w:highlight w:val="none"/>
        </w:rPr>
        <w:t>保卫</w:t>
      </w:r>
      <w:bookmarkEnd w:id="188"/>
    </w:p>
    <w:p w14:paraId="147CAC01">
      <w:pPr>
        <w:pStyle w:val="6"/>
        <w:numPr>
          <w:ilvl w:val="3"/>
          <w:numId w:val="0"/>
        </w:numPr>
        <w:ind w:left="864" w:leftChars="100" w:hanging="624"/>
        <w:rPr>
          <w:highlight w:val="none"/>
        </w:rPr>
      </w:pPr>
      <w:r>
        <w:rPr>
          <w:rFonts w:hint="eastAsia"/>
          <w:highlight w:val="none"/>
        </w:rPr>
        <w:t>4.2.9.1对项目实施</w:t>
      </w:r>
      <w:r>
        <w:rPr>
          <w:highlight w:val="none"/>
        </w:rPr>
        <w:t>24</w:t>
      </w:r>
      <w:r>
        <w:rPr>
          <w:rFonts w:hint="eastAsia"/>
          <w:highlight w:val="none"/>
        </w:rPr>
        <w:t>小时封闭式管理，聘用实力强、有较好信誉及管理水平的专业保安公司负责现场治安保卫工作。</w:t>
      </w:r>
    </w:p>
    <w:p w14:paraId="2439DF48">
      <w:pPr>
        <w:pStyle w:val="6"/>
        <w:numPr>
          <w:ilvl w:val="3"/>
          <w:numId w:val="0"/>
        </w:numPr>
        <w:ind w:left="864" w:leftChars="100" w:hanging="624"/>
        <w:rPr>
          <w:highlight w:val="none"/>
        </w:rPr>
      </w:pPr>
      <w:r>
        <w:rPr>
          <w:rFonts w:hint="eastAsia"/>
          <w:highlight w:val="none"/>
        </w:rPr>
        <w:t>4.2.9.</w:t>
      </w:r>
      <w:r>
        <w:rPr>
          <w:rFonts w:hint="eastAsia"/>
          <w:highlight w:val="none"/>
          <w:lang w:val="en-US" w:eastAsia="zh-CN"/>
        </w:rPr>
        <w:t>2</w:t>
      </w:r>
      <w:r>
        <w:rPr>
          <w:rFonts w:hint="eastAsia"/>
          <w:highlight w:val="none"/>
        </w:rPr>
        <w:t>工地围挡每50m至少设1个数字摄像头，工地及办公生活区出入口、、食堂、饮用水（茶水）集中供应点、贵重材料堆场（仓库）及其它重要区域均须设置不少于1个数字摄像头，同时负责数字摄像头正常工作所需的一切配套设施设备（包括但不限于电子计算机系统、照明系统及防雷接地系统等）。数字摄像头设置的位置应保证重点部位通视、可覆盖，并确保对施工现场进行全天候、全范围监视管理。电子监控影像记录必须保存不少于90日。</w:t>
      </w:r>
    </w:p>
    <w:p w14:paraId="19347E8C">
      <w:pPr>
        <w:pStyle w:val="6"/>
        <w:numPr>
          <w:ilvl w:val="3"/>
          <w:numId w:val="0"/>
        </w:numPr>
        <w:ind w:left="864" w:leftChars="100" w:hanging="624"/>
        <w:rPr>
          <w:highlight w:val="none"/>
        </w:rPr>
      </w:pPr>
      <w:r>
        <w:rPr>
          <w:rFonts w:hint="eastAsia"/>
          <w:highlight w:val="none"/>
        </w:rPr>
        <w:t>4.2.9.</w:t>
      </w:r>
      <w:r>
        <w:rPr>
          <w:rFonts w:hint="eastAsia"/>
          <w:highlight w:val="none"/>
          <w:lang w:val="en-US" w:eastAsia="zh-CN"/>
        </w:rPr>
        <w:t>3</w:t>
      </w:r>
      <w:r>
        <w:rPr>
          <w:rFonts w:hint="eastAsia"/>
          <w:highlight w:val="none"/>
        </w:rPr>
        <w:t>车辆、材料进出须做好登记拍照及确认后方可放行。</w:t>
      </w:r>
    </w:p>
    <w:p w14:paraId="45B241FB">
      <w:pPr>
        <w:pStyle w:val="6"/>
        <w:numPr>
          <w:ilvl w:val="3"/>
          <w:numId w:val="0"/>
        </w:numPr>
        <w:ind w:left="864" w:leftChars="100" w:hanging="624"/>
        <w:rPr>
          <w:highlight w:val="none"/>
        </w:rPr>
      </w:pPr>
      <w:r>
        <w:rPr>
          <w:rFonts w:hint="eastAsia"/>
          <w:highlight w:val="none"/>
        </w:rPr>
        <w:t>4.2.9.</w:t>
      </w:r>
      <w:r>
        <w:rPr>
          <w:rFonts w:hint="eastAsia"/>
          <w:highlight w:val="none"/>
          <w:lang w:val="en-US" w:eastAsia="zh-CN"/>
        </w:rPr>
        <w:t>4</w:t>
      </w:r>
      <w:r>
        <w:rPr>
          <w:rFonts w:hint="eastAsia"/>
          <w:highlight w:val="none"/>
        </w:rPr>
        <w:t>为观摩学习、检查指导等来访人员提供安全防护用品，并做好入场提醒教育、登记。</w:t>
      </w:r>
    </w:p>
    <w:p w14:paraId="30C5CCB1">
      <w:pPr>
        <w:pStyle w:val="6"/>
        <w:numPr>
          <w:ilvl w:val="3"/>
          <w:numId w:val="0"/>
        </w:numPr>
        <w:ind w:left="864" w:leftChars="100" w:hanging="624"/>
        <w:rPr>
          <w:highlight w:val="none"/>
        </w:rPr>
      </w:pPr>
      <w:r>
        <w:rPr>
          <w:rFonts w:hint="eastAsia"/>
          <w:highlight w:val="none"/>
        </w:rPr>
        <w:t>4.2.9.</w:t>
      </w:r>
      <w:r>
        <w:rPr>
          <w:rFonts w:hint="eastAsia"/>
          <w:highlight w:val="none"/>
          <w:lang w:val="en-US" w:eastAsia="zh-CN"/>
        </w:rPr>
        <w:t>5</w:t>
      </w:r>
      <w:r>
        <w:rPr>
          <w:rFonts w:hint="eastAsia"/>
          <w:highlight w:val="none"/>
        </w:rPr>
        <w:t>严禁外来人员私自进入施工现场，严禁现场安保人员与外来人员进行攀谈对项目造成负面影响，如有发生，发包人有权进行处罚。</w:t>
      </w:r>
    </w:p>
    <w:p w14:paraId="186C19C0">
      <w:pPr>
        <w:pStyle w:val="6"/>
        <w:numPr>
          <w:ilvl w:val="3"/>
          <w:numId w:val="0"/>
        </w:numPr>
        <w:ind w:left="864" w:leftChars="100" w:hanging="624"/>
        <w:rPr>
          <w:highlight w:val="none"/>
        </w:rPr>
      </w:pPr>
      <w:r>
        <w:rPr>
          <w:rFonts w:hint="eastAsia"/>
          <w:highlight w:val="none"/>
        </w:rPr>
        <w:t>4.2.9.</w:t>
      </w:r>
      <w:r>
        <w:rPr>
          <w:rFonts w:hint="eastAsia"/>
          <w:highlight w:val="none"/>
          <w:lang w:val="en-US" w:eastAsia="zh-CN"/>
        </w:rPr>
        <w:t>6</w:t>
      </w:r>
      <w:r>
        <w:rPr>
          <w:rFonts w:hint="eastAsia"/>
          <w:highlight w:val="none"/>
        </w:rPr>
        <w:t>项目交付前总承包人应与物业公司做好安保工作移交手续，避免出现管理空档期。</w:t>
      </w:r>
    </w:p>
    <w:p w14:paraId="5AFD5400">
      <w:pPr>
        <w:pStyle w:val="4"/>
        <w:numPr>
          <w:ilvl w:val="1"/>
          <w:numId w:val="0"/>
        </w:numPr>
        <w:ind w:left="624" w:hanging="624"/>
        <w:rPr>
          <w:highlight w:val="none"/>
        </w:rPr>
      </w:pPr>
      <w:bookmarkStart w:id="189" w:name="_Toc28038"/>
      <w:bookmarkStart w:id="190" w:name="_Toc169722202"/>
      <w:bookmarkStart w:id="191" w:name="_Toc13794"/>
      <w:bookmarkStart w:id="192" w:name="_Toc179562971"/>
      <w:bookmarkStart w:id="193" w:name="_Toc18865"/>
      <w:bookmarkStart w:id="194" w:name="_Toc16532"/>
      <w:bookmarkStart w:id="195" w:name="_Toc564"/>
      <w:bookmarkStart w:id="196" w:name="_Toc25582"/>
      <w:r>
        <w:rPr>
          <w:rFonts w:hint="eastAsia"/>
          <w:highlight w:val="none"/>
        </w:rPr>
        <w:t>4.3总承包人对专业承包人</w:t>
      </w:r>
      <w:r>
        <w:rPr>
          <w:highlight w:val="none"/>
        </w:rPr>
        <w:t>的照管</w:t>
      </w:r>
      <w:r>
        <w:rPr>
          <w:rFonts w:hint="eastAsia"/>
          <w:highlight w:val="none"/>
        </w:rPr>
        <w:t>与</w:t>
      </w:r>
      <w:r>
        <w:rPr>
          <w:highlight w:val="none"/>
        </w:rPr>
        <w:t>协调配合要求</w:t>
      </w:r>
      <w:bookmarkEnd w:id="189"/>
      <w:bookmarkEnd w:id="190"/>
      <w:bookmarkEnd w:id="191"/>
      <w:bookmarkEnd w:id="192"/>
      <w:bookmarkEnd w:id="193"/>
      <w:bookmarkEnd w:id="194"/>
      <w:bookmarkEnd w:id="195"/>
      <w:bookmarkEnd w:id="196"/>
    </w:p>
    <w:p w14:paraId="1416077D">
      <w:pPr>
        <w:pStyle w:val="5"/>
        <w:numPr>
          <w:ilvl w:val="2"/>
          <w:numId w:val="0"/>
        </w:numPr>
        <w:ind w:left="624" w:hanging="624"/>
        <w:rPr>
          <w:highlight w:val="none"/>
        </w:rPr>
      </w:pPr>
      <w:bookmarkStart w:id="197" w:name="_Toc14971"/>
      <w:r>
        <w:rPr>
          <w:rFonts w:hint="eastAsia"/>
          <w:highlight w:val="none"/>
        </w:rPr>
        <w:t>4.3.1一般原则</w:t>
      </w:r>
      <w:bookmarkEnd w:id="197"/>
    </w:p>
    <w:p w14:paraId="11DAE5E3">
      <w:pPr>
        <w:pStyle w:val="6"/>
        <w:numPr>
          <w:ilvl w:val="3"/>
          <w:numId w:val="0"/>
        </w:numPr>
        <w:ind w:left="864" w:leftChars="100" w:hanging="624"/>
        <w:rPr>
          <w:highlight w:val="none"/>
        </w:rPr>
      </w:pPr>
      <w:r>
        <w:rPr>
          <w:rFonts w:hint="eastAsia"/>
          <w:highlight w:val="none"/>
        </w:rPr>
        <w:t>4.3.1.1一般来说，施工总承包的总承包人式下，总承包人的照管与协调工作范围包括以下三部分内容：</w:t>
      </w:r>
    </w:p>
    <w:p w14:paraId="7D0ED768">
      <w:pPr>
        <w:numPr>
          <w:ilvl w:val="0"/>
          <w:numId w:val="4"/>
        </w:numPr>
        <w:ind w:firstLine="480"/>
        <w:rPr>
          <w:highlight w:val="none"/>
        </w:rPr>
      </w:pPr>
      <w:r>
        <w:rPr>
          <w:rFonts w:hint="eastAsia"/>
          <w:highlight w:val="none"/>
        </w:rPr>
        <w:t>总承包人自身承包范围内的工作；</w:t>
      </w:r>
    </w:p>
    <w:p w14:paraId="7EC77F34">
      <w:pPr>
        <w:numPr>
          <w:ilvl w:val="0"/>
          <w:numId w:val="4"/>
        </w:numPr>
        <w:ind w:firstLine="480"/>
        <w:rPr>
          <w:highlight w:val="none"/>
        </w:rPr>
      </w:pPr>
      <w:r>
        <w:rPr>
          <w:rFonts w:hint="eastAsia"/>
          <w:highlight w:val="none"/>
        </w:rPr>
        <w:t>专业承包人实施的工作；</w:t>
      </w:r>
    </w:p>
    <w:p w14:paraId="57397036">
      <w:pPr>
        <w:numPr>
          <w:ilvl w:val="0"/>
          <w:numId w:val="4"/>
        </w:numPr>
        <w:ind w:firstLine="480"/>
        <w:rPr>
          <w:highlight w:val="none"/>
        </w:rPr>
      </w:pPr>
      <w:r>
        <w:rPr>
          <w:rFonts w:hint="eastAsia"/>
          <w:highlight w:val="none"/>
        </w:rPr>
        <w:t>独立承包人实施的工作（如有）。</w:t>
      </w:r>
    </w:p>
    <w:p w14:paraId="78E193F5">
      <w:pPr>
        <w:pStyle w:val="6"/>
        <w:numPr>
          <w:ilvl w:val="3"/>
          <w:numId w:val="0"/>
        </w:numPr>
        <w:ind w:left="864" w:leftChars="100" w:hanging="624"/>
        <w:rPr>
          <w:highlight w:val="none"/>
        </w:rPr>
      </w:pPr>
      <w:r>
        <w:rPr>
          <w:rFonts w:hint="eastAsia"/>
          <w:highlight w:val="none"/>
        </w:rPr>
        <w:t>4.3.1.2按照发包人的要求，为专业承包人提供相应的服务，制定总的工期计划；提供现场施工条件和施工道路；审查专业承包人的施工进度计划；组织工程验收；检查专业承包人的施工质量、进度、安全文明施工等。</w:t>
      </w:r>
    </w:p>
    <w:p w14:paraId="7643E79B">
      <w:pPr>
        <w:pStyle w:val="6"/>
        <w:numPr>
          <w:ilvl w:val="3"/>
          <w:numId w:val="0"/>
        </w:numPr>
        <w:ind w:left="864" w:leftChars="100" w:hanging="624"/>
        <w:rPr>
          <w:highlight w:val="none"/>
        </w:rPr>
      </w:pPr>
      <w:r>
        <w:rPr>
          <w:rFonts w:hint="eastAsia"/>
          <w:highlight w:val="none"/>
        </w:rPr>
        <w:t>4.3.1.3与现场专业承包人建立一套总的协调体系，成立专门的机构负责现场所有专业承包人的管理与协调工作，并根据现场实际需要增减专门负责人员，确保责任到人。</w:t>
      </w:r>
    </w:p>
    <w:p w14:paraId="3978F081">
      <w:pPr>
        <w:pStyle w:val="6"/>
        <w:numPr>
          <w:ilvl w:val="3"/>
          <w:numId w:val="0"/>
        </w:numPr>
        <w:ind w:left="864" w:leftChars="100" w:hanging="624"/>
        <w:rPr>
          <w:highlight w:val="none"/>
        </w:rPr>
      </w:pPr>
      <w:r>
        <w:rPr>
          <w:rFonts w:hint="eastAsia"/>
          <w:highlight w:val="none"/>
        </w:rPr>
        <w:t>4.3.1.4</w:t>
      </w:r>
      <w:r>
        <w:rPr>
          <w:highlight w:val="none"/>
        </w:rPr>
        <w:t>进入总承包范围内的所有</w:t>
      </w:r>
      <w:r>
        <w:rPr>
          <w:rFonts w:hint="eastAsia"/>
          <w:highlight w:val="none"/>
        </w:rPr>
        <w:t>专业承包人，都应完全服从总承包人对其作业面、施工顺序等的安排。</w:t>
      </w:r>
    </w:p>
    <w:p w14:paraId="4099E762">
      <w:pPr>
        <w:pStyle w:val="5"/>
        <w:numPr>
          <w:ilvl w:val="2"/>
          <w:numId w:val="0"/>
        </w:numPr>
        <w:ind w:left="624" w:hanging="624"/>
        <w:rPr>
          <w:highlight w:val="none"/>
        </w:rPr>
      </w:pPr>
      <w:bookmarkStart w:id="198" w:name="_Toc27968"/>
      <w:r>
        <w:rPr>
          <w:rFonts w:hint="eastAsia"/>
          <w:highlight w:val="none"/>
        </w:rPr>
        <w:t>4.3.2合同</w:t>
      </w:r>
      <w:r>
        <w:rPr>
          <w:highlight w:val="none"/>
        </w:rPr>
        <w:t>管理</w:t>
      </w:r>
      <w:bookmarkEnd w:id="198"/>
    </w:p>
    <w:p w14:paraId="22C7F16C">
      <w:pPr>
        <w:pStyle w:val="6"/>
        <w:numPr>
          <w:ilvl w:val="3"/>
          <w:numId w:val="0"/>
        </w:numPr>
        <w:ind w:left="864" w:leftChars="100" w:hanging="624"/>
        <w:rPr>
          <w:highlight w:val="none"/>
        </w:rPr>
      </w:pPr>
      <w:r>
        <w:rPr>
          <w:rFonts w:hint="eastAsia"/>
          <w:highlight w:val="none"/>
        </w:rPr>
        <w:t>4.3.2.1以合同为纽带，全面协调专业承包人的关系，组织各项管理。在项目施工的全过程中始终坚持以合同为依据来处理协调各方面问题和相关关系。</w:t>
      </w:r>
    </w:p>
    <w:p w14:paraId="109CC34B">
      <w:pPr>
        <w:pStyle w:val="5"/>
        <w:numPr>
          <w:ilvl w:val="2"/>
          <w:numId w:val="0"/>
        </w:numPr>
        <w:ind w:left="624" w:hanging="624"/>
        <w:rPr>
          <w:highlight w:val="none"/>
        </w:rPr>
      </w:pPr>
      <w:bookmarkStart w:id="199" w:name="_Toc30003"/>
      <w:r>
        <w:rPr>
          <w:rFonts w:hint="eastAsia"/>
          <w:highlight w:val="none"/>
        </w:rPr>
        <w:t>4.3.3物资</w:t>
      </w:r>
      <w:r>
        <w:rPr>
          <w:highlight w:val="none"/>
        </w:rPr>
        <w:t>管理</w:t>
      </w:r>
      <w:bookmarkEnd w:id="199"/>
    </w:p>
    <w:p w14:paraId="4A64CDFD">
      <w:pPr>
        <w:ind w:firstLine="480"/>
        <w:rPr>
          <w:highlight w:val="none"/>
        </w:rPr>
      </w:pPr>
      <w:r>
        <w:rPr>
          <w:rFonts w:hint="eastAsia"/>
          <w:highlight w:val="none"/>
        </w:rPr>
        <w:t>严格审定专业承包人在本工程中所选用的设备和材料。所有进入现场使用的成品、半成品、设备、材料、器具，均具有产品合格证；按规定使用前需进行物理、化学试验检测的材料，由专业承包人提供检测结果报告；所有大宗材料、设备必须根据施工进度计划限量进场，按总承包人提供的施工平面布置图中指定位置存放。</w:t>
      </w:r>
    </w:p>
    <w:p w14:paraId="1049877C">
      <w:pPr>
        <w:pStyle w:val="5"/>
        <w:numPr>
          <w:ilvl w:val="2"/>
          <w:numId w:val="0"/>
        </w:numPr>
        <w:ind w:left="624" w:hanging="624"/>
        <w:rPr>
          <w:highlight w:val="none"/>
        </w:rPr>
      </w:pPr>
      <w:bookmarkStart w:id="200" w:name="_Toc5832"/>
      <w:r>
        <w:rPr>
          <w:rFonts w:hint="eastAsia"/>
          <w:highlight w:val="none"/>
        </w:rPr>
        <w:t>4.3.4进度</w:t>
      </w:r>
      <w:r>
        <w:rPr>
          <w:highlight w:val="none"/>
        </w:rPr>
        <w:t>计划管理</w:t>
      </w:r>
      <w:bookmarkEnd w:id="200"/>
    </w:p>
    <w:p w14:paraId="03AD002C">
      <w:pPr>
        <w:pStyle w:val="6"/>
        <w:numPr>
          <w:ilvl w:val="3"/>
          <w:numId w:val="0"/>
        </w:numPr>
        <w:ind w:left="864" w:leftChars="100" w:hanging="624"/>
        <w:rPr>
          <w:highlight w:val="none"/>
        </w:rPr>
      </w:pPr>
      <w:r>
        <w:rPr>
          <w:rFonts w:hint="eastAsia"/>
          <w:highlight w:val="none"/>
        </w:rPr>
        <w:t>4.3.4.1根据发包人的开发进度计划编制工程施工总进度计划（总进度计划应按阶段进行编制，包括主要节点、里程碑等），专业承包人按照总进度计划编制各自的进度计划，经总承包人审核后，由总承包人进行汇总并报监理人审核合格后，报送发包人确认。</w:t>
      </w:r>
    </w:p>
    <w:p w14:paraId="073EE5A6">
      <w:pPr>
        <w:pStyle w:val="6"/>
        <w:numPr>
          <w:ilvl w:val="3"/>
          <w:numId w:val="0"/>
        </w:numPr>
        <w:ind w:left="864" w:leftChars="100" w:hanging="624"/>
        <w:rPr>
          <w:highlight w:val="none"/>
        </w:rPr>
      </w:pPr>
      <w:r>
        <w:rPr>
          <w:rFonts w:hint="eastAsia"/>
          <w:highlight w:val="none"/>
        </w:rPr>
        <w:t>4.3.4.2根据总进度计划和各阶段计划实施情况下达月度指令性计划，专业承包人依此编制工程作业计划，包括月进度计划和周进度计划，上报总承包人。</w:t>
      </w:r>
    </w:p>
    <w:p w14:paraId="74EC1EA3">
      <w:pPr>
        <w:pStyle w:val="6"/>
        <w:numPr>
          <w:ilvl w:val="3"/>
          <w:numId w:val="0"/>
        </w:numPr>
        <w:ind w:left="864" w:leftChars="100" w:hanging="624"/>
        <w:rPr>
          <w:highlight w:val="none"/>
        </w:rPr>
      </w:pPr>
      <w:r>
        <w:rPr>
          <w:rFonts w:hint="eastAsia"/>
          <w:highlight w:val="none"/>
        </w:rPr>
        <w:t>4.3.4.3严格按计划管理进度，定期（每周或每月）对本期进度和上期进度采用进度计划比对表进行比对，一旦发现进度滞后，要及时查明原因，并采取相应措施进行调整、纠偏。负责组织每周生产例会、每天碰头会，及时分析、协调、平衡和调整工程进度。按照合同要求，明确责任和责任单位(责任人)、明确内容和任务、明确完成时间，确立计划的调整程序。每月召开月度计划协调会，商定落实月度计划。月计划需要修改时，周计划可根据具体情况进行调整。每周召开施工协调会，对周计划进行检查，并对专业承包人进行协调管理。</w:t>
      </w:r>
    </w:p>
    <w:p w14:paraId="4A4C5981">
      <w:pPr>
        <w:pStyle w:val="6"/>
        <w:numPr>
          <w:ilvl w:val="3"/>
          <w:numId w:val="0"/>
        </w:numPr>
        <w:ind w:left="864" w:leftChars="100" w:hanging="624"/>
        <w:rPr>
          <w:highlight w:val="none"/>
        </w:rPr>
      </w:pPr>
      <w:r>
        <w:rPr>
          <w:rFonts w:hint="eastAsia"/>
          <w:highlight w:val="none"/>
        </w:rPr>
        <w:t>4.3.4.4根据工程施工计划，负责安排各施工单位及设备材料供应单位的进场、退场时间及相应施工周期和合理的施工作业区域。</w:t>
      </w:r>
    </w:p>
    <w:p w14:paraId="76A03214">
      <w:pPr>
        <w:pStyle w:val="5"/>
        <w:numPr>
          <w:ilvl w:val="2"/>
          <w:numId w:val="0"/>
        </w:numPr>
        <w:ind w:left="624" w:hanging="624"/>
        <w:rPr>
          <w:highlight w:val="none"/>
        </w:rPr>
      </w:pPr>
      <w:bookmarkStart w:id="201" w:name="_Toc30512"/>
      <w:r>
        <w:rPr>
          <w:rFonts w:hint="eastAsia"/>
          <w:highlight w:val="none"/>
        </w:rPr>
        <w:t>4.3.5技术</w:t>
      </w:r>
      <w:r>
        <w:rPr>
          <w:highlight w:val="none"/>
        </w:rPr>
        <w:t>管理</w:t>
      </w:r>
      <w:bookmarkEnd w:id="201"/>
    </w:p>
    <w:p w14:paraId="77453F31">
      <w:pPr>
        <w:pStyle w:val="6"/>
        <w:numPr>
          <w:ilvl w:val="3"/>
          <w:numId w:val="0"/>
        </w:numPr>
        <w:ind w:left="864" w:leftChars="100" w:hanging="624"/>
        <w:rPr>
          <w:highlight w:val="none"/>
        </w:rPr>
      </w:pPr>
      <w:r>
        <w:rPr>
          <w:rFonts w:hint="eastAsia"/>
          <w:highlight w:val="none"/>
        </w:rPr>
        <w:t>4.3.5.1协助、指导专业承包人进行图纸深化设计工作，协调专业承包人与设计人的关系，及时有效地解决与工程设计和技术相关的问题；协调好不同专业承包人在设计上的关系，最大限度地消除各专业设计之间的矛盾。</w:t>
      </w:r>
    </w:p>
    <w:p w14:paraId="1D131DA3">
      <w:pPr>
        <w:pStyle w:val="6"/>
        <w:numPr>
          <w:ilvl w:val="3"/>
          <w:numId w:val="0"/>
        </w:numPr>
        <w:ind w:left="864" w:leftChars="100" w:hanging="624"/>
        <w:rPr>
          <w:highlight w:val="none"/>
        </w:rPr>
      </w:pPr>
      <w:r>
        <w:rPr>
          <w:rFonts w:hint="eastAsia"/>
          <w:highlight w:val="none"/>
        </w:rPr>
        <w:t>4.3.5.2督促和检查专业承包人整理施工及竣工工程技术资料，负责收集整理、汇编出工程施工过程中的所有有关图纸、技术资料和其他各类文件资料，工程竣工后编制出符合合同及规范要求规定的工程档案，移交发包人。</w:t>
      </w:r>
    </w:p>
    <w:p w14:paraId="5F8BD4E4">
      <w:pPr>
        <w:pStyle w:val="6"/>
        <w:numPr>
          <w:ilvl w:val="3"/>
          <w:numId w:val="0"/>
        </w:numPr>
        <w:ind w:left="864" w:leftChars="100" w:hanging="624"/>
        <w:rPr>
          <w:highlight w:val="none"/>
        </w:rPr>
      </w:pPr>
      <w:r>
        <w:rPr>
          <w:rFonts w:hint="eastAsia"/>
          <w:highlight w:val="none"/>
        </w:rPr>
        <w:t>4.3.5.3负责专业承包人编制的施工方案审核的</w:t>
      </w:r>
      <w:r>
        <w:rPr>
          <w:highlight w:val="none"/>
        </w:rPr>
        <w:t>协调管理</w:t>
      </w:r>
      <w:r>
        <w:rPr>
          <w:rFonts w:hint="eastAsia"/>
          <w:highlight w:val="none"/>
        </w:rPr>
        <w:t>。</w:t>
      </w:r>
    </w:p>
    <w:p w14:paraId="4E6502F1">
      <w:pPr>
        <w:pStyle w:val="6"/>
        <w:numPr>
          <w:ilvl w:val="3"/>
          <w:numId w:val="0"/>
        </w:numPr>
        <w:ind w:left="864" w:leftChars="100" w:hanging="624"/>
        <w:rPr>
          <w:highlight w:val="none"/>
        </w:rPr>
      </w:pPr>
      <w:r>
        <w:rPr>
          <w:rFonts w:hint="eastAsia"/>
          <w:highlight w:val="none"/>
        </w:rPr>
        <w:t>4.3.5.4设置技术例会制度，承包人根据质量计划和质量保证体系组织相关单位定期开展例会，要求和协助专业承包单位建立起各自完善的质量计划和质量保证体系，明确关键岗位人员。将专业承包单位纳入统一的项目质量管理体系，有效运行，并定期检查质量保证体系的运行情况。</w:t>
      </w:r>
    </w:p>
    <w:p w14:paraId="1057AF28">
      <w:pPr>
        <w:pStyle w:val="6"/>
        <w:numPr>
          <w:ilvl w:val="3"/>
          <w:numId w:val="0"/>
        </w:numPr>
        <w:ind w:left="864" w:leftChars="100" w:hanging="624"/>
        <w:rPr>
          <w:highlight w:val="none"/>
        </w:rPr>
      </w:pPr>
      <w:r>
        <w:rPr>
          <w:rFonts w:hint="eastAsia"/>
          <w:highlight w:val="none"/>
        </w:rPr>
        <w:t>4.3.5.5严格实行“样板引路”制度，制定专门的样板准备及呈现计划，对于施工材料需按发包人要求提前寻找且重要材料需提供不少于3个比选，另材料样板需在项目部设置专用的样板陈列室；对于重要效果部位，需按发包人要求提前开展异地打样的准备工作，综合考虑场地布置、样板保存等；对于需大量复制的空间或材料，需按发包人要求在施工现场设置的样板展示区或工程实体上制作样板；样板经发包人、监理单位、承包人、专业承包单位按照样板验收标准联合验收合格后方可大面积施工。</w:t>
      </w:r>
    </w:p>
    <w:p w14:paraId="15F3F378">
      <w:pPr>
        <w:pStyle w:val="5"/>
        <w:numPr>
          <w:ilvl w:val="2"/>
          <w:numId w:val="0"/>
        </w:numPr>
        <w:ind w:left="624" w:hanging="624"/>
        <w:rPr>
          <w:highlight w:val="none"/>
        </w:rPr>
      </w:pPr>
      <w:bookmarkStart w:id="202" w:name="_Toc29233"/>
      <w:r>
        <w:rPr>
          <w:rFonts w:hint="eastAsia"/>
          <w:highlight w:val="none"/>
        </w:rPr>
        <w:t>4.3.6质量</w:t>
      </w:r>
      <w:r>
        <w:rPr>
          <w:highlight w:val="none"/>
        </w:rPr>
        <w:t>管理</w:t>
      </w:r>
      <w:bookmarkEnd w:id="202"/>
    </w:p>
    <w:p w14:paraId="02C4EE5D">
      <w:pPr>
        <w:pStyle w:val="6"/>
        <w:numPr>
          <w:ilvl w:val="3"/>
          <w:numId w:val="0"/>
        </w:numPr>
        <w:ind w:left="864" w:leftChars="100" w:hanging="624"/>
        <w:rPr>
          <w:highlight w:val="none"/>
        </w:rPr>
      </w:pPr>
      <w:r>
        <w:rPr>
          <w:rFonts w:hint="eastAsia"/>
          <w:highlight w:val="none"/>
        </w:rPr>
        <w:t>4.3.6.1根据质量计划和质量保证体系，要求和协助专业承包人建立起各自完善的质量计划和质量保证体系，明确关键岗位人员。将专业承包人纳入统一的项目质量管理体系，确保质量体系的有效运行，并定期检查质量保证体系的运行情况。</w:t>
      </w:r>
    </w:p>
    <w:p w14:paraId="406751F6">
      <w:pPr>
        <w:pStyle w:val="6"/>
        <w:numPr>
          <w:ilvl w:val="3"/>
          <w:numId w:val="0"/>
        </w:numPr>
        <w:ind w:left="864" w:leftChars="100" w:hanging="624"/>
        <w:rPr>
          <w:highlight w:val="none"/>
        </w:rPr>
      </w:pPr>
      <w:r>
        <w:rPr>
          <w:rFonts w:hint="eastAsia"/>
          <w:highlight w:val="none"/>
        </w:rPr>
        <w:t>4.3.6.2严格程序控制和过程控制；严格对专业承包人进行质量管理；严格实行样板制、三检制；严格实行工序交接制度；最大限度的协调好专业承包人的立体交叉作业和正确的工序衔接；严格检验程序和检验、报验和实验工作。</w:t>
      </w:r>
    </w:p>
    <w:p w14:paraId="134EDFEE">
      <w:pPr>
        <w:pStyle w:val="6"/>
        <w:numPr>
          <w:ilvl w:val="3"/>
          <w:numId w:val="0"/>
        </w:numPr>
        <w:ind w:left="864" w:leftChars="100" w:hanging="624"/>
        <w:rPr>
          <w:highlight w:val="none"/>
        </w:rPr>
      </w:pPr>
      <w:r>
        <w:rPr>
          <w:rFonts w:hint="eastAsia"/>
          <w:highlight w:val="none"/>
        </w:rPr>
        <w:t>4.3.6.3根据合同和图纸要求，审查专业承包人提供的材料、设备清单及质保书，配合监理人对工程使用的有关原材料、构件及设备进行必要的抽检、检测、试验、检验、化验及鉴定。对专业承包人提交的材料样品经审查送监理人审核后报发包人审定，并采取封样（甲供材料、乙供材料）及保护。督促和检查专业承包人严格按照样品控制采购材料品质。</w:t>
      </w:r>
    </w:p>
    <w:p w14:paraId="205D3D71">
      <w:pPr>
        <w:pStyle w:val="6"/>
        <w:numPr>
          <w:ilvl w:val="3"/>
          <w:numId w:val="0"/>
        </w:numPr>
        <w:ind w:left="864" w:leftChars="100" w:hanging="624"/>
        <w:rPr>
          <w:highlight w:val="none"/>
        </w:rPr>
      </w:pPr>
      <w:r>
        <w:rPr>
          <w:rFonts w:hint="eastAsia"/>
          <w:highlight w:val="none"/>
        </w:rPr>
        <w:t>4.3.6.4按照发包人要求的检测项目和验收标准对工程实体进行100%的实测实量，测量结果在工程实体上留存记录，供发包人和监理单位随机抽样复查。</w:t>
      </w:r>
    </w:p>
    <w:p w14:paraId="252E8334">
      <w:pPr>
        <w:pStyle w:val="5"/>
        <w:numPr>
          <w:ilvl w:val="2"/>
          <w:numId w:val="0"/>
        </w:numPr>
        <w:ind w:left="624" w:hanging="624"/>
        <w:rPr>
          <w:highlight w:val="none"/>
        </w:rPr>
      </w:pPr>
      <w:bookmarkStart w:id="203" w:name="_Toc10606"/>
      <w:r>
        <w:rPr>
          <w:rFonts w:hint="eastAsia"/>
          <w:highlight w:val="none"/>
        </w:rPr>
        <w:t>4.3.7安全</w:t>
      </w:r>
      <w:r>
        <w:rPr>
          <w:highlight w:val="none"/>
        </w:rPr>
        <w:t>生产管理</w:t>
      </w:r>
      <w:bookmarkEnd w:id="203"/>
    </w:p>
    <w:p w14:paraId="01CE5EEA">
      <w:pPr>
        <w:pStyle w:val="6"/>
        <w:numPr>
          <w:ilvl w:val="3"/>
          <w:numId w:val="0"/>
        </w:numPr>
        <w:ind w:left="864" w:leftChars="100" w:hanging="624"/>
        <w:rPr>
          <w:highlight w:val="none"/>
        </w:rPr>
      </w:pPr>
      <w:r>
        <w:rPr>
          <w:rFonts w:hint="eastAsia"/>
          <w:highlight w:val="none"/>
        </w:rPr>
        <w:t>4.3.7.1总承包人应建立有效的安全管理体系，明确相关人员责任。并将专业承包人纳入统一的安全管理体系，定期检查体系的运行情况。</w:t>
      </w:r>
    </w:p>
    <w:p w14:paraId="70142824">
      <w:pPr>
        <w:pStyle w:val="6"/>
        <w:numPr>
          <w:ilvl w:val="3"/>
          <w:numId w:val="0"/>
        </w:numPr>
        <w:ind w:left="864" w:leftChars="100" w:hanging="624"/>
        <w:rPr>
          <w:highlight w:val="none"/>
        </w:rPr>
      </w:pPr>
      <w:r>
        <w:rPr>
          <w:rFonts w:hint="eastAsia"/>
          <w:highlight w:val="none"/>
        </w:rPr>
        <w:t>4.3.7.2总承包人应制定安全生产管理办法，对现场所有人员切实做好安全教育，要求施工现场所有人员严格遵守安全管理条例，遵守国家及当地政府有关部门对安全生产、文明施工的规定和要求。</w:t>
      </w:r>
    </w:p>
    <w:p w14:paraId="5FC8C37D">
      <w:pPr>
        <w:pStyle w:val="6"/>
        <w:numPr>
          <w:ilvl w:val="3"/>
          <w:numId w:val="0"/>
        </w:numPr>
        <w:ind w:left="864" w:leftChars="100" w:hanging="624"/>
        <w:rPr>
          <w:highlight w:val="none"/>
        </w:rPr>
      </w:pPr>
      <w:r>
        <w:rPr>
          <w:rFonts w:hint="eastAsia"/>
          <w:highlight w:val="none"/>
        </w:rPr>
        <w:t>4.3.7.3总承包人对施工现场的安全负总体责任，专业承包人须服从总承包人对施工现场的安全施工管理。</w:t>
      </w:r>
    </w:p>
    <w:p w14:paraId="513EABED">
      <w:pPr>
        <w:pStyle w:val="6"/>
        <w:numPr>
          <w:ilvl w:val="3"/>
          <w:numId w:val="0"/>
        </w:numPr>
        <w:ind w:left="864" w:leftChars="100" w:hanging="624"/>
        <w:rPr>
          <w:highlight w:val="none"/>
        </w:rPr>
      </w:pPr>
      <w:r>
        <w:rPr>
          <w:rFonts w:hint="eastAsia"/>
          <w:highlight w:val="none"/>
        </w:rPr>
        <w:t>4.3.7.4总承包人须与专业承包人签订安全、临电、消防、保卫等责任管理协议，明确各方责任和义务。</w:t>
      </w:r>
    </w:p>
    <w:p w14:paraId="452F996D">
      <w:pPr>
        <w:pStyle w:val="6"/>
        <w:numPr>
          <w:ilvl w:val="3"/>
          <w:numId w:val="0"/>
        </w:numPr>
        <w:ind w:left="864" w:leftChars="100" w:hanging="624"/>
        <w:rPr>
          <w:highlight w:val="none"/>
        </w:rPr>
      </w:pPr>
      <w:r>
        <w:rPr>
          <w:rFonts w:hint="eastAsia"/>
          <w:highlight w:val="none"/>
        </w:rPr>
        <w:t>4.3.7.5总承包人应负责督促专业承包人安全生产，组织专业承包人定期对施工现场进行联合安全大检查，及时发现问题及安全隐患。明确专业承包人的安全职责，督察和落实专业承包人采取措施做好现场安全防护工作。</w:t>
      </w:r>
    </w:p>
    <w:p w14:paraId="6AFB4506">
      <w:pPr>
        <w:pStyle w:val="6"/>
        <w:numPr>
          <w:ilvl w:val="3"/>
          <w:numId w:val="0"/>
        </w:numPr>
        <w:ind w:left="864" w:leftChars="100" w:hanging="624"/>
        <w:rPr>
          <w:highlight w:val="none"/>
        </w:rPr>
      </w:pPr>
      <w:r>
        <w:rPr>
          <w:rFonts w:hint="eastAsia"/>
          <w:highlight w:val="none"/>
        </w:rPr>
        <w:t>4.3.7.6针对</w:t>
      </w:r>
      <w:r>
        <w:rPr>
          <w:highlight w:val="none"/>
        </w:rPr>
        <w:t>发包人</w:t>
      </w:r>
      <w:r>
        <w:rPr>
          <w:rFonts w:hint="eastAsia"/>
          <w:highlight w:val="none"/>
        </w:rPr>
        <w:t>或政府部门组织的安全</w:t>
      </w:r>
      <w:r>
        <w:rPr>
          <w:highlight w:val="none"/>
        </w:rPr>
        <w:t>检查</w:t>
      </w:r>
      <w:r>
        <w:rPr>
          <w:rFonts w:hint="eastAsia"/>
          <w:highlight w:val="none"/>
        </w:rPr>
        <w:t>，总承包人应统一</w:t>
      </w:r>
      <w:r>
        <w:rPr>
          <w:highlight w:val="none"/>
        </w:rPr>
        <w:t>组织</w:t>
      </w:r>
      <w:r>
        <w:rPr>
          <w:rFonts w:hint="eastAsia"/>
          <w:highlight w:val="none"/>
        </w:rPr>
        <w:t>迎检工作</w:t>
      </w:r>
      <w:r>
        <w:rPr>
          <w:highlight w:val="none"/>
        </w:rPr>
        <w:t>和检查问题的</w:t>
      </w:r>
      <w:r>
        <w:rPr>
          <w:rFonts w:hint="eastAsia"/>
          <w:highlight w:val="none"/>
        </w:rPr>
        <w:t>整改</w:t>
      </w:r>
      <w:r>
        <w:rPr>
          <w:highlight w:val="none"/>
        </w:rPr>
        <w:t>回复。</w:t>
      </w:r>
    </w:p>
    <w:p w14:paraId="6B62781C">
      <w:pPr>
        <w:pStyle w:val="6"/>
        <w:numPr>
          <w:ilvl w:val="3"/>
          <w:numId w:val="0"/>
        </w:numPr>
        <w:ind w:left="864" w:leftChars="100" w:hanging="624"/>
        <w:rPr>
          <w:highlight w:val="none"/>
        </w:rPr>
      </w:pPr>
      <w:r>
        <w:rPr>
          <w:rFonts w:hint="eastAsia"/>
          <w:highlight w:val="none"/>
        </w:rPr>
        <w:t>4.3.7.7负责专业承包人进场的安全考核及交底工作。</w:t>
      </w:r>
    </w:p>
    <w:p w14:paraId="4ABA8F4C">
      <w:pPr>
        <w:pStyle w:val="6"/>
        <w:numPr>
          <w:ilvl w:val="3"/>
          <w:numId w:val="0"/>
        </w:numPr>
        <w:ind w:left="864" w:leftChars="100" w:hanging="624"/>
        <w:rPr>
          <w:highlight w:val="none"/>
        </w:rPr>
      </w:pPr>
      <w:r>
        <w:rPr>
          <w:rFonts w:hint="eastAsia"/>
          <w:highlight w:val="none"/>
        </w:rPr>
        <w:t>4.3.7.8负责定期组织举行安全应急演练。</w:t>
      </w:r>
    </w:p>
    <w:p w14:paraId="31124874">
      <w:pPr>
        <w:pStyle w:val="6"/>
        <w:numPr>
          <w:ilvl w:val="3"/>
          <w:numId w:val="0"/>
        </w:numPr>
        <w:ind w:left="864" w:leftChars="100" w:hanging="624"/>
        <w:rPr>
          <w:highlight w:val="none"/>
        </w:rPr>
      </w:pPr>
      <w:r>
        <w:rPr>
          <w:rFonts w:hint="eastAsia"/>
          <w:highlight w:val="none"/>
        </w:rPr>
        <w:t>4.3.7.9总承包人</w:t>
      </w:r>
      <w:r>
        <w:rPr>
          <w:highlight w:val="none"/>
        </w:rPr>
        <w:t>应对</w:t>
      </w:r>
      <w:r>
        <w:rPr>
          <w:rFonts w:hint="eastAsia"/>
          <w:highlight w:val="none"/>
        </w:rPr>
        <w:t>专业承包人</w:t>
      </w:r>
      <w:r>
        <w:rPr>
          <w:highlight w:val="none"/>
        </w:rPr>
        <w:t>各类动火作业进行统一</w:t>
      </w:r>
      <w:r>
        <w:rPr>
          <w:rFonts w:hint="eastAsia"/>
          <w:highlight w:val="none"/>
        </w:rPr>
        <w:t>审批、</w:t>
      </w:r>
      <w:r>
        <w:rPr>
          <w:highlight w:val="none"/>
        </w:rPr>
        <w:t>管理。</w:t>
      </w:r>
    </w:p>
    <w:p w14:paraId="0FB16B61">
      <w:pPr>
        <w:pStyle w:val="5"/>
        <w:numPr>
          <w:ilvl w:val="2"/>
          <w:numId w:val="0"/>
        </w:numPr>
        <w:ind w:left="624" w:hanging="624"/>
        <w:rPr>
          <w:highlight w:val="none"/>
        </w:rPr>
      </w:pPr>
      <w:bookmarkStart w:id="204" w:name="_Toc21541"/>
      <w:r>
        <w:rPr>
          <w:rFonts w:hint="eastAsia"/>
          <w:highlight w:val="none"/>
        </w:rPr>
        <w:t>4.3.8成品</w:t>
      </w:r>
      <w:r>
        <w:rPr>
          <w:highlight w:val="none"/>
        </w:rPr>
        <w:t>保护管理</w:t>
      </w:r>
      <w:bookmarkEnd w:id="204"/>
    </w:p>
    <w:p w14:paraId="71CF1E59">
      <w:pPr>
        <w:ind w:firstLine="480"/>
        <w:rPr>
          <w:highlight w:val="none"/>
        </w:rPr>
      </w:pPr>
      <w:r>
        <w:rPr>
          <w:rFonts w:hint="eastAsia"/>
          <w:highlight w:val="none"/>
        </w:rPr>
        <w:t>总承包人应建立完善的成品保护制度和措施，明确其成品保护的责任和义务。专业承包人进场时，进行成品保护意识的教育。明确专业承包人在施工中负责自身完成部分的成品保护，竣工收尾阶段总承包人统一协调管理。</w:t>
      </w:r>
    </w:p>
    <w:p w14:paraId="45110A4A">
      <w:pPr>
        <w:pStyle w:val="4"/>
        <w:numPr>
          <w:ilvl w:val="1"/>
          <w:numId w:val="0"/>
        </w:numPr>
        <w:ind w:left="624" w:hanging="624"/>
        <w:rPr>
          <w:highlight w:val="none"/>
        </w:rPr>
      </w:pPr>
      <w:bookmarkStart w:id="205" w:name="_Toc169722203"/>
      <w:bookmarkStart w:id="206" w:name="_Toc179562972"/>
      <w:bookmarkStart w:id="207" w:name="_Toc31621"/>
      <w:bookmarkStart w:id="208" w:name="_Toc16451"/>
      <w:bookmarkStart w:id="209" w:name="_Toc4395"/>
      <w:bookmarkStart w:id="210" w:name="_Toc24123"/>
      <w:bookmarkStart w:id="211" w:name="_Toc18214"/>
      <w:bookmarkStart w:id="212" w:name="_Toc24011"/>
      <w:r>
        <w:rPr>
          <w:rFonts w:hint="eastAsia"/>
          <w:highlight w:val="none"/>
        </w:rPr>
        <w:t>4.4总承包人对</w:t>
      </w:r>
      <w:r>
        <w:rPr>
          <w:highlight w:val="none"/>
        </w:rPr>
        <w:t>独立供货人的照管与协调配合要求</w:t>
      </w:r>
      <w:bookmarkEnd w:id="205"/>
      <w:r>
        <w:rPr>
          <w:rFonts w:hint="eastAsia"/>
          <w:highlight w:val="none"/>
        </w:rPr>
        <w:t>(若有)</w:t>
      </w:r>
      <w:bookmarkEnd w:id="206"/>
      <w:bookmarkEnd w:id="207"/>
      <w:bookmarkEnd w:id="208"/>
      <w:bookmarkEnd w:id="209"/>
      <w:bookmarkEnd w:id="210"/>
      <w:bookmarkEnd w:id="211"/>
      <w:bookmarkEnd w:id="212"/>
    </w:p>
    <w:p w14:paraId="701DF72B">
      <w:pPr>
        <w:pStyle w:val="5"/>
        <w:numPr>
          <w:ilvl w:val="2"/>
          <w:numId w:val="0"/>
        </w:numPr>
        <w:ind w:left="624" w:hanging="624"/>
        <w:rPr>
          <w:highlight w:val="none"/>
        </w:rPr>
      </w:pPr>
      <w:bookmarkStart w:id="213" w:name="_Toc10085"/>
      <w:r>
        <w:rPr>
          <w:rFonts w:hint="eastAsia"/>
          <w:highlight w:val="none"/>
        </w:rPr>
        <w:t>4.4.1负责提供进场道路给独立供货人。</w:t>
      </w:r>
      <w:bookmarkEnd w:id="213"/>
    </w:p>
    <w:p w14:paraId="2E3B2CA0">
      <w:pPr>
        <w:pStyle w:val="5"/>
        <w:numPr>
          <w:ilvl w:val="2"/>
          <w:numId w:val="0"/>
        </w:numPr>
        <w:ind w:left="624" w:hanging="624"/>
        <w:rPr>
          <w:highlight w:val="none"/>
        </w:rPr>
      </w:pPr>
      <w:bookmarkStart w:id="214" w:name="_Toc25299"/>
      <w:r>
        <w:rPr>
          <w:rFonts w:hint="eastAsia"/>
          <w:highlight w:val="none"/>
        </w:rPr>
        <w:t>4.4.2提供现场材料、设备堆放场地。</w:t>
      </w:r>
      <w:bookmarkEnd w:id="214"/>
    </w:p>
    <w:p w14:paraId="2E7D12EF">
      <w:pPr>
        <w:pStyle w:val="5"/>
        <w:numPr>
          <w:ilvl w:val="2"/>
          <w:numId w:val="0"/>
        </w:numPr>
        <w:ind w:left="624" w:hanging="624"/>
        <w:rPr>
          <w:highlight w:val="none"/>
        </w:rPr>
      </w:pPr>
      <w:bookmarkStart w:id="215" w:name="_Toc17462"/>
      <w:r>
        <w:rPr>
          <w:rFonts w:hint="eastAsia"/>
          <w:highlight w:val="none"/>
        </w:rPr>
        <w:t>4.4.3提供现有垂直运输、场地，并相应承担所提供垂直运输、场地能够满足运货</w:t>
      </w:r>
      <w:r>
        <w:rPr>
          <w:highlight w:val="none"/>
        </w:rPr>
        <w:t>，以保证</w:t>
      </w:r>
      <w:r>
        <w:rPr>
          <w:rFonts w:hint="eastAsia"/>
          <w:highlight w:val="none"/>
        </w:rPr>
        <w:t>施工进度的责任。</w:t>
      </w:r>
      <w:bookmarkEnd w:id="215"/>
    </w:p>
    <w:p w14:paraId="44660D25">
      <w:pPr>
        <w:pStyle w:val="4"/>
        <w:numPr>
          <w:ilvl w:val="1"/>
          <w:numId w:val="0"/>
        </w:numPr>
        <w:ind w:left="624" w:hanging="624"/>
        <w:rPr>
          <w:highlight w:val="none"/>
        </w:rPr>
      </w:pPr>
      <w:bookmarkStart w:id="216" w:name="_Toc22642"/>
      <w:bookmarkStart w:id="217" w:name="_Toc179562973"/>
      <w:bookmarkStart w:id="218" w:name="_Toc27350"/>
      <w:bookmarkStart w:id="219" w:name="_Toc23324"/>
      <w:bookmarkStart w:id="220" w:name="_Toc169722204"/>
      <w:bookmarkStart w:id="221" w:name="_Toc7077"/>
      <w:bookmarkStart w:id="222" w:name="_Toc11387"/>
      <w:bookmarkStart w:id="223" w:name="_Toc27501"/>
      <w:r>
        <w:rPr>
          <w:rFonts w:hint="eastAsia"/>
          <w:highlight w:val="none"/>
        </w:rPr>
        <w:t>4.5总承包人对独立承包人</w:t>
      </w:r>
      <w:r>
        <w:rPr>
          <w:highlight w:val="none"/>
        </w:rPr>
        <w:t>的照管与协调配合要求</w:t>
      </w:r>
      <w:bookmarkEnd w:id="216"/>
      <w:bookmarkEnd w:id="217"/>
      <w:bookmarkEnd w:id="218"/>
      <w:bookmarkEnd w:id="219"/>
      <w:bookmarkEnd w:id="220"/>
      <w:bookmarkEnd w:id="221"/>
      <w:bookmarkEnd w:id="222"/>
      <w:bookmarkEnd w:id="223"/>
    </w:p>
    <w:p w14:paraId="524336A7">
      <w:pPr>
        <w:pStyle w:val="5"/>
        <w:numPr>
          <w:ilvl w:val="2"/>
          <w:numId w:val="0"/>
        </w:numPr>
        <w:ind w:left="624" w:hanging="624"/>
        <w:rPr>
          <w:highlight w:val="none"/>
        </w:rPr>
      </w:pPr>
      <w:bookmarkStart w:id="224" w:name="_Toc14351"/>
      <w:r>
        <w:rPr>
          <w:rFonts w:hint="eastAsia"/>
          <w:highlight w:val="none"/>
        </w:rPr>
        <w:t>4.5.1提供现场已有临时设施、垂直运输设备和脚手架供独立承包人使用。</w:t>
      </w:r>
      <w:bookmarkEnd w:id="224"/>
    </w:p>
    <w:p w14:paraId="0024AE28">
      <w:pPr>
        <w:pStyle w:val="5"/>
        <w:numPr>
          <w:ilvl w:val="2"/>
          <w:numId w:val="0"/>
        </w:numPr>
        <w:ind w:left="624" w:hanging="624"/>
        <w:rPr>
          <w:highlight w:val="none"/>
        </w:rPr>
      </w:pPr>
      <w:bookmarkStart w:id="225" w:name="_Toc19224"/>
      <w:r>
        <w:rPr>
          <w:rFonts w:hint="eastAsia"/>
          <w:highlight w:val="none"/>
        </w:rPr>
        <w:t>4.5.2提供临时用水用电（包含费用）供独立承包人使用。</w:t>
      </w:r>
      <w:bookmarkEnd w:id="225"/>
    </w:p>
    <w:p w14:paraId="0AC70E5D">
      <w:pPr>
        <w:pStyle w:val="5"/>
        <w:numPr>
          <w:ilvl w:val="2"/>
          <w:numId w:val="0"/>
        </w:numPr>
        <w:ind w:left="624" w:hanging="624"/>
        <w:rPr>
          <w:highlight w:val="none"/>
        </w:rPr>
      </w:pPr>
      <w:bookmarkStart w:id="226" w:name="_Toc10209"/>
      <w:r>
        <w:rPr>
          <w:rFonts w:hint="eastAsia"/>
          <w:highlight w:val="none"/>
        </w:rPr>
        <w:t>4.5.3协调独立承包人按照工程总体工期要求进行施工和工作面移交。</w:t>
      </w:r>
      <w:bookmarkEnd w:id="226"/>
    </w:p>
    <w:p w14:paraId="6899AFF2">
      <w:pPr>
        <w:pStyle w:val="5"/>
        <w:numPr>
          <w:ilvl w:val="2"/>
          <w:numId w:val="0"/>
        </w:numPr>
        <w:ind w:left="624" w:hanging="624"/>
        <w:rPr>
          <w:highlight w:val="none"/>
        </w:rPr>
      </w:pPr>
      <w:bookmarkStart w:id="227" w:name="_Toc27211"/>
      <w:r>
        <w:rPr>
          <w:rFonts w:hint="eastAsia"/>
          <w:highlight w:val="none"/>
        </w:rPr>
        <w:t>4.5.4协调</w:t>
      </w:r>
      <w:r>
        <w:rPr>
          <w:highlight w:val="none"/>
        </w:rPr>
        <w:t>独立承包人</w:t>
      </w:r>
      <w:r>
        <w:rPr>
          <w:rFonts w:hint="eastAsia"/>
          <w:highlight w:val="none"/>
        </w:rPr>
        <w:t>对本专业施工范围内的材料、设备进行清点接收，现场仓管和产品保护。</w:t>
      </w:r>
      <w:bookmarkEnd w:id="227"/>
    </w:p>
    <w:p w14:paraId="1EBBD475">
      <w:pPr>
        <w:pStyle w:val="5"/>
        <w:numPr>
          <w:ilvl w:val="2"/>
          <w:numId w:val="0"/>
        </w:numPr>
        <w:ind w:left="624" w:hanging="624"/>
        <w:rPr>
          <w:highlight w:val="none"/>
        </w:rPr>
      </w:pPr>
      <w:bookmarkStart w:id="228" w:name="_Toc2415"/>
      <w:r>
        <w:rPr>
          <w:rFonts w:hint="eastAsia"/>
          <w:highlight w:val="none"/>
        </w:rPr>
        <w:t>4.5.5总承包人对施工现场的安全负总体责任，定期对施工现场进行安全检查，及时发现问题及安全隐患，督促独立承包人采取措施做好现场安全防护工作。</w:t>
      </w:r>
      <w:bookmarkEnd w:id="228"/>
    </w:p>
    <w:p w14:paraId="1ECD7BCB">
      <w:pPr>
        <w:pStyle w:val="5"/>
        <w:numPr>
          <w:ilvl w:val="2"/>
          <w:numId w:val="0"/>
        </w:numPr>
        <w:ind w:left="624" w:hanging="624"/>
        <w:rPr>
          <w:highlight w:val="none"/>
        </w:rPr>
      </w:pPr>
      <w:bookmarkStart w:id="229" w:name="_Toc26316"/>
      <w:r>
        <w:rPr>
          <w:rFonts w:hint="eastAsia"/>
          <w:highlight w:val="none"/>
        </w:rPr>
        <w:t>4.5.6负责收集整理、汇编独立承包人竣工资料，工程竣工后编制出符合合同及规范要求的工程档案，移交发包人。</w:t>
      </w:r>
      <w:bookmarkEnd w:id="229"/>
    </w:p>
    <w:p w14:paraId="0390C36D">
      <w:pPr>
        <w:pStyle w:val="4"/>
        <w:numPr>
          <w:ilvl w:val="1"/>
          <w:numId w:val="0"/>
        </w:numPr>
        <w:ind w:left="624" w:hanging="624"/>
        <w:rPr>
          <w:highlight w:val="none"/>
        </w:rPr>
      </w:pPr>
      <w:bookmarkStart w:id="230" w:name="_Toc32154"/>
      <w:bookmarkStart w:id="231" w:name="_Toc9528"/>
      <w:bookmarkStart w:id="232" w:name="_Toc5527"/>
      <w:bookmarkStart w:id="233" w:name="_Toc5261"/>
      <w:bookmarkStart w:id="234" w:name="_Toc22240"/>
      <w:bookmarkStart w:id="235" w:name="_Toc1267"/>
      <w:bookmarkStart w:id="236" w:name="_Toc179562974"/>
      <w:bookmarkStart w:id="237" w:name="_Toc169722205"/>
      <w:r>
        <w:rPr>
          <w:rFonts w:hint="eastAsia"/>
          <w:highlight w:val="none"/>
        </w:rPr>
        <w:t>4.6总承包人对</w:t>
      </w:r>
      <w:r>
        <w:rPr>
          <w:highlight w:val="none"/>
        </w:rPr>
        <w:t>外部社会环境及公共关系的协调</w:t>
      </w:r>
      <w:bookmarkEnd w:id="230"/>
      <w:bookmarkEnd w:id="231"/>
      <w:bookmarkEnd w:id="232"/>
      <w:bookmarkEnd w:id="233"/>
      <w:bookmarkEnd w:id="234"/>
      <w:bookmarkEnd w:id="235"/>
      <w:bookmarkEnd w:id="236"/>
      <w:bookmarkEnd w:id="237"/>
    </w:p>
    <w:p w14:paraId="46A07A24">
      <w:pPr>
        <w:pStyle w:val="13"/>
        <w:rPr>
          <w:highlight w:val="none"/>
        </w:rPr>
      </w:pPr>
      <w:r>
        <w:rPr>
          <w:rFonts w:hint="eastAsia"/>
          <w:highlight w:val="none"/>
        </w:rPr>
        <w:t>公共关系对外协调一览表等</w:t>
      </w:r>
    </w:p>
    <w:tbl>
      <w:tblPr>
        <w:tblStyle w:val="23"/>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13"/>
        <w:gridCol w:w="2606"/>
        <w:gridCol w:w="5822"/>
      </w:tblGrid>
      <w:tr w14:paraId="60925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8" w:hRule="atLeast"/>
        </w:trPr>
        <w:tc>
          <w:tcPr>
            <w:tcW w:w="440" w:type="pct"/>
            <w:shd w:val="clear" w:color="auto" w:fill="FFC000"/>
            <w:noWrap w:val="0"/>
            <w:vAlign w:val="center"/>
          </w:tcPr>
          <w:p w14:paraId="2543A4D6">
            <w:pPr>
              <w:pStyle w:val="13"/>
              <w:rPr>
                <w:b/>
                <w:bCs/>
                <w:highlight w:val="none"/>
              </w:rPr>
            </w:pPr>
            <w:r>
              <w:rPr>
                <w:rFonts w:hint="eastAsia"/>
                <w:b/>
                <w:bCs/>
                <w:highlight w:val="none"/>
              </w:rPr>
              <w:t>序号</w:t>
            </w:r>
          </w:p>
        </w:tc>
        <w:tc>
          <w:tcPr>
            <w:tcW w:w="1410" w:type="pct"/>
            <w:shd w:val="clear" w:color="auto" w:fill="FFC000"/>
            <w:noWrap w:val="0"/>
            <w:vAlign w:val="center"/>
          </w:tcPr>
          <w:p w14:paraId="727886FE">
            <w:pPr>
              <w:pStyle w:val="13"/>
              <w:rPr>
                <w:b/>
                <w:bCs/>
                <w:highlight w:val="none"/>
              </w:rPr>
            </w:pPr>
            <w:r>
              <w:rPr>
                <w:rFonts w:hint="eastAsia"/>
                <w:b/>
                <w:bCs/>
                <w:highlight w:val="none"/>
              </w:rPr>
              <w:t>需要协调的部门或机构</w:t>
            </w:r>
          </w:p>
        </w:tc>
        <w:tc>
          <w:tcPr>
            <w:tcW w:w="3150" w:type="pct"/>
            <w:shd w:val="clear" w:color="auto" w:fill="FFC000"/>
            <w:noWrap w:val="0"/>
            <w:vAlign w:val="center"/>
          </w:tcPr>
          <w:p w14:paraId="4E44D70C">
            <w:pPr>
              <w:pStyle w:val="13"/>
              <w:rPr>
                <w:b/>
                <w:bCs/>
                <w:highlight w:val="none"/>
              </w:rPr>
            </w:pPr>
            <w:r>
              <w:rPr>
                <w:rFonts w:hint="eastAsia"/>
                <w:b/>
                <w:bCs/>
                <w:highlight w:val="none"/>
              </w:rPr>
              <w:t>协调的主要内容</w:t>
            </w:r>
          </w:p>
        </w:tc>
      </w:tr>
      <w:tr w14:paraId="2D046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04186FC1">
            <w:pPr>
              <w:pStyle w:val="13"/>
              <w:rPr>
                <w:highlight w:val="none"/>
              </w:rPr>
            </w:pPr>
            <w:r>
              <w:rPr>
                <w:rFonts w:hint="eastAsia"/>
                <w:highlight w:val="none"/>
              </w:rPr>
              <w:t>1</w:t>
            </w:r>
          </w:p>
        </w:tc>
        <w:tc>
          <w:tcPr>
            <w:tcW w:w="1410" w:type="pct"/>
            <w:noWrap w:val="0"/>
            <w:vAlign w:val="center"/>
          </w:tcPr>
          <w:p w14:paraId="4AA4231A">
            <w:pPr>
              <w:pStyle w:val="13"/>
              <w:rPr>
                <w:highlight w:val="none"/>
              </w:rPr>
            </w:pPr>
            <w:r>
              <w:rPr>
                <w:rFonts w:hint="eastAsia"/>
                <w:highlight w:val="none"/>
              </w:rPr>
              <w:t>住建委</w:t>
            </w:r>
          </w:p>
        </w:tc>
        <w:tc>
          <w:tcPr>
            <w:tcW w:w="3150" w:type="pct"/>
            <w:noWrap w:val="0"/>
            <w:vAlign w:val="center"/>
          </w:tcPr>
          <w:p w14:paraId="77AECEC6">
            <w:pPr>
              <w:pStyle w:val="13"/>
              <w:rPr>
                <w:highlight w:val="none"/>
              </w:rPr>
            </w:pPr>
            <w:r>
              <w:rPr>
                <w:rFonts w:hint="eastAsia"/>
                <w:highlight w:val="none"/>
              </w:rPr>
              <w:t>工程过程质量检查、标准贯彻</w:t>
            </w:r>
          </w:p>
        </w:tc>
      </w:tr>
      <w:tr w14:paraId="59053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790AC740">
            <w:pPr>
              <w:pStyle w:val="13"/>
              <w:rPr>
                <w:highlight w:val="none"/>
              </w:rPr>
            </w:pPr>
            <w:r>
              <w:rPr>
                <w:rFonts w:hint="eastAsia"/>
                <w:highlight w:val="none"/>
              </w:rPr>
              <w:t>2</w:t>
            </w:r>
          </w:p>
        </w:tc>
        <w:tc>
          <w:tcPr>
            <w:tcW w:w="1410" w:type="pct"/>
            <w:noWrap w:val="0"/>
            <w:vAlign w:val="center"/>
          </w:tcPr>
          <w:p w14:paraId="18A00610">
            <w:pPr>
              <w:pStyle w:val="13"/>
              <w:rPr>
                <w:highlight w:val="none"/>
              </w:rPr>
            </w:pPr>
            <w:r>
              <w:rPr>
                <w:rFonts w:hint="eastAsia"/>
                <w:highlight w:val="none"/>
              </w:rPr>
              <w:t>安监局</w:t>
            </w:r>
          </w:p>
        </w:tc>
        <w:tc>
          <w:tcPr>
            <w:tcW w:w="3150" w:type="pct"/>
            <w:noWrap w:val="0"/>
            <w:vAlign w:val="center"/>
          </w:tcPr>
          <w:p w14:paraId="7657F687">
            <w:pPr>
              <w:pStyle w:val="13"/>
              <w:rPr>
                <w:highlight w:val="none"/>
              </w:rPr>
            </w:pPr>
            <w:r>
              <w:rPr>
                <w:rFonts w:hint="eastAsia"/>
                <w:highlight w:val="none"/>
              </w:rPr>
              <w:t>工程过程安全检查、事故调查</w:t>
            </w:r>
          </w:p>
        </w:tc>
      </w:tr>
      <w:tr w14:paraId="72E821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61426975">
            <w:pPr>
              <w:pStyle w:val="13"/>
              <w:rPr>
                <w:highlight w:val="none"/>
              </w:rPr>
            </w:pPr>
            <w:r>
              <w:rPr>
                <w:rFonts w:hint="eastAsia"/>
                <w:highlight w:val="none"/>
              </w:rPr>
              <w:t>3</w:t>
            </w:r>
          </w:p>
        </w:tc>
        <w:tc>
          <w:tcPr>
            <w:tcW w:w="1410" w:type="pct"/>
            <w:noWrap w:val="0"/>
            <w:vAlign w:val="center"/>
          </w:tcPr>
          <w:p w14:paraId="4156285E">
            <w:pPr>
              <w:pStyle w:val="13"/>
              <w:rPr>
                <w:highlight w:val="none"/>
              </w:rPr>
            </w:pPr>
            <w:r>
              <w:rPr>
                <w:rFonts w:hint="eastAsia"/>
                <w:highlight w:val="none"/>
              </w:rPr>
              <w:t>安监、质监站</w:t>
            </w:r>
          </w:p>
        </w:tc>
        <w:tc>
          <w:tcPr>
            <w:tcW w:w="3150" w:type="pct"/>
            <w:noWrap w:val="0"/>
            <w:vAlign w:val="center"/>
          </w:tcPr>
          <w:p w14:paraId="04B24915">
            <w:pPr>
              <w:pStyle w:val="13"/>
              <w:rPr>
                <w:highlight w:val="none"/>
              </w:rPr>
            </w:pPr>
            <w:r>
              <w:rPr>
                <w:rFonts w:hint="eastAsia"/>
                <w:highlight w:val="none"/>
              </w:rPr>
              <w:t>工程安全质量检查、竣工验收、备案</w:t>
            </w:r>
          </w:p>
        </w:tc>
      </w:tr>
      <w:tr w14:paraId="0EFDFC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0737BDF9">
            <w:pPr>
              <w:pStyle w:val="13"/>
              <w:rPr>
                <w:highlight w:val="none"/>
              </w:rPr>
            </w:pPr>
            <w:r>
              <w:rPr>
                <w:rFonts w:hint="eastAsia"/>
                <w:highlight w:val="none"/>
              </w:rPr>
              <w:t>4</w:t>
            </w:r>
          </w:p>
        </w:tc>
        <w:tc>
          <w:tcPr>
            <w:tcW w:w="1410" w:type="pct"/>
            <w:noWrap w:val="0"/>
            <w:vAlign w:val="center"/>
          </w:tcPr>
          <w:p w14:paraId="1FC234C4">
            <w:pPr>
              <w:pStyle w:val="13"/>
              <w:rPr>
                <w:highlight w:val="none"/>
              </w:rPr>
            </w:pPr>
            <w:r>
              <w:rPr>
                <w:rFonts w:hint="eastAsia"/>
                <w:highlight w:val="none"/>
              </w:rPr>
              <w:t>城管</w:t>
            </w:r>
          </w:p>
        </w:tc>
        <w:tc>
          <w:tcPr>
            <w:tcW w:w="3150" w:type="pct"/>
            <w:noWrap w:val="0"/>
            <w:vAlign w:val="center"/>
          </w:tcPr>
          <w:p w14:paraId="528A63C0">
            <w:pPr>
              <w:pStyle w:val="13"/>
              <w:rPr>
                <w:highlight w:val="none"/>
              </w:rPr>
            </w:pPr>
            <w:r>
              <w:rPr>
                <w:rFonts w:hint="eastAsia"/>
                <w:highlight w:val="none"/>
              </w:rPr>
              <w:t>占道施工</w:t>
            </w:r>
            <w:r>
              <w:rPr>
                <w:highlight w:val="none"/>
              </w:rPr>
              <w:t>、</w:t>
            </w:r>
            <w:r>
              <w:rPr>
                <w:rFonts w:hint="eastAsia"/>
                <w:highlight w:val="none"/>
              </w:rPr>
              <w:t>市政</w:t>
            </w:r>
            <w:r>
              <w:rPr>
                <w:highlight w:val="none"/>
              </w:rPr>
              <w:t>绿化迁移等</w:t>
            </w:r>
          </w:p>
        </w:tc>
      </w:tr>
      <w:tr w14:paraId="03FA73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7154BFC8">
            <w:pPr>
              <w:pStyle w:val="13"/>
              <w:rPr>
                <w:highlight w:val="none"/>
              </w:rPr>
            </w:pPr>
            <w:r>
              <w:rPr>
                <w:rFonts w:hint="eastAsia"/>
                <w:highlight w:val="none"/>
              </w:rPr>
              <w:t>5</w:t>
            </w:r>
          </w:p>
        </w:tc>
        <w:tc>
          <w:tcPr>
            <w:tcW w:w="1410" w:type="pct"/>
            <w:noWrap w:val="0"/>
            <w:vAlign w:val="center"/>
          </w:tcPr>
          <w:p w14:paraId="163A954C">
            <w:pPr>
              <w:pStyle w:val="13"/>
              <w:rPr>
                <w:highlight w:val="none"/>
              </w:rPr>
            </w:pPr>
            <w:r>
              <w:rPr>
                <w:rFonts w:hint="eastAsia"/>
                <w:highlight w:val="none"/>
              </w:rPr>
              <w:t>环保</w:t>
            </w:r>
          </w:p>
        </w:tc>
        <w:tc>
          <w:tcPr>
            <w:tcW w:w="3150" w:type="pct"/>
            <w:noWrap w:val="0"/>
            <w:vAlign w:val="center"/>
          </w:tcPr>
          <w:p w14:paraId="66023E00">
            <w:pPr>
              <w:pStyle w:val="13"/>
              <w:rPr>
                <w:highlight w:val="none"/>
              </w:rPr>
            </w:pPr>
            <w:r>
              <w:rPr>
                <w:rFonts w:hint="eastAsia"/>
                <w:highlight w:val="none"/>
              </w:rPr>
              <w:t>夜间及重大节日施工噪音等、工地周边及工地内的环保</w:t>
            </w:r>
          </w:p>
        </w:tc>
      </w:tr>
      <w:tr w14:paraId="6F7F34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3F94C160">
            <w:pPr>
              <w:pStyle w:val="13"/>
              <w:rPr>
                <w:highlight w:val="none"/>
              </w:rPr>
            </w:pPr>
            <w:r>
              <w:rPr>
                <w:rFonts w:hint="eastAsia"/>
                <w:highlight w:val="none"/>
              </w:rPr>
              <w:t>6</w:t>
            </w:r>
          </w:p>
        </w:tc>
        <w:tc>
          <w:tcPr>
            <w:tcW w:w="1410" w:type="pct"/>
            <w:noWrap w:val="0"/>
            <w:vAlign w:val="center"/>
          </w:tcPr>
          <w:p w14:paraId="2BFB8F0E">
            <w:pPr>
              <w:pStyle w:val="13"/>
              <w:rPr>
                <w:highlight w:val="none"/>
              </w:rPr>
            </w:pPr>
            <w:r>
              <w:rPr>
                <w:rFonts w:hint="eastAsia"/>
                <w:highlight w:val="none"/>
              </w:rPr>
              <w:t>公安</w:t>
            </w:r>
          </w:p>
        </w:tc>
        <w:tc>
          <w:tcPr>
            <w:tcW w:w="3150" w:type="pct"/>
            <w:noWrap w:val="0"/>
            <w:vAlign w:val="center"/>
          </w:tcPr>
          <w:p w14:paraId="5A4141F9">
            <w:pPr>
              <w:pStyle w:val="13"/>
              <w:rPr>
                <w:highlight w:val="none"/>
              </w:rPr>
            </w:pPr>
            <w:r>
              <w:rPr>
                <w:rFonts w:hint="eastAsia"/>
                <w:highlight w:val="none"/>
              </w:rPr>
              <w:t>施工现场内外、生活区的治安</w:t>
            </w:r>
          </w:p>
        </w:tc>
      </w:tr>
      <w:tr w14:paraId="6E7C20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7C32E22C">
            <w:pPr>
              <w:pStyle w:val="13"/>
              <w:rPr>
                <w:highlight w:val="none"/>
              </w:rPr>
            </w:pPr>
            <w:r>
              <w:rPr>
                <w:rFonts w:hint="eastAsia"/>
                <w:highlight w:val="none"/>
              </w:rPr>
              <w:t>7</w:t>
            </w:r>
          </w:p>
        </w:tc>
        <w:tc>
          <w:tcPr>
            <w:tcW w:w="1410" w:type="pct"/>
            <w:noWrap w:val="0"/>
            <w:vAlign w:val="center"/>
          </w:tcPr>
          <w:p w14:paraId="7D1B8A7D">
            <w:pPr>
              <w:pStyle w:val="13"/>
              <w:rPr>
                <w:highlight w:val="none"/>
              </w:rPr>
            </w:pPr>
            <w:r>
              <w:rPr>
                <w:rFonts w:hint="eastAsia"/>
                <w:highlight w:val="none"/>
              </w:rPr>
              <w:t>交通</w:t>
            </w:r>
          </w:p>
        </w:tc>
        <w:tc>
          <w:tcPr>
            <w:tcW w:w="3150" w:type="pct"/>
            <w:noWrap w:val="0"/>
            <w:vAlign w:val="center"/>
          </w:tcPr>
          <w:p w14:paraId="3F75A7CE">
            <w:pPr>
              <w:pStyle w:val="13"/>
              <w:rPr>
                <w:highlight w:val="none"/>
              </w:rPr>
            </w:pPr>
            <w:r>
              <w:rPr>
                <w:rFonts w:hint="eastAsia"/>
                <w:highlight w:val="none"/>
              </w:rPr>
              <w:t>施工现场临时出入口、道路出入、临时占道审批</w:t>
            </w:r>
          </w:p>
        </w:tc>
      </w:tr>
      <w:tr w14:paraId="7FC32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141207BA">
            <w:pPr>
              <w:pStyle w:val="13"/>
              <w:rPr>
                <w:highlight w:val="none"/>
              </w:rPr>
            </w:pPr>
            <w:r>
              <w:rPr>
                <w:rFonts w:hint="eastAsia"/>
                <w:highlight w:val="none"/>
              </w:rPr>
              <w:t>8</w:t>
            </w:r>
          </w:p>
        </w:tc>
        <w:tc>
          <w:tcPr>
            <w:tcW w:w="1410" w:type="pct"/>
            <w:noWrap w:val="0"/>
            <w:vAlign w:val="center"/>
          </w:tcPr>
          <w:p w14:paraId="40F85BCA">
            <w:pPr>
              <w:pStyle w:val="13"/>
              <w:rPr>
                <w:highlight w:val="none"/>
              </w:rPr>
            </w:pPr>
            <w:r>
              <w:rPr>
                <w:rFonts w:hint="eastAsia"/>
                <w:highlight w:val="none"/>
              </w:rPr>
              <w:t>消防</w:t>
            </w:r>
          </w:p>
        </w:tc>
        <w:tc>
          <w:tcPr>
            <w:tcW w:w="3150" w:type="pct"/>
            <w:noWrap w:val="0"/>
            <w:vAlign w:val="center"/>
          </w:tcPr>
          <w:p w14:paraId="09F22284">
            <w:pPr>
              <w:pStyle w:val="13"/>
              <w:rPr>
                <w:highlight w:val="none"/>
              </w:rPr>
            </w:pPr>
            <w:r>
              <w:rPr>
                <w:rFonts w:hint="eastAsia"/>
                <w:highlight w:val="none"/>
              </w:rPr>
              <w:t>施工现场内外、生活区防火、临时消防系统审批</w:t>
            </w:r>
          </w:p>
        </w:tc>
      </w:tr>
      <w:tr w14:paraId="63D84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0C6EB657">
            <w:pPr>
              <w:pStyle w:val="13"/>
              <w:rPr>
                <w:highlight w:val="none"/>
              </w:rPr>
            </w:pPr>
            <w:r>
              <w:rPr>
                <w:rFonts w:hint="eastAsia"/>
                <w:highlight w:val="none"/>
              </w:rPr>
              <w:t>9</w:t>
            </w:r>
          </w:p>
        </w:tc>
        <w:tc>
          <w:tcPr>
            <w:tcW w:w="1410" w:type="pct"/>
            <w:noWrap w:val="0"/>
            <w:vAlign w:val="center"/>
          </w:tcPr>
          <w:p w14:paraId="5556C2EB">
            <w:pPr>
              <w:pStyle w:val="13"/>
              <w:rPr>
                <w:highlight w:val="none"/>
              </w:rPr>
            </w:pPr>
            <w:r>
              <w:rPr>
                <w:rFonts w:hint="eastAsia"/>
                <w:highlight w:val="none"/>
              </w:rPr>
              <w:t>劳动局</w:t>
            </w:r>
          </w:p>
        </w:tc>
        <w:tc>
          <w:tcPr>
            <w:tcW w:w="3150" w:type="pct"/>
            <w:noWrap w:val="0"/>
            <w:vAlign w:val="center"/>
          </w:tcPr>
          <w:p w14:paraId="2ADD9B03">
            <w:pPr>
              <w:pStyle w:val="13"/>
              <w:rPr>
                <w:highlight w:val="none"/>
              </w:rPr>
            </w:pPr>
            <w:r>
              <w:rPr>
                <w:rFonts w:hint="eastAsia"/>
                <w:highlight w:val="none"/>
              </w:rPr>
              <w:t>施工现场所有人员的劳动保障</w:t>
            </w:r>
          </w:p>
        </w:tc>
      </w:tr>
      <w:tr w14:paraId="60D18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560BBDF0">
            <w:pPr>
              <w:pStyle w:val="13"/>
              <w:rPr>
                <w:highlight w:val="none"/>
              </w:rPr>
            </w:pPr>
            <w:r>
              <w:rPr>
                <w:rFonts w:hint="eastAsia"/>
                <w:highlight w:val="none"/>
              </w:rPr>
              <w:t>10</w:t>
            </w:r>
          </w:p>
        </w:tc>
        <w:tc>
          <w:tcPr>
            <w:tcW w:w="1410" w:type="pct"/>
            <w:noWrap w:val="0"/>
            <w:vAlign w:val="center"/>
          </w:tcPr>
          <w:p w14:paraId="26BF52E7">
            <w:pPr>
              <w:pStyle w:val="13"/>
              <w:rPr>
                <w:highlight w:val="none"/>
              </w:rPr>
            </w:pPr>
            <w:r>
              <w:rPr>
                <w:rFonts w:hint="eastAsia"/>
                <w:highlight w:val="none"/>
              </w:rPr>
              <w:t>工程所在地街道办</w:t>
            </w:r>
          </w:p>
        </w:tc>
        <w:tc>
          <w:tcPr>
            <w:tcW w:w="3150" w:type="pct"/>
            <w:noWrap w:val="0"/>
            <w:vAlign w:val="center"/>
          </w:tcPr>
          <w:p w14:paraId="371314B8">
            <w:pPr>
              <w:pStyle w:val="13"/>
              <w:rPr>
                <w:highlight w:val="none"/>
              </w:rPr>
            </w:pPr>
            <w:r>
              <w:rPr>
                <w:rFonts w:hint="eastAsia"/>
                <w:highlight w:val="none"/>
              </w:rPr>
              <w:t>施工现场周边关系（扰民、扬尘、夜间施工等）</w:t>
            </w:r>
          </w:p>
        </w:tc>
      </w:tr>
      <w:tr w14:paraId="5A978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6563B2C9">
            <w:pPr>
              <w:pStyle w:val="13"/>
              <w:rPr>
                <w:rFonts w:hint="eastAsia"/>
                <w:highlight w:val="none"/>
              </w:rPr>
            </w:pPr>
            <w:r>
              <w:rPr>
                <w:rFonts w:hint="eastAsia"/>
                <w:highlight w:val="none"/>
              </w:rPr>
              <w:t>1</w:t>
            </w:r>
            <w:r>
              <w:rPr>
                <w:highlight w:val="none"/>
              </w:rPr>
              <w:t>1</w:t>
            </w:r>
          </w:p>
        </w:tc>
        <w:tc>
          <w:tcPr>
            <w:tcW w:w="1410" w:type="pct"/>
            <w:noWrap w:val="0"/>
            <w:vAlign w:val="center"/>
          </w:tcPr>
          <w:p w14:paraId="22F9E096">
            <w:pPr>
              <w:pStyle w:val="13"/>
              <w:rPr>
                <w:rFonts w:hint="eastAsia"/>
                <w:highlight w:val="none"/>
              </w:rPr>
            </w:pPr>
            <w:r>
              <w:rPr>
                <w:rFonts w:hint="eastAsia"/>
                <w:highlight w:val="none"/>
              </w:rPr>
              <w:t>学校/校方</w:t>
            </w:r>
          </w:p>
        </w:tc>
        <w:tc>
          <w:tcPr>
            <w:tcW w:w="3150" w:type="pct"/>
            <w:noWrap w:val="0"/>
            <w:vAlign w:val="center"/>
          </w:tcPr>
          <w:p w14:paraId="5CF0B926">
            <w:pPr>
              <w:pStyle w:val="13"/>
              <w:rPr>
                <w:rFonts w:hint="eastAsia"/>
                <w:highlight w:val="none"/>
              </w:rPr>
            </w:pPr>
            <w:r>
              <w:rPr>
                <w:rFonts w:hint="eastAsia"/>
                <w:highlight w:val="none"/>
              </w:rPr>
              <w:t>日常、夜间施工噪音；临时大型器械使用</w:t>
            </w:r>
          </w:p>
        </w:tc>
      </w:tr>
      <w:tr w14:paraId="51FA03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79059670">
            <w:pPr>
              <w:pStyle w:val="13"/>
              <w:rPr>
                <w:highlight w:val="none"/>
              </w:rPr>
            </w:pPr>
            <w:r>
              <w:rPr>
                <w:rFonts w:hint="eastAsia"/>
                <w:highlight w:val="none"/>
              </w:rPr>
              <w:t>1</w:t>
            </w:r>
            <w:r>
              <w:rPr>
                <w:highlight w:val="none"/>
              </w:rPr>
              <w:t>2</w:t>
            </w:r>
          </w:p>
        </w:tc>
        <w:tc>
          <w:tcPr>
            <w:tcW w:w="1410" w:type="pct"/>
            <w:noWrap w:val="0"/>
            <w:vAlign w:val="center"/>
          </w:tcPr>
          <w:p w14:paraId="2DC74386">
            <w:pPr>
              <w:pStyle w:val="13"/>
              <w:rPr>
                <w:highlight w:val="none"/>
              </w:rPr>
            </w:pPr>
            <w:r>
              <w:rPr>
                <w:rFonts w:hint="eastAsia"/>
                <w:highlight w:val="none"/>
              </w:rPr>
              <w:t>水务</w:t>
            </w:r>
          </w:p>
        </w:tc>
        <w:tc>
          <w:tcPr>
            <w:tcW w:w="3150" w:type="pct"/>
            <w:noWrap w:val="0"/>
            <w:vAlign w:val="center"/>
          </w:tcPr>
          <w:p w14:paraId="4C2FFC1F">
            <w:pPr>
              <w:pStyle w:val="13"/>
              <w:rPr>
                <w:highlight w:val="none"/>
              </w:rPr>
            </w:pPr>
            <w:r>
              <w:rPr>
                <w:rFonts w:hint="eastAsia"/>
                <w:highlight w:val="none"/>
              </w:rPr>
              <w:t>工程临时用水的申请及计量</w:t>
            </w:r>
          </w:p>
        </w:tc>
      </w:tr>
      <w:tr w14:paraId="2E979F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176F74F3">
            <w:pPr>
              <w:pStyle w:val="13"/>
              <w:rPr>
                <w:highlight w:val="none"/>
              </w:rPr>
            </w:pPr>
            <w:r>
              <w:rPr>
                <w:rFonts w:hint="eastAsia"/>
                <w:highlight w:val="none"/>
              </w:rPr>
              <w:t>1</w:t>
            </w:r>
            <w:r>
              <w:rPr>
                <w:highlight w:val="none"/>
              </w:rPr>
              <w:t>3</w:t>
            </w:r>
          </w:p>
        </w:tc>
        <w:tc>
          <w:tcPr>
            <w:tcW w:w="1410" w:type="pct"/>
            <w:noWrap w:val="0"/>
            <w:vAlign w:val="center"/>
          </w:tcPr>
          <w:p w14:paraId="0A9D9869">
            <w:pPr>
              <w:pStyle w:val="13"/>
              <w:rPr>
                <w:highlight w:val="none"/>
              </w:rPr>
            </w:pPr>
            <w:r>
              <w:rPr>
                <w:rFonts w:hint="eastAsia"/>
                <w:highlight w:val="none"/>
              </w:rPr>
              <w:t>供电局</w:t>
            </w:r>
          </w:p>
        </w:tc>
        <w:tc>
          <w:tcPr>
            <w:tcW w:w="3150" w:type="pct"/>
            <w:noWrap w:val="0"/>
            <w:vAlign w:val="center"/>
          </w:tcPr>
          <w:p w14:paraId="1EBCC623">
            <w:pPr>
              <w:pStyle w:val="13"/>
              <w:rPr>
                <w:highlight w:val="none"/>
              </w:rPr>
            </w:pPr>
            <w:r>
              <w:rPr>
                <w:rFonts w:hint="eastAsia"/>
                <w:highlight w:val="none"/>
              </w:rPr>
              <w:t>工程临时用电的申请及计量</w:t>
            </w:r>
          </w:p>
        </w:tc>
      </w:tr>
      <w:tr w14:paraId="23737C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440" w:type="pct"/>
            <w:noWrap w:val="0"/>
            <w:vAlign w:val="center"/>
          </w:tcPr>
          <w:p w14:paraId="3E24670F">
            <w:pPr>
              <w:pStyle w:val="13"/>
              <w:rPr>
                <w:highlight w:val="none"/>
              </w:rPr>
            </w:pPr>
            <w:r>
              <w:rPr>
                <w:rFonts w:hint="eastAsia"/>
                <w:highlight w:val="none"/>
              </w:rPr>
              <w:t>1</w:t>
            </w:r>
            <w:r>
              <w:rPr>
                <w:highlight w:val="none"/>
              </w:rPr>
              <w:t>4</w:t>
            </w:r>
          </w:p>
        </w:tc>
        <w:tc>
          <w:tcPr>
            <w:tcW w:w="1410" w:type="pct"/>
            <w:noWrap w:val="0"/>
            <w:vAlign w:val="center"/>
          </w:tcPr>
          <w:p w14:paraId="5649045D">
            <w:pPr>
              <w:pStyle w:val="13"/>
              <w:rPr>
                <w:highlight w:val="none"/>
              </w:rPr>
            </w:pPr>
            <w:r>
              <w:rPr>
                <w:rFonts w:hint="eastAsia"/>
                <w:highlight w:val="none"/>
              </w:rPr>
              <w:t>城建档案馆</w:t>
            </w:r>
          </w:p>
        </w:tc>
        <w:tc>
          <w:tcPr>
            <w:tcW w:w="3150" w:type="pct"/>
            <w:noWrap w:val="0"/>
            <w:vAlign w:val="center"/>
          </w:tcPr>
          <w:p w14:paraId="3FC1E590">
            <w:pPr>
              <w:pStyle w:val="13"/>
              <w:rPr>
                <w:highlight w:val="none"/>
              </w:rPr>
            </w:pPr>
            <w:r>
              <w:rPr>
                <w:rFonts w:hint="eastAsia"/>
                <w:highlight w:val="none"/>
              </w:rPr>
              <w:t>工程竣工资料的移交、备案</w:t>
            </w:r>
          </w:p>
        </w:tc>
      </w:tr>
    </w:tbl>
    <w:p w14:paraId="4FA44997">
      <w:pPr>
        <w:pStyle w:val="5"/>
        <w:numPr>
          <w:ilvl w:val="2"/>
          <w:numId w:val="0"/>
        </w:numPr>
        <w:ind w:left="624" w:hanging="624"/>
        <w:rPr>
          <w:highlight w:val="none"/>
        </w:rPr>
      </w:pPr>
      <w:bookmarkStart w:id="238" w:name="_Toc5935"/>
      <w:r>
        <w:rPr>
          <w:rFonts w:hint="eastAsia"/>
          <w:highlight w:val="none"/>
        </w:rPr>
        <w:t>4.6.1与</w:t>
      </w:r>
      <w:r>
        <w:rPr>
          <w:highlight w:val="none"/>
        </w:rPr>
        <w:t>政府相关主管部门关系的协调</w:t>
      </w:r>
      <w:bookmarkEnd w:id="238"/>
    </w:p>
    <w:p w14:paraId="41279173">
      <w:pPr>
        <w:pStyle w:val="6"/>
        <w:numPr>
          <w:ilvl w:val="3"/>
          <w:numId w:val="0"/>
        </w:numPr>
        <w:ind w:left="864" w:leftChars="100" w:hanging="624"/>
        <w:rPr>
          <w:highlight w:val="none"/>
        </w:rPr>
      </w:pPr>
      <w:r>
        <w:rPr>
          <w:rFonts w:hint="eastAsia"/>
          <w:highlight w:val="none"/>
        </w:rPr>
        <w:t>4.6.1.1相关政府职能部门包括住建、城管、公安、交通、环卫、市政、燃气、自来水、电力、劳动保护、消防等部门。总承包人要积极与职能部门进行沟通，及时通报工程的各项进展情况，征得其对工程建设的支持和帮助，保证建设期间的水、电、气的正常供应和紧急抢修，减少或避免交通、治安等对工程施工造成的影响，及时办理各种手续。</w:t>
      </w:r>
    </w:p>
    <w:p w14:paraId="11078842">
      <w:pPr>
        <w:pStyle w:val="6"/>
        <w:numPr>
          <w:ilvl w:val="3"/>
          <w:numId w:val="0"/>
        </w:numPr>
        <w:ind w:left="864" w:leftChars="100" w:hanging="624"/>
        <w:rPr>
          <w:highlight w:val="none"/>
        </w:rPr>
      </w:pPr>
      <w:r>
        <w:rPr>
          <w:rFonts w:hint="eastAsia"/>
          <w:highlight w:val="none"/>
        </w:rPr>
        <w:t>4.6.1.2自觉接受政府的依法监督和指导，随时了解国家和政府的有关方针、政策，掌握近期的市场信息。</w:t>
      </w:r>
    </w:p>
    <w:p w14:paraId="4BD7D761">
      <w:pPr>
        <w:pStyle w:val="6"/>
        <w:numPr>
          <w:ilvl w:val="3"/>
          <w:numId w:val="0"/>
        </w:numPr>
        <w:ind w:left="864" w:leftChars="100" w:hanging="624"/>
        <w:rPr>
          <w:highlight w:val="none"/>
        </w:rPr>
      </w:pPr>
      <w:r>
        <w:rPr>
          <w:rFonts w:hint="eastAsia"/>
          <w:highlight w:val="none"/>
        </w:rPr>
        <w:t>4.6.1.3主动向工商税务部门依法纳税，主动与公安交通部门取得联系，取得施工占用道路的批准和运输的畅通。</w:t>
      </w:r>
    </w:p>
    <w:p w14:paraId="55C0EE1A">
      <w:pPr>
        <w:pStyle w:val="6"/>
        <w:numPr>
          <w:ilvl w:val="3"/>
          <w:numId w:val="0"/>
        </w:numPr>
        <w:ind w:left="864" w:leftChars="100" w:hanging="624"/>
        <w:rPr>
          <w:highlight w:val="none"/>
        </w:rPr>
      </w:pPr>
      <w:r>
        <w:rPr>
          <w:rFonts w:hint="eastAsia"/>
          <w:highlight w:val="none"/>
        </w:rPr>
        <w:t>4.6.1.4主动与司法部门联系，征得法律的保护和指导。</w:t>
      </w:r>
    </w:p>
    <w:p w14:paraId="2E5108F4">
      <w:pPr>
        <w:pStyle w:val="6"/>
        <w:numPr>
          <w:ilvl w:val="3"/>
          <w:numId w:val="0"/>
        </w:numPr>
        <w:ind w:left="864" w:leftChars="100" w:hanging="624"/>
        <w:rPr>
          <w:highlight w:val="none"/>
        </w:rPr>
      </w:pPr>
      <w:r>
        <w:rPr>
          <w:rFonts w:hint="eastAsia"/>
          <w:highlight w:val="none"/>
        </w:rPr>
        <w:t>4.6.1.5主动与市容监察部门联系，搞好施工现场周围地区的环境卫生。</w:t>
      </w:r>
    </w:p>
    <w:p w14:paraId="3AB40FDE">
      <w:pPr>
        <w:pStyle w:val="6"/>
        <w:numPr>
          <w:ilvl w:val="3"/>
          <w:numId w:val="0"/>
        </w:numPr>
        <w:ind w:left="864" w:leftChars="100" w:hanging="624"/>
        <w:rPr>
          <w:highlight w:val="none"/>
        </w:rPr>
      </w:pPr>
      <w:r>
        <w:rPr>
          <w:rFonts w:hint="eastAsia"/>
          <w:highlight w:val="none"/>
        </w:rPr>
        <w:t>4.6.1.6主动与建设主管部门联系，征得他们对于工程质量和施工安全的指导与认可。</w:t>
      </w:r>
    </w:p>
    <w:p w14:paraId="084934C9">
      <w:pPr>
        <w:pStyle w:val="6"/>
        <w:numPr>
          <w:ilvl w:val="3"/>
          <w:numId w:val="0"/>
        </w:numPr>
        <w:ind w:left="864" w:leftChars="100" w:hanging="624"/>
        <w:rPr>
          <w:highlight w:val="none"/>
        </w:rPr>
      </w:pPr>
      <w:r>
        <w:rPr>
          <w:rFonts w:hint="eastAsia"/>
          <w:highlight w:val="none"/>
        </w:rPr>
        <w:t>4.6.1.7与政府主管部门沟通工序穿插，实现穿插提效。</w:t>
      </w:r>
    </w:p>
    <w:p w14:paraId="2B7621F5">
      <w:pPr>
        <w:pStyle w:val="6"/>
        <w:numPr>
          <w:ilvl w:val="3"/>
          <w:numId w:val="0"/>
        </w:numPr>
        <w:ind w:left="864" w:leftChars="100" w:hanging="624"/>
        <w:rPr>
          <w:highlight w:val="none"/>
        </w:rPr>
      </w:pPr>
      <w:r>
        <w:rPr>
          <w:rFonts w:hint="eastAsia"/>
          <w:highlight w:val="none"/>
        </w:rPr>
        <w:t>4.6.1.8其他外部社会环境及公共关系的协调。</w:t>
      </w:r>
    </w:p>
    <w:p w14:paraId="58CD4914">
      <w:pPr>
        <w:pStyle w:val="6"/>
        <w:numPr>
          <w:ilvl w:val="3"/>
          <w:numId w:val="0"/>
        </w:numPr>
        <w:ind w:left="864" w:leftChars="100" w:hanging="624"/>
        <w:rPr>
          <w:highlight w:val="none"/>
        </w:rPr>
      </w:pPr>
      <w:r>
        <w:rPr>
          <w:rFonts w:hint="eastAsia"/>
          <w:highlight w:val="none"/>
        </w:rPr>
        <w:t>4.6.1.9承包人须负责协助配合发包人与有关政府部门及公用事业机构协调和沟通，若发包人认为承包人缺乏配合或配合力度不够导致工程进展不顺利的。发包人有权要求承包人更换项目总指挥和对于的工作人员，直至工作配合满意。由此造成的工程损失和延误由责任承包人全部承担。</w:t>
      </w:r>
    </w:p>
    <w:p w14:paraId="2B2FA783">
      <w:pPr>
        <w:pStyle w:val="6"/>
        <w:numPr>
          <w:ilvl w:val="3"/>
          <w:numId w:val="0"/>
        </w:numPr>
        <w:ind w:left="864" w:leftChars="100" w:hanging="624"/>
        <w:rPr>
          <w:highlight w:val="none"/>
        </w:rPr>
      </w:pPr>
      <w:r>
        <w:rPr>
          <w:rFonts w:hint="eastAsia"/>
          <w:highlight w:val="none"/>
        </w:rPr>
        <w:t>4.6.1.10承包人提供所需的有关资料，包括图纸、样品、产品说明等向政府部门或公用事业机构申报，若所有须送审的有关资料未能达到有关政府部门的要求而需重新申报的，由此而导致工期延误及所引起的一切费用损失等全部由承包人负责。</w:t>
      </w:r>
    </w:p>
    <w:p w14:paraId="420C0DC7">
      <w:pPr>
        <w:pStyle w:val="6"/>
        <w:numPr>
          <w:ilvl w:val="3"/>
          <w:numId w:val="0"/>
        </w:numPr>
        <w:ind w:left="864" w:leftChars="100" w:hanging="624"/>
        <w:rPr>
          <w:highlight w:val="none"/>
        </w:rPr>
      </w:pPr>
      <w:r>
        <w:rPr>
          <w:rFonts w:hint="eastAsia"/>
          <w:highlight w:val="none"/>
        </w:rPr>
        <w:t>4.6.1.11如因承包人与有关政府部门及公用事业机构缺乏协调和沟通而导致已完工的工程需更改或拆除，承包人须负全部承担因此造成的费用增加和工期延误责任。</w:t>
      </w:r>
    </w:p>
    <w:p w14:paraId="47C6D1FB">
      <w:pPr>
        <w:pStyle w:val="6"/>
        <w:numPr>
          <w:ilvl w:val="3"/>
          <w:numId w:val="0"/>
        </w:numPr>
        <w:ind w:left="864" w:leftChars="100" w:hanging="624"/>
        <w:rPr>
          <w:highlight w:val="none"/>
        </w:rPr>
      </w:pPr>
      <w:r>
        <w:rPr>
          <w:rFonts w:hint="eastAsia"/>
          <w:highlight w:val="none"/>
        </w:rPr>
        <w:t>4.6.1.12承包人须无条件全面配合发包人进行本项目相关的报建工作（包含但不限于工作沟通、资料递交等）；及发包人向政府有关部门或公用事业机构的汇报工作。</w:t>
      </w:r>
    </w:p>
    <w:p w14:paraId="1C6BBCE1">
      <w:pPr>
        <w:pStyle w:val="6"/>
        <w:numPr>
          <w:ilvl w:val="3"/>
          <w:numId w:val="0"/>
        </w:numPr>
        <w:ind w:left="864" w:leftChars="100" w:hanging="624"/>
        <w:rPr>
          <w:highlight w:val="none"/>
        </w:rPr>
      </w:pPr>
      <w:r>
        <w:rPr>
          <w:rFonts w:hint="eastAsia"/>
          <w:highlight w:val="none"/>
        </w:rPr>
        <w:t>4.6.1.13承包人须全面负责本项目的对外接待工作（包含但不限于政府部门及公用事业机构的现场视察、检查、监督及参观等活动的接待）。</w:t>
      </w:r>
    </w:p>
    <w:p w14:paraId="2FA86839">
      <w:pPr>
        <w:pStyle w:val="6"/>
        <w:numPr>
          <w:ilvl w:val="3"/>
          <w:numId w:val="0"/>
        </w:numPr>
        <w:ind w:left="864" w:leftChars="100" w:hanging="624"/>
        <w:rPr>
          <w:highlight w:val="none"/>
        </w:rPr>
      </w:pPr>
      <w:r>
        <w:rPr>
          <w:rFonts w:hint="eastAsia"/>
          <w:highlight w:val="none"/>
        </w:rPr>
        <w:t>4.6.1.14承包人需无条件配合执行政府相关部门下发的相关工程建设政策、文件及其他事项。</w:t>
      </w:r>
    </w:p>
    <w:p w14:paraId="2B2AC286">
      <w:pPr>
        <w:pStyle w:val="5"/>
        <w:numPr>
          <w:ilvl w:val="2"/>
          <w:numId w:val="0"/>
        </w:numPr>
        <w:ind w:left="624" w:hanging="624"/>
        <w:rPr>
          <w:highlight w:val="none"/>
        </w:rPr>
      </w:pPr>
      <w:bookmarkStart w:id="239" w:name="_Toc4936"/>
      <w:r>
        <w:rPr>
          <w:rFonts w:hint="eastAsia"/>
          <w:highlight w:val="none"/>
        </w:rPr>
        <w:t>4.6.2 与</w:t>
      </w:r>
      <w:r>
        <w:rPr>
          <w:highlight w:val="none"/>
        </w:rPr>
        <w:t>社会公众及当地社区关系的协调</w:t>
      </w:r>
      <w:bookmarkEnd w:id="239"/>
    </w:p>
    <w:p w14:paraId="16921482">
      <w:pPr>
        <w:pStyle w:val="6"/>
        <w:numPr>
          <w:ilvl w:val="3"/>
          <w:numId w:val="0"/>
        </w:numPr>
        <w:ind w:left="864" w:leftChars="100" w:hanging="624"/>
        <w:rPr>
          <w:highlight w:val="none"/>
        </w:rPr>
      </w:pPr>
      <w:r>
        <w:rPr>
          <w:rFonts w:hint="eastAsia"/>
          <w:highlight w:val="none"/>
        </w:rPr>
        <w:t>4.6.2.1加强与周边社区、单位的联系沟通，及时向其通报工程情况，宣传工程建设的意义，对给其造成的不便征得谅解，减少或避免相互间的矛盾。对周边社区居民、单位提出的问题，要合理解释和尽量予以满足和解决。</w:t>
      </w:r>
    </w:p>
    <w:p w14:paraId="4760BAA2">
      <w:pPr>
        <w:pStyle w:val="6"/>
        <w:numPr>
          <w:ilvl w:val="3"/>
          <w:numId w:val="0"/>
        </w:numPr>
        <w:ind w:left="864" w:leftChars="100" w:hanging="624"/>
        <w:rPr>
          <w:highlight w:val="none"/>
        </w:rPr>
      </w:pPr>
      <w:r>
        <w:rPr>
          <w:rFonts w:hint="eastAsia"/>
          <w:highlight w:val="none"/>
        </w:rPr>
        <w:t>4.6.2.2对受施工的噪声、强光、灰尘影响的单位和居民采取必要的弥补措施。同时也积极采取预防措施减少这些危害，尽可能地保护周围单位和居民的利益。</w:t>
      </w:r>
    </w:p>
    <w:p w14:paraId="0F269F9D">
      <w:pPr>
        <w:ind w:firstLine="480"/>
        <w:rPr>
          <w:highlight w:val="none"/>
        </w:rPr>
      </w:pPr>
      <w:bookmarkStart w:id="240" w:name="_Toc24775"/>
      <w:bookmarkStart w:id="241" w:name="_Toc14447"/>
      <w:bookmarkStart w:id="242" w:name="_Toc20689"/>
      <w:bookmarkStart w:id="243" w:name="_Toc26361"/>
      <w:r>
        <w:rPr>
          <w:highlight w:val="none"/>
        </w:rPr>
        <w:br w:type="page"/>
      </w:r>
    </w:p>
    <w:p w14:paraId="7007EBAD">
      <w:pPr>
        <w:pStyle w:val="3"/>
        <w:numPr>
          <w:ilvl w:val="0"/>
          <w:numId w:val="0"/>
        </w:numPr>
        <w:ind w:left="432"/>
        <w:rPr>
          <w:highlight w:val="none"/>
        </w:rPr>
      </w:pPr>
      <w:bookmarkStart w:id="244" w:name="_Toc179562975"/>
      <w:bookmarkStart w:id="245" w:name="_Toc23541"/>
      <w:bookmarkStart w:id="246" w:name="_Toc4766"/>
      <w:r>
        <w:rPr>
          <w:highlight w:val="none"/>
        </w:rPr>
        <w:t>第5章 项目组织架构及工作要求</w:t>
      </w:r>
      <w:bookmarkEnd w:id="59"/>
      <w:bookmarkEnd w:id="240"/>
      <w:bookmarkEnd w:id="241"/>
      <w:bookmarkEnd w:id="242"/>
      <w:bookmarkEnd w:id="243"/>
      <w:bookmarkEnd w:id="244"/>
      <w:bookmarkEnd w:id="245"/>
      <w:bookmarkEnd w:id="246"/>
    </w:p>
    <w:p w14:paraId="27DA0EB6">
      <w:pPr>
        <w:pStyle w:val="4"/>
        <w:numPr>
          <w:ilvl w:val="1"/>
          <w:numId w:val="0"/>
        </w:numPr>
        <w:ind w:left="624" w:hanging="624"/>
        <w:rPr>
          <w:highlight w:val="none"/>
        </w:rPr>
      </w:pPr>
      <w:bookmarkStart w:id="247" w:name="_Toc27654"/>
      <w:bookmarkStart w:id="248" w:name="_Toc12343"/>
      <w:bookmarkStart w:id="249" w:name="_Toc17611"/>
      <w:bookmarkStart w:id="250" w:name="_Toc18300"/>
      <w:bookmarkStart w:id="251" w:name="_Toc179562976"/>
      <w:bookmarkStart w:id="252" w:name="_Toc169722207"/>
      <w:bookmarkStart w:id="253" w:name="_Toc13183"/>
      <w:bookmarkStart w:id="254" w:name="_Toc32071"/>
      <w:r>
        <w:rPr>
          <w:rFonts w:hint="eastAsia"/>
          <w:highlight w:val="none"/>
        </w:rPr>
        <w:t>5.1项目</w:t>
      </w:r>
      <w:r>
        <w:rPr>
          <w:highlight w:val="none"/>
        </w:rPr>
        <w:t>管理团队组织架构设置要求</w:t>
      </w:r>
      <w:bookmarkEnd w:id="247"/>
      <w:bookmarkEnd w:id="248"/>
      <w:bookmarkEnd w:id="249"/>
      <w:bookmarkEnd w:id="250"/>
      <w:bookmarkEnd w:id="251"/>
      <w:bookmarkEnd w:id="252"/>
      <w:bookmarkEnd w:id="253"/>
      <w:bookmarkEnd w:id="254"/>
    </w:p>
    <w:p w14:paraId="4ADA4E10">
      <w:pPr>
        <w:pStyle w:val="5"/>
        <w:numPr>
          <w:ilvl w:val="2"/>
          <w:numId w:val="0"/>
        </w:numPr>
        <w:ind w:left="624" w:hanging="624"/>
        <w:rPr>
          <w:highlight w:val="none"/>
        </w:rPr>
      </w:pPr>
      <w:bookmarkStart w:id="255" w:name="_Toc14595"/>
      <w:r>
        <w:rPr>
          <w:rFonts w:hint="eastAsia"/>
          <w:highlight w:val="none"/>
        </w:rPr>
        <w:t>5.1.1总承包人应设置项目指挥长一职，项目指挥长由总承包人负责生产的公司副总经理（或以上）级别的人员担任，以保证有效调配、协调公司资源，满足项目在进度、质量、安全文明施工等方面的管理需要。</w:t>
      </w:r>
      <w:bookmarkEnd w:id="255"/>
    </w:p>
    <w:p w14:paraId="63247811">
      <w:pPr>
        <w:pStyle w:val="5"/>
        <w:numPr>
          <w:ilvl w:val="2"/>
          <w:numId w:val="0"/>
        </w:numPr>
        <w:ind w:left="624" w:hanging="624"/>
        <w:rPr>
          <w:highlight w:val="none"/>
        </w:rPr>
      </w:pPr>
      <w:bookmarkStart w:id="256" w:name="_Toc7315"/>
      <w:r>
        <w:rPr>
          <w:rFonts w:hint="eastAsia"/>
          <w:highlight w:val="none"/>
        </w:rPr>
        <w:t>5.1.2总承包人应根据发包人对项目组织架构的要求，配备项目管理人员。</w:t>
      </w:r>
      <w:bookmarkEnd w:id="256"/>
    </w:p>
    <w:p w14:paraId="1CCA970A">
      <w:pPr>
        <w:pStyle w:val="5"/>
        <w:numPr>
          <w:ilvl w:val="2"/>
          <w:numId w:val="0"/>
        </w:numPr>
        <w:ind w:left="624" w:hanging="624"/>
        <w:rPr>
          <w:highlight w:val="none"/>
        </w:rPr>
      </w:pPr>
      <w:bookmarkStart w:id="257" w:name="_Toc3063"/>
      <w:r>
        <w:rPr>
          <w:rFonts w:hint="eastAsia"/>
          <w:highlight w:val="none"/>
        </w:rPr>
        <w:t>5.1.3</w:t>
      </w:r>
      <w:r>
        <w:rPr>
          <w:highlight w:val="none"/>
        </w:rPr>
        <w:t>项目组织架构中的</w:t>
      </w:r>
      <w:r>
        <w:rPr>
          <w:rFonts w:hint="eastAsia"/>
          <w:highlight w:val="none"/>
        </w:rPr>
        <w:t>项目负责人、生产经理、技术负责人、造价人员、安全负责人、质量负责人、专职安全员为</w:t>
      </w:r>
      <w:r>
        <w:rPr>
          <w:highlight w:val="none"/>
        </w:rPr>
        <w:t>关键岗位。</w:t>
      </w:r>
      <w:bookmarkEnd w:id="257"/>
    </w:p>
    <w:p w14:paraId="6798F9E3">
      <w:pPr>
        <w:pStyle w:val="5"/>
        <w:numPr>
          <w:ilvl w:val="2"/>
          <w:numId w:val="0"/>
        </w:numPr>
        <w:ind w:left="624" w:hanging="624"/>
        <w:rPr>
          <w:highlight w:val="none"/>
        </w:rPr>
      </w:pPr>
      <w:bookmarkStart w:id="258" w:name="_Toc29634"/>
      <w:r>
        <w:rPr>
          <w:rFonts w:hint="eastAsia"/>
          <w:highlight w:val="none"/>
        </w:rPr>
        <w:t>5.1.4施工管理人员配置要求</w:t>
      </w:r>
      <w:bookmarkEnd w:id="258"/>
    </w:p>
    <w:p w14:paraId="1FF75990">
      <w:pPr>
        <w:ind w:firstLine="480"/>
        <w:rPr>
          <w:highlight w:val="none"/>
        </w:rPr>
      </w:pPr>
      <w:r>
        <w:rPr>
          <w:rFonts w:hint="eastAsia"/>
          <w:highlight w:val="none"/>
        </w:rPr>
        <w:t>承包人进场即成立项目管理部负责工程管理工作。其中，施工管理人员配备求见《施工管理主要人员配置要求》。</w:t>
      </w:r>
    </w:p>
    <w:p w14:paraId="10817672">
      <w:pPr>
        <w:pStyle w:val="13"/>
        <w:rPr>
          <w:highlight w:val="none"/>
        </w:rPr>
      </w:pPr>
      <w:r>
        <w:rPr>
          <w:highlight w:val="none"/>
        </w:rPr>
        <w:t>施工管理主要人员配置要求</w:t>
      </w:r>
    </w:p>
    <w:tbl>
      <w:tblPr>
        <w:tblStyle w:val="23"/>
        <w:tblpPr w:leftFromText="180" w:rightFromText="180" w:vertAnchor="text" w:horzAnchor="page" w:tblpX="1528" w:tblpY="305"/>
        <w:tblOverlap w:val="never"/>
        <w:tblW w:w="0" w:type="auto"/>
        <w:tblInd w:w="0" w:type="dxa"/>
        <w:tblLayout w:type="autofit"/>
        <w:tblCellMar>
          <w:top w:w="0" w:type="dxa"/>
          <w:left w:w="108" w:type="dxa"/>
          <w:bottom w:w="0" w:type="dxa"/>
          <w:right w:w="108" w:type="dxa"/>
        </w:tblCellMar>
      </w:tblPr>
      <w:tblGrid>
        <w:gridCol w:w="535"/>
        <w:gridCol w:w="1416"/>
        <w:gridCol w:w="507"/>
        <w:gridCol w:w="5786"/>
        <w:gridCol w:w="997"/>
      </w:tblGrid>
      <w:tr w14:paraId="58AB2BF4">
        <w:tblPrEx>
          <w:tblCellMar>
            <w:top w:w="0" w:type="dxa"/>
            <w:left w:w="108" w:type="dxa"/>
            <w:bottom w:w="0" w:type="dxa"/>
            <w:right w:w="108" w:type="dxa"/>
          </w:tblCellMar>
        </w:tblPrEx>
        <w:trPr>
          <w:trHeight w:val="315"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6E5DB72B">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b/>
                <w:bCs/>
                <w:snapToGrid w:val="0"/>
                <w:color w:val="auto"/>
                <w:kern w:val="0"/>
                <w:sz w:val="24"/>
                <w:highlight w:val="none"/>
                <w:lang w:eastAsia="en-US"/>
              </w:rPr>
            </w:pPr>
            <w:r>
              <w:rPr>
                <w:highlight w:val="none"/>
              </w:rPr>
              <w:t xml:space="preserve">  </w:t>
            </w:r>
            <w:r>
              <w:rPr>
                <w:rFonts w:hint="eastAsia" w:ascii="宋体" w:hAnsi="宋体" w:eastAsia="宋体" w:cs="宋体"/>
                <w:b/>
                <w:bCs/>
                <w:snapToGrid w:val="0"/>
                <w:color w:val="auto"/>
                <w:kern w:val="0"/>
                <w:sz w:val="24"/>
                <w:highlight w:val="none"/>
                <w:lang w:bidi="ar"/>
              </w:rPr>
              <w:t>序号</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230048B1">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b/>
                <w:bCs/>
                <w:snapToGrid w:val="0"/>
                <w:color w:val="auto"/>
                <w:kern w:val="0"/>
                <w:sz w:val="24"/>
                <w:highlight w:val="none"/>
                <w:lang w:eastAsia="en-US"/>
              </w:rPr>
            </w:pPr>
            <w:r>
              <w:rPr>
                <w:rFonts w:hint="eastAsia" w:ascii="宋体" w:hAnsi="宋体" w:eastAsia="宋体" w:cs="宋体"/>
                <w:b/>
                <w:bCs/>
                <w:snapToGrid w:val="0"/>
                <w:color w:val="auto"/>
                <w:kern w:val="0"/>
                <w:sz w:val="24"/>
                <w:highlight w:val="none"/>
                <w:lang w:bidi="ar"/>
              </w:rPr>
              <w:t>职务</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631D7A63">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b/>
                <w:bCs/>
                <w:snapToGrid w:val="0"/>
                <w:color w:val="auto"/>
                <w:kern w:val="0"/>
                <w:sz w:val="24"/>
                <w:highlight w:val="none"/>
                <w:lang w:eastAsia="en-US"/>
              </w:rPr>
            </w:pPr>
            <w:r>
              <w:rPr>
                <w:rFonts w:hint="eastAsia" w:ascii="宋体" w:hAnsi="宋体" w:eastAsia="宋体" w:cs="宋体"/>
                <w:b/>
                <w:bCs/>
                <w:snapToGrid w:val="0"/>
                <w:color w:val="auto"/>
                <w:kern w:val="0"/>
                <w:sz w:val="24"/>
                <w:highlight w:val="none"/>
                <w:lang w:bidi="ar"/>
              </w:rPr>
              <w:t>人数</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1AD3047A">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b/>
                <w:bCs/>
                <w:snapToGrid w:val="0"/>
                <w:color w:val="auto"/>
                <w:kern w:val="0"/>
                <w:sz w:val="24"/>
                <w:highlight w:val="none"/>
                <w:lang w:eastAsia="en-US"/>
              </w:rPr>
            </w:pPr>
            <w:r>
              <w:rPr>
                <w:rFonts w:hint="eastAsia" w:ascii="宋体" w:hAnsi="宋体" w:eastAsia="宋体" w:cs="宋体"/>
                <w:b/>
                <w:bCs/>
                <w:snapToGrid w:val="0"/>
                <w:color w:val="auto"/>
                <w:kern w:val="0"/>
                <w:sz w:val="24"/>
                <w:highlight w:val="none"/>
                <w:lang w:bidi="ar"/>
              </w:rPr>
              <w:t>基本任职条件</w:t>
            </w:r>
          </w:p>
        </w:tc>
        <w:tc>
          <w:tcPr>
            <w:tcW w:w="539" w:type="pct"/>
            <w:tcBorders>
              <w:top w:val="single" w:color="000000" w:sz="4" w:space="0"/>
              <w:left w:val="single" w:color="000000" w:sz="4" w:space="0"/>
              <w:bottom w:val="single" w:color="000000" w:sz="4" w:space="0"/>
              <w:right w:val="single" w:color="auto" w:sz="4" w:space="0"/>
            </w:tcBorders>
            <w:noWrap w:val="0"/>
            <w:vAlign w:val="center"/>
          </w:tcPr>
          <w:p w14:paraId="46097F12">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b/>
                <w:bCs/>
                <w:snapToGrid w:val="0"/>
                <w:color w:val="auto"/>
                <w:kern w:val="0"/>
                <w:sz w:val="24"/>
                <w:highlight w:val="none"/>
                <w:lang w:bidi="ar"/>
              </w:rPr>
            </w:pPr>
            <w:r>
              <w:rPr>
                <w:rFonts w:hint="eastAsia" w:ascii="宋体" w:hAnsi="宋体" w:eastAsia="宋体" w:cs="宋体"/>
                <w:b/>
                <w:bCs/>
                <w:snapToGrid w:val="0"/>
                <w:color w:val="auto"/>
                <w:kern w:val="0"/>
                <w:sz w:val="24"/>
                <w:highlight w:val="none"/>
                <w:lang w:bidi="ar"/>
              </w:rPr>
              <w:t>备注</w:t>
            </w:r>
          </w:p>
        </w:tc>
      </w:tr>
      <w:tr w14:paraId="2AEDD761">
        <w:tblPrEx>
          <w:tblCellMar>
            <w:top w:w="0" w:type="dxa"/>
            <w:left w:w="108" w:type="dxa"/>
            <w:bottom w:w="0" w:type="dxa"/>
            <w:right w:w="108" w:type="dxa"/>
          </w:tblCellMar>
        </w:tblPrEx>
        <w:trPr>
          <w:trHeight w:val="51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30DD8F28">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1</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1F3C859A">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指挥长</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5C4CE8CD">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24122DAF">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应由施工方现任单位领导班子副职或以上级别的领导担任，且应已任该职务满半年或以上。</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C6F8EE0">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不要求驻场</w:t>
            </w:r>
          </w:p>
        </w:tc>
      </w:tr>
      <w:tr w14:paraId="1F22F704">
        <w:tblPrEx>
          <w:tblCellMar>
            <w:top w:w="0" w:type="dxa"/>
            <w:left w:w="108" w:type="dxa"/>
            <w:bottom w:w="0" w:type="dxa"/>
            <w:right w:w="108" w:type="dxa"/>
          </w:tblCellMar>
        </w:tblPrEx>
        <w:trPr>
          <w:trHeight w:val="315"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209040FD">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2</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098E347D">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项目负责人</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3436AE17">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5A3D8652">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（按招标公告要求）</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C0243BE">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lang w:eastAsia="en-US"/>
              </w:rPr>
            </w:pPr>
            <w:r>
              <w:rPr>
                <w:rFonts w:hint="eastAsia" w:ascii="宋体" w:hAnsi="宋体" w:eastAsia="宋体" w:cs="宋体"/>
                <w:color w:val="auto"/>
                <w:sz w:val="24"/>
                <w:highlight w:val="none"/>
              </w:rPr>
              <w:t>关键岗位</w:t>
            </w:r>
          </w:p>
        </w:tc>
      </w:tr>
      <w:tr w14:paraId="62FFF1BA">
        <w:tblPrEx>
          <w:tblCellMar>
            <w:top w:w="0" w:type="dxa"/>
            <w:left w:w="108" w:type="dxa"/>
            <w:bottom w:w="0" w:type="dxa"/>
            <w:right w:w="108" w:type="dxa"/>
          </w:tblCellMar>
        </w:tblPrEx>
        <w:trPr>
          <w:trHeight w:val="315"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101BE010">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3</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7407FC4C">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项目生产经理</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438F6DB7">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5C791962">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具备建筑工程类相关专业中级或以上技术职称，具有</w:t>
            </w:r>
            <w:r>
              <w:rPr>
                <w:rFonts w:hint="eastAsia" w:ascii="宋体" w:hAnsi="宋体" w:eastAsia="宋体" w:cs="宋体"/>
                <w:snapToGrid w:val="0"/>
                <w:color w:val="auto"/>
                <w:kern w:val="0"/>
                <w:sz w:val="24"/>
                <w:highlight w:val="none"/>
                <w:lang w:eastAsia="zh-CN" w:bidi="ar"/>
              </w:rPr>
              <w:t>工作经历</w:t>
            </w:r>
            <w:r>
              <w:rPr>
                <w:rFonts w:hint="eastAsia" w:ascii="宋体" w:hAnsi="宋体" w:eastAsia="宋体" w:cs="宋体"/>
                <w:snapToGrid w:val="0"/>
                <w:color w:val="auto"/>
                <w:kern w:val="0"/>
                <w:sz w:val="24"/>
                <w:highlight w:val="none"/>
                <w:lang w:bidi="ar"/>
              </w:rPr>
              <w:t>8年或以上。</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1CC71DC">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关键岗位</w:t>
            </w:r>
          </w:p>
        </w:tc>
      </w:tr>
      <w:tr w14:paraId="1D7C920E">
        <w:tblPrEx>
          <w:tblCellMar>
            <w:top w:w="0" w:type="dxa"/>
            <w:left w:w="108" w:type="dxa"/>
            <w:bottom w:w="0" w:type="dxa"/>
            <w:right w:w="108" w:type="dxa"/>
          </w:tblCellMar>
        </w:tblPrEx>
        <w:trPr>
          <w:trHeight w:val="51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0E477F05">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4</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6061945C">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技术负责人</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4FA18BB5">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7191563F">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按招标公告要求</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0F4BDAFF">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关键岗位</w:t>
            </w:r>
          </w:p>
        </w:tc>
      </w:tr>
      <w:tr w14:paraId="54F314BD">
        <w:tblPrEx>
          <w:tblCellMar>
            <w:top w:w="0" w:type="dxa"/>
            <w:left w:w="108" w:type="dxa"/>
            <w:bottom w:w="0" w:type="dxa"/>
            <w:right w:w="108" w:type="dxa"/>
          </w:tblCellMar>
        </w:tblPrEx>
        <w:trPr>
          <w:trHeight w:val="51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4BBB8FD7">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5</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10F0801B">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技术工程师</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100F4BBC">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559357EC">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建筑工程类相关专业中级或以上技术职称。</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6FFAC649">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要求深化设计专职负责</w:t>
            </w:r>
          </w:p>
        </w:tc>
      </w:tr>
      <w:tr w14:paraId="0A007AFE">
        <w:tblPrEx>
          <w:tblCellMar>
            <w:top w:w="0" w:type="dxa"/>
            <w:left w:w="108" w:type="dxa"/>
            <w:bottom w:w="0" w:type="dxa"/>
            <w:right w:w="108" w:type="dxa"/>
          </w:tblCellMar>
        </w:tblPrEx>
        <w:trPr>
          <w:trHeight w:val="102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2545D77D">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6</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7A86BD36">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安全负责人</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550410A7">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6A76EF56">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具有建筑工程类相关专业中级或以上技术职称，具有在有效期内的安全生产考核合格证(A类)或建筑施工企业主要负责人安全生产考核合格证书或安全生产考核合格证(B类)或建筑施工企业项目负责人安全生产考核合格证书或安全生产考核合格证(C类)或建筑施工企业专职安全生产管理人员安全生产考核合格证书(C3)，具有</w:t>
            </w:r>
            <w:r>
              <w:rPr>
                <w:rFonts w:hint="eastAsia" w:ascii="宋体" w:hAnsi="宋体" w:eastAsia="宋体" w:cs="宋体"/>
                <w:snapToGrid w:val="0"/>
                <w:color w:val="auto"/>
                <w:kern w:val="0"/>
                <w:sz w:val="24"/>
                <w:highlight w:val="none"/>
                <w:lang w:eastAsia="zh-CN" w:bidi="ar"/>
              </w:rPr>
              <w:t>工作经历</w:t>
            </w:r>
            <w:r>
              <w:rPr>
                <w:rFonts w:hint="eastAsia" w:ascii="宋体" w:hAnsi="宋体" w:eastAsia="宋体" w:cs="宋体"/>
                <w:snapToGrid w:val="0"/>
                <w:color w:val="auto"/>
                <w:kern w:val="0"/>
                <w:sz w:val="24"/>
                <w:highlight w:val="none"/>
                <w:lang w:bidi="ar"/>
              </w:rPr>
              <w:t>5年或以上。</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51DDE5C6">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lang w:eastAsia="en-US"/>
              </w:rPr>
            </w:pPr>
            <w:r>
              <w:rPr>
                <w:rFonts w:hint="eastAsia" w:ascii="宋体" w:hAnsi="宋体" w:eastAsia="宋体" w:cs="宋体"/>
                <w:color w:val="auto"/>
                <w:sz w:val="24"/>
                <w:highlight w:val="none"/>
              </w:rPr>
              <w:t>关键岗位</w:t>
            </w:r>
          </w:p>
        </w:tc>
      </w:tr>
      <w:tr w14:paraId="00C9AEE2">
        <w:tblPrEx>
          <w:tblCellMar>
            <w:top w:w="0" w:type="dxa"/>
            <w:left w:w="108" w:type="dxa"/>
            <w:bottom w:w="0" w:type="dxa"/>
            <w:right w:w="108" w:type="dxa"/>
          </w:tblCellMar>
        </w:tblPrEx>
        <w:trPr>
          <w:trHeight w:val="102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1BB10E8F">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val="en-US" w:eastAsia="zh-CN" w:bidi="ar"/>
              </w:rPr>
            </w:pPr>
            <w:r>
              <w:rPr>
                <w:rFonts w:hint="eastAsia" w:ascii="宋体" w:hAnsi="宋体" w:eastAsia="宋体" w:cs="宋体"/>
                <w:snapToGrid w:val="0"/>
                <w:color w:val="auto"/>
                <w:kern w:val="0"/>
                <w:sz w:val="24"/>
                <w:highlight w:val="none"/>
                <w:lang w:val="en-US" w:eastAsia="zh-CN" w:bidi="ar"/>
              </w:rPr>
              <w:t>7</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70EB51F1">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zh-CN" w:bidi="ar"/>
              </w:rPr>
            </w:pPr>
            <w:r>
              <w:rPr>
                <w:rFonts w:hint="eastAsia" w:ascii="宋体" w:hAnsi="宋体" w:eastAsia="宋体" w:cs="宋体"/>
                <w:snapToGrid w:val="0"/>
                <w:color w:val="auto"/>
                <w:kern w:val="0"/>
                <w:sz w:val="24"/>
                <w:highlight w:val="none"/>
                <w:lang w:eastAsia="zh-CN" w:bidi="ar"/>
              </w:rPr>
              <w:t>质量</w:t>
            </w:r>
            <w:r>
              <w:rPr>
                <w:rFonts w:hint="eastAsia" w:ascii="宋体" w:hAnsi="宋体" w:eastAsia="宋体" w:cs="宋体"/>
                <w:snapToGrid w:val="0"/>
                <w:color w:val="auto"/>
                <w:kern w:val="0"/>
                <w:sz w:val="24"/>
                <w:highlight w:val="none"/>
                <w:lang w:bidi="ar"/>
              </w:rPr>
              <w:t>负责人</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3C188547">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bidi="ar"/>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24793C44">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bidi="ar"/>
              </w:rPr>
            </w:pPr>
            <w:r>
              <w:rPr>
                <w:rFonts w:hint="eastAsia" w:ascii="宋体" w:hAnsi="宋体" w:eastAsia="宋体" w:cs="宋体"/>
                <w:snapToGrid w:val="0"/>
                <w:color w:val="auto"/>
                <w:kern w:val="0"/>
                <w:sz w:val="24"/>
                <w:highlight w:val="none"/>
                <w:lang w:bidi="ar"/>
              </w:rPr>
              <w:t>具有建筑工程类相关专业中级或以上技术职称，具有</w:t>
            </w:r>
            <w:r>
              <w:rPr>
                <w:rFonts w:hint="eastAsia" w:ascii="宋体" w:hAnsi="宋体" w:eastAsia="宋体" w:cs="宋体"/>
                <w:snapToGrid w:val="0"/>
                <w:color w:val="auto"/>
                <w:kern w:val="0"/>
                <w:sz w:val="24"/>
                <w:highlight w:val="none"/>
                <w:lang w:eastAsia="zh-CN" w:bidi="ar"/>
              </w:rPr>
              <w:t>工作经历</w:t>
            </w:r>
            <w:r>
              <w:rPr>
                <w:rFonts w:hint="eastAsia" w:ascii="宋体" w:hAnsi="宋体" w:eastAsia="宋体" w:cs="宋体"/>
                <w:snapToGrid w:val="0"/>
                <w:color w:val="auto"/>
                <w:kern w:val="0"/>
                <w:sz w:val="24"/>
                <w:highlight w:val="none"/>
                <w:lang w:bidi="ar"/>
              </w:rPr>
              <w:t>5年或以上。</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C492068">
            <w:pPr>
              <w:widowControl/>
              <w:kinsoku w:val="0"/>
              <w:autoSpaceDE w:val="0"/>
              <w:autoSpaceDN w:val="0"/>
              <w:adjustRightInd w:val="0"/>
              <w:spacing w:line="240" w:lineRule="auto"/>
              <w:ind w:firstLine="0" w:firstLineChars="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关键岗位</w:t>
            </w:r>
          </w:p>
        </w:tc>
      </w:tr>
      <w:tr w14:paraId="356D01FA">
        <w:tblPrEx>
          <w:tblCellMar>
            <w:top w:w="0" w:type="dxa"/>
            <w:left w:w="108" w:type="dxa"/>
            <w:bottom w:w="0" w:type="dxa"/>
            <w:right w:w="108" w:type="dxa"/>
          </w:tblCellMar>
        </w:tblPrEx>
        <w:trPr>
          <w:trHeight w:val="102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48A558E4">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val="en-US" w:eastAsia="zh-CN" w:bidi="ar"/>
              </w:rPr>
            </w:pPr>
            <w:r>
              <w:rPr>
                <w:rFonts w:hint="eastAsia" w:ascii="宋体" w:hAnsi="宋体" w:eastAsia="宋体" w:cs="宋体"/>
                <w:snapToGrid w:val="0"/>
                <w:color w:val="auto"/>
                <w:kern w:val="0"/>
                <w:sz w:val="24"/>
                <w:highlight w:val="none"/>
                <w:lang w:val="en-US" w:eastAsia="zh-CN" w:bidi="ar"/>
              </w:rPr>
              <w:t>8</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4BF4A532">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val="en-US" w:eastAsia="zh-CN" w:bidi="ar"/>
              </w:rPr>
            </w:pPr>
            <w:r>
              <w:rPr>
                <w:rFonts w:hint="eastAsia" w:ascii="宋体" w:hAnsi="宋体" w:eastAsia="宋体" w:cs="宋体"/>
                <w:snapToGrid w:val="0"/>
                <w:color w:val="auto"/>
                <w:kern w:val="0"/>
                <w:sz w:val="24"/>
                <w:highlight w:val="none"/>
                <w:lang w:val="en-US" w:eastAsia="zh-CN" w:bidi="ar"/>
              </w:rPr>
              <w:t>专职安全员</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5CBE8CCF">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val="en-US" w:eastAsia="zh-CN" w:bidi="ar"/>
              </w:rPr>
            </w:pPr>
            <w:r>
              <w:rPr>
                <w:rFonts w:hint="eastAsia" w:ascii="宋体" w:hAnsi="宋体" w:eastAsia="宋体" w:cs="宋体"/>
                <w:snapToGrid w:val="0"/>
                <w:color w:val="auto"/>
                <w:kern w:val="0"/>
                <w:sz w:val="24"/>
                <w:highlight w:val="none"/>
                <w:lang w:val="en-US" w:eastAsia="zh-CN"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71E2DE0B">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val="en-US" w:bidi="ar"/>
              </w:rPr>
            </w:pPr>
            <w:r>
              <w:rPr>
                <w:rFonts w:hint="eastAsia" w:ascii="宋体" w:hAnsi="宋体" w:eastAsia="宋体" w:cs="宋体"/>
                <w:snapToGrid w:val="0"/>
                <w:color w:val="auto"/>
                <w:kern w:val="0"/>
                <w:sz w:val="24"/>
                <w:highlight w:val="none"/>
                <w:lang w:bidi="ar"/>
              </w:rPr>
              <w:t>按招标公告要求</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01EE2741">
            <w:pPr>
              <w:widowControl/>
              <w:kinsoku w:val="0"/>
              <w:autoSpaceDE w:val="0"/>
              <w:autoSpaceDN w:val="0"/>
              <w:adjustRightInd w:val="0"/>
              <w:spacing w:line="240" w:lineRule="auto"/>
              <w:ind w:firstLine="0" w:firstLineChars="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关键岗位</w:t>
            </w:r>
          </w:p>
        </w:tc>
      </w:tr>
      <w:tr w14:paraId="0287E6E4">
        <w:tblPrEx>
          <w:tblCellMar>
            <w:top w:w="0" w:type="dxa"/>
            <w:left w:w="108" w:type="dxa"/>
            <w:bottom w:w="0" w:type="dxa"/>
            <w:right w:w="108" w:type="dxa"/>
          </w:tblCellMar>
        </w:tblPrEx>
        <w:trPr>
          <w:trHeight w:val="51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3D09DDD6">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zh-CN"/>
              </w:rPr>
            </w:pPr>
            <w:r>
              <w:rPr>
                <w:rFonts w:hint="eastAsia" w:ascii="宋体" w:hAnsi="宋体" w:eastAsia="宋体" w:cs="宋体"/>
                <w:snapToGrid w:val="0"/>
                <w:color w:val="auto"/>
                <w:kern w:val="0"/>
                <w:sz w:val="24"/>
                <w:highlight w:val="none"/>
                <w:lang w:val="en-US" w:eastAsia="zh-CN" w:bidi="ar"/>
              </w:rPr>
              <w:t>9</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780DE8E7">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zh-CN"/>
              </w:rPr>
            </w:pPr>
            <w:r>
              <w:rPr>
                <w:rFonts w:hint="eastAsia" w:ascii="宋体" w:hAnsi="宋体" w:eastAsia="宋体" w:cs="宋体"/>
                <w:snapToGrid w:val="0"/>
                <w:color w:val="auto"/>
                <w:kern w:val="0"/>
                <w:sz w:val="24"/>
                <w:highlight w:val="none"/>
                <w:lang w:bidi="ar"/>
              </w:rPr>
              <w:t>造价人</w:t>
            </w:r>
            <w:r>
              <w:rPr>
                <w:rFonts w:hint="eastAsia" w:ascii="宋体" w:hAnsi="宋体" w:eastAsia="宋体" w:cs="宋体"/>
                <w:snapToGrid w:val="0"/>
                <w:color w:val="auto"/>
                <w:kern w:val="0"/>
                <w:sz w:val="24"/>
                <w:highlight w:val="none"/>
                <w:lang w:eastAsia="zh-CN" w:bidi="ar"/>
              </w:rPr>
              <w:t>员</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003608E5">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47898537">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具备一级注册造价工程师</w:t>
            </w:r>
            <w:r>
              <w:rPr>
                <w:rFonts w:hint="eastAsia" w:cs="宋体"/>
                <w:snapToGrid w:val="0"/>
                <w:color w:val="auto"/>
                <w:kern w:val="0"/>
                <w:sz w:val="24"/>
                <w:highlight w:val="none"/>
                <w:lang w:val="en-US" w:eastAsia="zh-CN" w:bidi="ar"/>
              </w:rPr>
              <w:t>注册证书</w:t>
            </w:r>
            <w:r>
              <w:rPr>
                <w:rFonts w:hint="eastAsia" w:ascii="宋体" w:hAnsi="宋体" w:eastAsia="宋体" w:cs="宋体"/>
                <w:snapToGrid w:val="0"/>
                <w:color w:val="auto"/>
                <w:kern w:val="0"/>
                <w:sz w:val="24"/>
                <w:highlight w:val="none"/>
                <w:lang w:bidi="ar"/>
              </w:rPr>
              <w:t>或建筑工程类相关专业(含造价类专业)工程师或以上技术职称，具有</w:t>
            </w:r>
            <w:r>
              <w:rPr>
                <w:rFonts w:hint="eastAsia" w:ascii="宋体" w:hAnsi="宋体" w:eastAsia="宋体" w:cs="宋体"/>
                <w:snapToGrid w:val="0"/>
                <w:color w:val="auto"/>
                <w:kern w:val="0"/>
                <w:sz w:val="24"/>
                <w:highlight w:val="none"/>
                <w:lang w:eastAsia="zh-CN" w:bidi="ar"/>
              </w:rPr>
              <w:t>工作经历</w:t>
            </w:r>
            <w:r>
              <w:rPr>
                <w:rFonts w:hint="eastAsia" w:ascii="宋体" w:hAnsi="宋体" w:eastAsia="宋体" w:cs="宋体"/>
                <w:snapToGrid w:val="0"/>
                <w:color w:val="auto"/>
                <w:kern w:val="0"/>
                <w:sz w:val="24"/>
                <w:highlight w:val="none"/>
                <w:lang w:bidi="ar"/>
              </w:rPr>
              <w:t>5年或以上。</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59FD0611">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关键岗位</w:t>
            </w:r>
          </w:p>
        </w:tc>
      </w:tr>
      <w:tr w14:paraId="027D22C8">
        <w:tblPrEx>
          <w:tblCellMar>
            <w:top w:w="0" w:type="dxa"/>
            <w:left w:w="108" w:type="dxa"/>
            <w:bottom w:w="0" w:type="dxa"/>
            <w:right w:w="108" w:type="dxa"/>
          </w:tblCellMar>
        </w:tblPrEx>
        <w:trPr>
          <w:trHeight w:val="51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1E0E1121">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bidi="ar"/>
              </w:rPr>
              <w:t>10</w:t>
            </w: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710B3D0F">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bidi="ar"/>
              </w:rPr>
              <w:t>土建工程师</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5F159A88">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3</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119EED4A">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所学专业或职称为土建类相关专业，具有</w:t>
            </w:r>
            <w:r>
              <w:rPr>
                <w:rFonts w:hint="eastAsia" w:ascii="宋体" w:hAnsi="宋体" w:eastAsia="宋体" w:cs="宋体"/>
                <w:snapToGrid w:val="0"/>
                <w:color w:val="auto"/>
                <w:kern w:val="0"/>
                <w:sz w:val="24"/>
                <w:highlight w:val="none"/>
                <w:lang w:eastAsia="zh-CN" w:bidi="ar"/>
              </w:rPr>
              <w:t>工作经历</w:t>
            </w:r>
            <w:r>
              <w:rPr>
                <w:rFonts w:hint="eastAsia" w:ascii="宋体" w:hAnsi="宋体" w:eastAsia="宋体" w:cs="宋体"/>
                <w:snapToGrid w:val="0"/>
                <w:color w:val="auto"/>
                <w:kern w:val="0"/>
                <w:sz w:val="24"/>
                <w:highlight w:val="none"/>
                <w:lang w:bidi="ar"/>
              </w:rPr>
              <w:t>5年或以上。</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52CA6152">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rPr>
            </w:pPr>
          </w:p>
        </w:tc>
      </w:tr>
      <w:tr w14:paraId="2400B14D">
        <w:tblPrEx>
          <w:tblCellMar>
            <w:top w:w="0" w:type="dxa"/>
            <w:left w:w="108" w:type="dxa"/>
            <w:bottom w:w="0" w:type="dxa"/>
            <w:right w:w="108" w:type="dxa"/>
          </w:tblCellMar>
        </w:tblPrEx>
        <w:trPr>
          <w:trHeight w:val="510"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4B74DF60">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bidi="ar"/>
              </w:rPr>
              <w:t>11</w:t>
            </w:r>
          </w:p>
        </w:tc>
        <w:tc>
          <w:tcPr>
            <w:tcW w:w="766" w:type="pct"/>
            <w:tcBorders>
              <w:top w:val="single" w:color="000000" w:sz="4" w:space="0"/>
              <w:left w:val="single" w:color="000000" w:sz="4" w:space="0"/>
              <w:right w:val="single" w:color="000000" w:sz="4" w:space="0"/>
            </w:tcBorders>
            <w:noWrap w:val="0"/>
            <w:vAlign w:val="center"/>
          </w:tcPr>
          <w:p w14:paraId="54456509">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机电工程师（通风空调及给排水</w:t>
            </w:r>
            <w:r>
              <w:rPr>
                <w:rFonts w:hint="eastAsia" w:ascii="宋体" w:hAnsi="宋体" w:eastAsia="宋体" w:cs="宋体"/>
                <w:snapToGrid w:val="0"/>
                <w:color w:val="auto"/>
                <w:kern w:val="0"/>
                <w:sz w:val="24"/>
                <w:highlight w:val="none"/>
                <w:lang w:eastAsia="zh-CN"/>
              </w:rPr>
              <w:t>、弱电</w:t>
            </w:r>
            <w:r>
              <w:rPr>
                <w:rFonts w:hint="eastAsia" w:ascii="宋体" w:hAnsi="宋体" w:eastAsia="宋体" w:cs="宋体"/>
                <w:snapToGrid w:val="0"/>
                <w:color w:val="auto"/>
                <w:kern w:val="0"/>
                <w:sz w:val="24"/>
                <w:highlight w:val="none"/>
              </w:rPr>
              <w:t>）</w:t>
            </w:r>
          </w:p>
        </w:tc>
        <w:tc>
          <w:tcPr>
            <w:tcW w:w="274" w:type="pct"/>
            <w:tcBorders>
              <w:top w:val="single" w:color="000000" w:sz="4" w:space="0"/>
              <w:left w:val="single" w:color="000000" w:sz="4" w:space="0"/>
              <w:right w:val="single" w:color="000000" w:sz="4" w:space="0"/>
            </w:tcBorders>
            <w:noWrap w:val="0"/>
            <w:vAlign w:val="center"/>
          </w:tcPr>
          <w:p w14:paraId="1DECC925">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1</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1060EAF7">
            <w:pPr>
              <w:widowControl/>
              <w:kinsoku w:val="0"/>
              <w:autoSpaceDE w:val="0"/>
              <w:autoSpaceDN w:val="0"/>
              <w:adjustRightInd w:val="0"/>
              <w:spacing w:line="240" w:lineRule="auto"/>
              <w:ind w:firstLine="0" w:firstLineChars="0"/>
              <w:jc w:val="left"/>
              <w:textAlignment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bidi="ar"/>
              </w:rPr>
              <w:t>具备工程类相关专业大学专科(或以上)学历，具有</w:t>
            </w:r>
            <w:r>
              <w:rPr>
                <w:rFonts w:hint="eastAsia" w:ascii="宋体" w:hAnsi="宋体" w:eastAsia="宋体" w:cs="宋体"/>
                <w:snapToGrid w:val="0"/>
                <w:color w:val="auto"/>
                <w:kern w:val="0"/>
                <w:sz w:val="24"/>
                <w:highlight w:val="none"/>
                <w:lang w:eastAsia="zh-CN" w:bidi="ar"/>
              </w:rPr>
              <w:t>工作经历</w:t>
            </w:r>
            <w:r>
              <w:rPr>
                <w:rFonts w:hint="eastAsia" w:ascii="宋体" w:hAnsi="宋体" w:eastAsia="宋体" w:cs="宋体"/>
                <w:snapToGrid w:val="0"/>
                <w:color w:val="auto"/>
                <w:kern w:val="0"/>
                <w:sz w:val="24"/>
                <w:highlight w:val="none"/>
                <w:lang w:bidi="ar"/>
              </w:rPr>
              <w:t>5年或以上。</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55255587">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rPr>
            </w:pPr>
          </w:p>
        </w:tc>
      </w:tr>
      <w:tr w14:paraId="0B580CAE">
        <w:tblPrEx>
          <w:tblCellMar>
            <w:top w:w="0" w:type="dxa"/>
            <w:left w:w="108" w:type="dxa"/>
            <w:bottom w:w="0" w:type="dxa"/>
            <w:right w:w="108" w:type="dxa"/>
          </w:tblCellMar>
        </w:tblPrEx>
        <w:trPr>
          <w:trHeight w:val="315" w:hRule="atLeast"/>
        </w:trPr>
        <w:tc>
          <w:tcPr>
            <w:tcW w:w="290" w:type="pct"/>
            <w:tcBorders>
              <w:top w:val="single" w:color="000000" w:sz="4" w:space="0"/>
              <w:left w:val="single" w:color="000000" w:sz="4" w:space="0"/>
              <w:bottom w:val="single" w:color="000000" w:sz="4" w:space="0"/>
              <w:right w:val="single" w:color="000000" w:sz="4" w:space="0"/>
            </w:tcBorders>
            <w:noWrap w:val="0"/>
            <w:vAlign w:val="center"/>
          </w:tcPr>
          <w:p w14:paraId="050510E3">
            <w:pPr>
              <w:widowControl/>
              <w:kinsoku w:val="0"/>
              <w:autoSpaceDE w:val="0"/>
              <w:autoSpaceDN w:val="0"/>
              <w:adjustRightInd w:val="0"/>
              <w:spacing w:line="240" w:lineRule="auto"/>
              <w:ind w:firstLine="0" w:firstLineChars="0"/>
              <w:textAlignment w:val="baseline"/>
              <w:rPr>
                <w:rFonts w:hint="eastAsia" w:ascii="宋体" w:hAnsi="宋体" w:eastAsia="宋体" w:cs="宋体"/>
                <w:snapToGrid w:val="0"/>
                <w:color w:val="auto"/>
                <w:kern w:val="0"/>
                <w:sz w:val="24"/>
                <w:highlight w:val="none"/>
              </w:rPr>
            </w:pPr>
          </w:p>
        </w:tc>
        <w:tc>
          <w:tcPr>
            <w:tcW w:w="766" w:type="pct"/>
            <w:tcBorders>
              <w:top w:val="single" w:color="000000" w:sz="4" w:space="0"/>
              <w:left w:val="single" w:color="000000" w:sz="4" w:space="0"/>
              <w:bottom w:val="single" w:color="000000" w:sz="4" w:space="0"/>
              <w:right w:val="single" w:color="000000" w:sz="4" w:space="0"/>
            </w:tcBorders>
            <w:noWrap w:val="0"/>
            <w:vAlign w:val="center"/>
          </w:tcPr>
          <w:p w14:paraId="7C4A267A">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val="en-US" w:eastAsia="en-US" w:bidi="ar-SA"/>
              </w:rPr>
            </w:pPr>
            <w:r>
              <w:rPr>
                <w:rFonts w:hint="eastAsia" w:ascii="宋体" w:hAnsi="宋体" w:eastAsia="宋体" w:cs="宋体"/>
                <w:snapToGrid w:val="0"/>
                <w:color w:val="auto"/>
                <w:kern w:val="0"/>
                <w:sz w:val="24"/>
                <w:highlight w:val="none"/>
                <w:lang w:bidi="ar"/>
              </w:rPr>
              <w:t>小计</w:t>
            </w:r>
          </w:p>
        </w:tc>
        <w:tc>
          <w:tcPr>
            <w:tcW w:w="274" w:type="pct"/>
            <w:tcBorders>
              <w:top w:val="single" w:color="000000" w:sz="4" w:space="0"/>
              <w:left w:val="single" w:color="000000" w:sz="4" w:space="0"/>
              <w:bottom w:val="single" w:color="000000" w:sz="4" w:space="0"/>
              <w:right w:val="single" w:color="000000" w:sz="4" w:space="0"/>
            </w:tcBorders>
            <w:noWrap w:val="0"/>
            <w:vAlign w:val="center"/>
          </w:tcPr>
          <w:p w14:paraId="6D5DD506">
            <w:pPr>
              <w:widowControl/>
              <w:kinsoku w:val="0"/>
              <w:autoSpaceDE w:val="0"/>
              <w:autoSpaceDN w:val="0"/>
              <w:adjustRightInd w:val="0"/>
              <w:spacing w:line="240" w:lineRule="auto"/>
              <w:ind w:firstLine="0" w:firstLineChars="0"/>
              <w:jc w:val="center"/>
              <w:textAlignment w:val="center"/>
              <w:rPr>
                <w:rFonts w:hint="eastAsia" w:ascii="宋体" w:hAnsi="宋体" w:eastAsia="宋体" w:cs="宋体"/>
                <w:snapToGrid w:val="0"/>
                <w:color w:val="auto"/>
                <w:kern w:val="0"/>
                <w:sz w:val="24"/>
                <w:highlight w:val="none"/>
                <w:lang w:val="en-US" w:eastAsia="zh-CN" w:bidi="ar-SA"/>
              </w:rPr>
            </w:pPr>
            <w:r>
              <w:rPr>
                <w:rFonts w:hint="eastAsia" w:ascii="宋体" w:hAnsi="宋体" w:eastAsia="宋体" w:cs="宋体"/>
                <w:snapToGrid w:val="0"/>
                <w:color w:val="auto"/>
                <w:kern w:val="0"/>
                <w:sz w:val="24"/>
                <w:highlight w:val="none"/>
                <w:lang w:val="en-US" w:eastAsia="zh-CN"/>
              </w:rPr>
              <w:t>14</w:t>
            </w:r>
          </w:p>
        </w:tc>
        <w:tc>
          <w:tcPr>
            <w:tcW w:w="3129" w:type="pct"/>
            <w:tcBorders>
              <w:top w:val="single" w:color="000000" w:sz="4" w:space="0"/>
              <w:left w:val="single" w:color="000000" w:sz="4" w:space="0"/>
              <w:bottom w:val="single" w:color="000000" w:sz="4" w:space="0"/>
              <w:right w:val="single" w:color="000000" w:sz="4" w:space="0"/>
            </w:tcBorders>
            <w:noWrap w:val="0"/>
            <w:vAlign w:val="center"/>
          </w:tcPr>
          <w:p w14:paraId="7F62A6C2">
            <w:pPr>
              <w:widowControl/>
              <w:kinsoku w:val="0"/>
              <w:autoSpaceDE w:val="0"/>
              <w:autoSpaceDN w:val="0"/>
              <w:adjustRightInd w:val="0"/>
              <w:spacing w:line="240" w:lineRule="auto"/>
              <w:ind w:firstLine="0" w:firstLineChars="0"/>
              <w:jc w:val="left"/>
              <w:textAlignment w:val="baseline"/>
              <w:rPr>
                <w:rFonts w:hint="eastAsia" w:ascii="宋体" w:hAnsi="宋体" w:eastAsia="宋体" w:cs="宋体"/>
                <w:snapToGrid w:val="0"/>
                <w:color w:val="auto"/>
                <w:kern w:val="0"/>
                <w:sz w:val="24"/>
                <w:highlight w:val="none"/>
                <w:lang w:eastAsia="en-US"/>
              </w:rPr>
            </w:pPr>
          </w:p>
        </w:tc>
        <w:tc>
          <w:tcPr>
            <w:tcW w:w="539" w:type="pct"/>
            <w:tcBorders>
              <w:top w:val="single" w:color="000000" w:sz="4" w:space="0"/>
              <w:left w:val="single" w:color="000000" w:sz="4" w:space="0"/>
              <w:bottom w:val="single" w:color="000000" w:sz="4" w:space="0"/>
              <w:right w:val="single" w:color="000000" w:sz="4" w:space="0"/>
            </w:tcBorders>
            <w:noWrap/>
            <w:vAlign w:val="center"/>
          </w:tcPr>
          <w:p w14:paraId="5EB2AC44">
            <w:pPr>
              <w:widowControl/>
              <w:kinsoku w:val="0"/>
              <w:autoSpaceDE w:val="0"/>
              <w:autoSpaceDN w:val="0"/>
              <w:adjustRightInd w:val="0"/>
              <w:spacing w:line="240" w:lineRule="auto"/>
              <w:ind w:firstLine="0" w:firstLineChars="0"/>
              <w:jc w:val="left"/>
              <w:textAlignment w:val="baseline"/>
              <w:rPr>
                <w:rFonts w:hint="eastAsia" w:ascii="宋体" w:hAnsi="宋体" w:eastAsia="宋体" w:cs="宋体"/>
                <w:snapToGrid w:val="0"/>
                <w:color w:val="auto"/>
                <w:kern w:val="0"/>
                <w:sz w:val="24"/>
                <w:highlight w:val="none"/>
                <w:lang w:eastAsia="en-US"/>
              </w:rPr>
            </w:pPr>
          </w:p>
        </w:tc>
      </w:tr>
    </w:tbl>
    <w:p w14:paraId="2CBA06FD">
      <w:pPr>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 注：</w:t>
      </w:r>
    </w:p>
    <w:p w14:paraId="3ADF6E2E">
      <w:pPr>
        <w:ind w:firstLine="48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sz w:val="21"/>
          <w:szCs w:val="20"/>
          <w:highlight w:val="none"/>
          <w:lang w:val="en-US" w:eastAsia="zh-CN"/>
        </w:rPr>
        <w:t>人员</w:t>
      </w:r>
      <w:r>
        <w:rPr>
          <w:rFonts w:hint="eastAsia" w:ascii="宋体" w:hAnsi="宋体" w:eastAsia="宋体" w:cs="宋体"/>
          <w:color w:val="auto"/>
          <w:sz w:val="21"/>
          <w:szCs w:val="20"/>
          <w:highlight w:val="none"/>
          <w:lang w:eastAsia="zh-CN"/>
        </w:rPr>
        <w:t>工作经历</w:t>
      </w:r>
      <w:r>
        <w:rPr>
          <w:rFonts w:hint="eastAsia" w:ascii="宋体" w:hAnsi="宋体" w:eastAsia="宋体" w:cs="宋体"/>
          <w:color w:val="auto"/>
          <w:sz w:val="21"/>
          <w:szCs w:val="20"/>
          <w:highlight w:val="none"/>
        </w:rPr>
        <w:t>以大专或以上学历毕业时间起算。</w:t>
      </w:r>
      <w:r>
        <w:rPr>
          <w:rFonts w:hint="eastAsia" w:ascii="宋体" w:hAnsi="宋体" w:eastAsia="宋体" w:cs="宋体"/>
          <w:color w:val="auto"/>
          <w:highlight w:val="none"/>
        </w:rPr>
        <w:t>。</w:t>
      </w:r>
    </w:p>
    <w:p w14:paraId="08C30BE9">
      <w:pPr>
        <w:ind w:firstLine="480"/>
        <w:rPr>
          <w:rFonts w:hint="eastAsia" w:ascii="宋体" w:hAnsi="宋体" w:eastAsia="宋体" w:cs="宋体"/>
          <w:color w:val="auto"/>
          <w:highlight w:val="none"/>
        </w:rPr>
      </w:pPr>
      <w:r>
        <w:rPr>
          <w:rFonts w:hint="eastAsia" w:ascii="宋体" w:hAnsi="宋体" w:eastAsia="宋体" w:cs="宋体"/>
          <w:color w:val="auto"/>
          <w:highlight w:val="none"/>
        </w:rPr>
        <w:t>（2）一级注册造价工程师是指根据住房城乡建设部、交通运输部、水利部、人力资源社会保障部发布的《造价工程师职业资格制度规定》、《造价工程师职业资格考试实施办法》（建人［2018］67 号）取得的一级造价工程师职业资格，并经注册且在有效期内。按照《造价工程师职业资格制度规定》的规定，根据原人事部、原建设部发布的《造价工程师执业资格制度暂行规定》（人发[1996]77号)取得的造价工程师执业资格，并经注册且在有效期内的，等同于一级注册造价工程师。</w:t>
      </w:r>
    </w:p>
    <w:p w14:paraId="58CB1624">
      <w:pPr>
        <w:ind w:firstLine="480"/>
        <w:rPr>
          <w:rFonts w:hint="eastAsia" w:ascii="宋体" w:hAnsi="宋体" w:eastAsia="宋体" w:cs="宋体"/>
          <w:color w:val="auto"/>
          <w:highlight w:val="none"/>
        </w:rPr>
      </w:pPr>
      <w:r>
        <w:rPr>
          <w:rFonts w:hint="eastAsia" w:ascii="宋体" w:hAnsi="宋体" w:eastAsia="宋体" w:cs="宋体"/>
          <w:color w:val="auto"/>
          <w:highlight w:val="none"/>
        </w:rPr>
        <w:t>（3）上表人员均要求为投标单位正式职工，即指在投标单位已购买发布招标公告前一个月</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2025年4月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或以上社保的在职人员，须同时提供社保证明。除特别约定外，各岗位人员不得相互兼职。</w:t>
      </w:r>
    </w:p>
    <w:p w14:paraId="7A2CB3BF">
      <w:pPr>
        <w:ind w:firstLine="480"/>
        <w:rPr>
          <w:rFonts w:hint="eastAsia" w:ascii="宋体" w:hAnsi="宋体" w:eastAsia="宋体" w:cs="宋体"/>
          <w:color w:val="auto"/>
          <w:highlight w:val="none"/>
        </w:rPr>
      </w:pPr>
      <w:r>
        <w:rPr>
          <w:rFonts w:hint="eastAsia" w:ascii="宋体" w:hAnsi="宋体" w:eastAsia="宋体" w:cs="宋体"/>
          <w:color w:val="auto"/>
          <w:highlight w:val="none"/>
        </w:rPr>
        <w:t>（4）经</w:t>
      </w:r>
      <w:r>
        <w:rPr>
          <w:rFonts w:hint="eastAsia" w:ascii="宋体" w:hAnsi="宋体" w:eastAsia="宋体" w:cs="宋体"/>
          <w:color w:val="auto"/>
          <w:highlight w:val="none"/>
          <w:lang w:val="en-US" w:eastAsia="zh-CN"/>
        </w:rPr>
        <w:t>招标人方或</w:t>
      </w:r>
      <w:r>
        <w:rPr>
          <w:rFonts w:hint="eastAsia" w:ascii="宋体" w:hAnsi="宋体" w:eastAsia="宋体" w:cs="宋体"/>
          <w:color w:val="auto"/>
          <w:highlight w:val="none"/>
        </w:rPr>
        <w:t>监理</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考核，</w:t>
      </w:r>
      <w:r>
        <w:rPr>
          <w:rFonts w:hint="eastAsia" w:ascii="宋体" w:hAnsi="宋体" w:eastAsia="宋体" w:cs="宋体"/>
          <w:color w:val="auto"/>
          <w:highlight w:val="none"/>
          <w:lang w:val="en-US" w:eastAsia="zh-CN"/>
        </w:rPr>
        <w:t>中标单位</w:t>
      </w:r>
      <w:r>
        <w:rPr>
          <w:rFonts w:hint="eastAsia" w:ascii="宋体" w:hAnsi="宋体" w:eastAsia="宋体" w:cs="宋体"/>
          <w:color w:val="auto"/>
          <w:highlight w:val="none"/>
        </w:rPr>
        <w:t>投入本项目的人员不能满足项目工程建设要求的，</w:t>
      </w:r>
      <w:r>
        <w:rPr>
          <w:rFonts w:hint="eastAsia" w:ascii="宋体" w:hAnsi="宋体" w:eastAsia="宋体" w:cs="宋体"/>
          <w:color w:val="auto"/>
          <w:highlight w:val="none"/>
          <w:lang w:val="en-US" w:eastAsia="zh-CN"/>
        </w:rPr>
        <w:t>中标单位</w:t>
      </w:r>
      <w:r>
        <w:rPr>
          <w:rFonts w:hint="eastAsia" w:ascii="宋体" w:hAnsi="宋体" w:eastAsia="宋体" w:cs="宋体"/>
          <w:color w:val="auto"/>
          <w:highlight w:val="none"/>
        </w:rPr>
        <w:t>必须无条件按照</w:t>
      </w:r>
      <w:r>
        <w:rPr>
          <w:rFonts w:hint="eastAsia" w:ascii="宋体" w:hAnsi="宋体" w:eastAsia="宋体" w:cs="宋体"/>
          <w:color w:val="auto"/>
          <w:highlight w:val="none"/>
          <w:lang w:val="en-US" w:eastAsia="zh-CN"/>
        </w:rPr>
        <w:t>业主方</w:t>
      </w:r>
      <w:r>
        <w:rPr>
          <w:rFonts w:hint="eastAsia" w:ascii="宋体" w:hAnsi="宋体" w:eastAsia="宋体" w:cs="宋体"/>
          <w:color w:val="auto"/>
          <w:highlight w:val="none"/>
        </w:rPr>
        <w:t>的要求更换或者增加人员，直至满足本工程建设要求为止，而且，不能满足本工程建设要求的人员按照缺勤处理。</w:t>
      </w:r>
    </w:p>
    <w:p w14:paraId="7474EBAA">
      <w:pPr>
        <w:pStyle w:val="5"/>
        <w:numPr>
          <w:ilvl w:val="2"/>
          <w:numId w:val="0"/>
        </w:numPr>
        <w:ind w:left="624" w:hanging="624"/>
        <w:rPr>
          <w:rFonts w:hint="eastAsia"/>
          <w:highlight w:val="none"/>
        </w:rPr>
      </w:pPr>
      <w:r>
        <w:rPr>
          <w:rFonts w:hint="eastAsia" w:ascii="宋体" w:hAnsi="宋体" w:eastAsia="宋体" w:cs="宋体"/>
          <w:color w:val="auto"/>
          <w:sz w:val="21"/>
          <w:szCs w:val="20"/>
          <w:highlight w:val="none"/>
          <w:lang w:val="zh-CN" w:eastAsia="zh-CN"/>
        </w:rPr>
        <w:t>（5）本表不作为资格审查、技术标有效性审查、经济标有效性审查的审查依据。</w:t>
      </w:r>
    </w:p>
    <w:p w14:paraId="4652A0DC">
      <w:pPr>
        <w:pStyle w:val="4"/>
        <w:numPr>
          <w:ilvl w:val="1"/>
          <w:numId w:val="0"/>
        </w:numPr>
        <w:ind w:left="624" w:hanging="624"/>
        <w:rPr>
          <w:highlight w:val="none"/>
        </w:rPr>
      </w:pPr>
      <w:bookmarkStart w:id="259" w:name="_Toc12405"/>
      <w:bookmarkStart w:id="260" w:name="_Toc169722208"/>
      <w:bookmarkStart w:id="261" w:name="_Toc23339"/>
      <w:bookmarkStart w:id="262" w:name="_Toc10309"/>
      <w:bookmarkStart w:id="263" w:name="_Toc20717"/>
      <w:bookmarkStart w:id="264" w:name="_Toc26086"/>
      <w:bookmarkStart w:id="265" w:name="_Toc179562977"/>
      <w:bookmarkStart w:id="266" w:name="_Toc12175"/>
      <w:r>
        <w:rPr>
          <w:rFonts w:hint="eastAsia"/>
          <w:highlight w:val="none"/>
        </w:rPr>
        <w:t>5.2</w:t>
      </w:r>
      <w:r>
        <w:rPr>
          <w:highlight w:val="none"/>
        </w:rPr>
        <w:t>项目负责人的要求</w:t>
      </w:r>
      <w:bookmarkEnd w:id="259"/>
      <w:bookmarkEnd w:id="260"/>
      <w:bookmarkEnd w:id="261"/>
      <w:bookmarkEnd w:id="262"/>
      <w:bookmarkEnd w:id="263"/>
      <w:bookmarkEnd w:id="264"/>
      <w:bookmarkEnd w:id="265"/>
      <w:bookmarkEnd w:id="266"/>
    </w:p>
    <w:p w14:paraId="132866C5">
      <w:pPr>
        <w:pStyle w:val="5"/>
        <w:numPr>
          <w:ilvl w:val="2"/>
          <w:numId w:val="0"/>
        </w:numPr>
        <w:ind w:left="624" w:hanging="624"/>
        <w:rPr>
          <w:highlight w:val="none"/>
        </w:rPr>
      </w:pPr>
      <w:bookmarkStart w:id="267" w:name="_Toc1207"/>
      <w:r>
        <w:rPr>
          <w:rFonts w:hint="eastAsia"/>
          <w:highlight w:val="none"/>
        </w:rPr>
        <w:t>5.2.1项目负责人具有类似项目管理经验，且有质量、安全第三方检查评估经验。</w:t>
      </w:r>
      <w:bookmarkEnd w:id="267"/>
    </w:p>
    <w:p w14:paraId="21094D07">
      <w:pPr>
        <w:pStyle w:val="5"/>
        <w:numPr>
          <w:ilvl w:val="2"/>
          <w:numId w:val="0"/>
        </w:numPr>
        <w:ind w:left="624" w:hanging="624"/>
        <w:rPr>
          <w:highlight w:val="none"/>
        </w:rPr>
      </w:pPr>
      <w:bookmarkStart w:id="268" w:name="_Toc26511"/>
      <w:r>
        <w:rPr>
          <w:rFonts w:hint="eastAsia"/>
          <w:highlight w:val="none"/>
        </w:rPr>
        <w:t>5.2.2项目负责人在授权范围内对总承包人项目部进行全面管理，是项目经营、施工和管理的第一责任人，具备对项目工期、质量、安全、进度、成本、机械、材料、专业承包、文明施工等充分掌控的素质。</w:t>
      </w:r>
      <w:bookmarkEnd w:id="268"/>
    </w:p>
    <w:p w14:paraId="4013CDC1">
      <w:pPr>
        <w:pStyle w:val="5"/>
        <w:numPr>
          <w:ilvl w:val="2"/>
          <w:numId w:val="0"/>
        </w:numPr>
        <w:ind w:left="624" w:hanging="624"/>
        <w:rPr>
          <w:highlight w:val="none"/>
        </w:rPr>
      </w:pPr>
      <w:bookmarkStart w:id="269" w:name="_Toc26266"/>
      <w:r>
        <w:rPr>
          <w:rFonts w:hint="eastAsia"/>
          <w:highlight w:val="none"/>
        </w:rPr>
        <w:t>5.2.3项目负责人具备良好的决策、组织、领导和沟通能力，能正确处理和协调与发包人、相关各方之间及企业内部各专业、各部门之间的关系。</w:t>
      </w:r>
      <w:bookmarkEnd w:id="269"/>
    </w:p>
    <w:p w14:paraId="198FF45F">
      <w:pPr>
        <w:pStyle w:val="5"/>
        <w:numPr>
          <w:ilvl w:val="2"/>
          <w:numId w:val="0"/>
        </w:numPr>
        <w:ind w:left="624" w:hanging="624"/>
        <w:rPr>
          <w:highlight w:val="none"/>
        </w:rPr>
      </w:pPr>
      <w:bookmarkStart w:id="270" w:name="_Toc24431"/>
      <w:r>
        <w:rPr>
          <w:rFonts w:hint="eastAsia"/>
          <w:highlight w:val="none"/>
        </w:rPr>
        <w:t>5.2.4项目负责人具备工程总承包项目管理的专业技术，有关项目管理的经济和法律、法规知识。</w:t>
      </w:r>
      <w:bookmarkEnd w:id="270"/>
    </w:p>
    <w:p w14:paraId="69901420">
      <w:pPr>
        <w:pStyle w:val="5"/>
        <w:numPr>
          <w:ilvl w:val="2"/>
          <w:numId w:val="0"/>
        </w:numPr>
        <w:ind w:left="624" w:hanging="624"/>
        <w:rPr>
          <w:highlight w:val="none"/>
        </w:rPr>
      </w:pPr>
      <w:bookmarkStart w:id="271" w:name="_Toc3329"/>
      <w:r>
        <w:rPr>
          <w:rFonts w:hint="eastAsia"/>
          <w:highlight w:val="none"/>
        </w:rPr>
        <w:t>5.2.5项目负责人具有良好的职业道德。</w:t>
      </w:r>
      <w:bookmarkEnd w:id="271"/>
    </w:p>
    <w:p w14:paraId="671643CC">
      <w:pPr>
        <w:pStyle w:val="4"/>
        <w:numPr>
          <w:ilvl w:val="1"/>
          <w:numId w:val="0"/>
        </w:numPr>
        <w:ind w:left="624" w:hanging="624"/>
        <w:rPr>
          <w:highlight w:val="none"/>
        </w:rPr>
      </w:pPr>
      <w:bookmarkStart w:id="272" w:name="_Toc15883"/>
      <w:bookmarkStart w:id="273" w:name="_Toc169722209"/>
      <w:bookmarkStart w:id="274" w:name="_Toc29403"/>
      <w:bookmarkStart w:id="275" w:name="_Toc14236"/>
      <w:bookmarkStart w:id="276" w:name="_Toc3662"/>
      <w:bookmarkStart w:id="277" w:name="_Toc1170"/>
      <w:bookmarkStart w:id="278" w:name="_Toc179562978"/>
      <w:bookmarkStart w:id="279" w:name="_Toc17233"/>
      <w:r>
        <w:rPr>
          <w:rFonts w:hint="eastAsia"/>
          <w:highlight w:val="none"/>
        </w:rPr>
        <w:t>5.3项目关键岗位人员</w:t>
      </w:r>
      <w:r>
        <w:rPr>
          <w:highlight w:val="none"/>
        </w:rPr>
        <w:t>的</w:t>
      </w:r>
      <w:r>
        <w:rPr>
          <w:rFonts w:hint="eastAsia"/>
          <w:highlight w:val="none"/>
        </w:rPr>
        <w:t>要求</w:t>
      </w:r>
      <w:bookmarkEnd w:id="272"/>
      <w:bookmarkEnd w:id="273"/>
      <w:bookmarkEnd w:id="274"/>
      <w:bookmarkEnd w:id="275"/>
      <w:bookmarkEnd w:id="276"/>
      <w:bookmarkEnd w:id="277"/>
      <w:bookmarkEnd w:id="278"/>
      <w:bookmarkEnd w:id="279"/>
    </w:p>
    <w:p w14:paraId="310F191B">
      <w:pPr>
        <w:pStyle w:val="5"/>
        <w:numPr>
          <w:ilvl w:val="2"/>
          <w:numId w:val="0"/>
        </w:numPr>
        <w:ind w:left="624" w:hanging="624"/>
        <w:rPr>
          <w:highlight w:val="none"/>
        </w:rPr>
      </w:pPr>
      <w:bookmarkStart w:id="280" w:name="_Toc13771"/>
      <w:r>
        <w:rPr>
          <w:rFonts w:hint="eastAsia"/>
          <w:highlight w:val="none"/>
        </w:rPr>
        <w:t>5.3.1项目管理团队主要人员</w:t>
      </w:r>
      <w:r>
        <w:rPr>
          <w:highlight w:val="none"/>
        </w:rPr>
        <w:t>项目负责人</w:t>
      </w:r>
      <w:r>
        <w:rPr>
          <w:rFonts w:hint="eastAsia"/>
          <w:highlight w:val="none"/>
        </w:rPr>
        <w:t>、</w:t>
      </w:r>
      <w:r>
        <w:rPr>
          <w:highlight w:val="none"/>
        </w:rPr>
        <w:t>生产经理</w:t>
      </w:r>
      <w:r>
        <w:rPr>
          <w:rFonts w:hint="eastAsia"/>
          <w:highlight w:val="none"/>
        </w:rPr>
        <w:t>、技术负责人、造价负责人、安全负责人等应按照发包人要求分别配置。</w:t>
      </w:r>
      <w:bookmarkEnd w:id="280"/>
    </w:p>
    <w:p w14:paraId="230B76FC">
      <w:pPr>
        <w:pStyle w:val="5"/>
        <w:numPr>
          <w:ilvl w:val="2"/>
          <w:numId w:val="0"/>
        </w:numPr>
        <w:ind w:left="624" w:hanging="624"/>
        <w:rPr>
          <w:highlight w:val="none"/>
        </w:rPr>
      </w:pPr>
      <w:bookmarkStart w:id="281" w:name="_Toc8405"/>
      <w:r>
        <w:rPr>
          <w:rFonts w:hint="eastAsia"/>
          <w:highlight w:val="none"/>
        </w:rPr>
        <w:t>5.3.2发包人对备选项目负责人的已完项目进行考察，组织发包人间交流，并给予评价。</w:t>
      </w:r>
      <w:bookmarkEnd w:id="281"/>
    </w:p>
    <w:p w14:paraId="15CF0C00">
      <w:pPr>
        <w:pStyle w:val="5"/>
        <w:numPr>
          <w:ilvl w:val="2"/>
          <w:numId w:val="0"/>
        </w:numPr>
        <w:ind w:left="624" w:hanging="624"/>
        <w:rPr>
          <w:highlight w:val="none"/>
        </w:rPr>
      </w:pPr>
      <w:bookmarkStart w:id="282" w:name="_Toc20519"/>
      <w:r>
        <w:rPr>
          <w:rFonts w:hint="eastAsia"/>
          <w:highlight w:val="none"/>
        </w:rPr>
        <w:t>5.3.3发包人</w:t>
      </w:r>
      <w:r>
        <w:rPr>
          <w:highlight w:val="none"/>
        </w:rPr>
        <w:t>组织对总承包人项目团队的面试</w:t>
      </w:r>
      <w:r>
        <w:rPr>
          <w:rFonts w:hint="eastAsia"/>
          <w:highlight w:val="none"/>
        </w:rPr>
        <w:t>交流会</w:t>
      </w:r>
      <w:r>
        <w:rPr>
          <w:highlight w:val="none"/>
        </w:rPr>
        <w:t>。</w:t>
      </w:r>
      <w:r>
        <w:rPr>
          <w:rFonts w:hint="eastAsia"/>
          <w:highlight w:val="none"/>
        </w:rPr>
        <w:t>发包人对整体评价达到要求的项目成员发书面通知给总承包人；对未达到要求之成员，要求总承包人进行更换并重新面试。</w:t>
      </w:r>
      <w:bookmarkEnd w:id="282"/>
    </w:p>
    <w:p w14:paraId="04E94578">
      <w:pPr>
        <w:pStyle w:val="5"/>
        <w:numPr>
          <w:ilvl w:val="2"/>
          <w:numId w:val="0"/>
        </w:numPr>
        <w:ind w:left="624" w:hanging="624"/>
        <w:rPr>
          <w:highlight w:val="none"/>
        </w:rPr>
      </w:pPr>
      <w:bookmarkStart w:id="283" w:name="_Toc29204"/>
      <w:r>
        <w:rPr>
          <w:rFonts w:hint="eastAsia"/>
          <w:highlight w:val="none"/>
        </w:rPr>
        <w:t>5.3.4一旦完成总承包人项目部人员的选择，总承包人应做出书面承诺，内容包括：</w:t>
      </w:r>
      <w:bookmarkEnd w:id="283"/>
    </w:p>
    <w:p w14:paraId="447FA1D9">
      <w:pPr>
        <w:pStyle w:val="6"/>
        <w:numPr>
          <w:ilvl w:val="3"/>
          <w:numId w:val="0"/>
        </w:numPr>
        <w:ind w:left="864" w:leftChars="100" w:hanging="624"/>
        <w:rPr>
          <w:highlight w:val="none"/>
        </w:rPr>
      </w:pPr>
      <w:r>
        <w:rPr>
          <w:rFonts w:hint="eastAsia"/>
          <w:highlight w:val="none"/>
        </w:rPr>
        <w:t>5.3.4.1项目团队关键成员必须专职，</w:t>
      </w:r>
      <w:r>
        <w:rPr>
          <w:highlight w:val="none"/>
        </w:rPr>
        <w:t>项目负责人</w:t>
      </w:r>
      <w:r>
        <w:rPr>
          <w:rFonts w:hint="eastAsia"/>
          <w:highlight w:val="none"/>
        </w:rPr>
        <w:t>、</w:t>
      </w:r>
      <w:r>
        <w:rPr>
          <w:highlight w:val="none"/>
        </w:rPr>
        <w:t>生产经理</w:t>
      </w:r>
      <w:r>
        <w:rPr>
          <w:rFonts w:hint="eastAsia"/>
          <w:highlight w:val="none"/>
        </w:rPr>
        <w:t>、技术负责人、造价负责人、安全负责人等不得跨项目兼职，从开工至交付过程全程参与项目实施。</w:t>
      </w:r>
    </w:p>
    <w:p w14:paraId="438A2D62">
      <w:pPr>
        <w:pStyle w:val="6"/>
        <w:numPr>
          <w:ilvl w:val="3"/>
          <w:numId w:val="0"/>
        </w:numPr>
        <w:ind w:left="864" w:leftChars="100" w:hanging="624"/>
        <w:rPr>
          <w:highlight w:val="none"/>
        </w:rPr>
      </w:pPr>
      <w:r>
        <w:rPr>
          <w:rFonts w:hint="eastAsia"/>
          <w:highlight w:val="none"/>
        </w:rPr>
        <w:t>5.3.4.2非无法控制原因如刑拘、身亡、离开单位（但不含升职），总承包人擅自更换关键岗位人员（</w:t>
      </w:r>
      <w:r>
        <w:rPr>
          <w:highlight w:val="none"/>
        </w:rPr>
        <w:t>项目负责人</w:t>
      </w:r>
      <w:r>
        <w:rPr>
          <w:rFonts w:hint="eastAsia"/>
          <w:highlight w:val="none"/>
        </w:rPr>
        <w:t>、</w:t>
      </w:r>
      <w:r>
        <w:rPr>
          <w:highlight w:val="none"/>
        </w:rPr>
        <w:t>生产经理</w:t>
      </w:r>
      <w:r>
        <w:rPr>
          <w:rFonts w:hint="eastAsia"/>
          <w:highlight w:val="none"/>
        </w:rPr>
        <w:t>、技术负责人、造价负责人、安全负责人）而未通知发包人的，总承包人应承担相应违约责任。</w:t>
      </w:r>
    </w:p>
    <w:p w14:paraId="232E64DE">
      <w:pPr>
        <w:pStyle w:val="6"/>
        <w:numPr>
          <w:ilvl w:val="3"/>
          <w:numId w:val="0"/>
        </w:numPr>
        <w:ind w:left="864" w:leftChars="100" w:hanging="624"/>
        <w:rPr>
          <w:highlight w:val="none"/>
        </w:rPr>
      </w:pPr>
      <w:r>
        <w:rPr>
          <w:rFonts w:hint="eastAsia"/>
          <w:highlight w:val="none"/>
        </w:rPr>
        <w:t>5.3.4.3如总承包人确因无法控制的原因如刑拘、身亡、离开单位（但不含升职），需要更换关键人员，须书面通知发包人，经发包人同意后方可更换，但不因此免除总承包人违约责任，发包人视更换人员后期履约情况保留处罚权利。新拟派人员（至少提供3名）须重新面试，面试通过后方可上岗。在发包人批准的新人员未到场且到场工作移交未完成前，均按照擅自离岗进行违约处理。</w:t>
      </w:r>
    </w:p>
    <w:p w14:paraId="59A19416">
      <w:pPr>
        <w:pStyle w:val="6"/>
        <w:numPr>
          <w:ilvl w:val="3"/>
          <w:numId w:val="0"/>
        </w:numPr>
        <w:ind w:left="864" w:leftChars="100" w:hanging="624"/>
        <w:rPr>
          <w:highlight w:val="none"/>
        </w:rPr>
      </w:pPr>
      <w:r>
        <w:rPr>
          <w:rFonts w:hint="eastAsia"/>
          <w:highlight w:val="none"/>
        </w:rPr>
        <w:t>5.3.4.4总承包人项目负责人和其他关键岗位人员应保证在施工阶段常驻现场。</w:t>
      </w:r>
    </w:p>
    <w:p w14:paraId="35A1E854">
      <w:pPr>
        <w:pStyle w:val="6"/>
        <w:numPr>
          <w:ilvl w:val="3"/>
          <w:numId w:val="0"/>
        </w:numPr>
        <w:ind w:left="864" w:leftChars="100" w:hanging="624"/>
        <w:rPr>
          <w:highlight w:val="none"/>
        </w:rPr>
      </w:pPr>
      <w:r>
        <w:rPr>
          <w:rFonts w:hint="eastAsia"/>
          <w:highlight w:val="none"/>
        </w:rPr>
        <w:t>5.3.4.5更换</w:t>
      </w:r>
      <w:r>
        <w:rPr>
          <w:highlight w:val="none"/>
        </w:rPr>
        <w:t>项目负责人</w:t>
      </w:r>
      <w:r>
        <w:rPr>
          <w:rFonts w:hint="eastAsia"/>
          <w:highlight w:val="none"/>
        </w:rPr>
        <w:t>、</w:t>
      </w:r>
      <w:r>
        <w:rPr>
          <w:highlight w:val="none"/>
        </w:rPr>
        <w:t>生产经理</w:t>
      </w:r>
      <w:r>
        <w:rPr>
          <w:rFonts w:hint="eastAsia"/>
          <w:highlight w:val="none"/>
        </w:rPr>
        <w:t>、技术负责人、造价负责人、安全负责人等关键岗位人员，需提前</w:t>
      </w:r>
      <w:r>
        <w:rPr>
          <w:highlight w:val="none"/>
        </w:rPr>
        <w:t>7</w:t>
      </w:r>
      <w:r>
        <w:rPr>
          <w:rFonts w:hint="eastAsia"/>
          <w:highlight w:val="none"/>
        </w:rPr>
        <w:t>天以书面形式通知发包人并获得发包人书面同意后方可更换，但不因此免除总承包人违约责任，发包人视更换人员后期履约情况保留处罚权利。</w:t>
      </w:r>
    </w:p>
    <w:p w14:paraId="23852382">
      <w:pPr>
        <w:pStyle w:val="6"/>
        <w:numPr>
          <w:ilvl w:val="3"/>
          <w:numId w:val="0"/>
        </w:numPr>
        <w:ind w:left="864" w:leftChars="100" w:hanging="624"/>
        <w:rPr>
          <w:highlight w:val="none"/>
        </w:rPr>
      </w:pPr>
      <w:r>
        <w:rPr>
          <w:rFonts w:hint="eastAsia"/>
          <w:highlight w:val="none"/>
        </w:rPr>
        <w:t>5.3.4.6发包人有权对不适合的项目团队</w:t>
      </w:r>
      <w:r>
        <w:rPr>
          <w:highlight w:val="none"/>
        </w:rPr>
        <w:t>人员</w:t>
      </w:r>
      <w:r>
        <w:rPr>
          <w:rFonts w:hint="eastAsia"/>
          <w:highlight w:val="none"/>
        </w:rPr>
        <w:t>向总承包人提出更换，接发包人书面通知后新成员</w:t>
      </w:r>
      <w:r>
        <w:rPr>
          <w:highlight w:val="none"/>
        </w:rPr>
        <w:t>7</w:t>
      </w:r>
      <w:r>
        <w:rPr>
          <w:rFonts w:hint="eastAsia"/>
          <w:highlight w:val="none"/>
        </w:rPr>
        <w:t>天内必须通过面试到岗。</w:t>
      </w:r>
    </w:p>
    <w:p w14:paraId="2FD3E3A0">
      <w:pPr>
        <w:pStyle w:val="6"/>
        <w:numPr>
          <w:ilvl w:val="3"/>
          <w:numId w:val="0"/>
        </w:numPr>
        <w:ind w:left="864" w:leftChars="100" w:hanging="624"/>
        <w:rPr>
          <w:highlight w:val="none"/>
        </w:rPr>
      </w:pPr>
      <w:r>
        <w:rPr>
          <w:rFonts w:hint="eastAsia"/>
          <w:highlight w:val="none"/>
        </w:rPr>
        <w:t>5.3.4.7总承包人的工程</w:t>
      </w:r>
      <w:r>
        <w:rPr>
          <w:highlight w:val="none"/>
        </w:rPr>
        <w:t>经理需</w:t>
      </w:r>
      <w:r>
        <w:rPr>
          <w:rFonts w:hint="eastAsia"/>
          <w:highlight w:val="none"/>
        </w:rPr>
        <w:t>对专业承包人的各项资源投入进行详细的检查、统计，在每周/月报告中报监理人备案，发现专业承包人的投入不能满足工程进度要求时，及时向专业承包人发出预警通知。</w:t>
      </w:r>
    </w:p>
    <w:p w14:paraId="5577A898">
      <w:pPr>
        <w:pStyle w:val="6"/>
        <w:numPr>
          <w:ilvl w:val="3"/>
          <w:numId w:val="0"/>
        </w:numPr>
        <w:ind w:left="864" w:leftChars="100" w:hanging="624"/>
        <w:rPr>
          <w:highlight w:val="none"/>
        </w:rPr>
      </w:pPr>
      <w:r>
        <w:rPr>
          <w:rFonts w:hint="eastAsia"/>
          <w:highlight w:val="none"/>
        </w:rPr>
        <w:t>5.3.4.8现场要配备足够的现场管理人员，如果现场管理人员明显不足，影响到现场的正常施工，发包人有权要求总承包人增加管理人员，总承包人接到发包人通知，7天内人员必须到位。</w:t>
      </w:r>
      <w:r>
        <w:rPr>
          <w:highlight w:val="none"/>
        </w:rPr>
        <w:t xml:space="preserve"> </w:t>
      </w:r>
    </w:p>
    <w:p w14:paraId="6BB11D28">
      <w:pPr>
        <w:spacing w:before="120" w:beforeLines="50" w:after="120" w:afterLines="50"/>
        <w:ind w:firstLine="480"/>
        <w:rPr>
          <w:highlight w:val="none"/>
        </w:rPr>
      </w:pPr>
      <w:r>
        <w:rPr>
          <w:highlight w:val="none"/>
        </w:rPr>
        <w:br w:type="page"/>
      </w:r>
    </w:p>
    <w:p w14:paraId="4FF467D0">
      <w:pPr>
        <w:pStyle w:val="3"/>
        <w:numPr>
          <w:ilvl w:val="0"/>
          <w:numId w:val="0"/>
        </w:numPr>
        <w:ind w:left="432"/>
        <w:rPr>
          <w:highlight w:val="none"/>
        </w:rPr>
      </w:pPr>
      <w:bookmarkStart w:id="284" w:name="_Toc22301"/>
      <w:bookmarkStart w:id="285" w:name="_Toc28296"/>
      <w:bookmarkStart w:id="286" w:name="_Toc179562979"/>
      <w:bookmarkStart w:id="287" w:name="_Toc10521"/>
      <w:bookmarkStart w:id="288" w:name="_Toc3566"/>
      <w:bookmarkStart w:id="289" w:name="_Toc14609"/>
      <w:bookmarkStart w:id="290" w:name="_Toc20751"/>
      <w:bookmarkStart w:id="291" w:name="_Toc169722210"/>
      <w:r>
        <w:rPr>
          <w:highlight w:val="none"/>
        </w:rPr>
        <w:t xml:space="preserve">第6章 </w:t>
      </w:r>
      <w:r>
        <w:rPr>
          <w:rFonts w:hint="eastAsia"/>
          <w:highlight w:val="none"/>
        </w:rPr>
        <w:t>施工</w:t>
      </w:r>
      <w:r>
        <w:rPr>
          <w:highlight w:val="none"/>
        </w:rPr>
        <w:t>管理要求</w:t>
      </w:r>
      <w:bookmarkEnd w:id="284"/>
      <w:bookmarkEnd w:id="285"/>
      <w:bookmarkEnd w:id="286"/>
      <w:bookmarkEnd w:id="287"/>
      <w:bookmarkEnd w:id="288"/>
      <w:bookmarkEnd w:id="289"/>
      <w:bookmarkEnd w:id="290"/>
      <w:bookmarkEnd w:id="291"/>
    </w:p>
    <w:p w14:paraId="28AA7B6A">
      <w:pPr>
        <w:pStyle w:val="4"/>
        <w:numPr>
          <w:ilvl w:val="1"/>
          <w:numId w:val="0"/>
        </w:numPr>
        <w:ind w:left="624" w:hanging="624"/>
        <w:rPr>
          <w:highlight w:val="none"/>
        </w:rPr>
      </w:pPr>
      <w:bookmarkStart w:id="292" w:name="_Toc169722211"/>
      <w:bookmarkStart w:id="293" w:name="_Toc19527"/>
      <w:bookmarkStart w:id="294" w:name="_Toc27206"/>
      <w:bookmarkStart w:id="295" w:name="_Toc13596"/>
      <w:bookmarkStart w:id="296" w:name="_Toc26753"/>
      <w:bookmarkStart w:id="297" w:name="_Toc31000"/>
      <w:bookmarkStart w:id="298" w:name="_Toc179562980"/>
      <w:bookmarkStart w:id="299" w:name="_Toc23426"/>
      <w:r>
        <w:rPr>
          <w:rFonts w:hint="eastAsia"/>
          <w:highlight w:val="none"/>
        </w:rPr>
        <w:t>6.1</w:t>
      </w:r>
      <w:r>
        <w:rPr>
          <w:highlight w:val="none"/>
        </w:rPr>
        <w:t>质量管理要求</w:t>
      </w:r>
      <w:bookmarkEnd w:id="292"/>
      <w:bookmarkEnd w:id="293"/>
      <w:bookmarkEnd w:id="294"/>
      <w:bookmarkEnd w:id="295"/>
      <w:bookmarkEnd w:id="296"/>
      <w:bookmarkEnd w:id="297"/>
      <w:bookmarkEnd w:id="298"/>
      <w:bookmarkEnd w:id="299"/>
    </w:p>
    <w:p w14:paraId="614D1EDD">
      <w:pPr>
        <w:pStyle w:val="5"/>
        <w:numPr>
          <w:ilvl w:val="2"/>
          <w:numId w:val="0"/>
        </w:numPr>
        <w:ind w:left="624" w:hanging="624"/>
        <w:rPr>
          <w:highlight w:val="none"/>
        </w:rPr>
      </w:pPr>
      <w:bookmarkStart w:id="300" w:name="_Toc27883"/>
      <w:r>
        <w:rPr>
          <w:rFonts w:hint="eastAsia"/>
          <w:highlight w:val="none"/>
        </w:rPr>
        <w:t>6.1.1总承包人</w:t>
      </w:r>
      <w:r>
        <w:rPr>
          <w:highlight w:val="none"/>
        </w:rPr>
        <w:t>质量管理的基本要求</w:t>
      </w:r>
      <w:bookmarkEnd w:id="300"/>
    </w:p>
    <w:p w14:paraId="260CFC9F">
      <w:pPr>
        <w:pStyle w:val="6"/>
        <w:numPr>
          <w:ilvl w:val="3"/>
          <w:numId w:val="0"/>
        </w:numPr>
        <w:ind w:left="864" w:leftChars="100" w:hanging="624"/>
        <w:rPr>
          <w:highlight w:val="none"/>
        </w:rPr>
      </w:pPr>
      <w:r>
        <w:rPr>
          <w:rFonts w:hint="eastAsia"/>
          <w:highlight w:val="none"/>
        </w:rPr>
        <w:t>6.1.1.1总承包人</w:t>
      </w:r>
      <w:r>
        <w:rPr>
          <w:highlight w:val="none"/>
        </w:rPr>
        <w:t>对合同约定总承包管理范围</w:t>
      </w:r>
      <w:r>
        <w:rPr>
          <w:rFonts w:hint="eastAsia"/>
          <w:highlight w:val="none"/>
        </w:rPr>
        <w:t>的</w:t>
      </w:r>
      <w:r>
        <w:rPr>
          <w:highlight w:val="none"/>
        </w:rPr>
        <w:t>全</w:t>
      </w:r>
      <w:r>
        <w:rPr>
          <w:rFonts w:hint="eastAsia"/>
          <w:highlight w:val="none"/>
        </w:rPr>
        <w:t>部</w:t>
      </w:r>
      <w:r>
        <w:rPr>
          <w:highlight w:val="none"/>
        </w:rPr>
        <w:t>工程承担整体</w:t>
      </w:r>
      <w:r>
        <w:rPr>
          <w:rFonts w:hint="eastAsia"/>
          <w:highlight w:val="none"/>
        </w:rPr>
        <w:t>质量</w:t>
      </w:r>
      <w:r>
        <w:rPr>
          <w:highlight w:val="none"/>
        </w:rPr>
        <w:t>责任。</w:t>
      </w:r>
    </w:p>
    <w:p w14:paraId="305DBC1A">
      <w:pPr>
        <w:pStyle w:val="6"/>
        <w:numPr>
          <w:ilvl w:val="3"/>
          <w:numId w:val="0"/>
        </w:numPr>
        <w:ind w:left="864" w:leftChars="100" w:hanging="624"/>
        <w:rPr>
          <w:highlight w:val="none"/>
        </w:rPr>
      </w:pPr>
      <w:bookmarkStart w:id="301" w:name="_Toc308696231"/>
      <w:bookmarkStart w:id="302" w:name="_Toc246820725"/>
      <w:bookmarkStart w:id="303" w:name="_Toc308643219"/>
      <w:r>
        <w:rPr>
          <w:rFonts w:hint="eastAsia"/>
          <w:highlight w:val="none"/>
        </w:rPr>
        <w:t>6.1.1.2</w:t>
      </w:r>
      <w:r>
        <w:rPr>
          <w:highlight w:val="none"/>
        </w:rPr>
        <w:t>质量</w:t>
      </w:r>
      <w:bookmarkEnd w:id="301"/>
      <w:bookmarkEnd w:id="302"/>
      <w:bookmarkEnd w:id="303"/>
      <w:r>
        <w:rPr>
          <w:rFonts w:hint="eastAsia"/>
          <w:highlight w:val="none"/>
        </w:rPr>
        <w:t>管理体系和制度</w:t>
      </w:r>
    </w:p>
    <w:p w14:paraId="39B6DD78">
      <w:pPr>
        <w:ind w:firstLine="480"/>
        <w:rPr>
          <w:highlight w:val="none"/>
        </w:rPr>
      </w:pPr>
      <w:r>
        <w:rPr>
          <w:rFonts w:hint="eastAsia" w:cs="Arial"/>
          <w:highlight w:val="none"/>
        </w:rPr>
        <w:t>总承包人应当建立一套完整而有效的质量管理体系以及相应的质量管理措施，建立并完善各项目质量管理检查制度及企业质量管理文件，并将</w:t>
      </w:r>
      <w:r>
        <w:rPr>
          <w:highlight w:val="none"/>
        </w:rPr>
        <w:t>本项目全</w:t>
      </w:r>
      <w:r>
        <w:rPr>
          <w:rFonts w:hint="eastAsia"/>
          <w:highlight w:val="none"/>
        </w:rPr>
        <w:t>部施工单位的质量</w:t>
      </w:r>
      <w:r>
        <w:rPr>
          <w:highlight w:val="none"/>
        </w:rPr>
        <w:t>管理</w:t>
      </w:r>
      <w:r>
        <w:rPr>
          <w:rFonts w:hint="eastAsia"/>
          <w:highlight w:val="none"/>
        </w:rPr>
        <w:t>组织有机</w:t>
      </w:r>
      <w:r>
        <w:rPr>
          <w:highlight w:val="none"/>
        </w:rPr>
        <w:t>融合在</w:t>
      </w:r>
      <w:r>
        <w:rPr>
          <w:rFonts w:hint="eastAsia"/>
          <w:highlight w:val="none"/>
        </w:rPr>
        <w:t>总承包人的</w:t>
      </w:r>
      <w:r>
        <w:rPr>
          <w:highlight w:val="none"/>
        </w:rPr>
        <w:t>工程质量管理体系</w:t>
      </w:r>
      <w:r>
        <w:rPr>
          <w:rFonts w:hint="eastAsia"/>
          <w:highlight w:val="none"/>
        </w:rPr>
        <w:t>和</w:t>
      </w:r>
      <w:r>
        <w:rPr>
          <w:highlight w:val="none"/>
        </w:rPr>
        <w:t>组织中，实施全方位质量管理，</w:t>
      </w:r>
      <w:r>
        <w:rPr>
          <w:rFonts w:hint="eastAsia" w:cs="Arial"/>
          <w:highlight w:val="none"/>
        </w:rPr>
        <w:t>严格执行材料管理、样板引路、工序交接、隐蔽验收、工作面移交、分户验收等质量管理制度，加强流程管控和过程管理，并接受发包人、监理人的监督和检查，持续改进，满足发包人的质量要求，</w:t>
      </w:r>
      <w:r>
        <w:rPr>
          <w:highlight w:val="none"/>
        </w:rPr>
        <w:t>保证整体工程</w:t>
      </w:r>
      <w:r>
        <w:rPr>
          <w:rFonts w:hint="eastAsia" w:cs="Arial"/>
          <w:highlight w:val="none"/>
        </w:rPr>
        <w:t>达到合同中规定的质量目标</w:t>
      </w:r>
      <w:r>
        <w:rPr>
          <w:rFonts w:cs="Arial"/>
          <w:highlight w:val="none"/>
        </w:rPr>
        <w:t>。</w:t>
      </w:r>
    </w:p>
    <w:p w14:paraId="452403E7">
      <w:pPr>
        <w:pStyle w:val="6"/>
        <w:numPr>
          <w:ilvl w:val="3"/>
          <w:numId w:val="0"/>
        </w:numPr>
        <w:ind w:left="864" w:leftChars="100" w:hanging="624"/>
        <w:rPr>
          <w:highlight w:val="none"/>
        </w:rPr>
      </w:pPr>
      <w:r>
        <w:rPr>
          <w:rFonts w:hint="eastAsia"/>
          <w:highlight w:val="none"/>
        </w:rPr>
        <w:t>6.1.1.3</w:t>
      </w:r>
      <w:r>
        <w:rPr>
          <w:highlight w:val="none"/>
        </w:rPr>
        <w:t>三检制</w:t>
      </w:r>
      <w:r>
        <w:rPr>
          <w:rFonts w:hint="eastAsia"/>
          <w:highlight w:val="none"/>
        </w:rPr>
        <w:t>验收程序</w:t>
      </w:r>
    </w:p>
    <w:p w14:paraId="18E8520C">
      <w:pPr>
        <w:ind w:firstLine="480"/>
        <w:rPr>
          <w:highlight w:val="none"/>
        </w:rPr>
      </w:pPr>
      <w:r>
        <w:rPr>
          <w:rFonts w:hint="eastAsia"/>
          <w:highlight w:val="none"/>
        </w:rPr>
        <w:t>总承包人</w:t>
      </w:r>
      <w:r>
        <w:rPr>
          <w:highlight w:val="none"/>
        </w:rPr>
        <w:t>每道工序都要坚持自检、互检、专检制度，关键工序经监理</w:t>
      </w:r>
      <w:r>
        <w:rPr>
          <w:rFonts w:hint="eastAsia"/>
          <w:highlight w:val="none"/>
        </w:rPr>
        <w:t>人/发包人</w:t>
      </w:r>
      <w:r>
        <w:rPr>
          <w:highlight w:val="none"/>
        </w:rPr>
        <w:t>检查放行，否则不得进行下道工序施工。自检要做文字记录，隐蔽工程检查</w:t>
      </w:r>
      <w:r>
        <w:rPr>
          <w:rFonts w:hint="eastAsia"/>
          <w:highlight w:val="none"/>
        </w:rPr>
        <w:t>应</w:t>
      </w:r>
      <w:r>
        <w:rPr>
          <w:highlight w:val="none"/>
        </w:rPr>
        <w:t>做好齐全的文字记录</w:t>
      </w:r>
      <w:r>
        <w:rPr>
          <w:rFonts w:hint="eastAsia"/>
          <w:highlight w:val="none"/>
        </w:rPr>
        <w:t>拍照存档</w:t>
      </w:r>
      <w:r>
        <w:rPr>
          <w:highlight w:val="none"/>
        </w:rPr>
        <w:t>。各工序及最终工程质量，均需进行验收，分部工程</w:t>
      </w:r>
      <w:r>
        <w:rPr>
          <w:rFonts w:hint="eastAsia"/>
          <w:highlight w:val="none"/>
        </w:rPr>
        <w:t>及单位工程</w:t>
      </w:r>
      <w:r>
        <w:rPr>
          <w:highlight w:val="none"/>
        </w:rPr>
        <w:t>验收由</w:t>
      </w:r>
      <w:r>
        <w:rPr>
          <w:rFonts w:hint="eastAsia"/>
          <w:highlight w:val="none"/>
        </w:rPr>
        <w:t>发包人</w:t>
      </w:r>
      <w:r>
        <w:rPr>
          <w:highlight w:val="none"/>
        </w:rPr>
        <w:t>参加，未经核定或不合格者不得交工</w:t>
      </w:r>
      <w:r>
        <w:rPr>
          <w:rFonts w:hint="eastAsia"/>
          <w:highlight w:val="none"/>
        </w:rPr>
        <w:t>。</w:t>
      </w:r>
    </w:p>
    <w:p w14:paraId="09991102">
      <w:pPr>
        <w:pStyle w:val="6"/>
        <w:numPr>
          <w:ilvl w:val="3"/>
          <w:numId w:val="0"/>
        </w:numPr>
        <w:ind w:left="864" w:leftChars="100" w:hanging="624"/>
        <w:rPr>
          <w:highlight w:val="none"/>
        </w:rPr>
      </w:pPr>
      <w:bookmarkStart w:id="304" w:name="_Toc32219"/>
      <w:r>
        <w:rPr>
          <w:rFonts w:hint="eastAsia"/>
          <w:highlight w:val="none"/>
        </w:rPr>
        <w:t>6.1.1.4</w:t>
      </w:r>
      <w:r>
        <w:rPr>
          <w:highlight w:val="none"/>
        </w:rPr>
        <w:t>质量常见问题防治</w:t>
      </w:r>
      <w:bookmarkEnd w:id="304"/>
    </w:p>
    <w:p w14:paraId="4BC14ECB">
      <w:pPr>
        <w:ind w:firstLine="480"/>
        <w:rPr>
          <w:highlight w:val="none"/>
        </w:rPr>
      </w:pPr>
      <w:r>
        <w:rPr>
          <w:rFonts w:hint="eastAsia"/>
          <w:highlight w:val="none"/>
        </w:rPr>
        <w:t>承包人必须严格执行有关质量常见问题治理措施、工程建设强制性标准和有关节、环境保护、绿色施工的规定。承包人须针对本项目制定工程质量常见问题防治措施方案需报监理人、发包人审批通过后按方案实施。</w:t>
      </w:r>
    </w:p>
    <w:p w14:paraId="312CD61B">
      <w:pPr>
        <w:pStyle w:val="6"/>
        <w:numPr>
          <w:ilvl w:val="3"/>
          <w:numId w:val="0"/>
        </w:numPr>
        <w:ind w:left="864" w:leftChars="100" w:hanging="624"/>
        <w:rPr>
          <w:highlight w:val="none"/>
        </w:rPr>
      </w:pPr>
      <w:bookmarkStart w:id="305" w:name="_Toc24296"/>
      <w:r>
        <w:rPr>
          <w:rFonts w:hint="eastAsia"/>
          <w:highlight w:val="none"/>
        </w:rPr>
        <w:t>6.1.1.5</w:t>
      </w:r>
      <w:r>
        <w:rPr>
          <w:highlight w:val="none"/>
        </w:rPr>
        <w:t>材料、设备质量保证</w:t>
      </w:r>
      <w:bookmarkEnd w:id="305"/>
    </w:p>
    <w:p w14:paraId="15FE5A48">
      <w:pPr>
        <w:ind w:firstLine="480"/>
        <w:rPr>
          <w:highlight w:val="none"/>
        </w:rPr>
      </w:pPr>
      <w:r>
        <w:rPr>
          <w:rFonts w:hint="eastAsia"/>
          <w:highlight w:val="none"/>
        </w:rPr>
        <w:t>工程所用材料设备必须符合设计要求和国家有关规范与规定。承包人须确保使用的材料设备是合格的、全新的、未使用过的，凡材料设备质量不符合要求，承包人须停工和返工，返工费用由承包人承担，工期不予顺延。</w:t>
      </w:r>
    </w:p>
    <w:p w14:paraId="2E9FE234">
      <w:pPr>
        <w:pStyle w:val="6"/>
        <w:numPr>
          <w:ilvl w:val="3"/>
          <w:numId w:val="0"/>
        </w:numPr>
        <w:ind w:left="864" w:leftChars="100" w:hanging="624"/>
        <w:rPr>
          <w:highlight w:val="none"/>
        </w:rPr>
      </w:pPr>
      <w:bookmarkStart w:id="306" w:name="_Toc13989"/>
      <w:r>
        <w:rPr>
          <w:rFonts w:hint="eastAsia"/>
          <w:highlight w:val="none"/>
        </w:rPr>
        <w:t>6.1.1.6</w:t>
      </w:r>
      <w:r>
        <w:rPr>
          <w:highlight w:val="none"/>
        </w:rPr>
        <w:t>人员持证上岗</w:t>
      </w:r>
      <w:bookmarkEnd w:id="306"/>
    </w:p>
    <w:p w14:paraId="543708AC">
      <w:pPr>
        <w:ind w:firstLine="480"/>
        <w:rPr>
          <w:highlight w:val="none"/>
        </w:rPr>
      </w:pPr>
      <w:r>
        <w:rPr>
          <w:rFonts w:hint="eastAsia"/>
          <w:highlight w:val="none"/>
        </w:rPr>
        <w:t>承包人投入的施工作业人员必须具备相应的上岗证，如特种人员，还须具备特种人员作业证书，以确保施工质量。所有特种作业人员必须带证上岗，随时接受发包人、监理人检查，否则按合同约定承担违约责任。特种作业人员包含但不限于：</w:t>
      </w:r>
    </w:p>
    <w:p w14:paraId="7649086A">
      <w:pPr>
        <w:ind w:firstLine="480"/>
        <w:rPr>
          <w:highlight w:val="none"/>
        </w:rPr>
      </w:pPr>
      <w:r>
        <w:rPr>
          <w:rFonts w:hint="eastAsia"/>
          <w:highlight w:val="none"/>
        </w:rPr>
        <w:t>电工：建筑电工（临时用电）、高压电（正式电）、低压电工（正式用电调试、送电等）。</w:t>
      </w:r>
    </w:p>
    <w:p w14:paraId="32BE6F5B">
      <w:pPr>
        <w:ind w:firstLine="480"/>
        <w:rPr>
          <w:highlight w:val="none"/>
        </w:rPr>
      </w:pPr>
      <w:r>
        <w:rPr>
          <w:rFonts w:hint="eastAsia"/>
          <w:highlight w:val="none"/>
        </w:rPr>
        <w:t>建筑架子工：普通架子工、高处作业吊篮安装拆卸工、附着式升降脚手架安装拆卸工建筑起重机械类。</w:t>
      </w:r>
    </w:p>
    <w:p w14:paraId="678E6207">
      <w:pPr>
        <w:ind w:firstLine="480"/>
        <w:rPr>
          <w:highlight w:val="none"/>
        </w:rPr>
      </w:pPr>
      <w:r>
        <w:rPr>
          <w:rFonts w:hint="eastAsia"/>
          <w:highlight w:val="none"/>
        </w:rPr>
        <w:t>桩机操作类：搅拌桩机操作工、旋挖桩机操作工等。</w:t>
      </w:r>
    </w:p>
    <w:p w14:paraId="2B20378C">
      <w:pPr>
        <w:ind w:firstLine="480"/>
        <w:rPr>
          <w:highlight w:val="none"/>
        </w:rPr>
      </w:pPr>
      <w:r>
        <w:rPr>
          <w:rFonts w:hint="eastAsia"/>
          <w:highlight w:val="none"/>
        </w:rPr>
        <w:t>焊工：建筑焊工、焊接与热切割作业。</w:t>
      </w:r>
    </w:p>
    <w:p w14:paraId="3F4A5B80">
      <w:pPr>
        <w:ind w:firstLine="480"/>
        <w:rPr>
          <w:highlight w:val="none"/>
        </w:rPr>
      </w:pPr>
      <w:r>
        <w:rPr>
          <w:rFonts w:hint="eastAsia"/>
          <w:highlight w:val="none"/>
        </w:rPr>
        <w:t>其他：省级建设主管部门认可的其他特种作业人员。</w:t>
      </w:r>
    </w:p>
    <w:p w14:paraId="4A5FAD43">
      <w:pPr>
        <w:pStyle w:val="6"/>
        <w:numPr>
          <w:ilvl w:val="3"/>
          <w:numId w:val="0"/>
        </w:numPr>
        <w:ind w:left="864" w:leftChars="100" w:hanging="624"/>
        <w:rPr>
          <w:highlight w:val="none"/>
        </w:rPr>
      </w:pPr>
      <w:bookmarkStart w:id="307" w:name="_Toc12787"/>
      <w:r>
        <w:rPr>
          <w:rFonts w:hint="eastAsia"/>
          <w:highlight w:val="none"/>
        </w:rPr>
        <w:t>6.1.1.7</w:t>
      </w:r>
      <w:r>
        <w:rPr>
          <w:highlight w:val="none"/>
        </w:rPr>
        <w:t>按图施工</w:t>
      </w:r>
      <w:bookmarkEnd w:id="307"/>
    </w:p>
    <w:p w14:paraId="03E60798">
      <w:pPr>
        <w:ind w:firstLine="480"/>
        <w:rPr>
          <w:highlight w:val="none"/>
        </w:rPr>
      </w:pPr>
      <w:r>
        <w:rPr>
          <w:rFonts w:hint="eastAsia"/>
          <w:highlight w:val="none"/>
        </w:rPr>
        <w:t>承包人必须严格按审查批准的施工方案和设计图纸施工，不得擅自修改施工方案及设计图纸，发包人对任何现场实施与图纸不符的地方有权要求承包人返工，承包人需无条件配合。</w:t>
      </w:r>
    </w:p>
    <w:p w14:paraId="3B6CD96F">
      <w:pPr>
        <w:pStyle w:val="6"/>
        <w:numPr>
          <w:ilvl w:val="3"/>
          <w:numId w:val="0"/>
        </w:numPr>
        <w:ind w:left="864" w:leftChars="100" w:hanging="624"/>
        <w:rPr>
          <w:highlight w:val="none"/>
        </w:rPr>
      </w:pPr>
      <w:r>
        <w:rPr>
          <w:rFonts w:hint="eastAsia"/>
          <w:highlight w:val="none"/>
        </w:rPr>
        <w:t>6.1.1.8关键工序停止点检查要求</w:t>
      </w:r>
    </w:p>
    <w:p w14:paraId="2E90F7B5">
      <w:pPr>
        <w:ind w:firstLine="480"/>
        <w:rPr>
          <w:rFonts w:hint="eastAsia" w:eastAsia="宋体"/>
          <w:b/>
          <w:bCs/>
          <w:highlight w:val="none"/>
          <w:lang w:eastAsia="zh-CN"/>
        </w:rPr>
      </w:pPr>
      <w:r>
        <w:rPr>
          <w:rFonts w:hint="eastAsia"/>
          <w:highlight w:val="none"/>
        </w:rPr>
        <w:t>对于主体阶段、粗装修阶段、机电阶段、装饰装修等阶段的关键工序，总承包人要坚持自检、互检、专检制度，关键工序经监理人/发包人检查放行，并形成验收记录，否则不得进行下道工序施工。需监理人/发包人进行检查、抽查的关键工序批次比例</w:t>
      </w:r>
      <w:r>
        <w:rPr>
          <w:rFonts w:hint="eastAsia"/>
          <w:highlight w:val="none"/>
          <w:lang w:eastAsia="zh-CN"/>
        </w:rPr>
        <w:t>。</w:t>
      </w:r>
    </w:p>
    <w:p w14:paraId="768D7313">
      <w:pPr>
        <w:pStyle w:val="5"/>
        <w:numPr>
          <w:ilvl w:val="2"/>
          <w:numId w:val="0"/>
        </w:numPr>
        <w:ind w:left="624" w:hanging="624"/>
        <w:rPr>
          <w:highlight w:val="none"/>
        </w:rPr>
      </w:pPr>
      <w:bookmarkStart w:id="308" w:name="_Toc1965"/>
      <w:bookmarkStart w:id="309" w:name="_Toc18473"/>
      <w:r>
        <w:rPr>
          <w:rFonts w:hint="eastAsia"/>
          <w:highlight w:val="none"/>
        </w:rPr>
        <w:t>6.1.2成品保护</w:t>
      </w:r>
      <w:bookmarkEnd w:id="308"/>
      <w:bookmarkEnd w:id="309"/>
    </w:p>
    <w:p w14:paraId="00B63EF8">
      <w:pPr>
        <w:ind w:firstLine="480"/>
        <w:rPr>
          <w:highlight w:val="none"/>
        </w:rPr>
      </w:pPr>
      <w:r>
        <w:rPr>
          <w:highlight w:val="none"/>
        </w:rPr>
        <w:t>承包人应加强工程材料、设备、半成品、成品的现场保护工作，项目移交之前造成的遗失或损坏由中标单位自行承担。</w:t>
      </w:r>
    </w:p>
    <w:p w14:paraId="1F32FCF0">
      <w:pPr>
        <w:pStyle w:val="6"/>
        <w:numPr>
          <w:ilvl w:val="3"/>
          <w:numId w:val="0"/>
        </w:numPr>
        <w:ind w:left="864" w:leftChars="100" w:hanging="624"/>
        <w:rPr>
          <w:highlight w:val="none"/>
        </w:rPr>
      </w:pPr>
      <w:r>
        <w:rPr>
          <w:rFonts w:hint="eastAsia"/>
          <w:highlight w:val="none"/>
        </w:rPr>
        <w:t>6.1.2.1</w:t>
      </w:r>
      <w:r>
        <w:rPr>
          <w:highlight w:val="none"/>
        </w:rPr>
        <w:t>成品保护遵循谁施工谁保护的原则，承包人有责任做好场地内的成品保护的后续检查和维护工作，并在必要的情况下做好二次保护工作。</w:t>
      </w:r>
    </w:p>
    <w:p w14:paraId="7035D2D3">
      <w:pPr>
        <w:pStyle w:val="6"/>
        <w:numPr>
          <w:ilvl w:val="3"/>
          <w:numId w:val="0"/>
        </w:numPr>
        <w:ind w:left="864" w:leftChars="100" w:hanging="624"/>
        <w:rPr>
          <w:highlight w:val="none"/>
        </w:rPr>
      </w:pPr>
      <w:r>
        <w:rPr>
          <w:rFonts w:hint="eastAsia"/>
          <w:highlight w:val="none"/>
        </w:rPr>
        <w:t>6.1.2.2成品保护应遵循先验收后保护的原则；所有工序必须经过施工单位自检、监理验收并做好成品清洁后方可进行保护。</w:t>
      </w:r>
    </w:p>
    <w:p w14:paraId="2D513748">
      <w:pPr>
        <w:pStyle w:val="6"/>
        <w:numPr>
          <w:ilvl w:val="3"/>
          <w:numId w:val="0"/>
        </w:numPr>
        <w:ind w:left="864" w:leftChars="100" w:hanging="624"/>
        <w:rPr>
          <w:highlight w:val="none"/>
        </w:rPr>
      </w:pPr>
      <w:r>
        <w:rPr>
          <w:rFonts w:hint="eastAsia"/>
          <w:highlight w:val="none"/>
        </w:rPr>
        <w:t>6.1.2.3成品保护应遵循持续保护原则，施工中及细部检查阶段，承包人有责任做好成品保护的后续检查和维护工作，对于成品保护措施被破坏、拆除的必须在恢复保护措施后方可进行施工。</w:t>
      </w:r>
    </w:p>
    <w:p w14:paraId="11E119A3">
      <w:pPr>
        <w:pStyle w:val="6"/>
        <w:numPr>
          <w:ilvl w:val="3"/>
          <w:numId w:val="0"/>
        </w:numPr>
        <w:ind w:left="864" w:leftChars="100" w:hanging="624"/>
        <w:rPr>
          <w:highlight w:val="none"/>
        </w:rPr>
      </w:pPr>
      <w:r>
        <w:rPr>
          <w:rFonts w:hint="eastAsia"/>
          <w:highlight w:val="none"/>
        </w:rPr>
        <w:t>6.1.2.4责任明确原则</w:t>
      </w:r>
    </w:p>
    <w:p w14:paraId="0BE982BA">
      <w:pPr>
        <w:ind w:firstLine="480"/>
        <w:rPr>
          <w:highlight w:val="none"/>
        </w:rPr>
      </w:pPr>
      <w:r>
        <w:rPr>
          <w:rFonts w:hint="eastAsia"/>
          <w:highlight w:val="none"/>
        </w:rPr>
        <w:t>（1）承包人对已方产品的保护负有最终的责任，包括对成品采取防护措施的责任、看管和巡查的责任、与后续相关单位的协调和交底的责任等。承包人必须保证在交接或验收时，其产品的品质和数量符合合同和相关规范的要求。</w:t>
      </w:r>
    </w:p>
    <w:p w14:paraId="5D1237A7">
      <w:pPr>
        <w:ind w:firstLine="480"/>
        <w:rPr>
          <w:highlight w:val="none"/>
        </w:rPr>
      </w:pPr>
      <w:r>
        <w:rPr>
          <w:rFonts w:hint="eastAsia"/>
          <w:highlight w:val="none"/>
        </w:rPr>
        <w:t>（2）户门安装上锁后，室内成品保护进入专人看护集中管理阶段。后续工序施工人员进出室内需要办理移交手续（提交入内施工申请）。项目部每周组织召开协调会，明确以流水方式进入具体房间的时间表，看护人员根据此表组织场地移交，负责开门、检查、关门、再检查的工作。</w:t>
      </w:r>
    </w:p>
    <w:p w14:paraId="3D4AF9B0">
      <w:pPr>
        <w:pStyle w:val="6"/>
        <w:numPr>
          <w:ilvl w:val="3"/>
          <w:numId w:val="0"/>
        </w:numPr>
        <w:ind w:left="864" w:leftChars="100" w:hanging="624"/>
        <w:rPr>
          <w:highlight w:val="none"/>
        </w:rPr>
      </w:pPr>
      <w:r>
        <w:rPr>
          <w:rFonts w:hint="eastAsia"/>
          <w:highlight w:val="none"/>
        </w:rPr>
        <w:t>6.1.2.5工序合理化原则</w:t>
      </w:r>
    </w:p>
    <w:p w14:paraId="68FA095D">
      <w:pPr>
        <w:ind w:firstLine="480"/>
        <w:rPr>
          <w:highlight w:val="none"/>
        </w:rPr>
      </w:pPr>
      <w:r>
        <w:rPr>
          <w:highlight w:val="none"/>
        </w:rPr>
        <w:t xml:space="preserve"> </w:t>
      </w:r>
      <w:r>
        <w:rPr>
          <w:rFonts w:hint="eastAsia"/>
          <w:highlight w:val="none"/>
        </w:rPr>
        <w:t>项目部根据施工内容合理规划施工工序和交叉作业。承包人应严格执行，尽量避免多工种在同一房间内交叉施工。</w:t>
      </w:r>
    </w:p>
    <w:p w14:paraId="329090B5">
      <w:pPr>
        <w:pStyle w:val="6"/>
        <w:numPr>
          <w:ilvl w:val="3"/>
          <w:numId w:val="0"/>
        </w:numPr>
        <w:ind w:left="864" w:leftChars="100" w:hanging="624"/>
        <w:rPr>
          <w:highlight w:val="none"/>
        </w:rPr>
      </w:pPr>
      <w:r>
        <w:rPr>
          <w:rFonts w:hint="eastAsia"/>
          <w:highlight w:val="none"/>
        </w:rPr>
        <w:t>6.1.2.6防护措施的持续维护原则</w:t>
      </w:r>
    </w:p>
    <w:p w14:paraId="517F1A3D">
      <w:pPr>
        <w:ind w:firstLine="480"/>
        <w:rPr>
          <w:highlight w:val="none"/>
        </w:rPr>
      </w:pPr>
      <w:r>
        <w:rPr>
          <w:highlight w:val="none"/>
        </w:rPr>
        <w:t xml:space="preserve"> </w:t>
      </w:r>
      <w:r>
        <w:rPr>
          <w:rFonts w:hint="eastAsia"/>
          <w:highlight w:val="none"/>
        </w:rPr>
        <w:t>承包人负有对成品防护措施进行巡视检查的责任，同时负有对已破坏的部分及时进行修补的责任。</w:t>
      </w:r>
    </w:p>
    <w:p w14:paraId="2522E490">
      <w:pPr>
        <w:pStyle w:val="6"/>
        <w:numPr>
          <w:ilvl w:val="3"/>
          <w:numId w:val="0"/>
        </w:numPr>
        <w:ind w:left="864" w:leftChars="100" w:hanging="624"/>
        <w:rPr>
          <w:highlight w:val="none"/>
        </w:rPr>
      </w:pPr>
      <w:r>
        <w:rPr>
          <w:rFonts w:hint="eastAsia"/>
          <w:highlight w:val="none"/>
        </w:rPr>
        <w:t>6.1.2.7其它要求</w:t>
      </w:r>
    </w:p>
    <w:p w14:paraId="28DAC379">
      <w:pPr>
        <w:ind w:firstLine="480"/>
        <w:rPr>
          <w:highlight w:val="none"/>
        </w:rPr>
      </w:pPr>
      <w:r>
        <w:rPr>
          <w:rFonts w:hint="eastAsia"/>
          <w:highlight w:val="none"/>
        </w:rPr>
        <w:t>（1）施工过程中的成品保护</w:t>
      </w:r>
    </w:p>
    <w:p w14:paraId="5995DE2F">
      <w:pPr>
        <w:ind w:firstLine="480"/>
        <w:rPr>
          <w:highlight w:val="none"/>
        </w:rPr>
      </w:pPr>
      <w:r>
        <w:rPr>
          <w:highlight w:val="none"/>
        </w:rPr>
        <w:t>1</w:t>
      </w:r>
      <w:r>
        <w:rPr>
          <w:rFonts w:hint="eastAsia"/>
          <w:highlight w:val="none"/>
        </w:rPr>
        <w:t>）各工种在施工中不得污染、损坏其他工种的半成品、成品。</w:t>
      </w:r>
    </w:p>
    <w:p w14:paraId="47E240D2">
      <w:pPr>
        <w:ind w:firstLine="480"/>
        <w:rPr>
          <w:highlight w:val="none"/>
        </w:rPr>
      </w:pPr>
      <w:r>
        <w:rPr>
          <w:highlight w:val="none"/>
        </w:rPr>
        <w:t>2</w:t>
      </w:r>
      <w:r>
        <w:rPr>
          <w:rFonts w:hint="eastAsia"/>
          <w:highlight w:val="none"/>
        </w:rPr>
        <w:t>）材料表面保护膜实施单位应负责在交付保洁前拆除。</w:t>
      </w:r>
    </w:p>
    <w:p w14:paraId="7CC74D7D">
      <w:pPr>
        <w:ind w:firstLine="480"/>
        <w:rPr>
          <w:highlight w:val="none"/>
        </w:rPr>
        <w:sectPr>
          <w:footerReference r:id="rId13" w:type="default"/>
          <w:pgSz w:w="11905" w:h="16839"/>
          <w:pgMar w:top="1440" w:right="1440" w:bottom="1440" w:left="1440" w:header="0" w:footer="1144" w:gutter="0"/>
          <w:pgNumType w:fmt="decimal" w:start="1"/>
          <w:cols w:space="720" w:num="1"/>
        </w:sectPr>
      </w:pPr>
      <w:r>
        <w:rPr>
          <w:highlight w:val="none"/>
        </w:rPr>
        <w:t>3</w:t>
      </w:r>
      <w:r>
        <w:rPr>
          <w:rFonts w:hint="eastAsia"/>
          <w:highlight w:val="none"/>
        </w:rPr>
        <w:t>）成品保护措施在移交时各项措施应完善、固定牢靠。</w:t>
      </w:r>
    </w:p>
    <w:p w14:paraId="0FE47681">
      <w:pPr>
        <w:pStyle w:val="6"/>
        <w:numPr>
          <w:ilvl w:val="3"/>
          <w:numId w:val="0"/>
        </w:numPr>
        <w:ind w:left="864" w:leftChars="100" w:hanging="624"/>
        <w:rPr>
          <w:highlight w:val="none"/>
        </w:rPr>
      </w:pPr>
      <w:r>
        <w:rPr>
          <w:rFonts w:hint="eastAsia"/>
          <w:highlight w:val="none"/>
        </w:rPr>
        <w:t>6.1.2.8土建成品保护标准做法</w:t>
      </w:r>
    </w:p>
    <w:tbl>
      <w:tblPr>
        <w:tblStyle w:val="2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4"/>
        <w:gridCol w:w="1204"/>
        <w:gridCol w:w="2461"/>
        <w:gridCol w:w="3870"/>
        <w:gridCol w:w="3800"/>
        <w:gridCol w:w="720"/>
      </w:tblGrid>
      <w:tr w14:paraId="21DBB6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3" w:hRule="atLeast"/>
          <w:jc w:val="center"/>
        </w:trPr>
        <w:tc>
          <w:tcPr>
            <w:tcW w:w="12719" w:type="dxa"/>
            <w:gridSpan w:val="6"/>
            <w:noWrap w:val="0"/>
            <w:vAlign w:val="center"/>
          </w:tcPr>
          <w:p w14:paraId="233ECC00">
            <w:pPr>
              <w:pStyle w:val="13"/>
              <w:rPr>
                <w:b/>
                <w:bCs/>
                <w:highlight w:val="none"/>
                <w:lang w:val="zh-CN"/>
              </w:rPr>
            </w:pPr>
            <w:r>
              <w:rPr>
                <w:rFonts w:hint="eastAsia"/>
                <w:b/>
                <w:bCs/>
                <w:highlight w:val="none"/>
                <w:lang w:val="zh-CN"/>
              </w:rPr>
              <w:t>土建成品保护标准做法</w:t>
            </w:r>
          </w:p>
        </w:tc>
      </w:tr>
      <w:tr w14:paraId="526528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jc w:val="center"/>
        </w:trPr>
        <w:tc>
          <w:tcPr>
            <w:tcW w:w="664" w:type="dxa"/>
            <w:noWrap w:val="0"/>
            <w:vAlign w:val="center"/>
          </w:tcPr>
          <w:p w14:paraId="0BB96F53">
            <w:pPr>
              <w:pStyle w:val="13"/>
              <w:rPr>
                <w:b/>
                <w:bCs/>
                <w:highlight w:val="none"/>
                <w:lang w:val="zh-CN"/>
              </w:rPr>
            </w:pPr>
            <w:r>
              <w:rPr>
                <w:rFonts w:hint="eastAsia"/>
                <w:b/>
                <w:bCs/>
                <w:highlight w:val="none"/>
                <w:lang w:val="zh-CN"/>
              </w:rPr>
              <w:t>序号</w:t>
            </w:r>
          </w:p>
        </w:tc>
        <w:tc>
          <w:tcPr>
            <w:tcW w:w="1204" w:type="dxa"/>
            <w:noWrap w:val="0"/>
            <w:vAlign w:val="center"/>
          </w:tcPr>
          <w:p w14:paraId="7F6333F7">
            <w:pPr>
              <w:pStyle w:val="13"/>
              <w:rPr>
                <w:b/>
                <w:bCs/>
                <w:highlight w:val="none"/>
                <w:lang w:val="zh-CN"/>
              </w:rPr>
            </w:pPr>
            <w:r>
              <w:rPr>
                <w:rFonts w:hint="eastAsia"/>
                <w:b/>
                <w:bCs/>
                <w:highlight w:val="none"/>
                <w:lang w:val="zh-CN"/>
              </w:rPr>
              <w:t>保护内容</w:t>
            </w:r>
          </w:p>
        </w:tc>
        <w:tc>
          <w:tcPr>
            <w:tcW w:w="2461" w:type="dxa"/>
            <w:noWrap w:val="0"/>
            <w:vAlign w:val="center"/>
          </w:tcPr>
          <w:p w14:paraId="1244742F">
            <w:pPr>
              <w:pStyle w:val="13"/>
              <w:rPr>
                <w:b/>
                <w:bCs/>
                <w:highlight w:val="none"/>
                <w:lang w:val="zh-CN"/>
              </w:rPr>
            </w:pPr>
            <w:r>
              <w:rPr>
                <w:rFonts w:hint="eastAsia"/>
                <w:b/>
                <w:bCs/>
                <w:highlight w:val="none"/>
                <w:lang w:val="zh-CN"/>
              </w:rPr>
              <w:t>保护标准</w:t>
            </w:r>
          </w:p>
        </w:tc>
        <w:tc>
          <w:tcPr>
            <w:tcW w:w="7670" w:type="dxa"/>
            <w:gridSpan w:val="2"/>
            <w:noWrap w:val="0"/>
            <w:vAlign w:val="center"/>
          </w:tcPr>
          <w:p w14:paraId="6F712B9A">
            <w:pPr>
              <w:pStyle w:val="13"/>
              <w:rPr>
                <w:b/>
                <w:bCs/>
                <w:highlight w:val="none"/>
                <w:lang w:val="zh-CN"/>
              </w:rPr>
            </w:pPr>
            <w:r>
              <w:rPr>
                <w:rFonts w:hint="eastAsia"/>
                <w:b/>
                <w:bCs/>
                <w:highlight w:val="none"/>
                <w:lang w:val="zh-CN"/>
              </w:rPr>
              <w:t>图示</w:t>
            </w:r>
          </w:p>
        </w:tc>
        <w:tc>
          <w:tcPr>
            <w:tcW w:w="720" w:type="dxa"/>
            <w:noWrap w:val="0"/>
            <w:vAlign w:val="center"/>
          </w:tcPr>
          <w:p w14:paraId="78A0673E">
            <w:pPr>
              <w:pStyle w:val="13"/>
              <w:rPr>
                <w:b/>
                <w:bCs/>
                <w:highlight w:val="none"/>
                <w:lang w:val="zh-CN"/>
              </w:rPr>
            </w:pPr>
            <w:r>
              <w:rPr>
                <w:rFonts w:hint="eastAsia"/>
                <w:b/>
                <w:bCs/>
                <w:highlight w:val="none"/>
                <w:lang w:val="zh-CN"/>
              </w:rPr>
              <w:t>备注</w:t>
            </w:r>
          </w:p>
        </w:tc>
      </w:tr>
      <w:tr w14:paraId="11A4C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9" w:hRule="atLeast"/>
          <w:jc w:val="center"/>
        </w:trPr>
        <w:tc>
          <w:tcPr>
            <w:tcW w:w="664" w:type="dxa"/>
            <w:noWrap w:val="0"/>
            <w:vAlign w:val="center"/>
          </w:tcPr>
          <w:p w14:paraId="2C4E5EC9">
            <w:pPr>
              <w:pStyle w:val="13"/>
              <w:rPr>
                <w:highlight w:val="none"/>
                <w:lang w:val="zh-CN"/>
              </w:rPr>
            </w:pPr>
            <w:r>
              <w:rPr>
                <w:rFonts w:hint="eastAsia"/>
                <w:highlight w:val="none"/>
              </w:rPr>
              <w:t>1</w:t>
            </w:r>
          </w:p>
        </w:tc>
        <w:tc>
          <w:tcPr>
            <w:tcW w:w="1204" w:type="dxa"/>
            <w:noWrap w:val="0"/>
            <w:vAlign w:val="center"/>
          </w:tcPr>
          <w:p w14:paraId="709455BF">
            <w:pPr>
              <w:pStyle w:val="13"/>
              <w:rPr>
                <w:highlight w:val="none"/>
                <w:lang w:val="zh-CN"/>
              </w:rPr>
            </w:pPr>
            <w:r>
              <w:rPr>
                <w:highlight w:val="none"/>
                <w:lang w:val="zh-CN"/>
              </w:rPr>
              <w:t>后期施工钢筋保护</w:t>
            </w:r>
          </w:p>
        </w:tc>
        <w:tc>
          <w:tcPr>
            <w:tcW w:w="2461" w:type="dxa"/>
            <w:noWrap w:val="0"/>
            <w:vAlign w:val="center"/>
          </w:tcPr>
          <w:p w14:paraId="321CC3C5">
            <w:pPr>
              <w:pStyle w:val="13"/>
              <w:rPr>
                <w:highlight w:val="none"/>
                <w:lang w:val="zh-CN"/>
              </w:rPr>
            </w:pPr>
            <w:r>
              <w:rPr>
                <w:highlight w:val="none"/>
                <w:lang w:val="zh-CN"/>
              </w:rPr>
              <w:t>现场对于结构面上后期施工的钢筋采用</w:t>
            </w:r>
            <w:r>
              <w:rPr>
                <w:rFonts w:hint="eastAsia"/>
                <w:highlight w:val="none"/>
              </w:rPr>
              <w:t>覆膜</w:t>
            </w:r>
            <w:r>
              <w:rPr>
                <w:highlight w:val="none"/>
                <w:lang w:val="zh-CN"/>
              </w:rPr>
              <w:t>保护，防止钢筋锈蚀</w:t>
            </w:r>
          </w:p>
        </w:tc>
        <w:tc>
          <w:tcPr>
            <w:tcW w:w="3870" w:type="dxa"/>
            <w:noWrap w:val="0"/>
            <w:vAlign w:val="center"/>
          </w:tcPr>
          <w:p w14:paraId="4175D181">
            <w:pPr>
              <w:pStyle w:val="13"/>
              <w:rPr>
                <w:highlight w:val="none"/>
                <w:lang w:val="zh-CN"/>
              </w:rPr>
            </w:pPr>
          </w:p>
          <w:p w14:paraId="12F34948">
            <w:pPr>
              <w:pStyle w:val="13"/>
              <w:rPr>
                <w:highlight w:val="none"/>
                <w:lang w:val="zh-CN" w:eastAsia="zh"/>
              </w:rPr>
            </w:pPr>
            <w:r>
              <w:rPr>
                <w:rFonts w:hint="eastAsia"/>
                <w:highlight w:val="none"/>
              </w:rPr>
              <w:drawing>
                <wp:inline distT="0" distB="0" distL="114300" distR="114300">
                  <wp:extent cx="2336165" cy="1517650"/>
                  <wp:effectExtent l="0" t="0" r="6985" b="6350"/>
                  <wp:docPr id="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2"/>
                          <pic:cNvPicPr>
                            <a:picLocks noChangeAspect="1"/>
                          </pic:cNvPicPr>
                        </pic:nvPicPr>
                        <pic:blipFill>
                          <a:blip r:embed="rId20"/>
                          <a:stretch>
                            <a:fillRect/>
                          </a:stretch>
                        </pic:blipFill>
                        <pic:spPr>
                          <a:xfrm>
                            <a:off x="0" y="0"/>
                            <a:ext cx="2336165" cy="1517650"/>
                          </a:xfrm>
                          <a:prstGeom prst="rect">
                            <a:avLst/>
                          </a:prstGeom>
                          <a:noFill/>
                          <a:ln>
                            <a:noFill/>
                          </a:ln>
                        </pic:spPr>
                      </pic:pic>
                    </a:graphicData>
                  </a:graphic>
                </wp:inline>
              </w:drawing>
            </w:r>
          </w:p>
        </w:tc>
        <w:tc>
          <w:tcPr>
            <w:tcW w:w="3800" w:type="dxa"/>
            <w:noWrap w:val="0"/>
            <w:vAlign w:val="center"/>
          </w:tcPr>
          <w:p w14:paraId="18128A21">
            <w:pPr>
              <w:pStyle w:val="13"/>
              <w:rPr>
                <w:highlight w:val="none"/>
              </w:rPr>
            </w:pPr>
            <w:r>
              <w:rPr>
                <w:rFonts w:hint="eastAsia"/>
                <w:highlight w:val="none"/>
              </w:rPr>
              <w:t>/</w:t>
            </w:r>
          </w:p>
        </w:tc>
        <w:tc>
          <w:tcPr>
            <w:tcW w:w="720" w:type="dxa"/>
            <w:noWrap w:val="0"/>
            <w:vAlign w:val="center"/>
          </w:tcPr>
          <w:p w14:paraId="3838289A">
            <w:pPr>
              <w:pStyle w:val="13"/>
              <w:rPr>
                <w:highlight w:val="none"/>
                <w:lang w:val="zh-CN"/>
              </w:rPr>
            </w:pPr>
          </w:p>
        </w:tc>
      </w:tr>
      <w:tr w14:paraId="4992B9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9" w:hRule="atLeast"/>
          <w:jc w:val="center"/>
        </w:trPr>
        <w:tc>
          <w:tcPr>
            <w:tcW w:w="664" w:type="dxa"/>
            <w:noWrap w:val="0"/>
            <w:vAlign w:val="center"/>
          </w:tcPr>
          <w:p w14:paraId="01F096DC">
            <w:pPr>
              <w:pStyle w:val="13"/>
              <w:rPr>
                <w:highlight w:val="none"/>
                <w:lang w:val="zh-CN"/>
              </w:rPr>
            </w:pPr>
            <w:r>
              <w:rPr>
                <w:rFonts w:hint="eastAsia"/>
                <w:highlight w:val="none"/>
              </w:rPr>
              <w:t>2</w:t>
            </w:r>
          </w:p>
        </w:tc>
        <w:tc>
          <w:tcPr>
            <w:tcW w:w="1204" w:type="dxa"/>
            <w:noWrap w:val="0"/>
            <w:vAlign w:val="center"/>
          </w:tcPr>
          <w:p w14:paraId="6CD34EDE">
            <w:pPr>
              <w:pStyle w:val="13"/>
              <w:rPr>
                <w:highlight w:val="none"/>
                <w:lang w:val="zh-CN"/>
              </w:rPr>
            </w:pPr>
            <w:r>
              <w:rPr>
                <w:highlight w:val="none"/>
                <w:lang w:val="zh-CN"/>
              </w:rPr>
              <w:t>钢筋原材料堆放</w:t>
            </w:r>
          </w:p>
        </w:tc>
        <w:tc>
          <w:tcPr>
            <w:tcW w:w="2461" w:type="dxa"/>
            <w:noWrap w:val="0"/>
            <w:vAlign w:val="center"/>
          </w:tcPr>
          <w:p w14:paraId="1ED94402">
            <w:pPr>
              <w:pStyle w:val="13"/>
              <w:rPr>
                <w:highlight w:val="none"/>
                <w:lang w:val="zh-CN"/>
              </w:rPr>
            </w:pPr>
            <w:r>
              <w:rPr>
                <w:highlight w:val="none"/>
                <w:lang w:val="zh-CN"/>
              </w:rPr>
              <w:t>钢筋应堆放整齐，下部加不小于 100mm 高垫木，防止钢筋变形、 锈蚀；直螺纹连接头，在丝工成型后，需要套上塑料保护帽防止碰撞丝头</w:t>
            </w:r>
          </w:p>
        </w:tc>
        <w:tc>
          <w:tcPr>
            <w:tcW w:w="3870" w:type="dxa"/>
            <w:noWrap w:val="0"/>
            <w:vAlign w:val="center"/>
          </w:tcPr>
          <w:p w14:paraId="66E1F229">
            <w:pPr>
              <w:pStyle w:val="13"/>
              <w:rPr>
                <w:highlight w:val="none"/>
                <w:lang w:val="zh-CN"/>
              </w:rPr>
            </w:pPr>
            <w:r>
              <w:rPr>
                <w:highlight w:val="none"/>
              </w:rPr>
              <w:drawing>
                <wp:inline distT="0" distB="0" distL="114300" distR="114300">
                  <wp:extent cx="2237740" cy="2225040"/>
                  <wp:effectExtent l="0" t="0" r="10160" b="3810"/>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a:picLocks noChangeAspect="1"/>
                          </pic:cNvPicPr>
                        </pic:nvPicPr>
                        <pic:blipFill>
                          <a:blip r:embed="rId21"/>
                          <a:stretch>
                            <a:fillRect/>
                          </a:stretch>
                        </pic:blipFill>
                        <pic:spPr>
                          <a:xfrm>
                            <a:off x="0" y="0"/>
                            <a:ext cx="2237740" cy="2225040"/>
                          </a:xfrm>
                          <a:prstGeom prst="rect">
                            <a:avLst/>
                          </a:prstGeom>
                          <a:noFill/>
                          <a:ln>
                            <a:noFill/>
                          </a:ln>
                        </pic:spPr>
                      </pic:pic>
                    </a:graphicData>
                  </a:graphic>
                </wp:inline>
              </w:drawing>
            </w:r>
          </w:p>
        </w:tc>
        <w:tc>
          <w:tcPr>
            <w:tcW w:w="3800" w:type="dxa"/>
            <w:noWrap w:val="0"/>
            <w:vAlign w:val="center"/>
          </w:tcPr>
          <w:p w14:paraId="0C04B949">
            <w:pPr>
              <w:pStyle w:val="13"/>
              <w:rPr>
                <w:highlight w:val="none"/>
                <w:lang w:val="zh-CN"/>
              </w:rPr>
            </w:pPr>
            <w:r>
              <w:rPr>
                <w:highlight w:val="none"/>
              </w:rPr>
              <w:drawing>
                <wp:inline distT="0" distB="0" distL="114300" distR="114300">
                  <wp:extent cx="2268220" cy="2230755"/>
                  <wp:effectExtent l="0" t="0" r="17780" b="17145"/>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22"/>
                          <a:stretch>
                            <a:fillRect/>
                          </a:stretch>
                        </pic:blipFill>
                        <pic:spPr>
                          <a:xfrm>
                            <a:off x="0" y="0"/>
                            <a:ext cx="2268220" cy="2230755"/>
                          </a:xfrm>
                          <a:prstGeom prst="rect">
                            <a:avLst/>
                          </a:prstGeom>
                          <a:noFill/>
                          <a:ln>
                            <a:noFill/>
                          </a:ln>
                        </pic:spPr>
                      </pic:pic>
                    </a:graphicData>
                  </a:graphic>
                </wp:inline>
              </w:drawing>
            </w:r>
          </w:p>
        </w:tc>
        <w:tc>
          <w:tcPr>
            <w:tcW w:w="720" w:type="dxa"/>
            <w:noWrap w:val="0"/>
            <w:vAlign w:val="center"/>
          </w:tcPr>
          <w:p w14:paraId="1CE879DE">
            <w:pPr>
              <w:pStyle w:val="13"/>
              <w:rPr>
                <w:highlight w:val="none"/>
                <w:lang w:val="zh-CN"/>
              </w:rPr>
            </w:pPr>
          </w:p>
        </w:tc>
      </w:tr>
      <w:tr w14:paraId="46B0D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9" w:hRule="atLeast"/>
          <w:jc w:val="center"/>
        </w:trPr>
        <w:tc>
          <w:tcPr>
            <w:tcW w:w="664" w:type="dxa"/>
            <w:noWrap w:val="0"/>
            <w:vAlign w:val="center"/>
          </w:tcPr>
          <w:p w14:paraId="1F51F380">
            <w:pPr>
              <w:pStyle w:val="13"/>
              <w:rPr>
                <w:highlight w:val="none"/>
                <w:lang w:val="zh-CN"/>
              </w:rPr>
            </w:pPr>
            <w:r>
              <w:rPr>
                <w:rFonts w:hint="eastAsia"/>
                <w:highlight w:val="none"/>
              </w:rPr>
              <w:t>3</w:t>
            </w:r>
          </w:p>
        </w:tc>
        <w:tc>
          <w:tcPr>
            <w:tcW w:w="1204" w:type="dxa"/>
            <w:noWrap w:val="0"/>
            <w:vAlign w:val="center"/>
          </w:tcPr>
          <w:p w14:paraId="0D547284">
            <w:pPr>
              <w:pStyle w:val="13"/>
              <w:rPr>
                <w:highlight w:val="none"/>
                <w:lang w:val="zh-CN"/>
              </w:rPr>
            </w:pPr>
            <w:r>
              <w:rPr>
                <w:highlight w:val="none"/>
                <w:lang w:val="zh-CN"/>
              </w:rPr>
              <w:t>模板内钢筋保护</w:t>
            </w:r>
          </w:p>
        </w:tc>
        <w:tc>
          <w:tcPr>
            <w:tcW w:w="2461" w:type="dxa"/>
            <w:noWrap w:val="0"/>
            <w:vAlign w:val="center"/>
          </w:tcPr>
          <w:p w14:paraId="4886BD62">
            <w:pPr>
              <w:pStyle w:val="13"/>
              <w:rPr>
                <w:highlight w:val="none"/>
                <w:lang w:val="zh-CN"/>
              </w:rPr>
            </w:pPr>
            <w:r>
              <w:rPr>
                <w:highlight w:val="none"/>
                <w:lang w:val="zh-CN"/>
              </w:rPr>
              <w:t>模板内的弯起钢筋、负矩和上层绑好后， 不准在上面踩踏行 走，应铺设跳板走道；浇筑混凝土时混凝土泵应架起，不允许直接放置在已经绑好的钢筋上</w:t>
            </w:r>
          </w:p>
        </w:tc>
        <w:tc>
          <w:tcPr>
            <w:tcW w:w="3870" w:type="dxa"/>
            <w:noWrap w:val="0"/>
            <w:vAlign w:val="center"/>
          </w:tcPr>
          <w:p w14:paraId="5A332EE9">
            <w:pPr>
              <w:pStyle w:val="13"/>
              <w:rPr>
                <w:highlight w:val="none"/>
                <w:lang w:val="zh-CN"/>
              </w:rPr>
            </w:pPr>
            <w:r>
              <w:rPr>
                <w:highlight w:val="none"/>
              </w:rPr>
              <w:drawing>
                <wp:inline distT="0" distB="0" distL="114300" distR="114300">
                  <wp:extent cx="2444750" cy="1520825"/>
                  <wp:effectExtent l="0" t="0" r="1270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2444750" cy="1520825"/>
                          </a:xfrm>
                          <a:prstGeom prst="rect">
                            <a:avLst/>
                          </a:prstGeom>
                          <a:noFill/>
                          <a:ln>
                            <a:noFill/>
                          </a:ln>
                        </pic:spPr>
                      </pic:pic>
                    </a:graphicData>
                  </a:graphic>
                </wp:inline>
              </w:drawing>
            </w:r>
          </w:p>
        </w:tc>
        <w:tc>
          <w:tcPr>
            <w:tcW w:w="3800" w:type="dxa"/>
            <w:noWrap w:val="0"/>
            <w:vAlign w:val="center"/>
          </w:tcPr>
          <w:p w14:paraId="7351D407">
            <w:pPr>
              <w:pStyle w:val="13"/>
              <w:rPr>
                <w:highlight w:val="none"/>
                <w:lang w:val="zh-CN"/>
              </w:rPr>
            </w:pPr>
            <w:r>
              <w:rPr>
                <w:highlight w:val="none"/>
              </w:rPr>
              <w:drawing>
                <wp:inline distT="0" distB="0" distL="114300" distR="114300">
                  <wp:extent cx="2400300" cy="2386965"/>
                  <wp:effectExtent l="0" t="0" r="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tretch>
                            <a:fillRect/>
                          </a:stretch>
                        </pic:blipFill>
                        <pic:spPr>
                          <a:xfrm>
                            <a:off x="0" y="0"/>
                            <a:ext cx="2400300" cy="2386965"/>
                          </a:xfrm>
                          <a:prstGeom prst="rect">
                            <a:avLst/>
                          </a:prstGeom>
                          <a:noFill/>
                          <a:ln>
                            <a:noFill/>
                          </a:ln>
                        </pic:spPr>
                      </pic:pic>
                    </a:graphicData>
                  </a:graphic>
                </wp:inline>
              </w:drawing>
            </w:r>
          </w:p>
        </w:tc>
        <w:tc>
          <w:tcPr>
            <w:tcW w:w="720" w:type="dxa"/>
            <w:noWrap w:val="0"/>
            <w:vAlign w:val="center"/>
          </w:tcPr>
          <w:p w14:paraId="5EDA1BDC">
            <w:pPr>
              <w:pStyle w:val="13"/>
              <w:rPr>
                <w:highlight w:val="none"/>
                <w:lang w:val="zh-CN"/>
              </w:rPr>
            </w:pPr>
          </w:p>
        </w:tc>
      </w:tr>
      <w:tr w14:paraId="3C6A95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9" w:hRule="atLeast"/>
          <w:jc w:val="center"/>
        </w:trPr>
        <w:tc>
          <w:tcPr>
            <w:tcW w:w="664" w:type="dxa"/>
            <w:noWrap w:val="0"/>
            <w:vAlign w:val="center"/>
          </w:tcPr>
          <w:p w14:paraId="605E3D22">
            <w:pPr>
              <w:pStyle w:val="13"/>
              <w:rPr>
                <w:highlight w:val="none"/>
                <w:lang w:val="zh-CN"/>
              </w:rPr>
            </w:pPr>
            <w:r>
              <w:rPr>
                <w:rFonts w:hint="eastAsia"/>
                <w:highlight w:val="none"/>
              </w:rPr>
              <w:t>4</w:t>
            </w:r>
          </w:p>
        </w:tc>
        <w:tc>
          <w:tcPr>
            <w:tcW w:w="1204" w:type="dxa"/>
            <w:noWrap w:val="0"/>
            <w:vAlign w:val="center"/>
          </w:tcPr>
          <w:p w14:paraId="4ED753D5">
            <w:pPr>
              <w:pStyle w:val="13"/>
              <w:rPr>
                <w:highlight w:val="none"/>
                <w:lang w:val="zh-CN"/>
              </w:rPr>
            </w:pPr>
            <w:r>
              <w:rPr>
                <w:highlight w:val="none"/>
                <w:lang w:val="zh-CN"/>
              </w:rPr>
              <w:t>混凝土阳角部位保护</w:t>
            </w:r>
          </w:p>
        </w:tc>
        <w:tc>
          <w:tcPr>
            <w:tcW w:w="2461" w:type="dxa"/>
            <w:noWrap w:val="0"/>
            <w:vAlign w:val="center"/>
          </w:tcPr>
          <w:p w14:paraId="20761DE5">
            <w:pPr>
              <w:pStyle w:val="13"/>
              <w:rPr>
                <w:highlight w:val="none"/>
                <w:lang w:val="zh-CN"/>
              </w:rPr>
            </w:pPr>
            <w:r>
              <w:rPr>
                <w:highlight w:val="none"/>
                <w:lang w:val="zh-CN"/>
              </w:rPr>
              <w:t>所有墙、柱、较大孔洞口应做角钢或多层胶合板护脚进行保护</w:t>
            </w:r>
            <w:r>
              <w:rPr>
                <w:rFonts w:hint="eastAsia"/>
                <w:highlight w:val="none"/>
                <w:lang w:val="zh-CN"/>
              </w:rPr>
              <w:t>。</w:t>
            </w:r>
          </w:p>
        </w:tc>
        <w:tc>
          <w:tcPr>
            <w:tcW w:w="3870" w:type="dxa"/>
            <w:noWrap w:val="0"/>
            <w:vAlign w:val="center"/>
          </w:tcPr>
          <w:p w14:paraId="7517155A">
            <w:pPr>
              <w:pStyle w:val="13"/>
              <w:rPr>
                <w:highlight w:val="none"/>
                <w:lang w:val="zh-CN"/>
              </w:rPr>
            </w:pPr>
          </w:p>
          <w:p w14:paraId="4F48DC39">
            <w:pPr>
              <w:pStyle w:val="13"/>
              <w:rPr>
                <w:highlight w:val="none"/>
                <w:lang w:val="zh-CN"/>
              </w:rPr>
            </w:pPr>
            <w:r>
              <w:rPr>
                <w:highlight w:val="none"/>
              </w:rPr>
              <w:drawing>
                <wp:inline distT="0" distB="0" distL="114300" distR="114300">
                  <wp:extent cx="2220595" cy="2171700"/>
                  <wp:effectExtent l="0" t="0" r="8255" b="0"/>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a:picLocks noChangeAspect="1"/>
                          </pic:cNvPicPr>
                        </pic:nvPicPr>
                        <pic:blipFill>
                          <a:blip r:embed="rId25"/>
                          <a:stretch>
                            <a:fillRect/>
                          </a:stretch>
                        </pic:blipFill>
                        <pic:spPr>
                          <a:xfrm>
                            <a:off x="0" y="0"/>
                            <a:ext cx="2220595" cy="2171700"/>
                          </a:xfrm>
                          <a:prstGeom prst="rect">
                            <a:avLst/>
                          </a:prstGeom>
                          <a:noFill/>
                          <a:ln>
                            <a:noFill/>
                          </a:ln>
                        </pic:spPr>
                      </pic:pic>
                    </a:graphicData>
                  </a:graphic>
                </wp:inline>
              </w:drawing>
            </w:r>
          </w:p>
        </w:tc>
        <w:tc>
          <w:tcPr>
            <w:tcW w:w="3800" w:type="dxa"/>
            <w:noWrap w:val="0"/>
            <w:vAlign w:val="center"/>
          </w:tcPr>
          <w:p w14:paraId="1119B26C">
            <w:pPr>
              <w:pStyle w:val="13"/>
              <w:rPr>
                <w:highlight w:val="none"/>
                <w:lang w:val="zh-CN"/>
              </w:rPr>
            </w:pPr>
          </w:p>
          <w:p w14:paraId="3CF17723">
            <w:pPr>
              <w:pStyle w:val="13"/>
              <w:rPr>
                <w:highlight w:val="none"/>
                <w:lang w:val="zh-CN"/>
              </w:rPr>
            </w:pPr>
            <w:r>
              <w:rPr>
                <w:highlight w:val="none"/>
              </w:rPr>
              <w:drawing>
                <wp:inline distT="0" distB="0" distL="114300" distR="114300">
                  <wp:extent cx="2293620" cy="2205990"/>
                  <wp:effectExtent l="0" t="0" r="11430" b="381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a:picLocks noChangeAspect="1"/>
                          </pic:cNvPicPr>
                        </pic:nvPicPr>
                        <pic:blipFill>
                          <a:blip r:embed="rId26"/>
                          <a:stretch>
                            <a:fillRect/>
                          </a:stretch>
                        </pic:blipFill>
                        <pic:spPr>
                          <a:xfrm>
                            <a:off x="0" y="0"/>
                            <a:ext cx="2293620" cy="2205990"/>
                          </a:xfrm>
                          <a:prstGeom prst="rect">
                            <a:avLst/>
                          </a:prstGeom>
                          <a:noFill/>
                          <a:ln>
                            <a:noFill/>
                          </a:ln>
                        </pic:spPr>
                      </pic:pic>
                    </a:graphicData>
                  </a:graphic>
                </wp:inline>
              </w:drawing>
            </w:r>
          </w:p>
        </w:tc>
        <w:tc>
          <w:tcPr>
            <w:tcW w:w="720" w:type="dxa"/>
            <w:noWrap w:val="0"/>
            <w:vAlign w:val="center"/>
          </w:tcPr>
          <w:p w14:paraId="539D3059">
            <w:pPr>
              <w:pStyle w:val="13"/>
              <w:rPr>
                <w:highlight w:val="none"/>
                <w:lang w:val="zh-CN"/>
              </w:rPr>
            </w:pPr>
          </w:p>
        </w:tc>
      </w:tr>
      <w:tr w14:paraId="4F3721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9" w:hRule="atLeast"/>
          <w:jc w:val="center"/>
        </w:trPr>
        <w:tc>
          <w:tcPr>
            <w:tcW w:w="664" w:type="dxa"/>
            <w:noWrap w:val="0"/>
            <w:vAlign w:val="center"/>
          </w:tcPr>
          <w:p w14:paraId="05C97FD2">
            <w:pPr>
              <w:pStyle w:val="13"/>
              <w:rPr>
                <w:rFonts w:hint="eastAsia" w:eastAsia="宋体"/>
                <w:highlight w:val="none"/>
                <w:lang w:eastAsia="zh-CN"/>
              </w:rPr>
            </w:pPr>
            <w:r>
              <w:rPr>
                <w:rFonts w:hint="eastAsia"/>
                <w:highlight w:val="none"/>
                <w:lang w:val="en-US" w:eastAsia="zh-CN"/>
              </w:rPr>
              <w:t>5</w:t>
            </w:r>
          </w:p>
        </w:tc>
        <w:tc>
          <w:tcPr>
            <w:tcW w:w="1204" w:type="dxa"/>
            <w:noWrap w:val="0"/>
            <w:vAlign w:val="center"/>
          </w:tcPr>
          <w:p w14:paraId="183DC770">
            <w:pPr>
              <w:pStyle w:val="13"/>
              <w:rPr>
                <w:highlight w:val="none"/>
              </w:rPr>
            </w:pPr>
            <w:r>
              <w:rPr>
                <w:highlight w:val="none"/>
              </w:rPr>
              <w:t xml:space="preserve">PC楼梯成品保护 </w:t>
            </w:r>
          </w:p>
        </w:tc>
        <w:tc>
          <w:tcPr>
            <w:tcW w:w="2461" w:type="dxa"/>
            <w:noWrap w:val="0"/>
            <w:vAlign w:val="center"/>
          </w:tcPr>
          <w:p w14:paraId="7D106381">
            <w:pPr>
              <w:pStyle w:val="13"/>
              <w:rPr>
                <w:highlight w:val="none"/>
              </w:rPr>
            </w:pPr>
            <w:r>
              <w:rPr>
                <w:rFonts w:hint="eastAsia"/>
                <w:highlight w:val="none"/>
              </w:rPr>
              <w:t>使用塑料单板保护。</w:t>
            </w:r>
          </w:p>
          <w:p w14:paraId="4ED78332">
            <w:pPr>
              <w:pStyle w:val="13"/>
              <w:rPr>
                <w:highlight w:val="none"/>
              </w:rPr>
            </w:pPr>
            <w:r>
              <w:rPr>
                <w:rFonts w:hint="eastAsia"/>
                <w:highlight w:val="none"/>
              </w:rPr>
              <w:t xml:space="preserve">使用木模板保护。 </w:t>
            </w:r>
          </w:p>
          <w:p w14:paraId="742CBBA1">
            <w:pPr>
              <w:pStyle w:val="13"/>
              <w:rPr>
                <w:highlight w:val="none"/>
                <w:lang w:val="zh-CN"/>
              </w:rPr>
            </w:pPr>
          </w:p>
        </w:tc>
        <w:tc>
          <w:tcPr>
            <w:tcW w:w="3870" w:type="dxa"/>
            <w:noWrap w:val="0"/>
            <w:vAlign w:val="center"/>
          </w:tcPr>
          <w:p w14:paraId="49D7521D">
            <w:pPr>
              <w:pStyle w:val="13"/>
              <w:rPr>
                <w:highlight w:val="none"/>
              </w:rPr>
            </w:pPr>
            <w:r>
              <w:rPr>
                <w:highlight w:val="none"/>
              </w:rPr>
              <w:drawing>
                <wp:inline distT="0" distB="0" distL="114300" distR="114300">
                  <wp:extent cx="2352675" cy="1760220"/>
                  <wp:effectExtent l="0" t="0" r="9525" b="11430"/>
                  <wp:docPr id="1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4"/>
                          <pic:cNvPicPr>
                            <a:picLocks noChangeAspect="1"/>
                          </pic:cNvPicPr>
                        </pic:nvPicPr>
                        <pic:blipFill>
                          <a:blip r:embed="rId27"/>
                          <a:stretch>
                            <a:fillRect/>
                          </a:stretch>
                        </pic:blipFill>
                        <pic:spPr>
                          <a:xfrm>
                            <a:off x="0" y="0"/>
                            <a:ext cx="2352675" cy="1760220"/>
                          </a:xfrm>
                          <a:prstGeom prst="rect">
                            <a:avLst/>
                          </a:prstGeom>
                          <a:noFill/>
                          <a:ln>
                            <a:noFill/>
                          </a:ln>
                        </pic:spPr>
                      </pic:pic>
                    </a:graphicData>
                  </a:graphic>
                </wp:inline>
              </w:drawing>
            </w:r>
          </w:p>
        </w:tc>
        <w:tc>
          <w:tcPr>
            <w:tcW w:w="3800" w:type="dxa"/>
            <w:noWrap w:val="0"/>
            <w:vAlign w:val="center"/>
          </w:tcPr>
          <w:p w14:paraId="7D72B683">
            <w:pPr>
              <w:pStyle w:val="13"/>
              <w:rPr>
                <w:highlight w:val="none"/>
              </w:rPr>
            </w:pPr>
            <w:r>
              <w:rPr>
                <w:highlight w:val="none"/>
              </w:rPr>
              <w:drawing>
                <wp:inline distT="0" distB="0" distL="114300" distR="114300">
                  <wp:extent cx="2311400" cy="1631950"/>
                  <wp:effectExtent l="0" t="0" r="12700" b="6350"/>
                  <wp:docPr id="1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0"/>
                          <pic:cNvPicPr>
                            <a:picLocks noChangeAspect="1"/>
                          </pic:cNvPicPr>
                        </pic:nvPicPr>
                        <pic:blipFill>
                          <a:blip r:embed="rId28"/>
                          <a:stretch>
                            <a:fillRect/>
                          </a:stretch>
                        </pic:blipFill>
                        <pic:spPr>
                          <a:xfrm>
                            <a:off x="0" y="0"/>
                            <a:ext cx="2311400" cy="1631950"/>
                          </a:xfrm>
                          <a:prstGeom prst="rect">
                            <a:avLst/>
                          </a:prstGeom>
                          <a:noFill/>
                          <a:ln>
                            <a:noFill/>
                          </a:ln>
                        </pic:spPr>
                      </pic:pic>
                    </a:graphicData>
                  </a:graphic>
                </wp:inline>
              </w:drawing>
            </w:r>
          </w:p>
        </w:tc>
        <w:tc>
          <w:tcPr>
            <w:tcW w:w="720" w:type="dxa"/>
            <w:noWrap w:val="0"/>
            <w:vAlign w:val="center"/>
          </w:tcPr>
          <w:p w14:paraId="4049DD4A">
            <w:pPr>
              <w:pStyle w:val="13"/>
              <w:rPr>
                <w:highlight w:val="none"/>
                <w:lang w:val="zh-CN"/>
              </w:rPr>
            </w:pPr>
          </w:p>
        </w:tc>
      </w:tr>
    </w:tbl>
    <w:p w14:paraId="723E9698">
      <w:pPr>
        <w:spacing w:before="120" w:beforeLines="50" w:after="120" w:afterLines="50"/>
        <w:ind w:left="501" w:firstLine="488"/>
        <w:rPr>
          <w:rFonts w:cs="宋体"/>
          <w:spacing w:val="2"/>
          <w:highlight w:val="none"/>
        </w:rPr>
      </w:pPr>
    </w:p>
    <w:p w14:paraId="46020DFA">
      <w:pPr>
        <w:spacing w:before="120" w:beforeLines="50" w:after="120" w:afterLines="50"/>
        <w:ind w:firstLine="488"/>
        <w:rPr>
          <w:highlight w:val="none"/>
        </w:rPr>
      </w:pPr>
      <w:r>
        <w:rPr>
          <w:rFonts w:hint="eastAsia" w:cs="宋体"/>
          <w:spacing w:val="2"/>
          <w:highlight w:val="none"/>
          <w:lang w:bidi="ar"/>
        </w:rPr>
        <w:br w:type="page"/>
      </w:r>
    </w:p>
    <w:p w14:paraId="304B2402">
      <w:pPr>
        <w:spacing w:before="120" w:beforeLines="50" w:after="120" w:afterLines="50"/>
        <w:ind w:firstLine="488"/>
        <w:rPr>
          <w:rFonts w:cs="宋体"/>
          <w:spacing w:val="2"/>
          <w:highlight w:val="none"/>
        </w:rPr>
      </w:pPr>
    </w:p>
    <w:p w14:paraId="2041D5E6">
      <w:pPr>
        <w:pStyle w:val="6"/>
        <w:numPr>
          <w:ilvl w:val="3"/>
          <w:numId w:val="0"/>
        </w:numPr>
        <w:ind w:left="864" w:leftChars="100" w:hanging="624"/>
        <w:rPr>
          <w:highlight w:val="none"/>
        </w:rPr>
      </w:pPr>
      <w:r>
        <w:rPr>
          <w:rFonts w:hint="eastAsia"/>
          <w:highlight w:val="none"/>
        </w:rPr>
        <w:t>6.1.2.9机电成品保护标准做法</w:t>
      </w:r>
    </w:p>
    <w:tbl>
      <w:tblPr>
        <w:tblStyle w:val="23"/>
        <w:tblpPr w:leftFromText="180" w:rightFromText="180" w:vertAnchor="text" w:horzAnchor="page" w:tblpX="1777" w:tblpY="422"/>
        <w:tblOverlap w:val="never"/>
        <w:tblW w:w="13133"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2"/>
        <w:gridCol w:w="1562"/>
        <w:gridCol w:w="1808"/>
        <w:gridCol w:w="7893"/>
        <w:gridCol w:w="1198"/>
      </w:tblGrid>
      <w:tr w14:paraId="6954A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13133" w:type="dxa"/>
            <w:gridSpan w:val="5"/>
            <w:noWrap w:val="0"/>
            <w:vAlign w:val="center"/>
          </w:tcPr>
          <w:p w14:paraId="27C797D2">
            <w:pPr>
              <w:pStyle w:val="13"/>
              <w:rPr>
                <w:highlight w:val="none"/>
                <w:lang w:val="zh-CN"/>
              </w:rPr>
            </w:pPr>
            <w:r>
              <w:rPr>
                <w:rFonts w:hint="eastAsia"/>
                <w:highlight w:val="none"/>
                <w:lang w:val="zh-CN"/>
              </w:rPr>
              <w:t>机电成品保护标准做法</w:t>
            </w:r>
          </w:p>
        </w:tc>
      </w:tr>
      <w:tr w14:paraId="32A58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2" w:hRule="atLeast"/>
        </w:trPr>
        <w:tc>
          <w:tcPr>
            <w:tcW w:w="672" w:type="dxa"/>
            <w:noWrap w:val="0"/>
            <w:vAlign w:val="center"/>
          </w:tcPr>
          <w:p w14:paraId="215099FC">
            <w:pPr>
              <w:pStyle w:val="13"/>
              <w:rPr>
                <w:highlight w:val="none"/>
                <w:lang w:val="zh-CN"/>
              </w:rPr>
            </w:pPr>
            <w:r>
              <w:rPr>
                <w:rFonts w:hint="eastAsia"/>
                <w:highlight w:val="none"/>
                <w:lang w:val="zh-CN"/>
              </w:rPr>
              <w:t>序号</w:t>
            </w:r>
          </w:p>
        </w:tc>
        <w:tc>
          <w:tcPr>
            <w:tcW w:w="1562" w:type="dxa"/>
            <w:noWrap w:val="0"/>
            <w:vAlign w:val="center"/>
          </w:tcPr>
          <w:p w14:paraId="65F71C74">
            <w:pPr>
              <w:pStyle w:val="13"/>
              <w:rPr>
                <w:highlight w:val="none"/>
                <w:lang w:val="zh-CN"/>
              </w:rPr>
            </w:pPr>
            <w:r>
              <w:rPr>
                <w:rFonts w:hint="eastAsia"/>
                <w:highlight w:val="none"/>
                <w:lang w:val="zh-CN"/>
              </w:rPr>
              <w:t>保护内容</w:t>
            </w:r>
          </w:p>
        </w:tc>
        <w:tc>
          <w:tcPr>
            <w:tcW w:w="1808" w:type="dxa"/>
            <w:noWrap w:val="0"/>
            <w:vAlign w:val="center"/>
          </w:tcPr>
          <w:p w14:paraId="120343EE">
            <w:pPr>
              <w:pStyle w:val="13"/>
              <w:rPr>
                <w:highlight w:val="none"/>
                <w:lang w:val="zh-CN"/>
              </w:rPr>
            </w:pPr>
            <w:r>
              <w:rPr>
                <w:rFonts w:hint="eastAsia"/>
                <w:highlight w:val="none"/>
                <w:lang w:val="zh-CN"/>
              </w:rPr>
              <w:t>保护方法</w:t>
            </w:r>
          </w:p>
        </w:tc>
        <w:tc>
          <w:tcPr>
            <w:tcW w:w="7893" w:type="dxa"/>
            <w:noWrap w:val="0"/>
            <w:vAlign w:val="center"/>
          </w:tcPr>
          <w:p w14:paraId="121DC792">
            <w:pPr>
              <w:pStyle w:val="13"/>
              <w:rPr>
                <w:highlight w:val="none"/>
                <w:lang w:val="zh-CN"/>
              </w:rPr>
            </w:pPr>
            <w:r>
              <w:rPr>
                <w:rFonts w:hint="eastAsia"/>
                <w:highlight w:val="none"/>
                <w:lang w:val="zh-CN"/>
              </w:rPr>
              <w:t>图示</w:t>
            </w:r>
          </w:p>
        </w:tc>
        <w:tc>
          <w:tcPr>
            <w:tcW w:w="1198" w:type="dxa"/>
            <w:noWrap w:val="0"/>
            <w:vAlign w:val="center"/>
          </w:tcPr>
          <w:p w14:paraId="231B21CE">
            <w:pPr>
              <w:pStyle w:val="13"/>
              <w:rPr>
                <w:highlight w:val="none"/>
                <w:lang w:val="zh-CN"/>
              </w:rPr>
            </w:pPr>
            <w:r>
              <w:rPr>
                <w:rFonts w:hint="eastAsia"/>
                <w:highlight w:val="none"/>
                <w:lang w:val="zh-CN"/>
              </w:rPr>
              <w:t>备注</w:t>
            </w:r>
          </w:p>
        </w:tc>
      </w:tr>
      <w:tr w14:paraId="0F9E2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9" w:hRule="atLeast"/>
        </w:trPr>
        <w:tc>
          <w:tcPr>
            <w:tcW w:w="672" w:type="dxa"/>
            <w:vMerge w:val="restart"/>
            <w:noWrap w:val="0"/>
            <w:vAlign w:val="center"/>
          </w:tcPr>
          <w:p w14:paraId="4BC4A72C">
            <w:pPr>
              <w:pStyle w:val="13"/>
              <w:rPr>
                <w:highlight w:val="none"/>
                <w:lang w:val="zh-CN"/>
              </w:rPr>
            </w:pPr>
            <w:r>
              <w:rPr>
                <w:highlight w:val="none"/>
                <w:lang w:val="zh-CN"/>
              </w:rPr>
              <w:t>1</w:t>
            </w:r>
          </w:p>
        </w:tc>
        <w:tc>
          <w:tcPr>
            <w:tcW w:w="1562" w:type="dxa"/>
            <w:vMerge w:val="restart"/>
            <w:noWrap w:val="0"/>
            <w:vAlign w:val="center"/>
          </w:tcPr>
          <w:p w14:paraId="2A0A90A0">
            <w:pPr>
              <w:pStyle w:val="13"/>
              <w:rPr>
                <w:highlight w:val="none"/>
                <w:lang w:val="zh-CN"/>
              </w:rPr>
            </w:pPr>
            <w:r>
              <w:rPr>
                <w:highlight w:val="none"/>
                <w:lang w:val="zh-CN"/>
              </w:rPr>
              <w:t>水电预埋管</w:t>
            </w:r>
          </w:p>
        </w:tc>
        <w:tc>
          <w:tcPr>
            <w:tcW w:w="1808" w:type="dxa"/>
            <w:noWrap w:val="0"/>
            <w:vAlign w:val="center"/>
          </w:tcPr>
          <w:p w14:paraId="77DED644">
            <w:pPr>
              <w:pStyle w:val="13"/>
              <w:rPr>
                <w:highlight w:val="none"/>
                <w:lang w:val="zh-CN"/>
              </w:rPr>
            </w:pPr>
            <w:r>
              <w:rPr>
                <w:highlight w:val="none"/>
                <w:lang w:val="zh-CN"/>
              </w:rPr>
              <w:t>水电预埋管线端口要包封 好，防止砼浇筑时堵塞管道</w:t>
            </w:r>
          </w:p>
        </w:tc>
        <w:tc>
          <w:tcPr>
            <w:tcW w:w="7893" w:type="dxa"/>
            <w:noWrap w:val="0"/>
            <w:vAlign w:val="center"/>
          </w:tcPr>
          <w:p w14:paraId="2D1AA8BD">
            <w:pPr>
              <w:pStyle w:val="13"/>
              <w:rPr>
                <w:highlight w:val="none"/>
                <w:lang w:val="zh-CN"/>
              </w:rPr>
            </w:pPr>
            <w:r>
              <w:rPr>
                <w:highlight w:val="none"/>
              </w:rPr>
              <w:drawing>
                <wp:inline distT="0" distB="0" distL="114300" distR="114300">
                  <wp:extent cx="2268855" cy="1684020"/>
                  <wp:effectExtent l="0" t="0" r="17145" b="11430"/>
                  <wp:docPr id="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2"/>
                          <pic:cNvPicPr>
                            <a:picLocks noChangeAspect="1"/>
                          </pic:cNvPicPr>
                        </pic:nvPicPr>
                        <pic:blipFill>
                          <a:blip r:embed="rId29"/>
                          <a:stretch>
                            <a:fillRect/>
                          </a:stretch>
                        </pic:blipFill>
                        <pic:spPr>
                          <a:xfrm>
                            <a:off x="0" y="0"/>
                            <a:ext cx="2268855" cy="1684020"/>
                          </a:xfrm>
                          <a:prstGeom prst="rect">
                            <a:avLst/>
                          </a:prstGeom>
                          <a:noFill/>
                          <a:ln>
                            <a:noFill/>
                          </a:ln>
                        </pic:spPr>
                      </pic:pic>
                    </a:graphicData>
                  </a:graphic>
                </wp:inline>
              </w:drawing>
            </w:r>
            <w:r>
              <w:rPr>
                <w:highlight w:val="none"/>
              </w:rPr>
              <w:drawing>
                <wp:inline distT="0" distB="0" distL="114300" distR="114300">
                  <wp:extent cx="2335530" cy="1652905"/>
                  <wp:effectExtent l="0" t="0" r="7620" b="4445"/>
                  <wp:docPr id="1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4"/>
                          <pic:cNvPicPr>
                            <a:picLocks noChangeAspect="1"/>
                          </pic:cNvPicPr>
                        </pic:nvPicPr>
                        <pic:blipFill>
                          <a:blip r:embed="rId30"/>
                          <a:stretch>
                            <a:fillRect/>
                          </a:stretch>
                        </pic:blipFill>
                        <pic:spPr>
                          <a:xfrm>
                            <a:off x="0" y="0"/>
                            <a:ext cx="2335530" cy="1652905"/>
                          </a:xfrm>
                          <a:prstGeom prst="rect">
                            <a:avLst/>
                          </a:prstGeom>
                          <a:noFill/>
                          <a:ln>
                            <a:noFill/>
                          </a:ln>
                        </pic:spPr>
                      </pic:pic>
                    </a:graphicData>
                  </a:graphic>
                </wp:inline>
              </w:drawing>
            </w:r>
          </w:p>
        </w:tc>
        <w:tc>
          <w:tcPr>
            <w:tcW w:w="1198" w:type="dxa"/>
            <w:noWrap w:val="0"/>
            <w:vAlign w:val="center"/>
          </w:tcPr>
          <w:p w14:paraId="46600D7B">
            <w:pPr>
              <w:pStyle w:val="13"/>
              <w:rPr>
                <w:highlight w:val="none"/>
                <w:lang w:val="zh-CN"/>
              </w:rPr>
            </w:pPr>
          </w:p>
        </w:tc>
      </w:tr>
      <w:tr w14:paraId="47E31F26">
        <w:tblPrEx>
          <w:tblCellMar>
            <w:top w:w="0" w:type="dxa"/>
            <w:left w:w="0" w:type="dxa"/>
            <w:bottom w:w="0" w:type="dxa"/>
            <w:right w:w="0" w:type="dxa"/>
          </w:tblCellMar>
        </w:tblPrEx>
        <w:trPr>
          <w:trHeight w:val="252" w:hRule="atLeast"/>
        </w:trPr>
        <w:tc>
          <w:tcPr>
            <w:tcW w:w="672" w:type="dxa"/>
            <w:vMerge w:val="continue"/>
            <w:tcBorders>
              <w:top w:val="nil"/>
            </w:tcBorders>
            <w:noWrap w:val="0"/>
            <w:vAlign w:val="center"/>
          </w:tcPr>
          <w:p w14:paraId="49CD03CE">
            <w:pPr>
              <w:pStyle w:val="13"/>
              <w:rPr>
                <w:highlight w:val="none"/>
                <w:lang w:val="zh-CN"/>
              </w:rPr>
            </w:pPr>
          </w:p>
        </w:tc>
        <w:tc>
          <w:tcPr>
            <w:tcW w:w="1562" w:type="dxa"/>
            <w:vMerge w:val="continue"/>
            <w:tcBorders>
              <w:top w:val="nil"/>
            </w:tcBorders>
            <w:noWrap w:val="0"/>
            <w:vAlign w:val="center"/>
          </w:tcPr>
          <w:p w14:paraId="6E9C013F">
            <w:pPr>
              <w:pStyle w:val="13"/>
              <w:rPr>
                <w:highlight w:val="none"/>
                <w:lang w:val="zh-CN"/>
              </w:rPr>
            </w:pPr>
          </w:p>
        </w:tc>
        <w:tc>
          <w:tcPr>
            <w:tcW w:w="1808" w:type="dxa"/>
            <w:noWrap w:val="0"/>
            <w:vAlign w:val="center"/>
          </w:tcPr>
          <w:p w14:paraId="118ADB42">
            <w:pPr>
              <w:pStyle w:val="13"/>
              <w:rPr>
                <w:highlight w:val="none"/>
                <w:lang w:val="zh-CN"/>
              </w:rPr>
            </w:pPr>
            <w:r>
              <w:rPr>
                <w:highlight w:val="none"/>
                <w:lang w:val="zh-CN"/>
              </w:rPr>
              <w:t>首层楼板的预留洞，提前进行封堵。</w:t>
            </w:r>
          </w:p>
        </w:tc>
        <w:tc>
          <w:tcPr>
            <w:tcW w:w="7893" w:type="dxa"/>
            <w:noWrap w:val="0"/>
            <w:vAlign w:val="center"/>
          </w:tcPr>
          <w:p w14:paraId="1AF17FFA">
            <w:pPr>
              <w:pStyle w:val="13"/>
              <w:rPr>
                <w:highlight w:val="none"/>
                <w:lang w:val="zh-CN"/>
              </w:rPr>
            </w:pPr>
          </w:p>
          <w:p w14:paraId="48242AD8">
            <w:pPr>
              <w:pStyle w:val="13"/>
              <w:rPr>
                <w:highlight w:val="none"/>
                <w:lang w:val="zh-CN"/>
              </w:rPr>
            </w:pPr>
            <w:r>
              <w:rPr>
                <w:highlight w:val="none"/>
              </w:rPr>
              <w:drawing>
                <wp:inline distT="0" distB="0" distL="114300" distR="114300">
                  <wp:extent cx="2161540" cy="2327910"/>
                  <wp:effectExtent l="0" t="0" r="10160" b="15240"/>
                  <wp:docPr id="1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a:picLocks noChangeAspect="1"/>
                          </pic:cNvPicPr>
                        </pic:nvPicPr>
                        <pic:blipFill>
                          <a:blip r:embed="rId31"/>
                          <a:stretch>
                            <a:fillRect/>
                          </a:stretch>
                        </pic:blipFill>
                        <pic:spPr>
                          <a:xfrm>
                            <a:off x="0" y="0"/>
                            <a:ext cx="2161540" cy="2327910"/>
                          </a:xfrm>
                          <a:prstGeom prst="rect">
                            <a:avLst/>
                          </a:prstGeom>
                          <a:noFill/>
                          <a:ln>
                            <a:noFill/>
                          </a:ln>
                        </pic:spPr>
                      </pic:pic>
                    </a:graphicData>
                  </a:graphic>
                </wp:inline>
              </w:drawing>
            </w:r>
            <w:r>
              <w:rPr>
                <w:highlight w:val="none"/>
              </w:rPr>
              <w:drawing>
                <wp:inline distT="0" distB="0" distL="114300" distR="114300">
                  <wp:extent cx="2343785" cy="2268855"/>
                  <wp:effectExtent l="0" t="0" r="18415" b="17145"/>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jpeg"/>
                          <pic:cNvPicPr>
                            <a:picLocks noChangeAspect="1"/>
                          </pic:cNvPicPr>
                        </pic:nvPicPr>
                        <pic:blipFill>
                          <a:blip r:embed="rId32"/>
                          <a:stretch>
                            <a:fillRect/>
                          </a:stretch>
                        </pic:blipFill>
                        <pic:spPr>
                          <a:xfrm>
                            <a:off x="0" y="0"/>
                            <a:ext cx="2343785" cy="2268855"/>
                          </a:xfrm>
                          <a:prstGeom prst="rect">
                            <a:avLst/>
                          </a:prstGeom>
                          <a:noFill/>
                          <a:ln>
                            <a:noFill/>
                          </a:ln>
                        </pic:spPr>
                      </pic:pic>
                    </a:graphicData>
                  </a:graphic>
                </wp:inline>
              </w:drawing>
            </w:r>
          </w:p>
        </w:tc>
        <w:tc>
          <w:tcPr>
            <w:tcW w:w="1198" w:type="dxa"/>
            <w:noWrap w:val="0"/>
            <w:vAlign w:val="center"/>
          </w:tcPr>
          <w:p w14:paraId="1C945349">
            <w:pPr>
              <w:pStyle w:val="13"/>
              <w:rPr>
                <w:highlight w:val="none"/>
                <w:lang w:val="zh-CN"/>
              </w:rPr>
            </w:pPr>
          </w:p>
        </w:tc>
      </w:tr>
      <w:tr w14:paraId="0B5F922F">
        <w:tblPrEx>
          <w:tblCellMar>
            <w:top w:w="0" w:type="dxa"/>
            <w:left w:w="0" w:type="dxa"/>
            <w:bottom w:w="0" w:type="dxa"/>
            <w:right w:w="0" w:type="dxa"/>
          </w:tblCellMar>
        </w:tblPrEx>
        <w:trPr>
          <w:trHeight w:val="2223" w:hRule="atLeast"/>
        </w:trPr>
        <w:tc>
          <w:tcPr>
            <w:tcW w:w="672" w:type="dxa"/>
            <w:vMerge w:val="continue"/>
            <w:tcBorders>
              <w:top w:val="nil"/>
            </w:tcBorders>
            <w:noWrap w:val="0"/>
            <w:vAlign w:val="center"/>
          </w:tcPr>
          <w:p w14:paraId="199D8E61">
            <w:pPr>
              <w:pStyle w:val="13"/>
              <w:rPr>
                <w:highlight w:val="none"/>
                <w:lang w:val="zh-CN"/>
              </w:rPr>
            </w:pPr>
          </w:p>
        </w:tc>
        <w:tc>
          <w:tcPr>
            <w:tcW w:w="1562" w:type="dxa"/>
            <w:vMerge w:val="continue"/>
            <w:tcBorders>
              <w:top w:val="nil"/>
            </w:tcBorders>
            <w:noWrap w:val="0"/>
            <w:vAlign w:val="center"/>
          </w:tcPr>
          <w:p w14:paraId="66AD6181">
            <w:pPr>
              <w:pStyle w:val="13"/>
              <w:rPr>
                <w:highlight w:val="none"/>
                <w:lang w:val="zh-CN"/>
              </w:rPr>
            </w:pPr>
          </w:p>
        </w:tc>
        <w:tc>
          <w:tcPr>
            <w:tcW w:w="1808" w:type="dxa"/>
            <w:noWrap w:val="0"/>
            <w:vAlign w:val="center"/>
          </w:tcPr>
          <w:p w14:paraId="6A53C674">
            <w:pPr>
              <w:pStyle w:val="13"/>
              <w:rPr>
                <w:highlight w:val="none"/>
                <w:lang w:val="zh-CN"/>
              </w:rPr>
            </w:pPr>
            <w:r>
              <w:rPr>
                <w:highlight w:val="none"/>
                <w:lang w:val="zh-CN"/>
              </w:rPr>
              <w:t>出楼面线管采用木盒进行保护。</w:t>
            </w:r>
          </w:p>
        </w:tc>
        <w:tc>
          <w:tcPr>
            <w:tcW w:w="7893" w:type="dxa"/>
            <w:noWrap w:val="0"/>
            <w:vAlign w:val="center"/>
          </w:tcPr>
          <w:p w14:paraId="765B2C60">
            <w:pPr>
              <w:pStyle w:val="13"/>
              <w:rPr>
                <w:highlight w:val="none"/>
                <w:lang w:val="zh-CN"/>
              </w:rPr>
            </w:pPr>
          </w:p>
        </w:tc>
        <w:tc>
          <w:tcPr>
            <w:tcW w:w="1198" w:type="dxa"/>
            <w:noWrap w:val="0"/>
            <w:vAlign w:val="center"/>
          </w:tcPr>
          <w:p w14:paraId="3C342FA6">
            <w:pPr>
              <w:pStyle w:val="13"/>
              <w:rPr>
                <w:highlight w:val="none"/>
                <w:lang w:val="zh-CN"/>
              </w:rPr>
            </w:pPr>
          </w:p>
        </w:tc>
      </w:tr>
      <w:tr w14:paraId="164F7827">
        <w:tblPrEx>
          <w:tblCellMar>
            <w:top w:w="0" w:type="dxa"/>
            <w:left w:w="0" w:type="dxa"/>
            <w:bottom w:w="0" w:type="dxa"/>
            <w:right w:w="0" w:type="dxa"/>
          </w:tblCellMar>
        </w:tblPrEx>
        <w:trPr>
          <w:trHeight w:val="3324" w:hRule="atLeast"/>
        </w:trPr>
        <w:tc>
          <w:tcPr>
            <w:tcW w:w="672" w:type="dxa"/>
            <w:noWrap w:val="0"/>
            <w:vAlign w:val="center"/>
          </w:tcPr>
          <w:p w14:paraId="32BD72E0">
            <w:pPr>
              <w:pStyle w:val="13"/>
              <w:rPr>
                <w:highlight w:val="none"/>
                <w:lang w:val="zh-CN"/>
              </w:rPr>
            </w:pPr>
            <w:r>
              <w:rPr>
                <w:highlight w:val="none"/>
                <w:lang w:val="zh-CN"/>
              </w:rPr>
              <w:t>2</w:t>
            </w:r>
          </w:p>
        </w:tc>
        <w:tc>
          <w:tcPr>
            <w:tcW w:w="1562" w:type="dxa"/>
            <w:noWrap w:val="0"/>
            <w:vAlign w:val="center"/>
          </w:tcPr>
          <w:p w14:paraId="2E495968">
            <w:pPr>
              <w:pStyle w:val="13"/>
              <w:rPr>
                <w:highlight w:val="none"/>
                <w:lang w:val="zh-CN"/>
              </w:rPr>
            </w:pPr>
            <w:r>
              <w:rPr>
                <w:rFonts w:hint="eastAsia"/>
                <w:highlight w:val="none"/>
                <w:lang w:val="zh-CN"/>
              </w:rPr>
              <w:t>管道</w:t>
            </w:r>
          </w:p>
        </w:tc>
        <w:tc>
          <w:tcPr>
            <w:tcW w:w="1808" w:type="dxa"/>
            <w:noWrap w:val="0"/>
            <w:vAlign w:val="center"/>
          </w:tcPr>
          <w:p w14:paraId="1CC6935F">
            <w:pPr>
              <w:pStyle w:val="13"/>
              <w:rPr>
                <w:highlight w:val="none"/>
                <w:lang w:val="zh-CN"/>
              </w:rPr>
            </w:pPr>
            <w:r>
              <w:rPr>
                <w:highlight w:val="none"/>
                <w:lang w:val="zh-CN"/>
              </w:rPr>
              <w:t>采用塑料薄膜包裹，防止封堵及污染</w:t>
            </w:r>
          </w:p>
        </w:tc>
        <w:tc>
          <w:tcPr>
            <w:tcW w:w="7893" w:type="dxa"/>
            <w:noWrap w:val="0"/>
            <w:vAlign w:val="center"/>
          </w:tcPr>
          <w:p w14:paraId="4A8A4947">
            <w:pPr>
              <w:pStyle w:val="13"/>
              <w:rPr>
                <w:highlight w:val="none"/>
                <w:lang w:val="zh-CN"/>
              </w:rPr>
            </w:pPr>
            <w:r>
              <w:rPr>
                <w:highlight w:val="none"/>
              </w:rPr>
              <w:drawing>
                <wp:inline distT="0" distB="0" distL="114300" distR="114300">
                  <wp:extent cx="2360295" cy="2637790"/>
                  <wp:effectExtent l="0" t="0" r="1905" b="10160"/>
                  <wp:docPr id="1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a:picLocks noChangeAspect="1"/>
                          </pic:cNvPicPr>
                        </pic:nvPicPr>
                        <pic:blipFill>
                          <a:blip r:embed="rId33"/>
                          <a:stretch>
                            <a:fillRect/>
                          </a:stretch>
                        </pic:blipFill>
                        <pic:spPr>
                          <a:xfrm>
                            <a:off x="0" y="0"/>
                            <a:ext cx="2360295" cy="2637790"/>
                          </a:xfrm>
                          <a:prstGeom prst="rect">
                            <a:avLst/>
                          </a:prstGeom>
                          <a:noFill/>
                          <a:ln>
                            <a:noFill/>
                          </a:ln>
                        </pic:spPr>
                      </pic:pic>
                    </a:graphicData>
                  </a:graphic>
                </wp:inline>
              </w:drawing>
            </w:r>
            <w:r>
              <w:rPr>
                <w:highlight w:val="none"/>
              </w:rPr>
              <w:drawing>
                <wp:inline distT="0" distB="0" distL="114300" distR="114300">
                  <wp:extent cx="2192655" cy="2630170"/>
                  <wp:effectExtent l="0" t="0" r="17145" b="17780"/>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jpeg"/>
                          <pic:cNvPicPr>
                            <a:picLocks noChangeAspect="1"/>
                          </pic:cNvPicPr>
                        </pic:nvPicPr>
                        <pic:blipFill>
                          <a:blip r:embed="rId34"/>
                          <a:stretch>
                            <a:fillRect/>
                          </a:stretch>
                        </pic:blipFill>
                        <pic:spPr>
                          <a:xfrm>
                            <a:off x="0" y="0"/>
                            <a:ext cx="2192655" cy="2630170"/>
                          </a:xfrm>
                          <a:prstGeom prst="rect">
                            <a:avLst/>
                          </a:prstGeom>
                          <a:noFill/>
                          <a:ln>
                            <a:noFill/>
                          </a:ln>
                        </pic:spPr>
                      </pic:pic>
                    </a:graphicData>
                  </a:graphic>
                </wp:inline>
              </w:drawing>
            </w:r>
          </w:p>
        </w:tc>
        <w:tc>
          <w:tcPr>
            <w:tcW w:w="1198" w:type="dxa"/>
            <w:noWrap w:val="0"/>
            <w:vAlign w:val="center"/>
          </w:tcPr>
          <w:p w14:paraId="6ED7620F">
            <w:pPr>
              <w:pStyle w:val="13"/>
              <w:rPr>
                <w:highlight w:val="none"/>
                <w:lang w:val="zh-CN"/>
              </w:rPr>
            </w:pPr>
          </w:p>
        </w:tc>
      </w:tr>
      <w:tr w14:paraId="6F01FA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 w:hRule="atLeast"/>
        </w:trPr>
        <w:tc>
          <w:tcPr>
            <w:tcW w:w="672" w:type="dxa"/>
            <w:noWrap w:val="0"/>
            <w:vAlign w:val="center"/>
          </w:tcPr>
          <w:p w14:paraId="45DD8C04">
            <w:pPr>
              <w:pStyle w:val="13"/>
              <w:rPr>
                <w:highlight w:val="none"/>
                <w:lang w:val="zh-CN"/>
              </w:rPr>
            </w:pPr>
            <w:r>
              <w:rPr>
                <w:highlight w:val="none"/>
                <w:lang w:val="zh-CN"/>
              </w:rPr>
              <w:t>3</w:t>
            </w:r>
          </w:p>
        </w:tc>
        <w:tc>
          <w:tcPr>
            <w:tcW w:w="1562" w:type="dxa"/>
            <w:noWrap w:val="0"/>
            <w:vAlign w:val="center"/>
          </w:tcPr>
          <w:p w14:paraId="64711DE1">
            <w:pPr>
              <w:pStyle w:val="13"/>
              <w:rPr>
                <w:highlight w:val="none"/>
                <w:lang w:val="zh-CN"/>
              </w:rPr>
            </w:pPr>
            <w:r>
              <w:rPr>
                <w:rFonts w:hint="eastAsia"/>
                <w:highlight w:val="none"/>
                <w:lang w:val="zh-CN"/>
              </w:rPr>
              <w:t>室内空调及部件</w:t>
            </w:r>
          </w:p>
        </w:tc>
        <w:tc>
          <w:tcPr>
            <w:tcW w:w="1808" w:type="dxa"/>
            <w:noWrap w:val="0"/>
            <w:vAlign w:val="center"/>
          </w:tcPr>
          <w:p w14:paraId="7AEE3334">
            <w:pPr>
              <w:pStyle w:val="13"/>
              <w:rPr>
                <w:highlight w:val="none"/>
                <w:lang w:val="zh-CN"/>
              </w:rPr>
            </w:pPr>
            <w:r>
              <w:rPr>
                <w:highlight w:val="none"/>
                <w:lang w:val="zh-CN"/>
              </w:rPr>
              <w:t>1、 安装调试完成后，室内壁挂机立即用原厂包装用的塑料薄膜与机身固定，确保每边都封闭密实。</w:t>
            </w:r>
          </w:p>
          <w:p w14:paraId="54884860">
            <w:pPr>
              <w:pStyle w:val="13"/>
              <w:rPr>
                <w:highlight w:val="none"/>
                <w:lang w:val="zh-CN"/>
              </w:rPr>
            </w:pPr>
            <w:r>
              <w:rPr>
                <w:highlight w:val="none"/>
                <w:lang w:val="zh-CN"/>
              </w:rPr>
              <w:t>2、 风管机、出回风口均用薄膜裁剪成与风口同一尺 寸，满铺，并用美纹纸将薄膜与风口翻边黏贴固定</w:t>
            </w:r>
          </w:p>
        </w:tc>
        <w:tc>
          <w:tcPr>
            <w:tcW w:w="7893" w:type="dxa"/>
            <w:noWrap w:val="0"/>
            <w:vAlign w:val="center"/>
          </w:tcPr>
          <w:p w14:paraId="43C0467A">
            <w:pPr>
              <w:pStyle w:val="13"/>
              <w:rPr>
                <w:highlight w:val="none"/>
                <w:lang w:val="zh-CN"/>
              </w:rPr>
            </w:pPr>
            <w:r>
              <w:rPr>
                <w:highlight w:val="none"/>
              </w:rPr>
              <w:drawing>
                <wp:inline distT="0" distB="0" distL="114300" distR="114300">
                  <wp:extent cx="2222500" cy="2162175"/>
                  <wp:effectExtent l="0" t="0" r="6350" b="9525"/>
                  <wp:docPr id="20" name="image21.jpeg"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descr="11"/>
                          <pic:cNvPicPr>
                            <a:picLocks noChangeAspect="1"/>
                          </pic:cNvPicPr>
                        </pic:nvPicPr>
                        <pic:blipFill>
                          <a:blip r:embed="rId35"/>
                          <a:stretch>
                            <a:fillRect/>
                          </a:stretch>
                        </pic:blipFill>
                        <pic:spPr>
                          <a:xfrm>
                            <a:off x="0" y="0"/>
                            <a:ext cx="2222500" cy="2162175"/>
                          </a:xfrm>
                          <a:prstGeom prst="rect">
                            <a:avLst/>
                          </a:prstGeom>
                          <a:noFill/>
                          <a:ln>
                            <a:noFill/>
                          </a:ln>
                        </pic:spPr>
                      </pic:pic>
                    </a:graphicData>
                  </a:graphic>
                </wp:inline>
              </w:drawing>
            </w:r>
            <w:r>
              <w:rPr>
                <w:highlight w:val="none"/>
              </w:rPr>
              <w:drawing>
                <wp:inline distT="0" distB="0" distL="114300" distR="114300">
                  <wp:extent cx="2329815" cy="2095500"/>
                  <wp:effectExtent l="0" t="0" r="13335" b="0"/>
                  <wp:docPr id="21" name="image22.jpeg"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jpeg" descr="12"/>
                          <pic:cNvPicPr>
                            <a:picLocks noChangeAspect="1"/>
                          </pic:cNvPicPr>
                        </pic:nvPicPr>
                        <pic:blipFill>
                          <a:blip r:embed="rId36"/>
                          <a:stretch>
                            <a:fillRect/>
                          </a:stretch>
                        </pic:blipFill>
                        <pic:spPr>
                          <a:xfrm>
                            <a:off x="0" y="0"/>
                            <a:ext cx="2329815" cy="2095500"/>
                          </a:xfrm>
                          <a:prstGeom prst="rect">
                            <a:avLst/>
                          </a:prstGeom>
                          <a:noFill/>
                          <a:ln>
                            <a:noFill/>
                          </a:ln>
                        </pic:spPr>
                      </pic:pic>
                    </a:graphicData>
                  </a:graphic>
                </wp:inline>
              </w:drawing>
            </w:r>
          </w:p>
        </w:tc>
        <w:tc>
          <w:tcPr>
            <w:tcW w:w="1198" w:type="dxa"/>
            <w:noWrap w:val="0"/>
            <w:vAlign w:val="center"/>
          </w:tcPr>
          <w:p w14:paraId="096CB547">
            <w:pPr>
              <w:pStyle w:val="13"/>
              <w:rPr>
                <w:highlight w:val="none"/>
                <w:lang w:val="zh-CN"/>
              </w:rPr>
            </w:pPr>
          </w:p>
        </w:tc>
      </w:tr>
      <w:tr w14:paraId="1F453486">
        <w:tblPrEx>
          <w:tblCellMar>
            <w:top w:w="0" w:type="dxa"/>
            <w:left w:w="0" w:type="dxa"/>
            <w:bottom w:w="0" w:type="dxa"/>
            <w:right w:w="0" w:type="dxa"/>
          </w:tblCellMar>
        </w:tblPrEx>
        <w:trPr>
          <w:trHeight w:val="3324" w:hRule="atLeast"/>
        </w:trPr>
        <w:tc>
          <w:tcPr>
            <w:tcW w:w="672" w:type="dxa"/>
            <w:noWrap w:val="0"/>
            <w:vAlign w:val="center"/>
          </w:tcPr>
          <w:p w14:paraId="58F5312F">
            <w:pPr>
              <w:pStyle w:val="13"/>
              <w:rPr>
                <w:rFonts w:hint="eastAsia" w:eastAsia="宋体"/>
                <w:highlight w:val="none"/>
                <w:lang w:val="zh-CN" w:eastAsia="zh-CN"/>
              </w:rPr>
            </w:pPr>
            <w:r>
              <w:rPr>
                <w:rFonts w:hint="eastAsia"/>
                <w:highlight w:val="none"/>
                <w:lang w:val="en-US" w:eastAsia="zh-CN"/>
              </w:rPr>
              <w:t>4</w:t>
            </w:r>
          </w:p>
        </w:tc>
        <w:tc>
          <w:tcPr>
            <w:tcW w:w="1562" w:type="dxa"/>
            <w:noWrap w:val="0"/>
            <w:vAlign w:val="center"/>
          </w:tcPr>
          <w:p w14:paraId="76C650C4">
            <w:pPr>
              <w:pStyle w:val="13"/>
              <w:rPr>
                <w:highlight w:val="none"/>
                <w:lang w:val="zh-CN"/>
              </w:rPr>
            </w:pPr>
            <w:r>
              <w:rPr>
                <w:highlight w:val="none"/>
                <w:lang w:val="zh-CN"/>
              </w:rPr>
              <w:t>风柜、风口</w:t>
            </w:r>
          </w:p>
        </w:tc>
        <w:tc>
          <w:tcPr>
            <w:tcW w:w="1808" w:type="dxa"/>
            <w:noWrap w:val="0"/>
            <w:vAlign w:val="center"/>
          </w:tcPr>
          <w:p w14:paraId="5ECB1D4E">
            <w:pPr>
              <w:pStyle w:val="13"/>
              <w:rPr>
                <w:highlight w:val="none"/>
                <w:lang w:val="zh-CN"/>
              </w:rPr>
            </w:pPr>
            <w:r>
              <w:rPr>
                <w:highlight w:val="none"/>
                <w:lang w:val="zh-CN"/>
              </w:rPr>
              <w:t>1、 风柜安装完成后，用</w:t>
            </w:r>
            <w:r>
              <w:rPr>
                <w:highlight w:val="none"/>
              </w:rPr>
              <w:t>防火布</w:t>
            </w:r>
            <w:r>
              <w:rPr>
                <w:highlight w:val="none"/>
                <w:lang w:val="zh-CN"/>
              </w:rPr>
              <w:t>覆盖包裹保护，并贴上警示标识；  2、 风口用塑料薄膜进行包裹。</w:t>
            </w:r>
          </w:p>
        </w:tc>
        <w:tc>
          <w:tcPr>
            <w:tcW w:w="7893" w:type="dxa"/>
            <w:noWrap w:val="0"/>
            <w:vAlign w:val="center"/>
          </w:tcPr>
          <w:p w14:paraId="1DF28761">
            <w:pPr>
              <w:pStyle w:val="13"/>
              <w:rPr>
                <w:highlight w:val="none"/>
                <w:lang w:val="zh-CN"/>
              </w:rPr>
            </w:pPr>
            <w:r>
              <w:rPr>
                <w:highlight w:val="none"/>
              </w:rPr>
              <w:drawing>
                <wp:inline distT="0" distB="0" distL="114300" distR="114300">
                  <wp:extent cx="2324100" cy="2384425"/>
                  <wp:effectExtent l="0" t="0" r="0" b="15875"/>
                  <wp:docPr id="22" name="image26.jpeg"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descr="18"/>
                          <pic:cNvPicPr>
                            <a:picLocks noChangeAspect="1"/>
                          </pic:cNvPicPr>
                        </pic:nvPicPr>
                        <pic:blipFill>
                          <a:blip r:embed="rId37"/>
                          <a:stretch>
                            <a:fillRect/>
                          </a:stretch>
                        </pic:blipFill>
                        <pic:spPr>
                          <a:xfrm>
                            <a:off x="0" y="0"/>
                            <a:ext cx="2324100" cy="2384425"/>
                          </a:xfrm>
                          <a:prstGeom prst="rect">
                            <a:avLst/>
                          </a:prstGeom>
                          <a:noFill/>
                          <a:ln>
                            <a:noFill/>
                          </a:ln>
                        </pic:spPr>
                      </pic:pic>
                    </a:graphicData>
                  </a:graphic>
                </wp:inline>
              </w:drawing>
            </w:r>
          </w:p>
        </w:tc>
        <w:tc>
          <w:tcPr>
            <w:tcW w:w="1198" w:type="dxa"/>
            <w:noWrap w:val="0"/>
            <w:vAlign w:val="center"/>
          </w:tcPr>
          <w:p w14:paraId="59CDE65C">
            <w:pPr>
              <w:pStyle w:val="13"/>
              <w:rPr>
                <w:highlight w:val="none"/>
                <w:lang w:val="zh-CN"/>
              </w:rPr>
            </w:pPr>
          </w:p>
        </w:tc>
      </w:tr>
      <w:tr w14:paraId="61588C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4" w:hRule="atLeast"/>
        </w:trPr>
        <w:tc>
          <w:tcPr>
            <w:tcW w:w="672" w:type="dxa"/>
            <w:noWrap w:val="0"/>
            <w:vAlign w:val="center"/>
          </w:tcPr>
          <w:p w14:paraId="11D3557A">
            <w:pPr>
              <w:pStyle w:val="13"/>
              <w:rPr>
                <w:rFonts w:hint="eastAsia" w:eastAsia="宋体"/>
                <w:highlight w:val="none"/>
                <w:lang w:val="zh-CN" w:eastAsia="zh-CN"/>
              </w:rPr>
            </w:pPr>
            <w:r>
              <w:rPr>
                <w:rFonts w:hint="eastAsia"/>
                <w:highlight w:val="none"/>
                <w:lang w:val="en-US" w:eastAsia="zh-CN"/>
              </w:rPr>
              <w:t>5</w:t>
            </w:r>
          </w:p>
        </w:tc>
        <w:tc>
          <w:tcPr>
            <w:tcW w:w="1562" w:type="dxa"/>
            <w:noWrap w:val="0"/>
            <w:vAlign w:val="center"/>
          </w:tcPr>
          <w:p w14:paraId="258D562E">
            <w:pPr>
              <w:pStyle w:val="13"/>
              <w:rPr>
                <w:highlight w:val="none"/>
                <w:lang w:val="zh-CN"/>
              </w:rPr>
            </w:pPr>
            <w:r>
              <w:rPr>
                <w:highlight w:val="none"/>
                <w:lang w:val="zh-CN"/>
              </w:rPr>
              <w:t>冷水机组、热交换器、落地式空调机组、柴油发电机</w:t>
            </w:r>
          </w:p>
        </w:tc>
        <w:tc>
          <w:tcPr>
            <w:tcW w:w="1808" w:type="dxa"/>
            <w:noWrap w:val="0"/>
            <w:vAlign w:val="center"/>
          </w:tcPr>
          <w:p w14:paraId="083C55EE">
            <w:pPr>
              <w:pStyle w:val="13"/>
              <w:rPr>
                <w:highlight w:val="none"/>
                <w:lang w:val="zh-CN"/>
              </w:rPr>
            </w:pPr>
            <w:r>
              <w:rPr>
                <w:highlight w:val="none"/>
                <w:lang w:val="zh-CN"/>
              </w:rPr>
              <w:t>采用包装箱或者</w:t>
            </w:r>
            <w:r>
              <w:rPr>
                <w:highlight w:val="none"/>
              </w:rPr>
              <w:t>防火布</w:t>
            </w:r>
            <w:r>
              <w:rPr>
                <w:highlight w:val="none"/>
                <w:lang w:val="zh-CN"/>
              </w:rPr>
              <w:t>及时包裹保护， 防止设备污染和破坏</w:t>
            </w:r>
          </w:p>
        </w:tc>
        <w:tc>
          <w:tcPr>
            <w:tcW w:w="7893" w:type="dxa"/>
            <w:noWrap w:val="0"/>
            <w:vAlign w:val="center"/>
          </w:tcPr>
          <w:p w14:paraId="0040D4C5">
            <w:pPr>
              <w:pStyle w:val="13"/>
              <w:rPr>
                <w:highlight w:val="none"/>
                <w:lang w:val="zh-CN"/>
              </w:rPr>
            </w:pPr>
            <w:r>
              <w:rPr>
                <w:highlight w:val="none"/>
              </w:rPr>
              <w:drawing>
                <wp:inline distT="0" distB="0" distL="114300" distR="114300">
                  <wp:extent cx="4165600" cy="2665095"/>
                  <wp:effectExtent l="0" t="0" r="6350" b="1905"/>
                  <wp:docPr id="25" name="image30.jpeg" descr="CIMG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0.jpeg" descr="CIMG2293"/>
                          <pic:cNvPicPr>
                            <a:picLocks noChangeAspect="1"/>
                          </pic:cNvPicPr>
                        </pic:nvPicPr>
                        <pic:blipFill>
                          <a:blip r:embed="rId38"/>
                          <a:stretch>
                            <a:fillRect/>
                          </a:stretch>
                        </pic:blipFill>
                        <pic:spPr>
                          <a:xfrm>
                            <a:off x="0" y="0"/>
                            <a:ext cx="4165600" cy="2665095"/>
                          </a:xfrm>
                          <a:prstGeom prst="rect">
                            <a:avLst/>
                          </a:prstGeom>
                          <a:noFill/>
                          <a:ln>
                            <a:noFill/>
                          </a:ln>
                        </pic:spPr>
                      </pic:pic>
                    </a:graphicData>
                  </a:graphic>
                </wp:inline>
              </w:drawing>
            </w:r>
          </w:p>
        </w:tc>
        <w:tc>
          <w:tcPr>
            <w:tcW w:w="1198" w:type="dxa"/>
            <w:noWrap w:val="0"/>
            <w:vAlign w:val="center"/>
          </w:tcPr>
          <w:p w14:paraId="52B02624">
            <w:pPr>
              <w:pStyle w:val="13"/>
              <w:rPr>
                <w:highlight w:val="none"/>
                <w:lang w:val="zh-CN"/>
              </w:rPr>
            </w:pPr>
          </w:p>
        </w:tc>
      </w:tr>
    </w:tbl>
    <w:p w14:paraId="2DEE729E">
      <w:pPr>
        <w:spacing w:before="120" w:beforeLines="50" w:after="120" w:afterLines="50"/>
        <w:ind w:firstLine="480"/>
        <w:rPr>
          <w:rFonts w:cs="宋体"/>
          <w:highlight w:val="none"/>
          <w:lang w:bidi="ar"/>
        </w:rPr>
      </w:pPr>
    </w:p>
    <w:p w14:paraId="230422F3">
      <w:pPr>
        <w:pStyle w:val="6"/>
        <w:numPr>
          <w:ilvl w:val="3"/>
          <w:numId w:val="0"/>
        </w:numPr>
        <w:ind w:left="864" w:leftChars="100" w:hanging="624"/>
        <w:rPr>
          <w:highlight w:val="none"/>
        </w:rPr>
      </w:pPr>
      <w:r>
        <w:rPr>
          <w:rFonts w:hint="eastAsia"/>
          <w:highlight w:val="none"/>
        </w:rPr>
        <w:t>6.1.2.10 精装修成品保护标准做法</w:t>
      </w:r>
    </w:p>
    <w:p w14:paraId="1F0431DA">
      <w:pPr>
        <w:spacing w:before="120" w:beforeLines="50" w:after="120" w:afterLines="50"/>
        <w:ind w:left="480" w:leftChars="200" w:firstLine="480"/>
        <w:rPr>
          <w:rFonts w:cs="宋体"/>
          <w:highlight w:val="none"/>
          <w:lang w:bidi="ar"/>
        </w:rPr>
      </w:pPr>
    </w:p>
    <w:tbl>
      <w:tblPr>
        <w:tblStyle w:val="2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65"/>
        <w:gridCol w:w="1080"/>
        <w:gridCol w:w="812"/>
        <w:gridCol w:w="2072"/>
        <w:gridCol w:w="7186"/>
        <w:gridCol w:w="884"/>
      </w:tblGrid>
      <w:tr w14:paraId="584B9A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5" w:hRule="atLeast"/>
          <w:jc w:val="center"/>
        </w:trPr>
        <w:tc>
          <w:tcPr>
            <w:tcW w:w="12799" w:type="dxa"/>
            <w:gridSpan w:val="6"/>
            <w:noWrap w:val="0"/>
            <w:vAlign w:val="center"/>
          </w:tcPr>
          <w:p w14:paraId="52D2080D">
            <w:pPr>
              <w:pStyle w:val="13"/>
              <w:rPr>
                <w:b/>
                <w:bCs/>
                <w:highlight w:val="none"/>
                <w:lang w:val="zh-CN"/>
              </w:rPr>
            </w:pPr>
            <w:r>
              <w:rPr>
                <w:rFonts w:hint="eastAsia"/>
                <w:b/>
                <w:bCs/>
                <w:highlight w:val="none"/>
                <w:lang w:val="zh-CN"/>
              </w:rPr>
              <w:t>精装修成品保护标准做法</w:t>
            </w:r>
          </w:p>
        </w:tc>
      </w:tr>
      <w:tr w14:paraId="4A91A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2" w:hRule="atLeast"/>
          <w:jc w:val="center"/>
        </w:trPr>
        <w:tc>
          <w:tcPr>
            <w:tcW w:w="765" w:type="dxa"/>
            <w:noWrap w:val="0"/>
            <w:vAlign w:val="center"/>
          </w:tcPr>
          <w:p w14:paraId="1A151423">
            <w:pPr>
              <w:pStyle w:val="13"/>
              <w:rPr>
                <w:b/>
                <w:bCs/>
                <w:highlight w:val="none"/>
                <w:lang w:val="zh-CN"/>
              </w:rPr>
            </w:pPr>
            <w:r>
              <w:rPr>
                <w:rFonts w:hint="eastAsia"/>
                <w:b/>
                <w:bCs/>
                <w:highlight w:val="none"/>
                <w:lang w:val="zh-CN"/>
              </w:rPr>
              <w:t>序号</w:t>
            </w:r>
          </w:p>
        </w:tc>
        <w:tc>
          <w:tcPr>
            <w:tcW w:w="1892" w:type="dxa"/>
            <w:gridSpan w:val="2"/>
            <w:noWrap w:val="0"/>
            <w:vAlign w:val="center"/>
          </w:tcPr>
          <w:p w14:paraId="67CE9B7C">
            <w:pPr>
              <w:pStyle w:val="13"/>
              <w:rPr>
                <w:b/>
                <w:bCs/>
                <w:highlight w:val="none"/>
                <w:lang w:val="zh-CN"/>
              </w:rPr>
            </w:pPr>
            <w:r>
              <w:rPr>
                <w:rFonts w:hint="eastAsia"/>
                <w:b/>
                <w:bCs/>
                <w:highlight w:val="none"/>
                <w:lang w:val="zh-CN"/>
              </w:rPr>
              <w:t>保护内容</w:t>
            </w:r>
          </w:p>
        </w:tc>
        <w:tc>
          <w:tcPr>
            <w:tcW w:w="2072" w:type="dxa"/>
            <w:noWrap w:val="0"/>
            <w:vAlign w:val="center"/>
          </w:tcPr>
          <w:p w14:paraId="2C21E7F1">
            <w:pPr>
              <w:pStyle w:val="13"/>
              <w:rPr>
                <w:b/>
                <w:bCs/>
                <w:highlight w:val="none"/>
                <w:lang w:val="zh-CN"/>
              </w:rPr>
            </w:pPr>
            <w:r>
              <w:rPr>
                <w:rFonts w:hint="eastAsia"/>
                <w:b/>
                <w:bCs/>
                <w:highlight w:val="none"/>
                <w:lang w:val="zh-CN"/>
              </w:rPr>
              <w:t>保护标准</w:t>
            </w:r>
          </w:p>
        </w:tc>
        <w:tc>
          <w:tcPr>
            <w:tcW w:w="7186" w:type="dxa"/>
            <w:noWrap w:val="0"/>
            <w:vAlign w:val="center"/>
          </w:tcPr>
          <w:p w14:paraId="4CB57FD6">
            <w:pPr>
              <w:pStyle w:val="13"/>
              <w:rPr>
                <w:b/>
                <w:bCs/>
                <w:highlight w:val="none"/>
                <w:lang w:val="zh-CN"/>
              </w:rPr>
            </w:pPr>
            <w:r>
              <w:rPr>
                <w:rFonts w:hint="eastAsia"/>
                <w:b/>
                <w:bCs/>
                <w:highlight w:val="none"/>
                <w:lang w:val="zh-CN"/>
              </w:rPr>
              <w:t>图示</w:t>
            </w:r>
          </w:p>
        </w:tc>
        <w:tc>
          <w:tcPr>
            <w:tcW w:w="884" w:type="dxa"/>
            <w:noWrap w:val="0"/>
            <w:vAlign w:val="center"/>
          </w:tcPr>
          <w:p w14:paraId="5A7667EF">
            <w:pPr>
              <w:pStyle w:val="13"/>
              <w:rPr>
                <w:b/>
                <w:bCs/>
                <w:highlight w:val="none"/>
                <w:lang w:val="zh-CN"/>
              </w:rPr>
            </w:pPr>
            <w:r>
              <w:rPr>
                <w:rFonts w:hint="eastAsia"/>
                <w:b/>
                <w:bCs/>
                <w:highlight w:val="none"/>
                <w:lang w:val="zh-CN"/>
              </w:rPr>
              <w:t>备注</w:t>
            </w:r>
          </w:p>
        </w:tc>
      </w:tr>
      <w:tr w14:paraId="05513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2" w:hRule="atLeast"/>
          <w:jc w:val="center"/>
        </w:trPr>
        <w:tc>
          <w:tcPr>
            <w:tcW w:w="765" w:type="dxa"/>
            <w:vMerge w:val="restart"/>
            <w:noWrap w:val="0"/>
            <w:vAlign w:val="center"/>
          </w:tcPr>
          <w:p w14:paraId="630AAE9F">
            <w:pPr>
              <w:pStyle w:val="13"/>
              <w:rPr>
                <w:highlight w:val="none"/>
                <w:lang w:val="zh-CN"/>
              </w:rPr>
            </w:pPr>
            <w:r>
              <w:rPr>
                <w:highlight w:val="none"/>
                <w:lang w:val="zh-CN"/>
              </w:rPr>
              <w:t>1</w:t>
            </w:r>
          </w:p>
        </w:tc>
        <w:tc>
          <w:tcPr>
            <w:tcW w:w="1080" w:type="dxa"/>
            <w:vMerge w:val="restart"/>
            <w:noWrap w:val="0"/>
            <w:vAlign w:val="center"/>
          </w:tcPr>
          <w:p w14:paraId="65B7BB34">
            <w:pPr>
              <w:pStyle w:val="13"/>
              <w:rPr>
                <w:highlight w:val="none"/>
                <w:lang w:val="zh-CN"/>
              </w:rPr>
            </w:pPr>
            <w:r>
              <w:rPr>
                <w:rFonts w:hint="eastAsia"/>
                <w:highlight w:val="none"/>
                <w:lang w:val="zh-CN"/>
              </w:rPr>
              <w:t>石材</w:t>
            </w:r>
            <w:r>
              <w:rPr>
                <w:highlight w:val="none"/>
                <w:lang w:val="zh-CN"/>
              </w:rPr>
              <w:t>（墙</w:t>
            </w:r>
          </w:p>
          <w:p w14:paraId="5C65F49D">
            <w:pPr>
              <w:pStyle w:val="13"/>
              <w:rPr>
                <w:highlight w:val="none"/>
                <w:lang w:val="zh-CN"/>
              </w:rPr>
            </w:pPr>
            <w:r>
              <w:rPr>
                <w:highlight w:val="none"/>
                <w:lang w:val="zh-CN"/>
              </w:rPr>
              <w:t>、地面）</w:t>
            </w:r>
          </w:p>
        </w:tc>
        <w:tc>
          <w:tcPr>
            <w:tcW w:w="812" w:type="dxa"/>
            <w:noWrap w:val="0"/>
            <w:vAlign w:val="center"/>
          </w:tcPr>
          <w:p w14:paraId="42F65F74">
            <w:pPr>
              <w:pStyle w:val="13"/>
              <w:rPr>
                <w:highlight w:val="none"/>
                <w:lang w:val="zh-CN"/>
              </w:rPr>
            </w:pPr>
            <w:r>
              <w:rPr>
                <w:highlight w:val="none"/>
                <w:lang w:val="zh-CN"/>
              </w:rPr>
              <w:t>工厂包装</w:t>
            </w:r>
          </w:p>
        </w:tc>
        <w:tc>
          <w:tcPr>
            <w:tcW w:w="2072" w:type="dxa"/>
            <w:noWrap w:val="0"/>
            <w:vAlign w:val="center"/>
          </w:tcPr>
          <w:p w14:paraId="26DD06E4">
            <w:pPr>
              <w:pStyle w:val="13"/>
              <w:rPr>
                <w:highlight w:val="none"/>
                <w:lang w:val="zh-CN"/>
              </w:rPr>
            </w:pPr>
            <w:r>
              <w:rPr>
                <w:highlight w:val="none"/>
                <w:lang w:val="zh-CN"/>
              </w:rPr>
              <w:t>箱体实木条厚度不低于20mm；宽度不低于80mm；箱体内衬珍珠棉；</w:t>
            </w:r>
          </w:p>
        </w:tc>
        <w:tc>
          <w:tcPr>
            <w:tcW w:w="7186" w:type="dxa"/>
            <w:noWrap w:val="0"/>
            <w:vAlign w:val="center"/>
          </w:tcPr>
          <w:p w14:paraId="2ABD4E91">
            <w:pPr>
              <w:pStyle w:val="13"/>
              <w:rPr>
                <w:highlight w:val="none"/>
                <w:lang w:val="zh-CN"/>
              </w:rPr>
            </w:pPr>
          </w:p>
          <w:p w14:paraId="6EFBFBC8">
            <w:pPr>
              <w:pStyle w:val="13"/>
              <w:rPr>
                <w:highlight w:val="none"/>
                <w:lang w:val="zh-CN"/>
              </w:rPr>
            </w:pPr>
            <w:r>
              <w:rPr>
                <w:highlight w:val="none"/>
              </w:rPr>
              <w:drawing>
                <wp:inline distT="0" distB="0" distL="114300" distR="114300">
                  <wp:extent cx="2114550" cy="1910080"/>
                  <wp:effectExtent l="0" t="0" r="0" b="13970"/>
                  <wp:docPr id="26" name="image33.jpe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descr="3"/>
                          <pic:cNvPicPr>
                            <a:picLocks noChangeAspect="1"/>
                          </pic:cNvPicPr>
                        </pic:nvPicPr>
                        <pic:blipFill>
                          <a:blip r:embed="rId39"/>
                          <a:stretch>
                            <a:fillRect/>
                          </a:stretch>
                        </pic:blipFill>
                        <pic:spPr>
                          <a:xfrm>
                            <a:off x="0" y="0"/>
                            <a:ext cx="2114550" cy="1910080"/>
                          </a:xfrm>
                          <a:prstGeom prst="rect">
                            <a:avLst/>
                          </a:prstGeom>
                          <a:noFill/>
                          <a:ln>
                            <a:noFill/>
                          </a:ln>
                        </pic:spPr>
                      </pic:pic>
                    </a:graphicData>
                  </a:graphic>
                </wp:inline>
              </w:drawing>
            </w:r>
            <w:r>
              <w:rPr>
                <w:highlight w:val="none"/>
              </w:rPr>
              <w:drawing>
                <wp:inline distT="0" distB="0" distL="114300" distR="114300">
                  <wp:extent cx="2268855" cy="1885950"/>
                  <wp:effectExtent l="0" t="0" r="17145" b="0"/>
                  <wp:docPr id="27" name="image34.jpeg"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4.jpeg" descr="2"/>
                          <pic:cNvPicPr>
                            <a:picLocks noChangeAspect="1"/>
                          </pic:cNvPicPr>
                        </pic:nvPicPr>
                        <pic:blipFill>
                          <a:blip r:embed="rId40"/>
                          <a:stretch>
                            <a:fillRect/>
                          </a:stretch>
                        </pic:blipFill>
                        <pic:spPr>
                          <a:xfrm>
                            <a:off x="0" y="0"/>
                            <a:ext cx="2268855" cy="1885950"/>
                          </a:xfrm>
                          <a:prstGeom prst="rect">
                            <a:avLst/>
                          </a:prstGeom>
                          <a:noFill/>
                          <a:ln>
                            <a:noFill/>
                          </a:ln>
                        </pic:spPr>
                      </pic:pic>
                    </a:graphicData>
                  </a:graphic>
                </wp:inline>
              </w:drawing>
            </w:r>
          </w:p>
        </w:tc>
        <w:tc>
          <w:tcPr>
            <w:tcW w:w="884" w:type="dxa"/>
            <w:noWrap w:val="0"/>
            <w:vAlign w:val="center"/>
          </w:tcPr>
          <w:p w14:paraId="7BA1458C">
            <w:pPr>
              <w:pStyle w:val="13"/>
              <w:rPr>
                <w:highlight w:val="none"/>
                <w:lang w:val="zh-CN"/>
              </w:rPr>
            </w:pPr>
          </w:p>
        </w:tc>
      </w:tr>
      <w:tr w14:paraId="0ED4D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1" w:hRule="atLeast"/>
          <w:jc w:val="center"/>
        </w:trPr>
        <w:tc>
          <w:tcPr>
            <w:tcW w:w="765" w:type="dxa"/>
            <w:vMerge w:val="continue"/>
            <w:tcBorders>
              <w:top w:val="nil"/>
            </w:tcBorders>
            <w:noWrap w:val="0"/>
            <w:vAlign w:val="center"/>
          </w:tcPr>
          <w:p w14:paraId="46D3916B">
            <w:pPr>
              <w:pStyle w:val="13"/>
              <w:rPr>
                <w:highlight w:val="none"/>
                <w:lang w:val="zh-CN"/>
              </w:rPr>
            </w:pPr>
          </w:p>
        </w:tc>
        <w:tc>
          <w:tcPr>
            <w:tcW w:w="1080" w:type="dxa"/>
            <w:vMerge w:val="continue"/>
            <w:tcBorders>
              <w:top w:val="nil"/>
            </w:tcBorders>
            <w:noWrap w:val="0"/>
            <w:vAlign w:val="center"/>
          </w:tcPr>
          <w:p w14:paraId="06546A2B">
            <w:pPr>
              <w:pStyle w:val="13"/>
              <w:rPr>
                <w:highlight w:val="none"/>
                <w:lang w:val="zh-CN"/>
              </w:rPr>
            </w:pPr>
          </w:p>
        </w:tc>
        <w:tc>
          <w:tcPr>
            <w:tcW w:w="812" w:type="dxa"/>
            <w:noWrap w:val="0"/>
            <w:vAlign w:val="center"/>
          </w:tcPr>
          <w:p w14:paraId="0D7E94BD">
            <w:pPr>
              <w:pStyle w:val="13"/>
              <w:rPr>
                <w:highlight w:val="none"/>
                <w:lang w:val="zh-CN"/>
              </w:rPr>
            </w:pPr>
            <w:r>
              <w:rPr>
                <w:highlight w:val="none"/>
                <w:lang w:val="zh-CN"/>
              </w:rPr>
              <w:t>堆放</w:t>
            </w:r>
          </w:p>
        </w:tc>
        <w:tc>
          <w:tcPr>
            <w:tcW w:w="2072" w:type="dxa"/>
            <w:noWrap w:val="0"/>
            <w:vAlign w:val="center"/>
          </w:tcPr>
          <w:p w14:paraId="5ECCE920">
            <w:pPr>
              <w:pStyle w:val="13"/>
              <w:rPr>
                <w:highlight w:val="none"/>
                <w:lang w:val="zh-CN"/>
              </w:rPr>
            </w:pPr>
            <w:r>
              <w:rPr>
                <w:highlight w:val="none"/>
                <w:lang w:val="zh-CN"/>
              </w:rPr>
              <w:t>现场石材应堆放于衬条上，衬条厚度不低于15mm；</w:t>
            </w:r>
          </w:p>
        </w:tc>
        <w:tc>
          <w:tcPr>
            <w:tcW w:w="7186" w:type="dxa"/>
            <w:noWrap w:val="0"/>
            <w:vAlign w:val="center"/>
          </w:tcPr>
          <w:p w14:paraId="132D4ED5">
            <w:pPr>
              <w:pStyle w:val="13"/>
              <w:rPr>
                <w:highlight w:val="none"/>
                <w:lang w:val="zh-CN"/>
              </w:rPr>
            </w:pPr>
            <w:r>
              <w:rPr>
                <w:highlight w:val="none"/>
              </w:rPr>
              <w:drawing>
                <wp:inline distT="0" distB="0" distL="114300" distR="114300">
                  <wp:extent cx="2111375" cy="1910715"/>
                  <wp:effectExtent l="0" t="0" r="3175" b="13335"/>
                  <wp:docPr id="28" name="image35.jpeg" descr="20150801_14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jpeg" descr="20150801_142959"/>
                          <pic:cNvPicPr>
                            <a:picLocks noChangeAspect="1"/>
                          </pic:cNvPicPr>
                        </pic:nvPicPr>
                        <pic:blipFill>
                          <a:blip r:embed="rId41"/>
                          <a:stretch>
                            <a:fillRect/>
                          </a:stretch>
                        </pic:blipFill>
                        <pic:spPr>
                          <a:xfrm>
                            <a:off x="0" y="0"/>
                            <a:ext cx="2111375" cy="1910715"/>
                          </a:xfrm>
                          <a:prstGeom prst="rect">
                            <a:avLst/>
                          </a:prstGeom>
                          <a:noFill/>
                          <a:ln>
                            <a:noFill/>
                          </a:ln>
                        </pic:spPr>
                      </pic:pic>
                    </a:graphicData>
                  </a:graphic>
                </wp:inline>
              </w:drawing>
            </w:r>
            <w:r>
              <w:rPr>
                <w:highlight w:val="none"/>
              </w:rPr>
              <w:drawing>
                <wp:inline distT="0" distB="0" distL="114300" distR="114300">
                  <wp:extent cx="2315845" cy="1885950"/>
                  <wp:effectExtent l="0" t="0" r="8255" b="0"/>
                  <wp:docPr id="29" name="image36.jpeg" descr="QQ截图2015110216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6.jpeg" descr="QQ截图20151102160638"/>
                          <pic:cNvPicPr>
                            <a:picLocks noChangeAspect="1"/>
                          </pic:cNvPicPr>
                        </pic:nvPicPr>
                        <pic:blipFill>
                          <a:blip r:embed="rId42"/>
                          <a:stretch>
                            <a:fillRect/>
                          </a:stretch>
                        </pic:blipFill>
                        <pic:spPr>
                          <a:xfrm>
                            <a:off x="0" y="0"/>
                            <a:ext cx="2315845" cy="1885950"/>
                          </a:xfrm>
                          <a:prstGeom prst="rect">
                            <a:avLst/>
                          </a:prstGeom>
                          <a:noFill/>
                          <a:ln>
                            <a:noFill/>
                          </a:ln>
                        </pic:spPr>
                      </pic:pic>
                    </a:graphicData>
                  </a:graphic>
                </wp:inline>
              </w:drawing>
            </w:r>
          </w:p>
        </w:tc>
        <w:tc>
          <w:tcPr>
            <w:tcW w:w="884" w:type="dxa"/>
            <w:noWrap w:val="0"/>
            <w:vAlign w:val="center"/>
          </w:tcPr>
          <w:p w14:paraId="6A2EE02C">
            <w:pPr>
              <w:pStyle w:val="13"/>
              <w:rPr>
                <w:highlight w:val="none"/>
                <w:lang w:val="zh-CN"/>
              </w:rPr>
            </w:pPr>
          </w:p>
        </w:tc>
      </w:tr>
      <w:tr w14:paraId="1571A5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4" w:hRule="atLeast"/>
          <w:jc w:val="center"/>
        </w:trPr>
        <w:tc>
          <w:tcPr>
            <w:tcW w:w="765" w:type="dxa"/>
            <w:vMerge w:val="continue"/>
            <w:tcBorders>
              <w:top w:val="nil"/>
            </w:tcBorders>
            <w:noWrap w:val="0"/>
            <w:vAlign w:val="center"/>
          </w:tcPr>
          <w:p w14:paraId="4F19D016">
            <w:pPr>
              <w:pStyle w:val="13"/>
              <w:rPr>
                <w:highlight w:val="none"/>
                <w:lang w:val="zh-CN"/>
              </w:rPr>
            </w:pPr>
          </w:p>
        </w:tc>
        <w:tc>
          <w:tcPr>
            <w:tcW w:w="1080" w:type="dxa"/>
            <w:vMerge w:val="continue"/>
            <w:tcBorders>
              <w:top w:val="nil"/>
            </w:tcBorders>
            <w:noWrap w:val="0"/>
            <w:vAlign w:val="center"/>
          </w:tcPr>
          <w:p w14:paraId="1852E57B">
            <w:pPr>
              <w:pStyle w:val="13"/>
              <w:rPr>
                <w:highlight w:val="none"/>
                <w:lang w:val="zh-CN"/>
              </w:rPr>
            </w:pPr>
          </w:p>
        </w:tc>
        <w:tc>
          <w:tcPr>
            <w:tcW w:w="812" w:type="dxa"/>
            <w:noWrap w:val="0"/>
            <w:vAlign w:val="center"/>
          </w:tcPr>
          <w:p w14:paraId="44114888">
            <w:pPr>
              <w:pStyle w:val="13"/>
              <w:rPr>
                <w:highlight w:val="none"/>
                <w:lang w:val="zh-CN"/>
              </w:rPr>
            </w:pPr>
            <w:r>
              <w:rPr>
                <w:highlight w:val="none"/>
                <w:lang w:val="zh-CN"/>
              </w:rPr>
              <w:t>安装成品</w:t>
            </w:r>
          </w:p>
        </w:tc>
        <w:tc>
          <w:tcPr>
            <w:tcW w:w="2072" w:type="dxa"/>
            <w:noWrap w:val="0"/>
            <w:vAlign w:val="center"/>
          </w:tcPr>
          <w:p w14:paraId="639C2E0A">
            <w:pPr>
              <w:pStyle w:val="13"/>
              <w:rPr>
                <w:highlight w:val="none"/>
                <w:lang w:val="zh-CN"/>
              </w:rPr>
            </w:pPr>
          </w:p>
          <w:p w14:paraId="660BB262">
            <w:pPr>
              <w:pStyle w:val="13"/>
              <w:rPr>
                <w:highlight w:val="none"/>
                <w:lang w:val="zh-CN"/>
              </w:rPr>
            </w:pPr>
            <w:r>
              <w:rPr>
                <w:highlight w:val="none"/>
                <w:lang w:val="zh-CN"/>
              </w:rPr>
              <w:t>底层采用厚度不低于2.5mmPVC针织棉，面层采用厚度不低于9mm厚木夹板进行保护； 墙面采用薄膜保 护，且阳角处需采用厚度不低于9mm木夹板进行保护；</w:t>
            </w:r>
          </w:p>
        </w:tc>
        <w:tc>
          <w:tcPr>
            <w:tcW w:w="7186" w:type="dxa"/>
            <w:noWrap w:val="0"/>
            <w:vAlign w:val="center"/>
          </w:tcPr>
          <w:p w14:paraId="2869A899">
            <w:pPr>
              <w:pStyle w:val="13"/>
              <w:rPr>
                <w:highlight w:val="none"/>
                <w:lang w:val="zh-CN"/>
              </w:rPr>
            </w:pPr>
          </w:p>
          <w:p w14:paraId="785F1BFB">
            <w:pPr>
              <w:pStyle w:val="13"/>
              <w:rPr>
                <w:highlight w:val="none"/>
                <w:lang w:val="zh-CN"/>
              </w:rPr>
            </w:pPr>
          </w:p>
          <w:p w14:paraId="261FBC3E">
            <w:pPr>
              <w:pStyle w:val="13"/>
              <w:rPr>
                <w:highlight w:val="none"/>
                <w:lang w:val="zh-CN"/>
              </w:rPr>
            </w:pPr>
            <w:r>
              <w:rPr>
                <w:highlight w:val="none"/>
              </w:rPr>
              <w:drawing>
                <wp:inline distT="0" distB="0" distL="114300" distR="114300">
                  <wp:extent cx="2121535" cy="1979295"/>
                  <wp:effectExtent l="0" t="0" r="12065" b="1905"/>
                  <wp:docPr id="30"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jpeg"/>
                          <pic:cNvPicPr>
                            <a:picLocks noChangeAspect="1"/>
                          </pic:cNvPicPr>
                        </pic:nvPicPr>
                        <pic:blipFill>
                          <a:blip r:embed="rId43"/>
                          <a:stretch>
                            <a:fillRect/>
                          </a:stretch>
                        </pic:blipFill>
                        <pic:spPr>
                          <a:xfrm>
                            <a:off x="0" y="0"/>
                            <a:ext cx="2121535" cy="1979295"/>
                          </a:xfrm>
                          <a:prstGeom prst="rect">
                            <a:avLst/>
                          </a:prstGeom>
                          <a:noFill/>
                          <a:ln>
                            <a:noFill/>
                          </a:ln>
                        </pic:spPr>
                      </pic:pic>
                    </a:graphicData>
                  </a:graphic>
                </wp:inline>
              </w:drawing>
            </w:r>
            <w:r>
              <w:rPr>
                <w:highlight w:val="none"/>
              </w:rPr>
              <w:drawing>
                <wp:inline distT="0" distB="0" distL="114300" distR="114300">
                  <wp:extent cx="2287905" cy="1991360"/>
                  <wp:effectExtent l="0" t="0" r="17145" b="8890"/>
                  <wp:docPr id="31" name="image38.jpeg"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8.jpeg" descr="2.jpg"/>
                          <pic:cNvPicPr>
                            <a:picLocks noChangeAspect="1"/>
                          </pic:cNvPicPr>
                        </pic:nvPicPr>
                        <pic:blipFill>
                          <a:blip r:embed="rId44"/>
                          <a:stretch>
                            <a:fillRect/>
                          </a:stretch>
                        </pic:blipFill>
                        <pic:spPr>
                          <a:xfrm>
                            <a:off x="0" y="0"/>
                            <a:ext cx="2287905" cy="1991360"/>
                          </a:xfrm>
                          <a:prstGeom prst="rect">
                            <a:avLst/>
                          </a:prstGeom>
                          <a:noFill/>
                          <a:ln>
                            <a:noFill/>
                          </a:ln>
                        </pic:spPr>
                      </pic:pic>
                    </a:graphicData>
                  </a:graphic>
                </wp:inline>
              </w:drawing>
            </w:r>
          </w:p>
        </w:tc>
        <w:tc>
          <w:tcPr>
            <w:tcW w:w="884" w:type="dxa"/>
            <w:noWrap w:val="0"/>
            <w:vAlign w:val="center"/>
          </w:tcPr>
          <w:p w14:paraId="17670BC4">
            <w:pPr>
              <w:pStyle w:val="13"/>
              <w:rPr>
                <w:highlight w:val="none"/>
                <w:lang w:val="zh-CN"/>
              </w:rPr>
            </w:pPr>
          </w:p>
        </w:tc>
      </w:tr>
      <w:tr w14:paraId="2BF8D1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2" w:hRule="atLeast"/>
          <w:jc w:val="center"/>
        </w:trPr>
        <w:tc>
          <w:tcPr>
            <w:tcW w:w="765" w:type="dxa"/>
            <w:vMerge w:val="restart"/>
            <w:tcBorders>
              <w:bottom w:val="nil"/>
            </w:tcBorders>
            <w:noWrap w:val="0"/>
            <w:vAlign w:val="center"/>
          </w:tcPr>
          <w:p w14:paraId="5FBAF474">
            <w:pPr>
              <w:pStyle w:val="13"/>
              <w:rPr>
                <w:highlight w:val="none"/>
                <w:lang w:val="zh-CN"/>
              </w:rPr>
            </w:pPr>
            <w:r>
              <w:rPr>
                <w:highlight w:val="none"/>
                <w:lang w:val="zh-CN"/>
              </w:rPr>
              <w:t>2</w:t>
            </w:r>
          </w:p>
        </w:tc>
        <w:tc>
          <w:tcPr>
            <w:tcW w:w="1080" w:type="dxa"/>
            <w:vMerge w:val="restart"/>
            <w:tcBorders>
              <w:bottom w:val="nil"/>
            </w:tcBorders>
            <w:noWrap w:val="0"/>
            <w:vAlign w:val="center"/>
          </w:tcPr>
          <w:p w14:paraId="1438067C">
            <w:pPr>
              <w:pStyle w:val="13"/>
              <w:rPr>
                <w:highlight w:val="none"/>
                <w:lang w:val="zh-CN"/>
              </w:rPr>
            </w:pPr>
            <w:r>
              <w:rPr>
                <w:rFonts w:hint="eastAsia"/>
                <w:highlight w:val="none"/>
                <w:lang w:val="zh-CN"/>
              </w:rPr>
              <w:t>瓷砖</w:t>
            </w:r>
            <w:r>
              <w:rPr>
                <w:highlight w:val="none"/>
                <w:lang w:val="zh-CN"/>
              </w:rPr>
              <w:t>（墙</w:t>
            </w:r>
          </w:p>
          <w:p w14:paraId="5FAF8690">
            <w:pPr>
              <w:pStyle w:val="13"/>
              <w:rPr>
                <w:highlight w:val="none"/>
                <w:lang w:val="zh-CN"/>
              </w:rPr>
            </w:pPr>
            <w:r>
              <w:rPr>
                <w:highlight w:val="none"/>
                <w:lang w:val="zh-CN"/>
              </w:rPr>
              <w:t>、地面）</w:t>
            </w:r>
          </w:p>
        </w:tc>
        <w:tc>
          <w:tcPr>
            <w:tcW w:w="812" w:type="dxa"/>
            <w:noWrap w:val="0"/>
            <w:vAlign w:val="center"/>
          </w:tcPr>
          <w:p w14:paraId="502ECD94">
            <w:pPr>
              <w:pStyle w:val="13"/>
              <w:rPr>
                <w:highlight w:val="none"/>
                <w:lang w:val="zh-CN"/>
              </w:rPr>
            </w:pPr>
            <w:r>
              <w:rPr>
                <w:highlight w:val="none"/>
                <w:lang w:val="zh-CN"/>
              </w:rPr>
              <w:t>工厂包装</w:t>
            </w:r>
          </w:p>
        </w:tc>
        <w:tc>
          <w:tcPr>
            <w:tcW w:w="2072" w:type="dxa"/>
            <w:noWrap w:val="0"/>
            <w:vAlign w:val="center"/>
          </w:tcPr>
          <w:p w14:paraId="091013B0">
            <w:pPr>
              <w:pStyle w:val="13"/>
              <w:rPr>
                <w:highlight w:val="none"/>
                <w:lang w:val="zh-CN"/>
              </w:rPr>
            </w:pPr>
            <w:r>
              <w:rPr>
                <w:highlight w:val="none"/>
                <w:lang w:val="zh-CN"/>
              </w:rPr>
              <w:t>采用珍珠棉加包装盒进行包装，包装盒外需加装羊角条进行保护；</w:t>
            </w:r>
          </w:p>
        </w:tc>
        <w:tc>
          <w:tcPr>
            <w:tcW w:w="7186" w:type="dxa"/>
            <w:noWrap w:val="0"/>
            <w:vAlign w:val="center"/>
          </w:tcPr>
          <w:p w14:paraId="770E6309">
            <w:pPr>
              <w:pStyle w:val="13"/>
              <w:rPr>
                <w:highlight w:val="none"/>
                <w:lang w:val="zh-CN"/>
              </w:rPr>
            </w:pPr>
            <w:r>
              <w:rPr>
                <w:highlight w:val="none"/>
              </w:rPr>
              <w:drawing>
                <wp:inline distT="0" distB="0" distL="114300" distR="114300">
                  <wp:extent cx="2124710" cy="1923415"/>
                  <wp:effectExtent l="0" t="0" r="8890" b="635"/>
                  <wp:docPr id="32" name="image39.jpeg" descr="212246x9w4avyoevavyb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descr="212246x9w4avyoevavybyy.jpg"/>
                          <pic:cNvPicPr>
                            <a:picLocks noChangeAspect="1"/>
                          </pic:cNvPicPr>
                        </pic:nvPicPr>
                        <pic:blipFill>
                          <a:blip r:embed="rId45"/>
                          <a:stretch>
                            <a:fillRect/>
                          </a:stretch>
                        </pic:blipFill>
                        <pic:spPr>
                          <a:xfrm>
                            <a:off x="0" y="0"/>
                            <a:ext cx="2124710" cy="1923415"/>
                          </a:xfrm>
                          <a:prstGeom prst="rect">
                            <a:avLst/>
                          </a:prstGeom>
                          <a:noFill/>
                          <a:ln>
                            <a:noFill/>
                          </a:ln>
                        </pic:spPr>
                      </pic:pic>
                    </a:graphicData>
                  </a:graphic>
                </wp:inline>
              </w:drawing>
            </w:r>
            <w:r>
              <w:rPr>
                <w:highlight w:val="none"/>
              </w:rPr>
              <w:drawing>
                <wp:inline distT="0" distB="0" distL="114300" distR="114300">
                  <wp:extent cx="2289175" cy="1857375"/>
                  <wp:effectExtent l="0" t="0" r="15875" b="9525"/>
                  <wp:docPr id="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0.jpeg"/>
                          <pic:cNvPicPr>
                            <a:picLocks noChangeAspect="1"/>
                          </pic:cNvPicPr>
                        </pic:nvPicPr>
                        <pic:blipFill>
                          <a:blip r:embed="rId46"/>
                          <a:stretch>
                            <a:fillRect/>
                          </a:stretch>
                        </pic:blipFill>
                        <pic:spPr>
                          <a:xfrm>
                            <a:off x="0" y="0"/>
                            <a:ext cx="2289175" cy="1857375"/>
                          </a:xfrm>
                          <a:prstGeom prst="rect">
                            <a:avLst/>
                          </a:prstGeom>
                          <a:noFill/>
                          <a:ln>
                            <a:noFill/>
                          </a:ln>
                        </pic:spPr>
                      </pic:pic>
                    </a:graphicData>
                  </a:graphic>
                </wp:inline>
              </w:drawing>
            </w:r>
          </w:p>
        </w:tc>
        <w:tc>
          <w:tcPr>
            <w:tcW w:w="884" w:type="dxa"/>
            <w:noWrap w:val="0"/>
            <w:vAlign w:val="center"/>
          </w:tcPr>
          <w:p w14:paraId="48E4D2AD">
            <w:pPr>
              <w:pStyle w:val="13"/>
              <w:rPr>
                <w:highlight w:val="none"/>
                <w:lang w:val="zh-CN"/>
              </w:rPr>
            </w:pPr>
          </w:p>
        </w:tc>
      </w:tr>
      <w:tr w14:paraId="7C2DD3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1" w:hRule="atLeast"/>
          <w:jc w:val="center"/>
        </w:trPr>
        <w:tc>
          <w:tcPr>
            <w:tcW w:w="765" w:type="dxa"/>
            <w:vMerge w:val="continue"/>
            <w:tcBorders>
              <w:top w:val="nil"/>
              <w:bottom w:val="nil"/>
            </w:tcBorders>
            <w:noWrap w:val="0"/>
            <w:vAlign w:val="center"/>
          </w:tcPr>
          <w:p w14:paraId="2B9E663B">
            <w:pPr>
              <w:pStyle w:val="13"/>
              <w:rPr>
                <w:highlight w:val="none"/>
                <w:lang w:val="zh-CN"/>
              </w:rPr>
            </w:pPr>
          </w:p>
        </w:tc>
        <w:tc>
          <w:tcPr>
            <w:tcW w:w="1080" w:type="dxa"/>
            <w:vMerge w:val="continue"/>
            <w:tcBorders>
              <w:top w:val="nil"/>
              <w:bottom w:val="nil"/>
            </w:tcBorders>
            <w:noWrap w:val="0"/>
            <w:vAlign w:val="center"/>
          </w:tcPr>
          <w:p w14:paraId="77070E0A">
            <w:pPr>
              <w:pStyle w:val="13"/>
              <w:rPr>
                <w:highlight w:val="none"/>
                <w:lang w:val="zh-CN"/>
              </w:rPr>
            </w:pPr>
          </w:p>
        </w:tc>
        <w:tc>
          <w:tcPr>
            <w:tcW w:w="812" w:type="dxa"/>
            <w:noWrap w:val="0"/>
            <w:vAlign w:val="center"/>
          </w:tcPr>
          <w:p w14:paraId="76C2A0F2">
            <w:pPr>
              <w:pStyle w:val="13"/>
              <w:rPr>
                <w:highlight w:val="none"/>
                <w:lang w:val="zh-CN"/>
              </w:rPr>
            </w:pPr>
          </w:p>
        </w:tc>
        <w:tc>
          <w:tcPr>
            <w:tcW w:w="2072" w:type="dxa"/>
            <w:noWrap w:val="0"/>
            <w:vAlign w:val="center"/>
          </w:tcPr>
          <w:p w14:paraId="2B386BEE">
            <w:pPr>
              <w:pStyle w:val="13"/>
              <w:rPr>
                <w:highlight w:val="none"/>
                <w:lang w:val="zh-CN"/>
              </w:rPr>
            </w:pPr>
            <w:r>
              <w:rPr>
                <w:highlight w:val="none"/>
                <w:lang w:val="zh-CN"/>
              </w:rPr>
              <w:t>现场瓷砖应堆放于户内垫木上，垫木高度不得小于100mm</w:t>
            </w:r>
          </w:p>
        </w:tc>
        <w:tc>
          <w:tcPr>
            <w:tcW w:w="7186" w:type="dxa"/>
            <w:noWrap w:val="0"/>
            <w:vAlign w:val="center"/>
          </w:tcPr>
          <w:p w14:paraId="21023D27">
            <w:pPr>
              <w:pStyle w:val="13"/>
              <w:rPr>
                <w:highlight w:val="none"/>
                <w:lang w:val="zh-CN"/>
              </w:rPr>
            </w:pPr>
            <w:r>
              <w:rPr>
                <w:highlight w:val="none"/>
              </w:rPr>
              <w:drawing>
                <wp:inline distT="0" distB="0" distL="114300" distR="114300">
                  <wp:extent cx="2159635" cy="1948180"/>
                  <wp:effectExtent l="0" t="0" r="12065" b="13970"/>
                  <wp:docPr id="34" name="image41.jpeg"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jpeg" descr="3.jpg"/>
                          <pic:cNvPicPr>
                            <a:picLocks noChangeAspect="1"/>
                          </pic:cNvPicPr>
                        </pic:nvPicPr>
                        <pic:blipFill>
                          <a:blip r:embed="rId47"/>
                          <a:stretch>
                            <a:fillRect/>
                          </a:stretch>
                        </pic:blipFill>
                        <pic:spPr>
                          <a:xfrm>
                            <a:off x="0" y="0"/>
                            <a:ext cx="2159635" cy="1948180"/>
                          </a:xfrm>
                          <a:prstGeom prst="rect">
                            <a:avLst/>
                          </a:prstGeom>
                          <a:noFill/>
                          <a:ln>
                            <a:noFill/>
                          </a:ln>
                        </pic:spPr>
                      </pic:pic>
                    </a:graphicData>
                  </a:graphic>
                </wp:inline>
              </w:drawing>
            </w:r>
            <w:r>
              <w:rPr>
                <w:highlight w:val="none"/>
              </w:rPr>
              <w:drawing>
                <wp:inline distT="0" distB="0" distL="114300" distR="114300">
                  <wp:extent cx="2265680" cy="1910715"/>
                  <wp:effectExtent l="0" t="0" r="1270" b="13335"/>
                  <wp:docPr id="35" name="image42.jpeg" descr="IMG_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2.jpeg" descr="IMG_9938.JPG"/>
                          <pic:cNvPicPr>
                            <a:picLocks noChangeAspect="1"/>
                          </pic:cNvPicPr>
                        </pic:nvPicPr>
                        <pic:blipFill>
                          <a:blip r:embed="rId48"/>
                          <a:stretch>
                            <a:fillRect/>
                          </a:stretch>
                        </pic:blipFill>
                        <pic:spPr>
                          <a:xfrm>
                            <a:off x="0" y="0"/>
                            <a:ext cx="2265680" cy="1910715"/>
                          </a:xfrm>
                          <a:prstGeom prst="rect">
                            <a:avLst/>
                          </a:prstGeom>
                          <a:noFill/>
                          <a:ln>
                            <a:noFill/>
                          </a:ln>
                        </pic:spPr>
                      </pic:pic>
                    </a:graphicData>
                  </a:graphic>
                </wp:inline>
              </w:drawing>
            </w:r>
          </w:p>
        </w:tc>
        <w:tc>
          <w:tcPr>
            <w:tcW w:w="884" w:type="dxa"/>
            <w:noWrap w:val="0"/>
            <w:vAlign w:val="center"/>
          </w:tcPr>
          <w:p w14:paraId="3F34EEB6">
            <w:pPr>
              <w:pStyle w:val="13"/>
              <w:rPr>
                <w:highlight w:val="none"/>
                <w:lang w:val="zh-CN"/>
              </w:rPr>
            </w:pPr>
          </w:p>
        </w:tc>
      </w:tr>
      <w:tr w14:paraId="13E3A9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6" w:hRule="atLeast"/>
          <w:jc w:val="center"/>
        </w:trPr>
        <w:tc>
          <w:tcPr>
            <w:tcW w:w="765" w:type="dxa"/>
            <w:tcBorders>
              <w:top w:val="nil"/>
            </w:tcBorders>
            <w:noWrap w:val="0"/>
            <w:vAlign w:val="center"/>
          </w:tcPr>
          <w:p w14:paraId="3E9E4AB1">
            <w:pPr>
              <w:pStyle w:val="13"/>
              <w:rPr>
                <w:highlight w:val="none"/>
                <w:lang w:val="zh-CN"/>
              </w:rPr>
            </w:pPr>
          </w:p>
        </w:tc>
        <w:tc>
          <w:tcPr>
            <w:tcW w:w="1080" w:type="dxa"/>
            <w:tcBorders>
              <w:top w:val="nil"/>
            </w:tcBorders>
            <w:noWrap w:val="0"/>
            <w:vAlign w:val="center"/>
          </w:tcPr>
          <w:p w14:paraId="6592A605">
            <w:pPr>
              <w:pStyle w:val="13"/>
              <w:rPr>
                <w:highlight w:val="none"/>
                <w:lang w:val="zh-CN"/>
              </w:rPr>
            </w:pPr>
          </w:p>
        </w:tc>
        <w:tc>
          <w:tcPr>
            <w:tcW w:w="812" w:type="dxa"/>
            <w:noWrap w:val="0"/>
            <w:vAlign w:val="center"/>
          </w:tcPr>
          <w:p w14:paraId="08F188AC">
            <w:pPr>
              <w:pStyle w:val="13"/>
              <w:rPr>
                <w:highlight w:val="none"/>
                <w:lang w:val="zh-CN"/>
              </w:rPr>
            </w:pPr>
            <w:r>
              <w:rPr>
                <w:highlight w:val="none"/>
                <w:lang w:val="zh-CN"/>
              </w:rPr>
              <w:t>安装成品</w:t>
            </w:r>
          </w:p>
        </w:tc>
        <w:tc>
          <w:tcPr>
            <w:tcW w:w="2072" w:type="dxa"/>
            <w:noWrap w:val="0"/>
            <w:vAlign w:val="center"/>
          </w:tcPr>
          <w:p w14:paraId="04E953C1">
            <w:pPr>
              <w:pStyle w:val="13"/>
              <w:rPr>
                <w:highlight w:val="none"/>
                <w:lang w:val="zh-CN"/>
              </w:rPr>
            </w:pPr>
          </w:p>
          <w:p w14:paraId="75CEB0CC">
            <w:pPr>
              <w:pStyle w:val="13"/>
              <w:rPr>
                <w:highlight w:val="none"/>
                <w:lang w:val="zh-CN"/>
              </w:rPr>
            </w:pPr>
            <w:r>
              <w:rPr>
                <w:highlight w:val="none"/>
                <w:lang w:val="zh-CN"/>
              </w:rPr>
              <w:t>底层采用厚度不低于2.5mmPVC针织棉，面层采用厚度不低于9mm厚木夹板进行保护</w:t>
            </w:r>
            <w:r>
              <w:rPr>
                <w:rFonts w:hint="eastAsia"/>
                <w:highlight w:val="none"/>
              </w:rPr>
              <w:t>或地面保护垫（编织布）进行保护</w:t>
            </w:r>
            <w:r>
              <w:rPr>
                <w:highlight w:val="none"/>
                <w:lang w:val="zh-CN"/>
              </w:rPr>
              <w:t>； 墙面采用薄膜保 护，且阳角处需采用厚度不低于9mm木夹板进行保护；</w:t>
            </w:r>
          </w:p>
        </w:tc>
        <w:tc>
          <w:tcPr>
            <w:tcW w:w="7186" w:type="dxa"/>
            <w:noWrap w:val="0"/>
            <w:vAlign w:val="center"/>
          </w:tcPr>
          <w:p w14:paraId="6F0EE57F">
            <w:pPr>
              <w:pStyle w:val="13"/>
              <w:rPr>
                <w:highlight w:val="none"/>
                <w:lang w:val="zh-CN"/>
              </w:rPr>
            </w:pPr>
          </w:p>
          <w:p w14:paraId="3C9AF851">
            <w:pPr>
              <w:pStyle w:val="13"/>
              <w:rPr>
                <w:highlight w:val="none"/>
                <w:lang w:val="zh-CN"/>
              </w:rPr>
            </w:pPr>
            <w:r>
              <w:rPr>
                <w:highlight w:val="none"/>
              </w:rPr>
              <w:drawing>
                <wp:inline distT="0" distB="0" distL="114300" distR="114300">
                  <wp:extent cx="2150110" cy="2543810"/>
                  <wp:effectExtent l="0" t="0" r="2540" b="8890"/>
                  <wp:docPr id="36" name="image43.png"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png" descr="1.png"/>
                          <pic:cNvPicPr>
                            <a:picLocks noChangeAspect="1"/>
                          </pic:cNvPicPr>
                        </pic:nvPicPr>
                        <pic:blipFill>
                          <a:blip r:embed="rId49"/>
                          <a:stretch>
                            <a:fillRect/>
                          </a:stretch>
                        </pic:blipFill>
                        <pic:spPr>
                          <a:xfrm>
                            <a:off x="0" y="0"/>
                            <a:ext cx="2150110" cy="2543810"/>
                          </a:xfrm>
                          <a:prstGeom prst="rect">
                            <a:avLst/>
                          </a:prstGeom>
                          <a:noFill/>
                          <a:ln>
                            <a:noFill/>
                          </a:ln>
                        </pic:spPr>
                      </pic:pic>
                    </a:graphicData>
                  </a:graphic>
                </wp:inline>
              </w:drawing>
            </w:r>
            <w:r>
              <w:rPr>
                <w:highlight w:val="none"/>
              </w:rPr>
              <w:drawing>
                <wp:inline distT="0" distB="0" distL="114300" distR="114300">
                  <wp:extent cx="2298700" cy="2576830"/>
                  <wp:effectExtent l="0" t="0" r="6350" b="13970"/>
                  <wp:docPr id="37" name="image44.jpeg"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4.jpeg" descr="2.jpg"/>
                          <pic:cNvPicPr>
                            <a:picLocks noChangeAspect="1"/>
                          </pic:cNvPicPr>
                        </pic:nvPicPr>
                        <pic:blipFill>
                          <a:blip r:embed="rId50"/>
                          <a:stretch>
                            <a:fillRect/>
                          </a:stretch>
                        </pic:blipFill>
                        <pic:spPr>
                          <a:xfrm>
                            <a:off x="0" y="0"/>
                            <a:ext cx="2298700" cy="2576830"/>
                          </a:xfrm>
                          <a:prstGeom prst="rect">
                            <a:avLst/>
                          </a:prstGeom>
                          <a:noFill/>
                          <a:ln>
                            <a:noFill/>
                          </a:ln>
                        </pic:spPr>
                      </pic:pic>
                    </a:graphicData>
                  </a:graphic>
                </wp:inline>
              </w:drawing>
            </w:r>
          </w:p>
        </w:tc>
        <w:tc>
          <w:tcPr>
            <w:tcW w:w="884" w:type="dxa"/>
            <w:noWrap w:val="0"/>
            <w:vAlign w:val="center"/>
          </w:tcPr>
          <w:p w14:paraId="605B0C0B">
            <w:pPr>
              <w:pStyle w:val="13"/>
              <w:rPr>
                <w:highlight w:val="none"/>
                <w:lang w:val="zh-CN"/>
              </w:rPr>
            </w:pPr>
          </w:p>
        </w:tc>
      </w:tr>
      <w:tr w14:paraId="64BD90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2" w:hRule="atLeast"/>
          <w:jc w:val="center"/>
        </w:trPr>
        <w:tc>
          <w:tcPr>
            <w:tcW w:w="765" w:type="dxa"/>
            <w:vMerge w:val="restart"/>
            <w:noWrap w:val="0"/>
            <w:vAlign w:val="center"/>
          </w:tcPr>
          <w:p w14:paraId="5CF4028C">
            <w:pPr>
              <w:pStyle w:val="13"/>
              <w:rPr>
                <w:highlight w:val="none"/>
                <w:lang w:val="zh-CN"/>
              </w:rPr>
            </w:pPr>
            <w:r>
              <w:rPr>
                <w:highlight w:val="none"/>
                <w:lang w:val="zh-CN"/>
              </w:rPr>
              <w:t>3</w:t>
            </w:r>
          </w:p>
        </w:tc>
        <w:tc>
          <w:tcPr>
            <w:tcW w:w="1080" w:type="dxa"/>
            <w:vMerge w:val="restart"/>
            <w:noWrap w:val="0"/>
            <w:vAlign w:val="center"/>
          </w:tcPr>
          <w:p w14:paraId="5C8A2D76">
            <w:pPr>
              <w:pStyle w:val="13"/>
              <w:rPr>
                <w:highlight w:val="none"/>
                <w:lang w:val="zh-CN"/>
              </w:rPr>
            </w:pPr>
            <w:r>
              <w:rPr>
                <w:rFonts w:hint="eastAsia"/>
                <w:highlight w:val="none"/>
                <w:lang w:val="zh-CN"/>
              </w:rPr>
              <w:t>木地板</w:t>
            </w:r>
          </w:p>
        </w:tc>
        <w:tc>
          <w:tcPr>
            <w:tcW w:w="812" w:type="dxa"/>
            <w:noWrap w:val="0"/>
            <w:vAlign w:val="center"/>
          </w:tcPr>
          <w:p w14:paraId="6C06543A">
            <w:pPr>
              <w:pStyle w:val="13"/>
              <w:rPr>
                <w:highlight w:val="none"/>
                <w:lang w:val="zh-CN"/>
              </w:rPr>
            </w:pPr>
            <w:r>
              <w:rPr>
                <w:highlight w:val="none"/>
                <w:lang w:val="zh-CN"/>
              </w:rPr>
              <w:t>工厂包装</w:t>
            </w:r>
          </w:p>
        </w:tc>
        <w:tc>
          <w:tcPr>
            <w:tcW w:w="2072" w:type="dxa"/>
            <w:noWrap w:val="0"/>
            <w:vAlign w:val="center"/>
          </w:tcPr>
          <w:p w14:paraId="423E3AF3">
            <w:pPr>
              <w:pStyle w:val="13"/>
              <w:rPr>
                <w:highlight w:val="none"/>
                <w:lang w:val="zh-CN"/>
              </w:rPr>
            </w:pPr>
            <w:r>
              <w:rPr>
                <w:highlight w:val="none"/>
                <w:lang w:val="zh-CN"/>
              </w:rPr>
              <w:t>采用珍珠棉加包装盒进行包装</w:t>
            </w:r>
          </w:p>
        </w:tc>
        <w:tc>
          <w:tcPr>
            <w:tcW w:w="7186" w:type="dxa"/>
            <w:noWrap w:val="0"/>
            <w:vAlign w:val="center"/>
          </w:tcPr>
          <w:p w14:paraId="17FC44E0">
            <w:pPr>
              <w:pStyle w:val="13"/>
              <w:rPr>
                <w:highlight w:val="none"/>
                <w:lang w:val="zh-CN"/>
              </w:rPr>
            </w:pPr>
            <w:r>
              <w:rPr>
                <w:highlight w:val="none"/>
              </w:rPr>
              <w:drawing>
                <wp:inline distT="0" distB="0" distL="114300" distR="114300">
                  <wp:extent cx="2129155" cy="1913890"/>
                  <wp:effectExtent l="0" t="0" r="4445" b="10160"/>
                  <wp:docPr id="38" name="image45.jpeg"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descr="04.jpg"/>
                          <pic:cNvPicPr>
                            <a:picLocks noChangeAspect="1"/>
                          </pic:cNvPicPr>
                        </pic:nvPicPr>
                        <pic:blipFill>
                          <a:blip r:embed="rId51"/>
                          <a:stretch>
                            <a:fillRect/>
                          </a:stretch>
                        </pic:blipFill>
                        <pic:spPr>
                          <a:xfrm>
                            <a:off x="0" y="0"/>
                            <a:ext cx="2129155" cy="1913890"/>
                          </a:xfrm>
                          <a:prstGeom prst="rect">
                            <a:avLst/>
                          </a:prstGeom>
                          <a:noFill/>
                          <a:ln>
                            <a:noFill/>
                          </a:ln>
                        </pic:spPr>
                      </pic:pic>
                    </a:graphicData>
                  </a:graphic>
                </wp:inline>
              </w:drawing>
            </w:r>
            <w:r>
              <w:rPr>
                <w:highlight w:val="none"/>
              </w:rPr>
              <w:drawing>
                <wp:inline distT="0" distB="0" distL="114300" distR="114300">
                  <wp:extent cx="1951990" cy="1951990"/>
                  <wp:effectExtent l="0" t="0" r="10160" b="10160"/>
                  <wp:docPr id="39" name="image46.jpeg" descr="IMG_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6.jpeg" descr="IMG_9612.JPG"/>
                          <pic:cNvPicPr>
                            <a:picLocks noChangeAspect="1"/>
                          </pic:cNvPicPr>
                        </pic:nvPicPr>
                        <pic:blipFill>
                          <a:blip r:embed="rId52"/>
                          <a:stretch>
                            <a:fillRect/>
                          </a:stretch>
                        </pic:blipFill>
                        <pic:spPr>
                          <a:xfrm>
                            <a:off x="0" y="0"/>
                            <a:ext cx="1951990" cy="1951990"/>
                          </a:xfrm>
                          <a:prstGeom prst="rect">
                            <a:avLst/>
                          </a:prstGeom>
                          <a:noFill/>
                          <a:ln>
                            <a:noFill/>
                          </a:ln>
                        </pic:spPr>
                      </pic:pic>
                    </a:graphicData>
                  </a:graphic>
                </wp:inline>
              </w:drawing>
            </w:r>
          </w:p>
        </w:tc>
        <w:tc>
          <w:tcPr>
            <w:tcW w:w="884" w:type="dxa"/>
            <w:noWrap w:val="0"/>
            <w:vAlign w:val="center"/>
          </w:tcPr>
          <w:p w14:paraId="7EF4DE73">
            <w:pPr>
              <w:pStyle w:val="13"/>
              <w:rPr>
                <w:highlight w:val="none"/>
                <w:lang w:val="zh-CN"/>
              </w:rPr>
            </w:pPr>
          </w:p>
        </w:tc>
      </w:tr>
      <w:tr w14:paraId="50614B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8" w:hRule="atLeast"/>
          <w:jc w:val="center"/>
        </w:trPr>
        <w:tc>
          <w:tcPr>
            <w:tcW w:w="765" w:type="dxa"/>
            <w:vMerge w:val="continue"/>
            <w:tcBorders>
              <w:top w:val="nil"/>
            </w:tcBorders>
            <w:noWrap w:val="0"/>
            <w:vAlign w:val="center"/>
          </w:tcPr>
          <w:p w14:paraId="2693B492">
            <w:pPr>
              <w:pStyle w:val="13"/>
              <w:rPr>
                <w:highlight w:val="none"/>
                <w:lang w:val="zh-CN"/>
              </w:rPr>
            </w:pPr>
          </w:p>
        </w:tc>
        <w:tc>
          <w:tcPr>
            <w:tcW w:w="1080" w:type="dxa"/>
            <w:vMerge w:val="continue"/>
            <w:tcBorders>
              <w:top w:val="nil"/>
            </w:tcBorders>
            <w:noWrap w:val="0"/>
            <w:vAlign w:val="center"/>
          </w:tcPr>
          <w:p w14:paraId="793FF611">
            <w:pPr>
              <w:pStyle w:val="13"/>
              <w:rPr>
                <w:highlight w:val="none"/>
                <w:lang w:val="zh-CN"/>
              </w:rPr>
            </w:pPr>
          </w:p>
        </w:tc>
        <w:tc>
          <w:tcPr>
            <w:tcW w:w="812" w:type="dxa"/>
            <w:noWrap w:val="0"/>
            <w:vAlign w:val="center"/>
          </w:tcPr>
          <w:p w14:paraId="7CB829EF">
            <w:pPr>
              <w:pStyle w:val="13"/>
              <w:rPr>
                <w:highlight w:val="none"/>
                <w:lang w:val="zh-CN"/>
              </w:rPr>
            </w:pPr>
            <w:r>
              <w:rPr>
                <w:highlight w:val="none"/>
                <w:lang w:val="zh-CN"/>
              </w:rPr>
              <w:t>堆放</w:t>
            </w:r>
          </w:p>
        </w:tc>
        <w:tc>
          <w:tcPr>
            <w:tcW w:w="2072" w:type="dxa"/>
            <w:noWrap w:val="0"/>
            <w:vAlign w:val="center"/>
          </w:tcPr>
          <w:p w14:paraId="39987C4F">
            <w:pPr>
              <w:pStyle w:val="13"/>
              <w:rPr>
                <w:highlight w:val="none"/>
                <w:lang w:val="zh-CN"/>
              </w:rPr>
            </w:pPr>
            <w:r>
              <w:rPr>
                <w:highlight w:val="none"/>
                <w:lang w:val="zh-CN"/>
              </w:rPr>
              <w:t>应置于户内垫木上，垫木高度不得小于100mm, 堆码高度不得超过1.5m</w:t>
            </w:r>
          </w:p>
        </w:tc>
        <w:tc>
          <w:tcPr>
            <w:tcW w:w="7186" w:type="dxa"/>
            <w:noWrap w:val="0"/>
            <w:vAlign w:val="center"/>
          </w:tcPr>
          <w:p w14:paraId="05D8B546">
            <w:pPr>
              <w:pStyle w:val="13"/>
              <w:rPr>
                <w:highlight w:val="none"/>
                <w:lang w:val="zh-CN"/>
              </w:rPr>
            </w:pPr>
            <w:r>
              <w:rPr>
                <w:highlight w:val="none"/>
              </w:rPr>
              <w:drawing>
                <wp:inline distT="0" distB="0" distL="114300" distR="114300">
                  <wp:extent cx="2159000" cy="1910715"/>
                  <wp:effectExtent l="0" t="0" r="12700" b="13335"/>
                  <wp:docPr id="40" name="image47.jpeg" descr="IMG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jpeg" descr="IMG_9619.JPG"/>
                          <pic:cNvPicPr>
                            <a:picLocks noChangeAspect="1"/>
                          </pic:cNvPicPr>
                        </pic:nvPicPr>
                        <pic:blipFill>
                          <a:blip r:embed="rId53"/>
                          <a:stretch>
                            <a:fillRect/>
                          </a:stretch>
                        </pic:blipFill>
                        <pic:spPr>
                          <a:xfrm>
                            <a:off x="0" y="0"/>
                            <a:ext cx="2159000" cy="1910715"/>
                          </a:xfrm>
                          <a:prstGeom prst="rect">
                            <a:avLst/>
                          </a:prstGeom>
                          <a:noFill/>
                          <a:ln>
                            <a:noFill/>
                          </a:ln>
                        </pic:spPr>
                      </pic:pic>
                    </a:graphicData>
                  </a:graphic>
                </wp:inline>
              </w:drawing>
            </w:r>
            <w:r>
              <w:rPr>
                <w:highlight w:val="none"/>
              </w:rPr>
              <w:drawing>
                <wp:inline distT="0" distB="0" distL="114300" distR="114300">
                  <wp:extent cx="2197100" cy="1910715"/>
                  <wp:effectExtent l="0" t="0" r="12700" b="13335"/>
                  <wp:docPr id="41" name="image48.jpeg" descr="IMG_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8.jpeg" descr="IMG_9618.JPG"/>
                          <pic:cNvPicPr>
                            <a:picLocks noChangeAspect="1"/>
                          </pic:cNvPicPr>
                        </pic:nvPicPr>
                        <pic:blipFill>
                          <a:blip r:embed="rId54"/>
                          <a:stretch>
                            <a:fillRect/>
                          </a:stretch>
                        </pic:blipFill>
                        <pic:spPr>
                          <a:xfrm>
                            <a:off x="0" y="0"/>
                            <a:ext cx="2197100" cy="1910715"/>
                          </a:xfrm>
                          <a:prstGeom prst="rect">
                            <a:avLst/>
                          </a:prstGeom>
                          <a:noFill/>
                          <a:ln>
                            <a:noFill/>
                          </a:ln>
                        </pic:spPr>
                      </pic:pic>
                    </a:graphicData>
                  </a:graphic>
                </wp:inline>
              </w:drawing>
            </w:r>
          </w:p>
        </w:tc>
        <w:tc>
          <w:tcPr>
            <w:tcW w:w="884" w:type="dxa"/>
            <w:noWrap w:val="0"/>
            <w:vAlign w:val="center"/>
          </w:tcPr>
          <w:p w14:paraId="47825925">
            <w:pPr>
              <w:pStyle w:val="13"/>
              <w:rPr>
                <w:highlight w:val="none"/>
                <w:lang w:val="zh-CN"/>
              </w:rPr>
            </w:pPr>
          </w:p>
        </w:tc>
      </w:tr>
      <w:tr w14:paraId="740897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1" w:hRule="atLeast"/>
          <w:jc w:val="center"/>
        </w:trPr>
        <w:tc>
          <w:tcPr>
            <w:tcW w:w="765" w:type="dxa"/>
            <w:vMerge w:val="continue"/>
            <w:tcBorders>
              <w:top w:val="nil"/>
            </w:tcBorders>
            <w:noWrap w:val="0"/>
            <w:vAlign w:val="center"/>
          </w:tcPr>
          <w:p w14:paraId="632C6B02">
            <w:pPr>
              <w:pStyle w:val="13"/>
              <w:rPr>
                <w:highlight w:val="none"/>
                <w:lang w:val="zh-CN"/>
              </w:rPr>
            </w:pPr>
          </w:p>
        </w:tc>
        <w:tc>
          <w:tcPr>
            <w:tcW w:w="1080" w:type="dxa"/>
            <w:vMerge w:val="continue"/>
            <w:tcBorders>
              <w:top w:val="nil"/>
            </w:tcBorders>
            <w:noWrap w:val="0"/>
            <w:vAlign w:val="center"/>
          </w:tcPr>
          <w:p w14:paraId="08D3A40E">
            <w:pPr>
              <w:pStyle w:val="13"/>
              <w:rPr>
                <w:highlight w:val="none"/>
                <w:lang w:val="zh-CN"/>
              </w:rPr>
            </w:pPr>
          </w:p>
        </w:tc>
        <w:tc>
          <w:tcPr>
            <w:tcW w:w="812" w:type="dxa"/>
            <w:noWrap w:val="0"/>
            <w:vAlign w:val="center"/>
          </w:tcPr>
          <w:p w14:paraId="1780BD7F">
            <w:pPr>
              <w:pStyle w:val="13"/>
              <w:rPr>
                <w:highlight w:val="none"/>
                <w:lang w:val="zh-CN"/>
              </w:rPr>
            </w:pPr>
            <w:r>
              <w:rPr>
                <w:highlight w:val="none"/>
                <w:lang w:val="zh-CN"/>
              </w:rPr>
              <w:t>安装成品</w:t>
            </w:r>
          </w:p>
        </w:tc>
        <w:tc>
          <w:tcPr>
            <w:tcW w:w="2072" w:type="dxa"/>
            <w:noWrap w:val="0"/>
            <w:vAlign w:val="center"/>
          </w:tcPr>
          <w:p w14:paraId="67DD36A2">
            <w:pPr>
              <w:pStyle w:val="13"/>
              <w:rPr>
                <w:highlight w:val="none"/>
                <w:lang w:val="zh-CN"/>
              </w:rPr>
            </w:pPr>
            <w:r>
              <w:rPr>
                <w:highlight w:val="none"/>
                <w:lang w:val="zh-CN"/>
              </w:rPr>
              <w:t>底层采用厚度不低于2.5mmPVC针 织棉，面层采用瓦楞纸板覆盖保护；</w:t>
            </w:r>
          </w:p>
        </w:tc>
        <w:tc>
          <w:tcPr>
            <w:tcW w:w="7186" w:type="dxa"/>
            <w:noWrap w:val="0"/>
            <w:vAlign w:val="center"/>
          </w:tcPr>
          <w:p w14:paraId="33C7975C">
            <w:pPr>
              <w:pStyle w:val="13"/>
              <w:rPr>
                <w:highlight w:val="none"/>
                <w:lang w:val="zh-CN"/>
              </w:rPr>
            </w:pPr>
          </w:p>
          <w:p w14:paraId="1974BFA9">
            <w:pPr>
              <w:pStyle w:val="13"/>
              <w:rPr>
                <w:highlight w:val="none"/>
                <w:lang w:val="zh-CN"/>
              </w:rPr>
            </w:pPr>
            <w:r>
              <w:rPr>
                <w:highlight w:val="none"/>
              </w:rPr>
              <w:drawing>
                <wp:inline distT="0" distB="0" distL="114300" distR="114300">
                  <wp:extent cx="2142490" cy="1685925"/>
                  <wp:effectExtent l="0" t="0" r="10160" b="9525"/>
                  <wp:docPr id="4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9.jpeg"/>
                          <pic:cNvPicPr>
                            <a:picLocks noChangeAspect="1"/>
                          </pic:cNvPicPr>
                        </pic:nvPicPr>
                        <pic:blipFill>
                          <a:blip r:embed="rId55"/>
                          <a:stretch>
                            <a:fillRect/>
                          </a:stretch>
                        </pic:blipFill>
                        <pic:spPr>
                          <a:xfrm>
                            <a:off x="0" y="0"/>
                            <a:ext cx="2142490" cy="1685925"/>
                          </a:xfrm>
                          <a:prstGeom prst="rect">
                            <a:avLst/>
                          </a:prstGeom>
                          <a:noFill/>
                          <a:ln>
                            <a:noFill/>
                          </a:ln>
                        </pic:spPr>
                      </pic:pic>
                    </a:graphicData>
                  </a:graphic>
                </wp:inline>
              </w:drawing>
            </w:r>
            <w:r>
              <w:rPr>
                <w:highlight w:val="none"/>
              </w:rPr>
              <w:drawing>
                <wp:inline distT="0" distB="0" distL="114300" distR="114300">
                  <wp:extent cx="2241550" cy="1645285"/>
                  <wp:effectExtent l="0" t="0" r="6350" b="12065"/>
                  <wp:docPr id="4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0.jpeg"/>
                          <pic:cNvPicPr>
                            <a:picLocks noChangeAspect="1"/>
                          </pic:cNvPicPr>
                        </pic:nvPicPr>
                        <pic:blipFill>
                          <a:blip r:embed="rId56"/>
                          <a:stretch>
                            <a:fillRect/>
                          </a:stretch>
                        </pic:blipFill>
                        <pic:spPr>
                          <a:xfrm>
                            <a:off x="0" y="0"/>
                            <a:ext cx="2241550" cy="1645285"/>
                          </a:xfrm>
                          <a:prstGeom prst="rect">
                            <a:avLst/>
                          </a:prstGeom>
                          <a:noFill/>
                          <a:ln>
                            <a:noFill/>
                          </a:ln>
                        </pic:spPr>
                      </pic:pic>
                    </a:graphicData>
                  </a:graphic>
                </wp:inline>
              </w:drawing>
            </w:r>
          </w:p>
        </w:tc>
        <w:tc>
          <w:tcPr>
            <w:tcW w:w="884" w:type="dxa"/>
            <w:noWrap w:val="0"/>
            <w:vAlign w:val="center"/>
          </w:tcPr>
          <w:p w14:paraId="47C76649">
            <w:pPr>
              <w:pStyle w:val="13"/>
              <w:rPr>
                <w:highlight w:val="none"/>
                <w:lang w:val="zh-CN"/>
              </w:rPr>
            </w:pPr>
          </w:p>
        </w:tc>
      </w:tr>
      <w:tr w14:paraId="6CBD4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2" w:hRule="atLeast"/>
          <w:jc w:val="center"/>
        </w:trPr>
        <w:tc>
          <w:tcPr>
            <w:tcW w:w="765" w:type="dxa"/>
            <w:tcBorders>
              <w:bottom w:val="nil"/>
            </w:tcBorders>
            <w:noWrap w:val="0"/>
            <w:vAlign w:val="center"/>
          </w:tcPr>
          <w:p w14:paraId="448318A6">
            <w:pPr>
              <w:pStyle w:val="13"/>
              <w:rPr>
                <w:highlight w:val="none"/>
                <w:lang w:val="zh-CN"/>
              </w:rPr>
            </w:pPr>
          </w:p>
        </w:tc>
        <w:tc>
          <w:tcPr>
            <w:tcW w:w="1080" w:type="dxa"/>
            <w:tcBorders>
              <w:bottom w:val="nil"/>
            </w:tcBorders>
            <w:noWrap w:val="0"/>
            <w:vAlign w:val="center"/>
          </w:tcPr>
          <w:p w14:paraId="6105E506">
            <w:pPr>
              <w:pStyle w:val="13"/>
              <w:rPr>
                <w:highlight w:val="none"/>
                <w:lang w:val="zh-CN"/>
              </w:rPr>
            </w:pPr>
          </w:p>
        </w:tc>
        <w:tc>
          <w:tcPr>
            <w:tcW w:w="812" w:type="dxa"/>
            <w:noWrap w:val="0"/>
            <w:vAlign w:val="center"/>
          </w:tcPr>
          <w:p w14:paraId="229B074E">
            <w:pPr>
              <w:pStyle w:val="13"/>
              <w:rPr>
                <w:highlight w:val="none"/>
                <w:lang w:val="zh-CN"/>
              </w:rPr>
            </w:pPr>
            <w:r>
              <w:rPr>
                <w:highlight w:val="none"/>
                <w:lang w:val="zh-CN"/>
              </w:rPr>
              <w:t>工厂包装</w:t>
            </w:r>
          </w:p>
        </w:tc>
        <w:tc>
          <w:tcPr>
            <w:tcW w:w="2072" w:type="dxa"/>
            <w:noWrap w:val="0"/>
            <w:vAlign w:val="center"/>
          </w:tcPr>
          <w:p w14:paraId="379D0E62">
            <w:pPr>
              <w:pStyle w:val="13"/>
              <w:rPr>
                <w:highlight w:val="none"/>
                <w:lang w:val="zh-CN"/>
              </w:rPr>
            </w:pPr>
            <w:r>
              <w:rPr>
                <w:highlight w:val="none"/>
                <w:lang w:val="zh-CN"/>
              </w:rPr>
              <w:t>pvc保护膜加编织袋进行保护</w:t>
            </w:r>
          </w:p>
        </w:tc>
        <w:tc>
          <w:tcPr>
            <w:tcW w:w="7186" w:type="dxa"/>
            <w:noWrap w:val="0"/>
            <w:vAlign w:val="center"/>
          </w:tcPr>
          <w:p w14:paraId="21C3B7FE">
            <w:pPr>
              <w:pStyle w:val="13"/>
              <w:rPr>
                <w:highlight w:val="none"/>
                <w:lang w:val="zh-CN"/>
              </w:rPr>
            </w:pPr>
            <w:r>
              <w:rPr>
                <w:highlight w:val="none"/>
              </w:rPr>
              <w:drawing>
                <wp:inline distT="0" distB="0" distL="114300" distR="114300">
                  <wp:extent cx="1457325" cy="1981200"/>
                  <wp:effectExtent l="0" t="0" r="9525" b="0"/>
                  <wp:docPr id="4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9"/>
                          <pic:cNvPicPr>
                            <a:picLocks noChangeAspect="1"/>
                          </pic:cNvPicPr>
                        </pic:nvPicPr>
                        <pic:blipFill>
                          <a:blip r:embed="rId57"/>
                          <a:stretch>
                            <a:fillRect/>
                          </a:stretch>
                        </pic:blipFill>
                        <pic:spPr>
                          <a:xfrm>
                            <a:off x="0" y="0"/>
                            <a:ext cx="1457325" cy="1981200"/>
                          </a:xfrm>
                          <a:prstGeom prst="rect">
                            <a:avLst/>
                          </a:prstGeom>
                          <a:noFill/>
                          <a:ln>
                            <a:noFill/>
                          </a:ln>
                        </pic:spPr>
                      </pic:pic>
                    </a:graphicData>
                  </a:graphic>
                </wp:inline>
              </w:drawing>
            </w:r>
            <w:r>
              <w:rPr>
                <w:highlight w:val="none"/>
              </w:rPr>
              <w:drawing>
                <wp:inline distT="0" distB="0" distL="114300" distR="114300">
                  <wp:extent cx="1447800" cy="1990725"/>
                  <wp:effectExtent l="0" t="0" r="0" b="9525"/>
                  <wp:docPr id="4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0"/>
                          <pic:cNvPicPr>
                            <a:picLocks noChangeAspect="1"/>
                          </pic:cNvPicPr>
                        </pic:nvPicPr>
                        <pic:blipFill>
                          <a:blip r:embed="rId58"/>
                          <a:stretch>
                            <a:fillRect/>
                          </a:stretch>
                        </pic:blipFill>
                        <pic:spPr>
                          <a:xfrm>
                            <a:off x="0" y="0"/>
                            <a:ext cx="1447800" cy="1990725"/>
                          </a:xfrm>
                          <a:prstGeom prst="rect">
                            <a:avLst/>
                          </a:prstGeom>
                          <a:noFill/>
                          <a:ln>
                            <a:noFill/>
                          </a:ln>
                        </pic:spPr>
                      </pic:pic>
                    </a:graphicData>
                  </a:graphic>
                </wp:inline>
              </w:drawing>
            </w:r>
            <w:r>
              <w:rPr>
                <w:highlight w:val="none"/>
              </w:rPr>
              <w:drawing>
                <wp:inline distT="0" distB="0" distL="114300" distR="114300">
                  <wp:extent cx="1586230" cy="2009775"/>
                  <wp:effectExtent l="0" t="0" r="13970" b="9525"/>
                  <wp:docPr id="4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1"/>
                          <pic:cNvPicPr>
                            <a:picLocks noChangeAspect="1"/>
                          </pic:cNvPicPr>
                        </pic:nvPicPr>
                        <pic:blipFill>
                          <a:blip r:embed="rId59"/>
                          <a:stretch>
                            <a:fillRect/>
                          </a:stretch>
                        </pic:blipFill>
                        <pic:spPr>
                          <a:xfrm>
                            <a:off x="0" y="0"/>
                            <a:ext cx="1586230" cy="2009775"/>
                          </a:xfrm>
                          <a:prstGeom prst="rect">
                            <a:avLst/>
                          </a:prstGeom>
                          <a:noFill/>
                          <a:ln>
                            <a:noFill/>
                          </a:ln>
                        </pic:spPr>
                      </pic:pic>
                    </a:graphicData>
                  </a:graphic>
                </wp:inline>
              </w:drawing>
            </w:r>
          </w:p>
        </w:tc>
        <w:tc>
          <w:tcPr>
            <w:tcW w:w="884" w:type="dxa"/>
            <w:noWrap w:val="0"/>
            <w:vAlign w:val="center"/>
          </w:tcPr>
          <w:p w14:paraId="7182B9D4">
            <w:pPr>
              <w:pStyle w:val="13"/>
              <w:rPr>
                <w:highlight w:val="none"/>
                <w:lang w:val="zh-CN"/>
              </w:rPr>
            </w:pPr>
          </w:p>
        </w:tc>
      </w:tr>
      <w:tr w14:paraId="6CC9E6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2" w:hRule="atLeast"/>
          <w:jc w:val="center"/>
        </w:trPr>
        <w:tc>
          <w:tcPr>
            <w:tcW w:w="765" w:type="dxa"/>
            <w:vMerge w:val="restart"/>
            <w:tcBorders>
              <w:top w:val="nil"/>
            </w:tcBorders>
            <w:noWrap w:val="0"/>
            <w:vAlign w:val="center"/>
          </w:tcPr>
          <w:p w14:paraId="01F9F065">
            <w:pPr>
              <w:pStyle w:val="13"/>
              <w:rPr>
                <w:highlight w:val="none"/>
                <w:lang w:val="zh-CN"/>
              </w:rPr>
            </w:pPr>
            <w:r>
              <w:rPr>
                <w:highlight w:val="none"/>
                <w:lang w:val="zh-CN"/>
              </w:rPr>
              <w:t>4</w:t>
            </w:r>
          </w:p>
        </w:tc>
        <w:tc>
          <w:tcPr>
            <w:tcW w:w="1080" w:type="dxa"/>
            <w:vMerge w:val="restart"/>
            <w:tcBorders>
              <w:top w:val="nil"/>
            </w:tcBorders>
            <w:noWrap w:val="0"/>
            <w:vAlign w:val="center"/>
          </w:tcPr>
          <w:p w14:paraId="7F833A5E">
            <w:pPr>
              <w:pStyle w:val="13"/>
              <w:rPr>
                <w:highlight w:val="none"/>
                <w:lang w:val="zh-CN"/>
              </w:rPr>
            </w:pPr>
            <w:r>
              <w:rPr>
                <w:rFonts w:hint="eastAsia"/>
                <w:highlight w:val="none"/>
                <w:lang w:val="zh-CN"/>
              </w:rPr>
              <w:t>地毯</w:t>
            </w:r>
          </w:p>
        </w:tc>
        <w:tc>
          <w:tcPr>
            <w:tcW w:w="812" w:type="dxa"/>
            <w:noWrap w:val="0"/>
            <w:vAlign w:val="center"/>
          </w:tcPr>
          <w:p w14:paraId="73DA6391">
            <w:pPr>
              <w:pStyle w:val="13"/>
              <w:rPr>
                <w:highlight w:val="none"/>
                <w:lang w:val="zh-CN"/>
              </w:rPr>
            </w:pPr>
            <w:r>
              <w:rPr>
                <w:highlight w:val="none"/>
                <w:lang w:val="zh-CN"/>
              </w:rPr>
              <w:t>堆放</w:t>
            </w:r>
          </w:p>
        </w:tc>
        <w:tc>
          <w:tcPr>
            <w:tcW w:w="2072" w:type="dxa"/>
            <w:noWrap w:val="0"/>
            <w:vAlign w:val="center"/>
          </w:tcPr>
          <w:p w14:paraId="42AED829">
            <w:pPr>
              <w:pStyle w:val="13"/>
              <w:rPr>
                <w:highlight w:val="none"/>
                <w:lang w:val="zh-CN"/>
              </w:rPr>
            </w:pPr>
            <w:r>
              <w:rPr>
                <w:highlight w:val="none"/>
                <w:lang w:val="zh-CN"/>
              </w:rPr>
              <w:t>现场地毯应置于户内垫木上，垫木高度不得小于100mm</w:t>
            </w:r>
          </w:p>
        </w:tc>
        <w:tc>
          <w:tcPr>
            <w:tcW w:w="7186" w:type="dxa"/>
            <w:noWrap w:val="0"/>
            <w:vAlign w:val="center"/>
          </w:tcPr>
          <w:p w14:paraId="3D361930">
            <w:pPr>
              <w:pStyle w:val="13"/>
              <w:rPr>
                <w:highlight w:val="none"/>
                <w:lang w:val="zh-CN"/>
              </w:rPr>
            </w:pPr>
          </w:p>
          <w:p w14:paraId="5A998AC4">
            <w:pPr>
              <w:pStyle w:val="13"/>
              <w:rPr>
                <w:highlight w:val="none"/>
                <w:lang w:val="zh-CN"/>
              </w:rPr>
            </w:pPr>
            <w:r>
              <w:rPr>
                <w:highlight w:val="none"/>
              </w:rPr>
              <w:drawing>
                <wp:inline distT="0" distB="0" distL="114300" distR="114300">
                  <wp:extent cx="2217420" cy="1910715"/>
                  <wp:effectExtent l="0" t="0" r="11430" b="13335"/>
                  <wp:docPr id="47" name="image51.jpeg" descr="IMG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1.jpeg" descr="IMG_1884.JPG"/>
                          <pic:cNvPicPr>
                            <a:picLocks noChangeAspect="1"/>
                          </pic:cNvPicPr>
                        </pic:nvPicPr>
                        <pic:blipFill>
                          <a:blip r:embed="rId60"/>
                          <a:stretch>
                            <a:fillRect/>
                          </a:stretch>
                        </pic:blipFill>
                        <pic:spPr>
                          <a:xfrm>
                            <a:off x="0" y="0"/>
                            <a:ext cx="2217420" cy="1910715"/>
                          </a:xfrm>
                          <a:prstGeom prst="rect">
                            <a:avLst/>
                          </a:prstGeom>
                          <a:noFill/>
                          <a:ln>
                            <a:noFill/>
                          </a:ln>
                        </pic:spPr>
                      </pic:pic>
                    </a:graphicData>
                  </a:graphic>
                </wp:inline>
              </w:drawing>
            </w:r>
          </w:p>
        </w:tc>
        <w:tc>
          <w:tcPr>
            <w:tcW w:w="884" w:type="dxa"/>
            <w:noWrap w:val="0"/>
            <w:vAlign w:val="center"/>
          </w:tcPr>
          <w:p w14:paraId="0D25AFCF">
            <w:pPr>
              <w:pStyle w:val="13"/>
              <w:rPr>
                <w:highlight w:val="none"/>
                <w:lang w:val="zh-CN"/>
              </w:rPr>
            </w:pPr>
          </w:p>
        </w:tc>
      </w:tr>
      <w:tr w14:paraId="140B12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2" w:hRule="atLeast"/>
          <w:jc w:val="center"/>
        </w:trPr>
        <w:tc>
          <w:tcPr>
            <w:tcW w:w="765" w:type="dxa"/>
            <w:vMerge w:val="continue"/>
            <w:tcBorders>
              <w:top w:val="nil"/>
            </w:tcBorders>
            <w:noWrap w:val="0"/>
            <w:vAlign w:val="center"/>
          </w:tcPr>
          <w:p w14:paraId="23DDF146">
            <w:pPr>
              <w:pStyle w:val="13"/>
              <w:rPr>
                <w:highlight w:val="none"/>
                <w:lang w:val="zh-CN"/>
              </w:rPr>
            </w:pPr>
          </w:p>
        </w:tc>
        <w:tc>
          <w:tcPr>
            <w:tcW w:w="1080" w:type="dxa"/>
            <w:vMerge w:val="continue"/>
            <w:tcBorders>
              <w:top w:val="nil"/>
            </w:tcBorders>
            <w:noWrap w:val="0"/>
            <w:vAlign w:val="center"/>
          </w:tcPr>
          <w:p w14:paraId="7B757B09">
            <w:pPr>
              <w:pStyle w:val="13"/>
              <w:rPr>
                <w:highlight w:val="none"/>
                <w:lang w:val="zh-CN"/>
              </w:rPr>
            </w:pPr>
          </w:p>
        </w:tc>
        <w:tc>
          <w:tcPr>
            <w:tcW w:w="812" w:type="dxa"/>
            <w:noWrap w:val="0"/>
            <w:vAlign w:val="center"/>
          </w:tcPr>
          <w:p w14:paraId="585214E7">
            <w:pPr>
              <w:pStyle w:val="13"/>
              <w:rPr>
                <w:highlight w:val="none"/>
                <w:lang w:val="zh-CN"/>
              </w:rPr>
            </w:pPr>
            <w:r>
              <w:rPr>
                <w:highlight w:val="none"/>
                <w:lang w:val="zh-CN"/>
              </w:rPr>
              <w:t>安装成品</w:t>
            </w:r>
          </w:p>
        </w:tc>
        <w:tc>
          <w:tcPr>
            <w:tcW w:w="2072" w:type="dxa"/>
            <w:noWrap w:val="0"/>
            <w:vAlign w:val="center"/>
          </w:tcPr>
          <w:p w14:paraId="62FF3B42">
            <w:pPr>
              <w:pStyle w:val="13"/>
              <w:rPr>
                <w:highlight w:val="none"/>
                <w:lang w:val="zh-CN"/>
              </w:rPr>
            </w:pPr>
            <w:r>
              <w:rPr>
                <w:highlight w:val="none"/>
                <w:lang w:val="zh-CN"/>
              </w:rPr>
              <w:t>底层保护：防潮保护膜；面层保护： 瓦楞纸板；胶带；</w:t>
            </w:r>
          </w:p>
        </w:tc>
        <w:tc>
          <w:tcPr>
            <w:tcW w:w="7186" w:type="dxa"/>
            <w:noWrap w:val="0"/>
            <w:vAlign w:val="center"/>
          </w:tcPr>
          <w:p w14:paraId="2D59535D">
            <w:pPr>
              <w:pStyle w:val="13"/>
              <w:rPr>
                <w:highlight w:val="none"/>
                <w:lang w:val="zh-CN"/>
              </w:rPr>
            </w:pPr>
            <w:r>
              <w:rPr>
                <w:highlight w:val="none"/>
              </w:rPr>
              <w:drawing>
                <wp:inline distT="0" distB="0" distL="114300" distR="114300">
                  <wp:extent cx="2157730" cy="1943100"/>
                  <wp:effectExtent l="0" t="0" r="13970" b="0"/>
                  <wp:docPr id="48"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2.jpeg"/>
                          <pic:cNvPicPr>
                            <a:picLocks noChangeAspect="1"/>
                          </pic:cNvPicPr>
                        </pic:nvPicPr>
                        <pic:blipFill>
                          <a:blip r:embed="rId61"/>
                          <a:stretch>
                            <a:fillRect/>
                          </a:stretch>
                        </pic:blipFill>
                        <pic:spPr>
                          <a:xfrm>
                            <a:off x="0" y="0"/>
                            <a:ext cx="2157730" cy="1943100"/>
                          </a:xfrm>
                          <a:prstGeom prst="rect">
                            <a:avLst/>
                          </a:prstGeom>
                          <a:noFill/>
                          <a:ln>
                            <a:noFill/>
                          </a:ln>
                        </pic:spPr>
                      </pic:pic>
                    </a:graphicData>
                  </a:graphic>
                </wp:inline>
              </w:drawing>
            </w:r>
            <w:r>
              <w:rPr>
                <w:highlight w:val="none"/>
              </w:rPr>
              <w:drawing>
                <wp:inline distT="0" distB="0" distL="114300" distR="114300">
                  <wp:extent cx="2218055" cy="1944370"/>
                  <wp:effectExtent l="0" t="0" r="10795" b="17780"/>
                  <wp:docPr id="49" name="image53.jpeg" descr="照片 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3.jpeg" descr="照片 085"/>
                          <pic:cNvPicPr>
                            <a:picLocks noChangeAspect="1"/>
                          </pic:cNvPicPr>
                        </pic:nvPicPr>
                        <pic:blipFill>
                          <a:blip r:embed="rId62"/>
                          <a:stretch>
                            <a:fillRect/>
                          </a:stretch>
                        </pic:blipFill>
                        <pic:spPr>
                          <a:xfrm>
                            <a:off x="0" y="0"/>
                            <a:ext cx="2218055" cy="1944370"/>
                          </a:xfrm>
                          <a:prstGeom prst="rect">
                            <a:avLst/>
                          </a:prstGeom>
                          <a:noFill/>
                          <a:ln>
                            <a:noFill/>
                          </a:ln>
                        </pic:spPr>
                      </pic:pic>
                    </a:graphicData>
                  </a:graphic>
                </wp:inline>
              </w:drawing>
            </w:r>
          </w:p>
        </w:tc>
        <w:tc>
          <w:tcPr>
            <w:tcW w:w="884" w:type="dxa"/>
            <w:noWrap w:val="0"/>
            <w:vAlign w:val="center"/>
          </w:tcPr>
          <w:p w14:paraId="45DCD6E3">
            <w:pPr>
              <w:pStyle w:val="13"/>
              <w:rPr>
                <w:highlight w:val="none"/>
                <w:lang w:val="zh-CN"/>
              </w:rPr>
            </w:pPr>
          </w:p>
        </w:tc>
      </w:tr>
      <w:tr w14:paraId="2D1233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jc w:val="center"/>
        </w:trPr>
        <w:tc>
          <w:tcPr>
            <w:tcW w:w="765" w:type="dxa"/>
            <w:vMerge w:val="restart"/>
            <w:noWrap w:val="0"/>
            <w:vAlign w:val="center"/>
          </w:tcPr>
          <w:p w14:paraId="25CDA6EE">
            <w:pPr>
              <w:pStyle w:val="13"/>
              <w:rPr>
                <w:highlight w:val="none"/>
                <w:lang w:val="zh-CN"/>
              </w:rPr>
            </w:pPr>
            <w:r>
              <w:rPr>
                <w:highlight w:val="none"/>
                <w:lang w:val="zh-CN"/>
              </w:rPr>
              <w:t>5</w:t>
            </w:r>
          </w:p>
        </w:tc>
        <w:tc>
          <w:tcPr>
            <w:tcW w:w="1080" w:type="dxa"/>
            <w:vMerge w:val="restart"/>
            <w:noWrap w:val="0"/>
            <w:vAlign w:val="center"/>
          </w:tcPr>
          <w:p w14:paraId="2217F223">
            <w:pPr>
              <w:pStyle w:val="13"/>
              <w:rPr>
                <w:highlight w:val="none"/>
                <w:lang w:val="zh-CN"/>
              </w:rPr>
            </w:pPr>
            <w:r>
              <w:rPr>
                <w:rFonts w:hint="eastAsia"/>
                <w:highlight w:val="none"/>
                <w:lang w:val="zh-CN"/>
              </w:rPr>
              <w:t>入户门及户内门</w:t>
            </w:r>
          </w:p>
        </w:tc>
        <w:tc>
          <w:tcPr>
            <w:tcW w:w="812" w:type="dxa"/>
            <w:vMerge w:val="restart"/>
            <w:noWrap w:val="0"/>
            <w:vAlign w:val="center"/>
          </w:tcPr>
          <w:p w14:paraId="2CFF17EA">
            <w:pPr>
              <w:pStyle w:val="13"/>
              <w:rPr>
                <w:highlight w:val="none"/>
                <w:lang w:val="zh-CN"/>
              </w:rPr>
            </w:pPr>
            <w:r>
              <w:rPr>
                <w:highlight w:val="none"/>
                <w:lang w:val="zh-CN"/>
              </w:rPr>
              <w:t>工厂包装</w:t>
            </w:r>
          </w:p>
        </w:tc>
        <w:tc>
          <w:tcPr>
            <w:tcW w:w="2072" w:type="dxa"/>
            <w:tcBorders>
              <w:bottom w:val="single" w:color="auto" w:sz="4" w:space="0"/>
            </w:tcBorders>
            <w:noWrap w:val="0"/>
            <w:vAlign w:val="center"/>
          </w:tcPr>
          <w:p w14:paraId="6F3BE8B5">
            <w:pPr>
              <w:pStyle w:val="13"/>
              <w:rPr>
                <w:highlight w:val="none"/>
                <w:lang w:val="zh-CN"/>
              </w:rPr>
            </w:pPr>
            <w:r>
              <w:rPr>
                <w:highlight w:val="none"/>
                <w:lang w:val="zh-CN"/>
              </w:rPr>
              <w:t>门套及门扇应分三</w:t>
            </w:r>
          </w:p>
          <w:p w14:paraId="7880A46B">
            <w:pPr>
              <w:pStyle w:val="13"/>
              <w:rPr>
                <w:highlight w:val="none"/>
                <w:lang w:val="zh-CN"/>
              </w:rPr>
            </w:pPr>
            <w:r>
              <w:rPr>
                <w:highlight w:val="none"/>
                <w:lang w:val="zh-CN"/>
              </w:rPr>
              <w:t>层包装，表面包珍珠棉，双面放</w:t>
            </w:r>
          </w:p>
          <w:p w14:paraId="441585BC">
            <w:pPr>
              <w:pStyle w:val="13"/>
              <w:rPr>
                <w:highlight w:val="none"/>
                <w:lang w:val="zh-CN"/>
              </w:rPr>
            </w:pPr>
            <w:r>
              <w:rPr>
                <w:highlight w:val="none"/>
                <w:lang w:val="zh-CN"/>
              </w:rPr>
              <w:t>5mm后泡沫板，</w:t>
            </w:r>
          </w:p>
          <w:p w14:paraId="4585EE71">
            <w:pPr>
              <w:pStyle w:val="13"/>
              <w:rPr>
                <w:highlight w:val="none"/>
                <w:lang w:val="zh-CN"/>
              </w:rPr>
            </w:pPr>
            <w:r>
              <w:rPr>
                <w:highlight w:val="none"/>
                <w:lang w:val="zh-CN"/>
              </w:rPr>
              <w:t>最后用纸盒包装好</w:t>
            </w:r>
          </w:p>
        </w:tc>
        <w:tc>
          <w:tcPr>
            <w:tcW w:w="7186" w:type="dxa"/>
            <w:vMerge w:val="restart"/>
            <w:noWrap w:val="0"/>
            <w:vAlign w:val="center"/>
          </w:tcPr>
          <w:p w14:paraId="75C0AFB9">
            <w:pPr>
              <w:pStyle w:val="13"/>
              <w:rPr>
                <w:highlight w:val="none"/>
                <w:lang w:val="zh-CN"/>
              </w:rPr>
            </w:pPr>
            <w:r>
              <w:rPr>
                <w:highlight w:val="none"/>
              </w:rPr>
              <w:drawing>
                <wp:inline distT="0" distB="0" distL="114300" distR="114300">
                  <wp:extent cx="2198370" cy="1901825"/>
                  <wp:effectExtent l="0" t="0" r="11430" b="3175"/>
                  <wp:docPr id="50" name="image54.jpeg" descr="IMG_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4.jpeg" descr="IMG_9612.JPG"/>
                          <pic:cNvPicPr>
                            <a:picLocks noChangeAspect="1"/>
                          </pic:cNvPicPr>
                        </pic:nvPicPr>
                        <pic:blipFill>
                          <a:blip r:embed="rId63"/>
                          <a:stretch>
                            <a:fillRect/>
                          </a:stretch>
                        </pic:blipFill>
                        <pic:spPr>
                          <a:xfrm>
                            <a:off x="0" y="0"/>
                            <a:ext cx="2198370" cy="1901825"/>
                          </a:xfrm>
                          <a:prstGeom prst="rect">
                            <a:avLst/>
                          </a:prstGeom>
                          <a:noFill/>
                          <a:ln>
                            <a:noFill/>
                          </a:ln>
                        </pic:spPr>
                      </pic:pic>
                    </a:graphicData>
                  </a:graphic>
                </wp:inline>
              </w:drawing>
            </w:r>
            <w:r>
              <w:rPr>
                <w:highlight w:val="none"/>
              </w:rPr>
              <w:drawing>
                <wp:inline distT="0" distB="0" distL="114300" distR="114300">
                  <wp:extent cx="2188210" cy="1920240"/>
                  <wp:effectExtent l="0" t="0" r="2540" b="3810"/>
                  <wp:docPr id="51" name="image55.jpeg" descr="IMG_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5.jpeg" descr="IMG_9615.JPG"/>
                          <pic:cNvPicPr>
                            <a:picLocks noChangeAspect="1"/>
                          </pic:cNvPicPr>
                        </pic:nvPicPr>
                        <pic:blipFill>
                          <a:blip r:embed="rId64"/>
                          <a:stretch>
                            <a:fillRect/>
                          </a:stretch>
                        </pic:blipFill>
                        <pic:spPr>
                          <a:xfrm>
                            <a:off x="0" y="0"/>
                            <a:ext cx="2188210" cy="1920240"/>
                          </a:xfrm>
                          <a:prstGeom prst="rect">
                            <a:avLst/>
                          </a:prstGeom>
                          <a:noFill/>
                          <a:ln>
                            <a:noFill/>
                          </a:ln>
                        </pic:spPr>
                      </pic:pic>
                    </a:graphicData>
                  </a:graphic>
                </wp:inline>
              </w:drawing>
            </w:r>
          </w:p>
        </w:tc>
        <w:tc>
          <w:tcPr>
            <w:tcW w:w="884" w:type="dxa"/>
            <w:vMerge w:val="restart"/>
            <w:noWrap w:val="0"/>
            <w:vAlign w:val="center"/>
          </w:tcPr>
          <w:p w14:paraId="640C0118">
            <w:pPr>
              <w:pStyle w:val="13"/>
              <w:rPr>
                <w:highlight w:val="none"/>
                <w:lang w:val="zh-CN"/>
              </w:rPr>
            </w:pPr>
          </w:p>
        </w:tc>
      </w:tr>
      <w:tr w14:paraId="1B923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2" w:hRule="atLeast"/>
          <w:jc w:val="center"/>
        </w:trPr>
        <w:tc>
          <w:tcPr>
            <w:tcW w:w="765" w:type="dxa"/>
            <w:vMerge w:val="continue"/>
            <w:noWrap w:val="0"/>
            <w:vAlign w:val="center"/>
          </w:tcPr>
          <w:p w14:paraId="66AC3D79">
            <w:pPr>
              <w:pStyle w:val="13"/>
              <w:rPr>
                <w:highlight w:val="none"/>
                <w:lang w:val="zh-CN"/>
              </w:rPr>
            </w:pPr>
          </w:p>
        </w:tc>
        <w:tc>
          <w:tcPr>
            <w:tcW w:w="1080" w:type="dxa"/>
            <w:vMerge w:val="continue"/>
            <w:noWrap w:val="0"/>
            <w:vAlign w:val="center"/>
          </w:tcPr>
          <w:p w14:paraId="0D791C66">
            <w:pPr>
              <w:pStyle w:val="13"/>
              <w:rPr>
                <w:highlight w:val="none"/>
                <w:lang w:val="zh-CN"/>
              </w:rPr>
            </w:pPr>
          </w:p>
        </w:tc>
        <w:tc>
          <w:tcPr>
            <w:tcW w:w="812" w:type="dxa"/>
            <w:tcBorders>
              <w:right w:val="single" w:color="auto" w:sz="4" w:space="0"/>
            </w:tcBorders>
            <w:noWrap w:val="0"/>
            <w:vAlign w:val="center"/>
          </w:tcPr>
          <w:p w14:paraId="58ABDC95">
            <w:pPr>
              <w:pStyle w:val="13"/>
              <w:rPr>
                <w:highlight w:val="none"/>
                <w:lang w:val="zh-CN"/>
              </w:rPr>
            </w:pPr>
            <w:r>
              <w:rPr>
                <w:highlight w:val="none"/>
                <w:lang w:val="zh-CN"/>
              </w:rPr>
              <w:t>堆放</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2E8B9141">
            <w:pPr>
              <w:pStyle w:val="13"/>
              <w:rPr>
                <w:highlight w:val="none"/>
                <w:lang w:val="zh-CN"/>
              </w:rPr>
            </w:pPr>
          </w:p>
          <w:p w14:paraId="4D55399B">
            <w:pPr>
              <w:pStyle w:val="13"/>
              <w:rPr>
                <w:highlight w:val="none"/>
                <w:lang w:val="zh-CN"/>
              </w:rPr>
            </w:pPr>
            <w:r>
              <w:rPr>
                <w:highlight w:val="none"/>
                <w:lang w:val="zh-CN"/>
              </w:rPr>
              <w:t>应置于户内垫木</w:t>
            </w:r>
          </w:p>
          <w:p w14:paraId="2EB243BC">
            <w:pPr>
              <w:pStyle w:val="13"/>
              <w:rPr>
                <w:highlight w:val="none"/>
                <w:lang w:val="zh-CN"/>
              </w:rPr>
            </w:pPr>
            <w:r>
              <w:rPr>
                <w:highlight w:val="none"/>
                <w:lang w:val="zh-CN"/>
              </w:rPr>
              <w:t>上，垫木高度不得</w:t>
            </w:r>
          </w:p>
          <w:p w14:paraId="71B3E901">
            <w:pPr>
              <w:pStyle w:val="13"/>
              <w:rPr>
                <w:highlight w:val="none"/>
                <w:lang w:val="zh-CN"/>
              </w:rPr>
            </w:pPr>
            <w:r>
              <w:rPr>
                <w:highlight w:val="none"/>
                <w:lang w:val="zh-CN"/>
              </w:rPr>
              <w:t>小于100mm, 门框</w:t>
            </w:r>
          </w:p>
          <w:p w14:paraId="6BEA9589">
            <w:pPr>
              <w:pStyle w:val="13"/>
              <w:rPr>
                <w:highlight w:val="none"/>
                <w:lang w:val="zh-CN"/>
              </w:rPr>
            </w:pPr>
            <w:r>
              <w:rPr>
                <w:highlight w:val="none"/>
                <w:lang w:val="zh-CN"/>
              </w:rPr>
              <w:t>堆码高度不得超过</w:t>
            </w:r>
          </w:p>
          <w:p w14:paraId="3695CDFF">
            <w:pPr>
              <w:pStyle w:val="13"/>
              <w:rPr>
                <w:highlight w:val="none"/>
                <w:lang w:val="zh-CN"/>
              </w:rPr>
            </w:pPr>
            <w:r>
              <w:rPr>
                <w:highlight w:val="none"/>
                <w:lang w:val="zh-CN"/>
              </w:rPr>
              <w:t>1.5m，门扇堆放</w:t>
            </w:r>
          </w:p>
          <w:p w14:paraId="4158E54B">
            <w:pPr>
              <w:pStyle w:val="13"/>
              <w:rPr>
                <w:highlight w:val="none"/>
                <w:lang w:val="zh-CN"/>
              </w:rPr>
            </w:pPr>
            <w:r>
              <w:rPr>
                <w:highlight w:val="none"/>
                <w:lang w:val="zh-CN"/>
              </w:rPr>
              <w:t>高度不超过1.2m，产品竖放时，其倾斜角度不得大于20°，长度不得大于5.0m</w:t>
            </w:r>
          </w:p>
        </w:tc>
        <w:tc>
          <w:tcPr>
            <w:tcW w:w="7186" w:type="dxa"/>
            <w:tcBorders>
              <w:left w:val="single" w:color="auto" w:sz="4" w:space="0"/>
            </w:tcBorders>
            <w:noWrap w:val="0"/>
            <w:vAlign w:val="center"/>
          </w:tcPr>
          <w:p w14:paraId="4D4F62A8">
            <w:pPr>
              <w:pStyle w:val="13"/>
              <w:rPr>
                <w:highlight w:val="none"/>
                <w:lang w:val="zh-CN"/>
              </w:rPr>
            </w:pPr>
          </w:p>
          <w:p w14:paraId="2FB4D5F6">
            <w:pPr>
              <w:pStyle w:val="13"/>
              <w:rPr>
                <w:highlight w:val="none"/>
                <w:lang w:val="zh-CN"/>
              </w:rPr>
            </w:pPr>
            <w:r>
              <w:rPr>
                <w:highlight w:val="none"/>
              </w:rPr>
              <w:drawing>
                <wp:inline distT="0" distB="0" distL="114300" distR="114300">
                  <wp:extent cx="2190750" cy="2687955"/>
                  <wp:effectExtent l="0" t="0" r="0" b="17145"/>
                  <wp:docPr id="52" name="image56.jpeg" descr="IMG_9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6.jpeg" descr="IMG_9620.JPG"/>
                          <pic:cNvPicPr>
                            <a:picLocks noChangeAspect="1"/>
                          </pic:cNvPicPr>
                        </pic:nvPicPr>
                        <pic:blipFill>
                          <a:blip r:embed="rId65"/>
                          <a:stretch>
                            <a:fillRect/>
                          </a:stretch>
                        </pic:blipFill>
                        <pic:spPr>
                          <a:xfrm>
                            <a:off x="0" y="0"/>
                            <a:ext cx="2190750" cy="2687955"/>
                          </a:xfrm>
                          <a:prstGeom prst="rect">
                            <a:avLst/>
                          </a:prstGeom>
                          <a:noFill/>
                          <a:ln>
                            <a:noFill/>
                          </a:ln>
                        </pic:spPr>
                      </pic:pic>
                    </a:graphicData>
                  </a:graphic>
                </wp:inline>
              </w:drawing>
            </w:r>
            <w:r>
              <w:rPr>
                <w:highlight w:val="none"/>
              </w:rPr>
              <w:drawing>
                <wp:inline distT="0" distB="0" distL="114300" distR="114300">
                  <wp:extent cx="2207260" cy="2706370"/>
                  <wp:effectExtent l="0" t="0" r="2540" b="17780"/>
                  <wp:docPr id="53" name="image57.jpeg" descr="IMG_9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7.jpeg" descr="IMG_9616.JPG"/>
                          <pic:cNvPicPr>
                            <a:picLocks noChangeAspect="1"/>
                          </pic:cNvPicPr>
                        </pic:nvPicPr>
                        <pic:blipFill>
                          <a:blip r:embed="rId66"/>
                          <a:stretch>
                            <a:fillRect/>
                          </a:stretch>
                        </pic:blipFill>
                        <pic:spPr>
                          <a:xfrm>
                            <a:off x="0" y="0"/>
                            <a:ext cx="2207260" cy="2706370"/>
                          </a:xfrm>
                          <a:prstGeom prst="rect">
                            <a:avLst/>
                          </a:prstGeom>
                          <a:noFill/>
                          <a:ln>
                            <a:noFill/>
                          </a:ln>
                        </pic:spPr>
                      </pic:pic>
                    </a:graphicData>
                  </a:graphic>
                </wp:inline>
              </w:drawing>
            </w:r>
          </w:p>
        </w:tc>
        <w:tc>
          <w:tcPr>
            <w:tcW w:w="884" w:type="dxa"/>
            <w:noWrap w:val="0"/>
            <w:vAlign w:val="center"/>
          </w:tcPr>
          <w:p w14:paraId="170DD60F">
            <w:pPr>
              <w:pStyle w:val="13"/>
              <w:rPr>
                <w:highlight w:val="none"/>
                <w:lang w:val="zh-CN"/>
              </w:rPr>
            </w:pPr>
          </w:p>
        </w:tc>
      </w:tr>
      <w:tr w14:paraId="3F047D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26D39B9C">
            <w:pPr>
              <w:pStyle w:val="13"/>
              <w:rPr>
                <w:highlight w:val="none"/>
                <w:lang w:val="zh-CN"/>
              </w:rPr>
            </w:pPr>
          </w:p>
        </w:tc>
        <w:tc>
          <w:tcPr>
            <w:tcW w:w="1080" w:type="dxa"/>
            <w:vMerge w:val="continue"/>
            <w:tcBorders>
              <w:bottom w:val="nil"/>
            </w:tcBorders>
            <w:noWrap w:val="0"/>
            <w:vAlign w:val="center"/>
          </w:tcPr>
          <w:p w14:paraId="057B0347">
            <w:pPr>
              <w:pStyle w:val="13"/>
              <w:rPr>
                <w:highlight w:val="none"/>
                <w:lang w:val="zh-CN"/>
              </w:rPr>
            </w:pPr>
          </w:p>
        </w:tc>
        <w:tc>
          <w:tcPr>
            <w:tcW w:w="812" w:type="dxa"/>
            <w:tcBorders>
              <w:right w:val="single" w:color="auto" w:sz="4" w:space="0"/>
            </w:tcBorders>
            <w:noWrap w:val="0"/>
            <w:vAlign w:val="center"/>
          </w:tcPr>
          <w:p w14:paraId="6F051570">
            <w:pPr>
              <w:pStyle w:val="13"/>
              <w:rPr>
                <w:highlight w:val="none"/>
                <w:lang w:val="zh-CN"/>
              </w:rPr>
            </w:pPr>
            <w:r>
              <w:rPr>
                <w:highlight w:val="none"/>
                <w:lang w:val="zh-CN"/>
              </w:rPr>
              <w:t>成品保护</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2DA28B2D">
            <w:pPr>
              <w:pStyle w:val="13"/>
              <w:rPr>
                <w:highlight w:val="none"/>
                <w:lang w:val="zh-CN"/>
              </w:rPr>
            </w:pPr>
            <w:r>
              <w:rPr>
                <w:highlight w:val="none"/>
                <w:lang w:val="zh-CN"/>
              </w:rPr>
              <w:t>1、门框安装完成后，精装单位需对所有门框采取U型12mm夹板进行固定保护，防止碰伤划伤；      2、门扇安装完成后采用无纺布全面覆盖保护，门锁应采用珍珠棉进行包裹保护。</w:t>
            </w:r>
          </w:p>
        </w:tc>
        <w:tc>
          <w:tcPr>
            <w:tcW w:w="7186" w:type="dxa"/>
            <w:tcBorders>
              <w:top w:val="nil"/>
              <w:left w:val="single" w:color="auto" w:sz="4" w:space="0"/>
            </w:tcBorders>
            <w:noWrap w:val="0"/>
            <w:vAlign w:val="center"/>
          </w:tcPr>
          <w:p w14:paraId="4A014221">
            <w:pPr>
              <w:pStyle w:val="13"/>
              <w:rPr>
                <w:highlight w:val="none"/>
                <w:lang w:val="zh-CN"/>
              </w:rPr>
            </w:pPr>
          </w:p>
          <w:p w14:paraId="662B5262">
            <w:pPr>
              <w:pStyle w:val="13"/>
              <w:rPr>
                <w:highlight w:val="none"/>
                <w:lang w:val="zh-CN"/>
              </w:rPr>
            </w:pPr>
            <w:r>
              <w:rPr>
                <w:highlight w:val="none"/>
              </w:rPr>
              <w:drawing>
                <wp:inline distT="0" distB="0" distL="114300" distR="114300">
                  <wp:extent cx="2172970" cy="2967990"/>
                  <wp:effectExtent l="0" t="0" r="17780" b="3810"/>
                  <wp:docPr id="54"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8.jpeg"/>
                          <pic:cNvPicPr>
                            <a:picLocks noChangeAspect="1"/>
                          </pic:cNvPicPr>
                        </pic:nvPicPr>
                        <pic:blipFill>
                          <a:blip r:embed="rId67"/>
                          <a:stretch>
                            <a:fillRect/>
                          </a:stretch>
                        </pic:blipFill>
                        <pic:spPr>
                          <a:xfrm>
                            <a:off x="0" y="0"/>
                            <a:ext cx="2172970" cy="2967990"/>
                          </a:xfrm>
                          <a:prstGeom prst="rect">
                            <a:avLst/>
                          </a:prstGeom>
                          <a:noFill/>
                          <a:ln>
                            <a:noFill/>
                          </a:ln>
                        </pic:spPr>
                      </pic:pic>
                    </a:graphicData>
                  </a:graphic>
                </wp:inline>
              </w:drawing>
            </w:r>
            <w:r>
              <w:rPr>
                <w:highlight w:val="none"/>
              </w:rPr>
              <w:drawing>
                <wp:inline distT="0" distB="0" distL="114300" distR="114300">
                  <wp:extent cx="2217420" cy="2976245"/>
                  <wp:effectExtent l="0" t="0" r="11430" b="14605"/>
                  <wp:docPr id="5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9.jpeg"/>
                          <pic:cNvPicPr>
                            <a:picLocks noChangeAspect="1"/>
                          </pic:cNvPicPr>
                        </pic:nvPicPr>
                        <pic:blipFill>
                          <a:blip r:embed="rId68"/>
                          <a:stretch>
                            <a:fillRect/>
                          </a:stretch>
                        </pic:blipFill>
                        <pic:spPr>
                          <a:xfrm>
                            <a:off x="0" y="0"/>
                            <a:ext cx="2217420" cy="2976245"/>
                          </a:xfrm>
                          <a:prstGeom prst="rect">
                            <a:avLst/>
                          </a:prstGeom>
                          <a:noFill/>
                          <a:ln>
                            <a:noFill/>
                          </a:ln>
                        </pic:spPr>
                      </pic:pic>
                    </a:graphicData>
                  </a:graphic>
                </wp:inline>
              </w:drawing>
            </w:r>
          </w:p>
        </w:tc>
        <w:tc>
          <w:tcPr>
            <w:tcW w:w="884" w:type="dxa"/>
            <w:tcBorders>
              <w:top w:val="nil"/>
            </w:tcBorders>
            <w:noWrap w:val="0"/>
            <w:vAlign w:val="center"/>
          </w:tcPr>
          <w:p w14:paraId="7ADA4E93">
            <w:pPr>
              <w:pStyle w:val="13"/>
              <w:rPr>
                <w:highlight w:val="none"/>
                <w:lang w:val="zh-CN"/>
              </w:rPr>
            </w:pPr>
            <w:r>
              <w:rPr>
                <w:highlight w:val="none"/>
                <w:lang w:val="zh-CN"/>
              </w:rPr>
              <w:t>猫眼及防盗链在业主入住前安装</w:t>
            </w:r>
          </w:p>
        </w:tc>
      </w:tr>
      <w:tr w14:paraId="011F6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34AB0336">
            <w:pPr>
              <w:pStyle w:val="13"/>
              <w:rPr>
                <w:highlight w:val="none"/>
                <w:lang w:val="zh-CN"/>
              </w:rPr>
            </w:pPr>
            <w:r>
              <w:rPr>
                <w:highlight w:val="none"/>
                <w:lang w:val="zh-CN"/>
              </w:rPr>
              <w:t>6</w:t>
            </w:r>
          </w:p>
        </w:tc>
        <w:tc>
          <w:tcPr>
            <w:tcW w:w="1080" w:type="dxa"/>
            <w:vMerge w:val="continue"/>
            <w:tcBorders>
              <w:bottom w:val="nil"/>
            </w:tcBorders>
            <w:noWrap w:val="0"/>
            <w:vAlign w:val="center"/>
          </w:tcPr>
          <w:p w14:paraId="6AECAD04">
            <w:pPr>
              <w:pStyle w:val="13"/>
              <w:rPr>
                <w:highlight w:val="none"/>
                <w:lang w:val="zh-CN"/>
              </w:rPr>
            </w:pPr>
            <w:r>
              <w:rPr>
                <w:rFonts w:hint="eastAsia"/>
                <w:highlight w:val="none"/>
                <w:lang w:val="zh-CN"/>
              </w:rPr>
              <w:t>木饰面</w:t>
            </w:r>
          </w:p>
          <w:p w14:paraId="18C45AE6">
            <w:pPr>
              <w:pStyle w:val="13"/>
              <w:rPr>
                <w:highlight w:val="none"/>
                <w:lang w:val="zh-CN"/>
              </w:rPr>
            </w:pPr>
            <w:r>
              <w:rPr>
                <w:rFonts w:hint="eastAsia"/>
                <w:highlight w:val="none"/>
                <w:lang w:val="zh-CN"/>
              </w:rPr>
              <w:t>（含固定家私）</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4928FFF2">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19DA6DD5">
            <w:pPr>
              <w:pStyle w:val="13"/>
              <w:rPr>
                <w:highlight w:val="none"/>
                <w:lang w:val="zh-CN"/>
              </w:rPr>
            </w:pPr>
            <w:r>
              <w:rPr>
                <w:highlight w:val="none"/>
                <w:lang w:val="zh-CN"/>
              </w:rPr>
              <w:t>所有外露木饰面及家私均采用塑料薄膜进行保护</w:t>
            </w:r>
          </w:p>
        </w:tc>
        <w:tc>
          <w:tcPr>
            <w:tcW w:w="7186" w:type="dxa"/>
            <w:tcBorders>
              <w:top w:val="nil"/>
              <w:left w:val="single" w:color="auto" w:sz="4" w:space="0"/>
              <w:bottom w:val="single" w:color="000000" w:sz="8" w:space="0"/>
              <w:right w:val="single" w:color="000000" w:sz="8" w:space="0"/>
            </w:tcBorders>
            <w:noWrap w:val="0"/>
            <w:vAlign w:val="center"/>
          </w:tcPr>
          <w:p w14:paraId="5AC51F6A">
            <w:pPr>
              <w:pStyle w:val="13"/>
              <w:rPr>
                <w:highlight w:val="none"/>
                <w:lang w:val="zh-CN"/>
              </w:rPr>
            </w:pPr>
            <w:r>
              <w:rPr>
                <w:highlight w:val="none"/>
              </w:rPr>
              <w:drawing>
                <wp:inline distT="0" distB="0" distL="114300" distR="114300">
                  <wp:extent cx="2171065" cy="1872615"/>
                  <wp:effectExtent l="0" t="0" r="635" b="13335"/>
                  <wp:docPr id="56" name="image60.jpeg" descr="C:\Users\lenovo\AppData\Local\Temp\ksohtml\wpsD8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jpeg" descr="C:\Users\lenovo\AppData\Local\Temp\ksohtml\wpsD8D.tmp.png"/>
                          <pic:cNvPicPr>
                            <a:picLocks noChangeAspect="1"/>
                          </pic:cNvPicPr>
                        </pic:nvPicPr>
                        <pic:blipFill>
                          <a:blip r:embed="rId69"/>
                          <a:stretch>
                            <a:fillRect/>
                          </a:stretch>
                        </pic:blipFill>
                        <pic:spPr>
                          <a:xfrm>
                            <a:off x="0" y="0"/>
                            <a:ext cx="2171065" cy="1872615"/>
                          </a:xfrm>
                          <a:prstGeom prst="rect">
                            <a:avLst/>
                          </a:prstGeom>
                          <a:noFill/>
                          <a:ln>
                            <a:noFill/>
                          </a:ln>
                        </pic:spPr>
                      </pic:pic>
                    </a:graphicData>
                  </a:graphic>
                </wp:inline>
              </w:drawing>
            </w:r>
            <w:r>
              <w:rPr>
                <w:highlight w:val="none"/>
                <w:lang w:val="zh-CN"/>
              </w:rPr>
              <w:t xml:space="preserve"> </w:t>
            </w:r>
            <w:r>
              <w:rPr>
                <w:highlight w:val="none"/>
              </w:rPr>
              <w:drawing>
                <wp:inline distT="0" distB="0" distL="114300" distR="114300">
                  <wp:extent cx="2216785" cy="1847850"/>
                  <wp:effectExtent l="0" t="0" r="12065" b="0"/>
                  <wp:docPr id="5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1.jpeg"/>
                          <pic:cNvPicPr>
                            <a:picLocks noChangeAspect="1"/>
                          </pic:cNvPicPr>
                        </pic:nvPicPr>
                        <pic:blipFill>
                          <a:blip r:embed="rId70"/>
                          <a:stretch>
                            <a:fillRect/>
                          </a:stretch>
                        </pic:blipFill>
                        <pic:spPr>
                          <a:xfrm>
                            <a:off x="0" y="0"/>
                            <a:ext cx="2216785" cy="1847850"/>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3A7AF52F">
            <w:pPr>
              <w:pStyle w:val="13"/>
              <w:rPr>
                <w:highlight w:val="none"/>
                <w:lang w:val="zh-CN"/>
              </w:rPr>
            </w:pPr>
          </w:p>
        </w:tc>
      </w:tr>
      <w:tr w14:paraId="229140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48754618">
            <w:pPr>
              <w:pStyle w:val="13"/>
              <w:rPr>
                <w:highlight w:val="none"/>
                <w:lang w:val="zh-CN"/>
              </w:rPr>
            </w:pPr>
            <w:r>
              <w:rPr>
                <w:highlight w:val="none"/>
                <w:lang w:val="zh-CN"/>
              </w:rPr>
              <w:t>7</w:t>
            </w:r>
          </w:p>
        </w:tc>
        <w:tc>
          <w:tcPr>
            <w:tcW w:w="1080" w:type="dxa"/>
            <w:vMerge w:val="continue"/>
            <w:tcBorders>
              <w:bottom w:val="nil"/>
            </w:tcBorders>
            <w:noWrap w:val="0"/>
            <w:vAlign w:val="center"/>
          </w:tcPr>
          <w:p w14:paraId="24FC7F0F">
            <w:pPr>
              <w:pStyle w:val="13"/>
              <w:rPr>
                <w:highlight w:val="none"/>
                <w:lang w:val="zh-CN"/>
              </w:rPr>
            </w:pPr>
            <w:r>
              <w:rPr>
                <w:rFonts w:hint="eastAsia"/>
                <w:highlight w:val="none"/>
                <w:lang w:val="zh-CN"/>
              </w:rPr>
              <w:t>裱糊、软包</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567CC1BE">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18CCF94D">
            <w:pPr>
              <w:pStyle w:val="13"/>
              <w:rPr>
                <w:highlight w:val="none"/>
                <w:lang w:val="zh-CN"/>
              </w:rPr>
            </w:pPr>
            <w:r>
              <w:rPr>
                <w:highlight w:val="none"/>
                <w:lang w:val="zh-CN"/>
              </w:rPr>
              <w:t>所有外露裱糊、软包饰面均采用塑料薄膜进行保护</w:t>
            </w:r>
          </w:p>
        </w:tc>
        <w:tc>
          <w:tcPr>
            <w:tcW w:w="7186" w:type="dxa"/>
            <w:tcBorders>
              <w:top w:val="nil"/>
              <w:left w:val="single" w:color="auto" w:sz="4" w:space="0"/>
              <w:bottom w:val="single" w:color="000000" w:sz="8" w:space="0"/>
              <w:right w:val="single" w:color="000000" w:sz="8" w:space="0"/>
            </w:tcBorders>
            <w:noWrap w:val="0"/>
            <w:vAlign w:val="center"/>
          </w:tcPr>
          <w:p w14:paraId="4775D70E">
            <w:pPr>
              <w:pStyle w:val="13"/>
              <w:rPr>
                <w:highlight w:val="none"/>
                <w:lang w:val="zh-CN"/>
              </w:rPr>
            </w:pPr>
            <w:r>
              <w:rPr>
                <w:highlight w:val="none"/>
              </w:rPr>
              <w:drawing>
                <wp:inline distT="0" distB="0" distL="114300" distR="114300">
                  <wp:extent cx="2122805" cy="1920875"/>
                  <wp:effectExtent l="0" t="0" r="10795" b="3175"/>
                  <wp:docPr id="5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7"/>
                          <pic:cNvPicPr>
                            <a:picLocks noChangeAspect="1"/>
                          </pic:cNvPicPr>
                        </pic:nvPicPr>
                        <pic:blipFill>
                          <a:blip r:embed="rId71"/>
                          <a:stretch>
                            <a:fillRect/>
                          </a:stretch>
                        </pic:blipFill>
                        <pic:spPr>
                          <a:xfrm>
                            <a:off x="0" y="0"/>
                            <a:ext cx="2122805" cy="1920875"/>
                          </a:xfrm>
                          <a:prstGeom prst="rect">
                            <a:avLst/>
                          </a:prstGeom>
                          <a:noFill/>
                          <a:ln>
                            <a:noFill/>
                          </a:ln>
                        </pic:spPr>
                      </pic:pic>
                    </a:graphicData>
                  </a:graphic>
                </wp:inline>
              </w:drawing>
            </w:r>
            <w:r>
              <w:rPr>
                <w:highlight w:val="none"/>
              </w:rPr>
              <w:drawing>
                <wp:inline distT="0" distB="0" distL="114300" distR="114300">
                  <wp:extent cx="2350135" cy="1320165"/>
                  <wp:effectExtent l="0" t="0" r="12065" b="13335"/>
                  <wp:docPr id="5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8"/>
                          <pic:cNvPicPr>
                            <a:picLocks noChangeAspect="1"/>
                          </pic:cNvPicPr>
                        </pic:nvPicPr>
                        <pic:blipFill>
                          <a:blip r:embed="rId72"/>
                          <a:stretch>
                            <a:fillRect/>
                          </a:stretch>
                        </pic:blipFill>
                        <pic:spPr>
                          <a:xfrm>
                            <a:off x="0" y="0"/>
                            <a:ext cx="2350135" cy="1320165"/>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51C91568">
            <w:pPr>
              <w:pStyle w:val="13"/>
              <w:rPr>
                <w:highlight w:val="none"/>
                <w:lang w:val="zh-CN"/>
              </w:rPr>
            </w:pPr>
          </w:p>
        </w:tc>
      </w:tr>
      <w:tr w14:paraId="2FBB22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20C3E867">
            <w:pPr>
              <w:pStyle w:val="13"/>
              <w:rPr>
                <w:highlight w:val="none"/>
                <w:lang w:val="zh-CN"/>
              </w:rPr>
            </w:pPr>
            <w:r>
              <w:rPr>
                <w:highlight w:val="none"/>
                <w:lang w:val="zh-CN"/>
              </w:rPr>
              <w:t>8</w:t>
            </w:r>
          </w:p>
        </w:tc>
        <w:tc>
          <w:tcPr>
            <w:tcW w:w="1080" w:type="dxa"/>
            <w:vMerge w:val="continue"/>
            <w:tcBorders>
              <w:bottom w:val="nil"/>
            </w:tcBorders>
            <w:noWrap w:val="0"/>
            <w:vAlign w:val="center"/>
          </w:tcPr>
          <w:p w14:paraId="522780A0">
            <w:pPr>
              <w:pStyle w:val="13"/>
              <w:rPr>
                <w:highlight w:val="none"/>
                <w:lang w:val="zh-CN"/>
              </w:rPr>
            </w:pPr>
            <w:r>
              <w:rPr>
                <w:rFonts w:hint="eastAsia"/>
                <w:highlight w:val="none"/>
                <w:lang w:val="zh-CN"/>
              </w:rPr>
              <w:t>室内栏杆</w:t>
            </w:r>
          </w:p>
          <w:p w14:paraId="433985FD">
            <w:pPr>
              <w:pStyle w:val="13"/>
              <w:rPr>
                <w:highlight w:val="none"/>
                <w:lang w:val="zh-CN"/>
              </w:rPr>
            </w:pPr>
            <w:r>
              <w:rPr>
                <w:rFonts w:hint="eastAsia"/>
                <w:highlight w:val="none"/>
                <w:lang w:val="zh-CN"/>
              </w:rPr>
              <w:t>、 扶手</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1860E55A">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102D54FC">
            <w:pPr>
              <w:pStyle w:val="13"/>
              <w:rPr>
                <w:highlight w:val="none"/>
                <w:lang w:val="zh-CN"/>
              </w:rPr>
            </w:pPr>
            <w:r>
              <w:rPr>
                <w:highlight w:val="none"/>
                <w:lang w:val="zh-CN"/>
              </w:rPr>
              <w:t>转角部位用3㎜厚珍珠棉包裹3 层进行保护</w:t>
            </w:r>
          </w:p>
        </w:tc>
        <w:tc>
          <w:tcPr>
            <w:tcW w:w="7186" w:type="dxa"/>
            <w:tcBorders>
              <w:top w:val="nil"/>
              <w:left w:val="single" w:color="auto" w:sz="4" w:space="0"/>
              <w:bottom w:val="single" w:color="000000" w:sz="8" w:space="0"/>
              <w:right w:val="single" w:color="000000" w:sz="8" w:space="0"/>
            </w:tcBorders>
            <w:noWrap w:val="0"/>
            <w:vAlign w:val="center"/>
          </w:tcPr>
          <w:p w14:paraId="0334E412">
            <w:pPr>
              <w:pStyle w:val="13"/>
              <w:rPr>
                <w:highlight w:val="none"/>
                <w:lang w:val="zh-CN" w:eastAsia="zh"/>
              </w:rPr>
            </w:pPr>
            <w:r>
              <w:rPr>
                <w:highlight w:val="none"/>
              </w:rPr>
              <w:drawing>
                <wp:inline distT="0" distB="0" distL="114300" distR="114300">
                  <wp:extent cx="1695450" cy="1535430"/>
                  <wp:effectExtent l="0" t="0" r="0" b="7620"/>
                  <wp:docPr id="60"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2.jpeg"/>
                          <pic:cNvPicPr>
                            <a:picLocks noChangeAspect="1"/>
                          </pic:cNvPicPr>
                        </pic:nvPicPr>
                        <pic:blipFill>
                          <a:blip r:embed="rId73"/>
                          <a:stretch>
                            <a:fillRect/>
                          </a:stretch>
                        </pic:blipFill>
                        <pic:spPr>
                          <a:xfrm>
                            <a:off x="0" y="0"/>
                            <a:ext cx="1695450" cy="1535430"/>
                          </a:xfrm>
                          <a:prstGeom prst="rect">
                            <a:avLst/>
                          </a:prstGeom>
                          <a:noFill/>
                          <a:ln>
                            <a:noFill/>
                          </a:ln>
                        </pic:spPr>
                      </pic:pic>
                    </a:graphicData>
                  </a:graphic>
                </wp:inline>
              </w:drawing>
            </w:r>
            <w:r>
              <w:rPr>
                <w:rFonts w:hint="eastAsia"/>
                <w:highlight w:val="none"/>
                <w:lang w:val="zh-CN" w:eastAsia="zh"/>
              </w:rPr>
              <w:t xml:space="preserve">  </w:t>
            </w:r>
            <w:r>
              <w:rPr>
                <w:rFonts w:hint="eastAsia"/>
                <w:highlight w:val="none"/>
              </w:rPr>
              <w:drawing>
                <wp:inline distT="0" distB="0" distL="114300" distR="114300">
                  <wp:extent cx="1925320" cy="1539240"/>
                  <wp:effectExtent l="0" t="0" r="17780" b="3810"/>
                  <wp:docPr id="6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1"/>
                          <pic:cNvPicPr>
                            <a:picLocks noChangeAspect="1"/>
                          </pic:cNvPicPr>
                        </pic:nvPicPr>
                        <pic:blipFill>
                          <a:blip r:embed="rId74"/>
                          <a:stretch>
                            <a:fillRect/>
                          </a:stretch>
                        </pic:blipFill>
                        <pic:spPr>
                          <a:xfrm>
                            <a:off x="0" y="0"/>
                            <a:ext cx="1925320" cy="1539240"/>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6DA74A79">
            <w:pPr>
              <w:pStyle w:val="13"/>
              <w:rPr>
                <w:highlight w:val="none"/>
                <w:lang w:val="zh-CN"/>
              </w:rPr>
            </w:pPr>
          </w:p>
        </w:tc>
      </w:tr>
      <w:tr w14:paraId="0CD97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50CD16ED">
            <w:pPr>
              <w:pStyle w:val="13"/>
              <w:rPr>
                <w:highlight w:val="none"/>
                <w:lang w:val="zh-CN"/>
              </w:rPr>
            </w:pPr>
            <w:r>
              <w:rPr>
                <w:highlight w:val="none"/>
                <w:lang w:val="zh-CN"/>
              </w:rPr>
              <w:t>9</w:t>
            </w:r>
          </w:p>
        </w:tc>
        <w:tc>
          <w:tcPr>
            <w:tcW w:w="1080" w:type="dxa"/>
            <w:vMerge w:val="continue"/>
            <w:tcBorders>
              <w:bottom w:val="nil"/>
            </w:tcBorders>
            <w:noWrap w:val="0"/>
            <w:vAlign w:val="center"/>
          </w:tcPr>
          <w:p w14:paraId="413DAED1">
            <w:pPr>
              <w:pStyle w:val="13"/>
              <w:rPr>
                <w:highlight w:val="none"/>
                <w:lang w:val="zh-CN"/>
              </w:rPr>
            </w:pPr>
            <w:r>
              <w:rPr>
                <w:rFonts w:hint="eastAsia"/>
                <w:highlight w:val="none"/>
                <w:lang w:val="zh-CN"/>
              </w:rPr>
              <w:t>浴缸</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3DAE9291">
            <w:pPr>
              <w:pStyle w:val="13"/>
              <w:rPr>
                <w:highlight w:val="none"/>
                <w:lang w:val="zh-CN"/>
              </w:rPr>
            </w:pPr>
            <w:r>
              <w:rPr>
                <w:highlight w:val="none"/>
                <w:lang w:val="zh-CN"/>
              </w:rPr>
              <w:t>工厂包装</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3CFFE913">
            <w:pPr>
              <w:pStyle w:val="13"/>
              <w:rPr>
                <w:highlight w:val="none"/>
                <w:lang w:val="zh-CN"/>
              </w:rPr>
            </w:pPr>
            <w:r>
              <w:rPr>
                <w:highlight w:val="none"/>
                <w:lang w:val="zh-CN"/>
              </w:rPr>
              <w:t>厚度不低于12mm 夹板条、边角使用3㎜厚珍珠棉包裹保护</w:t>
            </w:r>
          </w:p>
        </w:tc>
        <w:tc>
          <w:tcPr>
            <w:tcW w:w="7186" w:type="dxa"/>
            <w:tcBorders>
              <w:top w:val="nil"/>
              <w:left w:val="single" w:color="auto" w:sz="4" w:space="0"/>
              <w:bottom w:val="single" w:color="000000" w:sz="8" w:space="0"/>
              <w:right w:val="single" w:color="000000" w:sz="8" w:space="0"/>
            </w:tcBorders>
            <w:noWrap w:val="0"/>
            <w:vAlign w:val="center"/>
          </w:tcPr>
          <w:p w14:paraId="25439D28">
            <w:pPr>
              <w:pStyle w:val="13"/>
              <w:rPr>
                <w:highlight w:val="none"/>
                <w:lang w:val="zh-CN"/>
              </w:rPr>
            </w:pPr>
            <w:r>
              <w:rPr>
                <w:highlight w:val="none"/>
              </w:rPr>
              <w:drawing>
                <wp:inline distT="0" distB="0" distL="114300" distR="114300">
                  <wp:extent cx="2108835" cy="1410335"/>
                  <wp:effectExtent l="0" t="0" r="5715" b="18415"/>
                  <wp:docPr id="62" name="image63.jpeg"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3.jpeg" descr="01.jpg"/>
                          <pic:cNvPicPr>
                            <a:picLocks noChangeAspect="1"/>
                          </pic:cNvPicPr>
                        </pic:nvPicPr>
                        <pic:blipFill>
                          <a:blip r:embed="rId75"/>
                          <a:stretch>
                            <a:fillRect/>
                          </a:stretch>
                        </pic:blipFill>
                        <pic:spPr>
                          <a:xfrm>
                            <a:off x="0" y="0"/>
                            <a:ext cx="2108835" cy="1410335"/>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0A69BAFF">
            <w:pPr>
              <w:pStyle w:val="13"/>
              <w:rPr>
                <w:highlight w:val="none"/>
                <w:lang w:val="zh-CN"/>
              </w:rPr>
            </w:pPr>
          </w:p>
        </w:tc>
      </w:tr>
      <w:tr w14:paraId="53BD9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2795AF6F">
            <w:pPr>
              <w:pStyle w:val="13"/>
              <w:rPr>
                <w:highlight w:val="none"/>
                <w:lang w:val="zh-CN"/>
              </w:rPr>
            </w:pPr>
          </w:p>
        </w:tc>
        <w:tc>
          <w:tcPr>
            <w:tcW w:w="1080" w:type="dxa"/>
            <w:vMerge w:val="continue"/>
            <w:tcBorders>
              <w:bottom w:val="nil"/>
            </w:tcBorders>
            <w:noWrap w:val="0"/>
            <w:vAlign w:val="center"/>
          </w:tcPr>
          <w:p w14:paraId="2FC41712">
            <w:pPr>
              <w:pStyle w:val="13"/>
              <w:rPr>
                <w:highlight w:val="none"/>
                <w:lang w:val="zh-CN"/>
              </w:rPr>
            </w:pP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7633382C">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2C8E159A">
            <w:pPr>
              <w:pStyle w:val="13"/>
              <w:rPr>
                <w:highlight w:val="none"/>
                <w:lang w:val="zh-CN"/>
              </w:rPr>
            </w:pPr>
            <w:r>
              <w:rPr>
                <w:highlight w:val="none"/>
                <w:lang w:val="zh-CN"/>
              </w:rPr>
              <w:t>不低于12mm夹板覆盖保护</w:t>
            </w:r>
          </w:p>
        </w:tc>
        <w:tc>
          <w:tcPr>
            <w:tcW w:w="7186" w:type="dxa"/>
            <w:tcBorders>
              <w:top w:val="nil"/>
              <w:left w:val="single" w:color="auto" w:sz="4" w:space="0"/>
              <w:bottom w:val="single" w:color="000000" w:sz="8" w:space="0"/>
              <w:right w:val="single" w:color="000000" w:sz="8" w:space="0"/>
            </w:tcBorders>
            <w:noWrap w:val="0"/>
            <w:vAlign w:val="center"/>
          </w:tcPr>
          <w:p w14:paraId="65301153">
            <w:pPr>
              <w:pStyle w:val="13"/>
              <w:rPr>
                <w:highlight w:val="none"/>
                <w:lang w:val="zh-CN"/>
              </w:rPr>
            </w:pPr>
          </w:p>
          <w:p w14:paraId="5B60BF2A">
            <w:pPr>
              <w:pStyle w:val="13"/>
              <w:rPr>
                <w:highlight w:val="none"/>
                <w:lang w:val="zh-CN"/>
              </w:rPr>
            </w:pPr>
            <w:r>
              <w:rPr>
                <w:highlight w:val="none"/>
              </w:rPr>
              <w:drawing>
                <wp:inline distT="0" distB="0" distL="114300" distR="114300">
                  <wp:extent cx="2106930" cy="1533525"/>
                  <wp:effectExtent l="0" t="0" r="7620" b="9525"/>
                  <wp:docPr id="63" name="image64.jpeg" descr="9F8TQ$}`I[$N(}[%EUU1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4.jpeg" descr="9F8TQ$}`I[$N(}[%EUU1VVV"/>
                          <pic:cNvPicPr>
                            <a:picLocks noChangeAspect="1"/>
                          </pic:cNvPicPr>
                        </pic:nvPicPr>
                        <pic:blipFill>
                          <a:blip r:embed="rId76"/>
                          <a:stretch>
                            <a:fillRect/>
                          </a:stretch>
                        </pic:blipFill>
                        <pic:spPr>
                          <a:xfrm>
                            <a:off x="0" y="0"/>
                            <a:ext cx="2106930" cy="1533525"/>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3A576F7E">
            <w:pPr>
              <w:pStyle w:val="13"/>
              <w:rPr>
                <w:highlight w:val="none"/>
                <w:lang w:val="zh-CN"/>
              </w:rPr>
            </w:pPr>
          </w:p>
        </w:tc>
      </w:tr>
      <w:tr w14:paraId="3CBB16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0E54466F">
            <w:pPr>
              <w:pStyle w:val="13"/>
              <w:rPr>
                <w:highlight w:val="none"/>
                <w:lang w:val="zh-CN"/>
              </w:rPr>
            </w:pPr>
            <w:r>
              <w:rPr>
                <w:highlight w:val="none"/>
                <w:lang w:val="zh-CN"/>
              </w:rPr>
              <w:t>10</w:t>
            </w:r>
          </w:p>
        </w:tc>
        <w:tc>
          <w:tcPr>
            <w:tcW w:w="1080" w:type="dxa"/>
            <w:vMerge w:val="continue"/>
            <w:tcBorders>
              <w:bottom w:val="nil"/>
            </w:tcBorders>
            <w:noWrap w:val="0"/>
            <w:vAlign w:val="center"/>
          </w:tcPr>
          <w:p w14:paraId="0C27808F">
            <w:pPr>
              <w:pStyle w:val="13"/>
              <w:rPr>
                <w:highlight w:val="none"/>
                <w:lang w:val="zh-CN"/>
              </w:rPr>
            </w:pPr>
            <w:r>
              <w:rPr>
                <w:rFonts w:hint="eastAsia"/>
                <w:highlight w:val="none"/>
                <w:lang w:val="zh-CN"/>
              </w:rPr>
              <w:t>马桶</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7BDDA4A4">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45EC29B5">
            <w:pPr>
              <w:pStyle w:val="13"/>
              <w:rPr>
                <w:highlight w:val="none"/>
                <w:lang w:val="zh-CN"/>
              </w:rPr>
            </w:pPr>
            <w:r>
              <w:rPr>
                <w:highlight w:val="none"/>
                <w:lang w:val="zh-CN"/>
              </w:rPr>
              <w:t>原包装袋及箱包裹保护</w:t>
            </w:r>
          </w:p>
        </w:tc>
        <w:tc>
          <w:tcPr>
            <w:tcW w:w="7186" w:type="dxa"/>
            <w:tcBorders>
              <w:top w:val="nil"/>
              <w:left w:val="single" w:color="auto" w:sz="4" w:space="0"/>
              <w:bottom w:val="single" w:color="000000" w:sz="8" w:space="0"/>
              <w:right w:val="single" w:color="000000" w:sz="8" w:space="0"/>
            </w:tcBorders>
            <w:noWrap w:val="0"/>
            <w:vAlign w:val="center"/>
          </w:tcPr>
          <w:p w14:paraId="6B79368F">
            <w:pPr>
              <w:pStyle w:val="13"/>
              <w:rPr>
                <w:highlight w:val="none"/>
                <w:lang w:val="zh-CN"/>
              </w:rPr>
            </w:pPr>
            <w:r>
              <w:rPr>
                <w:highlight w:val="none"/>
              </w:rPr>
              <w:drawing>
                <wp:inline distT="0" distB="0" distL="114300" distR="114300">
                  <wp:extent cx="2119630" cy="1564005"/>
                  <wp:effectExtent l="0" t="0" r="13970" b="17145"/>
                  <wp:docPr id="64"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5.jpeg"/>
                          <pic:cNvPicPr>
                            <a:picLocks noChangeAspect="1"/>
                          </pic:cNvPicPr>
                        </pic:nvPicPr>
                        <pic:blipFill>
                          <a:blip r:embed="rId77"/>
                          <a:stretch>
                            <a:fillRect/>
                          </a:stretch>
                        </pic:blipFill>
                        <pic:spPr>
                          <a:xfrm>
                            <a:off x="0" y="0"/>
                            <a:ext cx="2119630" cy="1564005"/>
                          </a:xfrm>
                          <a:prstGeom prst="rect">
                            <a:avLst/>
                          </a:prstGeom>
                          <a:noFill/>
                          <a:ln>
                            <a:noFill/>
                          </a:ln>
                        </pic:spPr>
                      </pic:pic>
                    </a:graphicData>
                  </a:graphic>
                </wp:inline>
              </w:drawing>
            </w:r>
            <w:r>
              <w:rPr>
                <w:highlight w:val="none"/>
                <w:lang w:val="zh-CN"/>
              </w:rPr>
              <w:t xml:space="preserve"> </w:t>
            </w:r>
            <w:r>
              <w:rPr>
                <w:highlight w:val="none"/>
              </w:rPr>
              <w:drawing>
                <wp:inline distT="0" distB="0" distL="114300" distR="114300">
                  <wp:extent cx="2348865" cy="1569720"/>
                  <wp:effectExtent l="0" t="0" r="13335" b="11430"/>
                  <wp:docPr id="6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6.jpeg"/>
                          <pic:cNvPicPr>
                            <a:picLocks noChangeAspect="1"/>
                          </pic:cNvPicPr>
                        </pic:nvPicPr>
                        <pic:blipFill>
                          <a:blip r:embed="rId78"/>
                          <a:stretch>
                            <a:fillRect/>
                          </a:stretch>
                        </pic:blipFill>
                        <pic:spPr>
                          <a:xfrm>
                            <a:off x="0" y="0"/>
                            <a:ext cx="2348865" cy="1569720"/>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2A53C40C">
            <w:pPr>
              <w:pStyle w:val="13"/>
              <w:rPr>
                <w:highlight w:val="none"/>
                <w:lang w:val="zh-CN"/>
              </w:rPr>
            </w:pPr>
          </w:p>
        </w:tc>
      </w:tr>
      <w:tr w14:paraId="2D3A5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743E39F4">
            <w:pPr>
              <w:pStyle w:val="13"/>
              <w:rPr>
                <w:highlight w:val="none"/>
                <w:lang w:val="zh-CN"/>
              </w:rPr>
            </w:pPr>
            <w:r>
              <w:rPr>
                <w:highlight w:val="none"/>
                <w:lang w:val="zh-CN"/>
              </w:rPr>
              <w:t>11</w:t>
            </w:r>
          </w:p>
        </w:tc>
        <w:tc>
          <w:tcPr>
            <w:tcW w:w="1080" w:type="dxa"/>
            <w:vMerge w:val="continue"/>
            <w:tcBorders>
              <w:bottom w:val="nil"/>
            </w:tcBorders>
            <w:noWrap w:val="0"/>
            <w:vAlign w:val="center"/>
          </w:tcPr>
          <w:p w14:paraId="5DB1AF6E">
            <w:pPr>
              <w:pStyle w:val="13"/>
              <w:rPr>
                <w:highlight w:val="none"/>
                <w:lang w:val="zh-CN"/>
              </w:rPr>
            </w:pPr>
            <w:r>
              <w:rPr>
                <w:rFonts w:hint="eastAsia"/>
                <w:highlight w:val="none"/>
                <w:lang w:val="zh-CN"/>
              </w:rPr>
              <w:t>台面盆</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559CA614">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55D449BF">
            <w:pPr>
              <w:pStyle w:val="13"/>
              <w:rPr>
                <w:highlight w:val="none"/>
                <w:lang w:val="zh-CN"/>
              </w:rPr>
            </w:pPr>
            <w:r>
              <w:rPr>
                <w:highlight w:val="none"/>
                <w:lang w:val="zh-CN"/>
              </w:rPr>
              <w:t>原包装袋包裹保护</w:t>
            </w:r>
          </w:p>
        </w:tc>
        <w:tc>
          <w:tcPr>
            <w:tcW w:w="7186" w:type="dxa"/>
            <w:tcBorders>
              <w:top w:val="nil"/>
              <w:left w:val="single" w:color="auto" w:sz="4" w:space="0"/>
              <w:bottom w:val="single" w:color="000000" w:sz="8" w:space="0"/>
              <w:right w:val="single" w:color="000000" w:sz="8" w:space="0"/>
            </w:tcBorders>
            <w:noWrap w:val="0"/>
            <w:vAlign w:val="center"/>
          </w:tcPr>
          <w:p w14:paraId="2C7DF28D">
            <w:pPr>
              <w:pStyle w:val="13"/>
              <w:rPr>
                <w:highlight w:val="none"/>
                <w:lang w:val="zh-CN"/>
              </w:rPr>
            </w:pPr>
            <w:r>
              <w:rPr>
                <w:highlight w:val="none"/>
              </w:rPr>
              <w:drawing>
                <wp:inline distT="0" distB="0" distL="114300" distR="114300">
                  <wp:extent cx="1623060" cy="1905000"/>
                  <wp:effectExtent l="0" t="0" r="15240" b="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79"/>
                          <a:stretch>
                            <a:fillRect/>
                          </a:stretch>
                        </pic:blipFill>
                        <pic:spPr>
                          <a:xfrm>
                            <a:off x="0" y="0"/>
                            <a:ext cx="1623060" cy="1905000"/>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78969451">
            <w:pPr>
              <w:pStyle w:val="13"/>
              <w:rPr>
                <w:highlight w:val="none"/>
                <w:lang w:val="zh-CN"/>
              </w:rPr>
            </w:pPr>
          </w:p>
        </w:tc>
      </w:tr>
      <w:tr w14:paraId="0604DD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223C4E04">
            <w:pPr>
              <w:pStyle w:val="13"/>
              <w:rPr>
                <w:highlight w:val="none"/>
                <w:lang w:val="zh-CN"/>
              </w:rPr>
            </w:pPr>
            <w:r>
              <w:rPr>
                <w:highlight w:val="none"/>
                <w:lang w:val="zh-CN"/>
              </w:rPr>
              <w:t>12</w:t>
            </w:r>
          </w:p>
        </w:tc>
        <w:tc>
          <w:tcPr>
            <w:tcW w:w="1080" w:type="dxa"/>
            <w:vMerge w:val="continue"/>
            <w:tcBorders>
              <w:bottom w:val="nil"/>
            </w:tcBorders>
            <w:noWrap w:val="0"/>
            <w:vAlign w:val="center"/>
          </w:tcPr>
          <w:p w14:paraId="2458BAA1">
            <w:pPr>
              <w:pStyle w:val="13"/>
              <w:rPr>
                <w:highlight w:val="none"/>
                <w:lang w:val="zh-CN"/>
              </w:rPr>
            </w:pPr>
            <w:r>
              <w:rPr>
                <w:rFonts w:hint="eastAsia"/>
                <w:highlight w:val="none"/>
                <w:lang w:val="zh-CN"/>
              </w:rPr>
              <w:t>五金件</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428DBCD5">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6B3AD4A1">
            <w:pPr>
              <w:pStyle w:val="13"/>
              <w:rPr>
                <w:highlight w:val="none"/>
                <w:lang w:val="zh-CN"/>
              </w:rPr>
            </w:pPr>
            <w:r>
              <w:rPr>
                <w:highlight w:val="none"/>
                <w:lang w:val="zh-CN"/>
              </w:rPr>
              <w:t>原包装袋包裹保护</w:t>
            </w:r>
          </w:p>
        </w:tc>
        <w:tc>
          <w:tcPr>
            <w:tcW w:w="7186" w:type="dxa"/>
            <w:tcBorders>
              <w:top w:val="nil"/>
              <w:left w:val="single" w:color="auto" w:sz="4" w:space="0"/>
              <w:bottom w:val="single" w:color="000000" w:sz="8" w:space="0"/>
              <w:right w:val="single" w:color="000000" w:sz="8" w:space="0"/>
            </w:tcBorders>
            <w:noWrap w:val="0"/>
            <w:vAlign w:val="center"/>
          </w:tcPr>
          <w:p w14:paraId="053E0EEB">
            <w:pPr>
              <w:pStyle w:val="13"/>
              <w:rPr>
                <w:highlight w:val="none"/>
                <w:lang w:val="zh-CN"/>
              </w:rPr>
            </w:pPr>
            <w:r>
              <w:rPr>
                <w:highlight w:val="none"/>
              </w:rPr>
              <w:drawing>
                <wp:inline distT="0" distB="0" distL="114300" distR="114300">
                  <wp:extent cx="1457960" cy="1927225"/>
                  <wp:effectExtent l="0" t="0" r="8890" b="15875"/>
                  <wp:docPr id="67"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2"/>
                          <pic:cNvPicPr>
                            <a:picLocks noChangeAspect="1"/>
                          </pic:cNvPicPr>
                        </pic:nvPicPr>
                        <pic:blipFill>
                          <a:blip r:embed="rId80"/>
                          <a:stretch>
                            <a:fillRect/>
                          </a:stretch>
                        </pic:blipFill>
                        <pic:spPr>
                          <a:xfrm>
                            <a:off x="0" y="0"/>
                            <a:ext cx="1457960" cy="1927225"/>
                          </a:xfrm>
                          <a:prstGeom prst="rect">
                            <a:avLst/>
                          </a:prstGeom>
                          <a:noFill/>
                          <a:ln>
                            <a:noFill/>
                          </a:ln>
                        </pic:spPr>
                      </pic:pic>
                    </a:graphicData>
                  </a:graphic>
                </wp:inline>
              </w:drawing>
            </w:r>
            <w:r>
              <w:rPr>
                <w:highlight w:val="none"/>
                <w:lang w:val="zh-CN"/>
              </w:rPr>
              <w:t xml:space="preserve"> </w:t>
            </w:r>
            <w:r>
              <w:rPr>
                <w:highlight w:val="none"/>
              </w:rPr>
              <w:drawing>
                <wp:inline distT="0" distB="0" distL="114300" distR="114300">
                  <wp:extent cx="1471930" cy="1928495"/>
                  <wp:effectExtent l="0" t="0" r="13970" b="14605"/>
                  <wp:docPr id="6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6"/>
                          <pic:cNvPicPr>
                            <a:picLocks noChangeAspect="1"/>
                          </pic:cNvPicPr>
                        </pic:nvPicPr>
                        <pic:blipFill>
                          <a:blip r:embed="rId81"/>
                          <a:stretch>
                            <a:fillRect/>
                          </a:stretch>
                        </pic:blipFill>
                        <pic:spPr>
                          <a:xfrm>
                            <a:off x="0" y="0"/>
                            <a:ext cx="1471930" cy="1928495"/>
                          </a:xfrm>
                          <a:prstGeom prst="rect">
                            <a:avLst/>
                          </a:prstGeom>
                          <a:noFill/>
                          <a:ln>
                            <a:noFill/>
                          </a:ln>
                        </pic:spPr>
                      </pic:pic>
                    </a:graphicData>
                  </a:graphic>
                </wp:inline>
              </w:drawing>
            </w:r>
            <w:r>
              <w:rPr>
                <w:highlight w:val="none"/>
                <w:lang w:val="zh-CN"/>
              </w:rPr>
              <w:t xml:space="preserve"> </w:t>
            </w:r>
            <w:r>
              <w:rPr>
                <w:highlight w:val="none"/>
              </w:rPr>
              <w:drawing>
                <wp:inline distT="0" distB="0" distL="114300" distR="114300">
                  <wp:extent cx="1470660" cy="1936750"/>
                  <wp:effectExtent l="0" t="0" r="15240" b="6350"/>
                  <wp:docPr id="69"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0"/>
                          <pic:cNvPicPr>
                            <a:picLocks noChangeAspect="1"/>
                          </pic:cNvPicPr>
                        </pic:nvPicPr>
                        <pic:blipFill>
                          <a:blip r:embed="rId82"/>
                          <a:stretch>
                            <a:fillRect/>
                          </a:stretch>
                        </pic:blipFill>
                        <pic:spPr>
                          <a:xfrm>
                            <a:off x="0" y="0"/>
                            <a:ext cx="1470660" cy="1936750"/>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12E6421B">
            <w:pPr>
              <w:pStyle w:val="13"/>
              <w:rPr>
                <w:highlight w:val="none"/>
                <w:lang w:val="zh-CN"/>
              </w:rPr>
            </w:pPr>
          </w:p>
        </w:tc>
      </w:tr>
      <w:tr w14:paraId="6B6E8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4ED5E856">
            <w:pPr>
              <w:pStyle w:val="13"/>
              <w:rPr>
                <w:highlight w:val="none"/>
                <w:lang w:val="zh-CN"/>
              </w:rPr>
            </w:pPr>
            <w:r>
              <w:rPr>
                <w:highlight w:val="none"/>
                <w:lang w:val="zh-CN"/>
              </w:rPr>
              <w:t>13</w:t>
            </w:r>
          </w:p>
        </w:tc>
        <w:tc>
          <w:tcPr>
            <w:tcW w:w="1080" w:type="dxa"/>
            <w:vMerge w:val="continue"/>
            <w:tcBorders>
              <w:bottom w:val="nil"/>
            </w:tcBorders>
            <w:noWrap w:val="0"/>
            <w:vAlign w:val="center"/>
          </w:tcPr>
          <w:p w14:paraId="5D4D9E6F">
            <w:pPr>
              <w:pStyle w:val="13"/>
              <w:rPr>
                <w:highlight w:val="none"/>
                <w:lang w:val="zh-CN"/>
              </w:rPr>
            </w:pPr>
            <w:r>
              <w:rPr>
                <w:rFonts w:hint="eastAsia"/>
                <w:highlight w:val="none"/>
                <w:lang w:val="zh-CN"/>
              </w:rPr>
              <w:t>橱柜</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315EB09C">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3DFFF436">
            <w:pPr>
              <w:pStyle w:val="13"/>
              <w:rPr>
                <w:highlight w:val="none"/>
                <w:lang w:val="zh-CN"/>
              </w:rPr>
            </w:pPr>
            <w:r>
              <w:rPr>
                <w:highlight w:val="none"/>
                <w:lang w:val="zh-CN"/>
              </w:rPr>
              <w:t>防潮膜满铺保护</w:t>
            </w:r>
          </w:p>
        </w:tc>
        <w:tc>
          <w:tcPr>
            <w:tcW w:w="7186" w:type="dxa"/>
            <w:tcBorders>
              <w:top w:val="nil"/>
              <w:left w:val="single" w:color="auto" w:sz="4" w:space="0"/>
              <w:bottom w:val="single" w:color="000000" w:sz="8" w:space="0"/>
              <w:right w:val="single" w:color="000000" w:sz="8" w:space="0"/>
            </w:tcBorders>
            <w:noWrap w:val="0"/>
            <w:vAlign w:val="center"/>
          </w:tcPr>
          <w:p w14:paraId="1B18171D">
            <w:pPr>
              <w:pStyle w:val="13"/>
              <w:rPr>
                <w:highlight w:val="none"/>
                <w:lang w:val="zh-CN" w:eastAsia="zh"/>
              </w:rPr>
            </w:pPr>
            <w:r>
              <w:rPr>
                <w:highlight w:val="none"/>
              </w:rPr>
              <w:drawing>
                <wp:inline distT="0" distB="0" distL="114300" distR="114300">
                  <wp:extent cx="2014855" cy="1748155"/>
                  <wp:effectExtent l="0" t="0" r="4445" b="444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83"/>
                          <a:stretch>
                            <a:fillRect/>
                          </a:stretch>
                        </pic:blipFill>
                        <pic:spPr>
                          <a:xfrm>
                            <a:off x="0" y="0"/>
                            <a:ext cx="2014855" cy="1748155"/>
                          </a:xfrm>
                          <a:prstGeom prst="rect">
                            <a:avLst/>
                          </a:prstGeom>
                          <a:noFill/>
                          <a:ln>
                            <a:noFill/>
                          </a:ln>
                        </pic:spPr>
                      </pic:pic>
                    </a:graphicData>
                  </a:graphic>
                </wp:inline>
              </w:drawing>
            </w:r>
            <w:r>
              <w:rPr>
                <w:rFonts w:hint="eastAsia"/>
                <w:highlight w:val="none"/>
              </w:rPr>
              <w:drawing>
                <wp:inline distT="0" distB="0" distL="114300" distR="114300">
                  <wp:extent cx="2285365" cy="1740535"/>
                  <wp:effectExtent l="0" t="0" r="635" b="12065"/>
                  <wp:docPr id="7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4"/>
                          <pic:cNvPicPr>
                            <a:picLocks noChangeAspect="1"/>
                          </pic:cNvPicPr>
                        </pic:nvPicPr>
                        <pic:blipFill>
                          <a:blip r:embed="rId84"/>
                          <a:stretch>
                            <a:fillRect/>
                          </a:stretch>
                        </pic:blipFill>
                        <pic:spPr>
                          <a:xfrm>
                            <a:off x="0" y="0"/>
                            <a:ext cx="2285365" cy="1740535"/>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579284CD">
            <w:pPr>
              <w:pStyle w:val="13"/>
              <w:rPr>
                <w:highlight w:val="none"/>
                <w:lang w:val="zh-CN"/>
              </w:rPr>
            </w:pPr>
          </w:p>
        </w:tc>
      </w:tr>
      <w:tr w14:paraId="6B0658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2195ADC2">
            <w:pPr>
              <w:pStyle w:val="13"/>
              <w:rPr>
                <w:highlight w:val="none"/>
                <w:lang w:val="zh-CN"/>
              </w:rPr>
            </w:pPr>
            <w:r>
              <w:rPr>
                <w:highlight w:val="none"/>
                <w:lang w:val="zh-CN"/>
              </w:rPr>
              <w:t>14</w:t>
            </w:r>
          </w:p>
        </w:tc>
        <w:tc>
          <w:tcPr>
            <w:tcW w:w="1080" w:type="dxa"/>
            <w:vMerge w:val="continue"/>
            <w:tcBorders>
              <w:bottom w:val="nil"/>
            </w:tcBorders>
            <w:noWrap w:val="0"/>
            <w:vAlign w:val="center"/>
          </w:tcPr>
          <w:p w14:paraId="7E5B26AA">
            <w:pPr>
              <w:pStyle w:val="13"/>
              <w:rPr>
                <w:highlight w:val="none"/>
                <w:lang w:val="zh-CN"/>
              </w:rPr>
            </w:pPr>
            <w:r>
              <w:rPr>
                <w:rFonts w:hint="eastAsia"/>
                <w:highlight w:val="none"/>
                <w:lang w:val="zh-CN"/>
              </w:rPr>
              <w:t>面板</w:t>
            </w:r>
          </w:p>
          <w:p w14:paraId="27195311">
            <w:pPr>
              <w:pStyle w:val="13"/>
              <w:rPr>
                <w:highlight w:val="none"/>
                <w:lang w:val="zh-CN"/>
              </w:rPr>
            </w:pPr>
            <w:r>
              <w:rPr>
                <w:highlight w:val="none"/>
                <w:lang w:val="zh-CN"/>
              </w:rPr>
              <w:t>（设备末端）</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774CAC1B">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61A5597D">
            <w:pPr>
              <w:pStyle w:val="13"/>
              <w:rPr>
                <w:highlight w:val="none"/>
                <w:lang w:val="zh-CN"/>
              </w:rPr>
            </w:pPr>
            <w:r>
              <w:rPr>
                <w:highlight w:val="none"/>
                <w:lang w:val="zh-CN"/>
              </w:rPr>
              <w:t>美纹纸或防潮纸或专用插座保护盖保护</w:t>
            </w:r>
          </w:p>
        </w:tc>
        <w:tc>
          <w:tcPr>
            <w:tcW w:w="7186" w:type="dxa"/>
            <w:tcBorders>
              <w:top w:val="nil"/>
              <w:left w:val="single" w:color="auto" w:sz="4" w:space="0"/>
              <w:bottom w:val="single" w:color="000000" w:sz="8" w:space="0"/>
              <w:right w:val="single" w:color="000000" w:sz="8" w:space="0"/>
            </w:tcBorders>
            <w:noWrap w:val="0"/>
            <w:vAlign w:val="center"/>
          </w:tcPr>
          <w:p w14:paraId="26F2F2E8">
            <w:pPr>
              <w:pStyle w:val="13"/>
              <w:rPr>
                <w:highlight w:val="none"/>
                <w:lang w:val="zh-CN"/>
              </w:rPr>
            </w:pPr>
          </w:p>
          <w:p w14:paraId="23876924">
            <w:pPr>
              <w:pStyle w:val="13"/>
              <w:rPr>
                <w:highlight w:val="none"/>
                <w:lang w:val="zh-CN"/>
              </w:rPr>
            </w:pPr>
            <w:r>
              <w:rPr>
                <w:highlight w:val="none"/>
              </w:rPr>
              <w:drawing>
                <wp:inline distT="0" distB="0" distL="114300" distR="114300">
                  <wp:extent cx="2093595" cy="1899285"/>
                  <wp:effectExtent l="0" t="0" r="1905" b="5715"/>
                  <wp:docPr id="72"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6"/>
                          <pic:cNvPicPr>
                            <a:picLocks noChangeAspect="1"/>
                          </pic:cNvPicPr>
                        </pic:nvPicPr>
                        <pic:blipFill>
                          <a:blip r:embed="rId85"/>
                          <a:stretch>
                            <a:fillRect/>
                          </a:stretch>
                        </pic:blipFill>
                        <pic:spPr>
                          <a:xfrm>
                            <a:off x="0" y="0"/>
                            <a:ext cx="2093595" cy="1899285"/>
                          </a:xfrm>
                          <a:prstGeom prst="rect">
                            <a:avLst/>
                          </a:prstGeom>
                          <a:noFill/>
                          <a:ln>
                            <a:noFill/>
                          </a:ln>
                        </pic:spPr>
                      </pic:pic>
                    </a:graphicData>
                  </a:graphic>
                </wp:inline>
              </w:drawing>
            </w:r>
            <w:r>
              <w:rPr>
                <w:highlight w:val="none"/>
                <w:lang w:val="zh-CN"/>
              </w:rPr>
              <w:t xml:space="preserve"> </w:t>
            </w:r>
            <w:r>
              <w:rPr>
                <w:highlight w:val="none"/>
              </w:rPr>
              <w:drawing>
                <wp:inline distT="0" distB="0" distL="114300" distR="114300">
                  <wp:extent cx="2332990" cy="1897380"/>
                  <wp:effectExtent l="0" t="0" r="10160" b="7620"/>
                  <wp:docPr id="73" name="image71.jpeg" descr="DSC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1.jpeg" descr="DSC01936"/>
                          <pic:cNvPicPr>
                            <a:picLocks noChangeAspect="1"/>
                          </pic:cNvPicPr>
                        </pic:nvPicPr>
                        <pic:blipFill>
                          <a:blip r:embed="rId86"/>
                          <a:stretch>
                            <a:fillRect/>
                          </a:stretch>
                        </pic:blipFill>
                        <pic:spPr>
                          <a:xfrm>
                            <a:off x="0" y="0"/>
                            <a:ext cx="2332990" cy="1897380"/>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6F859CBA">
            <w:pPr>
              <w:pStyle w:val="13"/>
              <w:rPr>
                <w:highlight w:val="none"/>
                <w:lang w:val="zh-CN"/>
              </w:rPr>
            </w:pPr>
          </w:p>
        </w:tc>
      </w:tr>
      <w:tr w14:paraId="6DFE7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jc w:val="center"/>
        </w:trPr>
        <w:tc>
          <w:tcPr>
            <w:tcW w:w="765" w:type="dxa"/>
            <w:vMerge w:val="continue"/>
            <w:tcBorders>
              <w:bottom w:val="nil"/>
            </w:tcBorders>
            <w:noWrap w:val="0"/>
            <w:vAlign w:val="center"/>
          </w:tcPr>
          <w:p w14:paraId="5A0C5A14">
            <w:pPr>
              <w:pStyle w:val="13"/>
              <w:rPr>
                <w:highlight w:val="none"/>
                <w:lang w:val="zh-CN"/>
              </w:rPr>
            </w:pPr>
            <w:r>
              <w:rPr>
                <w:highlight w:val="none"/>
                <w:lang w:val="zh-CN"/>
              </w:rPr>
              <w:t>15</w:t>
            </w:r>
          </w:p>
        </w:tc>
        <w:tc>
          <w:tcPr>
            <w:tcW w:w="1080" w:type="dxa"/>
            <w:vMerge w:val="continue"/>
            <w:tcBorders>
              <w:bottom w:val="nil"/>
            </w:tcBorders>
            <w:noWrap w:val="0"/>
            <w:vAlign w:val="center"/>
          </w:tcPr>
          <w:p w14:paraId="6F0D1292">
            <w:pPr>
              <w:pStyle w:val="13"/>
              <w:rPr>
                <w:highlight w:val="none"/>
                <w:lang w:val="zh-CN"/>
              </w:rPr>
            </w:pPr>
            <w:r>
              <w:rPr>
                <w:rFonts w:hint="eastAsia"/>
                <w:highlight w:val="none"/>
                <w:lang w:val="zh-CN"/>
              </w:rPr>
              <w:t>玻璃、镜子、淋浴屏</w:t>
            </w:r>
          </w:p>
        </w:tc>
        <w:tc>
          <w:tcPr>
            <w:tcW w:w="812" w:type="dxa"/>
            <w:tcBorders>
              <w:top w:val="single" w:color="000000" w:sz="8" w:space="0"/>
              <w:left w:val="single" w:color="000000" w:sz="8" w:space="0"/>
              <w:bottom w:val="single" w:color="000000" w:sz="8" w:space="0"/>
              <w:right w:val="single" w:color="auto" w:sz="4" w:space="0"/>
            </w:tcBorders>
            <w:noWrap w:val="0"/>
            <w:vAlign w:val="center"/>
          </w:tcPr>
          <w:p w14:paraId="10ECAE8E">
            <w:pPr>
              <w:pStyle w:val="13"/>
              <w:rPr>
                <w:highlight w:val="none"/>
                <w:lang w:val="zh-CN"/>
              </w:rPr>
            </w:pPr>
            <w:r>
              <w:rPr>
                <w:highlight w:val="none"/>
                <w:lang w:val="zh-CN"/>
              </w:rPr>
              <w:t>安装成品</w:t>
            </w:r>
          </w:p>
        </w:tc>
        <w:tc>
          <w:tcPr>
            <w:tcW w:w="2072" w:type="dxa"/>
            <w:tcBorders>
              <w:top w:val="single" w:color="auto" w:sz="4" w:space="0"/>
              <w:left w:val="single" w:color="auto" w:sz="4" w:space="0"/>
              <w:bottom w:val="single" w:color="auto" w:sz="4" w:space="0"/>
              <w:right w:val="single" w:color="auto" w:sz="4" w:space="0"/>
            </w:tcBorders>
            <w:noWrap w:val="0"/>
            <w:vAlign w:val="center"/>
          </w:tcPr>
          <w:p w14:paraId="56F56118">
            <w:pPr>
              <w:pStyle w:val="13"/>
              <w:rPr>
                <w:highlight w:val="none"/>
                <w:lang w:val="zh-CN"/>
              </w:rPr>
            </w:pPr>
            <w:r>
              <w:rPr>
                <w:highlight w:val="none"/>
                <w:lang w:val="zh-CN"/>
              </w:rPr>
              <w:t>防潮膜包覆保护</w:t>
            </w:r>
          </w:p>
        </w:tc>
        <w:tc>
          <w:tcPr>
            <w:tcW w:w="7186" w:type="dxa"/>
            <w:tcBorders>
              <w:top w:val="nil"/>
              <w:left w:val="single" w:color="auto" w:sz="4" w:space="0"/>
              <w:bottom w:val="single" w:color="000000" w:sz="8" w:space="0"/>
              <w:right w:val="single" w:color="000000" w:sz="8" w:space="0"/>
            </w:tcBorders>
            <w:noWrap w:val="0"/>
            <w:vAlign w:val="center"/>
          </w:tcPr>
          <w:p w14:paraId="31687F88">
            <w:pPr>
              <w:pStyle w:val="13"/>
              <w:rPr>
                <w:highlight w:val="none"/>
                <w:lang w:val="zh-CN"/>
              </w:rPr>
            </w:pPr>
            <w:r>
              <w:rPr>
                <w:highlight w:val="none"/>
              </w:rPr>
              <w:drawing>
                <wp:inline distT="0" distB="0" distL="114300" distR="114300">
                  <wp:extent cx="2112645" cy="1953895"/>
                  <wp:effectExtent l="0" t="0" r="1905" b="8255"/>
                  <wp:docPr id="74"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jpeg"/>
                          <pic:cNvPicPr>
                            <a:picLocks noChangeAspect="1"/>
                          </pic:cNvPicPr>
                        </pic:nvPicPr>
                        <pic:blipFill>
                          <a:blip r:embed="rId87"/>
                          <a:stretch>
                            <a:fillRect/>
                          </a:stretch>
                        </pic:blipFill>
                        <pic:spPr>
                          <a:xfrm>
                            <a:off x="0" y="0"/>
                            <a:ext cx="2112645" cy="1953895"/>
                          </a:xfrm>
                          <a:prstGeom prst="rect">
                            <a:avLst/>
                          </a:prstGeom>
                          <a:noFill/>
                          <a:ln>
                            <a:noFill/>
                          </a:ln>
                        </pic:spPr>
                      </pic:pic>
                    </a:graphicData>
                  </a:graphic>
                </wp:inline>
              </w:drawing>
            </w:r>
            <w:r>
              <w:rPr>
                <w:highlight w:val="none"/>
                <w:lang w:val="zh-CN"/>
              </w:rPr>
              <w:t xml:space="preserve"> </w:t>
            </w:r>
            <w:r>
              <w:rPr>
                <w:highlight w:val="none"/>
              </w:rPr>
              <w:drawing>
                <wp:inline distT="0" distB="0" distL="114300" distR="114300">
                  <wp:extent cx="2314575" cy="1951990"/>
                  <wp:effectExtent l="0" t="0" r="9525" b="10160"/>
                  <wp:docPr id="75" name="image73.jpeg" descr="IMG_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3.jpeg" descr="IMG_2074"/>
                          <pic:cNvPicPr>
                            <a:picLocks noChangeAspect="1"/>
                          </pic:cNvPicPr>
                        </pic:nvPicPr>
                        <pic:blipFill>
                          <a:blip r:embed="rId88"/>
                          <a:stretch>
                            <a:fillRect/>
                          </a:stretch>
                        </pic:blipFill>
                        <pic:spPr>
                          <a:xfrm>
                            <a:off x="0" y="0"/>
                            <a:ext cx="2314575" cy="1951990"/>
                          </a:xfrm>
                          <a:prstGeom prst="rect">
                            <a:avLst/>
                          </a:prstGeom>
                          <a:noFill/>
                          <a:ln>
                            <a:noFill/>
                          </a:ln>
                        </pic:spPr>
                      </pic:pic>
                    </a:graphicData>
                  </a:graphic>
                </wp:inline>
              </w:drawing>
            </w:r>
          </w:p>
        </w:tc>
        <w:tc>
          <w:tcPr>
            <w:tcW w:w="884" w:type="dxa"/>
            <w:tcBorders>
              <w:top w:val="nil"/>
              <w:left w:val="single" w:color="000000" w:sz="8" w:space="0"/>
              <w:bottom w:val="single" w:color="000000" w:sz="8" w:space="0"/>
              <w:right w:val="single" w:color="000000" w:sz="8" w:space="0"/>
            </w:tcBorders>
            <w:noWrap w:val="0"/>
            <w:vAlign w:val="center"/>
          </w:tcPr>
          <w:p w14:paraId="1D59C2D7">
            <w:pPr>
              <w:pStyle w:val="13"/>
              <w:rPr>
                <w:highlight w:val="none"/>
                <w:lang w:val="zh-CN"/>
              </w:rPr>
            </w:pPr>
          </w:p>
        </w:tc>
      </w:tr>
    </w:tbl>
    <w:p w14:paraId="489DCB08">
      <w:pPr>
        <w:spacing w:before="120" w:beforeLines="50" w:after="120" w:afterLines="50"/>
        <w:ind w:left="480" w:leftChars="200" w:firstLine="480"/>
        <w:rPr>
          <w:rFonts w:cs="宋体"/>
          <w:highlight w:val="none"/>
          <w:lang w:bidi="ar"/>
        </w:rPr>
      </w:pPr>
      <w:r>
        <w:rPr>
          <w:rFonts w:hint="eastAsia" w:cs="宋体"/>
          <w:highlight w:val="none"/>
          <w:lang w:bidi="ar"/>
        </w:rPr>
        <w:br w:type="page"/>
      </w:r>
    </w:p>
    <w:p w14:paraId="4130FBA5">
      <w:pPr>
        <w:pStyle w:val="6"/>
        <w:numPr>
          <w:ilvl w:val="3"/>
          <w:numId w:val="0"/>
        </w:numPr>
        <w:ind w:left="864" w:leftChars="100" w:hanging="624"/>
        <w:rPr>
          <w:highlight w:val="none"/>
        </w:rPr>
      </w:pPr>
      <w:r>
        <w:rPr>
          <w:rFonts w:hint="eastAsia"/>
          <w:highlight w:val="none"/>
        </w:rPr>
        <w:t>6.1.2.11园林成品保护标准做法</w:t>
      </w:r>
    </w:p>
    <w:tbl>
      <w:tblPr>
        <w:tblStyle w:val="23"/>
        <w:tblW w:w="1308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2"/>
        <w:gridCol w:w="1363"/>
        <w:gridCol w:w="71"/>
        <w:gridCol w:w="2792"/>
        <w:gridCol w:w="6922"/>
        <w:gridCol w:w="1314"/>
      </w:tblGrid>
      <w:tr w14:paraId="30B9BB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jc w:val="center"/>
        </w:trPr>
        <w:tc>
          <w:tcPr>
            <w:tcW w:w="13084" w:type="dxa"/>
            <w:gridSpan w:val="6"/>
            <w:noWrap w:val="0"/>
            <w:vAlign w:val="center"/>
          </w:tcPr>
          <w:p w14:paraId="1FD9D5F6">
            <w:pPr>
              <w:pStyle w:val="13"/>
              <w:rPr>
                <w:b/>
                <w:bCs/>
                <w:highlight w:val="none"/>
                <w:lang w:val="zh-CN"/>
              </w:rPr>
            </w:pPr>
            <w:r>
              <w:rPr>
                <w:rFonts w:hint="eastAsia"/>
                <w:b/>
                <w:bCs/>
                <w:highlight w:val="none"/>
                <w:lang w:val="zh-CN"/>
              </w:rPr>
              <w:t>园林成品保护标准做法</w:t>
            </w:r>
          </w:p>
        </w:tc>
      </w:tr>
      <w:tr w14:paraId="14D11B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622" w:type="dxa"/>
            <w:noWrap w:val="0"/>
            <w:vAlign w:val="center"/>
          </w:tcPr>
          <w:p w14:paraId="2257B00E">
            <w:pPr>
              <w:pStyle w:val="13"/>
              <w:rPr>
                <w:b/>
                <w:bCs/>
                <w:highlight w:val="none"/>
                <w:lang w:val="zh-CN"/>
              </w:rPr>
            </w:pPr>
            <w:r>
              <w:rPr>
                <w:rFonts w:hint="eastAsia"/>
                <w:b/>
                <w:bCs/>
                <w:highlight w:val="none"/>
                <w:lang w:val="zh-CN"/>
              </w:rPr>
              <w:t>序号</w:t>
            </w:r>
          </w:p>
        </w:tc>
        <w:tc>
          <w:tcPr>
            <w:tcW w:w="1363" w:type="dxa"/>
            <w:noWrap w:val="0"/>
            <w:vAlign w:val="center"/>
          </w:tcPr>
          <w:p w14:paraId="20246221">
            <w:pPr>
              <w:pStyle w:val="13"/>
              <w:rPr>
                <w:b/>
                <w:bCs/>
                <w:highlight w:val="none"/>
                <w:lang w:val="zh-CN"/>
              </w:rPr>
            </w:pPr>
            <w:r>
              <w:rPr>
                <w:rFonts w:hint="eastAsia"/>
                <w:b/>
                <w:bCs/>
                <w:highlight w:val="none"/>
                <w:lang w:val="zh-CN"/>
              </w:rPr>
              <w:t>保护内容</w:t>
            </w:r>
          </w:p>
        </w:tc>
        <w:tc>
          <w:tcPr>
            <w:tcW w:w="2863" w:type="dxa"/>
            <w:gridSpan w:val="2"/>
            <w:noWrap w:val="0"/>
            <w:vAlign w:val="center"/>
          </w:tcPr>
          <w:p w14:paraId="4FEC6175">
            <w:pPr>
              <w:pStyle w:val="13"/>
              <w:rPr>
                <w:b/>
                <w:bCs/>
                <w:highlight w:val="none"/>
                <w:lang w:val="zh-CN"/>
              </w:rPr>
            </w:pPr>
            <w:r>
              <w:rPr>
                <w:rFonts w:hint="eastAsia"/>
                <w:b/>
                <w:bCs/>
                <w:highlight w:val="none"/>
                <w:lang w:val="zh-CN"/>
              </w:rPr>
              <w:t>保护要求标准</w:t>
            </w:r>
          </w:p>
        </w:tc>
        <w:tc>
          <w:tcPr>
            <w:tcW w:w="6922" w:type="dxa"/>
            <w:noWrap w:val="0"/>
            <w:vAlign w:val="center"/>
          </w:tcPr>
          <w:p w14:paraId="3CF13789">
            <w:pPr>
              <w:pStyle w:val="13"/>
              <w:rPr>
                <w:b/>
                <w:bCs/>
                <w:highlight w:val="none"/>
                <w:lang w:val="zh-CN"/>
              </w:rPr>
            </w:pPr>
            <w:r>
              <w:rPr>
                <w:rFonts w:hint="eastAsia"/>
                <w:b/>
                <w:bCs/>
                <w:highlight w:val="none"/>
                <w:lang w:val="zh-CN"/>
              </w:rPr>
              <w:t>图示</w:t>
            </w:r>
          </w:p>
        </w:tc>
        <w:tc>
          <w:tcPr>
            <w:tcW w:w="1314" w:type="dxa"/>
            <w:noWrap w:val="0"/>
            <w:vAlign w:val="center"/>
          </w:tcPr>
          <w:p w14:paraId="15D08F6D">
            <w:pPr>
              <w:pStyle w:val="13"/>
              <w:rPr>
                <w:b/>
                <w:bCs/>
                <w:highlight w:val="none"/>
                <w:lang w:val="zh-CN"/>
              </w:rPr>
            </w:pPr>
            <w:r>
              <w:rPr>
                <w:rFonts w:hint="eastAsia"/>
                <w:b/>
                <w:bCs/>
                <w:highlight w:val="none"/>
                <w:lang w:val="zh-CN"/>
              </w:rPr>
              <w:t>备注</w:t>
            </w:r>
          </w:p>
        </w:tc>
      </w:tr>
      <w:tr w14:paraId="41C991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5" w:hRule="atLeast"/>
          <w:jc w:val="center"/>
        </w:trPr>
        <w:tc>
          <w:tcPr>
            <w:tcW w:w="622" w:type="dxa"/>
            <w:vMerge w:val="restart"/>
            <w:noWrap w:val="0"/>
            <w:vAlign w:val="center"/>
          </w:tcPr>
          <w:p w14:paraId="18173BA6">
            <w:pPr>
              <w:pStyle w:val="13"/>
              <w:rPr>
                <w:highlight w:val="none"/>
                <w:lang w:val="zh-CN"/>
              </w:rPr>
            </w:pPr>
            <w:r>
              <w:rPr>
                <w:rFonts w:hint="eastAsia"/>
                <w:highlight w:val="none"/>
                <w:lang w:val="zh-CN"/>
              </w:rPr>
              <w:t>1</w:t>
            </w:r>
          </w:p>
        </w:tc>
        <w:tc>
          <w:tcPr>
            <w:tcW w:w="1363" w:type="dxa"/>
            <w:vMerge w:val="restart"/>
            <w:noWrap w:val="0"/>
            <w:vAlign w:val="center"/>
          </w:tcPr>
          <w:p w14:paraId="41BA46C3">
            <w:pPr>
              <w:pStyle w:val="13"/>
              <w:rPr>
                <w:highlight w:val="none"/>
                <w:lang w:val="zh-CN"/>
              </w:rPr>
            </w:pPr>
            <w:r>
              <w:rPr>
                <w:highlight w:val="none"/>
                <w:lang w:val="zh-CN"/>
              </w:rPr>
              <w:t>石材工厂包装</w:t>
            </w:r>
          </w:p>
        </w:tc>
        <w:tc>
          <w:tcPr>
            <w:tcW w:w="2863" w:type="dxa"/>
            <w:gridSpan w:val="2"/>
            <w:noWrap w:val="0"/>
            <w:vAlign w:val="center"/>
          </w:tcPr>
          <w:p w14:paraId="26EAE580">
            <w:pPr>
              <w:pStyle w:val="13"/>
              <w:rPr>
                <w:highlight w:val="none"/>
                <w:lang w:val="zh-CN"/>
              </w:rPr>
            </w:pPr>
            <w:r>
              <w:rPr>
                <w:highlight w:val="none"/>
                <w:lang w:val="zh-CN"/>
              </w:rPr>
              <w:t>石材须作四边封边保护，保证同一箱内装同一区域石 材，以方便拆御与安装；异形或较复杂的铺装，除对每箱标识外，还应对每块石材进行编号标识。</w:t>
            </w:r>
          </w:p>
        </w:tc>
        <w:tc>
          <w:tcPr>
            <w:tcW w:w="6922" w:type="dxa"/>
            <w:noWrap w:val="0"/>
            <w:vAlign w:val="center"/>
          </w:tcPr>
          <w:p w14:paraId="66BBB907">
            <w:pPr>
              <w:pStyle w:val="13"/>
              <w:rPr>
                <w:highlight w:val="none"/>
                <w:lang w:val="zh-CN"/>
              </w:rPr>
            </w:pPr>
          </w:p>
          <w:p w14:paraId="7A2ABB15">
            <w:pPr>
              <w:pStyle w:val="13"/>
              <w:rPr>
                <w:highlight w:val="none"/>
                <w:lang w:val="zh-CN"/>
              </w:rPr>
            </w:pPr>
            <w:r>
              <w:rPr>
                <w:highlight w:val="none"/>
              </w:rPr>
              <w:drawing>
                <wp:inline distT="0" distB="0" distL="114300" distR="114300">
                  <wp:extent cx="3081020" cy="2064385"/>
                  <wp:effectExtent l="0" t="0" r="5080" b="12065"/>
                  <wp:docPr id="7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4.jpeg"/>
                          <pic:cNvPicPr>
                            <a:picLocks noChangeAspect="1"/>
                          </pic:cNvPicPr>
                        </pic:nvPicPr>
                        <pic:blipFill>
                          <a:blip r:embed="rId89"/>
                          <a:stretch>
                            <a:fillRect/>
                          </a:stretch>
                        </pic:blipFill>
                        <pic:spPr>
                          <a:xfrm>
                            <a:off x="0" y="0"/>
                            <a:ext cx="3081020" cy="2064385"/>
                          </a:xfrm>
                          <a:prstGeom prst="rect">
                            <a:avLst/>
                          </a:prstGeom>
                          <a:noFill/>
                          <a:ln>
                            <a:noFill/>
                          </a:ln>
                        </pic:spPr>
                      </pic:pic>
                    </a:graphicData>
                  </a:graphic>
                </wp:inline>
              </w:drawing>
            </w:r>
          </w:p>
        </w:tc>
        <w:tc>
          <w:tcPr>
            <w:tcW w:w="1314" w:type="dxa"/>
            <w:noWrap w:val="0"/>
            <w:vAlign w:val="center"/>
          </w:tcPr>
          <w:p w14:paraId="276CB2B1">
            <w:pPr>
              <w:pStyle w:val="13"/>
              <w:rPr>
                <w:highlight w:val="none"/>
                <w:lang w:val="zh-CN"/>
              </w:rPr>
            </w:pPr>
            <w:r>
              <w:rPr>
                <w:highlight w:val="none"/>
                <w:lang w:val="zh-CN"/>
              </w:rPr>
              <w:t>用木板四边包封</w:t>
            </w:r>
          </w:p>
        </w:tc>
      </w:tr>
      <w:tr w14:paraId="1C4F6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8" w:hRule="atLeast"/>
          <w:jc w:val="center"/>
        </w:trPr>
        <w:tc>
          <w:tcPr>
            <w:tcW w:w="622" w:type="dxa"/>
            <w:vMerge w:val="continue"/>
            <w:tcBorders>
              <w:top w:val="nil"/>
            </w:tcBorders>
            <w:noWrap w:val="0"/>
            <w:vAlign w:val="center"/>
          </w:tcPr>
          <w:p w14:paraId="09BB181B">
            <w:pPr>
              <w:pStyle w:val="13"/>
              <w:rPr>
                <w:highlight w:val="none"/>
                <w:lang w:val="zh-CN"/>
              </w:rPr>
            </w:pPr>
          </w:p>
        </w:tc>
        <w:tc>
          <w:tcPr>
            <w:tcW w:w="1363" w:type="dxa"/>
            <w:vMerge w:val="continue"/>
            <w:tcBorders>
              <w:top w:val="nil"/>
            </w:tcBorders>
            <w:noWrap w:val="0"/>
            <w:vAlign w:val="center"/>
          </w:tcPr>
          <w:p w14:paraId="2A7C5EA9">
            <w:pPr>
              <w:pStyle w:val="13"/>
              <w:rPr>
                <w:highlight w:val="none"/>
                <w:lang w:val="zh-CN"/>
              </w:rPr>
            </w:pPr>
          </w:p>
        </w:tc>
        <w:tc>
          <w:tcPr>
            <w:tcW w:w="2863" w:type="dxa"/>
            <w:gridSpan w:val="2"/>
            <w:noWrap w:val="0"/>
            <w:vAlign w:val="center"/>
          </w:tcPr>
          <w:p w14:paraId="734C7CF2">
            <w:pPr>
              <w:pStyle w:val="13"/>
              <w:rPr>
                <w:highlight w:val="none"/>
                <w:lang w:val="zh-CN"/>
              </w:rPr>
            </w:pPr>
            <w:r>
              <w:rPr>
                <w:highlight w:val="none"/>
                <w:lang w:val="zh-CN"/>
              </w:rPr>
              <w:t>石材装箱时应光面对光面， 中间须用橡皮胶垫隔开，并用纸板护角包裹四角防止崩角，并在木箱的底部衬垫不小于 2mm 厚橡胶垫，防止石材边直接与木材接触发生崩边</w:t>
            </w:r>
          </w:p>
        </w:tc>
        <w:tc>
          <w:tcPr>
            <w:tcW w:w="6922" w:type="dxa"/>
            <w:noWrap w:val="0"/>
            <w:vAlign w:val="center"/>
          </w:tcPr>
          <w:p w14:paraId="4F9A4686">
            <w:pPr>
              <w:pStyle w:val="13"/>
              <w:rPr>
                <w:highlight w:val="none"/>
                <w:lang w:val="zh-CN"/>
              </w:rPr>
            </w:pPr>
          </w:p>
          <w:p w14:paraId="472DDB40">
            <w:pPr>
              <w:pStyle w:val="13"/>
              <w:rPr>
                <w:highlight w:val="none"/>
                <w:lang w:val="zh-CN"/>
              </w:rPr>
            </w:pPr>
            <w:r>
              <w:rPr>
                <w:highlight w:val="none"/>
              </w:rPr>
              <w:drawing>
                <wp:inline distT="0" distB="0" distL="114300" distR="114300">
                  <wp:extent cx="3007995" cy="2039620"/>
                  <wp:effectExtent l="0" t="0" r="1905" b="17780"/>
                  <wp:docPr id="7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5.jpeg"/>
                          <pic:cNvPicPr>
                            <a:picLocks noChangeAspect="1"/>
                          </pic:cNvPicPr>
                        </pic:nvPicPr>
                        <pic:blipFill>
                          <a:blip r:embed="rId90"/>
                          <a:stretch>
                            <a:fillRect/>
                          </a:stretch>
                        </pic:blipFill>
                        <pic:spPr>
                          <a:xfrm>
                            <a:off x="0" y="0"/>
                            <a:ext cx="3007995" cy="2039620"/>
                          </a:xfrm>
                          <a:prstGeom prst="rect">
                            <a:avLst/>
                          </a:prstGeom>
                          <a:noFill/>
                          <a:ln>
                            <a:noFill/>
                          </a:ln>
                        </pic:spPr>
                      </pic:pic>
                    </a:graphicData>
                  </a:graphic>
                </wp:inline>
              </w:drawing>
            </w:r>
          </w:p>
        </w:tc>
        <w:tc>
          <w:tcPr>
            <w:tcW w:w="1314" w:type="dxa"/>
            <w:noWrap w:val="0"/>
            <w:vAlign w:val="center"/>
          </w:tcPr>
          <w:p w14:paraId="565BCD31">
            <w:pPr>
              <w:pStyle w:val="13"/>
              <w:rPr>
                <w:highlight w:val="none"/>
                <w:lang w:val="zh-CN"/>
              </w:rPr>
            </w:pPr>
            <w:r>
              <w:rPr>
                <w:highlight w:val="none"/>
                <w:lang w:val="zh-CN"/>
              </w:rPr>
              <w:t>装箱前的护角包裹</w:t>
            </w:r>
          </w:p>
        </w:tc>
      </w:tr>
      <w:tr w14:paraId="796AF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5" w:hRule="atLeast"/>
          <w:jc w:val="center"/>
        </w:trPr>
        <w:tc>
          <w:tcPr>
            <w:tcW w:w="622" w:type="dxa"/>
            <w:vMerge w:val="continue"/>
            <w:tcBorders>
              <w:top w:val="nil"/>
            </w:tcBorders>
            <w:noWrap w:val="0"/>
            <w:vAlign w:val="center"/>
          </w:tcPr>
          <w:p w14:paraId="7256647E">
            <w:pPr>
              <w:pStyle w:val="13"/>
              <w:rPr>
                <w:highlight w:val="none"/>
                <w:lang w:val="zh-CN"/>
              </w:rPr>
            </w:pPr>
          </w:p>
        </w:tc>
        <w:tc>
          <w:tcPr>
            <w:tcW w:w="1363" w:type="dxa"/>
            <w:vMerge w:val="continue"/>
            <w:tcBorders>
              <w:top w:val="nil"/>
            </w:tcBorders>
            <w:noWrap w:val="0"/>
            <w:vAlign w:val="center"/>
          </w:tcPr>
          <w:p w14:paraId="2571861B">
            <w:pPr>
              <w:pStyle w:val="13"/>
              <w:rPr>
                <w:highlight w:val="none"/>
                <w:lang w:val="zh-CN"/>
              </w:rPr>
            </w:pPr>
          </w:p>
        </w:tc>
        <w:tc>
          <w:tcPr>
            <w:tcW w:w="2863" w:type="dxa"/>
            <w:gridSpan w:val="2"/>
            <w:noWrap w:val="0"/>
            <w:vAlign w:val="center"/>
          </w:tcPr>
          <w:p w14:paraId="06830DD4">
            <w:pPr>
              <w:pStyle w:val="13"/>
              <w:rPr>
                <w:highlight w:val="none"/>
                <w:lang w:val="zh-CN"/>
              </w:rPr>
            </w:pPr>
            <w:r>
              <w:rPr>
                <w:highlight w:val="none"/>
                <w:lang w:val="zh-CN"/>
              </w:rPr>
              <w:t>石凳、异形压项、雕塑等须单个用木架固定，防止运输过程中碰撞破损；大型花钵</w:t>
            </w:r>
          </w:p>
          <w:p w14:paraId="3FEAA2C6">
            <w:pPr>
              <w:pStyle w:val="13"/>
              <w:rPr>
                <w:highlight w:val="none"/>
                <w:lang w:val="zh-CN"/>
              </w:rPr>
            </w:pPr>
            <w:r>
              <w:rPr>
                <w:highlight w:val="none"/>
                <w:lang w:val="zh-CN"/>
              </w:rPr>
              <w:t>、雕塑等必须用钢架焊接作固定保护</w:t>
            </w:r>
          </w:p>
        </w:tc>
        <w:tc>
          <w:tcPr>
            <w:tcW w:w="6922" w:type="dxa"/>
            <w:noWrap w:val="0"/>
            <w:vAlign w:val="center"/>
          </w:tcPr>
          <w:p w14:paraId="70CF3D01">
            <w:pPr>
              <w:pStyle w:val="13"/>
              <w:rPr>
                <w:highlight w:val="none"/>
                <w:lang w:val="zh-CN"/>
              </w:rPr>
            </w:pPr>
          </w:p>
          <w:p w14:paraId="5303AF65">
            <w:pPr>
              <w:pStyle w:val="13"/>
              <w:rPr>
                <w:highlight w:val="none"/>
                <w:lang w:val="zh-CN"/>
              </w:rPr>
            </w:pPr>
            <w:r>
              <w:rPr>
                <w:highlight w:val="none"/>
              </w:rPr>
              <w:drawing>
                <wp:inline distT="0" distB="0" distL="114300" distR="114300">
                  <wp:extent cx="4443095" cy="1852930"/>
                  <wp:effectExtent l="0" t="0" r="14605" b="13970"/>
                  <wp:docPr id="78"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6.jpeg"/>
                          <pic:cNvPicPr>
                            <a:picLocks noChangeAspect="1"/>
                          </pic:cNvPicPr>
                        </pic:nvPicPr>
                        <pic:blipFill>
                          <a:blip r:embed="rId91"/>
                          <a:stretch>
                            <a:fillRect/>
                          </a:stretch>
                        </pic:blipFill>
                        <pic:spPr>
                          <a:xfrm>
                            <a:off x="0" y="0"/>
                            <a:ext cx="4443095" cy="1852930"/>
                          </a:xfrm>
                          <a:prstGeom prst="rect">
                            <a:avLst/>
                          </a:prstGeom>
                          <a:noFill/>
                          <a:ln>
                            <a:noFill/>
                          </a:ln>
                        </pic:spPr>
                      </pic:pic>
                    </a:graphicData>
                  </a:graphic>
                </wp:inline>
              </w:drawing>
            </w:r>
          </w:p>
        </w:tc>
        <w:tc>
          <w:tcPr>
            <w:tcW w:w="1314" w:type="dxa"/>
            <w:noWrap w:val="0"/>
            <w:vAlign w:val="center"/>
          </w:tcPr>
          <w:p w14:paraId="2FC35C42">
            <w:pPr>
              <w:pStyle w:val="13"/>
              <w:rPr>
                <w:highlight w:val="none"/>
                <w:lang w:val="zh-CN"/>
              </w:rPr>
            </w:pPr>
            <w:r>
              <w:rPr>
                <w:highlight w:val="none"/>
                <w:lang w:val="zh-CN"/>
              </w:rPr>
              <w:t>木架保护</w:t>
            </w:r>
          </w:p>
        </w:tc>
      </w:tr>
      <w:tr w14:paraId="34BAB8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3" w:hRule="atLeast"/>
          <w:jc w:val="center"/>
        </w:trPr>
        <w:tc>
          <w:tcPr>
            <w:tcW w:w="622" w:type="dxa"/>
            <w:noWrap w:val="0"/>
            <w:vAlign w:val="center"/>
          </w:tcPr>
          <w:p w14:paraId="528D8A7F">
            <w:pPr>
              <w:pStyle w:val="13"/>
              <w:rPr>
                <w:highlight w:val="none"/>
                <w:lang w:val="zh-CN"/>
              </w:rPr>
            </w:pPr>
            <w:r>
              <w:rPr>
                <w:highlight w:val="none"/>
                <w:lang w:val="zh-CN"/>
              </w:rPr>
              <w:t>2</w:t>
            </w:r>
          </w:p>
        </w:tc>
        <w:tc>
          <w:tcPr>
            <w:tcW w:w="1363" w:type="dxa"/>
            <w:noWrap w:val="0"/>
            <w:vAlign w:val="center"/>
          </w:tcPr>
          <w:p w14:paraId="53819ED7">
            <w:pPr>
              <w:pStyle w:val="13"/>
              <w:rPr>
                <w:highlight w:val="none"/>
                <w:lang w:val="zh-CN"/>
              </w:rPr>
            </w:pPr>
            <w:r>
              <w:rPr>
                <w:highlight w:val="none"/>
                <w:lang w:val="zh-CN"/>
              </w:rPr>
              <w:t>石材搬运、装缷</w:t>
            </w:r>
          </w:p>
        </w:tc>
        <w:tc>
          <w:tcPr>
            <w:tcW w:w="2863" w:type="dxa"/>
            <w:gridSpan w:val="2"/>
            <w:noWrap w:val="0"/>
            <w:vAlign w:val="center"/>
          </w:tcPr>
          <w:p w14:paraId="28325920">
            <w:pPr>
              <w:pStyle w:val="13"/>
              <w:rPr>
                <w:highlight w:val="none"/>
                <w:lang w:val="zh-CN"/>
              </w:rPr>
            </w:pPr>
            <w:r>
              <w:rPr>
                <w:highlight w:val="none"/>
                <w:lang w:val="zh-CN"/>
              </w:rPr>
              <w:t>石材装、卸车时应采用叉、吊车等专业机械，避免搬运过程受力不均造成板材的挤压损坏，装车时排放须整齐</w:t>
            </w:r>
          </w:p>
        </w:tc>
        <w:tc>
          <w:tcPr>
            <w:tcW w:w="6922" w:type="dxa"/>
            <w:noWrap w:val="0"/>
            <w:vAlign w:val="center"/>
          </w:tcPr>
          <w:p w14:paraId="36B8009F">
            <w:pPr>
              <w:pStyle w:val="13"/>
              <w:rPr>
                <w:highlight w:val="none"/>
                <w:lang w:val="zh-CN"/>
              </w:rPr>
            </w:pPr>
          </w:p>
          <w:p w14:paraId="39D26058">
            <w:pPr>
              <w:pStyle w:val="13"/>
              <w:rPr>
                <w:highlight w:val="none"/>
                <w:lang w:val="zh-CN"/>
              </w:rPr>
            </w:pPr>
            <w:r>
              <w:rPr>
                <w:highlight w:val="none"/>
              </w:rPr>
              <w:drawing>
                <wp:inline distT="0" distB="0" distL="114300" distR="114300">
                  <wp:extent cx="2929890" cy="2000885"/>
                  <wp:effectExtent l="0" t="0" r="3810" b="18415"/>
                  <wp:docPr id="7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8.jpeg"/>
                          <pic:cNvPicPr>
                            <a:picLocks noChangeAspect="1"/>
                          </pic:cNvPicPr>
                        </pic:nvPicPr>
                        <pic:blipFill>
                          <a:blip r:embed="rId92"/>
                          <a:stretch>
                            <a:fillRect/>
                          </a:stretch>
                        </pic:blipFill>
                        <pic:spPr>
                          <a:xfrm>
                            <a:off x="0" y="0"/>
                            <a:ext cx="2929890" cy="2000885"/>
                          </a:xfrm>
                          <a:prstGeom prst="rect">
                            <a:avLst/>
                          </a:prstGeom>
                          <a:noFill/>
                          <a:ln>
                            <a:noFill/>
                          </a:ln>
                        </pic:spPr>
                      </pic:pic>
                    </a:graphicData>
                  </a:graphic>
                </wp:inline>
              </w:drawing>
            </w:r>
          </w:p>
        </w:tc>
        <w:tc>
          <w:tcPr>
            <w:tcW w:w="1314" w:type="dxa"/>
            <w:noWrap w:val="0"/>
            <w:vAlign w:val="center"/>
          </w:tcPr>
          <w:p w14:paraId="2BC74987">
            <w:pPr>
              <w:pStyle w:val="13"/>
              <w:rPr>
                <w:highlight w:val="none"/>
                <w:lang w:val="zh-CN"/>
              </w:rPr>
            </w:pPr>
            <w:r>
              <w:rPr>
                <w:highlight w:val="none"/>
                <w:lang w:val="zh-CN"/>
              </w:rPr>
              <w:t>石材运输及装卸</w:t>
            </w:r>
          </w:p>
        </w:tc>
      </w:tr>
      <w:tr w14:paraId="2E72AB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5" w:hRule="atLeast"/>
          <w:jc w:val="center"/>
        </w:trPr>
        <w:tc>
          <w:tcPr>
            <w:tcW w:w="622" w:type="dxa"/>
            <w:vMerge w:val="restart"/>
            <w:noWrap w:val="0"/>
            <w:vAlign w:val="center"/>
          </w:tcPr>
          <w:p w14:paraId="18D5F676">
            <w:pPr>
              <w:pStyle w:val="13"/>
              <w:rPr>
                <w:highlight w:val="none"/>
                <w:lang w:val="zh-CN"/>
              </w:rPr>
            </w:pPr>
            <w:r>
              <w:rPr>
                <w:highlight w:val="none"/>
                <w:lang w:val="zh-CN"/>
              </w:rPr>
              <w:t>3</w:t>
            </w:r>
          </w:p>
        </w:tc>
        <w:tc>
          <w:tcPr>
            <w:tcW w:w="1434" w:type="dxa"/>
            <w:gridSpan w:val="2"/>
            <w:vMerge w:val="restart"/>
            <w:noWrap w:val="0"/>
            <w:vAlign w:val="center"/>
          </w:tcPr>
          <w:p w14:paraId="5B6AE9CC">
            <w:pPr>
              <w:pStyle w:val="13"/>
              <w:rPr>
                <w:highlight w:val="none"/>
                <w:lang w:val="zh-CN"/>
              </w:rPr>
            </w:pPr>
            <w:r>
              <w:rPr>
                <w:highlight w:val="none"/>
                <w:lang w:val="zh-CN"/>
              </w:rPr>
              <w:t>石材进场及堆放</w:t>
            </w:r>
          </w:p>
        </w:tc>
        <w:tc>
          <w:tcPr>
            <w:tcW w:w="2792" w:type="dxa"/>
            <w:vMerge w:val="restart"/>
            <w:noWrap w:val="0"/>
            <w:vAlign w:val="center"/>
          </w:tcPr>
          <w:p w14:paraId="275E0951">
            <w:pPr>
              <w:pStyle w:val="13"/>
              <w:rPr>
                <w:highlight w:val="none"/>
                <w:lang w:val="zh-CN"/>
              </w:rPr>
            </w:pPr>
            <w:r>
              <w:rPr>
                <w:highlight w:val="none"/>
                <w:lang w:val="zh-CN"/>
              </w:rPr>
              <w:t>石材进场后堆放不得与地面直接接触，需用木方垫起或在底部 衬垫橡胶垫（薄毯），且须排放整齐</w:t>
            </w:r>
          </w:p>
        </w:tc>
        <w:tc>
          <w:tcPr>
            <w:tcW w:w="6922" w:type="dxa"/>
            <w:noWrap w:val="0"/>
            <w:vAlign w:val="center"/>
          </w:tcPr>
          <w:p w14:paraId="53375C11">
            <w:pPr>
              <w:pStyle w:val="13"/>
              <w:rPr>
                <w:highlight w:val="none"/>
                <w:lang w:val="zh-CN"/>
              </w:rPr>
            </w:pPr>
          </w:p>
          <w:p w14:paraId="1606F4A9">
            <w:pPr>
              <w:pStyle w:val="13"/>
              <w:rPr>
                <w:highlight w:val="none"/>
                <w:lang w:val="zh-CN"/>
              </w:rPr>
            </w:pPr>
            <w:r>
              <w:rPr>
                <w:highlight w:val="none"/>
              </w:rPr>
              <w:drawing>
                <wp:inline distT="0" distB="0" distL="114300" distR="114300">
                  <wp:extent cx="4566285" cy="1817370"/>
                  <wp:effectExtent l="0" t="0" r="5715" b="11430"/>
                  <wp:docPr id="80"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9.jpeg"/>
                          <pic:cNvPicPr>
                            <a:picLocks noChangeAspect="1"/>
                          </pic:cNvPicPr>
                        </pic:nvPicPr>
                        <pic:blipFill>
                          <a:blip r:embed="rId93"/>
                          <a:stretch>
                            <a:fillRect/>
                          </a:stretch>
                        </pic:blipFill>
                        <pic:spPr>
                          <a:xfrm>
                            <a:off x="0" y="0"/>
                            <a:ext cx="4566285" cy="1817370"/>
                          </a:xfrm>
                          <a:prstGeom prst="rect">
                            <a:avLst/>
                          </a:prstGeom>
                          <a:noFill/>
                          <a:ln>
                            <a:noFill/>
                          </a:ln>
                        </pic:spPr>
                      </pic:pic>
                    </a:graphicData>
                  </a:graphic>
                </wp:inline>
              </w:drawing>
            </w:r>
          </w:p>
        </w:tc>
        <w:tc>
          <w:tcPr>
            <w:tcW w:w="1314" w:type="dxa"/>
            <w:noWrap w:val="0"/>
            <w:vAlign w:val="center"/>
          </w:tcPr>
          <w:p w14:paraId="4BA6D8C8">
            <w:pPr>
              <w:pStyle w:val="13"/>
              <w:rPr>
                <w:highlight w:val="none"/>
                <w:lang w:val="zh-CN"/>
              </w:rPr>
            </w:pPr>
            <w:r>
              <w:rPr>
                <w:highlight w:val="none"/>
                <w:lang w:val="zh-CN"/>
              </w:rPr>
              <w:t>大板材成品保护措施</w:t>
            </w:r>
          </w:p>
        </w:tc>
      </w:tr>
      <w:tr w14:paraId="145444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3" w:hRule="atLeast"/>
          <w:jc w:val="center"/>
        </w:trPr>
        <w:tc>
          <w:tcPr>
            <w:tcW w:w="622" w:type="dxa"/>
            <w:vMerge w:val="continue"/>
            <w:tcBorders>
              <w:top w:val="nil"/>
            </w:tcBorders>
            <w:noWrap w:val="0"/>
            <w:vAlign w:val="center"/>
          </w:tcPr>
          <w:p w14:paraId="044F814E">
            <w:pPr>
              <w:pStyle w:val="13"/>
              <w:rPr>
                <w:highlight w:val="none"/>
                <w:lang w:val="zh-CN"/>
              </w:rPr>
            </w:pPr>
          </w:p>
        </w:tc>
        <w:tc>
          <w:tcPr>
            <w:tcW w:w="1434" w:type="dxa"/>
            <w:gridSpan w:val="2"/>
            <w:vMerge w:val="continue"/>
            <w:tcBorders>
              <w:top w:val="nil"/>
            </w:tcBorders>
            <w:noWrap w:val="0"/>
            <w:vAlign w:val="center"/>
          </w:tcPr>
          <w:p w14:paraId="31725408">
            <w:pPr>
              <w:pStyle w:val="13"/>
              <w:rPr>
                <w:highlight w:val="none"/>
                <w:lang w:val="zh-CN"/>
              </w:rPr>
            </w:pPr>
          </w:p>
        </w:tc>
        <w:tc>
          <w:tcPr>
            <w:tcW w:w="2792" w:type="dxa"/>
            <w:vMerge w:val="continue"/>
            <w:tcBorders>
              <w:top w:val="nil"/>
            </w:tcBorders>
            <w:noWrap w:val="0"/>
            <w:vAlign w:val="center"/>
          </w:tcPr>
          <w:p w14:paraId="36C64D2F">
            <w:pPr>
              <w:pStyle w:val="13"/>
              <w:rPr>
                <w:highlight w:val="none"/>
                <w:lang w:val="zh-CN"/>
              </w:rPr>
            </w:pPr>
          </w:p>
        </w:tc>
        <w:tc>
          <w:tcPr>
            <w:tcW w:w="6922" w:type="dxa"/>
            <w:noWrap w:val="0"/>
            <w:vAlign w:val="center"/>
          </w:tcPr>
          <w:p w14:paraId="7F721E67">
            <w:pPr>
              <w:pStyle w:val="13"/>
              <w:rPr>
                <w:highlight w:val="none"/>
                <w:lang w:val="zh-CN"/>
              </w:rPr>
            </w:pPr>
          </w:p>
          <w:p w14:paraId="0F04C101">
            <w:pPr>
              <w:pStyle w:val="13"/>
              <w:rPr>
                <w:highlight w:val="none"/>
                <w:lang w:val="zh-CN"/>
              </w:rPr>
            </w:pPr>
            <w:r>
              <w:rPr>
                <w:highlight w:val="none"/>
              </w:rPr>
              <w:drawing>
                <wp:inline distT="0" distB="0" distL="114300" distR="114300">
                  <wp:extent cx="4558665" cy="1733550"/>
                  <wp:effectExtent l="0" t="0" r="13335" b="0"/>
                  <wp:docPr id="8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0.jpeg"/>
                          <pic:cNvPicPr>
                            <a:picLocks noChangeAspect="1"/>
                          </pic:cNvPicPr>
                        </pic:nvPicPr>
                        <pic:blipFill>
                          <a:blip r:embed="rId94"/>
                          <a:stretch>
                            <a:fillRect/>
                          </a:stretch>
                        </pic:blipFill>
                        <pic:spPr>
                          <a:xfrm>
                            <a:off x="0" y="0"/>
                            <a:ext cx="4558665" cy="1733550"/>
                          </a:xfrm>
                          <a:prstGeom prst="rect">
                            <a:avLst/>
                          </a:prstGeom>
                          <a:noFill/>
                          <a:ln>
                            <a:noFill/>
                          </a:ln>
                        </pic:spPr>
                      </pic:pic>
                    </a:graphicData>
                  </a:graphic>
                </wp:inline>
              </w:drawing>
            </w:r>
          </w:p>
        </w:tc>
        <w:tc>
          <w:tcPr>
            <w:tcW w:w="1314" w:type="dxa"/>
            <w:noWrap w:val="0"/>
            <w:vAlign w:val="center"/>
          </w:tcPr>
          <w:p w14:paraId="1E501A26">
            <w:pPr>
              <w:pStyle w:val="13"/>
              <w:rPr>
                <w:highlight w:val="none"/>
                <w:lang w:val="zh-CN"/>
              </w:rPr>
            </w:pPr>
          </w:p>
          <w:p w14:paraId="7F982029">
            <w:pPr>
              <w:pStyle w:val="13"/>
              <w:rPr>
                <w:highlight w:val="none"/>
                <w:lang w:val="zh-CN"/>
              </w:rPr>
            </w:pPr>
          </w:p>
          <w:p w14:paraId="5932B9D7">
            <w:pPr>
              <w:pStyle w:val="13"/>
              <w:rPr>
                <w:highlight w:val="none"/>
                <w:lang w:val="zh-CN"/>
              </w:rPr>
            </w:pPr>
          </w:p>
          <w:p w14:paraId="74CAFF19">
            <w:pPr>
              <w:pStyle w:val="13"/>
              <w:rPr>
                <w:highlight w:val="none"/>
                <w:lang w:val="zh-CN"/>
              </w:rPr>
            </w:pPr>
            <w:r>
              <w:rPr>
                <w:highlight w:val="none"/>
                <w:lang w:val="zh-CN"/>
              </w:rPr>
              <w:t>小板材成品保护措施</w:t>
            </w:r>
          </w:p>
        </w:tc>
      </w:tr>
      <w:tr w14:paraId="1C8CA9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9" w:hRule="atLeast"/>
          <w:jc w:val="center"/>
        </w:trPr>
        <w:tc>
          <w:tcPr>
            <w:tcW w:w="622" w:type="dxa"/>
            <w:noWrap w:val="0"/>
            <w:vAlign w:val="center"/>
          </w:tcPr>
          <w:p w14:paraId="0DE81C94">
            <w:pPr>
              <w:pStyle w:val="13"/>
              <w:rPr>
                <w:highlight w:val="none"/>
                <w:lang w:val="zh-CN"/>
              </w:rPr>
            </w:pPr>
            <w:r>
              <w:rPr>
                <w:highlight w:val="none"/>
                <w:lang w:val="zh-CN"/>
              </w:rPr>
              <w:t>4</w:t>
            </w:r>
          </w:p>
        </w:tc>
        <w:tc>
          <w:tcPr>
            <w:tcW w:w="1434" w:type="dxa"/>
            <w:gridSpan w:val="2"/>
            <w:noWrap w:val="0"/>
            <w:vAlign w:val="center"/>
          </w:tcPr>
          <w:p w14:paraId="1BAF0C31">
            <w:pPr>
              <w:pStyle w:val="13"/>
              <w:rPr>
                <w:highlight w:val="none"/>
                <w:lang w:val="zh-CN"/>
              </w:rPr>
            </w:pPr>
            <w:r>
              <w:rPr>
                <w:highlight w:val="none"/>
                <w:lang w:val="zh-CN"/>
              </w:rPr>
              <w:t>石材二次搬运</w:t>
            </w:r>
          </w:p>
        </w:tc>
        <w:tc>
          <w:tcPr>
            <w:tcW w:w="2792" w:type="dxa"/>
            <w:noWrap w:val="0"/>
            <w:vAlign w:val="center"/>
          </w:tcPr>
          <w:p w14:paraId="27AF31B7">
            <w:pPr>
              <w:pStyle w:val="13"/>
              <w:rPr>
                <w:highlight w:val="none"/>
                <w:lang w:val="zh-CN"/>
              </w:rPr>
            </w:pPr>
          </w:p>
          <w:p w14:paraId="65964A6A">
            <w:pPr>
              <w:pStyle w:val="13"/>
              <w:rPr>
                <w:highlight w:val="none"/>
                <w:lang w:val="zh-CN"/>
              </w:rPr>
            </w:pPr>
          </w:p>
          <w:p w14:paraId="0C2D5687">
            <w:pPr>
              <w:pStyle w:val="13"/>
              <w:rPr>
                <w:highlight w:val="none"/>
                <w:lang w:val="zh-CN"/>
              </w:rPr>
            </w:pPr>
            <w:r>
              <w:rPr>
                <w:highlight w:val="none"/>
                <w:lang w:val="zh-CN"/>
              </w:rPr>
              <w:t>涉及二次及多次搬运的石 材，应使用平板车拖运，如少量石材用斗车搬运的，必须绵布等作包裹保护，防止碰伤缺角</w:t>
            </w:r>
          </w:p>
        </w:tc>
        <w:tc>
          <w:tcPr>
            <w:tcW w:w="6922" w:type="dxa"/>
            <w:noWrap w:val="0"/>
            <w:vAlign w:val="center"/>
          </w:tcPr>
          <w:p w14:paraId="5EDC12DA">
            <w:pPr>
              <w:pStyle w:val="13"/>
              <w:rPr>
                <w:highlight w:val="none"/>
                <w:lang w:val="zh-CN"/>
              </w:rPr>
            </w:pPr>
          </w:p>
          <w:p w14:paraId="568B6BBF">
            <w:pPr>
              <w:pStyle w:val="13"/>
              <w:rPr>
                <w:highlight w:val="none"/>
                <w:lang w:val="zh-CN"/>
              </w:rPr>
            </w:pPr>
            <w:r>
              <w:rPr>
                <w:highlight w:val="none"/>
              </w:rPr>
              <w:drawing>
                <wp:inline distT="0" distB="0" distL="114300" distR="114300">
                  <wp:extent cx="3046730" cy="2028825"/>
                  <wp:effectExtent l="0" t="0" r="1270" b="9525"/>
                  <wp:docPr id="82"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1.jpeg"/>
                          <pic:cNvPicPr>
                            <a:picLocks noChangeAspect="1"/>
                          </pic:cNvPicPr>
                        </pic:nvPicPr>
                        <pic:blipFill>
                          <a:blip r:embed="rId95"/>
                          <a:stretch>
                            <a:fillRect/>
                          </a:stretch>
                        </pic:blipFill>
                        <pic:spPr>
                          <a:xfrm>
                            <a:off x="0" y="0"/>
                            <a:ext cx="3046730" cy="2028825"/>
                          </a:xfrm>
                          <a:prstGeom prst="rect">
                            <a:avLst/>
                          </a:prstGeom>
                          <a:noFill/>
                          <a:ln>
                            <a:noFill/>
                          </a:ln>
                        </pic:spPr>
                      </pic:pic>
                    </a:graphicData>
                  </a:graphic>
                </wp:inline>
              </w:drawing>
            </w:r>
          </w:p>
        </w:tc>
        <w:tc>
          <w:tcPr>
            <w:tcW w:w="1314" w:type="dxa"/>
            <w:noWrap w:val="0"/>
            <w:vAlign w:val="center"/>
          </w:tcPr>
          <w:p w14:paraId="489F8214">
            <w:pPr>
              <w:pStyle w:val="13"/>
              <w:rPr>
                <w:highlight w:val="none"/>
                <w:lang w:val="zh-CN"/>
              </w:rPr>
            </w:pPr>
            <w:r>
              <w:rPr>
                <w:highlight w:val="none"/>
                <w:lang w:val="zh-CN"/>
              </w:rPr>
              <w:t>二次搬运的成品保护</w:t>
            </w:r>
          </w:p>
        </w:tc>
      </w:tr>
      <w:tr w14:paraId="35CBC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3" w:hRule="atLeast"/>
          <w:jc w:val="center"/>
        </w:trPr>
        <w:tc>
          <w:tcPr>
            <w:tcW w:w="622" w:type="dxa"/>
            <w:vMerge w:val="restart"/>
            <w:noWrap w:val="0"/>
            <w:vAlign w:val="center"/>
          </w:tcPr>
          <w:p w14:paraId="63284037">
            <w:pPr>
              <w:pStyle w:val="13"/>
              <w:rPr>
                <w:highlight w:val="none"/>
                <w:lang w:val="zh-CN"/>
              </w:rPr>
            </w:pPr>
            <w:r>
              <w:rPr>
                <w:highlight w:val="none"/>
                <w:lang w:val="zh-CN"/>
              </w:rPr>
              <w:t>5</w:t>
            </w:r>
          </w:p>
        </w:tc>
        <w:tc>
          <w:tcPr>
            <w:tcW w:w="1434" w:type="dxa"/>
            <w:gridSpan w:val="2"/>
            <w:vMerge w:val="restart"/>
            <w:noWrap w:val="0"/>
            <w:vAlign w:val="center"/>
          </w:tcPr>
          <w:p w14:paraId="59112A01">
            <w:pPr>
              <w:pStyle w:val="13"/>
              <w:rPr>
                <w:highlight w:val="none"/>
                <w:lang w:val="zh-CN"/>
              </w:rPr>
            </w:pPr>
            <w:r>
              <w:rPr>
                <w:highlight w:val="none"/>
                <w:lang w:val="zh-CN"/>
              </w:rPr>
              <w:t>施工过程中的石材保护</w:t>
            </w:r>
          </w:p>
        </w:tc>
        <w:tc>
          <w:tcPr>
            <w:tcW w:w="2792" w:type="dxa"/>
            <w:noWrap w:val="0"/>
            <w:vAlign w:val="center"/>
          </w:tcPr>
          <w:p w14:paraId="48C40339">
            <w:pPr>
              <w:pStyle w:val="13"/>
              <w:rPr>
                <w:highlight w:val="none"/>
                <w:lang w:val="zh-CN"/>
              </w:rPr>
            </w:pPr>
            <w:r>
              <w:rPr>
                <w:highlight w:val="none"/>
                <w:lang w:val="zh-CN"/>
              </w:rPr>
              <w:t>铺装施工时需合理安排施工顺序，避免大量的交叉施 工；如有，应合理规划施工通道，施工养护区域应有效围合，并组织专人疏导交通</w:t>
            </w:r>
          </w:p>
        </w:tc>
        <w:tc>
          <w:tcPr>
            <w:tcW w:w="6922" w:type="dxa"/>
            <w:noWrap w:val="0"/>
            <w:vAlign w:val="center"/>
          </w:tcPr>
          <w:p w14:paraId="0C5D3AEA">
            <w:pPr>
              <w:pStyle w:val="13"/>
              <w:rPr>
                <w:highlight w:val="none"/>
                <w:lang w:val="zh-CN"/>
              </w:rPr>
            </w:pPr>
          </w:p>
          <w:p w14:paraId="1F8F9FA1">
            <w:pPr>
              <w:pStyle w:val="13"/>
              <w:rPr>
                <w:highlight w:val="none"/>
                <w:lang w:val="zh-CN"/>
              </w:rPr>
            </w:pPr>
            <w:r>
              <w:rPr>
                <w:highlight w:val="none"/>
              </w:rPr>
              <w:drawing>
                <wp:inline distT="0" distB="0" distL="114300" distR="114300">
                  <wp:extent cx="3068320" cy="2093595"/>
                  <wp:effectExtent l="0" t="0" r="17780" b="1905"/>
                  <wp:docPr id="8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2.jpeg"/>
                          <pic:cNvPicPr>
                            <a:picLocks noChangeAspect="1"/>
                          </pic:cNvPicPr>
                        </pic:nvPicPr>
                        <pic:blipFill>
                          <a:blip r:embed="rId96"/>
                          <a:stretch>
                            <a:fillRect/>
                          </a:stretch>
                        </pic:blipFill>
                        <pic:spPr>
                          <a:xfrm>
                            <a:off x="0" y="0"/>
                            <a:ext cx="3068320" cy="2093595"/>
                          </a:xfrm>
                          <a:prstGeom prst="rect">
                            <a:avLst/>
                          </a:prstGeom>
                          <a:noFill/>
                          <a:ln>
                            <a:noFill/>
                          </a:ln>
                        </pic:spPr>
                      </pic:pic>
                    </a:graphicData>
                  </a:graphic>
                </wp:inline>
              </w:drawing>
            </w:r>
          </w:p>
        </w:tc>
        <w:tc>
          <w:tcPr>
            <w:tcW w:w="1314" w:type="dxa"/>
            <w:noWrap w:val="0"/>
            <w:vAlign w:val="center"/>
          </w:tcPr>
          <w:p w14:paraId="30C440A8">
            <w:pPr>
              <w:pStyle w:val="13"/>
              <w:rPr>
                <w:highlight w:val="none"/>
                <w:lang w:val="zh-CN"/>
              </w:rPr>
            </w:pPr>
            <w:r>
              <w:rPr>
                <w:highlight w:val="none"/>
                <w:lang w:val="zh-CN"/>
              </w:rPr>
              <w:t>施工区域的围合措施</w:t>
            </w:r>
          </w:p>
        </w:tc>
      </w:tr>
      <w:tr w14:paraId="272AA5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7" w:hRule="atLeast"/>
          <w:jc w:val="center"/>
        </w:trPr>
        <w:tc>
          <w:tcPr>
            <w:tcW w:w="622" w:type="dxa"/>
            <w:vMerge w:val="continue"/>
            <w:tcBorders>
              <w:top w:val="nil"/>
            </w:tcBorders>
            <w:noWrap w:val="0"/>
            <w:vAlign w:val="center"/>
          </w:tcPr>
          <w:p w14:paraId="3695EB76">
            <w:pPr>
              <w:pStyle w:val="13"/>
              <w:rPr>
                <w:highlight w:val="none"/>
                <w:lang w:val="zh-CN"/>
              </w:rPr>
            </w:pPr>
          </w:p>
        </w:tc>
        <w:tc>
          <w:tcPr>
            <w:tcW w:w="1434" w:type="dxa"/>
            <w:gridSpan w:val="2"/>
            <w:vMerge w:val="continue"/>
            <w:tcBorders>
              <w:top w:val="nil"/>
            </w:tcBorders>
            <w:noWrap w:val="0"/>
            <w:vAlign w:val="center"/>
          </w:tcPr>
          <w:p w14:paraId="67467413">
            <w:pPr>
              <w:pStyle w:val="13"/>
              <w:rPr>
                <w:highlight w:val="none"/>
                <w:lang w:val="zh-CN"/>
              </w:rPr>
            </w:pPr>
          </w:p>
        </w:tc>
        <w:tc>
          <w:tcPr>
            <w:tcW w:w="2792" w:type="dxa"/>
            <w:noWrap w:val="0"/>
            <w:vAlign w:val="center"/>
          </w:tcPr>
          <w:p w14:paraId="7FD4EC59">
            <w:pPr>
              <w:pStyle w:val="13"/>
              <w:rPr>
                <w:highlight w:val="none"/>
                <w:lang w:val="zh-CN"/>
              </w:rPr>
            </w:pPr>
            <w:r>
              <w:rPr>
                <w:highlight w:val="none"/>
                <w:lang w:val="zh-CN"/>
              </w:rPr>
              <w:t>铺装过程中，施工人员应做到随铺随用海绵干布等</w:t>
            </w:r>
            <w:r>
              <w:rPr>
                <w:rFonts w:hint="eastAsia"/>
                <w:highlight w:val="none"/>
              </w:rPr>
              <w:t>擦</w:t>
            </w:r>
            <w:r>
              <w:rPr>
                <w:highlight w:val="none"/>
                <w:lang w:val="zh-CN"/>
              </w:rPr>
              <w:t>净花岗石面上的水泥浆痕迹。擦拭完成后，面层铺盖一层塑料薄膜，减少砂浆在硬化过程中的水分蒸发，增强石板与砂浆的粘结牢度，保证地面的铺设质量。</w:t>
            </w:r>
          </w:p>
        </w:tc>
        <w:tc>
          <w:tcPr>
            <w:tcW w:w="6922" w:type="dxa"/>
            <w:noWrap w:val="0"/>
            <w:vAlign w:val="center"/>
          </w:tcPr>
          <w:p w14:paraId="3F37E82D">
            <w:pPr>
              <w:pStyle w:val="13"/>
              <w:rPr>
                <w:highlight w:val="none"/>
                <w:lang w:val="zh-CN"/>
              </w:rPr>
            </w:pPr>
          </w:p>
          <w:p w14:paraId="2426C00D">
            <w:pPr>
              <w:pStyle w:val="13"/>
              <w:rPr>
                <w:highlight w:val="none"/>
                <w:lang w:val="zh-CN"/>
              </w:rPr>
            </w:pPr>
            <w:r>
              <w:rPr>
                <w:highlight w:val="none"/>
              </w:rPr>
              <w:drawing>
                <wp:inline distT="0" distB="0" distL="114300" distR="114300">
                  <wp:extent cx="4568825" cy="1893570"/>
                  <wp:effectExtent l="0" t="0" r="3175" b="11430"/>
                  <wp:docPr id="84"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3.jpeg"/>
                          <pic:cNvPicPr>
                            <a:picLocks noChangeAspect="1"/>
                          </pic:cNvPicPr>
                        </pic:nvPicPr>
                        <pic:blipFill>
                          <a:blip r:embed="rId97"/>
                          <a:stretch>
                            <a:fillRect/>
                          </a:stretch>
                        </pic:blipFill>
                        <pic:spPr>
                          <a:xfrm>
                            <a:off x="0" y="0"/>
                            <a:ext cx="4568825" cy="1893570"/>
                          </a:xfrm>
                          <a:prstGeom prst="rect">
                            <a:avLst/>
                          </a:prstGeom>
                          <a:noFill/>
                          <a:ln>
                            <a:noFill/>
                          </a:ln>
                        </pic:spPr>
                      </pic:pic>
                    </a:graphicData>
                  </a:graphic>
                </wp:inline>
              </w:drawing>
            </w:r>
          </w:p>
        </w:tc>
        <w:tc>
          <w:tcPr>
            <w:tcW w:w="1314" w:type="dxa"/>
            <w:noWrap w:val="0"/>
            <w:vAlign w:val="center"/>
          </w:tcPr>
          <w:p w14:paraId="5244D5B1">
            <w:pPr>
              <w:pStyle w:val="13"/>
              <w:rPr>
                <w:highlight w:val="none"/>
                <w:lang w:val="zh-CN"/>
              </w:rPr>
            </w:pPr>
            <w:r>
              <w:rPr>
                <w:highlight w:val="none"/>
                <w:lang w:val="zh-CN"/>
              </w:rPr>
              <w:t>铺薄膜保护</w:t>
            </w:r>
          </w:p>
        </w:tc>
      </w:tr>
      <w:tr w14:paraId="38C7D7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2" w:hRule="atLeast"/>
          <w:jc w:val="center"/>
        </w:trPr>
        <w:tc>
          <w:tcPr>
            <w:tcW w:w="622" w:type="dxa"/>
            <w:vMerge w:val="restart"/>
            <w:noWrap w:val="0"/>
            <w:vAlign w:val="center"/>
          </w:tcPr>
          <w:p w14:paraId="2E1C3B33">
            <w:pPr>
              <w:pStyle w:val="13"/>
              <w:rPr>
                <w:rFonts w:hint="eastAsia" w:eastAsia="宋体"/>
                <w:highlight w:val="none"/>
                <w:lang w:val="zh-CN" w:eastAsia="zh-CN"/>
              </w:rPr>
            </w:pPr>
            <w:r>
              <w:rPr>
                <w:rFonts w:hint="eastAsia"/>
                <w:highlight w:val="none"/>
                <w:lang w:val="en-US" w:eastAsia="zh-CN"/>
              </w:rPr>
              <w:t>6</w:t>
            </w:r>
          </w:p>
        </w:tc>
        <w:tc>
          <w:tcPr>
            <w:tcW w:w="1434" w:type="dxa"/>
            <w:gridSpan w:val="2"/>
            <w:vMerge w:val="restart"/>
            <w:noWrap w:val="0"/>
            <w:vAlign w:val="center"/>
          </w:tcPr>
          <w:p w14:paraId="0FBBA33F">
            <w:pPr>
              <w:pStyle w:val="13"/>
              <w:rPr>
                <w:highlight w:val="none"/>
                <w:lang w:val="zh-CN"/>
              </w:rPr>
            </w:pPr>
            <w:r>
              <w:rPr>
                <w:highlight w:val="none"/>
                <w:lang w:val="zh-CN"/>
              </w:rPr>
              <w:t>石材铺装完工后的保护</w:t>
            </w:r>
          </w:p>
        </w:tc>
        <w:tc>
          <w:tcPr>
            <w:tcW w:w="2792" w:type="dxa"/>
            <w:vMerge w:val="restart"/>
            <w:noWrap w:val="0"/>
            <w:vAlign w:val="center"/>
          </w:tcPr>
          <w:p w14:paraId="5F0C6997">
            <w:pPr>
              <w:pStyle w:val="13"/>
              <w:rPr>
                <w:highlight w:val="none"/>
                <w:lang w:val="zh-CN"/>
              </w:rPr>
            </w:pPr>
            <w:r>
              <w:rPr>
                <w:highlight w:val="none"/>
                <w:lang w:val="zh-CN"/>
              </w:rPr>
              <w:t>石材铺装完工后，首先铺塑料薄膜，其次铺设防水</w:t>
            </w:r>
            <w:r>
              <w:rPr>
                <w:highlight w:val="none"/>
              </w:rPr>
              <w:t>防火布</w:t>
            </w:r>
            <w:r>
              <w:rPr>
                <w:highlight w:val="none"/>
                <w:lang w:val="zh-CN"/>
              </w:rPr>
              <w:t>、无纺布、毡布等，再在上面铺设模板作保护；石材铺装养护期为 3—5 天（上手推车需养护7-10 天）， 养护期内禁止上人上车，在楼盘开放或未交付之前，不得撤除保护措施。</w:t>
            </w:r>
          </w:p>
        </w:tc>
        <w:tc>
          <w:tcPr>
            <w:tcW w:w="6922" w:type="dxa"/>
            <w:noWrap w:val="0"/>
            <w:vAlign w:val="center"/>
          </w:tcPr>
          <w:p w14:paraId="2CDEDE11">
            <w:pPr>
              <w:pStyle w:val="13"/>
              <w:rPr>
                <w:highlight w:val="none"/>
                <w:lang w:val="zh-CN"/>
              </w:rPr>
            </w:pPr>
          </w:p>
          <w:p w14:paraId="64AD5472">
            <w:pPr>
              <w:pStyle w:val="13"/>
              <w:rPr>
                <w:highlight w:val="none"/>
                <w:lang w:val="zh-CN"/>
              </w:rPr>
            </w:pPr>
            <w:r>
              <w:rPr>
                <w:highlight w:val="none"/>
              </w:rPr>
              <w:drawing>
                <wp:inline distT="0" distB="0" distL="114300" distR="114300">
                  <wp:extent cx="2343150" cy="1817370"/>
                  <wp:effectExtent l="0" t="0" r="0" b="11430"/>
                  <wp:docPr id="85" name="image84.jpeg" descr="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4.jpeg" descr="DSC_0059.JPG"/>
                          <pic:cNvPicPr>
                            <a:picLocks noChangeAspect="1"/>
                          </pic:cNvPicPr>
                        </pic:nvPicPr>
                        <pic:blipFill>
                          <a:blip r:embed="rId98"/>
                          <a:stretch>
                            <a:fillRect/>
                          </a:stretch>
                        </pic:blipFill>
                        <pic:spPr>
                          <a:xfrm>
                            <a:off x="0" y="0"/>
                            <a:ext cx="2343150" cy="1817370"/>
                          </a:xfrm>
                          <a:prstGeom prst="rect">
                            <a:avLst/>
                          </a:prstGeom>
                          <a:noFill/>
                          <a:ln>
                            <a:noFill/>
                          </a:ln>
                        </pic:spPr>
                      </pic:pic>
                    </a:graphicData>
                  </a:graphic>
                </wp:inline>
              </w:drawing>
            </w:r>
            <w:r>
              <w:rPr>
                <w:highlight w:val="none"/>
              </w:rPr>
              <w:drawing>
                <wp:inline distT="0" distB="0" distL="114300" distR="114300">
                  <wp:extent cx="2266315" cy="1808480"/>
                  <wp:effectExtent l="0" t="0" r="635" b="1270"/>
                  <wp:docPr id="86" name="image85.jpeg" descr="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5.jpeg" descr="DSC_0055.JPG"/>
                          <pic:cNvPicPr>
                            <a:picLocks noChangeAspect="1"/>
                          </pic:cNvPicPr>
                        </pic:nvPicPr>
                        <pic:blipFill>
                          <a:blip r:embed="rId99"/>
                          <a:stretch>
                            <a:fillRect/>
                          </a:stretch>
                        </pic:blipFill>
                        <pic:spPr>
                          <a:xfrm>
                            <a:off x="0" y="0"/>
                            <a:ext cx="2266315" cy="1808480"/>
                          </a:xfrm>
                          <a:prstGeom prst="rect">
                            <a:avLst/>
                          </a:prstGeom>
                          <a:noFill/>
                          <a:ln>
                            <a:noFill/>
                          </a:ln>
                        </pic:spPr>
                      </pic:pic>
                    </a:graphicData>
                  </a:graphic>
                </wp:inline>
              </w:drawing>
            </w:r>
          </w:p>
        </w:tc>
        <w:tc>
          <w:tcPr>
            <w:tcW w:w="1314" w:type="dxa"/>
            <w:noWrap w:val="0"/>
            <w:vAlign w:val="center"/>
          </w:tcPr>
          <w:p w14:paraId="32FD951B">
            <w:pPr>
              <w:pStyle w:val="13"/>
              <w:rPr>
                <w:highlight w:val="none"/>
                <w:lang w:val="zh-CN"/>
              </w:rPr>
            </w:pPr>
            <w:r>
              <w:rPr>
                <w:highlight w:val="none"/>
                <w:lang w:val="zh-CN"/>
              </w:rPr>
              <w:t>刚完工时薄膜加毡布保护</w:t>
            </w:r>
          </w:p>
        </w:tc>
      </w:tr>
      <w:tr w14:paraId="73DDA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8" w:hRule="atLeast"/>
          <w:jc w:val="center"/>
        </w:trPr>
        <w:tc>
          <w:tcPr>
            <w:tcW w:w="622" w:type="dxa"/>
            <w:vMerge w:val="continue"/>
            <w:tcBorders>
              <w:top w:val="nil"/>
            </w:tcBorders>
            <w:noWrap w:val="0"/>
            <w:vAlign w:val="center"/>
          </w:tcPr>
          <w:p w14:paraId="71F7FCE1">
            <w:pPr>
              <w:pStyle w:val="13"/>
              <w:rPr>
                <w:highlight w:val="none"/>
                <w:lang w:val="zh-CN"/>
              </w:rPr>
            </w:pPr>
          </w:p>
        </w:tc>
        <w:tc>
          <w:tcPr>
            <w:tcW w:w="1434" w:type="dxa"/>
            <w:gridSpan w:val="2"/>
            <w:vMerge w:val="continue"/>
            <w:tcBorders>
              <w:top w:val="nil"/>
            </w:tcBorders>
            <w:noWrap w:val="0"/>
            <w:vAlign w:val="center"/>
          </w:tcPr>
          <w:p w14:paraId="16AD9E30">
            <w:pPr>
              <w:pStyle w:val="13"/>
              <w:rPr>
                <w:highlight w:val="none"/>
                <w:lang w:val="zh-CN"/>
              </w:rPr>
            </w:pPr>
          </w:p>
        </w:tc>
        <w:tc>
          <w:tcPr>
            <w:tcW w:w="2792" w:type="dxa"/>
            <w:vMerge w:val="continue"/>
            <w:tcBorders>
              <w:top w:val="nil"/>
            </w:tcBorders>
            <w:noWrap w:val="0"/>
            <w:vAlign w:val="center"/>
          </w:tcPr>
          <w:p w14:paraId="7193FFEA">
            <w:pPr>
              <w:pStyle w:val="13"/>
              <w:rPr>
                <w:highlight w:val="none"/>
                <w:lang w:val="zh-CN"/>
              </w:rPr>
            </w:pPr>
          </w:p>
        </w:tc>
        <w:tc>
          <w:tcPr>
            <w:tcW w:w="6922" w:type="dxa"/>
            <w:noWrap w:val="0"/>
            <w:vAlign w:val="center"/>
          </w:tcPr>
          <w:p w14:paraId="2F64DE11">
            <w:pPr>
              <w:pStyle w:val="13"/>
              <w:rPr>
                <w:highlight w:val="none"/>
                <w:lang w:val="zh-CN"/>
              </w:rPr>
            </w:pPr>
          </w:p>
          <w:p w14:paraId="6D34BF89">
            <w:pPr>
              <w:pStyle w:val="13"/>
              <w:rPr>
                <w:highlight w:val="none"/>
                <w:lang w:val="zh-CN"/>
              </w:rPr>
            </w:pPr>
            <w:r>
              <w:rPr>
                <w:highlight w:val="none"/>
              </w:rPr>
              <w:drawing>
                <wp:inline distT="0" distB="0" distL="114300" distR="114300">
                  <wp:extent cx="2307590" cy="1614805"/>
                  <wp:effectExtent l="0" t="0" r="16510" b="4445"/>
                  <wp:docPr id="8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6.jpeg"/>
                          <pic:cNvPicPr>
                            <a:picLocks noChangeAspect="1"/>
                          </pic:cNvPicPr>
                        </pic:nvPicPr>
                        <pic:blipFill>
                          <a:blip r:embed="rId100"/>
                          <a:stretch>
                            <a:fillRect/>
                          </a:stretch>
                        </pic:blipFill>
                        <pic:spPr>
                          <a:xfrm>
                            <a:off x="0" y="0"/>
                            <a:ext cx="2307590" cy="1614805"/>
                          </a:xfrm>
                          <a:prstGeom prst="rect">
                            <a:avLst/>
                          </a:prstGeom>
                          <a:noFill/>
                          <a:ln>
                            <a:noFill/>
                          </a:ln>
                        </pic:spPr>
                      </pic:pic>
                    </a:graphicData>
                  </a:graphic>
                </wp:inline>
              </w:drawing>
            </w:r>
            <w:r>
              <w:rPr>
                <w:highlight w:val="none"/>
              </w:rPr>
              <w:drawing>
                <wp:inline distT="0" distB="0" distL="114300" distR="114300">
                  <wp:extent cx="2242820" cy="1620520"/>
                  <wp:effectExtent l="0" t="0" r="5080" b="17780"/>
                  <wp:docPr id="88"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7.jpeg"/>
                          <pic:cNvPicPr>
                            <a:picLocks noChangeAspect="1"/>
                          </pic:cNvPicPr>
                        </pic:nvPicPr>
                        <pic:blipFill>
                          <a:blip r:embed="rId101"/>
                          <a:stretch>
                            <a:fillRect/>
                          </a:stretch>
                        </pic:blipFill>
                        <pic:spPr>
                          <a:xfrm>
                            <a:off x="0" y="0"/>
                            <a:ext cx="2242820" cy="1620520"/>
                          </a:xfrm>
                          <a:prstGeom prst="rect">
                            <a:avLst/>
                          </a:prstGeom>
                          <a:noFill/>
                          <a:ln>
                            <a:noFill/>
                          </a:ln>
                        </pic:spPr>
                      </pic:pic>
                    </a:graphicData>
                  </a:graphic>
                </wp:inline>
              </w:drawing>
            </w:r>
          </w:p>
        </w:tc>
        <w:tc>
          <w:tcPr>
            <w:tcW w:w="1314" w:type="dxa"/>
            <w:noWrap w:val="0"/>
            <w:vAlign w:val="center"/>
          </w:tcPr>
          <w:p w14:paraId="1BEC234D">
            <w:pPr>
              <w:pStyle w:val="13"/>
              <w:rPr>
                <w:highlight w:val="none"/>
                <w:lang w:val="zh-CN"/>
              </w:rPr>
            </w:pPr>
            <w:r>
              <w:rPr>
                <w:highlight w:val="none"/>
                <w:lang w:val="zh-CN"/>
              </w:rPr>
              <w:t>铺装全部完成后的全面保护直到开放</w:t>
            </w:r>
          </w:p>
        </w:tc>
      </w:tr>
      <w:tr w14:paraId="42B028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0" w:hRule="atLeast"/>
          <w:jc w:val="center"/>
        </w:trPr>
        <w:tc>
          <w:tcPr>
            <w:tcW w:w="622" w:type="dxa"/>
            <w:vMerge w:val="restart"/>
            <w:noWrap w:val="0"/>
            <w:vAlign w:val="center"/>
          </w:tcPr>
          <w:p w14:paraId="7A6B6F72">
            <w:pPr>
              <w:pStyle w:val="13"/>
              <w:rPr>
                <w:rFonts w:hint="eastAsia" w:eastAsia="宋体"/>
                <w:highlight w:val="none"/>
                <w:lang w:val="zh-CN" w:eastAsia="zh-CN"/>
              </w:rPr>
            </w:pPr>
            <w:r>
              <w:rPr>
                <w:rFonts w:hint="eastAsia"/>
                <w:highlight w:val="none"/>
                <w:lang w:val="en-US" w:eastAsia="zh-CN"/>
              </w:rPr>
              <w:t>7</w:t>
            </w:r>
          </w:p>
        </w:tc>
        <w:tc>
          <w:tcPr>
            <w:tcW w:w="1434" w:type="dxa"/>
            <w:gridSpan w:val="2"/>
            <w:vMerge w:val="restart"/>
            <w:noWrap w:val="0"/>
            <w:vAlign w:val="center"/>
          </w:tcPr>
          <w:p w14:paraId="16FCC06A">
            <w:pPr>
              <w:pStyle w:val="13"/>
              <w:rPr>
                <w:highlight w:val="none"/>
                <w:lang w:val="zh-CN"/>
              </w:rPr>
            </w:pPr>
            <w:r>
              <w:rPr>
                <w:highlight w:val="none"/>
                <w:lang w:val="zh-CN"/>
              </w:rPr>
              <w:t>石材饰面完工后墙面、柱子等的保护</w:t>
            </w:r>
          </w:p>
        </w:tc>
        <w:tc>
          <w:tcPr>
            <w:tcW w:w="2792" w:type="dxa"/>
            <w:vMerge w:val="restart"/>
            <w:noWrap w:val="0"/>
            <w:vAlign w:val="center"/>
          </w:tcPr>
          <w:p w14:paraId="204082B7">
            <w:pPr>
              <w:pStyle w:val="13"/>
              <w:rPr>
                <w:highlight w:val="none"/>
                <w:lang w:val="zh-CN"/>
              </w:rPr>
            </w:pPr>
            <w:r>
              <w:rPr>
                <w:highlight w:val="none"/>
                <w:lang w:val="zh-CN"/>
              </w:rPr>
              <w:t>廊架立柱、建筑墙面、树池外饰面等完工后，须对易破损部位的阳角要采取包裹保护，必要时可采取木框围护。</w:t>
            </w:r>
          </w:p>
        </w:tc>
        <w:tc>
          <w:tcPr>
            <w:tcW w:w="6922" w:type="dxa"/>
            <w:noWrap w:val="0"/>
            <w:vAlign w:val="center"/>
          </w:tcPr>
          <w:p w14:paraId="2F0AA8A2">
            <w:pPr>
              <w:pStyle w:val="13"/>
              <w:rPr>
                <w:highlight w:val="none"/>
                <w:lang w:val="zh-CN"/>
              </w:rPr>
            </w:pPr>
          </w:p>
          <w:p w14:paraId="5D15A43F">
            <w:pPr>
              <w:pStyle w:val="13"/>
              <w:rPr>
                <w:highlight w:val="none"/>
                <w:lang w:val="zh-CN"/>
              </w:rPr>
            </w:pPr>
            <w:r>
              <w:rPr>
                <w:highlight w:val="none"/>
              </w:rPr>
              <w:drawing>
                <wp:inline distT="0" distB="0" distL="114300" distR="114300">
                  <wp:extent cx="3025140" cy="2105025"/>
                  <wp:effectExtent l="0" t="0" r="3810" b="9525"/>
                  <wp:docPr id="89" name="image88.jpeg" descr="E:\钱\图片\新湖香格里拉\IMG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8.jpeg" descr="E:\钱\图片\新湖香格里拉\IMG_5427.JPG"/>
                          <pic:cNvPicPr>
                            <a:picLocks noChangeAspect="1"/>
                          </pic:cNvPicPr>
                        </pic:nvPicPr>
                        <pic:blipFill>
                          <a:blip r:embed="rId102"/>
                          <a:stretch>
                            <a:fillRect/>
                          </a:stretch>
                        </pic:blipFill>
                        <pic:spPr>
                          <a:xfrm>
                            <a:off x="0" y="0"/>
                            <a:ext cx="3025140" cy="2105025"/>
                          </a:xfrm>
                          <a:prstGeom prst="rect">
                            <a:avLst/>
                          </a:prstGeom>
                          <a:noFill/>
                          <a:ln>
                            <a:noFill/>
                          </a:ln>
                        </pic:spPr>
                      </pic:pic>
                    </a:graphicData>
                  </a:graphic>
                </wp:inline>
              </w:drawing>
            </w:r>
          </w:p>
        </w:tc>
        <w:tc>
          <w:tcPr>
            <w:tcW w:w="1314" w:type="dxa"/>
            <w:noWrap w:val="0"/>
            <w:vAlign w:val="center"/>
          </w:tcPr>
          <w:p w14:paraId="2C71A712">
            <w:pPr>
              <w:pStyle w:val="13"/>
              <w:rPr>
                <w:highlight w:val="none"/>
                <w:lang w:val="zh-CN"/>
              </w:rPr>
            </w:pPr>
            <w:r>
              <w:rPr>
                <w:highlight w:val="none"/>
                <w:lang w:val="zh-CN"/>
              </w:rPr>
              <w:t>柱子的保护措施</w:t>
            </w:r>
          </w:p>
        </w:tc>
      </w:tr>
      <w:tr w14:paraId="62DCFB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5" w:hRule="atLeast"/>
          <w:jc w:val="center"/>
        </w:trPr>
        <w:tc>
          <w:tcPr>
            <w:tcW w:w="622" w:type="dxa"/>
            <w:vMerge w:val="continue"/>
            <w:tcBorders>
              <w:top w:val="nil"/>
            </w:tcBorders>
            <w:noWrap w:val="0"/>
            <w:vAlign w:val="center"/>
          </w:tcPr>
          <w:p w14:paraId="212363A8">
            <w:pPr>
              <w:pStyle w:val="13"/>
              <w:rPr>
                <w:highlight w:val="none"/>
                <w:lang w:val="zh-CN"/>
              </w:rPr>
            </w:pPr>
          </w:p>
        </w:tc>
        <w:tc>
          <w:tcPr>
            <w:tcW w:w="1434" w:type="dxa"/>
            <w:gridSpan w:val="2"/>
            <w:vMerge w:val="continue"/>
            <w:tcBorders>
              <w:top w:val="nil"/>
            </w:tcBorders>
            <w:noWrap w:val="0"/>
            <w:vAlign w:val="center"/>
          </w:tcPr>
          <w:p w14:paraId="28CF04FE">
            <w:pPr>
              <w:pStyle w:val="13"/>
              <w:rPr>
                <w:highlight w:val="none"/>
                <w:lang w:val="zh-CN"/>
              </w:rPr>
            </w:pPr>
          </w:p>
        </w:tc>
        <w:tc>
          <w:tcPr>
            <w:tcW w:w="2792" w:type="dxa"/>
            <w:vMerge w:val="continue"/>
            <w:tcBorders>
              <w:top w:val="nil"/>
            </w:tcBorders>
            <w:noWrap w:val="0"/>
            <w:vAlign w:val="center"/>
          </w:tcPr>
          <w:p w14:paraId="2402DCAA">
            <w:pPr>
              <w:pStyle w:val="13"/>
              <w:rPr>
                <w:highlight w:val="none"/>
                <w:lang w:val="zh-CN"/>
              </w:rPr>
            </w:pPr>
          </w:p>
        </w:tc>
        <w:tc>
          <w:tcPr>
            <w:tcW w:w="6922" w:type="dxa"/>
            <w:noWrap w:val="0"/>
            <w:vAlign w:val="center"/>
          </w:tcPr>
          <w:p w14:paraId="66734D68">
            <w:pPr>
              <w:pStyle w:val="13"/>
              <w:rPr>
                <w:highlight w:val="none"/>
                <w:lang w:val="zh-CN"/>
              </w:rPr>
            </w:pPr>
          </w:p>
          <w:p w14:paraId="0DF70233">
            <w:pPr>
              <w:pStyle w:val="13"/>
              <w:rPr>
                <w:highlight w:val="none"/>
                <w:lang w:val="zh-CN"/>
              </w:rPr>
            </w:pPr>
            <w:r>
              <w:rPr>
                <w:highlight w:val="none"/>
              </w:rPr>
              <w:drawing>
                <wp:inline distT="0" distB="0" distL="114300" distR="114300">
                  <wp:extent cx="3120390" cy="1860550"/>
                  <wp:effectExtent l="0" t="0" r="3810" b="6350"/>
                  <wp:docPr id="90"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9.jpeg"/>
                          <pic:cNvPicPr>
                            <a:picLocks noChangeAspect="1"/>
                          </pic:cNvPicPr>
                        </pic:nvPicPr>
                        <pic:blipFill>
                          <a:blip r:embed="rId103"/>
                          <a:stretch>
                            <a:fillRect/>
                          </a:stretch>
                        </pic:blipFill>
                        <pic:spPr>
                          <a:xfrm>
                            <a:off x="0" y="0"/>
                            <a:ext cx="3120390" cy="1860550"/>
                          </a:xfrm>
                          <a:prstGeom prst="rect">
                            <a:avLst/>
                          </a:prstGeom>
                          <a:noFill/>
                          <a:ln>
                            <a:noFill/>
                          </a:ln>
                        </pic:spPr>
                      </pic:pic>
                    </a:graphicData>
                  </a:graphic>
                </wp:inline>
              </w:drawing>
            </w:r>
          </w:p>
        </w:tc>
        <w:tc>
          <w:tcPr>
            <w:tcW w:w="1314" w:type="dxa"/>
            <w:noWrap w:val="0"/>
            <w:vAlign w:val="center"/>
          </w:tcPr>
          <w:p w14:paraId="4221BA82">
            <w:pPr>
              <w:pStyle w:val="13"/>
              <w:rPr>
                <w:highlight w:val="none"/>
                <w:lang w:val="zh-CN"/>
              </w:rPr>
            </w:pPr>
            <w:r>
              <w:rPr>
                <w:highlight w:val="none"/>
                <w:lang w:val="zh-CN"/>
              </w:rPr>
              <w:t>施工过程中对交叉部位的成品保护</w:t>
            </w:r>
          </w:p>
        </w:tc>
      </w:tr>
      <w:tr w14:paraId="72ABAE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41" w:hRule="atLeast"/>
          <w:jc w:val="center"/>
        </w:trPr>
        <w:tc>
          <w:tcPr>
            <w:tcW w:w="622" w:type="dxa"/>
            <w:vMerge w:val="continue"/>
            <w:tcBorders>
              <w:top w:val="nil"/>
            </w:tcBorders>
            <w:noWrap w:val="0"/>
            <w:vAlign w:val="center"/>
          </w:tcPr>
          <w:p w14:paraId="07E94787">
            <w:pPr>
              <w:pStyle w:val="13"/>
              <w:rPr>
                <w:highlight w:val="none"/>
                <w:lang w:val="zh-CN"/>
              </w:rPr>
            </w:pPr>
          </w:p>
        </w:tc>
        <w:tc>
          <w:tcPr>
            <w:tcW w:w="1434" w:type="dxa"/>
            <w:gridSpan w:val="2"/>
            <w:vMerge w:val="continue"/>
            <w:tcBorders>
              <w:top w:val="nil"/>
            </w:tcBorders>
            <w:noWrap w:val="0"/>
            <w:vAlign w:val="center"/>
          </w:tcPr>
          <w:p w14:paraId="6B40B004">
            <w:pPr>
              <w:pStyle w:val="13"/>
              <w:rPr>
                <w:highlight w:val="none"/>
                <w:lang w:val="zh-CN"/>
              </w:rPr>
            </w:pPr>
          </w:p>
        </w:tc>
        <w:tc>
          <w:tcPr>
            <w:tcW w:w="2792" w:type="dxa"/>
            <w:vMerge w:val="continue"/>
            <w:tcBorders>
              <w:top w:val="nil"/>
            </w:tcBorders>
            <w:noWrap w:val="0"/>
            <w:vAlign w:val="center"/>
          </w:tcPr>
          <w:p w14:paraId="4557BE6D">
            <w:pPr>
              <w:pStyle w:val="13"/>
              <w:rPr>
                <w:highlight w:val="none"/>
                <w:lang w:val="zh-CN"/>
              </w:rPr>
            </w:pPr>
          </w:p>
        </w:tc>
        <w:tc>
          <w:tcPr>
            <w:tcW w:w="6922" w:type="dxa"/>
            <w:noWrap w:val="0"/>
            <w:vAlign w:val="center"/>
          </w:tcPr>
          <w:p w14:paraId="2EC4C385">
            <w:pPr>
              <w:pStyle w:val="13"/>
              <w:rPr>
                <w:highlight w:val="none"/>
                <w:lang w:val="zh-CN"/>
              </w:rPr>
            </w:pPr>
          </w:p>
          <w:p w14:paraId="550D73D7">
            <w:pPr>
              <w:pStyle w:val="13"/>
              <w:rPr>
                <w:highlight w:val="none"/>
                <w:lang w:val="zh-CN"/>
              </w:rPr>
            </w:pPr>
            <w:r>
              <w:rPr>
                <w:highlight w:val="none"/>
              </w:rPr>
              <w:drawing>
                <wp:inline distT="0" distB="0" distL="114300" distR="114300">
                  <wp:extent cx="3180080" cy="2295525"/>
                  <wp:effectExtent l="0" t="0" r="1270" b="9525"/>
                  <wp:docPr id="9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0.jpeg"/>
                          <pic:cNvPicPr>
                            <a:picLocks noChangeAspect="1"/>
                          </pic:cNvPicPr>
                        </pic:nvPicPr>
                        <pic:blipFill>
                          <a:blip r:embed="rId104"/>
                          <a:stretch>
                            <a:fillRect/>
                          </a:stretch>
                        </pic:blipFill>
                        <pic:spPr>
                          <a:xfrm>
                            <a:off x="0" y="0"/>
                            <a:ext cx="3180080" cy="2295525"/>
                          </a:xfrm>
                          <a:prstGeom prst="rect">
                            <a:avLst/>
                          </a:prstGeom>
                          <a:noFill/>
                          <a:ln>
                            <a:noFill/>
                          </a:ln>
                        </pic:spPr>
                      </pic:pic>
                    </a:graphicData>
                  </a:graphic>
                </wp:inline>
              </w:drawing>
            </w:r>
          </w:p>
        </w:tc>
        <w:tc>
          <w:tcPr>
            <w:tcW w:w="1314" w:type="dxa"/>
            <w:noWrap w:val="0"/>
            <w:vAlign w:val="center"/>
          </w:tcPr>
          <w:p w14:paraId="71DE92C6">
            <w:pPr>
              <w:pStyle w:val="13"/>
              <w:rPr>
                <w:highlight w:val="none"/>
                <w:lang w:val="zh-CN"/>
              </w:rPr>
            </w:pPr>
            <w:r>
              <w:rPr>
                <w:highlight w:val="none"/>
                <w:lang w:val="zh-CN"/>
              </w:rPr>
              <w:t>挡墙及座凳的护角保护</w:t>
            </w:r>
          </w:p>
        </w:tc>
      </w:tr>
      <w:tr w14:paraId="786D7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7" w:hRule="atLeast"/>
          <w:jc w:val="center"/>
        </w:trPr>
        <w:tc>
          <w:tcPr>
            <w:tcW w:w="622" w:type="dxa"/>
            <w:vMerge w:val="continue"/>
            <w:tcBorders>
              <w:top w:val="nil"/>
            </w:tcBorders>
            <w:noWrap w:val="0"/>
            <w:vAlign w:val="center"/>
          </w:tcPr>
          <w:p w14:paraId="73249F66">
            <w:pPr>
              <w:pStyle w:val="13"/>
              <w:rPr>
                <w:highlight w:val="none"/>
                <w:lang w:val="zh-CN"/>
              </w:rPr>
            </w:pPr>
          </w:p>
        </w:tc>
        <w:tc>
          <w:tcPr>
            <w:tcW w:w="1434" w:type="dxa"/>
            <w:gridSpan w:val="2"/>
            <w:vMerge w:val="continue"/>
            <w:tcBorders>
              <w:top w:val="nil"/>
            </w:tcBorders>
            <w:noWrap w:val="0"/>
            <w:vAlign w:val="center"/>
          </w:tcPr>
          <w:p w14:paraId="38025889">
            <w:pPr>
              <w:pStyle w:val="13"/>
              <w:rPr>
                <w:highlight w:val="none"/>
                <w:lang w:val="zh-CN"/>
              </w:rPr>
            </w:pPr>
          </w:p>
        </w:tc>
        <w:tc>
          <w:tcPr>
            <w:tcW w:w="2792" w:type="dxa"/>
            <w:vMerge w:val="continue"/>
            <w:tcBorders>
              <w:top w:val="nil"/>
            </w:tcBorders>
            <w:noWrap w:val="0"/>
            <w:vAlign w:val="center"/>
          </w:tcPr>
          <w:p w14:paraId="217A6310">
            <w:pPr>
              <w:pStyle w:val="13"/>
              <w:rPr>
                <w:highlight w:val="none"/>
                <w:lang w:val="zh-CN"/>
              </w:rPr>
            </w:pPr>
          </w:p>
        </w:tc>
        <w:tc>
          <w:tcPr>
            <w:tcW w:w="6922" w:type="dxa"/>
            <w:noWrap w:val="0"/>
            <w:vAlign w:val="center"/>
          </w:tcPr>
          <w:p w14:paraId="71F3E2F4">
            <w:pPr>
              <w:pStyle w:val="13"/>
              <w:rPr>
                <w:highlight w:val="none"/>
                <w:lang w:val="zh-CN"/>
              </w:rPr>
            </w:pPr>
          </w:p>
          <w:p w14:paraId="3FE6D0B4">
            <w:pPr>
              <w:pStyle w:val="13"/>
              <w:rPr>
                <w:highlight w:val="none"/>
                <w:lang w:val="zh-CN"/>
              </w:rPr>
            </w:pPr>
            <w:r>
              <w:rPr>
                <w:highlight w:val="none"/>
              </w:rPr>
              <w:drawing>
                <wp:inline distT="0" distB="0" distL="114300" distR="114300">
                  <wp:extent cx="3202940" cy="2132330"/>
                  <wp:effectExtent l="0" t="0" r="16510" b="1270"/>
                  <wp:docPr id="92"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1.jpeg"/>
                          <pic:cNvPicPr>
                            <a:picLocks noChangeAspect="1"/>
                          </pic:cNvPicPr>
                        </pic:nvPicPr>
                        <pic:blipFill>
                          <a:blip r:embed="rId105"/>
                          <a:stretch>
                            <a:fillRect/>
                          </a:stretch>
                        </pic:blipFill>
                        <pic:spPr>
                          <a:xfrm>
                            <a:off x="0" y="0"/>
                            <a:ext cx="3202940" cy="2132330"/>
                          </a:xfrm>
                          <a:prstGeom prst="rect">
                            <a:avLst/>
                          </a:prstGeom>
                          <a:noFill/>
                          <a:ln>
                            <a:noFill/>
                          </a:ln>
                        </pic:spPr>
                      </pic:pic>
                    </a:graphicData>
                  </a:graphic>
                </wp:inline>
              </w:drawing>
            </w:r>
          </w:p>
        </w:tc>
        <w:tc>
          <w:tcPr>
            <w:tcW w:w="1314" w:type="dxa"/>
            <w:noWrap w:val="0"/>
            <w:vAlign w:val="center"/>
          </w:tcPr>
          <w:p w14:paraId="31717C49">
            <w:pPr>
              <w:pStyle w:val="13"/>
              <w:rPr>
                <w:highlight w:val="none"/>
                <w:lang w:val="zh-CN"/>
              </w:rPr>
            </w:pPr>
            <w:r>
              <w:rPr>
                <w:highlight w:val="none"/>
                <w:lang w:val="zh-CN"/>
              </w:rPr>
              <w:t>树池压顶的护角保护</w:t>
            </w:r>
          </w:p>
        </w:tc>
      </w:tr>
      <w:tr w14:paraId="0E4949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9" w:hRule="atLeast"/>
          <w:jc w:val="center"/>
        </w:trPr>
        <w:tc>
          <w:tcPr>
            <w:tcW w:w="622" w:type="dxa"/>
            <w:vMerge w:val="restart"/>
            <w:noWrap w:val="0"/>
            <w:vAlign w:val="center"/>
          </w:tcPr>
          <w:p w14:paraId="75587ABA">
            <w:pPr>
              <w:pStyle w:val="13"/>
              <w:rPr>
                <w:rFonts w:hint="eastAsia" w:eastAsia="宋体"/>
                <w:highlight w:val="none"/>
                <w:lang w:val="zh-CN" w:eastAsia="zh-CN"/>
              </w:rPr>
            </w:pPr>
            <w:r>
              <w:rPr>
                <w:rFonts w:hint="eastAsia"/>
                <w:highlight w:val="none"/>
                <w:lang w:val="en-US" w:eastAsia="zh-CN"/>
              </w:rPr>
              <w:t>8</w:t>
            </w:r>
          </w:p>
        </w:tc>
        <w:tc>
          <w:tcPr>
            <w:tcW w:w="1434" w:type="dxa"/>
            <w:gridSpan w:val="2"/>
            <w:vMerge w:val="restart"/>
            <w:noWrap w:val="0"/>
            <w:vAlign w:val="center"/>
          </w:tcPr>
          <w:p w14:paraId="05723EF9">
            <w:pPr>
              <w:pStyle w:val="13"/>
              <w:rPr>
                <w:highlight w:val="none"/>
                <w:lang w:val="zh-CN"/>
              </w:rPr>
            </w:pPr>
            <w:r>
              <w:rPr>
                <w:highlight w:val="none"/>
                <w:lang w:val="zh-CN"/>
              </w:rPr>
              <w:t>其他工种施工时对铺装的保护</w:t>
            </w:r>
          </w:p>
        </w:tc>
        <w:tc>
          <w:tcPr>
            <w:tcW w:w="2792" w:type="dxa"/>
            <w:noWrap w:val="0"/>
            <w:vAlign w:val="center"/>
          </w:tcPr>
          <w:p w14:paraId="39635025">
            <w:pPr>
              <w:pStyle w:val="13"/>
              <w:rPr>
                <w:highlight w:val="none"/>
                <w:lang w:val="zh-CN"/>
              </w:rPr>
            </w:pPr>
            <w:r>
              <w:rPr>
                <w:highlight w:val="none"/>
                <w:lang w:val="zh-CN"/>
              </w:rPr>
              <w:t>沥青浇筑过程中必须对侧平石作复盖保护，防止压碎或机油染污</w:t>
            </w:r>
          </w:p>
        </w:tc>
        <w:tc>
          <w:tcPr>
            <w:tcW w:w="6922" w:type="dxa"/>
            <w:noWrap w:val="0"/>
            <w:vAlign w:val="center"/>
          </w:tcPr>
          <w:p w14:paraId="035C0401">
            <w:pPr>
              <w:pStyle w:val="13"/>
              <w:rPr>
                <w:highlight w:val="none"/>
                <w:lang w:val="zh-CN"/>
              </w:rPr>
            </w:pPr>
          </w:p>
          <w:p w14:paraId="1633ADB0">
            <w:pPr>
              <w:pStyle w:val="13"/>
              <w:rPr>
                <w:highlight w:val="none"/>
                <w:lang w:val="zh-CN"/>
              </w:rPr>
            </w:pPr>
            <w:r>
              <w:rPr>
                <w:highlight w:val="none"/>
              </w:rPr>
              <w:drawing>
                <wp:inline distT="0" distB="0" distL="114300" distR="114300">
                  <wp:extent cx="3408045" cy="2138680"/>
                  <wp:effectExtent l="0" t="0" r="1905" b="13970"/>
                  <wp:docPr id="9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2.jpeg"/>
                          <pic:cNvPicPr>
                            <a:picLocks noChangeAspect="1"/>
                          </pic:cNvPicPr>
                        </pic:nvPicPr>
                        <pic:blipFill>
                          <a:blip r:embed="rId106"/>
                          <a:stretch>
                            <a:fillRect/>
                          </a:stretch>
                        </pic:blipFill>
                        <pic:spPr>
                          <a:xfrm>
                            <a:off x="0" y="0"/>
                            <a:ext cx="3408045" cy="2138680"/>
                          </a:xfrm>
                          <a:prstGeom prst="rect">
                            <a:avLst/>
                          </a:prstGeom>
                          <a:noFill/>
                          <a:ln>
                            <a:noFill/>
                          </a:ln>
                        </pic:spPr>
                      </pic:pic>
                    </a:graphicData>
                  </a:graphic>
                </wp:inline>
              </w:drawing>
            </w:r>
          </w:p>
        </w:tc>
        <w:tc>
          <w:tcPr>
            <w:tcW w:w="1314" w:type="dxa"/>
            <w:noWrap w:val="0"/>
            <w:vAlign w:val="center"/>
          </w:tcPr>
          <w:p w14:paraId="56528906">
            <w:pPr>
              <w:pStyle w:val="13"/>
              <w:rPr>
                <w:highlight w:val="none"/>
                <w:lang w:val="zh-CN"/>
              </w:rPr>
            </w:pPr>
            <w:r>
              <w:rPr>
                <w:highlight w:val="none"/>
                <w:lang w:val="zh-CN"/>
              </w:rPr>
              <w:t>侧平石保护</w:t>
            </w:r>
          </w:p>
        </w:tc>
      </w:tr>
      <w:tr w14:paraId="13E682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3" w:hRule="atLeast"/>
          <w:jc w:val="center"/>
        </w:trPr>
        <w:tc>
          <w:tcPr>
            <w:tcW w:w="622" w:type="dxa"/>
            <w:vMerge w:val="continue"/>
            <w:tcBorders>
              <w:top w:val="nil"/>
            </w:tcBorders>
            <w:noWrap w:val="0"/>
            <w:vAlign w:val="center"/>
          </w:tcPr>
          <w:p w14:paraId="22E4BC21">
            <w:pPr>
              <w:pStyle w:val="13"/>
              <w:rPr>
                <w:highlight w:val="none"/>
                <w:lang w:val="zh-CN"/>
              </w:rPr>
            </w:pPr>
          </w:p>
        </w:tc>
        <w:tc>
          <w:tcPr>
            <w:tcW w:w="1434" w:type="dxa"/>
            <w:gridSpan w:val="2"/>
            <w:vMerge w:val="continue"/>
            <w:tcBorders>
              <w:top w:val="nil"/>
            </w:tcBorders>
            <w:noWrap w:val="0"/>
            <w:vAlign w:val="center"/>
          </w:tcPr>
          <w:p w14:paraId="2BBB4070">
            <w:pPr>
              <w:pStyle w:val="13"/>
              <w:rPr>
                <w:highlight w:val="none"/>
                <w:lang w:val="zh-CN"/>
              </w:rPr>
            </w:pPr>
          </w:p>
        </w:tc>
        <w:tc>
          <w:tcPr>
            <w:tcW w:w="2792" w:type="dxa"/>
            <w:noWrap w:val="0"/>
            <w:vAlign w:val="center"/>
          </w:tcPr>
          <w:p w14:paraId="2868446F">
            <w:pPr>
              <w:pStyle w:val="13"/>
              <w:rPr>
                <w:highlight w:val="none"/>
                <w:lang w:val="zh-CN"/>
              </w:rPr>
            </w:pPr>
            <w:r>
              <w:rPr>
                <w:highlight w:val="none"/>
                <w:lang w:val="zh-CN"/>
              </w:rPr>
              <w:t>装修、幕墙等作业施工时必须对地面铺装作全面保护， 防止二次染污，难以清洗</w:t>
            </w:r>
          </w:p>
        </w:tc>
        <w:tc>
          <w:tcPr>
            <w:tcW w:w="6922" w:type="dxa"/>
            <w:noWrap w:val="0"/>
            <w:vAlign w:val="center"/>
          </w:tcPr>
          <w:p w14:paraId="45C00082">
            <w:pPr>
              <w:pStyle w:val="13"/>
              <w:rPr>
                <w:highlight w:val="none"/>
                <w:lang w:val="zh-CN"/>
              </w:rPr>
            </w:pPr>
          </w:p>
          <w:p w14:paraId="0BFDEE72">
            <w:pPr>
              <w:pStyle w:val="13"/>
              <w:rPr>
                <w:highlight w:val="none"/>
                <w:lang w:val="zh-CN"/>
              </w:rPr>
            </w:pPr>
            <w:r>
              <w:rPr>
                <w:highlight w:val="none"/>
              </w:rPr>
              <w:drawing>
                <wp:inline distT="0" distB="0" distL="114300" distR="114300">
                  <wp:extent cx="3242310" cy="2099945"/>
                  <wp:effectExtent l="0" t="0" r="15240" b="14605"/>
                  <wp:docPr id="94"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3.jpeg"/>
                          <pic:cNvPicPr>
                            <a:picLocks noChangeAspect="1"/>
                          </pic:cNvPicPr>
                        </pic:nvPicPr>
                        <pic:blipFill>
                          <a:blip r:embed="rId107"/>
                          <a:stretch>
                            <a:fillRect/>
                          </a:stretch>
                        </pic:blipFill>
                        <pic:spPr>
                          <a:xfrm>
                            <a:off x="0" y="0"/>
                            <a:ext cx="3242310" cy="2099945"/>
                          </a:xfrm>
                          <a:prstGeom prst="rect">
                            <a:avLst/>
                          </a:prstGeom>
                          <a:noFill/>
                          <a:ln>
                            <a:noFill/>
                          </a:ln>
                        </pic:spPr>
                      </pic:pic>
                    </a:graphicData>
                  </a:graphic>
                </wp:inline>
              </w:drawing>
            </w:r>
          </w:p>
        </w:tc>
        <w:tc>
          <w:tcPr>
            <w:tcW w:w="1314" w:type="dxa"/>
            <w:noWrap w:val="0"/>
            <w:vAlign w:val="center"/>
          </w:tcPr>
          <w:p w14:paraId="1651D8FD">
            <w:pPr>
              <w:pStyle w:val="13"/>
              <w:rPr>
                <w:highlight w:val="none"/>
                <w:lang w:val="zh-CN"/>
              </w:rPr>
            </w:pPr>
            <w:r>
              <w:rPr>
                <w:highlight w:val="none"/>
                <w:lang w:val="zh-CN"/>
              </w:rPr>
              <w:t>架空层装修过程中的地面成品保护</w:t>
            </w:r>
          </w:p>
        </w:tc>
      </w:tr>
      <w:tr w14:paraId="11C9A3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2" w:hRule="atLeast"/>
          <w:jc w:val="center"/>
        </w:trPr>
        <w:tc>
          <w:tcPr>
            <w:tcW w:w="622" w:type="dxa"/>
            <w:noWrap w:val="0"/>
            <w:vAlign w:val="center"/>
          </w:tcPr>
          <w:p w14:paraId="684E33ED">
            <w:pPr>
              <w:pStyle w:val="13"/>
              <w:rPr>
                <w:rFonts w:hint="eastAsia" w:eastAsia="宋体"/>
                <w:highlight w:val="none"/>
                <w:lang w:val="zh-CN" w:eastAsia="zh-CN"/>
              </w:rPr>
            </w:pPr>
            <w:r>
              <w:rPr>
                <w:rFonts w:hint="eastAsia"/>
                <w:highlight w:val="none"/>
                <w:lang w:val="en-US" w:eastAsia="zh-CN"/>
              </w:rPr>
              <w:t>9</w:t>
            </w:r>
          </w:p>
        </w:tc>
        <w:tc>
          <w:tcPr>
            <w:tcW w:w="1434" w:type="dxa"/>
            <w:gridSpan w:val="2"/>
            <w:noWrap w:val="0"/>
            <w:vAlign w:val="center"/>
          </w:tcPr>
          <w:p w14:paraId="710B115E">
            <w:pPr>
              <w:pStyle w:val="13"/>
              <w:rPr>
                <w:highlight w:val="none"/>
                <w:lang w:val="zh-CN"/>
              </w:rPr>
            </w:pPr>
            <w:r>
              <w:rPr>
                <w:highlight w:val="none"/>
                <w:lang w:val="zh-CN"/>
              </w:rPr>
              <w:t>饰面清洗保护</w:t>
            </w:r>
          </w:p>
        </w:tc>
        <w:tc>
          <w:tcPr>
            <w:tcW w:w="2792" w:type="dxa"/>
            <w:noWrap w:val="0"/>
            <w:vAlign w:val="center"/>
          </w:tcPr>
          <w:p w14:paraId="1EB30E1C">
            <w:pPr>
              <w:pStyle w:val="13"/>
              <w:rPr>
                <w:highlight w:val="none"/>
                <w:lang w:val="zh-CN"/>
              </w:rPr>
            </w:pPr>
            <w:r>
              <w:rPr>
                <w:highlight w:val="none"/>
                <w:lang w:val="zh-CN"/>
              </w:rPr>
              <w:t>所有饰面清洗时禁止用草酸等有腐蚀性的清洗剂，应用中性清洗剂，或直接用高压水枪清洗</w:t>
            </w:r>
          </w:p>
        </w:tc>
        <w:tc>
          <w:tcPr>
            <w:tcW w:w="6922" w:type="dxa"/>
            <w:noWrap w:val="0"/>
            <w:vAlign w:val="center"/>
          </w:tcPr>
          <w:p w14:paraId="4CFE9FF7">
            <w:pPr>
              <w:pStyle w:val="13"/>
              <w:rPr>
                <w:highlight w:val="none"/>
                <w:lang w:val="zh-CN"/>
              </w:rPr>
            </w:pPr>
          </w:p>
          <w:p w14:paraId="1530332B">
            <w:pPr>
              <w:pStyle w:val="13"/>
              <w:rPr>
                <w:highlight w:val="none"/>
                <w:lang w:val="zh-CN"/>
              </w:rPr>
            </w:pPr>
            <w:r>
              <w:rPr>
                <w:highlight w:val="none"/>
              </w:rPr>
              <w:drawing>
                <wp:inline distT="0" distB="0" distL="114300" distR="114300">
                  <wp:extent cx="3234055" cy="2235835"/>
                  <wp:effectExtent l="0" t="0" r="4445" b="12065"/>
                  <wp:docPr id="9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4.jpeg"/>
                          <pic:cNvPicPr>
                            <a:picLocks noChangeAspect="1"/>
                          </pic:cNvPicPr>
                        </pic:nvPicPr>
                        <pic:blipFill>
                          <a:blip r:embed="rId108"/>
                          <a:stretch>
                            <a:fillRect/>
                          </a:stretch>
                        </pic:blipFill>
                        <pic:spPr>
                          <a:xfrm>
                            <a:off x="0" y="0"/>
                            <a:ext cx="3234055" cy="2235835"/>
                          </a:xfrm>
                          <a:prstGeom prst="rect">
                            <a:avLst/>
                          </a:prstGeom>
                          <a:noFill/>
                          <a:ln>
                            <a:noFill/>
                          </a:ln>
                        </pic:spPr>
                      </pic:pic>
                    </a:graphicData>
                  </a:graphic>
                </wp:inline>
              </w:drawing>
            </w:r>
          </w:p>
        </w:tc>
        <w:tc>
          <w:tcPr>
            <w:tcW w:w="1314" w:type="dxa"/>
            <w:noWrap w:val="0"/>
            <w:vAlign w:val="center"/>
          </w:tcPr>
          <w:p w14:paraId="26EB3618">
            <w:pPr>
              <w:pStyle w:val="13"/>
              <w:rPr>
                <w:highlight w:val="none"/>
                <w:lang w:val="zh-CN"/>
              </w:rPr>
            </w:pPr>
            <w:r>
              <w:rPr>
                <w:highlight w:val="none"/>
                <w:lang w:val="zh-CN"/>
              </w:rPr>
              <w:t>用高压水枪清洗</w:t>
            </w:r>
          </w:p>
        </w:tc>
      </w:tr>
      <w:tr w14:paraId="3F726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0" w:hRule="atLeast"/>
          <w:jc w:val="center"/>
        </w:trPr>
        <w:tc>
          <w:tcPr>
            <w:tcW w:w="622" w:type="dxa"/>
            <w:noWrap w:val="0"/>
            <w:vAlign w:val="center"/>
          </w:tcPr>
          <w:p w14:paraId="587FF0A3">
            <w:pPr>
              <w:pStyle w:val="13"/>
              <w:rPr>
                <w:rFonts w:hint="default" w:eastAsia="宋体"/>
                <w:highlight w:val="none"/>
                <w:lang w:val="en-US" w:eastAsia="zh-CN"/>
              </w:rPr>
            </w:pPr>
            <w:r>
              <w:rPr>
                <w:rFonts w:hint="eastAsia"/>
                <w:highlight w:val="none"/>
                <w:lang w:val="en-US" w:eastAsia="zh-CN"/>
              </w:rPr>
              <w:t>10</w:t>
            </w:r>
          </w:p>
        </w:tc>
        <w:tc>
          <w:tcPr>
            <w:tcW w:w="1434" w:type="dxa"/>
            <w:gridSpan w:val="2"/>
            <w:noWrap w:val="0"/>
            <w:vAlign w:val="center"/>
          </w:tcPr>
          <w:p w14:paraId="2C15673A">
            <w:pPr>
              <w:pStyle w:val="13"/>
              <w:rPr>
                <w:highlight w:val="none"/>
                <w:lang w:val="zh-CN"/>
              </w:rPr>
            </w:pPr>
            <w:r>
              <w:rPr>
                <w:highlight w:val="none"/>
                <w:lang w:val="zh-CN"/>
              </w:rPr>
              <w:t>绿化苗木装车</w:t>
            </w:r>
          </w:p>
          <w:p w14:paraId="2B7D8312">
            <w:pPr>
              <w:pStyle w:val="13"/>
              <w:rPr>
                <w:highlight w:val="none"/>
                <w:lang w:val="zh-CN"/>
              </w:rPr>
            </w:pPr>
            <w:r>
              <w:rPr>
                <w:highlight w:val="none"/>
                <w:lang w:val="zh-CN"/>
              </w:rPr>
              <w:t>、运输</w:t>
            </w:r>
          </w:p>
        </w:tc>
        <w:tc>
          <w:tcPr>
            <w:tcW w:w="2792" w:type="dxa"/>
            <w:noWrap w:val="0"/>
            <w:vAlign w:val="center"/>
          </w:tcPr>
          <w:p w14:paraId="0BEFA624">
            <w:pPr>
              <w:pStyle w:val="13"/>
              <w:rPr>
                <w:highlight w:val="none"/>
                <w:lang w:val="zh-CN"/>
              </w:rPr>
            </w:pPr>
            <w:r>
              <w:rPr>
                <w:highlight w:val="none"/>
                <w:lang w:val="zh-CN"/>
              </w:rPr>
              <w:t>运输中必须对树冠及土球进行全面阴网覆盖处理，尽量减少叶面水份蒸发</w:t>
            </w:r>
          </w:p>
        </w:tc>
        <w:tc>
          <w:tcPr>
            <w:tcW w:w="6922" w:type="dxa"/>
            <w:noWrap w:val="0"/>
            <w:vAlign w:val="center"/>
          </w:tcPr>
          <w:p w14:paraId="289786C1">
            <w:pPr>
              <w:pStyle w:val="13"/>
              <w:rPr>
                <w:highlight w:val="none"/>
                <w:lang w:val="zh-CN"/>
              </w:rPr>
            </w:pPr>
          </w:p>
          <w:p w14:paraId="4BD8031F">
            <w:pPr>
              <w:pStyle w:val="13"/>
              <w:rPr>
                <w:highlight w:val="none"/>
                <w:lang w:val="zh-CN"/>
              </w:rPr>
            </w:pPr>
            <w:r>
              <w:rPr>
                <w:highlight w:val="none"/>
              </w:rPr>
              <w:drawing>
                <wp:inline distT="0" distB="0" distL="114300" distR="114300">
                  <wp:extent cx="3210560" cy="2178685"/>
                  <wp:effectExtent l="0" t="0" r="8890" b="12065"/>
                  <wp:docPr id="96"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5.jpeg"/>
                          <pic:cNvPicPr>
                            <a:picLocks noChangeAspect="1"/>
                          </pic:cNvPicPr>
                        </pic:nvPicPr>
                        <pic:blipFill>
                          <a:blip r:embed="rId109"/>
                          <a:stretch>
                            <a:fillRect/>
                          </a:stretch>
                        </pic:blipFill>
                        <pic:spPr>
                          <a:xfrm>
                            <a:off x="0" y="0"/>
                            <a:ext cx="3210560" cy="2178685"/>
                          </a:xfrm>
                          <a:prstGeom prst="rect">
                            <a:avLst/>
                          </a:prstGeom>
                          <a:noFill/>
                          <a:ln>
                            <a:noFill/>
                          </a:ln>
                        </pic:spPr>
                      </pic:pic>
                    </a:graphicData>
                  </a:graphic>
                </wp:inline>
              </w:drawing>
            </w:r>
          </w:p>
        </w:tc>
        <w:tc>
          <w:tcPr>
            <w:tcW w:w="1314" w:type="dxa"/>
            <w:noWrap w:val="0"/>
            <w:vAlign w:val="center"/>
          </w:tcPr>
          <w:p w14:paraId="6F223237">
            <w:pPr>
              <w:pStyle w:val="13"/>
              <w:rPr>
                <w:highlight w:val="none"/>
                <w:lang w:val="zh-CN"/>
              </w:rPr>
            </w:pPr>
            <w:r>
              <w:rPr>
                <w:highlight w:val="none"/>
                <w:lang w:val="zh-CN"/>
              </w:rPr>
              <w:t>阴网覆盖</w:t>
            </w:r>
          </w:p>
        </w:tc>
      </w:tr>
      <w:tr w14:paraId="7BEE46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9" w:hRule="atLeast"/>
          <w:jc w:val="center"/>
        </w:trPr>
        <w:tc>
          <w:tcPr>
            <w:tcW w:w="622" w:type="dxa"/>
            <w:noWrap w:val="0"/>
            <w:vAlign w:val="center"/>
          </w:tcPr>
          <w:p w14:paraId="386CEEF1">
            <w:pPr>
              <w:pStyle w:val="13"/>
              <w:rPr>
                <w:rFonts w:hint="eastAsia" w:eastAsia="宋体"/>
                <w:highlight w:val="none"/>
                <w:lang w:val="zh-CN" w:eastAsia="zh-CN"/>
              </w:rPr>
            </w:pPr>
            <w:r>
              <w:rPr>
                <w:highlight w:val="none"/>
                <w:lang w:val="zh-CN"/>
              </w:rPr>
              <w:t>1</w:t>
            </w:r>
            <w:r>
              <w:rPr>
                <w:rFonts w:hint="eastAsia"/>
                <w:highlight w:val="none"/>
                <w:lang w:val="en-US" w:eastAsia="zh-CN"/>
              </w:rPr>
              <w:t>1</w:t>
            </w:r>
          </w:p>
        </w:tc>
        <w:tc>
          <w:tcPr>
            <w:tcW w:w="1434" w:type="dxa"/>
            <w:gridSpan w:val="2"/>
            <w:noWrap w:val="0"/>
            <w:vAlign w:val="center"/>
          </w:tcPr>
          <w:p w14:paraId="244545D3">
            <w:pPr>
              <w:pStyle w:val="13"/>
              <w:rPr>
                <w:highlight w:val="none"/>
                <w:lang w:val="zh-CN"/>
              </w:rPr>
            </w:pPr>
            <w:r>
              <w:rPr>
                <w:highlight w:val="none"/>
                <w:lang w:val="zh-CN"/>
              </w:rPr>
              <w:t>绿化苗木种植时保护</w:t>
            </w:r>
          </w:p>
        </w:tc>
        <w:tc>
          <w:tcPr>
            <w:tcW w:w="2792" w:type="dxa"/>
            <w:noWrap w:val="0"/>
            <w:vAlign w:val="center"/>
          </w:tcPr>
          <w:p w14:paraId="4EFA7C91">
            <w:pPr>
              <w:pStyle w:val="13"/>
              <w:rPr>
                <w:highlight w:val="none"/>
                <w:lang w:val="zh-CN"/>
              </w:rPr>
            </w:pPr>
            <w:r>
              <w:rPr>
                <w:highlight w:val="none"/>
                <w:lang w:val="zh-CN"/>
              </w:rPr>
              <w:t>大树吊种时必须用棉被、席草、麻布等材料保护树杆，避免邦带直接接触树杆，拉伤树皮</w:t>
            </w:r>
          </w:p>
        </w:tc>
        <w:tc>
          <w:tcPr>
            <w:tcW w:w="6922" w:type="dxa"/>
            <w:noWrap w:val="0"/>
            <w:vAlign w:val="center"/>
          </w:tcPr>
          <w:p w14:paraId="4AE4037A">
            <w:pPr>
              <w:pStyle w:val="13"/>
              <w:rPr>
                <w:highlight w:val="none"/>
                <w:lang w:val="zh-CN"/>
              </w:rPr>
            </w:pPr>
          </w:p>
          <w:p w14:paraId="19B8157B">
            <w:pPr>
              <w:pStyle w:val="13"/>
              <w:rPr>
                <w:highlight w:val="none"/>
                <w:lang w:val="zh-CN"/>
              </w:rPr>
            </w:pPr>
            <w:r>
              <w:rPr>
                <w:highlight w:val="none"/>
              </w:rPr>
              <w:drawing>
                <wp:inline distT="0" distB="0" distL="114300" distR="114300">
                  <wp:extent cx="3140710" cy="2170430"/>
                  <wp:effectExtent l="0" t="0" r="2540" b="1270"/>
                  <wp:docPr id="97" name="image96.jpeg"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6.jpeg" descr="6"/>
                          <pic:cNvPicPr>
                            <a:picLocks noChangeAspect="1"/>
                          </pic:cNvPicPr>
                        </pic:nvPicPr>
                        <pic:blipFill>
                          <a:blip r:embed="rId110"/>
                          <a:stretch>
                            <a:fillRect/>
                          </a:stretch>
                        </pic:blipFill>
                        <pic:spPr>
                          <a:xfrm>
                            <a:off x="0" y="0"/>
                            <a:ext cx="3140710" cy="2170430"/>
                          </a:xfrm>
                          <a:prstGeom prst="rect">
                            <a:avLst/>
                          </a:prstGeom>
                          <a:noFill/>
                          <a:ln>
                            <a:noFill/>
                          </a:ln>
                        </pic:spPr>
                      </pic:pic>
                    </a:graphicData>
                  </a:graphic>
                </wp:inline>
              </w:drawing>
            </w:r>
          </w:p>
          <w:p w14:paraId="14A085DE">
            <w:pPr>
              <w:pStyle w:val="13"/>
              <w:rPr>
                <w:highlight w:val="none"/>
                <w:lang w:val="zh-CN"/>
              </w:rPr>
            </w:pPr>
          </w:p>
          <w:p w14:paraId="6BAE4462">
            <w:pPr>
              <w:pStyle w:val="13"/>
              <w:rPr>
                <w:highlight w:val="none"/>
                <w:lang w:val="zh-CN"/>
              </w:rPr>
            </w:pPr>
            <w:r>
              <w:rPr>
                <w:highlight w:val="none"/>
              </w:rPr>
              <w:drawing>
                <wp:inline distT="0" distB="0" distL="114300" distR="114300">
                  <wp:extent cx="2767965" cy="2540"/>
                  <wp:effectExtent l="0" t="0" r="0" b="0"/>
                  <wp:docPr id="98"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7.png"/>
                          <pic:cNvPicPr>
                            <a:picLocks noChangeAspect="1"/>
                          </pic:cNvPicPr>
                        </pic:nvPicPr>
                        <pic:blipFill>
                          <a:blip r:embed="rId111"/>
                          <a:stretch>
                            <a:fillRect/>
                          </a:stretch>
                        </pic:blipFill>
                        <pic:spPr>
                          <a:xfrm>
                            <a:off x="0" y="0"/>
                            <a:ext cx="2767965" cy="2540"/>
                          </a:xfrm>
                          <a:prstGeom prst="rect">
                            <a:avLst/>
                          </a:prstGeom>
                          <a:noFill/>
                          <a:ln>
                            <a:noFill/>
                          </a:ln>
                        </pic:spPr>
                      </pic:pic>
                    </a:graphicData>
                  </a:graphic>
                </wp:inline>
              </w:drawing>
            </w:r>
          </w:p>
        </w:tc>
        <w:tc>
          <w:tcPr>
            <w:tcW w:w="1314" w:type="dxa"/>
            <w:noWrap w:val="0"/>
            <w:vAlign w:val="center"/>
          </w:tcPr>
          <w:p w14:paraId="627A2C40">
            <w:pPr>
              <w:pStyle w:val="13"/>
              <w:rPr>
                <w:highlight w:val="none"/>
                <w:lang w:val="zh-CN"/>
              </w:rPr>
            </w:pPr>
            <w:r>
              <w:rPr>
                <w:highlight w:val="none"/>
                <w:lang w:val="zh-CN"/>
              </w:rPr>
              <w:t>树杆保护</w:t>
            </w:r>
          </w:p>
        </w:tc>
      </w:tr>
      <w:tr w14:paraId="16827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4" w:hRule="atLeast"/>
          <w:jc w:val="center"/>
        </w:trPr>
        <w:tc>
          <w:tcPr>
            <w:tcW w:w="622" w:type="dxa"/>
            <w:noWrap w:val="0"/>
            <w:vAlign w:val="center"/>
          </w:tcPr>
          <w:p w14:paraId="0815FB64">
            <w:pPr>
              <w:pStyle w:val="13"/>
              <w:rPr>
                <w:rFonts w:hint="eastAsia" w:eastAsia="宋体"/>
                <w:highlight w:val="none"/>
                <w:lang w:val="zh-CN" w:eastAsia="zh-CN"/>
              </w:rPr>
            </w:pPr>
            <w:r>
              <w:rPr>
                <w:highlight w:val="none"/>
                <w:lang w:val="zh-CN"/>
              </w:rPr>
              <w:t>1</w:t>
            </w:r>
            <w:r>
              <w:rPr>
                <w:rFonts w:hint="eastAsia"/>
                <w:highlight w:val="none"/>
                <w:lang w:val="en-US" w:eastAsia="zh-CN"/>
              </w:rPr>
              <w:t>2</w:t>
            </w:r>
          </w:p>
        </w:tc>
        <w:tc>
          <w:tcPr>
            <w:tcW w:w="1434" w:type="dxa"/>
            <w:gridSpan w:val="2"/>
            <w:noWrap w:val="0"/>
            <w:vAlign w:val="center"/>
          </w:tcPr>
          <w:p w14:paraId="1FAE0489">
            <w:pPr>
              <w:pStyle w:val="13"/>
              <w:rPr>
                <w:highlight w:val="none"/>
                <w:lang w:val="zh-CN"/>
              </w:rPr>
            </w:pPr>
            <w:r>
              <w:rPr>
                <w:highlight w:val="none"/>
                <w:lang w:val="zh-CN"/>
              </w:rPr>
              <w:t>绿化苗木种植后围挡保护</w:t>
            </w:r>
          </w:p>
        </w:tc>
        <w:tc>
          <w:tcPr>
            <w:tcW w:w="2792" w:type="dxa"/>
            <w:noWrap w:val="0"/>
            <w:vAlign w:val="center"/>
          </w:tcPr>
          <w:p w14:paraId="29240FA3">
            <w:pPr>
              <w:pStyle w:val="13"/>
              <w:rPr>
                <w:highlight w:val="none"/>
                <w:lang w:val="zh-CN"/>
              </w:rPr>
            </w:pPr>
            <w:r>
              <w:rPr>
                <w:highlight w:val="none"/>
                <w:lang w:val="zh-CN"/>
              </w:rPr>
              <w:t>灌木、草皮种植后必须加围档保护，材料可以为竹杆、木杆、铁线网等，避免踩踏造成的破坏，保护直到楼盘的开放或交付使用。</w:t>
            </w:r>
          </w:p>
        </w:tc>
        <w:tc>
          <w:tcPr>
            <w:tcW w:w="6922" w:type="dxa"/>
            <w:noWrap w:val="0"/>
            <w:vAlign w:val="center"/>
          </w:tcPr>
          <w:p w14:paraId="23D43910">
            <w:pPr>
              <w:pStyle w:val="13"/>
              <w:rPr>
                <w:highlight w:val="none"/>
                <w:lang w:val="zh-CN"/>
              </w:rPr>
            </w:pPr>
            <w:r>
              <w:rPr>
                <w:highlight w:val="none"/>
              </w:rPr>
              <w:drawing>
                <wp:inline distT="0" distB="0" distL="114300" distR="114300">
                  <wp:extent cx="2869565" cy="2211070"/>
                  <wp:effectExtent l="0" t="0" r="6985" b="17780"/>
                  <wp:docPr id="9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8.jpeg"/>
                          <pic:cNvPicPr>
                            <a:picLocks noChangeAspect="1"/>
                          </pic:cNvPicPr>
                        </pic:nvPicPr>
                        <pic:blipFill>
                          <a:blip r:embed="rId112"/>
                          <a:stretch>
                            <a:fillRect/>
                          </a:stretch>
                        </pic:blipFill>
                        <pic:spPr>
                          <a:xfrm>
                            <a:off x="0" y="0"/>
                            <a:ext cx="2869565" cy="2211070"/>
                          </a:xfrm>
                          <a:prstGeom prst="rect">
                            <a:avLst/>
                          </a:prstGeom>
                          <a:noFill/>
                          <a:ln>
                            <a:noFill/>
                          </a:ln>
                        </pic:spPr>
                      </pic:pic>
                    </a:graphicData>
                  </a:graphic>
                </wp:inline>
              </w:drawing>
            </w:r>
          </w:p>
        </w:tc>
        <w:tc>
          <w:tcPr>
            <w:tcW w:w="1314" w:type="dxa"/>
            <w:noWrap w:val="0"/>
            <w:vAlign w:val="center"/>
          </w:tcPr>
          <w:p w14:paraId="74298D50">
            <w:pPr>
              <w:pStyle w:val="13"/>
              <w:rPr>
                <w:highlight w:val="none"/>
                <w:lang w:val="zh-CN"/>
              </w:rPr>
            </w:pPr>
            <w:r>
              <w:rPr>
                <w:highlight w:val="none"/>
                <w:lang w:val="zh-CN"/>
              </w:rPr>
              <w:t>竹杆围合保护</w:t>
            </w:r>
          </w:p>
        </w:tc>
      </w:tr>
    </w:tbl>
    <w:p w14:paraId="6342E7E0">
      <w:pPr>
        <w:spacing w:before="120" w:beforeLines="50" w:after="120" w:afterLines="50"/>
        <w:ind w:left="480" w:leftChars="200" w:firstLine="480"/>
        <w:rPr>
          <w:rFonts w:cs="宋体"/>
          <w:highlight w:val="none"/>
          <w:lang w:bidi="ar"/>
        </w:rPr>
      </w:pPr>
      <w:r>
        <w:rPr>
          <w:rFonts w:hint="eastAsia" w:cs="宋体"/>
          <w:highlight w:val="none"/>
          <w:lang w:bidi="ar"/>
        </w:rPr>
        <w:br w:type="page"/>
      </w:r>
    </w:p>
    <w:p w14:paraId="298CC144">
      <w:pPr>
        <w:pStyle w:val="6"/>
        <w:numPr>
          <w:ilvl w:val="3"/>
          <w:numId w:val="0"/>
        </w:numPr>
        <w:ind w:left="864" w:leftChars="100" w:hanging="624"/>
        <w:rPr>
          <w:highlight w:val="none"/>
        </w:rPr>
      </w:pPr>
      <w:r>
        <w:rPr>
          <w:rFonts w:hint="eastAsia"/>
          <w:highlight w:val="none"/>
        </w:rPr>
        <w:t>6.1.2.12 幕墙、铝合金门窗半成品、成品保护做法</w:t>
      </w:r>
    </w:p>
    <w:tbl>
      <w:tblPr>
        <w:tblStyle w:val="23"/>
        <w:tblW w:w="13340" w:type="dxa"/>
        <w:tblInd w:w="13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0"/>
        <w:gridCol w:w="484"/>
        <w:gridCol w:w="570"/>
        <w:gridCol w:w="2447"/>
        <w:gridCol w:w="4200"/>
        <w:gridCol w:w="4414"/>
        <w:gridCol w:w="795"/>
      </w:tblGrid>
      <w:tr w14:paraId="1F279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3340" w:type="dxa"/>
            <w:gridSpan w:val="7"/>
            <w:tcBorders>
              <w:top w:val="single" w:color="auto" w:sz="4" w:space="0"/>
              <w:left w:val="single" w:color="auto" w:sz="4" w:space="0"/>
              <w:bottom w:val="single" w:color="auto" w:sz="4" w:space="0"/>
              <w:right w:val="single" w:color="auto" w:sz="4" w:space="0"/>
            </w:tcBorders>
            <w:noWrap w:val="0"/>
            <w:vAlign w:val="center"/>
          </w:tcPr>
          <w:p w14:paraId="69978023">
            <w:pPr>
              <w:pStyle w:val="13"/>
              <w:rPr>
                <w:b/>
                <w:bCs/>
                <w:highlight w:val="none"/>
                <w:lang w:val="zh-CN"/>
              </w:rPr>
            </w:pPr>
            <w:bookmarkStart w:id="310" w:name="_Hlk145175625"/>
            <w:r>
              <w:rPr>
                <w:rFonts w:hint="eastAsia"/>
                <w:b/>
                <w:bCs/>
                <w:highlight w:val="none"/>
                <w:lang w:val="zh-CN"/>
              </w:rPr>
              <w:t>幕墙、铝合金门窗半成品、成品保护做法</w:t>
            </w:r>
          </w:p>
        </w:tc>
      </w:tr>
      <w:tr w14:paraId="0660F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tcBorders>
              <w:top w:val="single" w:color="auto" w:sz="4" w:space="0"/>
              <w:left w:val="single" w:color="auto" w:sz="4" w:space="0"/>
              <w:bottom w:val="single" w:color="auto" w:sz="4" w:space="0"/>
              <w:right w:val="single" w:color="auto" w:sz="4" w:space="0"/>
            </w:tcBorders>
            <w:noWrap w:val="0"/>
            <w:vAlign w:val="center"/>
          </w:tcPr>
          <w:p w14:paraId="2EC74FFE">
            <w:pPr>
              <w:pStyle w:val="13"/>
              <w:rPr>
                <w:b/>
                <w:bCs/>
                <w:highlight w:val="none"/>
                <w:lang w:val="zh-CN"/>
              </w:rPr>
            </w:pPr>
            <w:r>
              <w:rPr>
                <w:rFonts w:hint="eastAsia"/>
                <w:b/>
                <w:bCs/>
                <w:highlight w:val="none"/>
                <w:lang w:val="zh-CN"/>
              </w:rPr>
              <w:t>序号</w:t>
            </w:r>
          </w:p>
        </w:tc>
        <w:tc>
          <w:tcPr>
            <w:tcW w:w="1054" w:type="dxa"/>
            <w:gridSpan w:val="2"/>
            <w:tcBorders>
              <w:top w:val="single" w:color="auto" w:sz="4" w:space="0"/>
              <w:left w:val="single" w:color="auto" w:sz="4" w:space="0"/>
              <w:bottom w:val="single" w:color="auto" w:sz="4" w:space="0"/>
              <w:right w:val="single" w:color="auto" w:sz="4" w:space="0"/>
            </w:tcBorders>
            <w:noWrap w:val="0"/>
            <w:vAlign w:val="center"/>
          </w:tcPr>
          <w:p w14:paraId="6D16BFE0">
            <w:pPr>
              <w:pStyle w:val="13"/>
              <w:rPr>
                <w:b/>
                <w:bCs/>
                <w:highlight w:val="none"/>
                <w:lang w:val="zh-CN"/>
              </w:rPr>
            </w:pPr>
            <w:r>
              <w:rPr>
                <w:rFonts w:hint="eastAsia"/>
                <w:b/>
                <w:bCs/>
                <w:highlight w:val="none"/>
                <w:lang w:val="zh-CN"/>
              </w:rPr>
              <w:t>保护内容</w:t>
            </w:r>
          </w:p>
        </w:tc>
        <w:tc>
          <w:tcPr>
            <w:tcW w:w="2447" w:type="dxa"/>
            <w:tcBorders>
              <w:top w:val="single" w:color="auto" w:sz="4" w:space="0"/>
              <w:left w:val="single" w:color="auto" w:sz="4" w:space="0"/>
              <w:bottom w:val="single" w:color="auto" w:sz="4" w:space="0"/>
              <w:right w:val="single" w:color="auto" w:sz="4" w:space="0"/>
            </w:tcBorders>
            <w:noWrap w:val="0"/>
            <w:vAlign w:val="center"/>
          </w:tcPr>
          <w:p w14:paraId="2593B288">
            <w:pPr>
              <w:pStyle w:val="13"/>
              <w:rPr>
                <w:b/>
                <w:bCs/>
                <w:highlight w:val="none"/>
                <w:lang w:val="zh-CN"/>
              </w:rPr>
            </w:pPr>
            <w:r>
              <w:rPr>
                <w:rFonts w:hint="eastAsia"/>
                <w:b/>
                <w:bCs/>
                <w:highlight w:val="none"/>
                <w:lang w:val="zh-CN"/>
              </w:rPr>
              <w:t>保护标准</w:t>
            </w:r>
          </w:p>
        </w:tc>
        <w:tc>
          <w:tcPr>
            <w:tcW w:w="8614" w:type="dxa"/>
            <w:gridSpan w:val="2"/>
            <w:tcBorders>
              <w:top w:val="single" w:color="auto" w:sz="4" w:space="0"/>
              <w:left w:val="single" w:color="auto" w:sz="4" w:space="0"/>
              <w:bottom w:val="single" w:color="auto" w:sz="4" w:space="0"/>
              <w:right w:val="single" w:color="auto" w:sz="4" w:space="0"/>
            </w:tcBorders>
            <w:noWrap w:val="0"/>
            <w:vAlign w:val="center"/>
          </w:tcPr>
          <w:p w14:paraId="75F1BCBD">
            <w:pPr>
              <w:pStyle w:val="13"/>
              <w:rPr>
                <w:b/>
                <w:bCs/>
                <w:highlight w:val="none"/>
                <w:lang w:val="zh-CN"/>
              </w:rPr>
            </w:pPr>
            <w:r>
              <w:rPr>
                <w:rFonts w:hint="eastAsia"/>
                <w:b/>
                <w:bCs/>
                <w:highlight w:val="none"/>
                <w:lang w:val="zh-CN"/>
              </w:rPr>
              <w:t>图示</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8C4486C">
            <w:pPr>
              <w:pStyle w:val="13"/>
              <w:rPr>
                <w:b/>
                <w:bCs/>
                <w:highlight w:val="none"/>
                <w:lang w:val="zh-CN"/>
              </w:rPr>
            </w:pPr>
            <w:r>
              <w:rPr>
                <w:rFonts w:hint="eastAsia"/>
                <w:b/>
                <w:bCs/>
                <w:highlight w:val="none"/>
                <w:lang w:val="zh-CN"/>
              </w:rPr>
              <w:t>备注</w:t>
            </w:r>
          </w:p>
        </w:tc>
      </w:tr>
      <w:tr w14:paraId="6B1EF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restart"/>
            <w:tcBorders>
              <w:top w:val="single" w:color="auto" w:sz="4" w:space="0"/>
              <w:left w:val="single" w:color="auto" w:sz="4" w:space="0"/>
              <w:bottom w:val="single" w:color="auto" w:sz="4" w:space="0"/>
              <w:right w:val="single" w:color="auto" w:sz="4" w:space="0"/>
            </w:tcBorders>
            <w:noWrap w:val="0"/>
            <w:vAlign w:val="center"/>
          </w:tcPr>
          <w:p w14:paraId="5F0FE44F">
            <w:pPr>
              <w:pStyle w:val="13"/>
              <w:rPr>
                <w:highlight w:val="none"/>
                <w:lang w:val="zh-CN"/>
              </w:rPr>
            </w:pPr>
            <w:r>
              <w:rPr>
                <w:highlight w:val="none"/>
                <w:lang w:val="zh-CN"/>
              </w:rPr>
              <w:t>1</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30C0315F">
            <w:pPr>
              <w:pStyle w:val="13"/>
              <w:rPr>
                <w:highlight w:val="none"/>
                <w:lang w:val="zh-CN"/>
              </w:rPr>
            </w:pPr>
            <w:r>
              <w:rPr>
                <w:highlight w:val="none"/>
                <w:lang w:val="zh-CN"/>
              </w:rPr>
              <w:t>工厂包装</w:t>
            </w:r>
          </w:p>
        </w:tc>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14:paraId="19CFFB47">
            <w:pPr>
              <w:pStyle w:val="13"/>
              <w:rPr>
                <w:highlight w:val="none"/>
                <w:lang w:val="zh-CN"/>
              </w:rPr>
            </w:pPr>
            <w:r>
              <w:rPr>
                <w:highlight w:val="none"/>
                <w:lang w:val="zh-CN"/>
              </w:rPr>
              <w:t>单元板块</w:t>
            </w:r>
          </w:p>
        </w:tc>
        <w:tc>
          <w:tcPr>
            <w:tcW w:w="2447" w:type="dxa"/>
            <w:tcBorders>
              <w:top w:val="single" w:color="auto" w:sz="4" w:space="0"/>
              <w:left w:val="single" w:color="auto" w:sz="4" w:space="0"/>
              <w:bottom w:val="single" w:color="auto" w:sz="4" w:space="0"/>
              <w:right w:val="single" w:color="auto" w:sz="4" w:space="0"/>
            </w:tcBorders>
            <w:noWrap w:val="0"/>
            <w:vAlign w:val="center"/>
          </w:tcPr>
          <w:p w14:paraId="592E97FF">
            <w:pPr>
              <w:pStyle w:val="13"/>
              <w:rPr>
                <w:highlight w:val="none"/>
                <w:lang w:val="zh-CN"/>
              </w:rPr>
            </w:pPr>
            <w:r>
              <w:rPr>
                <w:highlight w:val="none"/>
                <w:lang w:val="zh-CN"/>
              </w:rPr>
              <w:t>单元板块角部由软性塑料泡沫保护，板块整体用塑料薄膜包裹；</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6675E135">
            <w:pPr>
              <w:pStyle w:val="13"/>
              <w:rPr>
                <w:highlight w:val="none"/>
                <w:lang w:val="zh-CN"/>
              </w:rPr>
            </w:pPr>
            <w:r>
              <w:rPr>
                <w:highlight w:val="none"/>
              </w:rPr>
              <w:drawing>
                <wp:inline distT="0" distB="0" distL="114300" distR="114300">
                  <wp:extent cx="2555875" cy="1986280"/>
                  <wp:effectExtent l="0" t="0" r="15875" b="13970"/>
                  <wp:docPr id="100"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9.jpeg"/>
                          <pic:cNvPicPr>
                            <a:picLocks noChangeAspect="1"/>
                          </pic:cNvPicPr>
                        </pic:nvPicPr>
                        <pic:blipFill>
                          <a:blip r:embed="rId113"/>
                          <a:stretch>
                            <a:fillRect/>
                          </a:stretch>
                        </pic:blipFill>
                        <pic:spPr>
                          <a:xfrm>
                            <a:off x="0" y="0"/>
                            <a:ext cx="2555875" cy="1986280"/>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600EC98A">
            <w:pPr>
              <w:pStyle w:val="13"/>
              <w:rPr>
                <w:highlight w:val="none"/>
                <w:lang w:val="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76A33963">
            <w:pPr>
              <w:pStyle w:val="13"/>
              <w:rPr>
                <w:highlight w:val="none"/>
                <w:lang w:val="zh-CN"/>
              </w:rPr>
            </w:pPr>
          </w:p>
        </w:tc>
      </w:tr>
      <w:tr w14:paraId="1FAA4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tcBorders>
              <w:top w:val="single" w:color="auto" w:sz="4" w:space="0"/>
              <w:left w:val="single" w:color="auto" w:sz="4" w:space="0"/>
              <w:bottom w:val="single" w:color="auto" w:sz="4" w:space="0"/>
              <w:right w:val="single" w:color="auto" w:sz="4" w:space="0"/>
            </w:tcBorders>
            <w:noWrap w:val="0"/>
            <w:vAlign w:val="center"/>
          </w:tcPr>
          <w:p w14:paraId="50AD6AB0">
            <w:pPr>
              <w:pStyle w:val="13"/>
              <w:rPr>
                <w:highlight w:val="none"/>
                <w:lang w:val="zh-CN"/>
              </w:rPr>
            </w:pPr>
          </w:p>
        </w:tc>
        <w:tc>
          <w:tcPr>
            <w:tcW w:w="484" w:type="dxa"/>
            <w:tcBorders>
              <w:top w:val="single" w:color="auto" w:sz="4" w:space="0"/>
              <w:left w:val="single" w:color="auto" w:sz="4" w:space="0"/>
              <w:bottom w:val="single" w:color="auto" w:sz="4" w:space="0"/>
              <w:right w:val="single" w:color="auto" w:sz="4" w:space="0"/>
            </w:tcBorders>
            <w:noWrap w:val="0"/>
            <w:vAlign w:val="center"/>
          </w:tcPr>
          <w:p w14:paraId="03B06A57">
            <w:pPr>
              <w:pStyle w:val="13"/>
              <w:rPr>
                <w:highlight w:val="none"/>
                <w:lang w:val="zh-CN"/>
              </w:rPr>
            </w:pPr>
            <w:r>
              <w:rPr>
                <w:highlight w:val="none"/>
                <w:lang w:val="zh-CN"/>
              </w:rPr>
              <w:t>堆放</w:t>
            </w:r>
          </w:p>
        </w:tc>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14:paraId="681E4642">
            <w:pPr>
              <w:pStyle w:val="13"/>
              <w:rPr>
                <w:highlight w:val="none"/>
                <w:lang w:val="zh-CN"/>
              </w:rPr>
            </w:pPr>
          </w:p>
        </w:tc>
        <w:tc>
          <w:tcPr>
            <w:tcW w:w="2447" w:type="dxa"/>
            <w:tcBorders>
              <w:top w:val="single" w:color="auto" w:sz="4" w:space="0"/>
              <w:left w:val="single" w:color="auto" w:sz="4" w:space="0"/>
              <w:bottom w:val="single" w:color="auto" w:sz="4" w:space="0"/>
              <w:right w:val="single" w:color="auto" w:sz="4" w:space="0"/>
            </w:tcBorders>
            <w:noWrap w:val="0"/>
            <w:vAlign w:val="center"/>
          </w:tcPr>
          <w:p w14:paraId="16BB160F">
            <w:pPr>
              <w:pStyle w:val="13"/>
              <w:rPr>
                <w:highlight w:val="none"/>
                <w:lang w:val="zh-CN"/>
              </w:rPr>
            </w:pPr>
          </w:p>
          <w:p w14:paraId="2E03F14B">
            <w:pPr>
              <w:pStyle w:val="13"/>
              <w:rPr>
                <w:highlight w:val="none"/>
                <w:lang w:val="zh-CN"/>
              </w:rPr>
            </w:pPr>
            <w:r>
              <w:rPr>
                <w:highlight w:val="none"/>
                <w:lang w:val="zh-CN"/>
              </w:rPr>
              <w:t>现场单元板块堆放时不得将板块堆叠压放，各板块应独立放置于支撑架上且不得破坏外表保护材料；</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6BC0E05D">
            <w:pPr>
              <w:pStyle w:val="13"/>
              <w:rPr>
                <w:highlight w:val="none"/>
                <w:lang w:val="zh-CN"/>
              </w:rPr>
            </w:pPr>
            <w:r>
              <w:rPr>
                <w:highlight w:val="none"/>
              </w:rPr>
              <w:drawing>
                <wp:inline distT="0" distB="0" distL="114300" distR="114300">
                  <wp:extent cx="2405380" cy="1875790"/>
                  <wp:effectExtent l="0" t="0" r="13970" b="10160"/>
                  <wp:docPr id="10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0.jpeg"/>
                          <pic:cNvPicPr>
                            <a:picLocks noChangeAspect="1"/>
                          </pic:cNvPicPr>
                        </pic:nvPicPr>
                        <pic:blipFill>
                          <a:blip r:embed="rId114"/>
                          <a:stretch>
                            <a:fillRect/>
                          </a:stretch>
                        </pic:blipFill>
                        <pic:spPr>
                          <a:xfrm>
                            <a:off x="0" y="0"/>
                            <a:ext cx="2405380" cy="1875790"/>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640DF663">
            <w:pPr>
              <w:pStyle w:val="13"/>
              <w:rPr>
                <w:highlight w:val="none"/>
                <w:lang w:val="zh-CN"/>
              </w:rPr>
            </w:pPr>
            <w:r>
              <w:rPr>
                <w:highlight w:val="none"/>
              </w:rPr>
              <w:drawing>
                <wp:inline distT="0" distB="0" distL="114300" distR="114300">
                  <wp:extent cx="2703195" cy="2065020"/>
                  <wp:effectExtent l="0" t="0" r="1905" b="11430"/>
                  <wp:docPr id="102"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1.jpeg"/>
                          <pic:cNvPicPr>
                            <a:picLocks noChangeAspect="1"/>
                          </pic:cNvPicPr>
                        </pic:nvPicPr>
                        <pic:blipFill>
                          <a:blip r:embed="rId115"/>
                          <a:stretch>
                            <a:fillRect/>
                          </a:stretch>
                        </pic:blipFill>
                        <pic:spPr>
                          <a:xfrm>
                            <a:off x="0" y="0"/>
                            <a:ext cx="2703195" cy="2065020"/>
                          </a:xfrm>
                          <a:prstGeom prst="rect">
                            <a:avLst/>
                          </a:prstGeom>
                          <a:noFill/>
                          <a:ln>
                            <a:noFill/>
                          </a:ln>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77935E21">
            <w:pPr>
              <w:pStyle w:val="13"/>
              <w:rPr>
                <w:highlight w:val="none"/>
                <w:lang w:val="zh-CN"/>
              </w:rPr>
            </w:pPr>
          </w:p>
        </w:tc>
      </w:tr>
      <w:tr w14:paraId="1881A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tcBorders>
              <w:top w:val="single" w:color="auto" w:sz="4" w:space="0"/>
              <w:left w:val="single" w:color="auto" w:sz="4" w:space="0"/>
              <w:bottom w:val="single" w:color="auto" w:sz="4" w:space="0"/>
              <w:right w:val="single" w:color="auto" w:sz="4" w:space="0"/>
            </w:tcBorders>
            <w:noWrap w:val="0"/>
            <w:vAlign w:val="center"/>
          </w:tcPr>
          <w:p w14:paraId="678B518D">
            <w:pPr>
              <w:pStyle w:val="13"/>
              <w:rPr>
                <w:highlight w:val="none"/>
                <w:lang w:val="zh-CN"/>
              </w:rPr>
            </w:pPr>
          </w:p>
        </w:tc>
        <w:tc>
          <w:tcPr>
            <w:tcW w:w="484" w:type="dxa"/>
            <w:tcBorders>
              <w:top w:val="single" w:color="auto" w:sz="4" w:space="0"/>
              <w:left w:val="single" w:color="auto" w:sz="4" w:space="0"/>
              <w:bottom w:val="single" w:color="auto" w:sz="4" w:space="0"/>
              <w:right w:val="single" w:color="auto" w:sz="4" w:space="0"/>
            </w:tcBorders>
            <w:noWrap w:val="0"/>
            <w:vAlign w:val="center"/>
          </w:tcPr>
          <w:p w14:paraId="3B5DB471">
            <w:pPr>
              <w:pStyle w:val="13"/>
              <w:rPr>
                <w:highlight w:val="none"/>
                <w:lang w:val="zh-CN"/>
              </w:rPr>
            </w:pPr>
            <w:r>
              <w:rPr>
                <w:highlight w:val="none"/>
                <w:lang w:val="zh-CN"/>
              </w:rPr>
              <w:t>成品安装</w:t>
            </w:r>
          </w:p>
        </w:tc>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14:paraId="486543C7">
            <w:pPr>
              <w:pStyle w:val="13"/>
              <w:rPr>
                <w:highlight w:val="none"/>
                <w:lang w:val="zh-CN"/>
              </w:rPr>
            </w:pPr>
          </w:p>
        </w:tc>
        <w:tc>
          <w:tcPr>
            <w:tcW w:w="2447" w:type="dxa"/>
            <w:tcBorders>
              <w:top w:val="single" w:color="auto" w:sz="4" w:space="0"/>
              <w:left w:val="single" w:color="auto" w:sz="4" w:space="0"/>
              <w:bottom w:val="single" w:color="auto" w:sz="4" w:space="0"/>
              <w:right w:val="single" w:color="auto" w:sz="4" w:space="0"/>
            </w:tcBorders>
            <w:noWrap w:val="0"/>
            <w:vAlign w:val="center"/>
          </w:tcPr>
          <w:p w14:paraId="4A6D8D16">
            <w:pPr>
              <w:pStyle w:val="13"/>
              <w:rPr>
                <w:highlight w:val="none"/>
                <w:lang w:val="zh-CN"/>
              </w:rPr>
            </w:pPr>
            <w:r>
              <w:rPr>
                <w:highlight w:val="none"/>
                <w:lang w:val="zh-CN"/>
              </w:rPr>
              <w:t>单元板块安装完成后，在室内侧安装</w:t>
            </w:r>
          </w:p>
          <w:p w14:paraId="043C1FD6">
            <w:pPr>
              <w:pStyle w:val="13"/>
              <w:rPr>
                <w:highlight w:val="none"/>
                <w:lang w:val="zh-CN"/>
              </w:rPr>
            </w:pPr>
            <w:r>
              <w:rPr>
                <w:highlight w:val="none"/>
                <w:lang w:val="zh-CN"/>
              </w:rPr>
              <w:t>保护幕墙的塑料膜；</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1012B1EA">
            <w:pPr>
              <w:pStyle w:val="13"/>
              <w:rPr>
                <w:highlight w:val="none"/>
                <w:lang w:val="zh-CN"/>
              </w:rPr>
            </w:pPr>
          </w:p>
          <w:p w14:paraId="19C873D2">
            <w:pPr>
              <w:pStyle w:val="13"/>
              <w:rPr>
                <w:highlight w:val="none"/>
                <w:lang w:val="zh-CN"/>
              </w:rPr>
            </w:pPr>
            <w:r>
              <w:rPr>
                <w:highlight w:val="none"/>
              </w:rPr>
              <w:drawing>
                <wp:inline distT="0" distB="0" distL="114300" distR="114300">
                  <wp:extent cx="2454275" cy="2379980"/>
                  <wp:effectExtent l="0" t="0" r="3175" b="1270"/>
                  <wp:docPr id="10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2.jpeg"/>
                          <pic:cNvPicPr>
                            <a:picLocks noChangeAspect="1"/>
                          </pic:cNvPicPr>
                        </pic:nvPicPr>
                        <pic:blipFill>
                          <a:blip r:embed="rId116"/>
                          <a:stretch>
                            <a:fillRect/>
                          </a:stretch>
                        </pic:blipFill>
                        <pic:spPr>
                          <a:xfrm>
                            <a:off x="0" y="0"/>
                            <a:ext cx="2454275" cy="2379980"/>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49CE4C3E">
            <w:pPr>
              <w:pStyle w:val="13"/>
              <w:rPr>
                <w:highlight w:val="none"/>
                <w:lang w:val="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7677C02C">
            <w:pPr>
              <w:pStyle w:val="13"/>
              <w:rPr>
                <w:highlight w:val="none"/>
                <w:lang w:val="zh-CN"/>
              </w:rPr>
            </w:pPr>
          </w:p>
        </w:tc>
      </w:tr>
      <w:tr w14:paraId="24EC0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restart"/>
            <w:tcBorders>
              <w:top w:val="single" w:color="auto" w:sz="4" w:space="0"/>
              <w:left w:val="single" w:color="auto" w:sz="4" w:space="0"/>
              <w:bottom w:val="single" w:color="auto" w:sz="4" w:space="0"/>
              <w:right w:val="single" w:color="auto" w:sz="4" w:space="0"/>
            </w:tcBorders>
            <w:noWrap w:val="0"/>
            <w:vAlign w:val="center"/>
          </w:tcPr>
          <w:p w14:paraId="4F6B856A">
            <w:pPr>
              <w:pStyle w:val="13"/>
              <w:rPr>
                <w:highlight w:val="none"/>
                <w:lang w:val="zh-CN"/>
              </w:rPr>
            </w:pPr>
            <w:r>
              <w:rPr>
                <w:highlight w:val="none"/>
                <w:lang w:val="zh-CN"/>
              </w:rPr>
              <w:t>2</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499604C9">
            <w:pPr>
              <w:pStyle w:val="13"/>
              <w:rPr>
                <w:highlight w:val="none"/>
                <w:lang w:val="zh-CN"/>
              </w:rPr>
            </w:pPr>
            <w:r>
              <w:rPr>
                <w:highlight w:val="none"/>
                <w:lang w:val="zh-CN"/>
              </w:rPr>
              <w:t>工厂包装</w:t>
            </w:r>
          </w:p>
          <w:p w14:paraId="7EF19ADB">
            <w:pPr>
              <w:pStyle w:val="13"/>
              <w:rPr>
                <w:highlight w:val="none"/>
                <w:lang w:val="zh-CN"/>
              </w:rPr>
            </w:pPr>
            <w:r>
              <w:rPr>
                <w:highlight w:val="none"/>
                <w:lang w:val="zh-CN"/>
              </w:rPr>
              <w:t>、堆放</w:t>
            </w:r>
          </w:p>
        </w:tc>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14:paraId="1BEDCA89">
            <w:pPr>
              <w:pStyle w:val="13"/>
              <w:rPr>
                <w:highlight w:val="none"/>
                <w:lang w:val="zh-CN"/>
              </w:rPr>
            </w:pPr>
            <w:r>
              <w:rPr>
                <w:highlight w:val="none"/>
                <w:lang w:val="zh-CN"/>
              </w:rPr>
              <w:t>铝型材</w:t>
            </w:r>
          </w:p>
        </w:tc>
        <w:tc>
          <w:tcPr>
            <w:tcW w:w="2447" w:type="dxa"/>
            <w:tcBorders>
              <w:top w:val="single" w:color="auto" w:sz="4" w:space="0"/>
              <w:left w:val="single" w:color="auto" w:sz="4" w:space="0"/>
              <w:bottom w:val="single" w:color="auto" w:sz="4" w:space="0"/>
              <w:right w:val="single" w:color="auto" w:sz="4" w:space="0"/>
            </w:tcBorders>
            <w:noWrap w:val="0"/>
            <w:vAlign w:val="center"/>
          </w:tcPr>
          <w:p w14:paraId="69343EFC">
            <w:pPr>
              <w:pStyle w:val="13"/>
              <w:rPr>
                <w:highlight w:val="none"/>
                <w:lang w:val="zh-CN"/>
              </w:rPr>
            </w:pPr>
            <w:r>
              <w:rPr>
                <w:highlight w:val="none"/>
                <w:lang w:val="zh-CN"/>
              </w:rPr>
              <w:t>先贴保护胶带， 然后外包带塑料膜的</w:t>
            </w:r>
          </w:p>
          <w:p w14:paraId="6D78ADB9">
            <w:pPr>
              <w:pStyle w:val="13"/>
              <w:rPr>
                <w:highlight w:val="none"/>
                <w:lang w:val="zh-CN"/>
              </w:rPr>
            </w:pPr>
            <w:r>
              <w:rPr>
                <w:highlight w:val="none"/>
                <w:lang w:val="zh-CN"/>
              </w:rPr>
              <w:t>牛皮纸；型材堆放应有专用的摆放；</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6C676C70">
            <w:pPr>
              <w:pStyle w:val="13"/>
              <w:rPr>
                <w:highlight w:val="none"/>
                <w:lang w:val="zh-CN"/>
              </w:rPr>
            </w:pPr>
          </w:p>
          <w:p w14:paraId="54D5E7E5">
            <w:pPr>
              <w:pStyle w:val="13"/>
              <w:rPr>
                <w:highlight w:val="none"/>
                <w:lang w:val="zh-CN"/>
              </w:rPr>
            </w:pPr>
            <w:r>
              <w:rPr>
                <w:highlight w:val="none"/>
              </w:rPr>
              <w:drawing>
                <wp:inline distT="0" distB="0" distL="114300" distR="114300">
                  <wp:extent cx="2517775" cy="1986280"/>
                  <wp:effectExtent l="0" t="0" r="15875" b="13970"/>
                  <wp:docPr id="104"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3.jpeg"/>
                          <pic:cNvPicPr>
                            <a:picLocks noChangeAspect="1"/>
                          </pic:cNvPicPr>
                        </pic:nvPicPr>
                        <pic:blipFill>
                          <a:blip r:embed="rId117"/>
                          <a:stretch>
                            <a:fillRect/>
                          </a:stretch>
                        </pic:blipFill>
                        <pic:spPr>
                          <a:xfrm>
                            <a:off x="0" y="0"/>
                            <a:ext cx="2517775" cy="1986280"/>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006893C2">
            <w:pPr>
              <w:pStyle w:val="13"/>
              <w:rPr>
                <w:highlight w:val="none"/>
                <w:lang w:val="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6C10D4E0">
            <w:pPr>
              <w:pStyle w:val="13"/>
              <w:rPr>
                <w:highlight w:val="none"/>
                <w:lang w:val="zh-CN"/>
              </w:rPr>
            </w:pPr>
          </w:p>
        </w:tc>
      </w:tr>
      <w:tr w14:paraId="17F4D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tcBorders>
              <w:top w:val="single" w:color="auto" w:sz="4" w:space="0"/>
              <w:bottom w:val="single" w:color="auto" w:sz="4" w:space="0"/>
              <w:right w:val="single" w:color="auto" w:sz="4" w:space="0"/>
            </w:tcBorders>
            <w:noWrap w:val="0"/>
            <w:vAlign w:val="center"/>
          </w:tcPr>
          <w:p w14:paraId="37EC4720">
            <w:pPr>
              <w:pStyle w:val="13"/>
              <w:rPr>
                <w:highlight w:val="none"/>
                <w:lang w:val="zh-CN"/>
              </w:rPr>
            </w:pPr>
          </w:p>
        </w:tc>
        <w:tc>
          <w:tcPr>
            <w:tcW w:w="484" w:type="dxa"/>
            <w:tcBorders>
              <w:top w:val="single" w:color="auto" w:sz="4" w:space="0"/>
              <w:left w:val="single" w:color="auto" w:sz="4" w:space="0"/>
              <w:bottom w:val="single" w:color="auto" w:sz="4" w:space="0"/>
              <w:right w:val="single" w:color="auto" w:sz="4" w:space="0"/>
            </w:tcBorders>
            <w:noWrap w:val="0"/>
            <w:vAlign w:val="center"/>
          </w:tcPr>
          <w:p w14:paraId="1D7C4A98">
            <w:pPr>
              <w:pStyle w:val="13"/>
              <w:rPr>
                <w:highlight w:val="none"/>
                <w:lang w:val="zh-CN"/>
              </w:rPr>
            </w:pPr>
            <w:r>
              <w:rPr>
                <w:highlight w:val="none"/>
                <w:lang w:val="zh-CN"/>
              </w:rPr>
              <w:t>成品安装</w:t>
            </w:r>
          </w:p>
        </w:tc>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14:paraId="0CE1E98A">
            <w:pPr>
              <w:pStyle w:val="13"/>
              <w:rPr>
                <w:highlight w:val="none"/>
                <w:lang w:val="zh-CN"/>
              </w:rPr>
            </w:pPr>
          </w:p>
        </w:tc>
        <w:tc>
          <w:tcPr>
            <w:tcW w:w="2447" w:type="dxa"/>
            <w:tcBorders>
              <w:top w:val="single" w:color="auto" w:sz="4" w:space="0"/>
              <w:left w:val="single" w:color="auto" w:sz="4" w:space="0"/>
              <w:bottom w:val="single" w:color="auto" w:sz="4" w:space="0"/>
              <w:right w:val="single" w:color="auto" w:sz="4" w:space="0"/>
            </w:tcBorders>
            <w:noWrap w:val="0"/>
            <w:vAlign w:val="center"/>
          </w:tcPr>
          <w:p w14:paraId="7DD4C68F">
            <w:pPr>
              <w:pStyle w:val="13"/>
              <w:rPr>
                <w:highlight w:val="none"/>
                <w:lang w:val="zh-CN"/>
              </w:rPr>
            </w:pPr>
            <w:r>
              <w:rPr>
                <w:highlight w:val="none"/>
                <w:lang w:val="zh-CN"/>
              </w:rPr>
              <w:t>安装型材时不得将表面贴合的保护膜破坏或除去；在施工通道口的铝型材还应有木板包裹保护；</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0B5969BC">
            <w:pPr>
              <w:pStyle w:val="13"/>
              <w:rPr>
                <w:highlight w:val="none"/>
                <w:lang w:val="zh-CN"/>
              </w:rPr>
            </w:pPr>
            <w:r>
              <w:rPr>
                <w:highlight w:val="none"/>
              </w:rPr>
              <w:drawing>
                <wp:inline distT="0" distB="0" distL="114300" distR="114300">
                  <wp:extent cx="2538095" cy="2159000"/>
                  <wp:effectExtent l="0" t="0" r="14605" b="12700"/>
                  <wp:docPr id="10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4.jpeg"/>
                          <pic:cNvPicPr>
                            <a:picLocks noChangeAspect="1"/>
                          </pic:cNvPicPr>
                        </pic:nvPicPr>
                        <pic:blipFill>
                          <a:blip r:embed="rId118"/>
                          <a:stretch>
                            <a:fillRect/>
                          </a:stretch>
                        </pic:blipFill>
                        <pic:spPr>
                          <a:xfrm>
                            <a:off x="0" y="0"/>
                            <a:ext cx="2538095" cy="2159000"/>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0BB66352">
            <w:pPr>
              <w:pStyle w:val="13"/>
              <w:rPr>
                <w:highlight w:val="none"/>
                <w:lang w:val="zh-CN"/>
              </w:rPr>
            </w:pPr>
            <w:r>
              <w:rPr>
                <w:highlight w:val="none"/>
              </w:rPr>
              <w:drawing>
                <wp:inline distT="0" distB="0" distL="114300" distR="114300">
                  <wp:extent cx="2693035" cy="2064385"/>
                  <wp:effectExtent l="0" t="0" r="12065" b="12065"/>
                  <wp:docPr id="106"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5.jpeg"/>
                          <pic:cNvPicPr>
                            <a:picLocks noChangeAspect="1"/>
                          </pic:cNvPicPr>
                        </pic:nvPicPr>
                        <pic:blipFill>
                          <a:blip r:embed="rId119"/>
                          <a:stretch>
                            <a:fillRect/>
                          </a:stretch>
                        </pic:blipFill>
                        <pic:spPr>
                          <a:xfrm>
                            <a:off x="0" y="0"/>
                            <a:ext cx="2693035" cy="2064385"/>
                          </a:xfrm>
                          <a:prstGeom prst="rect">
                            <a:avLst/>
                          </a:prstGeom>
                          <a:noFill/>
                          <a:ln>
                            <a:noFill/>
                          </a:ln>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23042E7">
            <w:pPr>
              <w:pStyle w:val="13"/>
              <w:rPr>
                <w:highlight w:val="none"/>
                <w:lang w:val="zh-CN"/>
              </w:rPr>
            </w:pPr>
          </w:p>
        </w:tc>
      </w:tr>
      <w:tr w14:paraId="40FC9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restart"/>
            <w:tcBorders>
              <w:top w:val="single" w:color="auto" w:sz="4" w:space="0"/>
              <w:left w:val="single" w:color="auto" w:sz="4" w:space="0"/>
              <w:bottom w:val="single" w:color="auto" w:sz="4" w:space="0"/>
              <w:right w:val="single" w:color="auto" w:sz="4" w:space="0"/>
            </w:tcBorders>
            <w:noWrap w:val="0"/>
            <w:vAlign w:val="center"/>
          </w:tcPr>
          <w:p w14:paraId="1D3ADBEE">
            <w:pPr>
              <w:pStyle w:val="13"/>
              <w:rPr>
                <w:highlight w:val="none"/>
                <w:lang w:val="zh-CN"/>
              </w:rPr>
            </w:pPr>
            <w:r>
              <w:rPr>
                <w:highlight w:val="none"/>
                <w:lang w:val="zh-CN"/>
              </w:rPr>
              <w:t>3</w:t>
            </w:r>
          </w:p>
        </w:tc>
        <w:tc>
          <w:tcPr>
            <w:tcW w:w="484" w:type="dxa"/>
            <w:vMerge w:val="restart"/>
            <w:tcBorders>
              <w:top w:val="single" w:color="auto" w:sz="4" w:space="0"/>
              <w:left w:val="single" w:color="auto" w:sz="4" w:space="0"/>
              <w:bottom w:val="single" w:color="auto" w:sz="4" w:space="0"/>
              <w:right w:val="single" w:color="auto" w:sz="4" w:space="0"/>
            </w:tcBorders>
            <w:noWrap w:val="0"/>
            <w:vAlign w:val="center"/>
          </w:tcPr>
          <w:p w14:paraId="08040024">
            <w:pPr>
              <w:pStyle w:val="13"/>
              <w:rPr>
                <w:highlight w:val="none"/>
                <w:lang w:val="zh-CN"/>
              </w:rPr>
            </w:pPr>
            <w:r>
              <w:rPr>
                <w:highlight w:val="none"/>
                <w:lang w:val="zh-CN"/>
              </w:rPr>
              <w:t>工厂包装</w:t>
            </w:r>
          </w:p>
        </w:tc>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14:paraId="78C5EBCE">
            <w:pPr>
              <w:pStyle w:val="13"/>
              <w:rPr>
                <w:highlight w:val="none"/>
                <w:lang w:val="zh-CN"/>
              </w:rPr>
            </w:pPr>
            <w:r>
              <w:rPr>
                <w:highlight w:val="none"/>
                <w:lang w:val="zh-CN"/>
              </w:rPr>
              <w:t>门、窗框</w:t>
            </w:r>
          </w:p>
        </w:tc>
        <w:tc>
          <w:tcPr>
            <w:tcW w:w="2447" w:type="dxa"/>
            <w:tcBorders>
              <w:top w:val="single" w:color="auto" w:sz="4" w:space="0"/>
              <w:left w:val="single" w:color="auto" w:sz="4" w:space="0"/>
              <w:bottom w:val="single" w:color="auto" w:sz="4" w:space="0"/>
              <w:right w:val="single" w:color="auto" w:sz="4" w:space="0"/>
            </w:tcBorders>
            <w:noWrap w:val="0"/>
            <w:vAlign w:val="center"/>
          </w:tcPr>
          <w:p w14:paraId="7ABC7AD3">
            <w:pPr>
              <w:pStyle w:val="13"/>
              <w:rPr>
                <w:highlight w:val="none"/>
              </w:rPr>
            </w:pPr>
            <w:r>
              <w:rPr>
                <w:highlight w:val="none"/>
                <w:lang w:val="zh-CN"/>
              </w:rPr>
              <w:t>生产厂运到工地，应选择洁净、无污染源的车等工具运输；存放门窗的库房应通风、干燥，无热源或腐蚀性介质侵袭。库房场地应平整，地面上垫枕木，枕木顶面离地应不少于200mm。门窗框扇应按型号、规格分类编号捆扎竖放，两端</w:t>
            </w:r>
            <w:r>
              <w:rPr>
                <w:rFonts w:hint="eastAsia"/>
                <w:highlight w:val="none"/>
              </w:rPr>
              <w:t>挑出100mm</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4407220E">
            <w:pPr>
              <w:pStyle w:val="13"/>
              <w:rPr>
                <w:highlight w:val="none"/>
                <w:lang w:val="zh-CN"/>
              </w:rPr>
            </w:pPr>
            <w:r>
              <w:rPr>
                <w:highlight w:val="none"/>
              </w:rPr>
              <w:drawing>
                <wp:inline distT="0" distB="0" distL="114300" distR="114300">
                  <wp:extent cx="3064510" cy="2499995"/>
                  <wp:effectExtent l="0" t="0" r="2540" b="14605"/>
                  <wp:docPr id="10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6.jpeg"/>
                          <pic:cNvPicPr>
                            <a:picLocks noChangeAspect="1"/>
                          </pic:cNvPicPr>
                        </pic:nvPicPr>
                        <pic:blipFill>
                          <a:blip r:embed="rId120"/>
                          <a:stretch>
                            <a:fillRect/>
                          </a:stretch>
                        </pic:blipFill>
                        <pic:spPr>
                          <a:xfrm>
                            <a:off x="0" y="0"/>
                            <a:ext cx="3064510" cy="2499995"/>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41D0EF79">
            <w:pPr>
              <w:pStyle w:val="13"/>
              <w:rPr>
                <w:highlight w:val="none"/>
                <w:lang w:val="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611177B1">
            <w:pPr>
              <w:pStyle w:val="13"/>
              <w:rPr>
                <w:highlight w:val="none"/>
                <w:lang w:val="zh-CN"/>
              </w:rPr>
            </w:pPr>
          </w:p>
        </w:tc>
      </w:tr>
      <w:tr w14:paraId="62951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tcBorders>
              <w:top w:val="single" w:color="auto" w:sz="4" w:space="0"/>
              <w:left w:val="single" w:color="auto" w:sz="4" w:space="0"/>
              <w:bottom w:val="single" w:color="auto" w:sz="4" w:space="0"/>
              <w:right w:val="single" w:color="auto" w:sz="4" w:space="0"/>
            </w:tcBorders>
            <w:noWrap w:val="0"/>
            <w:vAlign w:val="center"/>
          </w:tcPr>
          <w:p w14:paraId="4FEFAA84">
            <w:pPr>
              <w:pStyle w:val="13"/>
              <w:rPr>
                <w:highlight w:val="none"/>
                <w:lang w:val="zh-CN"/>
              </w:rPr>
            </w:pPr>
          </w:p>
        </w:tc>
        <w:tc>
          <w:tcPr>
            <w:tcW w:w="484" w:type="dxa"/>
            <w:vMerge w:val="continue"/>
            <w:tcBorders>
              <w:top w:val="single" w:color="auto" w:sz="4" w:space="0"/>
              <w:left w:val="single" w:color="auto" w:sz="4" w:space="0"/>
              <w:bottom w:val="single" w:color="auto" w:sz="4" w:space="0"/>
              <w:right w:val="single" w:color="auto" w:sz="4" w:space="0"/>
            </w:tcBorders>
            <w:noWrap w:val="0"/>
            <w:vAlign w:val="center"/>
          </w:tcPr>
          <w:p w14:paraId="1595C9B1">
            <w:pPr>
              <w:pStyle w:val="13"/>
              <w:rPr>
                <w:highlight w:val="none"/>
                <w:lang w:val="zh-CN"/>
              </w:rPr>
            </w:pPr>
          </w:p>
        </w:tc>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14:paraId="15A9A2A0">
            <w:pPr>
              <w:pStyle w:val="13"/>
              <w:rPr>
                <w:highlight w:val="none"/>
                <w:lang w:val="zh-CN"/>
              </w:rPr>
            </w:pPr>
          </w:p>
        </w:tc>
        <w:tc>
          <w:tcPr>
            <w:tcW w:w="2447" w:type="dxa"/>
            <w:tcBorders>
              <w:top w:val="single" w:color="auto" w:sz="4" w:space="0"/>
              <w:left w:val="single" w:color="auto" w:sz="4" w:space="0"/>
              <w:bottom w:val="single" w:color="auto" w:sz="4" w:space="0"/>
              <w:right w:val="single" w:color="auto" w:sz="4" w:space="0"/>
            </w:tcBorders>
            <w:noWrap w:val="0"/>
            <w:vAlign w:val="center"/>
          </w:tcPr>
          <w:p w14:paraId="68550685">
            <w:pPr>
              <w:pStyle w:val="13"/>
              <w:rPr>
                <w:highlight w:val="none"/>
                <w:lang w:val="zh-CN"/>
              </w:rPr>
            </w:pPr>
            <w:r>
              <w:rPr>
                <w:highlight w:val="none"/>
                <w:lang w:val="zh-CN"/>
              </w:rPr>
              <w:t>为了门窗铝型材施工过程中成品保护的方便性和有效性，要求铝型材门窗框型材表面必须采用至少双层厚胶膜贴覆保护，底层必须采用不污染铝型材的自粘胶带纸，上层必须采用较厚耐破损胶带。贴膜保护完成后，门窗边角位置需用硬纸壳或硬胶纸做额外的防碰撞保护。</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0EDE19D6">
            <w:pPr>
              <w:pStyle w:val="13"/>
              <w:rPr>
                <w:highlight w:val="none"/>
                <w:lang w:val="zh-CN"/>
              </w:rPr>
            </w:pPr>
            <w:r>
              <w:rPr>
                <w:highlight w:val="none"/>
              </w:rPr>
              <w:drawing>
                <wp:inline distT="0" distB="0" distL="114300" distR="114300">
                  <wp:extent cx="2495550" cy="2419985"/>
                  <wp:effectExtent l="0" t="0" r="0" b="18415"/>
                  <wp:docPr id="108"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jpeg"/>
                          <pic:cNvPicPr>
                            <a:picLocks noChangeAspect="1"/>
                          </pic:cNvPicPr>
                        </pic:nvPicPr>
                        <pic:blipFill>
                          <a:blip r:embed="rId121"/>
                          <a:stretch>
                            <a:fillRect/>
                          </a:stretch>
                        </pic:blipFill>
                        <pic:spPr>
                          <a:xfrm>
                            <a:off x="0" y="0"/>
                            <a:ext cx="2495550" cy="2419985"/>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7703D8BB">
            <w:pPr>
              <w:pStyle w:val="13"/>
              <w:rPr>
                <w:highlight w:val="none"/>
                <w:lang w:val="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5A382C59">
            <w:pPr>
              <w:pStyle w:val="13"/>
              <w:rPr>
                <w:highlight w:val="none"/>
                <w:lang w:val="zh-CN"/>
              </w:rPr>
            </w:pPr>
          </w:p>
        </w:tc>
      </w:tr>
      <w:tr w14:paraId="497DD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restart"/>
            <w:tcBorders>
              <w:top w:val="single" w:color="auto" w:sz="4" w:space="0"/>
              <w:left w:val="single" w:color="auto" w:sz="4" w:space="0"/>
              <w:bottom w:val="single" w:color="auto" w:sz="4" w:space="0"/>
              <w:right w:val="single" w:color="auto" w:sz="4" w:space="0"/>
            </w:tcBorders>
            <w:noWrap w:val="0"/>
            <w:vAlign w:val="center"/>
          </w:tcPr>
          <w:p w14:paraId="7050329E">
            <w:pPr>
              <w:pStyle w:val="13"/>
              <w:rPr>
                <w:highlight w:val="none"/>
                <w:lang w:val="zh-CN"/>
              </w:rPr>
            </w:pPr>
            <w:r>
              <w:rPr>
                <w:rFonts w:hint="eastAsia"/>
                <w:highlight w:val="none"/>
                <w:lang w:val="zh-CN"/>
              </w:rPr>
              <w:t>4</w:t>
            </w:r>
          </w:p>
        </w:tc>
        <w:tc>
          <w:tcPr>
            <w:tcW w:w="484" w:type="dxa"/>
            <w:vMerge w:val="restart"/>
            <w:tcBorders>
              <w:top w:val="single" w:color="auto" w:sz="4" w:space="0"/>
              <w:left w:val="single" w:color="auto" w:sz="4" w:space="0"/>
              <w:bottom w:val="single" w:color="auto" w:sz="4" w:space="0"/>
              <w:right w:val="single" w:color="auto" w:sz="4" w:space="0"/>
            </w:tcBorders>
            <w:noWrap w:val="0"/>
            <w:vAlign w:val="center"/>
          </w:tcPr>
          <w:p w14:paraId="514E5E6B">
            <w:pPr>
              <w:pStyle w:val="13"/>
              <w:rPr>
                <w:highlight w:val="none"/>
                <w:lang w:val="zh-CN"/>
              </w:rPr>
            </w:pPr>
            <w:r>
              <w:rPr>
                <w:highlight w:val="none"/>
                <w:lang w:val="zh-CN"/>
              </w:rPr>
              <w:t>工厂</w:t>
            </w:r>
          </w:p>
        </w:tc>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14:paraId="7D31A8F3">
            <w:pPr>
              <w:pStyle w:val="13"/>
              <w:rPr>
                <w:highlight w:val="none"/>
                <w:lang w:val="zh-CN"/>
              </w:rPr>
            </w:pPr>
            <w:r>
              <w:rPr>
                <w:highlight w:val="none"/>
                <w:lang w:val="zh-CN"/>
              </w:rPr>
              <w:t>包装做法图示</w:t>
            </w:r>
          </w:p>
        </w:tc>
        <w:tc>
          <w:tcPr>
            <w:tcW w:w="2447" w:type="dxa"/>
            <w:vMerge w:val="restart"/>
            <w:tcBorders>
              <w:top w:val="single" w:color="auto" w:sz="4" w:space="0"/>
              <w:left w:val="single" w:color="auto" w:sz="4" w:space="0"/>
              <w:bottom w:val="single" w:color="auto" w:sz="4" w:space="0"/>
              <w:right w:val="single" w:color="auto" w:sz="4" w:space="0"/>
            </w:tcBorders>
            <w:noWrap w:val="0"/>
            <w:vAlign w:val="center"/>
          </w:tcPr>
          <w:p w14:paraId="3218728B">
            <w:pPr>
              <w:pStyle w:val="13"/>
              <w:rPr>
                <w:highlight w:val="none"/>
                <w:lang w:val="zh-CN"/>
              </w:rPr>
            </w:pPr>
            <w:r>
              <w:rPr>
                <w:highlight w:val="none"/>
                <w:lang w:val="zh-CN"/>
              </w:rPr>
              <w:t>为了解决室内外作业时其他施工单位交底不到位，现场抹灰收口时将铝型材保护膜全部撕掉， 造成型材大量污染的问题。现强制要求铝型材厂贴膜和加工厂后贴膜都必须保证膜边距离型材外边5~10mm左  右，具体边距根据室内外抹灰收口压住型材的宽度确定。要求包装时可放大几毫米吸收抹灰误差。</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45785D7E">
            <w:pPr>
              <w:pStyle w:val="13"/>
              <w:rPr>
                <w:highlight w:val="none"/>
                <w:lang w:val="zh-CN"/>
              </w:rPr>
            </w:pPr>
            <w:r>
              <w:rPr>
                <w:highlight w:val="none"/>
              </w:rPr>
              <w:drawing>
                <wp:inline distT="0" distB="0" distL="114300" distR="114300">
                  <wp:extent cx="2101215" cy="2209165"/>
                  <wp:effectExtent l="0" t="0" r="13335" b="635"/>
                  <wp:docPr id="10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10.png"/>
                          <pic:cNvPicPr>
                            <a:picLocks noChangeAspect="1"/>
                          </pic:cNvPicPr>
                        </pic:nvPicPr>
                        <pic:blipFill>
                          <a:blip r:embed="rId122"/>
                          <a:stretch>
                            <a:fillRect/>
                          </a:stretch>
                        </pic:blipFill>
                        <pic:spPr>
                          <a:xfrm>
                            <a:off x="0" y="0"/>
                            <a:ext cx="2101215" cy="2209165"/>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65004859">
            <w:pPr>
              <w:pStyle w:val="13"/>
              <w:rPr>
                <w:highlight w:val="none"/>
                <w:lang w:val="zh-CN"/>
              </w:rPr>
            </w:pPr>
            <w:r>
              <w:rPr>
                <w:highlight w:val="none"/>
              </w:rPr>
              <w:drawing>
                <wp:inline distT="0" distB="0" distL="114300" distR="114300">
                  <wp:extent cx="2178685" cy="2350770"/>
                  <wp:effectExtent l="0" t="0" r="12065" b="11430"/>
                  <wp:docPr id="110"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1.png"/>
                          <pic:cNvPicPr>
                            <a:picLocks noChangeAspect="1"/>
                          </pic:cNvPicPr>
                        </pic:nvPicPr>
                        <pic:blipFill>
                          <a:blip r:embed="rId123"/>
                          <a:stretch>
                            <a:fillRect/>
                          </a:stretch>
                        </pic:blipFill>
                        <pic:spPr>
                          <a:xfrm>
                            <a:off x="0" y="0"/>
                            <a:ext cx="2178685" cy="2350770"/>
                          </a:xfrm>
                          <a:prstGeom prst="rect">
                            <a:avLst/>
                          </a:prstGeom>
                          <a:noFill/>
                          <a:ln>
                            <a:noFill/>
                          </a:ln>
                        </pic:spPr>
                      </pic:pic>
                    </a:graphicData>
                  </a:graphic>
                </wp:inline>
              </w:drawing>
            </w:r>
          </w:p>
        </w:tc>
        <w:tc>
          <w:tcPr>
            <w:tcW w:w="795" w:type="dxa"/>
            <w:vMerge w:val="restart"/>
            <w:tcBorders>
              <w:top w:val="single" w:color="auto" w:sz="4" w:space="0"/>
              <w:left w:val="single" w:color="auto" w:sz="4" w:space="0"/>
              <w:bottom w:val="single" w:color="auto" w:sz="4" w:space="0"/>
              <w:right w:val="single" w:color="auto" w:sz="4" w:space="0"/>
            </w:tcBorders>
            <w:noWrap w:val="0"/>
            <w:vAlign w:val="center"/>
          </w:tcPr>
          <w:p w14:paraId="7548C8B8">
            <w:pPr>
              <w:pStyle w:val="13"/>
              <w:rPr>
                <w:highlight w:val="none"/>
                <w:lang w:val="zh-CN"/>
              </w:rPr>
            </w:pPr>
          </w:p>
        </w:tc>
      </w:tr>
      <w:tr w14:paraId="02F4D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430" w:type="dxa"/>
            <w:vMerge w:val="continue"/>
            <w:tcBorders>
              <w:top w:val="single" w:color="auto" w:sz="4" w:space="0"/>
              <w:left w:val="single" w:color="auto" w:sz="4" w:space="0"/>
              <w:bottom w:val="single" w:color="auto" w:sz="4" w:space="0"/>
              <w:right w:val="single" w:color="auto" w:sz="4" w:space="0"/>
            </w:tcBorders>
            <w:noWrap w:val="0"/>
            <w:vAlign w:val="center"/>
          </w:tcPr>
          <w:p w14:paraId="0659233A">
            <w:pPr>
              <w:pStyle w:val="13"/>
              <w:rPr>
                <w:highlight w:val="none"/>
                <w:lang w:val="zh-CN"/>
              </w:rPr>
            </w:pPr>
          </w:p>
        </w:tc>
        <w:tc>
          <w:tcPr>
            <w:tcW w:w="484" w:type="dxa"/>
            <w:vMerge w:val="continue"/>
            <w:tcBorders>
              <w:top w:val="single" w:color="auto" w:sz="4" w:space="0"/>
              <w:left w:val="single" w:color="auto" w:sz="4" w:space="0"/>
              <w:bottom w:val="single" w:color="auto" w:sz="4" w:space="0"/>
              <w:right w:val="single" w:color="auto" w:sz="4" w:space="0"/>
            </w:tcBorders>
            <w:noWrap w:val="0"/>
            <w:vAlign w:val="center"/>
          </w:tcPr>
          <w:p w14:paraId="3B116945">
            <w:pPr>
              <w:pStyle w:val="13"/>
              <w:rPr>
                <w:highlight w:val="none"/>
                <w:lang w:val="zh-CN"/>
              </w:rPr>
            </w:pPr>
          </w:p>
        </w:tc>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14:paraId="0735BBCE">
            <w:pPr>
              <w:pStyle w:val="13"/>
              <w:rPr>
                <w:highlight w:val="none"/>
                <w:lang w:val="zh-CN"/>
              </w:rPr>
            </w:pPr>
          </w:p>
        </w:tc>
        <w:tc>
          <w:tcPr>
            <w:tcW w:w="2447" w:type="dxa"/>
            <w:vMerge w:val="continue"/>
            <w:tcBorders>
              <w:top w:val="single" w:color="auto" w:sz="4" w:space="0"/>
              <w:left w:val="single" w:color="auto" w:sz="4" w:space="0"/>
              <w:bottom w:val="single" w:color="auto" w:sz="4" w:space="0"/>
              <w:right w:val="single" w:color="auto" w:sz="4" w:space="0"/>
            </w:tcBorders>
            <w:noWrap w:val="0"/>
            <w:vAlign w:val="center"/>
          </w:tcPr>
          <w:p w14:paraId="0CD216AE">
            <w:pPr>
              <w:pStyle w:val="13"/>
              <w:rPr>
                <w:highlight w:val="none"/>
                <w:lang w:val="zh-CN"/>
              </w:rPr>
            </w:pPr>
          </w:p>
        </w:tc>
        <w:tc>
          <w:tcPr>
            <w:tcW w:w="4200" w:type="dxa"/>
            <w:vMerge w:val="restart"/>
            <w:tcBorders>
              <w:top w:val="single" w:color="auto" w:sz="4" w:space="0"/>
              <w:left w:val="single" w:color="auto" w:sz="4" w:space="0"/>
              <w:bottom w:val="single" w:color="auto" w:sz="4" w:space="0"/>
              <w:right w:val="single" w:color="auto" w:sz="4" w:space="0"/>
            </w:tcBorders>
            <w:noWrap w:val="0"/>
            <w:vAlign w:val="center"/>
          </w:tcPr>
          <w:p w14:paraId="52435EA3">
            <w:pPr>
              <w:pStyle w:val="13"/>
              <w:rPr>
                <w:highlight w:val="none"/>
                <w:lang w:val="zh-CN"/>
              </w:rPr>
            </w:pPr>
            <w:r>
              <w:rPr>
                <w:rFonts w:hint="eastAsia"/>
                <w:highlight w:val="none"/>
                <w:lang w:val="zh-CN"/>
              </w:rPr>
              <w:t>工厂门窗边框保护膜包裹做法节点详图</w:t>
            </w:r>
          </w:p>
        </w:tc>
        <w:tc>
          <w:tcPr>
            <w:tcW w:w="4414" w:type="dxa"/>
            <w:vMerge w:val="restart"/>
            <w:tcBorders>
              <w:top w:val="single" w:color="auto" w:sz="4" w:space="0"/>
              <w:left w:val="single" w:color="auto" w:sz="4" w:space="0"/>
              <w:bottom w:val="single" w:color="auto" w:sz="4" w:space="0"/>
              <w:right w:val="single" w:color="auto" w:sz="4" w:space="0"/>
            </w:tcBorders>
            <w:noWrap w:val="0"/>
            <w:vAlign w:val="center"/>
          </w:tcPr>
          <w:p w14:paraId="3AED1460">
            <w:pPr>
              <w:pStyle w:val="13"/>
              <w:rPr>
                <w:highlight w:val="none"/>
                <w:lang w:val="zh-CN"/>
              </w:rPr>
            </w:pPr>
            <w:r>
              <w:rPr>
                <w:rFonts w:hint="eastAsia"/>
                <w:highlight w:val="none"/>
                <w:lang w:val="zh-CN"/>
              </w:rPr>
              <w:t>工厂门窗边框保护膜包裹做法整体示意图</w:t>
            </w:r>
          </w:p>
        </w:tc>
        <w:tc>
          <w:tcPr>
            <w:tcW w:w="795" w:type="dxa"/>
            <w:vMerge w:val="continue"/>
            <w:tcBorders>
              <w:top w:val="single" w:color="auto" w:sz="4" w:space="0"/>
              <w:left w:val="single" w:color="auto" w:sz="4" w:space="0"/>
              <w:bottom w:val="single" w:color="auto" w:sz="4" w:space="0"/>
              <w:right w:val="single" w:color="auto" w:sz="4" w:space="0"/>
            </w:tcBorders>
            <w:noWrap w:val="0"/>
            <w:vAlign w:val="center"/>
          </w:tcPr>
          <w:p w14:paraId="5DFCCD6C">
            <w:pPr>
              <w:pStyle w:val="13"/>
              <w:rPr>
                <w:highlight w:val="none"/>
                <w:lang w:val="zh-CN"/>
              </w:rPr>
            </w:pPr>
          </w:p>
        </w:tc>
      </w:tr>
      <w:tr w14:paraId="2926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tcBorders>
              <w:top w:val="single" w:color="auto" w:sz="4" w:space="0"/>
              <w:left w:val="single" w:color="auto" w:sz="4" w:space="0"/>
              <w:bottom w:val="single" w:color="auto" w:sz="4" w:space="0"/>
              <w:right w:val="single" w:color="auto" w:sz="4" w:space="0"/>
            </w:tcBorders>
            <w:noWrap w:val="0"/>
            <w:vAlign w:val="center"/>
          </w:tcPr>
          <w:p w14:paraId="0B751292">
            <w:pPr>
              <w:pStyle w:val="13"/>
              <w:rPr>
                <w:highlight w:val="none"/>
                <w:lang w:val="zh-CN"/>
              </w:rPr>
            </w:pPr>
          </w:p>
        </w:tc>
        <w:tc>
          <w:tcPr>
            <w:tcW w:w="484" w:type="dxa"/>
            <w:vMerge w:val="continue"/>
            <w:tcBorders>
              <w:top w:val="single" w:color="auto" w:sz="4" w:space="0"/>
              <w:left w:val="single" w:color="auto" w:sz="4" w:space="0"/>
              <w:bottom w:val="single" w:color="auto" w:sz="4" w:space="0"/>
              <w:right w:val="single" w:color="auto" w:sz="4" w:space="0"/>
            </w:tcBorders>
            <w:noWrap w:val="0"/>
            <w:vAlign w:val="center"/>
          </w:tcPr>
          <w:p w14:paraId="4E2BC79B">
            <w:pPr>
              <w:pStyle w:val="13"/>
              <w:rPr>
                <w:highlight w:val="none"/>
                <w:lang w:val="zh-CN"/>
              </w:rPr>
            </w:pPr>
          </w:p>
        </w:tc>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14:paraId="7FDD8B26">
            <w:pPr>
              <w:pStyle w:val="13"/>
              <w:rPr>
                <w:highlight w:val="none"/>
                <w:lang w:val="zh-CN"/>
              </w:rPr>
            </w:pPr>
          </w:p>
        </w:tc>
        <w:tc>
          <w:tcPr>
            <w:tcW w:w="2447" w:type="dxa"/>
            <w:vMerge w:val="continue"/>
            <w:tcBorders>
              <w:top w:val="single" w:color="auto" w:sz="4" w:space="0"/>
              <w:left w:val="single" w:color="auto" w:sz="4" w:space="0"/>
              <w:bottom w:val="single" w:color="auto" w:sz="4" w:space="0"/>
              <w:right w:val="single" w:color="auto" w:sz="4" w:space="0"/>
            </w:tcBorders>
            <w:noWrap w:val="0"/>
            <w:vAlign w:val="center"/>
          </w:tcPr>
          <w:p w14:paraId="5DEA37BE">
            <w:pPr>
              <w:pStyle w:val="13"/>
              <w:rPr>
                <w:highlight w:val="none"/>
                <w:lang w:val="zh-CN"/>
              </w:rPr>
            </w:pPr>
          </w:p>
        </w:tc>
        <w:tc>
          <w:tcPr>
            <w:tcW w:w="4200" w:type="dxa"/>
            <w:vMerge w:val="continue"/>
            <w:tcBorders>
              <w:top w:val="single" w:color="auto" w:sz="4" w:space="0"/>
              <w:left w:val="single" w:color="auto" w:sz="4" w:space="0"/>
              <w:bottom w:val="single" w:color="auto" w:sz="4" w:space="0"/>
              <w:right w:val="single" w:color="auto" w:sz="4" w:space="0"/>
            </w:tcBorders>
            <w:noWrap w:val="0"/>
            <w:vAlign w:val="center"/>
          </w:tcPr>
          <w:p w14:paraId="5557217D">
            <w:pPr>
              <w:pStyle w:val="13"/>
              <w:rPr>
                <w:highlight w:val="none"/>
                <w:lang w:val="zh-CN"/>
              </w:rPr>
            </w:pPr>
          </w:p>
        </w:tc>
        <w:tc>
          <w:tcPr>
            <w:tcW w:w="4414" w:type="dxa"/>
            <w:vMerge w:val="continue"/>
            <w:tcBorders>
              <w:top w:val="single" w:color="auto" w:sz="4" w:space="0"/>
              <w:left w:val="single" w:color="auto" w:sz="4" w:space="0"/>
              <w:bottom w:val="single" w:color="auto" w:sz="4" w:space="0"/>
              <w:right w:val="single" w:color="auto" w:sz="4" w:space="0"/>
            </w:tcBorders>
            <w:noWrap w:val="0"/>
            <w:vAlign w:val="center"/>
          </w:tcPr>
          <w:p w14:paraId="4E7A1489">
            <w:pPr>
              <w:pStyle w:val="13"/>
              <w:rPr>
                <w:highlight w:val="none"/>
                <w:lang w:val="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586DA0B1">
            <w:pPr>
              <w:pStyle w:val="13"/>
              <w:rPr>
                <w:highlight w:val="none"/>
                <w:lang w:val="zh-CN"/>
              </w:rPr>
            </w:pPr>
          </w:p>
        </w:tc>
      </w:tr>
      <w:tr w14:paraId="52C83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restart"/>
            <w:tcBorders>
              <w:top w:val="single" w:color="auto" w:sz="4" w:space="0"/>
            </w:tcBorders>
            <w:noWrap w:val="0"/>
            <w:vAlign w:val="center"/>
          </w:tcPr>
          <w:p w14:paraId="5925315F">
            <w:pPr>
              <w:pStyle w:val="13"/>
              <w:rPr>
                <w:highlight w:val="none"/>
                <w:lang w:val="zh-CN"/>
              </w:rPr>
            </w:pPr>
          </w:p>
        </w:tc>
        <w:tc>
          <w:tcPr>
            <w:tcW w:w="484" w:type="dxa"/>
            <w:vMerge w:val="restart"/>
            <w:tcBorders>
              <w:top w:val="single" w:color="auto" w:sz="4" w:space="0"/>
            </w:tcBorders>
            <w:noWrap w:val="0"/>
            <w:vAlign w:val="center"/>
          </w:tcPr>
          <w:p w14:paraId="4024AFAF">
            <w:pPr>
              <w:pStyle w:val="13"/>
              <w:rPr>
                <w:highlight w:val="none"/>
                <w:lang w:val="zh-CN"/>
              </w:rPr>
            </w:pPr>
            <w:r>
              <w:rPr>
                <w:highlight w:val="none"/>
                <w:lang w:val="zh-CN"/>
              </w:rPr>
              <w:t>包装</w:t>
            </w:r>
          </w:p>
        </w:tc>
        <w:tc>
          <w:tcPr>
            <w:tcW w:w="570" w:type="dxa"/>
            <w:vMerge w:val="restart"/>
            <w:tcBorders>
              <w:top w:val="single" w:color="auto" w:sz="4" w:space="0"/>
            </w:tcBorders>
            <w:noWrap w:val="0"/>
            <w:vAlign w:val="center"/>
          </w:tcPr>
          <w:p w14:paraId="76BF284C">
            <w:pPr>
              <w:pStyle w:val="13"/>
              <w:rPr>
                <w:highlight w:val="none"/>
                <w:lang w:val="zh-CN"/>
              </w:rPr>
            </w:pPr>
            <w:r>
              <w:rPr>
                <w:highlight w:val="none"/>
                <w:lang w:val="zh-CN"/>
              </w:rPr>
              <w:t>开启扇</w:t>
            </w:r>
          </w:p>
        </w:tc>
        <w:tc>
          <w:tcPr>
            <w:tcW w:w="2447" w:type="dxa"/>
            <w:vMerge w:val="restart"/>
            <w:tcBorders>
              <w:top w:val="single" w:color="auto" w:sz="4" w:space="0"/>
            </w:tcBorders>
            <w:noWrap w:val="0"/>
            <w:vAlign w:val="center"/>
          </w:tcPr>
          <w:p w14:paraId="11D17CE2">
            <w:pPr>
              <w:pStyle w:val="13"/>
              <w:rPr>
                <w:highlight w:val="none"/>
                <w:lang w:val="zh-CN"/>
              </w:rPr>
            </w:pPr>
            <w:r>
              <w:rPr>
                <w:highlight w:val="none"/>
                <w:lang w:val="zh-CN"/>
              </w:rPr>
              <w:t>门窗开启扇应在</w:t>
            </w:r>
          </w:p>
          <w:p w14:paraId="27DB0B84">
            <w:pPr>
              <w:pStyle w:val="13"/>
              <w:rPr>
                <w:highlight w:val="none"/>
                <w:lang w:val="zh-CN"/>
              </w:rPr>
            </w:pPr>
            <w:r>
              <w:rPr>
                <w:highlight w:val="none"/>
                <w:lang w:val="zh-CN"/>
              </w:rPr>
              <w:t>加工厂完成玻璃</w:t>
            </w:r>
          </w:p>
          <w:p w14:paraId="5C1FD6C9">
            <w:pPr>
              <w:pStyle w:val="13"/>
              <w:rPr>
                <w:highlight w:val="none"/>
                <w:lang w:val="zh-CN"/>
              </w:rPr>
            </w:pPr>
            <w:r>
              <w:rPr>
                <w:highlight w:val="none"/>
                <w:lang w:val="zh-CN"/>
              </w:rPr>
              <w:t>、五金组装，以</w:t>
            </w:r>
          </w:p>
          <w:p w14:paraId="62120B48">
            <w:pPr>
              <w:pStyle w:val="13"/>
              <w:rPr>
                <w:highlight w:val="none"/>
                <w:lang w:val="zh-CN"/>
              </w:rPr>
            </w:pPr>
            <w:r>
              <w:rPr>
                <w:highlight w:val="none"/>
                <w:lang w:val="zh-CN"/>
              </w:rPr>
              <w:t>避免后期现场交</w:t>
            </w:r>
          </w:p>
          <w:p w14:paraId="6B265FAC">
            <w:pPr>
              <w:pStyle w:val="13"/>
              <w:rPr>
                <w:highlight w:val="none"/>
                <w:lang w:val="zh-CN"/>
              </w:rPr>
            </w:pPr>
            <w:r>
              <w:rPr>
                <w:highlight w:val="none"/>
                <w:lang w:val="zh-CN"/>
              </w:rPr>
              <w:t>叉施工破坏成品</w:t>
            </w:r>
          </w:p>
          <w:p w14:paraId="5D18EE14">
            <w:pPr>
              <w:pStyle w:val="13"/>
              <w:rPr>
                <w:highlight w:val="none"/>
                <w:lang w:val="zh-CN"/>
              </w:rPr>
            </w:pPr>
            <w:r>
              <w:rPr>
                <w:highlight w:val="none"/>
                <w:lang w:val="zh-CN"/>
              </w:rPr>
              <w:t>保护，加工厂必</w:t>
            </w:r>
          </w:p>
          <w:p w14:paraId="3B29BCCD">
            <w:pPr>
              <w:pStyle w:val="13"/>
              <w:rPr>
                <w:highlight w:val="none"/>
                <w:lang w:val="zh-CN"/>
              </w:rPr>
            </w:pPr>
            <w:r>
              <w:rPr>
                <w:highlight w:val="none"/>
                <w:lang w:val="zh-CN"/>
              </w:rPr>
              <w:t>须对开启扇进行</w:t>
            </w:r>
          </w:p>
          <w:p w14:paraId="3E5DD7DC">
            <w:pPr>
              <w:pStyle w:val="13"/>
              <w:rPr>
                <w:highlight w:val="none"/>
                <w:lang w:val="zh-CN"/>
              </w:rPr>
            </w:pPr>
            <w:r>
              <w:rPr>
                <w:highlight w:val="none"/>
                <w:lang w:val="zh-CN"/>
              </w:rPr>
              <w:t>完善的保护，边</w:t>
            </w:r>
          </w:p>
          <w:p w14:paraId="38222C93">
            <w:pPr>
              <w:pStyle w:val="13"/>
              <w:rPr>
                <w:highlight w:val="none"/>
                <w:lang w:val="zh-CN"/>
              </w:rPr>
            </w:pPr>
            <w:r>
              <w:rPr>
                <w:highlight w:val="none"/>
                <w:lang w:val="zh-CN"/>
              </w:rPr>
              <w:t>框用硬质胶纸对五金进行保护。</w:t>
            </w:r>
          </w:p>
          <w:p w14:paraId="476A09F9">
            <w:pPr>
              <w:pStyle w:val="13"/>
              <w:rPr>
                <w:highlight w:val="none"/>
                <w:lang w:val="zh-CN"/>
              </w:rPr>
            </w:pPr>
            <w:r>
              <w:rPr>
                <w:highlight w:val="none"/>
                <w:lang w:val="zh-CN"/>
              </w:rPr>
              <w:t>门窗扇安装后，</w:t>
            </w:r>
          </w:p>
          <w:p w14:paraId="127B1FEB">
            <w:pPr>
              <w:pStyle w:val="13"/>
              <w:rPr>
                <w:highlight w:val="none"/>
                <w:lang w:val="zh-CN"/>
              </w:rPr>
            </w:pPr>
            <w:r>
              <w:rPr>
                <w:highlight w:val="none"/>
                <w:lang w:val="zh-CN"/>
              </w:rPr>
              <w:t>关窗锁门，以防</w:t>
            </w:r>
          </w:p>
          <w:p w14:paraId="74EF3920">
            <w:pPr>
              <w:pStyle w:val="13"/>
              <w:rPr>
                <w:highlight w:val="none"/>
                <w:lang w:val="zh-CN"/>
              </w:rPr>
            </w:pPr>
            <w:r>
              <w:rPr>
                <w:highlight w:val="none"/>
                <w:lang w:val="zh-CN"/>
              </w:rPr>
              <w:t>风吹损坏门窗。</w:t>
            </w:r>
          </w:p>
          <w:p w14:paraId="7FCA2633">
            <w:pPr>
              <w:pStyle w:val="13"/>
              <w:rPr>
                <w:highlight w:val="none"/>
                <w:lang w:val="zh-CN"/>
              </w:rPr>
            </w:pPr>
            <w:r>
              <w:rPr>
                <w:highlight w:val="none"/>
                <w:lang w:val="zh-CN"/>
              </w:rPr>
              <w:t>如现场存在门窗</w:t>
            </w:r>
          </w:p>
          <w:p w14:paraId="438BB0B1">
            <w:pPr>
              <w:pStyle w:val="13"/>
              <w:rPr>
                <w:highlight w:val="none"/>
                <w:lang w:val="zh-CN"/>
              </w:rPr>
            </w:pPr>
            <w:r>
              <w:rPr>
                <w:highlight w:val="none"/>
                <w:lang w:val="zh-CN"/>
              </w:rPr>
              <w:t>未装锁、钢（含</w:t>
            </w:r>
          </w:p>
          <w:p w14:paraId="1B40A23A">
            <w:pPr>
              <w:pStyle w:val="13"/>
              <w:rPr>
                <w:highlight w:val="none"/>
                <w:lang w:val="zh-CN"/>
              </w:rPr>
            </w:pPr>
            <w:r>
              <w:rPr>
                <w:highlight w:val="none"/>
                <w:lang w:val="zh-CN"/>
              </w:rPr>
              <w:t>塑料）窗未装撑</w:t>
            </w:r>
          </w:p>
          <w:p w14:paraId="56B63099">
            <w:pPr>
              <w:pStyle w:val="13"/>
              <w:rPr>
                <w:highlight w:val="none"/>
                <w:lang w:val="zh-CN"/>
              </w:rPr>
            </w:pPr>
            <w:r>
              <w:rPr>
                <w:highlight w:val="none"/>
                <w:lang w:val="zh-CN"/>
              </w:rPr>
              <w:t>挡，则应用木楔</w:t>
            </w:r>
          </w:p>
          <w:p w14:paraId="76176212">
            <w:pPr>
              <w:pStyle w:val="13"/>
              <w:rPr>
                <w:highlight w:val="none"/>
                <w:lang w:val="zh-CN"/>
              </w:rPr>
            </w:pPr>
            <w:r>
              <w:rPr>
                <w:highlight w:val="none"/>
                <w:lang w:val="zh-CN"/>
              </w:rPr>
              <w:t>塞紧以防开启，</w:t>
            </w:r>
          </w:p>
          <w:p w14:paraId="42782096">
            <w:pPr>
              <w:pStyle w:val="13"/>
              <w:rPr>
                <w:highlight w:val="none"/>
                <w:lang w:val="zh-CN"/>
              </w:rPr>
            </w:pPr>
            <w:r>
              <w:rPr>
                <w:highlight w:val="none"/>
                <w:lang w:val="zh-CN"/>
              </w:rPr>
              <w:t>并有专人管理。</w:t>
            </w:r>
          </w:p>
        </w:tc>
        <w:tc>
          <w:tcPr>
            <w:tcW w:w="4200" w:type="dxa"/>
            <w:tcBorders>
              <w:top w:val="single" w:color="auto" w:sz="4" w:space="0"/>
            </w:tcBorders>
            <w:noWrap w:val="0"/>
            <w:vAlign w:val="center"/>
          </w:tcPr>
          <w:p w14:paraId="410F72FA">
            <w:pPr>
              <w:pStyle w:val="13"/>
              <w:rPr>
                <w:highlight w:val="none"/>
                <w:lang w:val="zh-CN"/>
              </w:rPr>
            </w:pPr>
            <w:r>
              <w:rPr>
                <w:highlight w:val="none"/>
              </w:rPr>
              <w:drawing>
                <wp:inline distT="0" distB="0" distL="114300" distR="114300">
                  <wp:extent cx="2343150" cy="1971040"/>
                  <wp:effectExtent l="0" t="0" r="0" b="10160"/>
                  <wp:docPr id="11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2.jpeg"/>
                          <pic:cNvPicPr>
                            <a:picLocks noChangeAspect="1"/>
                          </pic:cNvPicPr>
                        </pic:nvPicPr>
                        <pic:blipFill>
                          <a:blip r:embed="rId124"/>
                          <a:stretch>
                            <a:fillRect/>
                          </a:stretch>
                        </pic:blipFill>
                        <pic:spPr>
                          <a:xfrm>
                            <a:off x="0" y="0"/>
                            <a:ext cx="2343150" cy="1971040"/>
                          </a:xfrm>
                          <a:prstGeom prst="rect">
                            <a:avLst/>
                          </a:prstGeom>
                          <a:noFill/>
                          <a:ln>
                            <a:noFill/>
                          </a:ln>
                        </pic:spPr>
                      </pic:pic>
                    </a:graphicData>
                  </a:graphic>
                </wp:inline>
              </w:drawing>
            </w:r>
          </w:p>
        </w:tc>
        <w:tc>
          <w:tcPr>
            <w:tcW w:w="4414" w:type="dxa"/>
            <w:tcBorders>
              <w:top w:val="single" w:color="auto" w:sz="4" w:space="0"/>
            </w:tcBorders>
            <w:noWrap w:val="0"/>
            <w:vAlign w:val="center"/>
          </w:tcPr>
          <w:p w14:paraId="627CCF47">
            <w:pPr>
              <w:pStyle w:val="13"/>
              <w:rPr>
                <w:highlight w:val="none"/>
                <w:lang w:val="zh-CN"/>
              </w:rPr>
            </w:pPr>
          </w:p>
        </w:tc>
        <w:tc>
          <w:tcPr>
            <w:tcW w:w="795" w:type="dxa"/>
            <w:vMerge w:val="restart"/>
            <w:tcBorders>
              <w:top w:val="single" w:color="auto" w:sz="4" w:space="0"/>
            </w:tcBorders>
            <w:noWrap w:val="0"/>
            <w:vAlign w:val="center"/>
          </w:tcPr>
          <w:p w14:paraId="0D4AD671">
            <w:pPr>
              <w:pStyle w:val="13"/>
              <w:rPr>
                <w:highlight w:val="none"/>
                <w:lang w:val="zh-CN"/>
              </w:rPr>
            </w:pPr>
          </w:p>
        </w:tc>
      </w:tr>
      <w:tr w14:paraId="0FD2F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tcBorders>
              <w:top w:val="nil"/>
              <w:bottom w:val="single" w:color="auto" w:sz="4" w:space="0"/>
            </w:tcBorders>
            <w:noWrap w:val="0"/>
            <w:vAlign w:val="center"/>
          </w:tcPr>
          <w:p w14:paraId="45B30C89">
            <w:pPr>
              <w:pStyle w:val="13"/>
              <w:rPr>
                <w:highlight w:val="none"/>
                <w:lang w:val="zh-CN"/>
              </w:rPr>
            </w:pPr>
          </w:p>
        </w:tc>
        <w:tc>
          <w:tcPr>
            <w:tcW w:w="484" w:type="dxa"/>
            <w:vMerge w:val="continue"/>
            <w:tcBorders>
              <w:bottom w:val="single" w:color="auto" w:sz="4" w:space="0"/>
            </w:tcBorders>
            <w:noWrap w:val="0"/>
            <w:vAlign w:val="center"/>
          </w:tcPr>
          <w:p w14:paraId="4E1859A9">
            <w:pPr>
              <w:pStyle w:val="13"/>
              <w:rPr>
                <w:highlight w:val="none"/>
                <w:lang w:val="zh-CN"/>
              </w:rPr>
            </w:pPr>
          </w:p>
        </w:tc>
        <w:tc>
          <w:tcPr>
            <w:tcW w:w="570" w:type="dxa"/>
            <w:vMerge w:val="continue"/>
            <w:tcBorders>
              <w:bottom w:val="single" w:color="auto" w:sz="4" w:space="0"/>
            </w:tcBorders>
            <w:noWrap w:val="0"/>
            <w:vAlign w:val="center"/>
          </w:tcPr>
          <w:p w14:paraId="0B955F09">
            <w:pPr>
              <w:pStyle w:val="13"/>
              <w:rPr>
                <w:highlight w:val="none"/>
                <w:lang w:val="zh-CN"/>
              </w:rPr>
            </w:pPr>
          </w:p>
        </w:tc>
        <w:tc>
          <w:tcPr>
            <w:tcW w:w="2447" w:type="dxa"/>
            <w:vMerge w:val="continue"/>
            <w:tcBorders>
              <w:bottom w:val="single" w:color="auto" w:sz="4" w:space="0"/>
            </w:tcBorders>
            <w:noWrap w:val="0"/>
            <w:vAlign w:val="center"/>
          </w:tcPr>
          <w:p w14:paraId="5EDFB409">
            <w:pPr>
              <w:pStyle w:val="13"/>
              <w:rPr>
                <w:highlight w:val="none"/>
                <w:lang w:val="zh-CN"/>
              </w:rPr>
            </w:pPr>
          </w:p>
        </w:tc>
        <w:tc>
          <w:tcPr>
            <w:tcW w:w="4200" w:type="dxa"/>
            <w:tcBorders>
              <w:bottom w:val="single" w:color="auto" w:sz="4" w:space="0"/>
            </w:tcBorders>
            <w:noWrap w:val="0"/>
            <w:vAlign w:val="center"/>
          </w:tcPr>
          <w:p w14:paraId="47B877D5">
            <w:pPr>
              <w:pStyle w:val="13"/>
              <w:rPr>
                <w:highlight w:val="none"/>
                <w:lang w:val="zh-CN"/>
              </w:rPr>
            </w:pPr>
            <w:r>
              <w:rPr>
                <w:rFonts w:hint="eastAsia"/>
                <w:highlight w:val="none"/>
                <w:lang w:val="zh-CN"/>
              </w:rPr>
              <w:t>开启扇组装完成后边部有硬纸壳保护边框和里面五金</w:t>
            </w:r>
          </w:p>
        </w:tc>
        <w:tc>
          <w:tcPr>
            <w:tcW w:w="4414" w:type="dxa"/>
            <w:tcBorders>
              <w:bottom w:val="single" w:color="auto" w:sz="4" w:space="0"/>
            </w:tcBorders>
            <w:noWrap w:val="0"/>
            <w:vAlign w:val="center"/>
          </w:tcPr>
          <w:p w14:paraId="7DD2206D">
            <w:pPr>
              <w:pStyle w:val="13"/>
              <w:rPr>
                <w:highlight w:val="none"/>
                <w:lang w:val="zh-CN"/>
              </w:rPr>
            </w:pPr>
          </w:p>
        </w:tc>
        <w:tc>
          <w:tcPr>
            <w:tcW w:w="795" w:type="dxa"/>
            <w:vMerge w:val="continue"/>
            <w:tcBorders>
              <w:top w:val="nil"/>
              <w:bottom w:val="single" w:color="auto" w:sz="4" w:space="0"/>
            </w:tcBorders>
            <w:noWrap w:val="0"/>
            <w:vAlign w:val="center"/>
          </w:tcPr>
          <w:p w14:paraId="72B973EC">
            <w:pPr>
              <w:pStyle w:val="13"/>
              <w:rPr>
                <w:highlight w:val="none"/>
                <w:lang w:val="zh-CN"/>
              </w:rPr>
            </w:pPr>
          </w:p>
        </w:tc>
      </w:tr>
      <w:tr w14:paraId="41173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restart"/>
            <w:tcBorders>
              <w:top w:val="single" w:color="auto" w:sz="4" w:space="0"/>
              <w:left w:val="single" w:color="auto" w:sz="4" w:space="0"/>
              <w:bottom w:val="single" w:color="auto" w:sz="4" w:space="0"/>
              <w:right w:val="single" w:color="auto" w:sz="4" w:space="0"/>
            </w:tcBorders>
            <w:noWrap w:val="0"/>
            <w:vAlign w:val="center"/>
          </w:tcPr>
          <w:p w14:paraId="448445C5">
            <w:pPr>
              <w:pStyle w:val="13"/>
              <w:rPr>
                <w:highlight w:val="none"/>
                <w:lang w:val="zh-CN"/>
              </w:rPr>
            </w:pPr>
            <w:r>
              <w:rPr>
                <w:highlight w:val="none"/>
                <w:lang w:val="zh-CN"/>
              </w:rPr>
              <w:t>5</w:t>
            </w:r>
          </w:p>
        </w:tc>
        <w:tc>
          <w:tcPr>
            <w:tcW w:w="484" w:type="dxa"/>
            <w:vMerge w:val="restart"/>
            <w:tcBorders>
              <w:top w:val="single" w:color="auto" w:sz="4" w:space="0"/>
              <w:left w:val="single" w:color="auto" w:sz="4" w:space="0"/>
              <w:bottom w:val="single" w:color="auto" w:sz="4" w:space="0"/>
              <w:right w:val="single" w:color="auto" w:sz="4" w:space="0"/>
            </w:tcBorders>
            <w:noWrap w:val="0"/>
            <w:vAlign w:val="center"/>
          </w:tcPr>
          <w:p w14:paraId="05505846">
            <w:pPr>
              <w:pStyle w:val="13"/>
              <w:rPr>
                <w:highlight w:val="none"/>
                <w:lang w:val="zh-CN"/>
              </w:rPr>
            </w:pPr>
            <w:r>
              <w:rPr>
                <w:highlight w:val="none"/>
                <w:lang w:val="zh-CN"/>
              </w:rPr>
              <w:t>工厂包装</w:t>
            </w:r>
          </w:p>
        </w:tc>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14:paraId="20FC51F1">
            <w:pPr>
              <w:pStyle w:val="13"/>
              <w:rPr>
                <w:highlight w:val="none"/>
                <w:lang w:val="zh-CN"/>
              </w:rPr>
            </w:pPr>
            <w:r>
              <w:rPr>
                <w:highlight w:val="none"/>
                <w:lang w:val="zh-CN"/>
              </w:rPr>
              <w:t>开启</w:t>
            </w:r>
          </w:p>
          <w:p w14:paraId="2C89FF3E">
            <w:pPr>
              <w:pStyle w:val="13"/>
              <w:rPr>
                <w:highlight w:val="none"/>
                <w:lang w:val="zh-CN"/>
              </w:rPr>
            </w:pPr>
            <w:r>
              <w:rPr>
                <w:highlight w:val="none"/>
                <w:lang w:val="zh-CN"/>
              </w:rPr>
              <w:t>扇保护做</w:t>
            </w:r>
          </w:p>
          <w:p w14:paraId="485743FE">
            <w:pPr>
              <w:pStyle w:val="13"/>
              <w:rPr>
                <w:highlight w:val="none"/>
                <w:lang w:val="zh-CN"/>
              </w:rPr>
            </w:pPr>
            <w:r>
              <w:rPr>
                <w:highlight w:val="none"/>
                <w:lang w:val="zh-CN"/>
              </w:rPr>
              <w:t>法图</w:t>
            </w:r>
          </w:p>
          <w:p w14:paraId="6492AD7C">
            <w:pPr>
              <w:pStyle w:val="13"/>
              <w:rPr>
                <w:highlight w:val="none"/>
                <w:lang w:val="zh-CN"/>
              </w:rPr>
            </w:pPr>
            <w:r>
              <w:rPr>
                <w:highlight w:val="none"/>
                <w:lang w:val="zh-CN"/>
              </w:rPr>
              <w:t>示</w:t>
            </w:r>
          </w:p>
        </w:tc>
        <w:tc>
          <w:tcPr>
            <w:tcW w:w="2447" w:type="dxa"/>
            <w:vMerge w:val="restart"/>
            <w:tcBorders>
              <w:top w:val="single" w:color="auto" w:sz="4" w:space="0"/>
              <w:left w:val="single" w:color="auto" w:sz="4" w:space="0"/>
              <w:bottom w:val="single" w:color="auto" w:sz="4" w:space="0"/>
              <w:right w:val="single" w:color="auto" w:sz="4" w:space="0"/>
            </w:tcBorders>
            <w:noWrap w:val="0"/>
            <w:vAlign w:val="center"/>
          </w:tcPr>
          <w:p w14:paraId="44B7CF66">
            <w:pPr>
              <w:pStyle w:val="13"/>
              <w:rPr>
                <w:highlight w:val="none"/>
                <w:lang w:val="zh-CN"/>
              </w:rPr>
            </w:pPr>
          </w:p>
        </w:tc>
        <w:tc>
          <w:tcPr>
            <w:tcW w:w="4200" w:type="dxa"/>
            <w:tcBorders>
              <w:top w:val="single" w:color="auto" w:sz="4" w:space="0"/>
              <w:left w:val="single" w:color="auto" w:sz="4" w:space="0"/>
              <w:bottom w:val="single" w:color="auto" w:sz="4" w:space="0"/>
              <w:right w:val="single" w:color="auto" w:sz="4" w:space="0"/>
            </w:tcBorders>
            <w:noWrap w:val="0"/>
            <w:vAlign w:val="center"/>
          </w:tcPr>
          <w:p w14:paraId="76649BC5">
            <w:pPr>
              <w:pStyle w:val="13"/>
              <w:rPr>
                <w:highlight w:val="none"/>
                <w:lang w:val="zh-CN"/>
              </w:rPr>
            </w:pPr>
            <w:r>
              <w:rPr>
                <w:highlight w:val="none"/>
              </w:rPr>
              <w:drawing>
                <wp:inline distT="0" distB="0" distL="114300" distR="114300">
                  <wp:extent cx="2305050" cy="1667510"/>
                  <wp:effectExtent l="0" t="0" r="0" b="8890"/>
                  <wp:docPr id="112"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4.png"/>
                          <pic:cNvPicPr>
                            <a:picLocks noChangeAspect="1"/>
                          </pic:cNvPicPr>
                        </pic:nvPicPr>
                        <pic:blipFill>
                          <a:blip r:embed="rId125"/>
                          <a:stretch>
                            <a:fillRect/>
                          </a:stretch>
                        </pic:blipFill>
                        <pic:spPr>
                          <a:xfrm>
                            <a:off x="0" y="0"/>
                            <a:ext cx="2305050" cy="1667510"/>
                          </a:xfrm>
                          <a:prstGeom prst="rect">
                            <a:avLst/>
                          </a:prstGeom>
                          <a:noFill/>
                          <a:ln>
                            <a:noFill/>
                          </a:ln>
                        </pic:spPr>
                      </pic:pic>
                    </a:graphicData>
                  </a:graphic>
                </wp:inline>
              </w:drawing>
            </w:r>
          </w:p>
        </w:tc>
        <w:tc>
          <w:tcPr>
            <w:tcW w:w="4414" w:type="dxa"/>
            <w:vMerge w:val="restart"/>
            <w:tcBorders>
              <w:top w:val="single" w:color="auto" w:sz="4" w:space="0"/>
              <w:left w:val="single" w:color="auto" w:sz="4" w:space="0"/>
              <w:bottom w:val="single" w:color="auto" w:sz="4" w:space="0"/>
              <w:right w:val="single" w:color="auto" w:sz="4" w:space="0"/>
            </w:tcBorders>
            <w:noWrap w:val="0"/>
            <w:vAlign w:val="center"/>
          </w:tcPr>
          <w:p w14:paraId="157E4744">
            <w:pPr>
              <w:pStyle w:val="13"/>
              <w:rPr>
                <w:highlight w:val="none"/>
                <w:lang w:val="zh-CN"/>
              </w:rPr>
            </w:pPr>
          </w:p>
        </w:tc>
        <w:tc>
          <w:tcPr>
            <w:tcW w:w="795" w:type="dxa"/>
            <w:vMerge w:val="restart"/>
            <w:tcBorders>
              <w:top w:val="single" w:color="auto" w:sz="4" w:space="0"/>
              <w:left w:val="single" w:color="auto" w:sz="4" w:space="0"/>
              <w:bottom w:val="single" w:color="auto" w:sz="4" w:space="0"/>
              <w:right w:val="single" w:color="auto" w:sz="4" w:space="0"/>
            </w:tcBorders>
            <w:noWrap w:val="0"/>
            <w:vAlign w:val="center"/>
          </w:tcPr>
          <w:p w14:paraId="118CED38">
            <w:pPr>
              <w:pStyle w:val="13"/>
              <w:rPr>
                <w:highlight w:val="none"/>
                <w:lang w:val="zh-CN"/>
              </w:rPr>
            </w:pPr>
          </w:p>
        </w:tc>
      </w:tr>
      <w:tr w14:paraId="78F7C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tcBorders>
              <w:top w:val="single" w:color="auto" w:sz="4" w:space="0"/>
              <w:left w:val="single" w:color="auto" w:sz="4" w:space="0"/>
              <w:bottom w:val="single" w:color="auto" w:sz="4" w:space="0"/>
              <w:right w:val="single" w:color="auto" w:sz="4" w:space="0"/>
            </w:tcBorders>
            <w:noWrap w:val="0"/>
            <w:vAlign w:val="center"/>
          </w:tcPr>
          <w:p w14:paraId="178F8DBC">
            <w:pPr>
              <w:pStyle w:val="13"/>
              <w:rPr>
                <w:highlight w:val="none"/>
                <w:lang w:val="zh-CN"/>
              </w:rPr>
            </w:pPr>
          </w:p>
        </w:tc>
        <w:tc>
          <w:tcPr>
            <w:tcW w:w="484" w:type="dxa"/>
            <w:vMerge w:val="continue"/>
            <w:tcBorders>
              <w:top w:val="single" w:color="auto" w:sz="4" w:space="0"/>
              <w:left w:val="single" w:color="auto" w:sz="4" w:space="0"/>
              <w:bottom w:val="single" w:color="auto" w:sz="4" w:space="0"/>
              <w:right w:val="single" w:color="auto" w:sz="4" w:space="0"/>
            </w:tcBorders>
            <w:noWrap w:val="0"/>
            <w:vAlign w:val="center"/>
          </w:tcPr>
          <w:p w14:paraId="17608B31">
            <w:pPr>
              <w:pStyle w:val="13"/>
              <w:rPr>
                <w:highlight w:val="none"/>
                <w:lang w:val="zh-CN"/>
              </w:rPr>
            </w:pPr>
          </w:p>
        </w:tc>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14:paraId="4096CF65">
            <w:pPr>
              <w:pStyle w:val="13"/>
              <w:rPr>
                <w:highlight w:val="none"/>
                <w:lang w:val="zh-CN"/>
              </w:rPr>
            </w:pPr>
          </w:p>
        </w:tc>
        <w:tc>
          <w:tcPr>
            <w:tcW w:w="2447" w:type="dxa"/>
            <w:vMerge w:val="continue"/>
            <w:tcBorders>
              <w:top w:val="single" w:color="auto" w:sz="4" w:space="0"/>
              <w:left w:val="single" w:color="auto" w:sz="4" w:space="0"/>
              <w:bottom w:val="single" w:color="auto" w:sz="4" w:space="0"/>
              <w:right w:val="single" w:color="auto" w:sz="4" w:space="0"/>
            </w:tcBorders>
            <w:noWrap w:val="0"/>
            <w:vAlign w:val="center"/>
          </w:tcPr>
          <w:p w14:paraId="381BF083">
            <w:pPr>
              <w:pStyle w:val="13"/>
              <w:rPr>
                <w:highlight w:val="none"/>
                <w:lang w:val="zh-CN"/>
              </w:rPr>
            </w:pPr>
          </w:p>
        </w:tc>
        <w:tc>
          <w:tcPr>
            <w:tcW w:w="4200" w:type="dxa"/>
            <w:tcBorders>
              <w:top w:val="single" w:color="auto" w:sz="4" w:space="0"/>
              <w:left w:val="single" w:color="auto" w:sz="4" w:space="0"/>
              <w:bottom w:val="single" w:color="auto" w:sz="4" w:space="0"/>
              <w:right w:val="single" w:color="auto" w:sz="4" w:space="0"/>
            </w:tcBorders>
            <w:noWrap w:val="0"/>
            <w:vAlign w:val="center"/>
          </w:tcPr>
          <w:p w14:paraId="55918B27">
            <w:pPr>
              <w:pStyle w:val="13"/>
              <w:rPr>
                <w:highlight w:val="none"/>
                <w:lang w:val="zh-CN"/>
              </w:rPr>
            </w:pPr>
            <w:r>
              <w:rPr>
                <w:rFonts w:hint="eastAsia"/>
                <w:highlight w:val="none"/>
                <w:lang w:val="zh-CN"/>
              </w:rPr>
              <w:t>工厂开启扇边框保护包裹做法大样图图</w:t>
            </w:r>
          </w:p>
        </w:tc>
        <w:tc>
          <w:tcPr>
            <w:tcW w:w="4414" w:type="dxa"/>
            <w:vMerge w:val="continue"/>
            <w:tcBorders>
              <w:top w:val="single" w:color="auto" w:sz="4" w:space="0"/>
              <w:left w:val="single" w:color="auto" w:sz="4" w:space="0"/>
              <w:bottom w:val="single" w:color="auto" w:sz="4" w:space="0"/>
              <w:right w:val="single" w:color="auto" w:sz="4" w:space="0"/>
            </w:tcBorders>
            <w:noWrap w:val="0"/>
            <w:vAlign w:val="center"/>
          </w:tcPr>
          <w:p w14:paraId="0132E554">
            <w:pPr>
              <w:pStyle w:val="13"/>
              <w:rPr>
                <w:highlight w:val="none"/>
                <w:lang w:val="zh-CN"/>
              </w:rPr>
            </w:pPr>
          </w:p>
        </w:tc>
        <w:tc>
          <w:tcPr>
            <w:tcW w:w="795" w:type="dxa"/>
            <w:vMerge w:val="continue"/>
            <w:tcBorders>
              <w:top w:val="single" w:color="auto" w:sz="4" w:space="0"/>
              <w:left w:val="single" w:color="auto" w:sz="4" w:space="0"/>
              <w:bottom w:val="single" w:color="auto" w:sz="4" w:space="0"/>
              <w:right w:val="single" w:color="auto" w:sz="4" w:space="0"/>
            </w:tcBorders>
            <w:noWrap w:val="0"/>
            <w:vAlign w:val="center"/>
          </w:tcPr>
          <w:p w14:paraId="4D34E882">
            <w:pPr>
              <w:pStyle w:val="13"/>
              <w:rPr>
                <w:highlight w:val="none"/>
                <w:lang w:val="zh-CN"/>
              </w:rPr>
            </w:pPr>
          </w:p>
        </w:tc>
      </w:tr>
      <w:tr w14:paraId="730F7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tcBorders>
              <w:top w:val="single" w:color="auto" w:sz="4" w:space="0"/>
              <w:left w:val="single" w:color="auto" w:sz="4" w:space="0"/>
              <w:bottom w:val="single" w:color="auto" w:sz="4" w:space="0"/>
              <w:right w:val="single" w:color="auto" w:sz="4" w:space="0"/>
            </w:tcBorders>
            <w:noWrap w:val="0"/>
            <w:vAlign w:val="center"/>
          </w:tcPr>
          <w:p w14:paraId="3EF23E03">
            <w:pPr>
              <w:pStyle w:val="13"/>
              <w:rPr>
                <w:highlight w:val="none"/>
                <w:lang w:val="zh-CN"/>
              </w:rPr>
            </w:pPr>
            <w:r>
              <w:rPr>
                <w:highlight w:val="none"/>
                <w:lang w:val="zh-CN"/>
              </w:rPr>
              <w:t>6</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0C3AF98F">
            <w:pPr>
              <w:pStyle w:val="13"/>
              <w:rPr>
                <w:highlight w:val="none"/>
                <w:lang w:val="zh-CN"/>
              </w:rPr>
            </w:pPr>
            <w:r>
              <w:rPr>
                <w:highlight w:val="none"/>
                <w:lang w:val="zh-CN"/>
              </w:rPr>
              <w:t>现场过程保护</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C89B69E">
            <w:pPr>
              <w:pStyle w:val="13"/>
              <w:rPr>
                <w:highlight w:val="none"/>
                <w:lang w:val="zh-CN"/>
              </w:rPr>
            </w:pPr>
            <w:r>
              <w:rPr>
                <w:highlight w:val="none"/>
                <w:lang w:val="zh-CN"/>
              </w:rPr>
              <w:t>窗户现场保护</w:t>
            </w:r>
          </w:p>
        </w:tc>
        <w:tc>
          <w:tcPr>
            <w:tcW w:w="2447" w:type="dxa"/>
            <w:tcBorders>
              <w:top w:val="single" w:color="auto" w:sz="4" w:space="0"/>
              <w:left w:val="single" w:color="auto" w:sz="4" w:space="0"/>
              <w:bottom w:val="single" w:color="auto" w:sz="4" w:space="0"/>
              <w:right w:val="single" w:color="auto" w:sz="4" w:space="0"/>
            </w:tcBorders>
            <w:noWrap w:val="0"/>
            <w:vAlign w:val="center"/>
          </w:tcPr>
          <w:p w14:paraId="01B3EF26">
            <w:pPr>
              <w:pStyle w:val="13"/>
              <w:rPr>
                <w:highlight w:val="none"/>
                <w:lang w:val="zh-CN"/>
              </w:rPr>
            </w:pPr>
            <w:r>
              <w:rPr>
                <w:highlight w:val="none"/>
                <w:lang w:val="zh-CN"/>
              </w:rPr>
              <w:t>门窗玻璃以及</w:t>
            </w:r>
            <w:r>
              <w:rPr>
                <w:rFonts w:hint="eastAsia"/>
                <w:highlight w:val="none"/>
              </w:rPr>
              <w:t>开</w:t>
            </w:r>
            <w:r>
              <w:rPr>
                <w:highlight w:val="none"/>
                <w:lang w:val="zh-CN"/>
              </w:rPr>
              <w:t>启扇安装完成</w:t>
            </w:r>
          </w:p>
          <w:p w14:paraId="1AB4E9CE">
            <w:pPr>
              <w:pStyle w:val="13"/>
              <w:rPr>
                <w:highlight w:val="none"/>
                <w:lang w:val="zh-CN"/>
              </w:rPr>
            </w:pPr>
            <w:r>
              <w:rPr>
                <w:highlight w:val="none"/>
                <w:lang w:val="zh-CN"/>
              </w:rPr>
              <w:t>后，由于整体工</w:t>
            </w:r>
          </w:p>
          <w:p w14:paraId="72672821">
            <w:pPr>
              <w:pStyle w:val="13"/>
              <w:rPr>
                <w:highlight w:val="none"/>
                <w:lang w:val="zh-CN"/>
              </w:rPr>
            </w:pPr>
            <w:r>
              <w:rPr>
                <w:highlight w:val="none"/>
                <w:lang w:val="zh-CN"/>
              </w:rPr>
              <w:t>期的不确定性以</w:t>
            </w:r>
          </w:p>
          <w:p w14:paraId="089C7404">
            <w:pPr>
              <w:pStyle w:val="13"/>
              <w:rPr>
                <w:highlight w:val="none"/>
                <w:lang w:val="zh-CN"/>
              </w:rPr>
            </w:pPr>
            <w:r>
              <w:rPr>
                <w:highlight w:val="none"/>
                <w:lang w:val="zh-CN"/>
              </w:rPr>
              <w:t>及室内外可能仍</w:t>
            </w:r>
          </w:p>
          <w:p w14:paraId="2E597974">
            <w:pPr>
              <w:pStyle w:val="13"/>
              <w:rPr>
                <w:highlight w:val="none"/>
                <w:lang w:val="zh-CN"/>
              </w:rPr>
            </w:pPr>
            <w:r>
              <w:rPr>
                <w:highlight w:val="none"/>
                <w:lang w:val="zh-CN"/>
              </w:rPr>
              <w:t>有其他作业工作，现可选择性要求施工单位将铝型材原保护膜全部撕掉（避免工期过长膜老化无法撕除），现场重新用糯米胶和硬质塑料将门窗室内外的玻璃以及型材重新全部保护，从根本上杜绝其他后续污染，现场应慎</w:t>
            </w:r>
          </w:p>
          <w:p w14:paraId="2FEBB894">
            <w:pPr>
              <w:pStyle w:val="13"/>
              <w:rPr>
                <w:highlight w:val="none"/>
                <w:lang w:val="zh-CN"/>
              </w:rPr>
            </w:pPr>
            <w:r>
              <w:rPr>
                <w:highlight w:val="none"/>
                <w:lang w:val="zh-CN"/>
              </w:rPr>
              <w:t>重选择保护膜，应选择厚质、抗老化薄膜。</w:t>
            </w:r>
          </w:p>
        </w:tc>
        <w:tc>
          <w:tcPr>
            <w:tcW w:w="4200" w:type="dxa"/>
            <w:tcBorders>
              <w:top w:val="single" w:color="auto" w:sz="4" w:space="0"/>
              <w:left w:val="single" w:color="auto" w:sz="4" w:space="0"/>
              <w:bottom w:val="single" w:color="auto" w:sz="4" w:space="0"/>
              <w:right w:val="single" w:color="auto" w:sz="4" w:space="0"/>
            </w:tcBorders>
            <w:noWrap w:val="0"/>
            <w:vAlign w:val="center"/>
          </w:tcPr>
          <w:p w14:paraId="7172A302">
            <w:pPr>
              <w:pStyle w:val="13"/>
              <w:rPr>
                <w:highlight w:val="none"/>
                <w:lang w:val="zh-CN"/>
              </w:rPr>
            </w:pPr>
            <w:r>
              <w:rPr>
                <w:highlight w:val="none"/>
              </w:rPr>
              <w:drawing>
                <wp:inline distT="0" distB="0" distL="114300" distR="114300">
                  <wp:extent cx="2437765" cy="1885950"/>
                  <wp:effectExtent l="0" t="0" r="635" b="0"/>
                  <wp:docPr id="11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5.jpeg"/>
                          <pic:cNvPicPr>
                            <a:picLocks noChangeAspect="1"/>
                          </pic:cNvPicPr>
                        </pic:nvPicPr>
                        <pic:blipFill>
                          <a:blip r:embed="rId126"/>
                          <a:stretch>
                            <a:fillRect/>
                          </a:stretch>
                        </pic:blipFill>
                        <pic:spPr>
                          <a:xfrm>
                            <a:off x="0" y="0"/>
                            <a:ext cx="2437765" cy="1885950"/>
                          </a:xfrm>
                          <a:prstGeom prst="rect">
                            <a:avLst/>
                          </a:prstGeom>
                          <a:noFill/>
                          <a:ln>
                            <a:noFill/>
                          </a:ln>
                        </pic:spPr>
                      </pic:pic>
                    </a:graphicData>
                  </a:graphic>
                </wp:inline>
              </w:drawing>
            </w:r>
          </w:p>
        </w:tc>
        <w:tc>
          <w:tcPr>
            <w:tcW w:w="4414" w:type="dxa"/>
            <w:tcBorders>
              <w:top w:val="single" w:color="auto" w:sz="4" w:space="0"/>
              <w:left w:val="single" w:color="auto" w:sz="4" w:space="0"/>
              <w:bottom w:val="single" w:color="auto" w:sz="4" w:space="0"/>
              <w:right w:val="single" w:color="auto" w:sz="4" w:space="0"/>
            </w:tcBorders>
            <w:noWrap w:val="0"/>
            <w:vAlign w:val="center"/>
          </w:tcPr>
          <w:p w14:paraId="52639D9F">
            <w:pPr>
              <w:pStyle w:val="13"/>
              <w:rPr>
                <w:highlight w:val="none"/>
                <w:lang w:val="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41A8D161">
            <w:pPr>
              <w:pStyle w:val="13"/>
              <w:rPr>
                <w:highlight w:val="none"/>
                <w:lang w:val="zh-CN"/>
              </w:rPr>
            </w:pPr>
          </w:p>
        </w:tc>
      </w:tr>
      <w:tr w14:paraId="60113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restart"/>
            <w:noWrap w:val="0"/>
            <w:vAlign w:val="center"/>
          </w:tcPr>
          <w:p w14:paraId="2831B33E">
            <w:pPr>
              <w:pStyle w:val="13"/>
              <w:rPr>
                <w:highlight w:val="none"/>
                <w:lang w:val="zh-CN"/>
              </w:rPr>
            </w:pPr>
            <w:r>
              <w:rPr>
                <w:highlight w:val="none"/>
              </w:rPr>
              <mc:AlternateContent>
                <mc:Choice Requires="wpg">
                  <w:drawing>
                    <wp:anchor distT="0" distB="0" distL="114300" distR="114300" simplePos="0" relativeHeight="251659264" behindDoc="1" locked="0" layoutInCell="1" allowOverlap="1">
                      <wp:simplePos x="0" y="0"/>
                      <wp:positionH relativeFrom="page">
                        <wp:posOffset>4896485</wp:posOffset>
                      </wp:positionH>
                      <wp:positionV relativeFrom="page">
                        <wp:posOffset>13865225</wp:posOffset>
                      </wp:positionV>
                      <wp:extent cx="3286760" cy="3080385"/>
                      <wp:effectExtent l="635" t="0" r="8255" b="5715"/>
                      <wp:wrapNone/>
                      <wp:docPr id="243" name="组合 6"/>
                      <wp:cNvGraphicFramePr/>
                      <a:graphic xmlns:a="http://schemas.openxmlformats.org/drawingml/2006/main">
                        <a:graphicData uri="http://schemas.microsoft.com/office/word/2010/wordprocessingGroup">
                          <wpg:wgp>
                            <wpg:cNvGrpSpPr/>
                            <wpg:grpSpPr>
                              <a:xfrm>
                                <a:off x="0" y="0"/>
                                <a:ext cx="3286760" cy="3080385"/>
                                <a:chOff x="7712" y="21835"/>
                                <a:chExt cx="5176" cy="4851"/>
                              </a:xfrm>
                              <a:effectLst/>
                            </wpg:grpSpPr>
                            <pic:pic xmlns:pic="http://schemas.openxmlformats.org/drawingml/2006/picture">
                              <pic:nvPicPr>
                                <pic:cNvPr id="244" name="图片 7"/>
                                <pic:cNvPicPr>
                                  <a:picLocks noChangeAspect="1"/>
                                </pic:cNvPicPr>
                              </pic:nvPicPr>
                              <pic:blipFill>
                                <a:blip r:embed="rId127"/>
                                <a:stretch>
                                  <a:fillRect/>
                                </a:stretch>
                              </pic:blipFill>
                              <pic:spPr>
                                <a:xfrm>
                                  <a:off x="7711" y="21835"/>
                                  <a:ext cx="5176" cy="4851"/>
                                </a:xfrm>
                                <a:prstGeom prst="rect">
                                  <a:avLst/>
                                </a:prstGeom>
                                <a:noFill/>
                                <a:ln>
                                  <a:noFill/>
                                </a:ln>
                                <a:effectLst/>
                              </pic:spPr>
                            </pic:pic>
                            <wps:wsp>
                              <wps:cNvPr id="245" name="矩形 8"/>
                              <wps:cNvSpPr/>
                              <wps:spPr>
                                <a:xfrm>
                                  <a:off x="11750" y="24345"/>
                                  <a:ext cx="741" cy="402"/>
                                </a:xfrm>
                                <a:prstGeom prst="rect">
                                  <a:avLst/>
                                </a:prstGeom>
                                <a:solidFill>
                                  <a:srgbClr val="4F81BC"/>
                                </a:solidFill>
                                <a:ln>
                                  <a:noFill/>
                                </a:ln>
                                <a:effectLst/>
                              </wps:spPr>
                              <wps:bodyPr wrap="square" upright="1"/>
                            </wps:wsp>
                            <wps:wsp>
                              <wps:cNvPr id="246" name="直线 9"/>
                              <wps:cNvCnPr/>
                              <wps:spPr>
                                <a:xfrm flipH="1">
                                  <a:off x="11413" y="24420"/>
                                  <a:ext cx="276" cy="192"/>
                                </a:xfrm>
                                <a:prstGeom prst="line">
                                  <a:avLst/>
                                </a:prstGeom>
                                <a:ln w="18148" cap="flat" cmpd="sng">
                                  <a:solidFill>
                                    <a:srgbClr val="385D89"/>
                                  </a:solidFill>
                                  <a:prstDash val="solid"/>
                                  <a:headEnd type="none" w="med" len="med"/>
                                  <a:tailEnd type="none" w="med" len="med"/>
                                </a:ln>
                                <a:effectLst/>
                              </wps:spPr>
                              <wps:bodyPr/>
                            </wps:wsp>
                          </wpg:wgp>
                        </a:graphicData>
                      </a:graphic>
                    </wp:anchor>
                  </w:drawing>
                </mc:Choice>
                <mc:Fallback>
                  <w:pict>
                    <v:group id="组合 6" o:spid="_x0000_s1026" o:spt="203" style="position:absolute;left:0pt;margin-left:385.55pt;margin-top:1091.75pt;height:242.55pt;width:258.8pt;mso-position-horizontal-relative:page;mso-position-vertical-relative:page;z-index:-251657216;mso-width-relative:page;mso-height-relative:page;" coordorigin="7712,21835" coordsize="5176,4851" o:gfxdata="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">
                      <o:lock v:ext="edit" aspectratio="f"/>
                      <v:shape id="图片 7" o:spid="_x0000_s1026" o:spt="75" type="#_x0000_t75" style="position:absolute;left:7711;top:21835;height:4851;width:5176;" filled="f" o:preferrelative="t" stroked="f" coordsize="21600,21600" o:gfxdata="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BkJni2AAAA3AAAAA8A&#10;AAAAAAAAAQAgAAAAIgAAAGRycy9kb3ducmV2LnhtbFBLAQIUABQAAAAIAIdO4kAzLwWeOwAAADkA&#10;AAAQAAAAAAAAAAEAIAAAAAUBAABkcnMvc2hhcGV4bWwueG1sUEsFBgAAAAAGAAYAWwEAAK8DAAAA&#10;AA==&#10;">
                        <v:fill on="f" focussize="0,0"/>
                        <v:stroke on="f"/>
                        <v:imagedata r:id="rId127" o:title=""/>
                        <o:lock v:ext="edit" aspectratio="t"/>
                      </v:shape>
                      <v:rect id="矩形 8" o:spid="_x0000_s1026" o:spt="1" style="position:absolute;left:11750;top:24345;height:402;width:741;" fillcolor="#4F81BC" filled="t" stroked="f" coordsize="21600,21600" o:gfxdata="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oN974A&#10;AADcAAAADwAAAAAAAAABACAAAAAiAAAAZHJzL2Rvd25yZXYueG1sUEsBAhQAFAAAAAgAh07iQDMv&#10;BZ47AAAAOQAAABAAAAAAAAAAAQAgAAAADQEAAGRycy9zaGFwZXhtbC54bWxQSwUGAAAAAAYABgBb&#10;AQAAtwMAAAAA&#10;">
                        <v:fill on="t" focussize="0,0"/>
                        <v:stroke on="f"/>
                        <v:imagedata o:title=""/>
                        <o:lock v:ext="edit" aspectratio="f"/>
                      </v:rect>
                      <v:line id="直线 9" o:spid="_x0000_s1026" o:spt="20" style="position:absolute;left:11413;top:24420;flip:x;height:192;width:276;" filled="f" stroked="t" coordsize="21600,21600" o:gfxdata="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WHPL&#10;wAAAANwAAAAPAAAAAAAAAAEAIAAAACIAAABkcnMvZG93bnJldi54bWxQSwECFAAUAAAACACHTuJA&#10;My8FnjsAAAA5AAAAEAAAAAAAAAABACAAAAAPAQAAZHJzL3NoYXBleG1sLnhtbFBLBQYAAAAABgAG&#10;AFsBAAC5AwAAAAA=&#10;">
                        <v:fill on="f" focussize="0,0"/>
                        <v:stroke weight="1.42897637795276pt" color="#385D89" joinstyle="round"/>
                        <v:imagedata o:title=""/>
                        <o:lock v:ext="edit" aspectratio="f"/>
                      </v:line>
                    </v:group>
                  </w:pict>
                </mc:Fallback>
              </mc:AlternateContent>
            </w:r>
            <w:r>
              <w:rPr>
                <w:highlight w:val="none"/>
                <w:lang w:val="zh-CN"/>
              </w:rPr>
              <w:t>7</w:t>
            </w:r>
          </w:p>
        </w:tc>
        <w:tc>
          <w:tcPr>
            <w:tcW w:w="484" w:type="dxa"/>
            <w:vMerge w:val="restart"/>
            <w:noWrap w:val="0"/>
            <w:vAlign w:val="center"/>
          </w:tcPr>
          <w:p w14:paraId="3B68FAB0">
            <w:pPr>
              <w:pStyle w:val="13"/>
              <w:rPr>
                <w:highlight w:val="none"/>
                <w:lang w:val="zh-CN"/>
              </w:rPr>
            </w:pPr>
            <w:r>
              <w:rPr>
                <w:highlight w:val="none"/>
                <w:lang w:val="zh-CN"/>
              </w:rPr>
              <w:t>现场过程</w:t>
            </w:r>
          </w:p>
          <w:p w14:paraId="103E141C">
            <w:pPr>
              <w:pStyle w:val="13"/>
              <w:rPr>
                <w:highlight w:val="none"/>
                <w:lang w:val="zh-CN"/>
              </w:rPr>
            </w:pPr>
            <w:r>
              <w:rPr>
                <w:highlight w:val="none"/>
                <w:lang w:val="zh-CN"/>
              </w:rPr>
              <w:t>保护</w:t>
            </w:r>
          </w:p>
        </w:tc>
        <w:tc>
          <w:tcPr>
            <w:tcW w:w="570" w:type="dxa"/>
            <w:vMerge w:val="restart"/>
            <w:noWrap w:val="0"/>
            <w:vAlign w:val="center"/>
          </w:tcPr>
          <w:p w14:paraId="53E7272F">
            <w:pPr>
              <w:pStyle w:val="13"/>
              <w:rPr>
                <w:highlight w:val="none"/>
                <w:lang w:val="zh-CN"/>
              </w:rPr>
            </w:pPr>
            <w:r>
              <w:rPr>
                <w:highlight w:val="none"/>
                <w:lang w:val="zh-CN"/>
              </w:rPr>
              <w:t>窗户</w:t>
            </w:r>
          </w:p>
          <w:p w14:paraId="3943993C">
            <w:pPr>
              <w:pStyle w:val="13"/>
              <w:rPr>
                <w:highlight w:val="none"/>
                <w:lang w:val="zh-CN"/>
              </w:rPr>
            </w:pPr>
            <w:r>
              <w:rPr>
                <w:highlight w:val="none"/>
                <w:lang w:val="zh-CN"/>
              </w:rPr>
              <w:t>保护</w:t>
            </w:r>
          </w:p>
          <w:p w14:paraId="260E6ABC">
            <w:pPr>
              <w:pStyle w:val="13"/>
              <w:rPr>
                <w:highlight w:val="none"/>
                <w:lang w:val="zh-CN"/>
              </w:rPr>
            </w:pPr>
            <w:r>
              <w:rPr>
                <w:highlight w:val="none"/>
                <w:lang w:val="zh-CN"/>
              </w:rPr>
              <w:t>图示</w:t>
            </w:r>
          </w:p>
          <w:p w14:paraId="21A2BF1F">
            <w:pPr>
              <w:pStyle w:val="13"/>
              <w:rPr>
                <w:highlight w:val="none"/>
                <w:lang w:val="zh-CN"/>
              </w:rPr>
            </w:pPr>
            <w:r>
              <w:rPr>
                <w:highlight w:val="none"/>
                <w:lang w:val="zh-CN"/>
              </w:rPr>
              <w:t>整体</w:t>
            </w:r>
          </w:p>
          <w:p w14:paraId="608E17B8">
            <w:pPr>
              <w:pStyle w:val="13"/>
              <w:rPr>
                <w:highlight w:val="none"/>
                <w:lang w:val="zh-CN"/>
              </w:rPr>
            </w:pPr>
            <w:r>
              <w:rPr>
                <w:highlight w:val="none"/>
                <w:lang w:val="zh-CN"/>
              </w:rPr>
              <w:t>做法</w:t>
            </w:r>
          </w:p>
        </w:tc>
        <w:tc>
          <w:tcPr>
            <w:tcW w:w="2447" w:type="dxa"/>
            <w:vMerge w:val="restart"/>
            <w:noWrap w:val="0"/>
            <w:vAlign w:val="center"/>
          </w:tcPr>
          <w:p w14:paraId="0FF3A398">
            <w:pPr>
              <w:pStyle w:val="13"/>
              <w:rPr>
                <w:highlight w:val="none"/>
                <w:lang w:val="zh-CN"/>
              </w:rPr>
            </w:pPr>
          </w:p>
        </w:tc>
        <w:tc>
          <w:tcPr>
            <w:tcW w:w="4200" w:type="dxa"/>
            <w:noWrap w:val="0"/>
            <w:vAlign w:val="center"/>
          </w:tcPr>
          <w:p w14:paraId="7A1A2CCB">
            <w:pPr>
              <w:pStyle w:val="13"/>
              <w:rPr>
                <w:highlight w:val="none"/>
                <w:lang w:val="zh-CN"/>
              </w:rPr>
            </w:pPr>
          </w:p>
          <w:p w14:paraId="1463E434">
            <w:pPr>
              <w:pStyle w:val="13"/>
              <w:rPr>
                <w:highlight w:val="none"/>
                <w:lang w:val="zh-CN"/>
              </w:rPr>
            </w:pPr>
            <w:r>
              <w:rPr>
                <w:highlight w:val="none"/>
              </w:rPr>
              <w:drawing>
                <wp:inline distT="0" distB="0" distL="114300" distR="114300">
                  <wp:extent cx="2482215" cy="1905000"/>
                  <wp:effectExtent l="0" t="0" r="13335" b="0"/>
                  <wp:docPr id="11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8.png"/>
                          <pic:cNvPicPr>
                            <a:picLocks noChangeAspect="1"/>
                          </pic:cNvPicPr>
                        </pic:nvPicPr>
                        <pic:blipFill>
                          <a:blip r:embed="rId128"/>
                          <a:stretch>
                            <a:fillRect/>
                          </a:stretch>
                        </pic:blipFill>
                        <pic:spPr>
                          <a:xfrm>
                            <a:off x="0" y="0"/>
                            <a:ext cx="2482215" cy="1905000"/>
                          </a:xfrm>
                          <a:prstGeom prst="rect">
                            <a:avLst/>
                          </a:prstGeom>
                          <a:noFill/>
                          <a:ln>
                            <a:noFill/>
                          </a:ln>
                        </pic:spPr>
                      </pic:pic>
                    </a:graphicData>
                  </a:graphic>
                </wp:inline>
              </w:drawing>
            </w:r>
          </w:p>
        </w:tc>
        <w:tc>
          <w:tcPr>
            <w:tcW w:w="4414" w:type="dxa"/>
            <w:vMerge w:val="restart"/>
            <w:noWrap w:val="0"/>
            <w:vAlign w:val="center"/>
          </w:tcPr>
          <w:p w14:paraId="69F0CBB1">
            <w:pPr>
              <w:pStyle w:val="13"/>
              <w:rPr>
                <w:highlight w:val="none"/>
                <w:lang w:val="zh-CN"/>
              </w:rPr>
            </w:pPr>
          </w:p>
        </w:tc>
        <w:tc>
          <w:tcPr>
            <w:tcW w:w="795" w:type="dxa"/>
            <w:vMerge w:val="restart"/>
            <w:noWrap w:val="0"/>
            <w:vAlign w:val="center"/>
          </w:tcPr>
          <w:p w14:paraId="2E0AFECA">
            <w:pPr>
              <w:pStyle w:val="13"/>
              <w:rPr>
                <w:highlight w:val="none"/>
                <w:lang w:val="zh-CN"/>
              </w:rPr>
            </w:pPr>
          </w:p>
        </w:tc>
      </w:tr>
      <w:tr w14:paraId="29BD1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noWrap w:val="0"/>
            <w:vAlign w:val="center"/>
          </w:tcPr>
          <w:p w14:paraId="31E8CA43">
            <w:pPr>
              <w:pStyle w:val="13"/>
              <w:rPr>
                <w:highlight w:val="none"/>
                <w:lang w:val="zh-CN"/>
              </w:rPr>
            </w:pPr>
          </w:p>
        </w:tc>
        <w:tc>
          <w:tcPr>
            <w:tcW w:w="484" w:type="dxa"/>
            <w:vMerge w:val="continue"/>
            <w:noWrap w:val="0"/>
            <w:vAlign w:val="center"/>
          </w:tcPr>
          <w:p w14:paraId="26E224A5">
            <w:pPr>
              <w:pStyle w:val="13"/>
              <w:rPr>
                <w:highlight w:val="none"/>
                <w:lang w:val="zh-CN"/>
              </w:rPr>
            </w:pPr>
          </w:p>
        </w:tc>
        <w:tc>
          <w:tcPr>
            <w:tcW w:w="570" w:type="dxa"/>
            <w:vMerge w:val="continue"/>
            <w:noWrap w:val="0"/>
            <w:vAlign w:val="center"/>
          </w:tcPr>
          <w:p w14:paraId="425862B6">
            <w:pPr>
              <w:pStyle w:val="13"/>
              <w:rPr>
                <w:highlight w:val="none"/>
                <w:lang w:val="zh-CN"/>
              </w:rPr>
            </w:pPr>
          </w:p>
        </w:tc>
        <w:tc>
          <w:tcPr>
            <w:tcW w:w="2447" w:type="dxa"/>
            <w:vMerge w:val="continue"/>
            <w:tcBorders>
              <w:top w:val="nil"/>
            </w:tcBorders>
            <w:noWrap w:val="0"/>
            <w:vAlign w:val="center"/>
          </w:tcPr>
          <w:p w14:paraId="1A0269EF">
            <w:pPr>
              <w:pStyle w:val="13"/>
              <w:rPr>
                <w:highlight w:val="none"/>
                <w:lang w:val="zh-CN"/>
              </w:rPr>
            </w:pPr>
          </w:p>
        </w:tc>
        <w:tc>
          <w:tcPr>
            <w:tcW w:w="4200" w:type="dxa"/>
            <w:noWrap w:val="0"/>
            <w:vAlign w:val="center"/>
          </w:tcPr>
          <w:p w14:paraId="6E69B31F">
            <w:pPr>
              <w:pStyle w:val="13"/>
              <w:rPr>
                <w:highlight w:val="none"/>
                <w:lang w:val="zh-CN"/>
              </w:rPr>
            </w:pPr>
            <w:r>
              <w:rPr>
                <w:rFonts w:hint="eastAsia"/>
                <w:highlight w:val="none"/>
                <w:lang w:val="zh-CN"/>
              </w:rPr>
              <w:t>门窗玻璃、开启扇安装完成后糯米胶粘保护膜做法大样图</w:t>
            </w:r>
          </w:p>
        </w:tc>
        <w:tc>
          <w:tcPr>
            <w:tcW w:w="4414" w:type="dxa"/>
            <w:vMerge w:val="continue"/>
            <w:tcBorders>
              <w:top w:val="nil"/>
            </w:tcBorders>
            <w:noWrap w:val="0"/>
            <w:vAlign w:val="center"/>
          </w:tcPr>
          <w:p w14:paraId="6CD2FC90">
            <w:pPr>
              <w:pStyle w:val="13"/>
              <w:rPr>
                <w:highlight w:val="none"/>
                <w:lang w:val="zh-CN"/>
              </w:rPr>
            </w:pPr>
          </w:p>
        </w:tc>
        <w:tc>
          <w:tcPr>
            <w:tcW w:w="795" w:type="dxa"/>
            <w:vMerge w:val="continue"/>
            <w:tcBorders>
              <w:top w:val="nil"/>
            </w:tcBorders>
            <w:noWrap w:val="0"/>
            <w:vAlign w:val="center"/>
          </w:tcPr>
          <w:p w14:paraId="7B0D2674">
            <w:pPr>
              <w:pStyle w:val="13"/>
              <w:rPr>
                <w:highlight w:val="none"/>
                <w:lang w:val="zh-CN"/>
              </w:rPr>
            </w:pPr>
          </w:p>
        </w:tc>
      </w:tr>
      <w:tr w14:paraId="500CC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noWrap w:val="0"/>
            <w:vAlign w:val="center"/>
          </w:tcPr>
          <w:p w14:paraId="4F9ADC1D">
            <w:pPr>
              <w:pStyle w:val="13"/>
              <w:rPr>
                <w:highlight w:val="none"/>
                <w:lang w:val="zh-CN"/>
              </w:rPr>
            </w:pPr>
          </w:p>
        </w:tc>
        <w:tc>
          <w:tcPr>
            <w:tcW w:w="484" w:type="dxa"/>
            <w:vMerge w:val="continue"/>
            <w:noWrap w:val="0"/>
            <w:vAlign w:val="center"/>
          </w:tcPr>
          <w:p w14:paraId="14B14F4A">
            <w:pPr>
              <w:pStyle w:val="13"/>
              <w:rPr>
                <w:highlight w:val="none"/>
                <w:lang w:val="zh-CN"/>
              </w:rPr>
            </w:pPr>
          </w:p>
        </w:tc>
        <w:tc>
          <w:tcPr>
            <w:tcW w:w="570" w:type="dxa"/>
            <w:vMerge w:val="restart"/>
            <w:noWrap w:val="0"/>
            <w:vAlign w:val="center"/>
          </w:tcPr>
          <w:p w14:paraId="6056B605">
            <w:pPr>
              <w:pStyle w:val="13"/>
              <w:rPr>
                <w:highlight w:val="none"/>
                <w:lang w:val="zh-CN"/>
              </w:rPr>
            </w:pPr>
            <w:r>
              <w:rPr>
                <w:highlight w:val="none"/>
                <w:lang w:val="zh-CN"/>
              </w:rPr>
              <w:t>窗户</w:t>
            </w:r>
          </w:p>
          <w:p w14:paraId="11CA7265">
            <w:pPr>
              <w:pStyle w:val="13"/>
              <w:rPr>
                <w:highlight w:val="none"/>
                <w:lang w:val="zh-CN"/>
              </w:rPr>
            </w:pPr>
            <w:r>
              <w:rPr>
                <w:highlight w:val="none"/>
                <w:lang w:val="zh-CN"/>
              </w:rPr>
              <w:t>保护</w:t>
            </w:r>
          </w:p>
          <w:p w14:paraId="74BC47B9">
            <w:pPr>
              <w:pStyle w:val="13"/>
              <w:rPr>
                <w:highlight w:val="none"/>
                <w:lang w:val="zh-CN"/>
              </w:rPr>
            </w:pPr>
            <w:r>
              <w:rPr>
                <w:highlight w:val="none"/>
                <w:lang w:val="zh-CN"/>
              </w:rPr>
              <w:t>图示</w:t>
            </w:r>
          </w:p>
          <w:p w14:paraId="5EF16CEB">
            <w:pPr>
              <w:pStyle w:val="13"/>
              <w:rPr>
                <w:highlight w:val="none"/>
                <w:lang w:val="zh-CN"/>
              </w:rPr>
            </w:pPr>
            <w:r>
              <w:rPr>
                <w:highlight w:val="none"/>
                <w:lang w:val="zh-CN"/>
              </w:rPr>
              <w:t>细节</w:t>
            </w:r>
          </w:p>
          <w:p w14:paraId="5396F8E9">
            <w:pPr>
              <w:pStyle w:val="13"/>
              <w:rPr>
                <w:highlight w:val="none"/>
                <w:lang w:val="zh-CN"/>
              </w:rPr>
            </w:pPr>
            <w:r>
              <w:rPr>
                <w:highlight w:val="none"/>
                <w:lang w:val="zh-CN"/>
              </w:rPr>
              <w:t>做法</w:t>
            </w:r>
          </w:p>
        </w:tc>
        <w:tc>
          <w:tcPr>
            <w:tcW w:w="2447" w:type="dxa"/>
            <w:vMerge w:val="restart"/>
            <w:noWrap w:val="0"/>
            <w:vAlign w:val="center"/>
          </w:tcPr>
          <w:p w14:paraId="707E3CD8">
            <w:pPr>
              <w:pStyle w:val="13"/>
              <w:rPr>
                <w:highlight w:val="none"/>
                <w:lang w:val="zh-CN"/>
              </w:rPr>
            </w:pPr>
            <w:r>
              <w:rPr>
                <w:highlight w:val="none"/>
                <w:lang w:val="zh-CN"/>
              </w:rPr>
              <w:t>毛坯交房和精装交房糯米胶贴 膜，边部做法不同</w:t>
            </w:r>
          </w:p>
        </w:tc>
        <w:tc>
          <w:tcPr>
            <w:tcW w:w="4200" w:type="dxa"/>
            <w:noWrap w:val="0"/>
            <w:vAlign w:val="center"/>
          </w:tcPr>
          <w:p w14:paraId="301BE01D">
            <w:pPr>
              <w:pStyle w:val="13"/>
              <w:rPr>
                <w:highlight w:val="none"/>
                <w:lang w:val="zh-CN"/>
              </w:rPr>
            </w:pPr>
          </w:p>
          <w:p w14:paraId="44C9E981">
            <w:pPr>
              <w:pStyle w:val="13"/>
              <w:rPr>
                <w:highlight w:val="none"/>
                <w:lang w:val="zh-CN"/>
              </w:rPr>
            </w:pPr>
            <w:r>
              <w:rPr>
                <w:highlight w:val="none"/>
              </w:rPr>
              <w:drawing>
                <wp:inline distT="0" distB="0" distL="114300" distR="114300">
                  <wp:extent cx="2379980" cy="1905000"/>
                  <wp:effectExtent l="0" t="0" r="1270" b="0"/>
                  <wp:docPr id="11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9.png"/>
                          <pic:cNvPicPr>
                            <a:picLocks noChangeAspect="1"/>
                          </pic:cNvPicPr>
                        </pic:nvPicPr>
                        <pic:blipFill>
                          <a:blip r:embed="rId129"/>
                          <a:stretch>
                            <a:fillRect/>
                          </a:stretch>
                        </pic:blipFill>
                        <pic:spPr>
                          <a:xfrm>
                            <a:off x="0" y="0"/>
                            <a:ext cx="2379980" cy="1905000"/>
                          </a:xfrm>
                          <a:prstGeom prst="rect">
                            <a:avLst/>
                          </a:prstGeom>
                          <a:noFill/>
                          <a:ln>
                            <a:noFill/>
                          </a:ln>
                        </pic:spPr>
                      </pic:pic>
                    </a:graphicData>
                  </a:graphic>
                </wp:inline>
              </w:drawing>
            </w:r>
          </w:p>
        </w:tc>
        <w:tc>
          <w:tcPr>
            <w:tcW w:w="4414" w:type="dxa"/>
            <w:noWrap w:val="0"/>
            <w:vAlign w:val="center"/>
          </w:tcPr>
          <w:p w14:paraId="6D521207">
            <w:pPr>
              <w:pStyle w:val="13"/>
              <w:rPr>
                <w:highlight w:val="none"/>
                <w:lang w:val="zh-CN"/>
              </w:rPr>
            </w:pPr>
          </w:p>
          <w:p w14:paraId="2DEF3C5A">
            <w:pPr>
              <w:pStyle w:val="13"/>
              <w:rPr>
                <w:highlight w:val="none"/>
                <w:lang w:val="zh-CN"/>
              </w:rPr>
            </w:pPr>
            <w:r>
              <w:rPr>
                <w:highlight w:val="none"/>
              </w:rPr>
              <w:drawing>
                <wp:inline distT="0" distB="0" distL="114300" distR="114300">
                  <wp:extent cx="2592705" cy="2076450"/>
                  <wp:effectExtent l="0" t="0" r="17145" b="0"/>
                  <wp:docPr id="116"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0.png"/>
                          <pic:cNvPicPr>
                            <a:picLocks noChangeAspect="1"/>
                          </pic:cNvPicPr>
                        </pic:nvPicPr>
                        <pic:blipFill>
                          <a:blip r:embed="rId130"/>
                          <a:stretch>
                            <a:fillRect/>
                          </a:stretch>
                        </pic:blipFill>
                        <pic:spPr>
                          <a:xfrm>
                            <a:off x="0" y="0"/>
                            <a:ext cx="2592705" cy="2076450"/>
                          </a:xfrm>
                          <a:prstGeom prst="rect">
                            <a:avLst/>
                          </a:prstGeom>
                          <a:noFill/>
                          <a:ln>
                            <a:noFill/>
                          </a:ln>
                        </pic:spPr>
                      </pic:pic>
                    </a:graphicData>
                  </a:graphic>
                </wp:inline>
              </w:drawing>
            </w:r>
          </w:p>
        </w:tc>
        <w:tc>
          <w:tcPr>
            <w:tcW w:w="795" w:type="dxa"/>
            <w:vMerge w:val="restart"/>
            <w:noWrap w:val="0"/>
            <w:vAlign w:val="center"/>
          </w:tcPr>
          <w:p w14:paraId="145C1BE7">
            <w:pPr>
              <w:pStyle w:val="13"/>
              <w:rPr>
                <w:highlight w:val="none"/>
                <w:lang w:val="zh-CN"/>
              </w:rPr>
            </w:pPr>
          </w:p>
        </w:tc>
      </w:tr>
      <w:tr w14:paraId="0EB13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0" w:type="dxa"/>
            <w:vMerge w:val="continue"/>
            <w:noWrap w:val="0"/>
            <w:vAlign w:val="center"/>
          </w:tcPr>
          <w:p w14:paraId="2C5481B8">
            <w:pPr>
              <w:pStyle w:val="13"/>
              <w:rPr>
                <w:highlight w:val="none"/>
                <w:lang w:val="zh-CN"/>
              </w:rPr>
            </w:pPr>
          </w:p>
        </w:tc>
        <w:tc>
          <w:tcPr>
            <w:tcW w:w="484" w:type="dxa"/>
            <w:vMerge w:val="continue"/>
            <w:noWrap w:val="0"/>
            <w:vAlign w:val="center"/>
          </w:tcPr>
          <w:p w14:paraId="4C1635CB">
            <w:pPr>
              <w:pStyle w:val="13"/>
              <w:rPr>
                <w:highlight w:val="none"/>
                <w:lang w:val="zh-CN"/>
              </w:rPr>
            </w:pPr>
          </w:p>
        </w:tc>
        <w:tc>
          <w:tcPr>
            <w:tcW w:w="570" w:type="dxa"/>
            <w:vMerge w:val="continue"/>
            <w:noWrap w:val="0"/>
            <w:vAlign w:val="center"/>
          </w:tcPr>
          <w:p w14:paraId="1C696218">
            <w:pPr>
              <w:pStyle w:val="13"/>
              <w:rPr>
                <w:highlight w:val="none"/>
                <w:lang w:val="zh-CN"/>
              </w:rPr>
            </w:pPr>
          </w:p>
        </w:tc>
        <w:tc>
          <w:tcPr>
            <w:tcW w:w="2447" w:type="dxa"/>
            <w:vMerge w:val="continue"/>
            <w:tcBorders>
              <w:top w:val="nil"/>
            </w:tcBorders>
            <w:noWrap w:val="0"/>
            <w:vAlign w:val="center"/>
          </w:tcPr>
          <w:p w14:paraId="448B4DA1">
            <w:pPr>
              <w:pStyle w:val="13"/>
              <w:rPr>
                <w:highlight w:val="none"/>
                <w:lang w:val="zh-CN"/>
              </w:rPr>
            </w:pPr>
          </w:p>
        </w:tc>
        <w:tc>
          <w:tcPr>
            <w:tcW w:w="4200" w:type="dxa"/>
            <w:noWrap w:val="0"/>
            <w:vAlign w:val="center"/>
          </w:tcPr>
          <w:p w14:paraId="2CCDE78F">
            <w:pPr>
              <w:pStyle w:val="13"/>
              <w:rPr>
                <w:highlight w:val="none"/>
                <w:lang w:val="zh-CN"/>
              </w:rPr>
            </w:pPr>
            <w:r>
              <w:rPr>
                <w:rFonts w:hint="eastAsia"/>
                <w:highlight w:val="none"/>
                <w:lang w:val="zh-CN"/>
              </w:rPr>
              <w:t>门窗玻璃、开启扇安装完成后糯米胶粘保护膜做法</w:t>
            </w:r>
          </w:p>
        </w:tc>
        <w:tc>
          <w:tcPr>
            <w:tcW w:w="4414" w:type="dxa"/>
            <w:noWrap w:val="0"/>
            <w:vAlign w:val="center"/>
          </w:tcPr>
          <w:p w14:paraId="2D8CE8B5">
            <w:pPr>
              <w:pStyle w:val="13"/>
              <w:rPr>
                <w:highlight w:val="none"/>
                <w:lang w:val="zh-CN"/>
              </w:rPr>
            </w:pPr>
            <w:r>
              <w:rPr>
                <w:rFonts w:hint="eastAsia"/>
                <w:highlight w:val="none"/>
                <w:lang w:val="zh-CN"/>
              </w:rPr>
              <w:t>门窗玻璃、开启扇安装完成后糯米胶粘保护膜做法细</w:t>
            </w:r>
          </w:p>
        </w:tc>
        <w:tc>
          <w:tcPr>
            <w:tcW w:w="795" w:type="dxa"/>
            <w:vMerge w:val="continue"/>
            <w:tcBorders>
              <w:top w:val="nil"/>
            </w:tcBorders>
            <w:noWrap w:val="0"/>
            <w:vAlign w:val="center"/>
          </w:tcPr>
          <w:p w14:paraId="7BBACA51">
            <w:pPr>
              <w:pStyle w:val="13"/>
              <w:rPr>
                <w:highlight w:val="none"/>
                <w:lang w:val="zh-CN"/>
              </w:rPr>
            </w:pPr>
          </w:p>
        </w:tc>
      </w:tr>
      <w:bookmarkEnd w:id="310"/>
    </w:tbl>
    <w:p w14:paraId="2B00D72E">
      <w:pPr>
        <w:spacing w:before="120" w:beforeLines="50" w:after="120" w:afterLines="50"/>
        <w:ind w:left="851" w:firstLine="0" w:firstLineChars="0"/>
        <w:rPr>
          <w:rFonts w:cs="Arial"/>
          <w:highlight w:val="none"/>
        </w:rPr>
        <w:sectPr>
          <w:headerReference r:id="rId14" w:type="default"/>
          <w:footerReference r:id="rId15" w:type="default"/>
          <w:endnotePr>
            <w:numFmt w:val="decimal"/>
          </w:endnotePr>
          <w:pgSz w:w="16838" w:h="11905" w:orient="landscape"/>
          <w:pgMar w:top="2098" w:right="1474" w:bottom="1984" w:left="1587" w:header="0" w:footer="1145" w:gutter="0"/>
          <w:pgNumType w:fmt="decimal"/>
          <w:cols w:space="720" w:num="1"/>
          <w:docGrid w:linePitch="326" w:charSpace="0"/>
        </w:sectPr>
      </w:pPr>
    </w:p>
    <w:p w14:paraId="697F9B07">
      <w:pPr>
        <w:pStyle w:val="4"/>
        <w:numPr>
          <w:ilvl w:val="1"/>
          <w:numId w:val="0"/>
        </w:numPr>
        <w:ind w:left="624" w:hanging="624"/>
        <w:rPr>
          <w:highlight w:val="none"/>
        </w:rPr>
      </w:pPr>
      <w:bookmarkStart w:id="311" w:name="_Toc179562981"/>
      <w:bookmarkStart w:id="312" w:name="_Toc7607"/>
      <w:bookmarkStart w:id="313" w:name="_Toc28931"/>
      <w:bookmarkStart w:id="314" w:name="_Toc17344"/>
      <w:bookmarkStart w:id="315" w:name="_Toc8765"/>
      <w:bookmarkStart w:id="316" w:name="_Toc17608"/>
      <w:bookmarkStart w:id="317" w:name="_Toc31549"/>
      <w:bookmarkStart w:id="318" w:name="_Toc169722212"/>
      <w:r>
        <w:rPr>
          <w:rFonts w:hint="eastAsia"/>
          <w:highlight w:val="none"/>
        </w:rPr>
        <w:t>6.2</w:t>
      </w:r>
      <w:r>
        <w:rPr>
          <w:highlight w:val="none"/>
        </w:rPr>
        <w:t>进度管理要求</w:t>
      </w:r>
      <w:bookmarkEnd w:id="311"/>
      <w:bookmarkEnd w:id="312"/>
      <w:bookmarkEnd w:id="313"/>
      <w:bookmarkEnd w:id="314"/>
      <w:bookmarkEnd w:id="315"/>
      <w:bookmarkEnd w:id="316"/>
      <w:bookmarkEnd w:id="317"/>
      <w:bookmarkEnd w:id="318"/>
    </w:p>
    <w:p w14:paraId="6E8696EE">
      <w:pPr>
        <w:ind w:firstLine="480"/>
        <w:rPr>
          <w:highlight w:val="none"/>
        </w:rPr>
      </w:pPr>
      <w:r>
        <w:rPr>
          <w:rFonts w:hint="eastAsia"/>
          <w:highlight w:val="none"/>
        </w:rPr>
        <w:t>总承包人应依据发包人提供的工</w:t>
      </w:r>
      <w:r>
        <w:rPr>
          <w:highlight w:val="none"/>
        </w:rPr>
        <w:t>期要求</w:t>
      </w:r>
      <w:r>
        <w:rPr>
          <w:rFonts w:hint="eastAsia"/>
          <w:highlight w:val="none"/>
        </w:rPr>
        <w:t>，通过编制《总承包工程施工进度计划》，把工程施工准备至竣工验收、移交小业主为止期间的，包括总承包自行承建部分、专业承包人/独立承包人承建部分、与总承包管理相关的所有工作以计划的形式合理地组织起来。总承包人以此为依据协调参建各方推动工程建设、及时检查项目施工进度、分析计划执行的偏差并进行调整或修正，以保证实现合同约定的目标工期。</w:t>
      </w:r>
    </w:p>
    <w:p w14:paraId="1C347C7D">
      <w:pPr>
        <w:pStyle w:val="5"/>
        <w:numPr>
          <w:ilvl w:val="2"/>
          <w:numId w:val="0"/>
        </w:numPr>
        <w:ind w:left="624" w:hanging="624"/>
        <w:rPr>
          <w:highlight w:val="none"/>
        </w:rPr>
      </w:pPr>
      <w:bookmarkStart w:id="319" w:name="_Toc27551"/>
      <w:r>
        <w:rPr>
          <w:rFonts w:hint="eastAsia"/>
          <w:highlight w:val="none"/>
        </w:rPr>
        <w:t>6.2.1工程进度</w:t>
      </w:r>
      <w:r>
        <w:rPr>
          <w:highlight w:val="none"/>
        </w:rPr>
        <w:t>计划的分类</w:t>
      </w:r>
      <w:bookmarkEnd w:id="319"/>
    </w:p>
    <w:p w14:paraId="07265770">
      <w:pPr>
        <w:pStyle w:val="6"/>
        <w:numPr>
          <w:ilvl w:val="3"/>
          <w:numId w:val="0"/>
        </w:numPr>
        <w:ind w:left="864" w:leftChars="100" w:hanging="624"/>
        <w:rPr>
          <w:highlight w:val="none"/>
        </w:rPr>
      </w:pPr>
      <w:r>
        <w:rPr>
          <w:rFonts w:hint="eastAsia"/>
          <w:highlight w:val="none"/>
        </w:rPr>
        <w:t>6.2.1.1</w:t>
      </w:r>
      <w:r>
        <w:rPr>
          <w:highlight w:val="none"/>
        </w:rPr>
        <w:t>按计划内容分</w:t>
      </w:r>
    </w:p>
    <w:p w14:paraId="315AA249">
      <w:pPr>
        <w:numPr>
          <w:ilvl w:val="0"/>
          <w:numId w:val="5"/>
        </w:numPr>
        <w:ind w:firstLine="480"/>
        <w:rPr>
          <w:highlight w:val="none"/>
        </w:rPr>
      </w:pPr>
      <w:r>
        <w:rPr>
          <w:rFonts w:hint="eastAsia"/>
          <w:highlight w:val="none"/>
        </w:rPr>
        <w:t>《总承包工程施工进度计划》（除总承包人自施内容外，还应包括：精装修、红线内小市政、园林景观、竣工验收、移交物业、小业主入住安排等）</w:t>
      </w:r>
    </w:p>
    <w:p w14:paraId="7DBB8543">
      <w:pPr>
        <w:numPr>
          <w:ilvl w:val="0"/>
          <w:numId w:val="5"/>
        </w:numPr>
        <w:ind w:firstLine="480"/>
        <w:rPr>
          <w:highlight w:val="none"/>
        </w:rPr>
      </w:pPr>
      <w:r>
        <w:rPr>
          <w:rFonts w:hint="eastAsia"/>
          <w:highlight w:val="none"/>
        </w:rPr>
        <w:t>《专业承包人/独立承包人进场计划》</w:t>
      </w:r>
    </w:p>
    <w:p w14:paraId="72D322FC">
      <w:pPr>
        <w:numPr>
          <w:ilvl w:val="0"/>
          <w:numId w:val="5"/>
        </w:numPr>
        <w:ind w:firstLine="480"/>
        <w:rPr>
          <w:highlight w:val="none"/>
        </w:rPr>
      </w:pPr>
      <w:r>
        <w:rPr>
          <w:rFonts w:hint="eastAsia"/>
          <w:highlight w:val="none"/>
        </w:rPr>
        <w:t>《劳动力</w:t>
      </w:r>
      <w:r>
        <w:rPr>
          <w:highlight w:val="none"/>
        </w:rPr>
        <w:t>计划</w:t>
      </w:r>
      <w:r>
        <w:rPr>
          <w:rFonts w:hint="eastAsia"/>
          <w:highlight w:val="none"/>
        </w:rPr>
        <w:t>》</w:t>
      </w:r>
    </w:p>
    <w:p w14:paraId="3B4A8261">
      <w:pPr>
        <w:numPr>
          <w:ilvl w:val="0"/>
          <w:numId w:val="5"/>
        </w:numPr>
        <w:ind w:firstLine="480"/>
        <w:rPr>
          <w:highlight w:val="none"/>
        </w:rPr>
      </w:pPr>
      <w:r>
        <w:rPr>
          <w:rFonts w:hint="eastAsia"/>
          <w:highlight w:val="none"/>
        </w:rPr>
        <w:t>《机械</w:t>
      </w:r>
      <w:r>
        <w:rPr>
          <w:highlight w:val="none"/>
        </w:rPr>
        <w:t>设备进退场计划</w:t>
      </w:r>
      <w:r>
        <w:rPr>
          <w:rFonts w:hint="eastAsia"/>
          <w:highlight w:val="none"/>
        </w:rPr>
        <w:t>》</w:t>
      </w:r>
    </w:p>
    <w:p w14:paraId="0B1A7FEC">
      <w:pPr>
        <w:numPr>
          <w:ilvl w:val="0"/>
          <w:numId w:val="5"/>
        </w:numPr>
        <w:ind w:firstLine="480"/>
        <w:rPr>
          <w:highlight w:val="none"/>
        </w:rPr>
      </w:pPr>
      <w:r>
        <w:rPr>
          <w:rFonts w:hint="eastAsia"/>
          <w:highlight w:val="none"/>
        </w:rPr>
        <w:t>《材料</w:t>
      </w:r>
      <w:r>
        <w:rPr>
          <w:highlight w:val="none"/>
        </w:rPr>
        <w:t>设备采购供应计划</w:t>
      </w:r>
      <w:r>
        <w:rPr>
          <w:rFonts w:hint="eastAsia"/>
          <w:highlight w:val="none"/>
        </w:rPr>
        <w:t>》（含</w:t>
      </w:r>
      <w:r>
        <w:rPr>
          <w:highlight w:val="none"/>
        </w:rPr>
        <w:t>甲供材料进场计划</w:t>
      </w:r>
      <w:r>
        <w:rPr>
          <w:rFonts w:hint="eastAsia"/>
          <w:highlight w:val="none"/>
        </w:rPr>
        <w:t>）</w:t>
      </w:r>
    </w:p>
    <w:p w14:paraId="3DBB0FC2">
      <w:pPr>
        <w:numPr>
          <w:ilvl w:val="0"/>
          <w:numId w:val="5"/>
        </w:numPr>
        <w:ind w:firstLine="480"/>
        <w:rPr>
          <w:highlight w:val="none"/>
        </w:rPr>
      </w:pPr>
      <w:r>
        <w:rPr>
          <w:rFonts w:hint="eastAsia"/>
          <w:highlight w:val="none"/>
        </w:rPr>
        <w:t>《深化</w:t>
      </w:r>
      <w:r>
        <w:rPr>
          <w:highlight w:val="none"/>
        </w:rPr>
        <w:t>设计计划</w:t>
      </w:r>
      <w:r>
        <w:rPr>
          <w:rFonts w:hint="eastAsia"/>
          <w:highlight w:val="none"/>
        </w:rPr>
        <w:t>》</w:t>
      </w:r>
    </w:p>
    <w:p w14:paraId="7AC12236">
      <w:pPr>
        <w:numPr>
          <w:ilvl w:val="0"/>
          <w:numId w:val="5"/>
        </w:numPr>
        <w:ind w:firstLine="480"/>
        <w:rPr>
          <w:highlight w:val="none"/>
        </w:rPr>
      </w:pPr>
      <w:r>
        <w:rPr>
          <w:rFonts w:hint="eastAsia"/>
          <w:highlight w:val="none"/>
        </w:rPr>
        <w:t>《施工</w:t>
      </w:r>
      <w:r>
        <w:rPr>
          <w:highlight w:val="none"/>
        </w:rPr>
        <w:t>工艺样板计划</w:t>
      </w:r>
      <w:r>
        <w:rPr>
          <w:rFonts w:hint="eastAsia"/>
          <w:highlight w:val="none"/>
        </w:rPr>
        <w:t>》</w:t>
      </w:r>
    </w:p>
    <w:p w14:paraId="4394E10F">
      <w:pPr>
        <w:numPr>
          <w:ilvl w:val="0"/>
          <w:numId w:val="5"/>
        </w:numPr>
        <w:ind w:firstLine="480"/>
        <w:rPr>
          <w:highlight w:val="none"/>
        </w:rPr>
      </w:pPr>
      <w:r>
        <w:rPr>
          <w:rFonts w:hint="eastAsia"/>
          <w:highlight w:val="none"/>
        </w:rPr>
        <w:t>《工作面</w:t>
      </w:r>
      <w:r>
        <w:rPr>
          <w:highlight w:val="none"/>
        </w:rPr>
        <w:t>移交计划</w:t>
      </w:r>
      <w:r>
        <w:rPr>
          <w:rFonts w:hint="eastAsia"/>
          <w:highlight w:val="none"/>
        </w:rPr>
        <w:t>》</w:t>
      </w:r>
    </w:p>
    <w:p w14:paraId="14438D1A">
      <w:pPr>
        <w:numPr>
          <w:ilvl w:val="0"/>
          <w:numId w:val="5"/>
        </w:numPr>
        <w:ind w:firstLine="480"/>
        <w:rPr>
          <w:highlight w:val="none"/>
        </w:rPr>
      </w:pPr>
      <w:r>
        <w:rPr>
          <w:rFonts w:hint="eastAsia"/>
          <w:highlight w:val="none"/>
        </w:rPr>
        <w:t>《分户</w:t>
      </w:r>
      <w:r>
        <w:rPr>
          <w:highlight w:val="none"/>
        </w:rPr>
        <w:t>验收计划</w:t>
      </w:r>
      <w:r>
        <w:rPr>
          <w:rFonts w:hint="eastAsia"/>
          <w:highlight w:val="none"/>
        </w:rPr>
        <w:t>》</w:t>
      </w:r>
    </w:p>
    <w:p w14:paraId="0F335BAE">
      <w:pPr>
        <w:numPr>
          <w:ilvl w:val="0"/>
          <w:numId w:val="5"/>
        </w:numPr>
        <w:ind w:firstLine="480"/>
        <w:rPr>
          <w:highlight w:val="none"/>
        </w:rPr>
      </w:pPr>
      <w:r>
        <w:rPr>
          <w:rFonts w:hint="eastAsia"/>
          <w:highlight w:val="none"/>
        </w:rPr>
        <w:t>《竣工</w:t>
      </w:r>
      <w:r>
        <w:rPr>
          <w:highlight w:val="none"/>
        </w:rPr>
        <w:t>验收计划</w:t>
      </w:r>
      <w:r>
        <w:rPr>
          <w:rFonts w:hint="eastAsia"/>
          <w:highlight w:val="none"/>
        </w:rPr>
        <w:t>》</w:t>
      </w:r>
    </w:p>
    <w:p w14:paraId="3FA08F68">
      <w:pPr>
        <w:numPr>
          <w:ilvl w:val="0"/>
          <w:numId w:val="5"/>
        </w:numPr>
        <w:ind w:firstLine="480"/>
        <w:rPr>
          <w:highlight w:val="none"/>
        </w:rPr>
      </w:pPr>
      <w:r>
        <w:rPr>
          <w:rFonts w:hint="eastAsia"/>
          <w:highlight w:val="none"/>
        </w:rPr>
        <w:t>《工程移交</w:t>
      </w:r>
      <w:r>
        <w:rPr>
          <w:highlight w:val="none"/>
        </w:rPr>
        <w:t>计划</w:t>
      </w:r>
      <w:r>
        <w:rPr>
          <w:rFonts w:hint="eastAsia"/>
          <w:highlight w:val="none"/>
        </w:rPr>
        <w:t>》</w:t>
      </w:r>
    </w:p>
    <w:p w14:paraId="0AA38968">
      <w:pPr>
        <w:pStyle w:val="6"/>
        <w:numPr>
          <w:ilvl w:val="3"/>
          <w:numId w:val="0"/>
        </w:numPr>
        <w:ind w:left="864" w:leftChars="100" w:hanging="624"/>
        <w:rPr>
          <w:highlight w:val="none"/>
        </w:rPr>
      </w:pPr>
      <w:r>
        <w:rPr>
          <w:rFonts w:hint="eastAsia"/>
          <w:highlight w:val="none"/>
        </w:rPr>
        <w:t>6.2.1.2</w:t>
      </w:r>
      <w:r>
        <w:rPr>
          <w:highlight w:val="none"/>
        </w:rPr>
        <w:t>编制要求</w:t>
      </w:r>
    </w:p>
    <w:p w14:paraId="72D042B7">
      <w:pPr>
        <w:numPr>
          <w:ilvl w:val="0"/>
          <w:numId w:val="6"/>
        </w:numPr>
        <w:ind w:firstLine="480"/>
        <w:rPr>
          <w:highlight w:val="none"/>
        </w:rPr>
      </w:pPr>
      <w:r>
        <w:rPr>
          <w:rFonts w:hint="eastAsia"/>
          <w:highlight w:val="none"/>
        </w:rPr>
        <w:t>项目工程施工进度计划组成应分为施工准备、现场施工、竣工验收（包括移交）三个阶段，现场施工中应体现与营销配合的工作：</w:t>
      </w:r>
    </w:p>
    <w:p w14:paraId="49732737">
      <w:pPr>
        <w:numPr>
          <w:ilvl w:val="0"/>
          <w:numId w:val="6"/>
        </w:numPr>
        <w:ind w:firstLine="480"/>
        <w:rPr>
          <w:highlight w:val="none"/>
        </w:rPr>
      </w:pPr>
      <w:r>
        <w:rPr>
          <w:rFonts w:hint="eastAsia"/>
          <w:highlight w:val="none"/>
        </w:rPr>
        <w:t>施工准备：进场接收场地、临设搭建、图纸审核、施组方案编制报审报批、交底培训等。</w:t>
      </w:r>
    </w:p>
    <w:p w14:paraId="41D7DBEA">
      <w:pPr>
        <w:numPr>
          <w:ilvl w:val="0"/>
          <w:numId w:val="6"/>
        </w:numPr>
        <w:ind w:firstLine="480"/>
        <w:rPr>
          <w:highlight w:val="none"/>
        </w:rPr>
      </w:pPr>
      <w:r>
        <w:rPr>
          <w:rFonts w:hint="eastAsia"/>
          <w:highlight w:val="none"/>
        </w:rPr>
        <w:t>现场施工：土方工程、基础工程、结构工程、粗装修工程、外窗安装（</w:t>
      </w:r>
      <w:r>
        <w:rPr>
          <w:highlight w:val="none"/>
        </w:rPr>
        <w:t>幕墙工程）</w:t>
      </w:r>
      <w:r>
        <w:rPr>
          <w:rFonts w:hint="eastAsia"/>
          <w:highlight w:val="none"/>
        </w:rPr>
        <w:t>相关工程、机电工程（包括电气、水暖、通风）、消防工程、精装修工程、市政工程、燃气工程、电力工程、园林工程、标识工程等。</w:t>
      </w:r>
    </w:p>
    <w:p w14:paraId="05757B70">
      <w:pPr>
        <w:numPr>
          <w:ilvl w:val="0"/>
          <w:numId w:val="6"/>
        </w:numPr>
        <w:ind w:firstLine="480"/>
        <w:rPr>
          <w:highlight w:val="none"/>
        </w:rPr>
      </w:pPr>
      <w:r>
        <w:rPr>
          <w:rFonts w:hint="eastAsia"/>
          <w:highlight w:val="none"/>
          <w:lang w:eastAsia="zh-CN"/>
        </w:rPr>
        <w:t>租赁</w:t>
      </w:r>
      <w:r>
        <w:rPr>
          <w:rFonts w:hint="eastAsia"/>
          <w:highlight w:val="none"/>
        </w:rPr>
        <w:t>配合：形象</w:t>
      </w:r>
      <w:r>
        <w:rPr>
          <w:highlight w:val="none"/>
        </w:rPr>
        <w:t>进度、</w:t>
      </w:r>
      <w:r>
        <w:rPr>
          <w:rFonts w:hint="eastAsia"/>
          <w:highlight w:val="none"/>
        </w:rPr>
        <w:t>样板</w:t>
      </w:r>
      <w:r>
        <w:rPr>
          <w:rFonts w:hint="eastAsia"/>
          <w:highlight w:val="none"/>
          <w:lang w:eastAsia="zh-CN"/>
        </w:rPr>
        <w:t>房</w:t>
      </w:r>
      <w:r>
        <w:rPr>
          <w:rFonts w:hint="eastAsia"/>
          <w:highlight w:val="none"/>
        </w:rPr>
        <w:t>、示范区施工和移交。</w:t>
      </w:r>
    </w:p>
    <w:p w14:paraId="73A667DB">
      <w:pPr>
        <w:numPr>
          <w:ilvl w:val="0"/>
          <w:numId w:val="6"/>
        </w:numPr>
        <w:ind w:firstLine="480"/>
        <w:rPr>
          <w:highlight w:val="none"/>
        </w:rPr>
      </w:pPr>
      <w:r>
        <w:rPr>
          <w:rFonts w:hint="eastAsia"/>
          <w:highlight w:val="none"/>
        </w:rPr>
        <w:t>竣工验收及移交：规划验收、消防验收、竣工验收及备案、移交物业、移交发包人。</w:t>
      </w:r>
    </w:p>
    <w:p w14:paraId="6A43A830">
      <w:pPr>
        <w:numPr>
          <w:ilvl w:val="0"/>
          <w:numId w:val="6"/>
        </w:numPr>
        <w:ind w:firstLine="480"/>
        <w:rPr>
          <w:highlight w:val="none"/>
        </w:rPr>
      </w:pPr>
      <w:r>
        <w:rPr>
          <w:rFonts w:hint="eastAsia"/>
          <w:highlight w:val="none"/>
        </w:rPr>
        <w:t>应在工程进度计划中体现主要关键节点、关键线路的逻辑关系、任务项工期、重要性、资源名称，在关键线路上的任务项受到其它专业任务限制而采取无逻辑连接的输入时，应给予说明。</w:t>
      </w:r>
    </w:p>
    <w:p w14:paraId="7242D8C8">
      <w:pPr>
        <w:numPr>
          <w:ilvl w:val="0"/>
          <w:numId w:val="6"/>
        </w:numPr>
        <w:ind w:firstLine="480"/>
        <w:rPr>
          <w:highlight w:val="none"/>
        </w:rPr>
      </w:pPr>
      <w:r>
        <w:rPr>
          <w:rFonts w:hint="eastAsia"/>
          <w:highlight w:val="none"/>
        </w:rPr>
        <w:t>主要关键节点应包括：进场、开工、验槽、基础、正负零、分段验收、回填土及防水、结构封顶、二次砌筑，并根据项目具体情况编制粗装开始及完成、精装开始及完成、市政开始及完成、园林开始及完成、消防验收、规划验收、竣工验收及备案、移交计划。</w:t>
      </w:r>
    </w:p>
    <w:p w14:paraId="6D9320E9">
      <w:pPr>
        <w:numPr>
          <w:ilvl w:val="0"/>
          <w:numId w:val="6"/>
        </w:numPr>
        <w:ind w:firstLine="480"/>
        <w:rPr>
          <w:highlight w:val="none"/>
        </w:rPr>
      </w:pPr>
      <w:r>
        <w:rPr>
          <w:rFonts w:hint="eastAsia"/>
          <w:highlight w:val="none"/>
        </w:rPr>
        <w:t>总承包工程施工进度计划应深入至总承包施工界面内的具体工序的组织，时间刻度不应大于每月。</w:t>
      </w:r>
    </w:p>
    <w:p w14:paraId="638B8E1B">
      <w:pPr>
        <w:numPr>
          <w:ilvl w:val="0"/>
          <w:numId w:val="6"/>
        </w:numPr>
        <w:ind w:firstLine="480"/>
        <w:rPr>
          <w:highlight w:val="none"/>
        </w:rPr>
      </w:pPr>
      <w:r>
        <w:rPr>
          <w:rFonts w:hint="eastAsia"/>
          <w:highlight w:val="none"/>
        </w:rPr>
        <w:t>总承包工程施工进度计划应向发包人确定专业承包人、独立承包人的进场日期和材料设备供应计划，有深化设计工作的应预留深化设计及报审时间，深化设计预留时间应不少于一个月。</w:t>
      </w:r>
    </w:p>
    <w:p w14:paraId="54492211">
      <w:pPr>
        <w:numPr>
          <w:ilvl w:val="0"/>
          <w:numId w:val="6"/>
        </w:numPr>
        <w:ind w:firstLine="480"/>
        <w:rPr>
          <w:highlight w:val="none"/>
        </w:rPr>
      </w:pPr>
      <w:r>
        <w:rPr>
          <w:rFonts w:hint="eastAsia"/>
          <w:highlight w:val="none"/>
        </w:rPr>
        <w:t>总承包人应编制材料、设备供应及甲供材排产计划，以便发包人组织订货及排产。</w:t>
      </w:r>
    </w:p>
    <w:p w14:paraId="6A6F80C2">
      <w:pPr>
        <w:numPr>
          <w:ilvl w:val="0"/>
          <w:numId w:val="6"/>
        </w:numPr>
        <w:ind w:firstLine="480"/>
        <w:rPr>
          <w:highlight w:val="none"/>
        </w:rPr>
      </w:pPr>
      <w:r>
        <w:rPr>
          <w:rFonts w:hint="eastAsia"/>
          <w:highlight w:val="none"/>
        </w:rPr>
        <w:t>总承包人须报送自行采购主要材料、设备的加工及分阶段进场详细计划，该计划与施工进度计划分部分项工程计划须相符，保证及时供应。</w:t>
      </w:r>
    </w:p>
    <w:p w14:paraId="6245464B">
      <w:pPr>
        <w:numPr>
          <w:ilvl w:val="0"/>
          <w:numId w:val="6"/>
        </w:numPr>
        <w:ind w:firstLine="480"/>
        <w:rPr>
          <w:highlight w:val="none"/>
        </w:rPr>
      </w:pPr>
      <w:r>
        <w:rPr>
          <w:rFonts w:hint="eastAsia"/>
          <w:highlight w:val="none"/>
        </w:rPr>
        <w:t>总承包人应根据里程碑节点及各工程阶段编制劳动力进场计划，必须细化到工种及劳务来源地及承包形式。</w:t>
      </w:r>
    </w:p>
    <w:p w14:paraId="6B1D0F6A">
      <w:pPr>
        <w:numPr>
          <w:ilvl w:val="0"/>
          <w:numId w:val="6"/>
        </w:numPr>
        <w:ind w:firstLine="480"/>
        <w:rPr>
          <w:highlight w:val="none"/>
        </w:rPr>
      </w:pPr>
      <w:r>
        <w:rPr>
          <w:rFonts w:hint="eastAsia"/>
          <w:highlight w:val="none"/>
        </w:rPr>
        <w:t>总承包工程施工进度计划应考虑专业承包人工程界面内的工期、工序和施工要求，审核土建、安装及各专业承包工序的搭接。</w:t>
      </w:r>
    </w:p>
    <w:p w14:paraId="22F19C7F">
      <w:pPr>
        <w:numPr>
          <w:ilvl w:val="0"/>
          <w:numId w:val="6"/>
        </w:numPr>
        <w:ind w:firstLine="480"/>
        <w:rPr>
          <w:highlight w:val="none"/>
        </w:rPr>
      </w:pPr>
      <w:r>
        <w:rPr>
          <w:rFonts w:hint="eastAsia"/>
          <w:highlight w:val="none"/>
        </w:rPr>
        <w:t>属总承包人照管范围内的专业承包人，应向总承包人报送专业工程施工进度计划，并由总承包人负责协调和审批，并逐级报送至监理人、发包人审批确定。</w:t>
      </w:r>
    </w:p>
    <w:p w14:paraId="0DC5A79B">
      <w:pPr>
        <w:numPr>
          <w:ilvl w:val="0"/>
          <w:numId w:val="6"/>
        </w:numPr>
        <w:ind w:firstLine="480"/>
        <w:rPr>
          <w:highlight w:val="none"/>
        </w:rPr>
      </w:pPr>
      <w:r>
        <w:rPr>
          <w:rFonts w:hint="eastAsia"/>
          <w:highlight w:val="none"/>
        </w:rPr>
        <w:t>由发包人直接管理的独立承包人所编制的专业工程施工进度计划，由监理人负责与总承包人的计划进行协调并审批，最终报发包人审批确定。</w:t>
      </w:r>
    </w:p>
    <w:p w14:paraId="72D199FD">
      <w:pPr>
        <w:numPr>
          <w:ilvl w:val="0"/>
          <w:numId w:val="6"/>
        </w:numPr>
        <w:ind w:firstLine="480"/>
        <w:rPr>
          <w:highlight w:val="none"/>
        </w:rPr>
      </w:pPr>
      <w:r>
        <w:rPr>
          <w:rFonts w:hint="eastAsia"/>
          <w:highlight w:val="none"/>
        </w:rPr>
        <w:t>编制计划时应充分考虑施工工艺、周边环境、季节影响、农忙、重大庆典和传统节日、重要政府会议、环保督查、中高考等因素的影响。</w:t>
      </w:r>
    </w:p>
    <w:p w14:paraId="00E9A6D1">
      <w:pPr>
        <w:pStyle w:val="6"/>
        <w:numPr>
          <w:ilvl w:val="3"/>
          <w:numId w:val="0"/>
        </w:numPr>
        <w:ind w:left="864" w:leftChars="100" w:hanging="624"/>
        <w:rPr>
          <w:highlight w:val="none"/>
        </w:rPr>
      </w:pPr>
      <w:r>
        <w:rPr>
          <w:rFonts w:hint="eastAsia"/>
          <w:highlight w:val="none"/>
        </w:rPr>
        <w:t>6.2.1.3总承包工程施工进度计划的</w:t>
      </w:r>
      <w:r>
        <w:rPr>
          <w:highlight w:val="none"/>
        </w:rPr>
        <w:t>审批</w:t>
      </w:r>
    </w:p>
    <w:p w14:paraId="0A90F0B3">
      <w:pPr>
        <w:numPr>
          <w:ilvl w:val="0"/>
          <w:numId w:val="7"/>
        </w:numPr>
        <w:ind w:left="480" w:firstLine="480"/>
        <w:rPr>
          <w:highlight w:val="none"/>
        </w:rPr>
      </w:pPr>
      <w:r>
        <w:rPr>
          <w:rFonts w:hint="eastAsia"/>
          <w:highlight w:val="none"/>
        </w:rPr>
        <w:t>总承包工程施工进度计划编制完成后报监理人，由监理人审核是否满足项目整体开发计划要求及销售需求，审核并确定其它专业计划是否与项目施工进度计划匹配。</w:t>
      </w:r>
    </w:p>
    <w:p w14:paraId="6334AB01">
      <w:pPr>
        <w:numPr>
          <w:ilvl w:val="0"/>
          <w:numId w:val="7"/>
        </w:numPr>
        <w:ind w:left="480" w:firstLine="480"/>
        <w:rPr>
          <w:highlight w:val="none"/>
        </w:rPr>
      </w:pPr>
      <w:r>
        <w:rPr>
          <w:rFonts w:hint="eastAsia"/>
          <w:highlight w:val="none"/>
        </w:rPr>
        <w:t>总承包工程施工进度计划经监理人和发包人审核通过后，作为项目施工阶段各项工作开展依据。</w:t>
      </w:r>
    </w:p>
    <w:p w14:paraId="09F423AF">
      <w:pPr>
        <w:pStyle w:val="6"/>
        <w:numPr>
          <w:ilvl w:val="3"/>
          <w:numId w:val="0"/>
        </w:numPr>
        <w:ind w:left="-167" w:hanging="624"/>
        <w:rPr>
          <w:highlight w:val="none"/>
        </w:rPr>
      </w:pPr>
      <w:r>
        <w:rPr>
          <w:rFonts w:hint="eastAsia"/>
          <w:highlight w:val="none"/>
        </w:rPr>
        <w:t>6.2.1.4总承包工程施工进度计划的</w:t>
      </w:r>
      <w:r>
        <w:rPr>
          <w:highlight w:val="none"/>
        </w:rPr>
        <w:t>调整</w:t>
      </w:r>
    </w:p>
    <w:p w14:paraId="5A42AB4C">
      <w:pPr>
        <w:ind w:firstLine="480"/>
        <w:rPr>
          <w:highlight w:val="none"/>
        </w:rPr>
      </w:pPr>
      <w:r>
        <w:rPr>
          <w:rFonts w:hint="eastAsia"/>
          <w:highlight w:val="none"/>
        </w:rPr>
        <w:t>总承包工程施工进度计划不能随意调整，若发包人项目整体开发计划或销售计划发生变化，总承包工程施工进度计划可进行相应调整。</w:t>
      </w:r>
    </w:p>
    <w:p w14:paraId="4150F01E">
      <w:pPr>
        <w:ind w:firstLine="480"/>
        <w:rPr>
          <w:highlight w:val="none"/>
        </w:rPr>
      </w:pPr>
      <w:r>
        <w:rPr>
          <w:rFonts w:hint="eastAsia"/>
          <w:highlight w:val="none"/>
        </w:rPr>
        <w:t>承包人进场后应对项目所有不利条件进行充分探勘，因场地条件、周边环境、交通运输、供水供电、排水排污等施工前置条件的影响、不作为工期调整及索赔的依据。</w:t>
      </w:r>
    </w:p>
    <w:p w14:paraId="51408EFD">
      <w:pPr>
        <w:ind w:firstLine="480"/>
        <w:rPr>
          <w:highlight w:val="none"/>
        </w:rPr>
      </w:pPr>
      <w:r>
        <w:rPr>
          <w:rFonts w:hint="eastAsia"/>
          <w:highlight w:val="none"/>
        </w:rPr>
        <w:t>根据节点工期要求编制各节点机械设备、劳动力、材料投入计划并进行考核，对材料、机械设备、劳动力投入不足等情况追究施工方的违约责任。</w:t>
      </w:r>
    </w:p>
    <w:p w14:paraId="0FFF23CA">
      <w:pPr>
        <w:ind w:firstLine="480"/>
        <w:rPr>
          <w:highlight w:val="none"/>
        </w:rPr>
      </w:pPr>
      <w:r>
        <w:rPr>
          <w:rFonts w:hint="eastAsia"/>
          <w:highlight w:val="none"/>
        </w:rPr>
        <w:t>承包人在施工过程中需要为政府部门、建设单位、监理单位、检测单位的检查、检测预留足够的时间，其时间相应计入总工期中，不作为工期调整的依据。</w:t>
      </w:r>
    </w:p>
    <w:p w14:paraId="19372ECB">
      <w:pPr>
        <w:ind w:firstLine="480"/>
        <w:rPr>
          <w:highlight w:val="none"/>
        </w:rPr>
      </w:pPr>
      <w:r>
        <w:rPr>
          <w:rFonts w:hint="eastAsia"/>
          <w:highlight w:val="none"/>
        </w:rPr>
        <w:t>承包人在施工过程中需要给各专业承包单位的施工及调试和成品保护预留足够的时间，其时间相应计入总工期中，不作为工期调整的依据。</w:t>
      </w:r>
    </w:p>
    <w:p w14:paraId="53E7EC2F">
      <w:pPr>
        <w:ind w:firstLine="480"/>
        <w:rPr>
          <w:highlight w:val="none"/>
        </w:rPr>
      </w:pPr>
      <w:r>
        <w:rPr>
          <w:rFonts w:hint="eastAsia"/>
          <w:highlight w:val="none"/>
        </w:rPr>
        <w:t>地质条件变化、地下障碍物等不作为工期调整的依据。</w:t>
      </w:r>
    </w:p>
    <w:p w14:paraId="52693FAB">
      <w:pPr>
        <w:ind w:firstLine="480"/>
        <w:rPr>
          <w:highlight w:val="none"/>
        </w:rPr>
      </w:pPr>
      <w:r>
        <w:rPr>
          <w:rFonts w:hint="eastAsia"/>
          <w:highlight w:val="none"/>
        </w:rPr>
        <w:t>工期调整的其他要求按合同相关条款进行。</w:t>
      </w:r>
    </w:p>
    <w:p w14:paraId="706DDE53">
      <w:pPr>
        <w:pStyle w:val="5"/>
        <w:numPr>
          <w:ilvl w:val="2"/>
          <w:numId w:val="0"/>
        </w:numPr>
        <w:ind w:left="624" w:hanging="624"/>
        <w:rPr>
          <w:highlight w:val="none"/>
        </w:rPr>
      </w:pPr>
      <w:bookmarkStart w:id="320" w:name="_Toc19866"/>
      <w:r>
        <w:rPr>
          <w:rFonts w:hint="eastAsia"/>
          <w:highlight w:val="none"/>
        </w:rPr>
        <w:t>6.2.2工程进度</w:t>
      </w:r>
      <w:r>
        <w:rPr>
          <w:highlight w:val="none"/>
        </w:rPr>
        <w:t>计划的</w:t>
      </w:r>
      <w:r>
        <w:rPr>
          <w:rFonts w:hint="eastAsia"/>
          <w:highlight w:val="none"/>
        </w:rPr>
        <w:t>管理</w:t>
      </w:r>
      <w:r>
        <w:rPr>
          <w:highlight w:val="none"/>
        </w:rPr>
        <w:t>要求</w:t>
      </w:r>
      <w:bookmarkEnd w:id="320"/>
    </w:p>
    <w:p w14:paraId="0A1A4083">
      <w:pPr>
        <w:pStyle w:val="6"/>
        <w:numPr>
          <w:ilvl w:val="3"/>
          <w:numId w:val="0"/>
        </w:numPr>
        <w:ind w:left="864" w:leftChars="100" w:hanging="624"/>
        <w:rPr>
          <w:highlight w:val="none"/>
        </w:rPr>
      </w:pPr>
      <w:r>
        <w:rPr>
          <w:rFonts w:hint="eastAsia"/>
          <w:highlight w:val="none"/>
        </w:rPr>
        <w:t>6.2.2.1工程</w:t>
      </w:r>
      <w:r>
        <w:rPr>
          <w:highlight w:val="none"/>
        </w:rPr>
        <w:t>进度计划的实施</w:t>
      </w:r>
    </w:p>
    <w:p w14:paraId="59D1839B">
      <w:pPr>
        <w:numPr>
          <w:ilvl w:val="0"/>
          <w:numId w:val="8"/>
        </w:numPr>
        <w:ind w:firstLine="480"/>
        <w:rPr>
          <w:highlight w:val="none"/>
        </w:rPr>
      </w:pPr>
      <w:r>
        <w:rPr>
          <w:rFonts w:hint="eastAsia"/>
          <w:highlight w:val="none"/>
        </w:rPr>
        <w:t>总承包人按照发包人审批确认的总承包工程施工进度计划施工，专业承包人按照经发包人审批确认的专业工程施工进度计划组织施工。</w:t>
      </w:r>
    </w:p>
    <w:p w14:paraId="48BF9B0A">
      <w:pPr>
        <w:numPr>
          <w:ilvl w:val="0"/>
          <w:numId w:val="8"/>
        </w:numPr>
        <w:ind w:firstLine="480"/>
        <w:rPr>
          <w:highlight w:val="none"/>
        </w:rPr>
      </w:pPr>
      <w:r>
        <w:rPr>
          <w:rFonts w:hint="eastAsia"/>
          <w:highlight w:val="none"/>
        </w:rPr>
        <w:t>总承包人负责监督、协调自有工作界面和照管专业承包工作界面内的施工进度。</w:t>
      </w:r>
    </w:p>
    <w:p w14:paraId="17DBA83A">
      <w:pPr>
        <w:numPr>
          <w:ilvl w:val="0"/>
          <w:numId w:val="8"/>
        </w:numPr>
        <w:ind w:firstLine="480"/>
        <w:rPr>
          <w:highlight w:val="none"/>
        </w:rPr>
      </w:pPr>
      <w:r>
        <w:rPr>
          <w:rFonts w:hint="eastAsia"/>
          <w:highlight w:val="none"/>
        </w:rPr>
        <w:t>周例会召开前一天17:00前按要求提交周报告和下周施工计划；每月</w:t>
      </w:r>
      <w:r>
        <w:rPr>
          <w:highlight w:val="none"/>
        </w:rPr>
        <w:t>24</w:t>
      </w:r>
      <w:r>
        <w:rPr>
          <w:rFonts w:hint="eastAsia"/>
          <w:highlight w:val="none"/>
        </w:rPr>
        <w:t>日上午</w:t>
      </w:r>
      <w:r>
        <w:rPr>
          <w:highlight w:val="none"/>
        </w:rPr>
        <w:t>10</w:t>
      </w:r>
      <w:r>
        <w:rPr>
          <w:rFonts w:hint="eastAsia"/>
          <w:highlight w:val="none"/>
        </w:rPr>
        <w:t>:</w:t>
      </w:r>
      <w:r>
        <w:rPr>
          <w:highlight w:val="none"/>
        </w:rPr>
        <w:t>00</w:t>
      </w:r>
      <w:r>
        <w:rPr>
          <w:rFonts w:hint="eastAsia"/>
          <w:highlight w:val="none"/>
        </w:rPr>
        <w:t>前提交本月月报及下月月施工计划。</w:t>
      </w:r>
    </w:p>
    <w:p w14:paraId="75D586B1">
      <w:pPr>
        <w:pStyle w:val="6"/>
        <w:numPr>
          <w:ilvl w:val="3"/>
          <w:numId w:val="0"/>
        </w:numPr>
        <w:ind w:left="864" w:leftChars="100" w:hanging="624"/>
        <w:rPr>
          <w:highlight w:val="none"/>
        </w:rPr>
      </w:pPr>
      <w:r>
        <w:rPr>
          <w:rFonts w:hint="eastAsia"/>
          <w:highlight w:val="none"/>
        </w:rPr>
        <w:t>6.2.2.2工程</w:t>
      </w:r>
      <w:r>
        <w:rPr>
          <w:highlight w:val="none"/>
        </w:rPr>
        <w:t>进度计划的检查和纠偏</w:t>
      </w:r>
    </w:p>
    <w:p w14:paraId="5393D908">
      <w:pPr>
        <w:numPr>
          <w:ilvl w:val="0"/>
          <w:numId w:val="9"/>
        </w:numPr>
        <w:ind w:firstLine="480"/>
        <w:rPr>
          <w:highlight w:val="none"/>
        </w:rPr>
      </w:pPr>
      <w:r>
        <w:rPr>
          <w:rFonts w:hint="eastAsia"/>
          <w:highlight w:val="none"/>
        </w:rPr>
        <w:t>发包人、监理人对总承包人的施工组织、进度、资源投入进行检查，发现不符合施工组织设计和计划的施工组织方法、工作面管理，或者施工投入不足、效率低下，影响计划时，总承包人应积极配合调整。</w:t>
      </w:r>
    </w:p>
    <w:p w14:paraId="007CA533">
      <w:pPr>
        <w:numPr>
          <w:ilvl w:val="0"/>
          <w:numId w:val="9"/>
        </w:numPr>
        <w:ind w:firstLine="480"/>
        <w:rPr>
          <w:highlight w:val="none"/>
        </w:rPr>
      </w:pPr>
      <w:r>
        <w:rPr>
          <w:rFonts w:hint="eastAsia"/>
          <w:highlight w:val="none"/>
        </w:rPr>
        <w:t>纠偏措施审批：</w:t>
      </w:r>
    </w:p>
    <w:p w14:paraId="22D2ADD2">
      <w:pPr>
        <w:numPr>
          <w:ilvl w:val="0"/>
          <w:numId w:val="9"/>
        </w:numPr>
        <w:ind w:firstLine="480"/>
        <w:rPr>
          <w:highlight w:val="none"/>
        </w:rPr>
      </w:pPr>
      <w:r>
        <w:rPr>
          <w:rFonts w:hint="eastAsia"/>
          <w:highlight w:val="none"/>
        </w:rPr>
        <w:t>周进度偏差：针对周进度偏差，分析偏差原因，总承包人应根据发包人和监理人意见提出纠偏措施，由监理人、发包人确认并督促执行。</w:t>
      </w:r>
    </w:p>
    <w:p w14:paraId="072ABF30">
      <w:pPr>
        <w:numPr>
          <w:ilvl w:val="0"/>
          <w:numId w:val="9"/>
        </w:numPr>
        <w:ind w:firstLine="480"/>
        <w:rPr>
          <w:highlight w:val="none"/>
        </w:rPr>
      </w:pPr>
      <w:r>
        <w:rPr>
          <w:rFonts w:hint="eastAsia"/>
          <w:highlight w:val="none"/>
        </w:rPr>
        <w:t>累积偏差：当实际进度与总承包人整体施工计划累计偏差超过两周时，监理人应向发包人提交专项报告，并责令总承包人提交进度纠偏方案，三方共同就总承包人进度纠偏方案确认，总承包人必须按纠偏方案执行。</w:t>
      </w:r>
    </w:p>
    <w:p w14:paraId="471DDFB9">
      <w:pPr>
        <w:pStyle w:val="6"/>
        <w:numPr>
          <w:ilvl w:val="3"/>
          <w:numId w:val="0"/>
        </w:numPr>
        <w:ind w:left="864" w:leftChars="100" w:hanging="624"/>
        <w:rPr>
          <w:highlight w:val="none"/>
        </w:rPr>
      </w:pPr>
      <w:r>
        <w:rPr>
          <w:rFonts w:hint="eastAsia"/>
          <w:highlight w:val="none"/>
        </w:rPr>
        <w:t>6.2.2.3</w:t>
      </w:r>
      <w:r>
        <w:rPr>
          <w:highlight w:val="none"/>
        </w:rPr>
        <w:t>进度管理报表</w:t>
      </w:r>
    </w:p>
    <w:p w14:paraId="4A2C65F9">
      <w:pPr>
        <w:ind w:firstLine="480"/>
        <w:rPr>
          <w:highlight w:val="none"/>
        </w:rPr>
      </w:pPr>
      <w:r>
        <w:rPr>
          <w:rFonts w:hint="eastAsia"/>
          <w:highlight w:val="none"/>
        </w:rPr>
        <w:t>总承包人、专业承包人应向监理人和发包人按时提交《周工作报告》、《月工作报告》，在《周工作报告》、《月工作报告》中应包含周、月度工作计划，其中属总承包人照管的专业承包人报表应同时报送总承包人、监理人、发包人。</w:t>
      </w:r>
    </w:p>
    <w:p w14:paraId="15B72247">
      <w:pPr>
        <w:numPr>
          <w:ilvl w:val="0"/>
          <w:numId w:val="10"/>
        </w:numPr>
        <w:ind w:left="480" w:firstLine="480"/>
        <w:rPr>
          <w:highlight w:val="none"/>
        </w:rPr>
      </w:pPr>
      <w:r>
        <w:rPr>
          <w:rFonts w:hint="eastAsia"/>
          <w:highlight w:val="none"/>
        </w:rPr>
        <w:t>各进度报表的内容</w:t>
      </w:r>
    </w:p>
    <w:p w14:paraId="5E68F859">
      <w:pPr>
        <w:numPr>
          <w:ilvl w:val="0"/>
          <w:numId w:val="11"/>
        </w:numPr>
        <w:ind w:left="480" w:firstLine="480"/>
        <w:rPr>
          <w:highlight w:val="none"/>
        </w:rPr>
      </w:pPr>
      <w:r>
        <w:rPr>
          <w:rFonts w:hint="eastAsia"/>
          <w:highlight w:val="none"/>
        </w:rPr>
        <w:t>在现场工作的技术管理人员数量、工程技术工人和非技术工人数量，同时包括专业承包人的人员数量, 是否满足工程需要。</w:t>
      </w:r>
    </w:p>
    <w:p w14:paraId="7413A27E">
      <w:pPr>
        <w:numPr>
          <w:ilvl w:val="0"/>
          <w:numId w:val="11"/>
        </w:numPr>
        <w:ind w:left="480" w:firstLine="480"/>
        <w:rPr>
          <w:highlight w:val="none"/>
        </w:rPr>
      </w:pPr>
      <w:r>
        <w:rPr>
          <w:rFonts w:hint="eastAsia"/>
          <w:highlight w:val="none"/>
        </w:rPr>
        <w:t>现场所使用的各种主要机械设备和车辆的型号、数量和台班，工作区段，工程进度情况，天气情况记录，诸如停工、事故等特别事项说明。</w:t>
      </w:r>
    </w:p>
    <w:p w14:paraId="5C58B3C3">
      <w:pPr>
        <w:numPr>
          <w:ilvl w:val="0"/>
          <w:numId w:val="11"/>
        </w:numPr>
        <w:ind w:left="480" w:firstLine="480"/>
        <w:rPr>
          <w:highlight w:val="none"/>
        </w:rPr>
      </w:pPr>
      <w:r>
        <w:rPr>
          <w:rFonts w:hint="eastAsia"/>
          <w:highlight w:val="none"/>
        </w:rPr>
        <w:t>专业承包人、作业队、班组进度计划完成情况，进场材料、物品或设备分类汇总表、用于次周或下月的工程进度计划。</w:t>
      </w:r>
    </w:p>
    <w:p w14:paraId="469393E9">
      <w:pPr>
        <w:numPr>
          <w:ilvl w:val="0"/>
          <w:numId w:val="11"/>
        </w:numPr>
        <w:ind w:left="480" w:firstLine="480"/>
        <w:rPr>
          <w:highlight w:val="none"/>
        </w:rPr>
      </w:pPr>
      <w:r>
        <w:rPr>
          <w:rFonts w:hint="eastAsia"/>
          <w:highlight w:val="none"/>
        </w:rPr>
        <w:t>工程变更、价格调整、索赔及工程款收支情况。</w:t>
      </w:r>
    </w:p>
    <w:p w14:paraId="2CD90A95">
      <w:pPr>
        <w:numPr>
          <w:ilvl w:val="0"/>
          <w:numId w:val="11"/>
        </w:numPr>
        <w:ind w:left="480" w:firstLine="480"/>
        <w:rPr>
          <w:highlight w:val="none"/>
        </w:rPr>
      </w:pPr>
      <w:r>
        <w:rPr>
          <w:rFonts w:hint="eastAsia"/>
          <w:highlight w:val="none"/>
        </w:rPr>
        <w:t>工期偏差的状况和导致偏差的原因分析。</w:t>
      </w:r>
    </w:p>
    <w:p w14:paraId="727B9D6A">
      <w:pPr>
        <w:numPr>
          <w:ilvl w:val="0"/>
          <w:numId w:val="10"/>
        </w:numPr>
        <w:ind w:left="480" w:firstLine="480"/>
        <w:rPr>
          <w:highlight w:val="none"/>
        </w:rPr>
      </w:pPr>
      <w:r>
        <w:rPr>
          <w:rFonts w:hint="eastAsia"/>
          <w:highlight w:val="none"/>
        </w:rPr>
        <w:t>报告制度</w:t>
      </w:r>
    </w:p>
    <w:p w14:paraId="305F2BF2">
      <w:pPr>
        <w:numPr>
          <w:ilvl w:val="0"/>
          <w:numId w:val="12"/>
        </w:numPr>
        <w:ind w:left="480" w:firstLine="480"/>
        <w:rPr>
          <w:highlight w:val="none"/>
        </w:rPr>
      </w:pPr>
      <w:r>
        <w:rPr>
          <w:rFonts w:hint="eastAsia"/>
          <w:highlight w:val="none"/>
        </w:rPr>
        <w:t>总承包人应设立专人负责工程</w:t>
      </w:r>
      <w:r>
        <w:rPr>
          <w:highlight w:val="none"/>
        </w:rPr>
        <w:t>实施的</w:t>
      </w:r>
      <w:r>
        <w:rPr>
          <w:rFonts w:hint="eastAsia"/>
          <w:highlight w:val="none"/>
        </w:rPr>
        <w:t>进度管理，对施工全过程进度管理，重点是协调专业承包人的进度管理。</w:t>
      </w:r>
    </w:p>
    <w:p w14:paraId="2E27A8F8">
      <w:pPr>
        <w:numPr>
          <w:ilvl w:val="0"/>
          <w:numId w:val="12"/>
        </w:numPr>
        <w:ind w:left="480" w:firstLine="480"/>
        <w:rPr>
          <w:highlight w:val="none"/>
        </w:rPr>
      </w:pPr>
      <w:r>
        <w:rPr>
          <w:rFonts w:hint="eastAsia"/>
          <w:highlight w:val="none"/>
        </w:rPr>
        <w:t>总承包人应向发包人呈递一式三份周进度报表和月进度报表。</w:t>
      </w:r>
    </w:p>
    <w:p w14:paraId="5B170937">
      <w:pPr>
        <w:numPr>
          <w:ilvl w:val="0"/>
          <w:numId w:val="12"/>
        </w:numPr>
        <w:ind w:left="480" w:firstLine="480"/>
        <w:rPr>
          <w:highlight w:val="none"/>
        </w:rPr>
      </w:pPr>
      <w:r>
        <w:rPr>
          <w:rFonts w:hint="eastAsia"/>
          <w:highlight w:val="none"/>
        </w:rPr>
        <w:t>月度施工进度报告经项目负责人审核，每月</w:t>
      </w:r>
      <w:r>
        <w:rPr>
          <w:highlight w:val="none"/>
        </w:rPr>
        <w:t>24</w:t>
      </w:r>
      <w:r>
        <w:rPr>
          <w:rFonts w:hint="eastAsia"/>
          <w:highlight w:val="none"/>
        </w:rPr>
        <w:t>日前上报。</w:t>
      </w:r>
    </w:p>
    <w:p w14:paraId="247436E8">
      <w:pPr>
        <w:pStyle w:val="6"/>
        <w:numPr>
          <w:ilvl w:val="3"/>
          <w:numId w:val="0"/>
        </w:numPr>
        <w:ind w:left="864" w:leftChars="100" w:hanging="624"/>
        <w:rPr>
          <w:highlight w:val="none"/>
        </w:rPr>
      </w:pPr>
      <w:r>
        <w:rPr>
          <w:rFonts w:hint="eastAsia"/>
          <w:highlight w:val="none"/>
        </w:rPr>
        <w:t>6.2.2.4工程</w:t>
      </w:r>
      <w:r>
        <w:rPr>
          <w:highlight w:val="none"/>
        </w:rPr>
        <w:t>进度计划考核</w:t>
      </w:r>
    </w:p>
    <w:p w14:paraId="6383A309">
      <w:pPr>
        <w:numPr>
          <w:ilvl w:val="0"/>
          <w:numId w:val="13"/>
        </w:numPr>
        <w:spacing w:before="120" w:beforeLines="50" w:after="120" w:afterLines="50"/>
        <w:ind w:firstLine="480"/>
        <w:rPr>
          <w:highlight w:val="none"/>
        </w:rPr>
      </w:pPr>
      <w:r>
        <w:rPr>
          <w:rFonts w:hint="eastAsia"/>
          <w:highlight w:val="none"/>
        </w:rPr>
        <w:t>不符合计划进度，进度拖延累计超过3天，由总承包人项目负责人汇报原因并制定措施。</w:t>
      </w:r>
    </w:p>
    <w:p w14:paraId="0D37AA5A">
      <w:pPr>
        <w:numPr>
          <w:ilvl w:val="0"/>
          <w:numId w:val="13"/>
        </w:numPr>
        <w:spacing w:before="120" w:beforeLines="50" w:after="120" w:afterLines="50"/>
        <w:ind w:firstLine="480"/>
        <w:rPr>
          <w:highlight w:val="none"/>
        </w:rPr>
      </w:pPr>
      <w:r>
        <w:rPr>
          <w:rFonts w:hint="eastAsia"/>
          <w:highlight w:val="none"/>
        </w:rPr>
        <w:t>不符合计划进度，进度拖延累计超过7天或15天内没有抢回拖后的3天工期，总承包人项目指挥长制定措施。</w:t>
      </w:r>
    </w:p>
    <w:p w14:paraId="55A35B7F">
      <w:pPr>
        <w:numPr>
          <w:ilvl w:val="0"/>
          <w:numId w:val="13"/>
        </w:numPr>
        <w:spacing w:before="120" w:beforeLines="50" w:after="120" w:afterLines="50"/>
        <w:ind w:firstLine="480"/>
        <w:rPr>
          <w:highlight w:val="none"/>
        </w:rPr>
      </w:pPr>
      <w:r>
        <w:rPr>
          <w:rFonts w:hint="eastAsia"/>
          <w:highlight w:val="none"/>
        </w:rPr>
        <w:t>不符合计划进度，进度拖延累计超过10天或20天内没有抢回拖后的5天工期，总承包人项目指挥长驻场制定措施，</w:t>
      </w:r>
      <w:r>
        <w:rPr>
          <w:highlight w:val="none"/>
        </w:rPr>
        <w:t>并直至赶回工期</w:t>
      </w:r>
      <w:r>
        <w:rPr>
          <w:rFonts w:hint="eastAsia"/>
          <w:highlight w:val="none"/>
        </w:rPr>
        <w:t>。</w:t>
      </w:r>
    </w:p>
    <w:p w14:paraId="737A2177">
      <w:pPr>
        <w:numPr>
          <w:ilvl w:val="0"/>
          <w:numId w:val="13"/>
        </w:numPr>
        <w:spacing w:before="120" w:beforeLines="50" w:after="120" w:afterLines="50"/>
        <w:ind w:firstLine="480"/>
        <w:rPr>
          <w:highlight w:val="none"/>
        </w:rPr>
      </w:pPr>
      <w:r>
        <w:rPr>
          <w:rFonts w:hint="eastAsia"/>
          <w:highlight w:val="none"/>
        </w:rPr>
        <w:t>如果进度计划累计15天或30天内未抢回拖后的7天工期，总承包人公司总经理制定措施。</w:t>
      </w:r>
    </w:p>
    <w:p w14:paraId="18C5A8DB">
      <w:pPr>
        <w:pStyle w:val="6"/>
        <w:numPr>
          <w:ilvl w:val="3"/>
          <w:numId w:val="0"/>
        </w:numPr>
        <w:ind w:left="864" w:leftChars="100" w:hanging="624"/>
        <w:rPr>
          <w:highlight w:val="none"/>
        </w:rPr>
      </w:pPr>
      <w:r>
        <w:rPr>
          <w:rFonts w:hint="eastAsia"/>
          <w:highlight w:val="none"/>
        </w:rPr>
        <w:t>6.2.2.5</w:t>
      </w:r>
      <w:r>
        <w:rPr>
          <w:highlight w:val="none"/>
        </w:rPr>
        <w:t>工程进度管理会议</w:t>
      </w:r>
    </w:p>
    <w:p w14:paraId="310C0CC5">
      <w:pPr>
        <w:numPr>
          <w:ilvl w:val="0"/>
          <w:numId w:val="14"/>
        </w:numPr>
        <w:ind w:firstLine="480"/>
        <w:rPr>
          <w:highlight w:val="none"/>
        </w:rPr>
      </w:pPr>
      <w:r>
        <w:rPr>
          <w:rFonts w:hint="eastAsia"/>
          <w:highlight w:val="none"/>
        </w:rPr>
        <w:t>每周召开由发包人工程经理、总承包人项目负责人、监理人总监参加的监理例会。监理例会包括进度协调议题，内容包括上周现场进度核对、下周重点现场工作安排、进度偏差原因分析、纠偏措施、重要施工方案进展、现场质量情况、样板进展、安全文明施工等情况安排责任单位进行通报，对存在的问题协调解决。</w:t>
      </w:r>
    </w:p>
    <w:p w14:paraId="3DEF43E2">
      <w:pPr>
        <w:numPr>
          <w:ilvl w:val="0"/>
          <w:numId w:val="14"/>
        </w:numPr>
        <w:ind w:firstLine="480"/>
        <w:rPr>
          <w:highlight w:val="none"/>
        </w:rPr>
      </w:pPr>
      <w:r>
        <w:rPr>
          <w:rFonts w:hint="eastAsia"/>
          <w:highlight w:val="none"/>
        </w:rPr>
        <w:t>不定期召开专项工作会，重点解决项目推进中的难点问题。</w:t>
      </w:r>
    </w:p>
    <w:p w14:paraId="57F30ED0">
      <w:pPr>
        <w:pStyle w:val="6"/>
        <w:numPr>
          <w:ilvl w:val="3"/>
          <w:numId w:val="0"/>
        </w:numPr>
        <w:ind w:left="864" w:leftChars="100" w:hanging="624"/>
        <w:rPr>
          <w:highlight w:val="none"/>
        </w:rPr>
      </w:pPr>
      <w:r>
        <w:rPr>
          <w:rFonts w:hint="eastAsia"/>
          <w:highlight w:val="none"/>
        </w:rPr>
        <w:t>6.2.2.6影像</w:t>
      </w:r>
      <w:r>
        <w:rPr>
          <w:highlight w:val="none"/>
        </w:rPr>
        <w:t>资料</w:t>
      </w:r>
    </w:p>
    <w:p w14:paraId="5C3E4F13">
      <w:pPr>
        <w:ind w:firstLine="480"/>
        <w:rPr>
          <w:highlight w:val="none"/>
        </w:rPr>
      </w:pPr>
      <w:r>
        <w:rPr>
          <w:rFonts w:hint="eastAsia"/>
          <w:highlight w:val="none"/>
        </w:rPr>
        <w:t>总承包人每半月应呈交给发包人工程进度照片，并在经监理人批准的不同位置定期拍摄。要求每月呈交的每套照片中，每栋单体不少于2张，以两个不同的固定位置拍摄的最能体现本工程特点的全貌照片2张，每张照片都应标上相应的拍摄日期和简要文字说明。</w:t>
      </w:r>
    </w:p>
    <w:p w14:paraId="7BDE5806">
      <w:pPr>
        <w:ind w:firstLine="480"/>
        <w:rPr>
          <w:highlight w:val="none"/>
        </w:rPr>
      </w:pPr>
      <w:r>
        <w:rPr>
          <w:rFonts w:hint="eastAsia"/>
          <w:highlight w:val="none"/>
        </w:rPr>
        <w:t>每道工序样板施工验收完成后及大面施工完成后，拍摄最能体现本工序施工质量亮点的照片不少于2张。</w:t>
      </w:r>
    </w:p>
    <w:p w14:paraId="03C3E07D">
      <w:pPr>
        <w:pStyle w:val="4"/>
        <w:numPr>
          <w:ilvl w:val="1"/>
          <w:numId w:val="0"/>
        </w:numPr>
        <w:ind w:left="624" w:hanging="624"/>
        <w:rPr>
          <w:highlight w:val="none"/>
        </w:rPr>
      </w:pPr>
      <w:bookmarkStart w:id="321" w:name="_Toc24181"/>
      <w:bookmarkStart w:id="322" w:name="_Toc17061"/>
      <w:bookmarkStart w:id="323" w:name="_Toc16226"/>
      <w:bookmarkStart w:id="324" w:name="_Toc169722213"/>
      <w:bookmarkStart w:id="325" w:name="_Toc179562982"/>
      <w:bookmarkStart w:id="326" w:name="_Toc18220"/>
      <w:bookmarkStart w:id="327" w:name="_Toc11919"/>
      <w:bookmarkStart w:id="328" w:name="_Toc6317"/>
      <w:r>
        <w:rPr>
          <w:rFonts w:hint="eastAsia"/>
          <w:highlight w:val="none"/>
        </w:rPr>
        <w:t>6.3</w:t>
      </w:r>
      <w:r>
        <w:rPr>
          <w:highlight w:val="none"/>
        </w:rPr>
        <w:t>深化设计要求</w:t>
      </w:r>
      <w:bookmarkEnd w:id="321"/>
      <w:bookmarkEnd w:id="322"/>
      <w:bookmarkEnd w:id="323"/>
      <w:bookmarkEnd w:id="324"/>
      <w:bookmarkEnd w:id="325"/>
      <w:bookmarkEnd w:id="326"/>
      <w:bookmarkEnd w:id="327"/>
      <w:bookmarkEnd w:id="328"/>
    </w:p>
    <w:p w14:paraId="715C7ECD">
      <w:pPr>
        <w:pStyle w:val="5"/>
        <w:numPr>
          <w:ilvl w:val="2"/>
          <w:numId w:val="0"/>
        </w:numPr>
        <w:ind w:left="624" w:hanging="624"/>
        <w:rPr>
          <w:highlight w:val="none"/>
        </w:rPr>
      </w:pPr>
      <w:bookmarkStart w:id="329" w:name="_Toc24459"/>
      <w:r>
        <w:rPr>
          <w:rFonts w:hint="eastAsia"/>
          <w:highlight w:val="none"/>
        </w:rPr>
        <w:t>6.3.1深化</w:t>
      </w:r>
      <w:r>
        <w:rPr>
          <w:highlight w:val="none"/>
        </w:rPr>
        <w:t>设计的</w:t>
      </w:r>
      <w:r>
        <w:rPr>
          <w:rFonts w:hint="eastAsia"/>
          <w:highlight w:val="none"/>
        </w:rPr>
        <w:t>基本要求</w:t>
      </w:r>
      <w:bookmarkEnd w:id="329"/>
    </w:p>
    <w:p w14:paraId="1E47D3E2">
      <w:pPr>
        <w:pStyle w:val="6"/>
        <w:numPr>
          <w:ilvl w:val="3"/>
          <w:numId w:val="0"/>
        </w:numPr>
        <w:ind w:left="864" w:leftChars="100" w:hanging="624"/>
        <w:rPr>
          <w:highlight w:val="none"/>
        </w:rPr>
      </w:pPr>
      <w:r>
        <w:rPr>
          <w:rFonts w:hint="eastAsia"/>
          <w:highlight w:val="none"/>
        </w:rPr>
        <w:t>6.3.1.1</w:t>
      </w:r>
      <w:r>
        <w:rPr>
          <w:highlight w:val="none"/>
        </w:rPr>
        <w:t>深化设计是指项目在施工图设计</w:t>
      </w:r>
      <w:r>
        <w:rPr>
          <w:rFonts w:hint="eastAsia"/>
          <w:highlight w:val="none"/>
        </w:rPr>
        <w:t>完成的</w:t>
      </w:r>
      <w:r>
        <w:rPr>
          <w:highlight w:val="none"/>
        </w:rPr>
        <w:t>前提下，在施工图纸范围内，针对某一项或者某一专业进行的专业设计，</w:t>
      </w:r>
      <w:r>
        <w:rPr>
          <w:rFonts w:hint="eastAsia"/>
          <w:highlight w:val="none"/>
        </w:rPr>
        <w:t>完善和细化设计细节，规范现场施工方法，使施工人员在操作时有图可依，使质检人员有据可查，使工程施工规范有序，从而保证工程质量，最终保证高品质工程目标的实现。深化</w:t>
      </w:r>
      <w:r>
        <w:rPr>
          <w:highlight w:val="none"/>
        </w:rPr>
        <w:t>设计成果必须符合与之相关的所有技术规范要求。</w:t>
      </w:r>
    </w:p>
    <w:p w14:paraId="55964D3B">
      <w:pPr>
        <w:pStyle w:val="6"/>
        <w:numPr>
          <w:ilvl w:val="3"/>
          <w:numId w:val="0"/>
        </w:numPr>
        <w:ind w:left="864" w:leftChars="100" w:hanging="624"/>
        <w:rPr>
          <w:highlight w:val="none"/>
        </w:rPr>
      </w:pPr>
      <w:r>
        <w:rPr>
          <w:rFonts w:hint="eastAsia"/>
          <w:highlight w:val="none"/>
        </w:rPr>
        <w:t>6.3.1.2深化设计范围包括工程全过程与全部相关专业，总承包人应对深化设计工作量有充分预计。</w:t>
      </w:r>
    </w:p>
    <w:p w14:paraId="7AC24944">
      <w:pPr>
        <w:pStyle w:val="6"/>
        <w:numPr>
          <w:ilvl w:val="3"/>
          <w:numId w:val="0"/>
        </w:numPr>
        <w:ind w:left="864" w:leftChars="100" w:hanging="624"/>
        <w:rPr>
          <w:highlight w:val="none"/>
        </w:rPr>
      </w:pPr>
      <w:r>
        <w:rPr>
          <w:rFonts w:hint="eastAsia"/>
          <w:highlight w:val="none"/>
        </w:rPr>
        <w:t>6.3.1.3</w:t>
      </w:r>
      <w:r>
        <w:rPr>
          <w:highlight w:val="none"/>
        </w:rPr>
        <w:t>总承包人负责自身承建范围内各相关专业的深化设计工作，</w:t>
      </w:r>
      <w:r>
        <w:rPr>
          <w:rFonts w:hint="eastAsia"/>
          <w:highlight w:val="none"/>
        </w:rPr>
        <w:t>并</w:t>
      </w:r>
      <w:r>
        <w:rPr>
          <w:highlight w:val="none"/>
        </w:rPr>
        <w:t>协调管理所需照管的</w:t>
      </w:r>
      <w:r>
        <w:rPr>
          <w:rFonts w:hint="eastAsia"/>
          <w:highlight w:val="none"/>
        </w:rPr>
        <w:t>各类专业承包人</w:t>
      </w:r>
      <w:r>
        <w:rPr>
          <w:highlight w:val="none"/>
        </w:rPr>
        <w:t>的深化设计工作</w:t>
      </w:r>
      <w:r>
        <w:rPr>
          <w:rFonts w:hint="eastAsia"/>
          <w:highlight w:val="none"/>
        </w:rPr>
        <w:t>。</w:t>
      </w:r>
    </w:p>
    <w:p w14:paraId="5B1F006E">
      <w:pPr>
        <w:pStyle w:val="6"/>
        <w:numPr>
          <w:ilvl w:val="3"/>
          <w:numId w:val="0"/>
        </w:numPr>
        <w:ind w:left="864" w:leftChars="100" w:hanging="624"/>
        <w:rPr>
          <w:highlight w:val="none"/>
        </w:rPr>
      </w:pPr>
      <w:r>
        <w:rPr>
          <w:rFonts w:hint="eastAsia"/>
          <w:highlight w:val="none"/>
        </w:rPr>
        <w:t>6.3.1.4总承包人</w:t>
      </w:r>
      <w:r>
        <w:rPr>
          <w:highlight w:val="none"/>
        </w:rPr>
        <w:t>负责</w:t>
      </w:r>
      <w:r>
        <w:rPr>
          <w:rFonts w:hint="eastAsia"/>
          <w:highlight w:val="none"/>
        </w:rPr>
        <w:t>整个</w:t>
      </w:r>
      <w:r>
        <w:rPr>
          <w:highlight w:val="none"/>
        </w:rPr>
        <w:t>工程的深化设计总体进度</w:t>
      </w:r>
      <w:r>
        <w:rPr>
          <w:rFonts w:hint="eastAsia"/>
          <w:highlight w:val="none"/>
        </w:rPr>
        <w:t>的</w:t>
      </w:r>
      <w:r>
        <w:rPr>
          <w:highlight w:val="none"/>
        </w:rPr>
        <w:t>协调管理，</w:t>
      </w:r>
      <w:r>
        <w:rPr>
          <w:rFonts w:hint="eastAsia"/>
          <w:highlight w:val="none"/>
        </w:rPr>
        <w:t>中标后应结合</w:t>
      </w:r>
      <w:r>
        <w:rPr>
          <w:highlight w:val="none"/>
        </w:rPr>
        <w:t>各类</w:t>
      </w:r>
      <w:r>
        <w:rPr>
          <w:rFonts w:hint="eastAsia"/>
          <w:highlight w:val="none"/>
        </w:rPr>
        <w:t>专业承包人</w:t>
      </w:r>
      <w:r>
        <w:rPr>
          <w:highlight w:val="none"/>
        </w:rPr>
        <w:t>的合约界面，</w:t>
      </w:r>
      <w:r>
        <w:rPr>
          <w:rFonts w:hint="eastAsia"/>
          <w:highlight w:val="none"/>
        </w:rPr>
        <w:t>立即上报深化设计的进度计划，施工过程中应按分批次报批以满足进度要求，设计人及发包人项目部组织对图纸的完成情况进行核查、审批。如承包人的深化设计图纸达不到要求，发包人有权要求承包人对深化设计人员进行调整更换或另委托深化设计单位。</w:t>
      </w:r>
    </w:p>
    <w:p w14:paraId="3D765F6C">
      <w:pPr>
        <w:pStyle w:val="5"/>
        <w:numPr>
          <w:ilvl w:val="2"/>
          <w:numId w:val="0"/>
        </w:numPr>
        <w:ind w:left="624" w:hanging="624"/>
        <w:rPr>
          <w:highlight w:val="none"/>
        </w:rPr>
      </w:pPr>
      <w:bookmarkStart w:id="330" w:name="_Toc16607"/>
      <w:r>
        <w:rPr>
          <w:rFonts w:hint="eastAsia"/>
          <w:highlight w:val="none"/>
        </w:rPr>
        <w:t>6.3.2在总承包人技术负责人的带领下，按照合同要求配置专职深化设计人员，按发包人要求进行深化设计工作。总承包人应在收到中标通知书后</w:t>
      </w:r>
      <w:r>
        <w:rPr>
          <w:rFonts w:hint="eastAsia"/>
          <w:b/>
          <w:highlight w:val="none"/>
        </w:rPr>
        <w:t>一</w:t>
      </w:r>
      <w:r>
        <w:rPr>
          <w:rFonts w:hint="eastAsia"/>
          <w:highlight w:val="none"/>
        </w:rPr>
        <w:t>个月内完成自行承担施工任务的所有深化设计项目的</w:t>
      </w:r>
      <w:r>
        <w:rPr>
          <w:highlight w:val="none"/>
        </w:rPr>
        <w:t>清单和出图计划</w:t>
      </w:r>
      <w:r>
        <w:rPr>
          <w:rFonts w:hint="eastAsia"/>
          <w:highlight w:val="none"/>
        </w:rPr>
        <w:t>，</w:t>
      </w:r>
      <w:r>
        <w:rPr>
          <w:highlight w:val="none"/>
        </w:rPr>
        <w:t>提交</w:t>
      </w:r>
      <w:r>
        <w:rPr>
          <w:rFonts w:hint="eastAsia"/>
          <w:highlight w:val="none"/>
        </w:rPr>
        <w:t>监理人</w:t>
      </w:r>
      <w:r>
        <w:rPr>
          <w:highlight w:val="none"/>
        </w:rPr>
        <w:t>/发包人审核</w:t>
      </w:r>
      <w:r>
        <w:rPr>
          <w:rFonts w:hint="eastAsia"/>
          <w:highlight w:val="none"/>
        </w:rPr>
        <w:t>。随着工程进展及专业承包人</w:t>
      </w:r>
      <w:r>
        <w:rPr>
          <w:highlight w:val="none"/>
        </w:rPr>
        <w:t>的进场</w:t>
      </w:r>
      <w:r>
        <w:rPr>
          <w:rFonts w:hint="eastAsia"/>
          <w:highlight w:val="none"/>
        </w:rPr>
        <w:t>，总承包人技术负责人牵头组织专业承包人进行深化设计、专业协调、报审、工序安排等技术管理工作。</w:t>
      </w:r>
      <w:bookmarkEnd w:id="330"/>
    </w:p>
    <w:p w14:paraId="78277B7E">
      <w:pPr>
        <w:pStyle w:val="6"/>
        <w:numPr>
          <w:ilvl w:val="3"/>
          <w:numId w:val="0"/>
        </w:numPr>
        <w:ind w:left="864" w:leftChars="100" w:hanging="624"/>
        <w:rPr>
          <w:highlight w:val="none"/>
        </w:rPr>
      </w:pPr>
      <w:r>
        <w:rPr>
          <w:rFonts w:hint="eastAsia"/>
          <w:highlight w:val="none"/>
        </w:rPr>
        <w:t>6.3.2.1</w:t>
      </w:r>
      <w:r>
        <w:rPr>
          <w:highlight w:val="none"/>
        </w:rPr>
        <w:t>深化设计时间要求：总承包人/</w:t>
      </w:r>
      <w:r>
        <w:rPr>
          <w:rFonts w:hint="eastAsia"/>
          <w:highlight w:val="none"/>
        </w:rPr>
        <w:t>专业承包人</w:t>
      </w:r>
      <w:r>
        <w:rPr>
          <w:highlight w:val="none"/>
        </w:rPr>
        <w:t>收到发包人发出的施工图后应立即开展深化设计工作，最迟必须在具体项目/施工部位实施前30天完成深化设计审核批复。</w:t>
      </w:r>
    </w:p>
    <w:p w14:paraId="6934BC33">
      <w:pPr>
        <w:pStyle w:val="6"/>
        <w:numPr>
          <w:ilvl w:val="3"/>
          <w:numId w:val="0"/>
        </w:numPr>
        <w:ind w:left="864" w:leftChars="100" w:hanging="624"/>
        <w:rPr>
          <w:highlight w:val="none"/>
        </w:rPr>
      </w:pPr>
      <w:r>
        <w:rPr>
          <w:rFonts w:hint="eastAsia"/>
          <w:highlight w:val="none"/>
        </w:rPr>
        <w:t>6.3.2.2</w:t>
      </w:r>
      <w:r>
        <w:rPr>
          <w:highlight w:val="none"/>
        </w:rPr>
        <w:t>深化设计选用的材料厂家及品牌应</w:t>
      </w:r>
      <w:r>
        <w:rPr>
          <w:rFonts w:hint="eastAsia"/>
          <w:highlight w:val="none"/>
        </w:rPr>
        <w:t>等同或相当于</w:t>
      </w:r>
      <w:r>
        <w:rPr>
          <w:highlight w:val="none"/>
        </w:rPr>
        <w:t>《主要设备材料推荐品牌表》</w:t>
      </w:r>
      <w:r>
        <w:rPr>
          <w:rFonts w:hint="eastAsia"/>
          <w:highlight w:val="none"/>
        </w:rPr>
        <w:t>中的材料品牌标准</w:t>
      </w:r>
      <w:r>
        <w:rPr>
          <w:highlight w:val="none"/>
        </w:rPr>
        <w:t>。如经考察，</w:t>
      </w:r>
      <w:r>
        <w:rPr>
          <w:rFonts w:hint="eastAsia"/>
          <w:highlight w:val="none"/>
        </w:rPr>
        <w:t>总承包人</w:t>
      </w:r>
      <w:r>
        <w:rPr>
          <w:highlight w:val="none"/>
        </w:rPr>
        <w:t>选用的材料不满足工程需要，发包人有权在</w:t>
      </w:r>
      <w:r>
        <w:rPr>
          <w:rFonts w:hint="eastAsia"/>
          <w:highlight w:val="none"/>
        </w:rPr>
        <w:t>《主要设备材料推荐品牌表》</w:t>
      </w:r>
      <w:r>
        <w:rPr>
          <w:highlight w:val="none"/>
        </w:rPr>
        <w:t>中选择其他满足规定的材料厂家及品牌，合同价款不作调整。</w:t>
      </w:r>
    </w:p>
    <w:p w14:paraId="275837C6">
      <w:pPr>
        <w:pStyle w:val="6"/>
        <w:numPr>
          <w:ilvl w:val="3"/>
          <w:numId w:val="0"/>
        </w:numPr>
        <w:ind w:left="864" w:leftChars="100" w:hanging="624"/>
        <w:rPr>
          <w:highlight w:val="none"/>
        </w:rPr>
      </w:pPr>
      <w:r>
        <w:rPr>
          <w:rFonts w:hint="eastAsia"/>
          <w:highlight w:val="none"/>
        </w:rPr>
        <w:t>6.3.2.3深化设计的计量计价原则：在满足招标技术要求（包括强制性条款、推荐品牌要求）的前提下，深化设计引起的材质、参数（含规格、型号等)的调整均不作为调价的依据，若造成工程量变化参照合同相关条款。</w:t>
      </w:r>
    </w:p>
    <w:p w14:paraId="1F03D79A">
      <w:pPr>
        <w:pStyle w:val="5"/>
        <w:numPr>
          <w:ilvl w:val="2"/>
          <w:numId w:val="0"/>
        </w:numPr>
        <w:ind w:left="624" w:hanging="624"/>
        <w:rPr>
          <w:highlight w:val="none"/>
        </w:rPr>
      </w:pPr>
      <w:bookmarkStart w:id="331" w:name="_Toc12422"/>
      <w:r>
        <w:rPr>
          <w:rFonts w:hint="eastAsia"/>
          <w:highlight w:val="none"/>
        </w:rPr>
        <w:t>6.3.3深化</w:t>
      </w:r>
      <w:r>
        <w:rPr>
          <w:highlight w:val="none"/>
        </w:rPr>
        <w:t>设计</w:t>
      </w:r>
      <w:r>
        <w:rPr>
          <w:rFonts w:hint="eastAsia"/>
          <w:highlight w:val="none"/>
        </w:rPr>
        <w:t>内容</w:t>
      </w:r>
      <w:r>
        <w:rPr>
          <w:highlight w:val="none"/>
        </w:rPr>
        <w:t>及要求</w:t>
      </w:r>
      <w:bookmarkEnd w:id="331"/>
    </w:p>
    <w:p w14:paraId="4CDEEF6E">
      <w:pPr>
        <w:pStyle w:val="6"/>
        <w:numPr>
          <w:ilvl w:val="3"/>
          <w:numId w:val="0"/>
        </w:numPr>
        <w:ind w:left="864" w:leftChars="100" w:hanging="624"/>
        <w:rPr>
          <w:highlight w:val="none"/>
        </w:rPr>
      </w:pPr>
      <w:r>
        <w:rPr>
          <w:rFonts w:hint="eastAsia"/>
          <w:highlight w:val="none"/>
        </w:rPr>
        <w:t>6.3.3.1总承包人</w:t>
      </w:r>
      <w:r>
        <w:rPr>
          <w:highlight w:val="none"/>
        </w:rPr>
        <w:t>负责</w:t>
      </w:r>
      <w:r>
        <w:rPr>
          <w:rFonts w:hint="eastAsia"/>
          <w:highlight w:val="none"/>
        </w:rPr>
        <w:t>自行</w:t>
      </w:r>
      <w:r>
        <w:rPr>
          <w:highlight w:val="none"/>
        </w:rPr>
        <w:t>承担施工任务的深化设计工作，包括但不限于下列内容</w:t>
      </w:r>
      <w:r>
        <w:rPr>
          <w:rFonts w:hint="eastAsia"/>
          <w:highlight w:val="none"/>
        </w:rPr>
        <w:t>：</w:t>
      </w:r>
    </w:p>
    <w:p w14:paraId="37B35739">
      <w:pPr>
        <w:numPr>
          <w:ilvl w:val="0"/>
          <w:numId w:val="15"/>
        </w:numPr>
        <w:ind w:firstLine="480"/>
        <w:rPr>
          <w:highlight w:val="none"/>
        </w:rPr>
      </w:pPr>
      <w:r>
        <w:rPr>
          <w:rFonts w:hint="eastAsia"/>
          <w:highlight w:val="none"/>
        </w:rPr>
        <w:t>土建：预留</w:t>
      </w:r>
      <w:r>
        <w:rPr>
          <w:highlight w:val="none"/>
        </w:rPr>
        <w:t>预埋</w:t>
      </w:r>
      <w:r>
        <w:rPr>
          <w:rFonts w:hint="eastAsia"/>
          <w:highlight w:val="none"/>
        </w:rPr>
        <w:t>（机电</w:t>
      </w:r>
      <w:r>
        <w:rPr>
          <w:highlight w:val="none"/>
        </w:rPr>
        <w:t>安装预留套管及洞口、设备基础</w:t>
      </w:r>
      <w:r>
        <w:rPr>
          <w:rFonts w:hint="eastAsia"/>
          <w:highlight w:val="none"/>
        </w:rPr>
        <w:t>留</w:t>
      </w:r>
      <w:r>
        <w:rPr>
          <w:highlight w:val="none"/>
        </w:rPr>
        <w:t>设、</w:t>
      </w:r>
      <w:r>
        <w:rPr>
          <w:rFonts w:hint="eastAsia"/>
          <w:highlight w:val="none"/>
        </w:rPr>
        <w:t>钢</w:t>
      </w:r>
      <w:r>
        <w:rPr>
          <w:highlight w:val="none"/>
        </w:rPr>
        <w:t>结构</w:t>
      </w:r>
      <w:r>
        <w:rPr>
          <w:rFonts w:hint="eastAsia"/>
          <w:highlight w:val="none"/>
        </w:rPr>
        <w:t>/幕墙</w:t>
      </w:r>
      <w:r>
        <w:rPr>
          <w:highlight w:val="none"/>
        </w:rPr>
        <w:t>埋件</w:t>
      </w:r>
      <w:r>
        <w:rPr>
          <w:rFonts w:hint="eastAsia"/>
          <w:highlight w:val="none"/>
        </w:rPr>
        <w:t>埋设）</w:t>
      </w:r>
      <w:r>
        <w:rPr>
          <w:highlight w:val="none"/>
        </w:rPr>
        <w:t>深化</w:t>
      </w:r>
      <w:r>
        <w:rPr>
          <w:rFonts w:hint="eastAsia"/>
          <w:highlight w:val="none"/>
        </w:rPr>
        <w:t>；内外墙砌体结构（包括留</w:t>
      </w:r>
      <w:r>
        <w:rPr>
          <w:highlight w:val="none"/>
        </w:rPr>
        <w:t>洞、</w:t>
      </w:r>
      <w:r>
        <w:rPr>
          <w:rFonts w:hint="eastAsia"/>
          <w:highlight w:val="none"/>
        </w:rPr>
        <w:t>排砖、构造柱、圈过梁、压顶设置等）深化；地库（包括</w:t>
      </w:r>
      <w:r>
        <w:rPr>
          <w:rFonts w:hint="eastAsia"/>
          <w:highlight w:val="none"/>
          <w:lang w:eastAsia="zh-CN"/>
        </w:rPr>
        <w:t>地坪</w:t>
      </w:r>
      <w:r>
        <w:rPr>
          <w:rFonts w:hint="eastAsia"/>
          <w:highlight w:val="none"/>
        </w:rPr>
        <w:t>防水</w:t>
      </w:r>
      <w:r>
        <w:rPr>
          <w:highlight w:val="none"/>
        </w:rPr>
        <w:t>排水、</w:t>
      </w:r>
      <w:r>
        <w:rPr>
          <w:rFonts w:hint="eastAsia"/>
          <w:highlight w:val="none"/>
        </w:rPr>
        <w:t>地面分</w:t>
      </w:r>
      <w:r>
        <w:rPr>
          <w:highlight w:val="none"/>
        </w:rPr>
        <w:t>缝切缝</w:t>
      </w:r>
      <w:r>
        <w:rPr>
          <w:rFonts w:hint="eastAsia"/>
          <w:highlight w:val="none"/>
        </w:rPr>
        <w:t>、天棚〈管线</w:t>
      </w:r>
      <w:r>
        <w:rPr>
          <w:highlight w:val="none"/>
        </w:rPr>
        <w:t>及通风设备安装后应</w:t>
      </w:r>
      <w:r>
        <w:rPr>
          <w:rFonts w:hint="eastAsia"/>
          <w:highlight w:val="none"/>
        </w:rPr>
        <w:t>满足</w:t>
      </w:r>
      <w:r>
        <w:rPr>
          <w:highlight w:val="none"/>
        </w:rPr>
        <w:t>设计最小净高要求</w:t>
      </w:r>
      <w:r>
        <w:rPr>
          <w:rFonts w:hint="eastAsia"/>
          <w:highlight w:val="none"/>
        </w:rPr>
        <w:t>〉、设备间〈设备</w:t>
      </w:r>
      <w:r>
        <w:rPr>
          <w:highlight w:val="none"/>
        </w:rPr>
        <w:t>定位</w:t>
      </w:r>
      <w:r>
        <w:rPr>
          <w:rFonts w:hint="eastAsia"/>
          <w:highlight w:val="none"/>
        </w:rPr>
        <w:t>及管线</w:t>
      </w:r>
      <w:r>
        <w:rPr>
          <w:highlight w:val="none"/>
        </w:rPr>
        <w:t>排布</w:t>
      </w:r>
      <w:r>
        <w:rPr>
          <w:rFonts w:hint="eastAsia"/>
          <w:highlight w:val="none"/>
        </w:rPr>
        <w:t>，</w:t>
      </w:r>
      <w:r>
        <w:rPr>
          <w:highlight w:val="none"/>
        </w:rPr>
        <w:t>以保证安装及维修时有足够空间</w:t>
      </w:r>
      <w:r>
        <w:rPr>
          <w:rFonts w:hint="eastAsia"/>
          <w:highlight w:val="none"/>
        </w:rPr>
        <w:t>〉）深化；设备基础（包含配筋、混凝土标号）深化；屋面（防</w:t>
      </w:r>
      <w:r>
        <w:rPr>
          <w:highlight w:val="none"/>
        </w:rPr>
        <w:t>水</w:t>
      </w:r>
      <w:r>
        <w:rPr>
          <w:rFonts w:hint="eastAsia"/>
          <w:highlight w:val="none"/>
        </w:rPr>
        <w:t>排</w:t>
      </w:r>
      <w:r>
        <w:rPr>
          <w:highlight w:val="none"/>
        </w:rPr>
        <w:t>水</w:t>
      </w:r>
      <w:r>
        <w:rPr>
          <w:rFonts w:hint="eastAsia"/>
          <w:highlight w:val="none"/>
        </w:rPr>
        <w:t>）深化；外墙饰</w:t>
      </w:r>
      <w:r>
        <w:rPr>
          <w:highlight w:val="none"/>
        </w:rPr>
        <w:t>面（</w:t>
      </w:r>
      <w:r>
        <w:rPr>
          <w:rFonts w:hint="eastAsia"/>
          <w:highlight w:val="none"/>
        </w:rPr>
        <w:t>分</w:t>
      </w:r>
      <w:r>
        <w:rPr>
          <w:highlight w:val="none"/>
        </w:rPr>
        <w:t>缝、排砖等）</w:t>
      </w:r>
      <w:r>
        <w:rPr>
          <w:rFonts w:hint="eastAsia"/>
          <w:highlight w:val="none"/>
        </w:rPr>
        <w:t>深化；室外</w:t>
      </w:r>
      <w:r>
        <w:rPr>
          <w:highlight w:val="none"/>
        </w:rPr>
        <w:t>工程</w:t>
      </w:r>
      <w:r>
        <w:rPr>
          <w:rFonts w:hint="eastAsia"/>
          <w:highlight w:val="none"/>
        </w:rPr>
        <w:t>防水</w:t>
      </w:r>
      <w:r>
        <w:rPr>
          <w:highlight w:val="none"/>
        </w:rPr>
        <w:t>排水</w:t>
      </w:r>
      <w:r>
        <w:rPr>
          <w:rFonts w:hint="eastAsia"/>
          <w:highlight w:val="none"/>
        </w:rPr>
        <w:t>深化；</w:t>
      </w:r>
      <w:r>
        <w:rPr>
          <w:highlight w:val="none"/>
        </w:rPr>
        <w:t>非二次精装区域饰面（</w:t>
      </w:r>
      <w:r>
        <w:rPr>
          <w:rFonts w:hint="eastAsia"/>
          <w:highlight w:val="none"/>
        </w:rPr>
        <w:t>疏</w:t>
      </w:r>
      <w:r>
        <w:rPr>
          <w:highlight w:val="none"/>
        </w:rPr>
        <w:t>散楼梯通道地面排砖、</w:t>
      </w:r>
      <w:r>
        <w:rPr>
          <w:rFonts w:hint="eastAsia"/>
          <w:highlight w:val="none"/>
        </w:rPr>
        <w:t>靠</w:t>
      </w:r>
      <w:r>
        <w:rPr>
          <w:highlight w:val="none"/>
        </w:rPr>
        <w:t>墙扶手</w:t>
      </w:r>
      <w:r>
        <w:rPr>
          <w:rFonts w:hint="eastAsia"/>
          <w:highlight w:val="none"/>
        </w:rPr>
        <w:t>等</w:t>
      </w:r>
      <w:r>
        <w:rPr>
          <w:highlight w:val="none"/>
        </w:rPr>
        <w:t>）</w:t>
      </w:r>
      <w:r>
        <w:rPr>
          <w:rFonts w:hint="eastAsia"/>
          <w:highlight w:val="none"/>
        </w:rPr>
        <w:t>深化等。</w:t>
      </w:r>
    </w:p>
    <w:p w14:paraId="584683C2">
      <w:pPr>
        <w:numPr>
          <w:ilvl w:val="0"/>
          <w:numId w:val="15"/>
        </w:numPr>
        <w:ind w:firstLine="480"/>
        <w:rPr>
          <w:highlight w:val="none"/>
        </w:rPr>
      </w:pPr>
      <w:r>
        <w:rPr>
          <w:rFonts w:hint="eastAsia"/>
          <w:highlight w:val="none"/>
        </w:rPr>
        <w:t>在总</w:t>
      </w:r>
      <w:r>
        <w:rPr>
          <w:highlight w:val="none"/>
        </w:rPr>
        <w:t>承包范围内的小型钢结构工程</w:t>
      </w:r>
      <w:r>
        <w:rPr>
          <w:rFonts w:hint="eastAsia"/>
          <w:highlight w:val="none"/>
        </w:rPr>
        <w:t>的</w:t>
      </w:r>
      <w:r>
        <w:rPr>
          <w:highlight w:val="none"/>
        </w:rPr>
        <w:t>深化设计。</w:t>
      </w:r>
    </w:p>
    <w:p w14:paraId="3BA51992">
      <w:pPr>
        <w:numPr>
          <w:ilvl w:val="0"/>
          <w:numId w:val="15"/>
        </w:numPr>
        <w:ind w:firstLine="480"/>
        <w:rPr>
          <w:highlight w:val="none"/>
        </w:rPr>
      </w:pPr>
      <w:r>
        <w:rPr>
          <w:rFonts w:hint="eastAsia"/>
          <w:highlight w:val="none"/>
        </w:rPr>
        <w:t>机电：抗震支吊架、给水管线排布、排水管线排布、机电点位布置、机电预留预埋标准、压槽预留标准、弱电智能化、室内外综合管线（包括设备层管线综合、设备房间）、设备机房、强弱电井、管井、管道</w:t>
      </w:r>
      <w:r>
        <w:rPr>
          <w:highlight w:val="none"/>
        </w:rPr>
        <w:t>转换层</w:t>
      </w:r>
      <w:r>
        <w:rPr>
          <w:rFonts w:hint="eastAsia"/>
          <w:highlight w:val="none"/>
        </w:rPr>
        <w:t>等。</w:t>
      </w:r>
    </w:p>
    <w:p w14:paraId="328DFE98">
      <w:pPr>
        <w:pStyle w:val="6"/>
        <w:numPr>
          <w:ilvl w:val="3"/>
          <w:numId w:val="0"/>
        </w:numPr>
        <w:ind w:left="864" w:leftChars="100" w:hanging="624"/>
        <w:rPr>
          <w:highlight w:val="none"/>
        </w:rPr>
      </w:pPr>
      <w:r>
        <w:rPr>
          <w:rFonts w:hint="eastAsia"/>
          <w:highlight w:val="none"/>
        </w:rPr>
        <w:t>6.3.3.2总承包人</w:t>
      </w:r>
      <w:r>
        <w:rPr>
          <w:highlight w:val="none"/>
        </w:rPr>
        <w:t>协调</w:t>
      </w:r>
      <w:r>
        <w:rPr>
          <w:rFonts w:hint="eastAsia"/>
          <w:highlight w:val="none"/>
        </w:rPr>
        <w:t>的专业承包人</w:t>
      </w:r>
      <w:r>
        <w:rPr>
          <w:highlight w:val="none"/>
        </w:rPr>
        <w:t>深化设计工作，包括但不限于下列内容</w:t>
      </w:r>
      <w:r>
        <w:rPr>
          <w:rFonts w:hint="eastAsia"/>
          <w:highlight w:val="none"/>
        </w:rPr>
        <w:t>：</w:t>
      </w:r>
    </w:p>
    <w:p w14:paraId="52E0CE8D">
      <w:pPr>
        <w:numPr>
          <w:ilvl w:val="0"/>
          <w:numId w:val="16"/>
        </w:numPr>
        <w:ind w:firstLine="480"/>
        <w:rPr>
          <w:highlight w:val="none"/>
        </w:rPr>
      </w:pPr>
      <w:r>
        <w:rPr>
          <w:rFonts w:hint="eastAsia"/>
          <w:highlight w:val="none"/>
        </w:rPr>
        <w:t>土建：铝合金模板（铝模厂家选择及节点深化，包括外墙窗洞口节点、阳台门洞口节点、卫生间、门过梁、构造柱、反坎等）深化、预制构件深化等。</w:t>
      </w:r>
    </w:p>
    <w:p w14:paraId="2321FC22">
      <w:pPr>
        <w:numPr>
          <w:ilvl w:val="0"/>
          <w:numId w:val="16"/>
        </w:numPr>
        <w:ind w:firstLine="480"/>
        <w:rPr>
          <w:highlight w:val="none"/>
        </w:rPr>
      </w:pPr>
      <w:r>
        <w:rPr>
          <w:rFonts w:hint="eastAsia"/>
          <w:highlight w:val="none"/>
        </w:rPr>
        <w:t>门窗：安装节点、加工节点及试验实施图纸等深化。</w:t>
      </w:r>
    </w:p>
    <w:p w14:paraId="78326FBE">
      <w:pPr>
        <w:numPr>
          <w:ilvl w:val="0"/>
          <w:numId w:val="16"/>
        </w:numPr>
        <w:ind w:firstLine="480"/>
        <w:rPr>
          <w:highlight w:val="none"/>
        </w:rPr>
      </w:pPr>
      <w:r>
        <w:rPr>
          <w:rFonts w:hint="eastAsia"/>
          <w:highlight w:val="none"/>
        </w:rPr>
        <w:t>幕墙/外立面：栏杆百叶深化等。</w:t>
      </w:r>
    </w:p>
    <w:p w14:paraId="4D7E7AB3">
      <w:pPr>
        <w:numPr>
          <w:ilvl w:val="0"/>
          <w:numId w:val="16"/>
        </w:numPr>
        <w:ind w:firstLine="480"/>
        <w:rPr>
          <w:highlight w:val="none"/>
        </w:rPr>
      </w:pPr>
      <w:r>
        <w:rPr>
          <w:rFonts w:hint="eastAsia"/>
          <w:highlight w:val="none"/>
        </w:rPr>
        <w:t>标识标牌工程：室内标识、景观标识、门楼标识、交通划线深化等。</w:t>
      </w:r>
    </w:p>
    <w:p w14:paraId="4B1DB2F2">
      <w:pPr>
        <w:pStyle w:val="6"/>
        <w:numPr>
          <w:ilvl w:val="3"/>
          <w:numId w:val="0"/>
        </w:numPr>
        <w:ind w:left="864" w:leftChars="100" w:hanging="624"/>
        <w:rPr>
          <w:highlight w:val="none"/>
        </w:rPr>
      </w:pPr>
      <w:r>
        <w:rPr>
          <w:rFonts w:hint="eastAsia"/>
          <w:highlight w:val="none"/>
        </w:rPr>
        <w:t>6.3.3.3对机电综合</w:t>
      </w:r>
      <w:r>
        <w:rPr>
          <w:highlight w:val="none"/>
        </w:rPr>
        <w:t>管线</w:t>
      </w:r>
      <w:r>
        <w:rPr>
          <w:rFonts w:hint="eastAsia"/>
          <w:highlight w:val="none"/>
        </w:rPr>
        <w:t>深化</w:t>
      </w:r>
      <w:r>
        <w:rPr>
          <w:highlight w:val="none"/>
        </w:rPr>
        <w:t>的详细要求</w:t>
      </w:r>
    </w:p>
    <w:p w14:paraId="23E9F4BF">
      <w:pPr>
        <w:numPr>
          <w:ilvl w:val="0"/>
          <w:numId w:val="17"/>
        </w:numPr>
        <w:spacing w:before="120" w:beforeLines="50" w:after="120" w:afterLines="50"/>
        <w:ind w:left="431" w:firstLine="480"/>
        <w:rPr>
          <w:highlight w:val="none"/>
        </w:rPr>
      </w:pPr>
      <w:r>
        <w:rPr>
          <w:rFonts w:hint="eastAsia"/>
          <w:highlight w:val="none"/>
        </w:rPr>
        <w:t>机电管线的深化需综合考虑机房、管井等管线密集区域中给水、排水、强电、弱电、通风、采暖、消防防排烟系统、消防灭火系统、照明灯具等综合排布，核对地下机电管线间交叉、管道位置和标高是否影响主体结构和行车、停车高度，影响设备及管线的维护，影响人员通行等；管线穿墙部位是否与暗柱、构造柱、圈梁相冲突，防火封堵节点及消防卷帘开启是否与机电管线布置相冲突；集水坑与机电管线的连接部位是否满足使用要求。同时还应考虑有压管线和无压管线的找坡问题等。</w:t>
      </w:r>
    </w:p>
    <w:p w14:paraId="7D4DAB4F">
      <w:pPr>
        <w:numPr>
          <w:ilvl w:val="0"/>
          <w:numId w:val="17"/>
        </w:numPr>
        <w:spacing w:before="120" w:beforeLines="50" w:after="120" w:afterLines="50"/>
        <w:ind w:left="431" w:firstLine="480"/>
        <w:rPr>
          <w:highlight w:val="none"/>
        </w:rPr>
      </w:pPr>
      <w:r>
        <w:rPr>
          <w:rFonts w:hint="eastAsia"/>
          <w:highlight w:val="none"/>
        </w:rPr>
        <w:t>总承包人负责实施综合支吊架、抗震支吊架的深化设计及安装施工。在</w:t>
      </w:r>
      <w:r>
        <w:rPr>
          <w:highlight w:val="none"/>
        </w:rPr>
        <w:t>总承包范围内约定：机电管线集中区域</w:t>
      </w:r>
      <w:r>
        <w:rPr>
          <w:rFonts w:hint="eastAsia"/>
          <w:highlight w:val="none"/>
        </w:rPr>
        <w:t>（空调</w:t>
      </w:r>
      <w:r>
        <w:rPr>
          <w:highlight w:val="none"/>
        </w:rPr>
        <w:t>通风、</w:t>
      </w:r>
      <w:r>
        <w:rPr>
          <w:rFonts w:hint="eastAsia"/>
          <w:highlight w:val="none"/>
        </w:rPr>
        <w:t>给排水</w:t>
      </w:r>
      <w:r>
        <w:rPr>
          <w:highlight w:val="none"/>
        </w:rPr>
        <w:t>、消防、桥架等）由总承包人负责管线综合深化</w:t>
      </w:r>
      <w:r>
        <w:rPr>
          <w:rFonts w:hint="eastAsia"/>
          <w:highlight w:val="none"/>
        </w:rPr>
        <w:t>和联合</w:t>
      </w:r>
      <w:r>
        <w:rPr>
          <w:highlight w:val="none"/>
        </w:rPr>
        <w:t>支吊架的深化</w:t>
      </w:r>
      <w:r>
        <w:rPr>
          <w:rFonts w:hint="eastAsia"/>
          <w:highlight w:val="none"/>
        </w:rPr>
        <w:t>，</w:t>
      </w:r>
      <w:r>
        <w:rPr>
          <w:highlight w:val="none"/>
        </w:rPr>
        <w:t>并负责</w:t>
      </w:r>
      <w:r>
        <w:rPr>
          <w:rFonts w:hint="eastAsia"/>
          <w:highlight w:val="none"/>
        </w:rPr>
        <w:t>供应</w:t>
      </w:r>
      <w:r>
        <w:rPr>
          <w:highlight w:val="none"/>
        </w:rPr>
        <w:t>和安装施工。</w:t>
      </w:r>
      <w:r>
        <w:rPr>
          <w:rFonts w:hint="eastAsia"/>
          <w:highlight w:val="none"/>
        </w:rPr>
        <w:t>非集中</w:t>
      </w:r>
      <w:r>
        <w:rPr>
          <w:highlight w:val="none"/>
        </w:rPr>
        <w:t>区域由各专业管线单位自身负责支吊架的供应和安装。</w:t>
      </w:r>
      <w:r>
        <w:rPr>
          <w:rFonts w:hint="eastAsia"/>
          <w:highlight w:val="none"/>
        </w:rPr>
        <w:t>总承包人</w:t>
      </w:r>
      <w:r>
        <w:rPr>
          <w:highlight w:val="none"/>
        </w:rPr>
        <w:t>应充分消化招标图纸并预估可能发生的综合支吊架的工程量。</w:t>
      </w:r>
    </w:p>
    <w:p w14:paraId="630DBF12">
      <w:pPr>
        <w:pStyle w:val="6"/>
        <w:numPr>
          <w:ilvl w:val="3"/>
          <w:numId w:val="0"/>
        </w:numPr>
        <w:ind w:left="864" w:leftChars="100" w:hanging="624"/>
        <w:rPr>
          <w:highlight w:val="none"/>
        </w:rPr>
      </w:pPr>
      <w:r>
        <w:rPr>
          <w:rFonts w:hint="eastAsia"/>
          <w:highlight w:val="none"/>
        </w:rPr>
        <w:t>6.3.3.4</w:t>
      </w:r>
      <w:r>
        <w:rPr>
          <w:highlight w:val="none"/>
        </w:rPr>
        <w:t>总承包人应提交综合管线</w:t>
      </w:r>
      <w:r>
        <w:rPr>
          <w:rFonts w:hint="eastAsia"/>
          <w:highlight w:val="none"/>
        </w:rPr>
        <w:t>、</w:t>
      </w:r>
      <w:r>
        <w:rPr>
          <w:highlight w:val="none"/>
        </w:rPr>
        <w:t>设备机房、强弱电井</w:t>
      </w:r>
      <w:r>
        <w:rPr>
          <w:rFonts w:hint="eastAsia"/>
          <w:highlight w:val="none"/>
        </w:rPr>
        <w:t>和</w:t>
      </w:r>
      <w:r>
        <w:rPr>
          <w:highlight w:val="none"/>
        </w:rPr>
        <w:t>管道井BIM深化</w:t>
      </w:r>
      <w:r>
        <w:rPr>
          <w:rFonts w:hint="eastAsia"/>
          <w:highlight w:val="none"/>
        </w:rPr>
        <w:t>设计</w:t>
      </w:r>
      <w:r>
        <w:rPr>
          <w:highlight w:val="none"/>
        </w:rPr>
        <w:t>成果</w:t>
      </w:r>
      <w:r>
        <w:rPr>
          <w:rFonts w:hint="eastAsia"/>
          <w:highlight w:val="none"/>
        </w:rPr>
        <w:t>。</w:t>
      </w:r>
    </w:p>
    <w:p w14:paraId="04128052">
      <w:pPr>
        <w:pStyle w:val="6"/>
        <w:numPr>
          <w:ilvl w:val="3"/>
          <w:numId w:val="0"/>
        </w:numPr>
        <w:ind w:left="864" w:leftChars="100" w:hanging="624"/>
        <w:rPr>
          <w:highlight w:val="none"/>
        </w:rPr>
      </w:pPr>
      <w:r>
        <w:rPr>
          <w:rFonts w:hint="eastAsia"/>
          <w:highlight w:val="none"/>
        </w:rPr>
        <w:t>6.3.3.5深化</w:t>
      </w:r>
      <w:r>
        <w:rPr>
          <w:highlight w:val="none"/>
        </w:rPr>
        <w:t>设计</w:t>
      </w:r>
      <w:r>
        <w:rPr>
          <w:rFonts w:hint="eastAsia"/>
          <w:highlight w:val="none"/>
        </w:rPr>
        <w:t>清单</w:t>
      </w:r>
    </w:p>
    <w:p w14:paraId="2D1CB985">
      <w:pPr>
        <w:ind w:firstLine="480"/>
        <w:rPr>
          <w:highlight w:val="none"/>
        </w:rPr>
      </w:pPr>
      <w:r>
        <w:rPr>
          <w:rFonts w:hint="eastAsia"/>
          <w:highlight w:val="none"/>
        </w:rPr>
        <w:t>包括但不限于以下内容：</w:t>
      </w:r>
      <w:r>
        <w:rPr>
          <w:highlight w:val="none"/>
        </w:rPr>
        <w:t xml:space="preserve"> </w:t>
      </w:r>
    </w:p>
    <w:tbl>
      <w:tblPr>
        <w:tblStyle w:val="23"/>
        <w:tblW w:w="4210" w:type="pct"/>
        <w:tblInd w:w="0" w:type="dxa"/>
        <w:tblLayout w:type="autofit"/>
        <w:tblCellMar>
          <w:top w:w="0" w:type="dxa"/>
          <w:left w:w="108" w:type="dxa"/>
          <w:bottom w:w="0" w:type="dxa"/>
          <w:right w:w="108" w:type="dxa"/>
        </w:tblCellMar>
      </w:tblPr>
      <w:tblGrid>
        <w:gridCol w:w="564"/>
        <w:gridCol w:w="846"/>
        <w:gridCol w:w="908"/>
        <w:gridCol w:w="1551"/>
        <w:gridCol w:w="3760"/>
      </w:tblGrid>
      <w:tr w14:paraId="29A46F6E">
        <w:trPr>
          <w:trHeight w:val="6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4D1287CC">
            <w:pPr>
              <w:pStyle w:val="13"/>
              <w:rPr>
                <w:highlight w:val="none"/>
              </w:rPr>
            </w:pPr>
            <w:r>
              <w:rPr>
                <w:rFonts w:hint="eastAsia"/>
                <w:highlight w:val="none"/>
              </w:rPr>
              <w:t>序号</w:t>
            </w:r>
          </w:p>
        </w:tc>
        <w:tc>
          <w:tcPr>
            <w:tcW w:w="554"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6E1E4C63">
            <w:pPr>
              <w:pStyle w:val="13"/>
              <w:rPr>
                <w:highlight w:val="none"/>
              </w:rPr>
            </w:pPr>
            <w:r>
              <w:rPr>
                <w:rFonts w:hint="eastAsia"/>
                <w:highlight w:val="none"/>
              </w:rPr>
              <w:t>施工阶段</w:t>
            </w:r>
          </w:p>
        </w:tc>
        <w:tc>
          <w:tcPr>
            <w:tcW w:w="595"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318715F3">
            <w:pPr>
              <w:pStyle w:val="13"/>
              <w:rPr>
                <w:highlight w:val="none"/>
              </w:rPr>
            </w:pPr>
            <w:r>
              <w:rPr>
                <w:rFonts w:hint="eastAsia"/>
                <w:highlight w:val="none"/>
              </w:rPr>
              <w:t>分部分项工程</w:t>
            </w:r>
          </w:p>
        </w:tc>
        <w:tc>
          <w:tcPr>
            <w:tcW w:w="1016"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10BEDCDB">
            <w:pPr>
              <w:pStyle w:val="13"/>
              <w:rPr>
                <w:highlight w:val="none"/>
              </w:rPr>
            </w:pPr>
            <w:r>
              <w:rPr>
                <w:rFonts w:hint="eastAsia"/>
                <w:highlight w:val="none"/>
              </w:rPr>
              <w:t>图纸深化清单</w:t>
            </w:r>
          </w:p>
        </w:tc>
        <w:tc>
          <w:tcPr>
            <w:tcW w:w="2463" w:type="pct"/>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02BE906E">
            <w:pPr>
              <w:pStyle w:val="13"/>
              <w:rPr>
                <w:highlight w:val="none"/>
              </w:rPr>
            </w:pPr>
            <w:r>
              <w:rPr>
                <w:rFonts w:hint="eastAsia"/>
                <w:highlight w:val="none"/>
              </w:rPr>
              <w:t>图纸深化要求</w:t>
            </w:r>
          </w:p>
        </w:tc>
      </w:tr>
      <w:tr w14:paraId="1735BBF2">
        <w:tblPrEx>
          <w:tblCellMar>
            <w:top w:w="0" w:type="dxa"/>
            <w:left w:w="108" w:type="dxa"/>
            <w:bottom w:w="0" w:type="dxa"/>
            <w:right w:w="108" w:type="dxa"/>
          </w:tblCellMar>
        </w:tblPrEx>
        <w:trPr>
          <w:trHeight w:val="820"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55DC59BC">
            <w:pPr>
              <w:pStyle w:val="13"/>
              <w:rPr>
                <w:highlight w:val="none"/>
              </w:rPr>
            </w:pPr>
            <w:r>
              <w:rPr>
                <w:rFonts w:hint="eastAsia"/>
                <w:highlight w:val="none"/>
              </w:rPr>
              <w:t>1</w:t>
            </w: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3DCDA602">
            <w:pPr>
              <w:pStyle w:val="13"/>
              <w:rPr>
                <w:highlight w:val="none"/>
              </w:rPr>
            </w:pPr>
            <w:r>
              <w:rPr>
                <w:rFonts w:hint="eastAsia"/>
                <w:highlight w:val="none"/>
              </w:rPr>
              <w:t>基础工程</w:t>
            </w:r>
          </w:p>
        </w:tc>
        <w:tc>
          <w:tcPr>
            <w:tcW w:w="595" w:type="pct"/>
            <w:tcBorders>
              <w:top w:val="single" w:color="000000" w:sz="4" w:space="0"/>
              <w:left w:val="single" w:color="000000" w:sz="4" w:space="0"/>
              <w:bottom w:val="single" w:color="000000" w:sz="4" w:space="0"/>
              <w:right w:val="single" w:color="000000" w:sz="4" w:space="0"/>
            </w:tcBorders>
            <w:noWrap w:val="0"/>
            <w:vAlign w:val="center"/>
          </w:tcPr>
          <w:p w14:paraId="282B2218">
            <w:pPr>
              <w:pStyle w:val="13"/>
              <w:rPr>
                <w:highlight w:val="none"/>
              </w:rPr>
            </w:pPr>
            <w:r>
              <w:rPr>
                <w:rFonts w:hint="eastAsia"/>
                <w:highlight w:val="none"/>
              </w:rPr>
              <w:t>基础工程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3EE05C36">
            <w:pPr>
              <w:pStyle w:val="13"/>
              <w:rPr>
                <w:highlight w:val="none"/>
              </w:rPr>
            </w:pPr>
            <w:r>
              <w:rPr>
                <w:rFonts w:hint="eastAsia"/>
                <w:highlight w:val="none"/>
              </w:rPr>
              <w:t>施工总平面布置图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46E78EF1">
            <w:pPr>
              <w:pStyle w:val="13"/>
              <w:rPr>
                <w:highlight w:val="none"/>
              </w:rPr>
            </w:pPr>
            <w:r>
              <w:rPr>
                <w:rFonts w:hint="eastAsia"/>
                <w:highlight w:val="none"/>
              </w:rPr>
              <w:t>1、需包括办公区、临水、临电、道路转换、消防设置、钢筋加工场地、构件吊装场地（如有）、垃圾分类堆场、材料场地、厕所等；</w:t>
            </w:r>
          </w:p>
          <w:p w14:paraId="38B6342A">
            <w:pPr>
              <w:pStyle w:val="13"/>
              <w:rPr>
                <w:highlight w:val="none"/>
              </w:rPr>
            </w:pPr>
            <w:r>
              <w:rPr>
                <w:rFonts w:hint="eastAsia"/>
                <w:highlight w:val="none"/>
              </w:rPr>
              <w:t>2、同时需按阶段进行总平布置更新</w:t>
            </w:r>
          </w:p>
        </w:tc>
      </w:tr>
      <w:tr w14:paraId="23D974DD">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038F3A28">
            <w:pPr>
              <w:pStyle w:val="13"/>
              <w:rPr>
                <w:rFonts w:hint="eastAsia" w:eastAsia="宋体"/>
                <w:highlight w:val="none"/>
                <w:lang w:eastAsia="zh-CN"/>
              </w:rPr>
            </w:pPr>
            <w:r>
              <w:rPr>
                <w:rFonts w:hint="eastAsia"/>
                <w:highlight w:val="none"/>
                <w:lang w:val="en-US" w:eastAsia="zh-CN"/>
              </w:rPr>
              <w:t>2</w:t>
            </w:r>
          </w:p>
        </w:tc>
        <w:tc>
          <w:tcPr>
            <w:tcW w:w="554" w:type="pct"/>
            <w:vMerge w:val="restart"/>
            <w:tcBorders>
              <w:top w:val="single" w:color="000000" w:sz="4" w:space="0"/>
              <w:left w:val="single" w:color="000000" w:sz="4" w:space="0"/>
              <w:bottom w:val="single" w:color="000000" w:sz="4" w:space="0"/>
              <w:right w:val="single" w:color="000000" w:sz="4" w:space="0"/>
            </w:tcBorders>
            <w:noWrap w:val="0"/>
            <w:vAlign w:val="center"/>
          </w:tcPr>
          <w:p w14:paraId="4C5E4784">
            <w:pPr>
              <w:pStyle w:val="13"/>
              <w:rPr>
                <w:highlight w:val="none"/>
              </w:rPr>
            </w:pPr>
            <w:r>
              <w:rPr>
                <w:rFonts w:hint="eastAsia"/>
                <w:highlight w:val="none"/>
              </w:rPr>
              <w:t>单体地上主体结构工程（含钢结构）</w:t>
            </w:r>
          </w:p>
        </w:tc>
        <w:tc>
          <w:tcPr>
            <w:tcW w:w="595" w:type="pct"/>
            <w:vMerge w:val="restart"/>
            <w:tcBorders>
              <w:top w:val="single" w:color="000000" w:sz="4" w:space="0"/>
              <w:left w:val="single" w:color="000000" w:sz="4" w:space="0"/>
              <w:bottom w:val="single" w:color="000000" w:sz="4" w:space="0"/>
              <w:right w:val="single" w:color="000000" w:sz="4" w:space="0"/>
            </w:tcBorders>
            <w:noWrap w:val="0"/>
            <w:vAlign w:val="center"/>
          </w:tcPr>
          <w:p w14:paraId="10E65D1F">
            <w:pPr>
              <w:pStyle w:val="13"/>
              <w:rPr>
                <w:highlight w:val="none"/>
              </w:rPr>
            </w:pPr>
            <w:r>
              <w:rPr>
                <w:rFonts w:hint="eastAsia"/>
                <w:highlight w:val="none"/>
              </w:rPr>
              <w:t>××楼</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7A80C4FB">
            <w:pPr>
              <w:pStyle w:val="13"/>
              <w:rPr>
                <w:highlight w:val="none"/>
              </w:rPr>
            </w:pPr>
            <w:r>
              <w:rPr>
                <w:rFonts w:hint="eastAsia"/>
                <w:highlight w:val="none"/>
              </w:rPr>
              <w:t>装配式构件深化图纸</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308A58D1">
            <w:pPr>
              <w:pStyle w:val="13"/>
              <w:rPr>
                <w:highlight w:val="none"/>
              </w:rPr>
            </w:pPr>
            <w:r>
              <w:rPr>
                <w:rFonts w:hint="eastAsia"/>
                <w:highlight w:val="none"/>
              </w:rPr>
              <w:t>构件吊装孔、安装、灌浆等深化</w:t>
            </w:r>
          </w:p>
        </w:tc>
      </w:tr>
      <w:tr w14:paraId="3865BB56">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5643FCAD">
            <w:pPr>
              <w:pStyle w:val="13"/>
              <w:rPr>
                <w:rFonts w:hint="eastAsia" w:eastAsia="宋体"/>
                <w:highlight w:val="none"/>
                <w:lang w:eastAsia="zh-CN"/>
              </w:rPr>
            </w:pPr>
            <w:r>
              <w:rPr>
                <w:rFonts w:hint="eastAsia"/>
                <w:highlight w:val="none"/>
                <w:lang w:val="en-US" w:eastAsia="zh-CN"/>
              </w:rPr>
              <w:t>3</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30D3A9">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CB9439">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40DDC746">
            <w:pPr>
              <w:pStyle w:val="13"/>
              <w:rPr>
                <w:highlight w:val="none"/>
              </w:rPr>
            </w:pPr>
            <w:r>
              <w:rPr>
                <w:rFonts w:hint="eastAsia"/>
                <w:highlight w:val="none"/>
              </w:rPr>
              <w:t>铝模深化图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0DDA5520">
            <w:pPr>
              <w:pStyle w:val="13"/>
              <w:rPr>
                <w:highlight w:val="none"/>
              </w:rPr>
            </w:pPr>
            <w:r>
              <w:rPr>
                <w:rFonts w:hint="eastAsia"/>
                <w:highlight w:val="none"/>
              </w:rPr>
              <w:t>加固体系、二次结构优化、外墙优化范围、门窗洞口、下挂梁、导墙、预留洞口、滴水线、管道井洞口、企口优化等</w:t>
            </w:r>
          </w:p>
        </w:tc>
      </w:tr>
      <w:tr w14:paraId="52CF1212">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22FB872D">
            <w:pPr>
              <w:pStyle w:val="13"/>
              <w:rPr>
                <w:rFonts w:hint="eastAsia" w:eastAsia="宋体"/>
                <w:highlight w:val="none"/>
                <w:lang w:eastAsia="zh-CN"/>
              </w:rPr>
            </w:pPr>
            <w:r>
              <w:rPr>
                <w:rFonts w:hint="eastAsia"/>
                <w:highlight w:val="none"/>
                <w:lang w:val="en-US" w:eastAsia="zh-CN"/>
              </w:rPr>
              <w:t>4</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7935F2">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CE2045">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282FB62F">
            <w:pPr>
              <w:pStyle w:val="13"/>
              <w:rPr>
                <w:highlight w:val="none"/>
              </w:rPr>
            </w:pPr>
            <w:r>
              <w:rPr>
                <w:rFonts w:hint="eastAsia"/>
                <w:highlight w:val="none"/>
              </w:rPr>
              <w:t>幕墙预埋件深化图（若有）</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3B3554A8">
            <w:pPr>
              <w:pStyle w:val="13"/>
              <w:rPr>
                <w:highlight w:val="none"/>
              </w:rPr>
            </w:pPr>
            <w:r>
              <w:rPr>
                <w:rFonts w:hint="eastAsia"/>
                <w:highlight w:val="none"/>
              </w:rPr>
              <w:t>预埋件形式、定位尺寸、材质要求等</w:t>
            </w:r>
          </w:p>
        </w:tc>
      </w:tr>
      <w:tr w14:paraId="251E95F8">
        <w:tblPrEx>
          <w:tblCellMar>
            <w:top w:w="0" w:type="dxa"/>
            <w:left w:w="108" w:type="dxa"/>
            <w:bottom w:w="0" w:type="dxa"/>
            <w:right w:w="108" w:type="dxa"/>
          </w:tblCellMar>
        </w:tblPrEx>
        <w:trPr>
          <w:trHeight w:val="620"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4AD8B0A1">
            <w:pPr>
              <w:pStyle w:val="13"/>
              <w:rPr>
                <w:rFonts w:hint="eastAsia" w:eastAsia="宋体"/>
                <w:highlight w:val="none"/>
                <w:lang w:eastAsia="zh-CN"/>
              </w:rPr>
            </w:pPr>
            <w:r>
              <w:rPr>
                <w:rFonts w:hint="eastAsia"/>
                <w:highlight w:val="none"/>
                <w:lang w:val="en-US" w:eastAsia="zh-CN"/>
              </w:rPr>
              <w:t>5</w:t>
            </w:r>
          </w:p>
        </w:tc>
        <w:tc>
          <w:tcPr>
            <w:tcW w:w="554" w:type="pct"/>
            <w:vMerge w:val="restart"/>
            <w:tcBorders>
              <w:top w:val="single" w:color="000000" w:sz="4" w:space="0"/>
              <w:left w:val="single" w:color="000000" w:sz="4" w:space="0"/>
              <w:bottom w:val="single" w:color="000000" w:sz="4" w:space="0"/>
              <w:right w:val="single" w:color="000000" w:sz="4" w:space="0"/>
            </w:tcBorders>
            <w:noWrap w:val="0"/>
            <w:vAlign w:val="center"/>
          </w:tcPr>
          <w:p w14:paraId="4AB8FD1E">
            <w:pPr>
              <w:pStyle w:val="13"/>
              <w:rPr>
                <w:highlight w:val="none"/>
              </w:rPr>
            </w:pPr>
            <w:r>
              <w:rPr>
                <w:rFonts w:hint="eastAsia"/>
                <w:highlight w:val="none"/>
              </w:rPr>
              <w:t>二次结构及粗装饰工程</w:t>
            </w:r>
          </w:p>
        </w:tc>
        <w:tc>
          <w:tcPr>
            <w:tcW w:w="595" w:type="pct"/>
            <w:tcBorders>
              <w:top w:val="single" w:color="000000" w:sz="4" w:space="0"/>
              <w:left w:val="single" w:color="000000" w:sz="4" w:space="0"/>
              <w:bottom w:val="single" w:color="000000" w:sz="4" w:space="0"/>
              <w:right w:val="single" w:color="000000" w:sz="4" w:space="0"/>
            </w:tcBorders>
            <w:noWrap w:val="0"/>
            <w:vAlign w:val="center"/>
          </w:tcPr>
          <w:p w14:paraId="668CAD9A">
            <w:pPr>
              <w:pStyle w:val="13"/>
              <w:rPr>
                <w:highlight w:val="none"/>
              </w:rPr>
            </w:pPr>
            <w:r>
              <w:rPr>
                <w:rFonts w:hint="eastAsia"/>
                <w:highlight w:val="none"/>
              </w:rPr>
              <w:t>二次结构工程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00AF0F74">
            <w:pPr>
              <w:pStyle w:val="13"/>
              <w:rPr>
                <w:highlight w:val="none"/>
              </w:rPr>
            </w:pPr>
            <w:r>
              <w:rPr>
                <w:rFonts w:hint="eastAsia"/>
                <w:highlight w:val="none"/>
              </w:rPr>
              <w:t>砌筑/ALC排版图</w:t>
            </w:r>
          </w:p>
          <w:p w14:paraId="5BC73F5F">
            <w:pPr>
              <w:pStyle w:val="13"/>
              <w:rPr>
                <w:highlight w:val="none"/>
              </w:rPr>
            </w:pPr>
            <w:r>
              <w:rPr>
                <w:rFonts w:hint="eastAsia"/>
                <w:highlight w:val="none"/>
              </w:rPr>
              <w:t>（含构造柱、导墙）</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683A31EC">
            <w:pPr>
              <w:pStyle w:val="13"/>
              <w:rPr>
                <w:highlight w:val="none"/>
              </w:rPr>
            </w:pPr>
            <w:r>
              <w:rPr>
                <w:rFonts w:hint="eastAsia"/>
                <w:highlight w:val="none"/>
              </w:rPr>
              <w:t>包含构造柱、导墙在内的砌筑与二次结构深化，其中导墙高度、电箱及开工盒点位、过梁、栏杆与门窗洞口预制块、通缝复核、顶砌、塞缝等</w:t>
            </w:r>
          </w:p>
        </w:tc>
      </w:tr>
      <w:tr w14:paraId="756DB3E9">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6B5AFD72">
            <w:pPr>
              <w:pStyle w:val="13"/>
              <w:rPr>
                <w:rFonts w:hint="eastAsia" w:eastAsia="宋体"/>
                <w:highlight w:val="none"/>
                <w:lang w:eastAsia="zh-CN"/>
              </w:rPr>
            </w:pPr>
            <w:r>
              <w:rPr>
                <w:rFonts w:hint="eastAsia"/>
                <w:highlight w:val="none"/>
                <w:lang w:val="en-US" w:eastAsia="zh-CN"/>
              </w:rPr>
              <w:t>6</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5AF5FF">
            <w:pPr>
              <w:pStyle w:val="13"/>
              <w:rPr>
                <w:highlight w:val="none"/>
              </w:rPr>
            </w:pPr>
          </w:p>
        </w:tc>
        <w:tc>
          <w:tcPr>
            <w:tcW w:w="595" w:type="pct"/>
            <w:vMerge w:val="restart"/>
            <w:tcBorders>
              <w:top w:val="single" w:color="000000" w:sz="4" w:space="0"/>
              <w:left w:val="single" w:color="000000" w:sz="4" w:space="0"/>
              <w:bottom w:val="single" w:color="000000" w:sz="4" w:space="0"/>
              <w:right w:val="single" w:color="000000" w:sz="4" w:space="0"/>
            </w:tcBorders>
            <w:noWrap w:val="0"/>
            <w:vAlign w:val="center"/>
          </w:tcPr>
          <w:p w14:paraId="4819D461">
            <w:pPr>
              <w:pStyle w:val="13"/>
              <w:rPr>
                <w:highlight w:val="none"/>
              </w:rPr>
            </w:pPr>
            <w:r>
              <w:rPr>
                <w:rFonts w:hint="eastAsia"/>
                <w:highlight w:val="none"/>
              </w:rPr>
              <w:t>粗装饰工程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08E606AB">
            <w:pPr>
              <w:pStyle w:val="13"/>
              <w:rPr>
                <w:highlight w:val="none"/>
              </w:rPr>
            </w:pPr>
            <w:r>
              <w:rPr>
                <w:rFonts w:hint="eastAsia"/>
                <w:highlight w:val="none"/>
              </w:rPr>
              <w:t>室内防水节点深化</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7BCC5D83">
            <w:pPr>
              <w:pStyle w:val="13"/>
              <w:rPr>
                <w:highlight w:val="none"/>
              </w:rPr>
            </w:pPr>
            <w:r>
              <w:rPr>
                <w:rFonts w:hint="eastAsia"/>
                <w:highlight w:val="none"/>
              </w:rPr>
              <w:t>室内、公区、屋面等防水做法深化</w:t>
            </w:r>
          </w:p>
        </w:tc>
      </w:tr>
      <w:tr w14:paraId="0A9D494A">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6E78E2CE">
            <w:pPr>
              <w:pStyle w:val="13"/>
              <w:rPr>
                <w:rFonts w:hint="eastAsia" w:eastAsia="宋体"/>
                <w:highlight w:val="none"/>
                <w:lang w:eastAsia="zh-CN"/>
              </w:rPr>
            </w:pPr>
            <w:r>
              <w:rPr>
                <w:rFonts w:hint="eastAsia"/>
                <w:highlight w:val="none"/>
                <w:lang w:val="en-US" w:eastAsia="zh-CN"/>
              </w:rPr>
              <w:t>7</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7707DE">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277675">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59BC28DA">
            <w:pPr>
              <w:pStyle w:val="13"/>
              <w:rPr>
                <w:highlight w:val="none"/>
              </w:rPr>
            </w:pPr>
            <w:r>
              <w:rPr>
                <w:rFonts w:hint="eastAsia"/>
                <w:highlight w:val="none"/>
              </w:rPr>
              <w:t>天沟排布及屋面放坡、伸缩缝排版深化图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5095E388">
            <w:pPr>
              <w:pStyle w:val="13"/>
              <w:rPr>
                <w:highlight w:val="none"/>
              </w:rPr>
            </w:pPr>
            <w:r>
              <w:rPr>
                <w:rFonts w:hint="eastAsia"/>
                <w:highlight w:val="none"/>
              </w:rPr>
              <w:t>屋面防水节点、找坡等深化</w:t>
            </w:r>
          </w:p>
        </w:tc>
      </w:tr>
      <w:tr w14:paraId="71ED93B4">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2E34904E">
            <w:pPr>
              <w:pStyle w:val="13"/>
              <w:rPr>
                <w:rFonts w:hint="eastAsia" w:eastAsia="宋体"/>
                <w:highlight w:val="none"/>
                <w:lang w:eastAsia="zh-CN"/>
              </w:rPr>
            </w:pPr>
            <w:r>
              <w:rPr>
                <w:rFonts w:hint="eastAsia"/>
                <w:highlight w:val="none"/>
                <w:lang w:val="en-US" w:eastAsia="zh-CN"/>
              </w:rPr>
              <w:t>8</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188975">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72DFFB">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0C6D04B9">
            <w:pPr>
              <w:pStyle w:val="13"/>
              <w:rPr>
                <w:highlight w:val="none"/>
              </w:rPr>
            </w:pPr>
            <w:r>
              <w:rPr>
                <w:rFonts w:hint="eastAsia"/>
                <w:highlight w:val="none"/>
              </w:rPr>
              <w:t>地坪深化图（金刚砂、环氧）</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4D218667">
            <w:pPr>
              <w:pStyle w:val="13"/>
              <w:rPr>
                <w:highlight w:val="none"/>
              </w:rPr>
            </w:pPr>
            <w:r>
              <w:rPr>
                <w:rFonts w:hint="eastAsia"/>
                <w:highlight w:val="none"/>
              </w:rPr>
              <w:t>切缝、地坪工序与养护、车位复核等</w:t>
            </w:r>
          </w:p>
        </w:tc>
      </w:tr>
      <w:tr w14:paraId="4065463F">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3C041453">
            <w:pPr>
              <w:pStyle w:val="13"/>
              <w:rPr>
                <w:rFonts w:hint="eastAsia" w:eastAsia="宋体"/>
                <w:highlight w:val="none"/>
                <w:lang w:eastAsia="zh-CN"/>
              </w:rPr>
            </w:pPr>
            <w:r>
              <w:rPr>
                <w:rFonts w:hint="eastAsia"/>
                <w:highlight w:val="none"/>
                <w:lang w:val="en-US" w:eastAsia="zh-CN"/>
              </w:rPr>
              <w:t>9</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48C2FB">
            <w:pPr>
              <w:pStyle w:val="13"/>
              <w:rPr>
                <w:highlight w:val="none"/>
              </w:rPr>
            </w:pPr>
          </w:p>
        </w:tc>
        <w:tc>
          <w:tcPr>
            <w:tcW w:w="595" w:type="pct"/>
            <w:vMerge w:val="restart"/>
            <w:tcBorders>
              <w:top w:val="single" w:color="000000" w:sz="4" w:space="0"/>
              <w:left w:val="single" w:color="000000" w:sz="4" w:space="0"/>
              <w:bottom w:val="single" w:color="000000" w:sz="4" w:space="0"/>
              <w:right w:val="single" w:color="000000" w:sz="4" w:space="0"/>
            </w:tcBorders>
            <w:noWrap w:val="0"/>
            <w:vAlign w:val="center"/>
          </w:tcPr>
          <w:p w14:paraId="7B215EFF">
            <w:pPr>
              <w:pStyle w:val="13"/>
              <w:rPr>
                <w:highlight w:val="none"/>
              </w:rPr>
            </w:pPr>
            <w:r>
              <w:rPr>
                <w:rFonts w:hint="eastAsia"/>
                <w:highlight w:val="none"/>
              </w:rPr>
              <w:t>门窗工程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4A1EA369">
            <w:pPr>
              <w:pStyle w:val="13"/>
              <w:rPr>
                <w:highlight w:val="none"/>
              </w:rPr>
            </w:pPr>
            <w:r>
              <w:rPr>
                <w:rFonts w:hint="eastAsia"/>
                <w:highlight w:val="none"/>
              </w:rPr>
              <w:t>门窗深化图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304E969B">
            <w:pPr>
              <w:pStyle w:val="13"/>
              <w:rPr>
                <w:highlight w:val="none"/>
              </w:rPr>
            </w:pPr>
            <w:r>
              <w:rPr>
                <w:rFonts w:hint="eastAsia"/>
                <w:highlight w:val="none"/>
              </w:rPr>
              <w:t>型材要求、洞口预留、门窗表、防水节点、五金件、儿童锁、连接固定、塞缝做法、玻璃规格、节能要求等</w:t>
            </w:r>
          </w:p>
        </w:tc>
      </w:tr>
      <w:tr w14:paraId="2D2A7D06">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172130C4">
            <w:pPr>
              <w:pStyle w:val="13"/>
              <w:rPr>
                <w:rFonts w:hint="default" w:eastAsia="宋体"/>
                <w:highlight w:val="none"/>
                <w:lang w:val="en-US" w:eastAsia="zh-CN"/>
              </w:rPr>
            </w:pPr>
            <w:r>
              <w:rPr>
                <w:rFonts w:hint="eastAsia"/>
                <w:highlight w:val="none"/>
                <w:lang w:val="en-US" w:eastAsia="zh-CN"/>
              </w:rPr>
              <w:t>10</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C6D3D2">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CDD415">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08F3F1F0">
            <w:pPr>
              <w:pStyle w:val="13"/>
              <w:rPr>
                <w:highlight w:val="none"/>
              </w:rPr>
            </w:pPr>
            <w:r>
              <w:rPr>
                <w:rFonts w:hint="eastAsia"/>
                <w:highlight w:val="none"/>
              </w:rPr>
              <w:t>防火门、入户门深化图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0461C345">
            <w:pPr>
              <w:pStyle w:val="13"/>
              <w:rPr>
                <w:highlight w:val="none"/>
              </w:rPr>
            </w:pPr>
            <w:r>
              <w:rPr>
                <w:rFonts w:hint="eastAsia"/>
                <w:highlight w:val="none"/>
              </w:rPr>
              <w:t>洞口预留、开启方向与角度、疏散宽度、门锁、闭门器形式等五金选用、耐火性能、填充材料等</w:t>
            </w:r>
          </w:p>
        </w:tc>
      </w:tr>
      <w:tr w14:paraId="32AF5CAB">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3154892C">
            <w:pPr>
              <w:pStyle w:val="13"/>
              <w:rPr>
                <w:rFonts w:hint="default" w:eastAsia="宋体"/>
                <w:highlight w:val="none"/>
                <w:lang w:val="en-US" w:eastAsia="zh-CN"/>
              </w:rPr>
            </w:pPr>
            <w:r>
              <w:rPr>
                <w:rFonts w:hint="eastAsia"/>
                <w:highlight w:val="none"/>
                <w:lang w:val="en-US" w:eastAsia="zh-CN"/>
              </w:rPr>
              <w:t>11</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40ACED">
            <w:pPr>
              <w:pStyle w:val="13"/>
              <w:rPr>
                <w:highlight w:val="none"/>
              </w:rPr>
            </w:pPr>
          </w:p>
        </w:tc>
        <w:tc>
          <w:tcPr>
            <w:tcW w:w="595" w:type="pct"/>
            <w:tcBorders>
              <w:top w:val="single" w:color="000000" w:sz="4" w:space="0"/>
              <w:left w:val="single" w:color="000000" w:sz="4" w:space="0"/>
              <w:bottom w:val="single" w:color="000000" w:sz="4" w:space="0"/>
              <w:right w:val="single" w:color="000000" w:sz="4" w:space="0"/>
            </w:tcBorders>
            <w:noWrap w:val="0"/>
            <w:vAlign w:val="center"/>
          </w:tcPr>
          <w:p w14:paraId="4F47D51D">
            <w:pPr>
              <w:pStyle w:val="13"/>
              <w:rPr>
                <w:highlight w:val="none"/>
              </w:rPr>
            </w:pPr>
            <w:r>
              <w:rPr>
                <w:rFonts w:hint="eastAsia"/>
                <w:highlight w:val="none"/>
              </w:rPr>
              <w:t>土建机房移交机电</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4D052638">
            <w:pPr>
              <w:pStyle w:val="13"/>
              <w:rPr>
                <w:highlight w:val="none"/>
              </w:rPr>
            </w:pPr>
            <w:r>
              <w:rPr>
                <w:rFonts w:hint="eastAsia"/>
                <w:highlight w:val="none"/>
              </w:rPr>
              <w:t>机房机电深化图（含配电房）</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17937831">
            <w:pPr>
              <w:pStyle w:val="13"/>
              <w:rPr>
                <w:highlight w:val="none"/>
              </w:rPr>
            </w:pPr>
            <w:r>
              <w:rPr>
                <w:rFonts w:hint="eastAsia"/>
                <w:highlight w:val="none"/>
              </w:rPr>
              <w:t>设备选型、基础定位与形式、吊装运输洞口、土建预留预埋、机电管线综合等</w:t>
            </w:r>
          </w:p>
        </w:tc>
      </w:tr>
      <w:tr w14:paraId="729B280E">
        <w:tblPrEx>
          <w:tblCellMar>
            <w:top w:w="0" w:type="dxa"/>
            <w:left w:w="108" w:type="dxa"/>
            <w:bottom w:w="0" w:type="dxa"/>
            <w:right w:w="108" w:type="dxa"/>
          </w:tblCellMar>
        </w:tblPrEx>
        <w:trPr>
          <w:trHeight w:val="878"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2C388F87">
            <w:pPr>
              <w:pStyle w:val="13"/>
              <w:rPr>
                <w:rFonts w:hint="eastAsia" w:eastAsia="宋体"/>
                <w:highlight w:val="none"/>
                <w:lang w:eastAsia="zh-CN"/>
              </w:rPr>
            </w:pPr>
            <w:r>
              <w:rPr>
                <w:rFonts w:hint="eastAsia"/>
                <w:highlight w:val="none"/>
              </w:rPr>
              <w:t>1</w:t>
            </w:r>
            <w:r>
              <w:rPr>
                <w:rFonts w:hint="eastAsia"/>
                <w:highlight w:val="none"/>
                <w:lang w:val="en-US" w:eastAsia="zh-CN"/>
              </w:rPr>
              <w:t>2</w:t>
            </w:r>
          </w:p>
        </w:tc>
        <w:tc>
          <w:tcPr>
            <w:tcW w:w="554" w:type="pct"/>
            <w:vMerge w:val="restart"/>
            <w:tcBorders>
              <w:top w:val="single" w:color="000000" w:sz="4" w:space="0"/>
              <w:left w:val="single" w:color="000000" w:sz="4" w:space="0"/>
              <w:bottom w:val="single" w:color="000000" w:sz="4" w:space="0"/>
              <w:right w:val="single" w:color="000000" w:sz="4" w:space="0"/>
            </w:tcBorders>
            <w:noWrap w:val="0"/>
            <w:vAlign w:val="center"/>
          </w:tcPr>
          <w:p w14:paraId="5971CAB7">
            <w:pPr>
              <w:pStyle w:val="13"/>
              <w:rPr>
                <w:highlight w:val="none"/>
              </w:rPr>
            </w:pPr>
            <w:r>
              <w:rPr>
                <w:rFonts w:hint="eastAsia"/>
                <w:highlight w:val="none"/>
              </w:rPr>
              <w:t>外立面工程</w:t>
            </w:r>
          </w:p>
        </w:tc>
        <w:tc>
          <w:tcPr>
            <w:tcW w:w="595" w:type="pct"/>
            <w:vMerge w:val="restart"/>
            <w:tcBorders>
              <w:top w:val="single" w:color="000000" w:sz="4" w:space="0"/>
              <w:left w:val="single" w:color="000000" w:sz="4" w:space="0"/>
              <w:bottom w:val="single" w:color="000000" w:sz="4" w:space="0"/>
              <w:right w:val="single" w:color="000000" w:sz="4" w:space="0"/>
            </w:tcBorders>
            <w:noWrap w:val="0"/>
            <w:vAlign w:val="center"/>
          </w:tcPr>
          <w:p w14:paraId="313EDA55">
            <w:pPr>
              <w:pStyle w:val="13"/>
              <w:rPr>
                <w:highlight w:val="none"/>
              </w:rPr>
            </w:pPr>
            <w:r>
              <w:rPr>
                <w:rFonts w:hint="eastAsia"/>
                <w:highlight w:val="none"/>
              </w:rPr>
              <w:t>外装饰工程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3DA85609">
            <w:pPr>
              <w:pStyle w:val="13"/>
              <w:rPr>
                <w:highlight w:val="none"/>
              </w:rPr>
            </w:pPr>
            <w:r>
              <w:rPr>
                <w:rFonts w:hint="eastAsia"/>
                <w:highlight w:val="none"/>
              </w:rPr>
              <w:t>外立面幕墙深化图</w:t>
            </w:r>
          </w:p>
          <w:p w14:paraId="15199ED4">
            <w:pPr>
              <w:pStyle w:val="13"/>
              <w:rPr>
                <w:highlight w:val="none"/>
              </w:rPr>
            </w:pPr>
            <w:r>
              <w:rPr>
                <w:rFonts w:hint="eastAsia"/>
                <w:highlight w:val="none"/>
              </w:rPr>
              <w:t>(含单元门头、屋面花架深化）</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240B2CD1">
            <w:pPr>
              <w:pStyle w:val="13"/>
              <w:rPr>
                <w:highlight w:val="none"/>
              </w:rPr>
            </w:pPr>
            <w:r>
              <w:rPr>
                <w:rFonts w:hint="eastAsia"/>
                <w:highlight w:val="none"/>
              </w:rPr>
              <w:t>结构体系、材料选择、耐火、防渗漏节点、龙骨和面板规格、连接节点、保温、玻璃性能、胶类材质、五金配件、表面处理、不同界面收口做法、开模等</w:t>
            </w:r>
          </w:p>
        </w:tc>
      </w:tr>
      <w:tr w14:paraId="6113BDF2">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030D7014">
            <w:pPr>
              <w:pStyle w:val="13"/>
              <w:rPr>
                <w:rFonts w:hint="eastAsia" w:eastAsia="宋体"/>
                <w:highlight w:val="none"/>
                <w:lang w:eastAsia="zh-CN"/>
              </w:rPr>
            </w:pPr>
            <w:r>
              <w:rPr>
                <w:rFonts w:hint="eastAsia"/>
                <w:highlight w:val="none"/>
              </w:rPr>
              <w:t>1</w:t>
            </w:r>
            <w:r>
              <w:rPr>
                <w:rFonts w:hint="eastAsia"/>
                <w:highlight w:val="none"/>
                <w:lang w:val="en-US" w:eastAsia="zh-CN"/>
              </w:rPr>
              <w:t>3</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C9BBC5">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3414A8">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19D19BFF">
            <w:pPr>
              <w:pStyle w:val="13"/>
              <w:rPr>
                <w:highlight w:val="none"/>
              </w:rPr>
            </w:pPr>
            <w:r>
              <w:rPr>
                <w:rFonts w:hint="eastAsia"/>
                <w:highlight w:val="none"/>
              </w:rPr>
              <w:t>外立面涂料深化图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7EE25956">
            <w:pPr>
              <w:pStyle w:val="13"/>
              <w:rPr>
                <w:highlight w:val="none"/>
              </w:rPr>
            </w:pPr>
            <w:r>
              <w:rPr>
                <w:rFonts w:hint="eastAsia"/>
                <w:highlight w:val="none"/>
              </w:rPr>
              <w:t>颜色、缝宽等分隔形式、材料规格、保温做法、涂布率等</w:t>
            </w:r>
          </w:p>
        </w:tc>
      </w:tr>
      <w:tr w14:paraId="5AB9CED5">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5316A700">
            <w:pPr>
              <w:pStyle w:val="13"/>
              <w:rPr>
                <w:rFonts w:hint="eastAsia" w:eastAsia="宋体"/>
                <w:highlight w:val="none"/>
                <w:lang w:eastAsia="zh-CN"/>
              </w:rPr>
            </w:pPr>
            <w:r>
              <w:rPr>
                <w:rFonts w:hint="eastAsia"/>
                <w:highlight w:val="none"/>
              </w:rPr>
              <w:t>1</w:t>
            </w:r>
            <w:r>
              <w:rPr>
                <w:rFonts w:hint="eastAsia"/>
                <w:highlight w:val="none"/>
                <w:lang w:val="en-US" w:eastAsia="zh-CN"/>
              </w:rPr>
              <w:t>4</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3833C8">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579B93">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08616ADB">
            <w:pPr>
              <w:pStyle w:val="13"/>
              <w:rPr>
                <w:highlight w:val="none"/>
              </w:rPr>
            </w:pPr>
            <w:r>
              <w:rPr>
                <w:rFonts w:hint="eastAsia"/>
                <w:highlight w:val="none"/>
              </w:rPr>
              <w:t>栏杆、百叶深化图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1099FF2E">
            <w:pPr>
              <w:pStyle w:val="13"/>
              <w:rPr>
                <w:highlight w:val="none"/>
              </w:rPr>
            </w:pPr>
            <w:r>
              <w:rPr>
                <w:rFonts w:hint="eastAsia"/>
                <w:highlight w:val="none"/>
              </w:rPr>
              <w:t>固定位置与节点、扶手、材质规格、间距、百叶开启形式等</w:t>
            </w:r>
          </w:p>
        </w:tc>
      </w:tr>
      <w:tr w14:paraId="7CD980C4">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64B6C085">
            <w:pPr>
              <w:pStyle w:val="13"/>
              <w:rPr>
                <w:rFonts w:hint="eastAsia" w:eastAsia="宋体"/>
                <w:highlight w:val="none"/>
                <w:lang w:eastAsia="zh-CN"/>
              </w:rPr>
            </w:pPr>
            <w:r>
              <w:rPr>
                <w:rFonts w:hint="eastAsia"/>
                <w:highlight w:val="none"/>
              </w:rPr>
              <w:t>1</w:t>
            </w:r>
            <w:r>
              <w:rPr>
                <w:rFonts w:hint="eastAsia"/>
                <w:highlight w:val="none"/>
                <w:lang w:val="en-US" w:eastAsia="zh-CN"/>
              </w:rPr>
              <w:t>5</w:t>
            </w:r>
          </w:p>
        </w:tc>
        <w:tc>
          <w:tcPr>
            <w:tcW w:w="554" w:type="pct"/>
            <w:vMerge w:val="restart"/>
            <w:tcBorders>
              <w:top w:val="single" w:color="000000" w:sz="4" w:space="0"/>
              <w:left w:val="single" w:color="000000" w:sz="4" w:space="0"/>
              <w:bottom w:val="single" w:color="000000" w:sz="4" w:space="0"/>
              <w:right w:val="single" w:color="000000" w:sz="4" w:space="0"/>
            </w:tcBorders>
            <w:noWrap w:val="0"/>
            <w:vAlign w:val="center"/>
          </w:tcPr>
          <w:p w14:paraId="2FFA700D">
            <w:pPr>
              <w:pStyle w:val="13"/>
              <w:rPr>
                <w:highlight w:val="none"/>
              </w:rPr>
            </w:pPr>
            <w:r>
              <w:rPr>
                <w:rFonts w:hint="eastAsia"/>
                <w:highlight w:val="none"/>
              </w:rPr>
              <w:t>机电、配套工程</w:t>
            </w:r>
          </w:p>
        </w:tc>
        <w:tc>
          <w:tcPr>
            <w:tcW w:w="595" w:type="pct"/>
            <w:vMerge w:val="restart"/>
            <w:tcBorders>
              <w:top w:val="single" w:color="000000" w:sz="4" w:space="0"/>
              <w:left w:val="single" w:color="000000" w:sz="4" w:space="0"/>
              <w:bottom w:val="nil"/>
              <w:right w:val="single" w:color="000000" w:sz="4" w:space="0"/>
            </w:tcBorders>
            <w:noWrap w:val="0"/>
            <w:vAlign w:val="center"/>
          </w:tcPr>
          <w:p w14:paraId="5A2437F5">
            <w:pPr>
              <w:pStyle w:val="13"/>
              <w:rPr>
                <w:highlight w:val="none"/>
              </w:rPr>
            </w:pPr>
            <w:r>
              <w:rPr>
                <w:rFonts w:hint="eastAsia"/>
                <w:highlight w:val="none"/>
              </w:rPr>
              <w:t>机电综合</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610A148F">
            <w:pPr>
              <w:pStyle w:val="13"/>
              <w:rPr>
                <w:highlight w:val="none"/>
              </w:rPr>
            </w:pPr>
            <w:r>
              <w:rPr>
                <w:rFonts w:hint="eastAsia"/>
                <w:highlight w:val="none"/>
              </w:rPr>
              <w:t>抗震支架深化图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6FEF61E3">
            <w:pPr>
              <w:pStyle w:val="13"/>
              <w:rPr>
                <w:highlight w:val="none"/>
              </w:rPr>
            </w:pPr>
            <w:r>
              <w:rPr>
                <w:rFonts w:hint="eastAsia"/>
                <w:highlight w:val="none"/>
              </w:rPr>
              <w:t>综合管网、防火分区等</w:t>
            </w:r>
          </w:p>
        </w:tc>
      </w:tr>
      <w:tr w14:paraId="5DC433F2">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1CF37549">
            <w:pPr>
              <w:pStyle w:val="13"/>
              <w:rPr>
                <w:rFonts w:hint="eastAsia" w:eastAsia="宋体"/>
                <w:highlight w:val="none"/>
                <w:lang w:eastAsia="zh-CN"/>
              </w:rPr>
            </w:pPr>
            <w:r>
              <w:rPr>
                <w:rFonts w:hint="eastAsia"/>
                <w:highlight w:val="none"/>
              </w:rPr>
              <w:t>1</w:t>
            </w:r>
            <w:r>
              <w:rPr>
                <w:rFonts w:hint="eastAsia"/>
                <w:highlight w:val="none"/>
                <w:lang w:val="en-US" w:eastAsia="zh-CN"/>
              </w:rPr>
              <w:t>6</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081A76">
            <w:pPr>
              <w:pStyle w:val="13"/>
              <w:rPr>
                <w:highlight w:val="none"/>
              </w:rPr>
            </w:pPr>
          </w:p>
        </w:tc>
        <w:tc>
          <w:tcPr>
            <w:tcW w:w="595" w:type="pct"/>
            <w:vMerge w:val="continue"/>
            <w:tcBorders>
              <w:top w:val="single" w:color="000000" w:sz="4" w:space="0"/>
              <w:left w:val="single" w:color="000000" w:sz="4" w:space="0"/>
              <w:bottom w:val="nil"/>
              <w:right w:val="single" w:color="000000" w:sz="4" w:space="0"/>
            </w:tcBorders>
            <w:noWrap w:val="0"/>
            <w:vAlign w:val="center"/>
          </w:tcPr>
          <w:p w14:paraId="2A10D7BE">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70B93807">
            <w:pPr>
              <w:pStyle w:val="13"/>
              <w:rPr>
                <w:highlight w:val="none"/>
              </w:rPr>
            </w:pPr>
            <w:r>
              <w:rPr>
                <w:rFonts w:hint="eastAsia"/>
                <w:highlight w:val="none"/>
              </w:rPr>
              <w:t>综合管线深化</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47BEFAB9">
            <w:pPr>
              <w:pStyle w:val="13"/>
              <w:rPr>
                <w:highlight w:val="none"/>
              </w:rPr>
            </w:pPr>
            <w:r>
              <w:rPr>
                <w:rFonts w:hint="eastAsia"/>
                <w:highlight w:val="none"/>
              </w:rPr>
              <w:t>综合管线需综合考虑机电各专业排布及检修</w:t>
            </w:r>
          </w:p>
        </w:tc>
      </w:tr>
      <w:tr w14:paraId="1355D1D0">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1F9FB04A">
            <w:pPr>
              <w:pStyle w:val="13"/>
              <w:rPr>
                <w:rFonts w:hint="eastAsia" w:eastAsia="宋体"/>
                <w:highlight w:val="none"/>
                <w:lang w:eastAsia="zh-CN"/>
              </w:rPr>
            </w:pPr>
            <w:r>
              <w:rPr>
                <w:rFonts w:hint="eastAsia"/>
                <w:highlight w:val="none"/>
              </w:rPr>
              <w:t>1</w:t>
            </w:r>
            <w:r>
              <w:rPr>
                <w:rFonts w:hint="eastAsia"/>
                <w:highlight w:val="none"/>
                <w:lang w:val="en-US" w:eastAsia="zh-CN"/>
              </w:rPr>
              <w:t>7</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0BD7A9">
            <w:pPr>
              <w:pStyle w:val="13"/>
              <w:rPr>
                <w:highlight w:val="none"/>
              </w:rPr>
            </w:pPr>
          </w:p>
        </w:tc>
        <w:tc>
          <w:tcPr>
            <w:tcW w:w="595" w:type="pct"/>
            <w:vMerge w:val="restart"/>
            <w:tcBorders>
              <w:top w:val="single" w:color="000000" w:sz="4" w:space="0"/>
              <w:left w:val="single" w:color="000000" w:sz="4" w:space="0"/>
              <w:bottom w:val="single" w:color="000000" w:sz="4" w:space="0"/>
              <w:right w:val="single" w:color="000000" w:sz="4" w:space="0"/>
            </w:tcBorders>
            <w:noWrap w:val="0"/>
            <w:vAlign w:val="center"/>
          </w:tcPr>
          <w:p w14:paraId="2CBEE738">
            <w:pPr>
              <w:pStyle w:val="13"/>
              <w:rPr>
                <w:highlight w:val="none"/>
              </w:rPr>
            </w:pPr>
            <w:r>
              <w:rPr>
                <w:rFonts w:hint="eastAsia"/>
                <w:highlight w:val="none"/>
              </w:rPr>
              <w:t>水暖及电气工程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44A0D844">
            <w:pPr>
              <w:pStyle w:val="13"/>
              <w:rPr>
                <w:highlight w:val="none"/>
              </w:rPr>
            </w:pPr>
            <w:r>
              <w:rPr>
                <w:rFonts w:hint="eastAsia"/>
                <w:highlight w:val="none"/>
              </w:rPr>
              <w:t>重要设备机房设备管线深化图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06A545CD">
            <w:pPr>
              <w:pStyle w:val="13"/>
              <w:rPr>
                <w:highlight w:val="none"/>
              </w:rPr>
            </w:pPr>
            <w:r>
              <w:rPr>
                <w:rFonts w:hint="eastAsia"/>
                <w:highlight w:val="none"/>
              </w:rPr>
              <w:t>空调机房、制冷机房、柴发机房、变配电房、给水泵房、换热或锅炉机房等（如有）</w:t>
            </w:r>
          </w:p>
        </w:tc>
      </w:tr>
      <w:tr w14:paraId="00A56751">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08D33992">
            <w:pPr>
              <w:pStyle w:val="13"/>
              <w:rPr>
                <w:rFonts w:hint="default" w:eastAsia="宋体"/>
                <w:highlight w:val="none"/>
                <w:lang w:val="en-US" w:eastAsia="zh-CN"/>
              </w:rPr>
            </w:pPr>
            <w:r>
              <w:rPr>
                <w:rFonts w:hint="eastAsia"/>
                <w:highlight w:val="none"/>
                <w:lang w:val="en-US" w:eastAsia="zh-CN"/>
              </w:rPr>
              <w:t>18</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727E3D">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4C1796">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2D5F8299">
            <w:pPr>
              <w:pStyle w:val="13"/>
              <w:rPr>
                <w:highlight w:val="none"/>
              </w:rPr>
            </w:pPr>
            <w:r>
              <w:rPr>
                <w:rFonts w:hint="eastAsia"/>
                <w:highlight w:val="none"/>
              </w:rPr>
              <w:t>楼层机电综合管线深化图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03C9F8E2">
            <w:pPr>
              <w:pStyle w:val="13"/>
              <w:rPr>
                <w:highlight w:val="none"/>
              </w:rPr>
            </w:pPr>
            <w:r>
              <w:rPr>
                <w:rFonts w:hint="eastAsia"/>
                <w:highlight w:val="none"/>
              </w:rPr>
              <w:t>主要为公共区域天花内机电各专业管线排布、设备层机电综合管线、竖向管井管道排布</w:t>
            </w:r>
          </w:p>
        </w:tc>
      </w:tr>
      <w:tr w14:paraId="2E3D085E">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20DAFE19">
            <w:pPr>
              <w:pStyle w:val="13"/>
              <w:rPr>
                <w:rFonts w:hint="default" w:eastAsia="宋体"/>
                <w:highlight w:val="none"/>
                <w:lang w:val="en-US" w:eastAsia="zh-CN"/>
              </w:rPr>
            </w:pPr>
            <w:r>
              <w:rPr>
                <w:rFonts w:hint="eastAsia"/>
                <w:highlight w:val="none"/>
                <w:lang w:val="en-US" w:eastAsia="zh-CN"/>
              </w:rPr>
              <w:t>19</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047B9E">
            <w:pPr>
              <w:pStyle w:val="13"/>
              <w:rPr>
                <w:highlight w:val="none"/>
              </w:rPr>
            </w:pPr>
          </w:p>
        </w:tc>
        <w:tc>
          <w:tcPr>
            <w:tcW w:w="595" w:type="pct"/>
            <w:vMerge w:val="restart"/>
            <w:tcBorders>
              <w:top w:val="single" w:color="000000" w:sz="4" w:space="0"/>
              <w:left w:val="single" w:color="000000" w:sz="4" w:space="0"/>
              <w:bottom w:val="single" w:color="000000" w:sz="4" w:space="0"/>
              <w:right w:val="single" w:color="000000" w:sz="4" w:space="0"/>
            </w:tcBorders>
            <w:noWrap w:val="0"/>
            <w:vAlign w:val="center"/>
          </w:tcPr>
          <w:p w14:paraId="1BC41CF7">
            <w:pPr>
              <w:pStyle w:val="13"/>
              <w:rPr>
                <w:highlight w:val="none"/>
              </w:rPr>
            </w:pPr>
            <w:r>
              <w:rPr>
                <w:rFonts w:hint="eastAsia"/>
                <w:highlight w:val="none"/>
              </w:rPr>
              <w:t>消防工程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766677A6">
            <w:pPr>
              <w:pStyle w:val="13"/>
              <w:rPr>
                <w:highlight w:val="none"/>
              </w:rPr>
            </w:pPr>
            <w:r>
              <w:rPr>
                <w:rFonts w:hint="eastAsia"/>
                <w:highlight w:val="none"/>
              </w:rPr>
              <w:t>消防系统深化图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34C60557">
            <w:pPr>
              <w:pStyle w:val="13"/>
              <w:rPr>
                <w:highlight w:val="none"/>
              </w:rPr>
            </w:pPr>
          </w:p>
        </w:tc>
      </w:tr>
      <w:tr w14:paraId="4D16A554">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4BDE1890">
            <w:pPr>
              <w:pStyle w:val="13"/>
              <w:rPr>
                <w:rFonts w:hint="eastAsia" w:eastAsia="宋体"/>
                <w:highlight w:val="none"/>
                <w:lang w:eastAsia="zh-CN"/>
              </w:rPr>
            </w:pPr>
            <w:r>
              <w:rPr>
                <w:rFonts w:hint="eastAsia"/>
                <w:highlight w:val="none"/>
              </w:rPr>
              <w:t>2</w:t>
            </w:r>
            <w:r>
              <w:rPr>
                <w:rFonts w:hint="eastAsia"/>
                <w:highlight w:val="none"/>
                <w:lang w:val="en-US" w:eastAsia="zh-CN"/>
              </w:rPr>
              <w:t>0</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86BA1C">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34A057">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22F73EC8">
            <w:pPr>
              <w:pStyle w:val="13"/>
              <w:rPr>
                <w:highlight w:val="none"/>
              </w:rPr>
            </w:pPr>
            <w:r>
              <w:rPr>
                <w:rFonts w:hint="eastAsia"/>
                <w:highlight w:val="none"/>
              </w:rPr>
              <w:t>防火卷帘深化图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2EBF1FBD">
            <w:pPr>
              <w:pStyle w:val="13"/>
              <w:rPr>
                <w:highlight w:val="none"/>
              </w:rPr>
            </w:pPr>
          </w:p>
        </w:tc>
      </w:tr>
      <w:tr w14:paraId="142945BA">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198483CC">
            <w:pPr>
              <w:pStyle w:val="13"/>
              <w:rPr>
                <w:rFonts w:hint="default" w:eastAsia="宋体"/>
                <w:highlight w:val="none"/>
                <w:lang w:val="en-US" w:eastAsia="zh-CN"/>
              </w:rPr>
            </w:pPr>
            <w:r>
              <w:rPr>
                <w:rFonts w:hint="eastAsia"/>
                <w:highlight w:val="none"/>
                <w:lang w:val="en-US" w:eastAsia="zh-CN"/>
              </w:rPr>
              <w:t>21</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617145">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AA293E">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1D0A254F">
            <w:pPr>
              <w:pStyle w:val="13"/>
              <w:rPr>
                <w:highlight w:val="none"/>
              </w:rPr>
            </w:pPr>
            <w:r>
              <w:rPr>
                <w:rFonts w:hint="eastAsia"/>
                <w:highlight w:val="none"/>
              </w:rPr>
              <w:t>消控室、消防泵房深化图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1F929AE9">
            <w:pPr>
              <w:pStyle w:val="13"/>
              <w:rPr>
                <w:highlight w:val="none"/>
              </w:rPr>
            </w:pPr>
            <w:r>
              <w:rPr>
                <w:rFonts w:hint="eastAsia"/>
                <w:highlight w:val="none"/>
              </w:rPr>
              <w:t>设备参数、设备排布、需考虑机房内全专业管线综合排布</w:t>
            </w:r>
          </w:p>
        </w:tc>
      </w:tr>
      <w:tr w14:paraId="44ACC42F">
        <w:tblPrEx>
          <w:tblCellMar>
            <w:top w:w="0" w:type="dxa"/>
            <w:left w:w="108" w:type="dxa"/>
            <w:bottom w:w="0" w:type="dxa"/>
            <w:right w:w="108" w:type="dxa"/>
          </w:tblCellMar>
        </w:tblPrEx>
        <w:trPr>
          <w:trHeight w:val="585"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11570BAE">
            <w:pPr>
              <w:pStyle w:val="13"/>
              <w:rPr>
                <w:rFonts w:hint="default" w:eastAsia="宋体"/>
                <w:highlight w:val="none"/>
                <w:lang w:val="en-US" w:eastAsia="zh-CN"/>
              </w:rPr>
            </w:pPr>
            <w:r>
              <w:rPr>
                <w:rFonts w:hint="eastAsia"/>
                <w:highlight w:val="none"/>
                <w:lang w:val="en-US" w:eastAsia="zh-CN"/>
              </w:rPr>
              <w:t>22</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40D16D">
            <w:pPr>
              <w:pStyle w:val="13"/>
              <w:rPr>
                <w:highlight w:val="none"/>
              </w:rPr>
            </w:pPr>
          </w:p>
        </w:tc>
        <w:tc>
          <w:tcPr>
            <w:tcW w:w="595" w:type="pct"/>
            <w:tcBorders>
              <w:top w:val="single" w:color="000000" w:sz="4" w:space="0"/>
              <w:left w:val="single" w:color="000000" w:sz="4" w:space="0"/>
              <w:bottom w:val="single" w:color="000000" w:sz="4" w:space="0"/>
              <w:right w:val="single" w:color="000000" w:sz="4" w:space="0"/>
            </w:tcBorders>
            <w:noWrap w:val="0"/>
            <w:vAlign w:val="center"/>
          </w:tcPr>
          <w:p w14:paraId="7A2353A9">
            <w:pPr>
              <w:pStyle w:val="13"/>
              <w:rPr>
                <w:highlight w:val="none"/>
              </w:rPr>
            </w:pPr>
            <w:r>
              <w:rPr>
                <w:rFonts w:hint="eastAsia"/>
                <w:highlight w:val="none"/>
              </w:rPr>
              <w:t>智能化工程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13854EF9">
            <w:pPr>
              <w:pStyle w:val="13"/>
              <w:rPr>
                <w:highlight w:val="none"/>
              </w:rPr>
            </w:pPr>
            <w:r>
              <w:rPr>
                <w:rFonts w:hint="eastAsia"/>
                <w:highlight w:val="none"/>
              </w:rPr>
              <w:t>智能化深化图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4D3BD529">
            <w:pPr>
              <w:pStyle w:val="13"/>
              <w:rPr>
                <w:highlight w:val="none"/>
              </w:rPr>
            </w:pPr>
            <w:r>
              <w:rPr>
                <w:rFonts w:hint="eastAsia"/>
                <w:highlight w:val="none"/>
              </w:rPr>
              <w:t>弱电智能化系统、弱电重要机房深化</w:t>
            </w:r>
          </w:p>
        </w:tc>
      </w:tr>
      <w:tr w14:paraId="47986FA3">
        <w:tblPrEx>
          <w:tblCellMar>
            <w:top w:w="0" w:type="dxa"/>
            <w:left w:w="108" w:type="dxa"/>
            <w:bottom w:w="0" w:type="dxa"/>
            <w:right w:w="108" w:type="dxa"/>
          </w:tblCellMar>
        </w:tblPrEx>
        <w:trPr>
          <w:trHeight w:val="878"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3845887B">
            <w:pPr>
              <w:pStyle w:val="13"/>
              <w:rPr>
                <w:rFonts w:hint="default" w:eastAsia="宋体"/>
                <w:highlight w:val="none"/>
                <w:lang w:val="en-US" w:eastAsia="zh-CN"/>
              </w:rPr>
            </w:pPr>
            <w:r>
              <w:rPr>
                <w:rFonts w:hint="eastAsia"/>
                <w:highlight w:val="none"/>
                <w:lang w:val="en-US" w:eastAsia="zh-CN"/>
              </w:rPr>
              <w:t>23</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A752EE">
            <w:pPr>
              <w:pStyle w:val="13"/>
              <w:rPr>
                <w:highlight w:val="none"/>
              </w:rPr>
            </w:pPr>
          </w:p>
        </w:tc>
        <w:tc>
          <w:tcPr>
            <w:tcW w:w="595" w:type="pct"/>
            <w:tcBorders>
              <w:top w:val="single" w:color="000000" w:sz="4" w:space="0"/>
              <w:left w:val="single" w:color="000000" w:sz="4" w:space="0"/>
              <w:bottom w:val="single" w:color="000000" w:sz="4" w:space="0"/>
              <w:right w:val="single" w:color="000000" w:sz="4" w:space="0"/>
            </w:tcBorders>
            <w:noWrap w:val="0"/>
            <w:vAlign w:val="center"/>
          </w:tcPr>
          <w:p w14:paraId="4013421C">
            <w:pPr>
              <w:pStyle w:val="13"/>
              <w:rPr>
                <w:highlight w:val="none"/>
              </w:rPr>
            </w:pPr>
            <w:r>
              <w:rPr>
                <w:rFonts w:hint="eastAsia"/>
                <w:highlight w:val="none"/>
              </w:rPr>
              <w:t>市政配套工程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01AFB57E">
            <w:pPr>
              <w:pStyle w:val="13"/>
              <w:rPr>
                <w:highlight w:val="none"/>
              </w:rPr>
            </w:pPr>
            <w:r>
              <w:rPr>
                <w:rFonts w:hint="eastAsia"/>
                <w:highlight w:val="none"/>
              </w:rPr>
              <w:t>电力、燃气、供水、供热地暖、排水、通讯配套、有线电视配套深化图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14358D17">
            <w:pPr>
              <w:pStyle w:val="13"/>
              <w:rPr>
                <w:highlight w:val="none"/>
              </w:rPr>
            </w:pPr>
            <w:r>
              <w:rPr>
                <w:rFonts w:hint="eastAsia"/>
                <w:highlight w:val="none"/>
              </w:rPr>
              <w:t>市政配套与景观、建筑复核</w:t>
            </w:r>
          </w:p>
        </w:tc>
      </w:tr>
      <w:tr w14:paraId="66B73019">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47D02137">
            <w:pPr>
              <w:pStyle w:val="13"/>
              <w:rPr>
                <w:rFonts w:hint="default" w:eastAsia="宋体"/>
                <w:highlight w:val="none"/>
                <w:lang w:val="en-US" w:eastAsia="zh-CN"/>
              </w:rPr>
            </w:pPr>
            <w:r>
              <w:rPr>
                <w:rFonts w:hint="eastAsia"/>
                <w:highlight w:val="none"/>
                <w:lang w:val="en-US" w:eastAsia="zh-CN"/>
              </w:rPr>
              <w:t>24</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487D22">
            <w:pPr>
              <w:pStyle w:val="13"/>
              <w:rPr>
                <w:highlight w:val="none"/>
              </w:rPr>
            </w:pPr>
          </w:p>
        </w:tc>
        <w:tc>
          <w:tcPr>
            <w:tcW w:w="595" w:type="pct"/>
            <w:tcBorders>
              <w:top w:val="single" w:color="000000" w:sz="4" w:space="0"/>
              <w:left w:val="single" w:color="000000" w:sz="4" w:space="0"/>
              <w:bottom w:val="single" w:color="000000" w:sz="4" w:space="0"/>
              <w:right w:val="single" w:color="000000" w:sz="4" w:space="0"/>
            </w:tcBorders>
            <w:noWrap w:val="0"/>
            <w:vAlign w:val="center"/>
          </w:tcPr>
          <w:p w14:paraId="4F47918F">
            <w:pPr>
              <w:pStyle w:val="13"/>
              <w:rPr>
                <w:highlight w:val="none"/>
              </w:rPr>
            </w:pPr>
            <w:r>
              <w:rPr>
                <w:rFonts w:hint="eastAsia"/>
                <w:highlight w:val="none"/>
              </w:rPr>
              <w:t>泛光工程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78FB513E">
            <w:pPr>
              <w:pStyle w:val="13"/>
              <w:rPr>
                <w:highlight w:val="none"/>
              </w:rPr>
            </w:pPr>
            <w:r>
              <w:rPr>
                <w:rFonts w:hint="eastAsia"/>
                <w:highlight w:val="none"/>
              </w:rPr>
              <w:t>泛光深化图</w:t>
            </w:r>
          </w:p>
        </w:tc>
        <w:tc>
          <w:tcPr>
            <w:tcW w:w="2463" w:type="pct"/>
            <w:tcBorders>
              <w:top w:val="single" w:color="000000" w:sz="4" w:space="0"/>
              <w:left w:val="single" w:color="000000" w:sz="4" w:space="0"/>
              <w:bottom w:val="single" w:color="000000" w:sz="4" w:space="0"/>
              <w:right w:val="single" w:color="000000" w:sz="4" w:space="0"/>
            </w:tcBorders>
            <w:noWrap w:val="0"/>
            <w:vAlign w:val="center"/>
          </w:tcPr>
          <w:p w14:paraId="16B6311F">
            <w:pPr>
              <w:pStyle w:val="13"/>
              <w:rPr>
                <w:highlight w:val="none"/>
              </w:rPr>
            </w:pPr>
            <w:r>
              <w:rPr>
                <w:rFonts w:hint="eastAsia"/>
                <w:highlight w:val="none"/>
              </w:rPr>
              <w:t>与建筑、幕墙深化</w:t>
            </w:r>
          </w:p>
        </w:tc>
      </w:tr>
      <w:tr w14:paraId="0B5012BD">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044DB855">
            <w:pPr>
              <w:pStyle w:val="13"/>
              <w:rPr>
                <w:rFonts w:hint="default" w:eastAsia="宋体"/>
                <w:highlight w:val="none"/>
                <w:lang w:val="en-US" w:eastAsia="zh-CN"/>
              </w:rPr>
            </w:pPr>
            <w:r>
              <w:rPr>
                <w:rFonts w:hint="eastAsia"/>
                <w:highlight w:val="none"/>
                <w:lang w:val="en-US" w:eastAsia="zh-CN"/>
              </w:rPr>
              <w:t>25</w:t>
            </w:r>
          </w:p>
        </w:tc>
        <w:tc>
          <w:tcPr>
            <w:tcW w:w="554" w:type="pct"/>
            <w:vMerge w:val="restart"/>
            <w:tcBorders>
              <w:top w:val="single" w:color="000000" w:sz="4" w:space="0"/>
              <w:left w:val="single" w:color="000000" w:sz="4" w:space="0"/>
              <w:bottom w:val="single" w:color="000000" w:sz="4" w:space="0"/>
              <w:right w:val="single" w:color="000000" w:sz="4" w:space="0"/>
            </w:tcBorders>
            <w:noWrap w:val="0"/>
            <w:vAlign w:val="center"/>
          </w:tcPr>
          <w:p w14:paraId="2EB483A7">
            <w:pPr>
              <w:pStyle w:val="13"/>
              <w:rPr>
                <w:highlight w:val="none"/>
              </w:rPr>
            </w:pPr>
            <w:r>
              <w:rPr>
                <w:rFonts w:hint="eastAsia"/>
                <w:highlight w:val="none"/>
              </w:rPr>
              <w:t>标识工程</w:t>
            </w:r>
          </w:p>
        </w:tc>
        <w:tc>
          <w:tcPr>
            <w:tcW w:w="595" w:type="pct"/>
            <w:vMerge w:val="restart"/>
            <w:tcBorders>
              <w:top w:val="single" w:color="000000" w:sz="4" w:space="0"/>
              <w:left w:val="single" w:color="000000" w:sz="4" w:space="0"/>
              <w:bottom w:val="single" w:color="000000" w:sz="4" w:space="0"/>
              <w:right w:val="single" w:color="000000" w:sz="4" w:space="0"/>
            </w:tcBorders>
            <w:noWrap w:val="0"/>
            <w:vAlign w:val="center"/>
          </w:tcPr>
          <w:p w14:paraId="15D42CFB">
            <w:pPr>
              <w:pStyle w:val="13"/>
              <w:rPr>
                <w:highlight w:val="none"/>
              </w:rPr>
            </w:pPr>
            <w:r>
              <w:rPr>
                <w:rFonts w:hint="eastAsia"/>
                <w:highlight w:val="none"/>
              </w:rPr>
              <w:t>标识工程</w:t>
            </w: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12544AF9">
            <w:pPr>
              <w:pStyle w:val="13"/>
              <w:rPr>
                <w:highlight w:val="none"/>
              </w:rPr>
            </w:pPr>
            <w:r>
              <w:rPr>
                <w:rFonts w:hint="eastAsia"/>
                <w:highlight w:val="none"/>
              </w:rPr>
              <w:t>标识标牌深化图</w:t>
            </w:r>
          </w:p>
        </w:tc>
        <w:tc>
          <w:tcPr>
            <w:tcW w:w="2463" w:type="pct"/>
            <w:vMerge w:val="restart"/>
            <w:tcBorders>
              <w:top w:val="single" w:color="000000" w:sz="4" w:space="0"/>
              <w:left w:val="single" w:color="000000" w:sz="4" w:space="0"/>
              <w:bottom w:val="single" w:color="000000" w:sz="4" w:space="0"/>
              <w:right w:val="single" w:color="000000" w:sz="4" w:space="0"/>
            </w:tcBorders>
            <w:noWrap w:val="0"/>
            <w:vAlign w:val="center"/>
          </w:tcPr>
          <w:p w14:paraId="6F76BAE8">
            <w:pPr>
              <w:pStyle w:val="13"/>
              <w:rPr>
                <w:highlight w:val="none"/>
              </w:rPr>
            </w:pPr>
            <w:r>
              <w:rPr>
                <w:rFonts w:hint="eastAsia"/>
                <w:highlight w:val="none"/>
              </w:rPr>
              <w:t>标牌工艺、规格等</w:t>
            </w:r>
          </w:p>
        </w:tc>
      </w:tr>
      <w:tr w14:paraId="64065578">
        <w:tblPrEx>
          <w:tblCellMar>
            <w:top w:w="0" w:type="dxa"/>
            <w:left w:w="108" w:type="dxa"/>
            <w:bottom w:w="0" w:type="dxa"/>
            <w:right w:w="108" w:type="dxa"/>
          </w:tblCellMar>
        </w:tblPrEx>
        <w:trPr>
          <w:trHeight w:val="293" w:hRule="atLeast"/>
        </w:trPr>
        <w:tc>
          <w:tcPr>
            <w:tcW w:w="370" w:type="pct"/>
            <w:tcBorders>
              <w:top w:val="single" w:color="000000" w:sz="4" w:space="0"/>
              <w:left w:val="single" w:color="000000" w:sz="4" w:space="0"/>
              <w:bottom w:val="single" w:color="000000" w:sz="4" w:space="0"/>
              <w:right w:val="single" w:color="000000" w:sz="4" w:space="0"/>
            </w:tcBorders>
            <w:noWrap w:val="0"/>
            <w:vAlign w:val="center"/>
          </w:tcPr>
          <w:p w14:paraId="52D55D08">
            <w:pPr>
              <w:pStyle w:val="13"/>
              <w:rPr>
                <w:rFonts w:hint="default" w:eastAsia="宋体"/>
                <w:highlight w:val="none"/>
                <w:lang w:val="en-US" w:eastAsia="zh-CN"/>
              </w:rPr>
            </w:pPr>
            <w:r>
              <w:rPr>
                <w:rFonts w:hint="eastAsia"/>
                <w:highlight w:val="none"/>
                <w:lang w:val="en-US" w:eastAsia="zh-CN"/>
              </w:rPr>
              <w:t>26</w:t>
            </w:r>
          </w:p>
        </w:tc>
        <w:tc>
          <w:tcPr>
            <w:tcW w:w="55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1D223F">
            <w:pPr>
              <w:pStyle w:val="13"/>
              <w:rPr>
                <w:highlight w:val="none"/>
              </w:rPr>
            </w:pPr>
          </w:p>
        </w:tc>
        <w:tc>
          <w:tcPr>
            <w:tcW w:w="5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D7459B">
            <w:pPr>
              <w:pStyle w:val="13"/>
              <w:rPr>
                <w:highlight w:val="none"/>
              </w:rPr>
            </w:pPr>
          </w:p>
        </w:tc>
        <w:tc>
          <w:tcPr>
            <w:tcW w:w="1016" w:type="pct"/>
            <w:tcBorders>
              <w:top w:val="single" w:color="000000" w:sz="4" w:space="0"/>
              <w:left w:val="single" w:color="000000" w:sz="4" w:space="0"/>
              <w:bottom w:val="single" w:color="000000" w:sz="4" w:space="0"/>
              <w:right w:val="single" w:color="000000" w:sz="4" w:space="0"/>
            </w:tcBorders>
            <w:noWrap w:val="0"/>
            <w:vAlign w:val="center"/>
          </w:tcPr>
          <w:p w14:paraId="3FB3AE44">
            <w:pPr>
              <w:pStyle w:val="13"/>
              <w:rPr>
                <w:highlight w:val="none"/>
              </w:rPr>
            </w:pPr>
            <w:r>
              <w:rPr>
                <w:rFonts w:hint="eastAsia"/>
                <w:highlight w:val="none"/>
              </w:rPr>
              <w:t>交通划线深化图</w:t>
            </w:r>
          </w:p>
        </w:tc>
        <w:tc>
          <w:tcPr>
            <w:tcW w:w="246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35EDA2">
            <w:pPr>
              <w:pStyle w:val="13"/>
              <w:rPr>
                <w:highlight w:val="none"/>
              </w:rPr>
            </w:pPr>
          </w:p>
        </w:tc>
      </w:tr>
    </w:tbl>
    <w:p w14:paraId="1B90762B">
      <w:pPr>
        <w:spacing w:before="120" w:beforeLines="50" w:after="120" w:afterLines="50"/>
        <w:ind w:firstLine="492"/>
        <w:rPr>
          <w:rFonts w:cs="宋体"/>
          <w:spacing w:val="3"/>
          <w:highlight w:val="none"/>
        </w:rPr>
      </w:pPr>
      <w:r>
        <w:rPr>
          <w:rFonts w:cs="宋体"/>
          <w:spacing w:val="3"/>
          <w:highlight w:val="none"/>
        </w:rPr>
        <w:t>防水细部节点深化：</w:t>
      </w:r>
    </w:p>
    <w:tbl>
      <w:tblPr>
        <w:tblStyle w:val="23"/>
        <w:tblW w:w="3345" w:type="pct"/>
        <w:jc w:val="center"/>
        <w:tblLayout w:type="autofit"/>
        <w:tblCellMar>
          <w:top w:w="0" w:type="dxa"/>
          <w:left w:w="0" w:type="dxa"/>
          <w:bottom w:w="0" w:type="dxa"/>
          <w:right w:w="0" w:type="dxa"/>
        </w:tblCellMar>
      </w:tblPr>
      <w:tblGrid>
        <w:gridCol w:w="1016"/>
        <w:gridCol w:w="1017"/>
        <w:gridCol w:w="1017"/>
        <w:gridCol w:w="1017"/>
        <w:gridCol w:w="1029"/>
        <w:gridCol w:w="1013"/>
      </w:tblGrid>
      <w:tr w14:paraId="5BA2D0A6">
        <w:tblPrEx>
          <w:tblCellMar>
            <w:top w:w="0" w:type="dxa"/>
            <w:left w:w="0" w:type="dxa"/>
            <w:bottom w:w="0" w:type="dxa"/>
            <w:right w:w="0" w:type="dxa"/>
          </w:tblCellMar>
        </w:tblPrEx>
        <w:trPr>
          <w:trHeight w:val="74" w:hRule="atLeast"/>
          <w:jc w:val="center"/>
        </w:trPr>
        <w:tc>
          <w:tcPr>
            <w:tcW w:w="4170" w:type="pct"/>
            <w:gridSpan w:val="5"/>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01EADB0">
            <w:pPr>
              <w:pStyle w:val="13"/>
              <w:rPr>
                <w:highlight w:val="none"/>
              </w:rPr>
            </w:pPr>
            <w:r>
              <w:rPr>
                <w:rFonts w:hint="eastAsia"/>
                <w:highlight w:val="none"/>
              </w:rPr>
              <w:t>地上防水</w:t>
            </w:r>
          </w:p>
          <w:p w14:paraId="38B17FB1">
            <w:pPr>
              <w:pStyle w:val="13"/>
              <w:rPr>
                <w:highlight w:val="none"/>
              </w:rPr>
            </w:pPr>
            <w:r>
              <w:rPr>
                <w:rFonts w:hint="eastAsia"/>
                <w:highlight w:val="none"/>
              </w:rPr>
              <w:t>深化要点</w:t>
            </w:r>
          </w:p>
        </w:tc>
        <w:tc>
          <w:tcPr>
            <w:tcW w:w="829" w:type="pct"/>
            <w:vMerge w:val="restar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15F37345">
            <w:pPr>
              <w:pStyle w:val="13"/>
              <w:rPr>
                <w:highlight w:val="none"/>
              </w:rPr>
            </w:pPr>
            <w:r>
              <w:rPr>
                <w:rFonts w:hint="eastAsia"/>
                <w:highlight w:val="none"/>
              </w:rPr>
              <w:t>屋面防水</w:t>
            </w:r>
          </w:p>
          <w:p w14:paraId="426AB8EB">
            <w:pPr>
              <w:pStyle w:val="13"/>
              <w:rPr>
                <w:highlight w:val="none"/>
              </w:rPr>
            </w:pPr>
            <w:r>
              <w:rPr>
                <w:rFonts w:hint="eastAsia"/>
                <w:highlight w:val="none"/>
              </w:rPr>
              <w:t>深化要点</w:t>
            </w:r>
          </w:p>
        </w:tc>
      </w:tr>
      <w:tr w14:paraId="3EE70E77">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15C78E2">
            <w:pPr>
              <w:pStyle w:val="13"/>
              <w:rPr>
                <w:highlight w:val="none"/>
              </w:rPr>
            </w:pPr>
            <w:r>
              <w:rPr>
                <w:rFonts w:hint="eastAsia"/>
                <w:highlight w:val="none"/>
              </w:rPr>
              <w:t>阳、露台</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62B337B">
            <w:pPr>
              <w:pStyle w:val="13"/>
              <w:rPr>
                <w:highlight w:val="none"/>
              </w:rPr>
            </w:pPr>
            <w:r>
              <w:rPr>
                <w:rFonts w:hint="eastAsia"/>
                <w:highlight w:val="none"/>
              </w:rPr>
              <w:t>厨卫间</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634EB44">
            <w:pPr>
              <w:pStyle w:val="13"/>
              <w:rPr>
                <w:highlight w:val="none"/>
              </w:rPr>
            </w:pPr>
            <w:r>
              <w:rPr>
                <w:rFonts w:hint="eastAsia"/>
                <w:highlight w:val="none"/>
              </w:rPr>
              <w:t>外立面</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33E915E">
            <w:pPr>
              <w:pStyle w:val="13"/>
              <w:rPr>
                <w:highlight w:val="none"/>
              </w:rPr>
            </w:pPr>
            <w:r>
              <w:rPr>
                <w:rFonts w:hint="eastAsia"/>
                <w:highlight w:val="none"/>
              </w:rPr>
              <w:t>涉水机电房间</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E34471F">
            <w:pPr>
              <w:pStyle w:val="13"/>
              <w:rPr>
                <w:highlight w:val="none"/>
              </w:rPr>
            </w:pPr>
            <w:r>
              <w:rPr>
                <w:rFonts w:hint="eastAsia"/>
                <w:highlight w:val="none"/>
              </w:rPr>
              <w:t>机位、飘窗</w:t>
            </w:r>
          </w:p>
        </w:tc>
        <w:tc>
          <w:tcPr>
            <w:tcW w:w="829" w:type="pct"/>
            <w:vMerge w:val="continue"/>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F26BC8B">
            <w:pPr>
              <w:pStyle w:val="13"/>
              <w:rPr>
                <w:highlight w:val="none"/>
              </w:rPr>
            </w:pPr>
          </w:p>
        </w:tc>
      </w:tr>
      <w:tr w14:paraId="0F8FD930">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265F45BA">
            <w:pPr>
              <w:pStyle w:val="13"/>
              <w:rPr>
                <w:highlight w:val="none"/>
              </w:rPr>
            </w:pPr>
            <w:r>
              <w:rPr>
                <w:rFonts w:hint="eastAsia"/>
                <w:highlight w:val="none"/>
              </w:rPr>
              <w:t>防水做法</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2FDD5C56">
            <w:pPr>
              <w:pStyle w:val="13"/>
              <w:rPr>
                <w:highlight w:val="none"/>
              </w:rPr>
            </w:pPr>
            <w:r>
              <w:rPr>
                <w:rFonts w:hint="eastAsia"/>
                <w:highlight w:val="none"/>
              </w:rPr>
              <w:t>沉箱卫生间</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D782821">
            <w:pPr>
              <w:pStyle w:val="13"/>
              <w:rPr>
                <w:highlight w:val="none"/>
              </w:rPr>
            </w:pPr>
            <w:r>
              <w:rPr>
                <w:rFonts w:hint="eastAsia"/>
                <w:highlight w:val="none"/>
              </w:rPr>
              <w:t>预制墙板节点</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52D248AC">
            <w:pPr>
              <w:pStyle w:val="13"/>
              <w:rPr>
                <w:highlight w:val="none"/>
              </w:rPr>
            </w:pPr>
            <w:r>
              <w:rPr>
                <w:rFonts w:hint="eastAsia"/>
                <w:highlight w:val="none"/>
              </w:rPr>
              <w:t>涉水房间防水</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79322F6">
            <w:pPr>
              <w:pStyle w:val="13"/>
              <w:rPr>
                <w:highlight w:val="none"/>
              </w:rPr>
            </w:pPr>
            <w:r>
              <w:rPr>
                <w:rFonts w:hint="eastAsia"/>
                <w:highlight w:val="none"/>
              </w:rPr>
              <w:t>防水做法</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3AF63A86">
            <w:pPr>
              <w:pStyle w:val="13"/>
              <w:rPr>
                <w:highlight w:val="none"/>
              </w:rPr>
            </w:pPr>
            <w:r>
              <w:rPr>
                <w:rFonts w:hint="eastAsia"/>
                <w:highlight w:val="none"/>
              </w:rPr>
              <w:t>屋面防水做法</w:t>
            </w:r>
          </w:p>
        </w:tc>
      </w:tr>
      <w:tr w14:paraId="18A63784">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2E342E1A">
            <w:pPr>
              <w:pStyle w:val="13"/>
              <w:rPr>
                <w:highlight w:val="none"/>
              </w:rPr>
            </w:pPr>
            <w:r>
              <w:rPr>
                <w:rFonts w:hint="eastAsia"/>
                <w:highlight w:val="none"/>
              </w:rPr>
              <w:t>排水设计</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83A1E0E">
            <w:pPr>
              <w:pStyle w:val="13"/>
              <w:rPr>
                <w:highlight w:val="none"/>
              </w:rPr>
            </w:pPr>
            <w:r>
              <w:rPr>
                <w:rFonts w:hint="eastAsia"/>
                <w:highlight w:val="none"/>
              </w:rPr>
              <w:t>非沉箱卫生间</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FE3E322">
            <w:pPr>
              <w:pStyle w:val="13"/>
              <w:rPr>
                <w:highlight w:val="none"/>
              </w:rPr>
            </w:pPr>
            <w:r>
              <w:rPr>
                <w:rFonts w:hint="eastAsia"/>
                <w:highlight w:val="none"/>
              </w:rPr>
              <w:t>穿墙洞扣封堵</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3DF665DC">
            <w:pPr>
              <w:pStyle w:val="13"/>
              <w:rPr>
                <w:highlight w:val="none"/>
              </w:rPr>
            </w:pPr>
            <w:r>
              <w:rPr>
                <w:rFonts w:hint="eastAsia"/>
                <w:highlight w:val="none"/>
              </w:rPr>
              <w:t>水管井防水</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73FB858">
            <w:pPr>
              <w:pStyle w:val="13"/>
              <w:rPr>
                <w:highlight w:val="none"/>
              </w:rPr>
            </w:pPr>
            <w:r>
              <w:rPr>
                <w:rFonts w:hint="eastAsia"/>
                <w:highlight w:val="none"/>
              </w:rPr>
              <w:t>地漏防水节点</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3BF9913">
            <w:pPr>
              <w:pStyle w:val="13"/>
              <w:rPr>
                <w:highlight w:val="none"/>
              </w:rPr>
            </w:pPr>
            <w:r>
              <w:rPr>
                <w:rFonts w:hint="eastAsia"/>
                <w:highlight w:val="none"/>
              </w:rPr>
              <w:t>泛水做法</w:t>
            </w:r>
          </w:p>
        </w:tc>
      </w:tr>
      <w:tr w14:paraId="1D18D76B">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4F2C0EF">
            <w:pPr>
              <w:pStyle w:val="13"/>
              <w:rPr>
                <w:highlight w:val="none"/>
              </w:rPr>
            </w:pPr>
            <w:r>
              <w:rPr>
                <w:rFonts w:hint="eastAsia"/>
                <w:highlight w:val="none"/>
              </w:rPr>
              <w:t>管道穿楼板</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E651A96">
            <w:pPr>
              <w:pStyle w:val="13"/>
              <w:rPr>
                <w:highlight w:val="none"/>
              </w:rPr>
            </w:pPr>
            <w:r>
              <w:rPr>
                <w:rFonts w:hint="eastAsia"/>
                <w:highlight w:val="none"/>
              </w:rPr>
              <w:t>管道穿楼板</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944AF95">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090A83D">
            <w:pPr>
              <w:pStyle w:val="13"/>
              <w:rPr>
                <w:highlight w:val="none"/>
              </w:rPr>
            </w:pPr>
            <w:r>
              <w:rPr>
                <w:rFonts w:hint="eastAsia"/>
                <w:highlight w:val="none"/>
              </w:rPr>
              <w:t>管道穿楼板</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AE220D1">
            <w:pPr>
              <w:pStyle w:val="13"/>
              <w:rPr>
                <w:highlight w:val="none"/>
              </w:rPr>
            </w:pPr>
            <w:r>
              <w:rPr>
                <w:rFonts w:hint="eastAsia"/>
                <w:highlight w:val="none"/>
              </w:rPr>
              <w:t>百页排水设计</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1F293603">
            <w:pPr>
              <w:pStyle w:val="13"/>
              <w:rPr>
                <w:highlight w:val="none"/>
              </w:rPr>
            </w:pPr>
            <w:r>
              <w:rPr>
                <w:rFonts w:hint="eastAsia"/>
                <w:highlight w:val="none"/>
              </w:rPr>
              <w:t>截水做法</w:t>
            </w:r>
          </w:p>
        </w:tc>
      </w:tr>
      <w:tr w14:paraId="71C2AE0F">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D867E68">
            <w:pPr>
              <w:pStyle w:val="13"/>
              <w:rPr>
                <w:highlight w:val="none"/>
              </w:rPr>
            </w:pPr>
            <w:r>
              <w:rPr>
                <w:rFonts w:hint="eastAsia"/>
                <w:highlight w:val="none"/>
              </w:rPr>
              <w:t>地漏防水节点</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52FED8D4">
            <w:pPr>
              <w:pStyle w:val="13"/>
              <w:rPr>
                <w:highlight w:val="none"/>
              </w:rPr>
            </w:pPr>
            <w:r>
              <w:rPr>
                <w:rFonts w:hint="eastAsia"/>
                <w:highlight w:val="none"/>
              </w:rPr>
              <w:t>门槛防水节点</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2C188BDF">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425A02F">
            <w:pPr>
              <w:pStyle w:val="13"/>
              <w:rPr>
                <w:highlight w:val="none"/>
              </w:rPr>
            </w:pPr>
            <w:r>
              <w:rPr>
                <w:rFonts w:hint="eastAsia"/>
                <w:highlight w:val="none"/>
              </w:rPr>
              <w:t>地漏防水节点</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CF0D548">
            <w:pPr>
              <w:pStyle w:val="13"/>
              <w:rPr>
                <w:highlight w:val="none"/>
              </w:rPr>
            </w:pPr>
            <w:r>
              <w:rPr>
                <w:rFonts w:hint="eastAsia"/>
                <w:highlight w:val="none"/>
              </w:rPr>
              <w:t>/</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E58BB0F">
            <w:pPr>
              <w:pStyle w:val="13"/>
              <w:rPr>
                <w:highlight w:val="none"/>
              </w:rPr>
            </w:pPr>
            <w:r>
              <w:rPr>
                <w:rFonts w:hint="eastAsia"/>
                <w:highlight w:val="none"/>
              </w:rPr>
              <w:t>排水沟大样</w:t>
            </w:r>
          </w:p>
        </w:tc>
      </w:tr>
      <w:tr w14:paraId="0CCAF89E">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3661578">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22E49A79">
            <w:pPr>
              <w:pStyle w:val="13"/>
              <w:rPr>
                <w:highlight w:val="none"/>
              </w:rPr>
            </w:pPr>
            <w:r>
              <w:rPr>
                <w:rFonts w:hint="eastAsia"/>
                <w:highlight w:val="none"/>
              </w:rPr>
              <w:t>回填节点</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E176459">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6ED5915">
            <w:pPr>
              <w:pStyle w:val="13"/>
              <w:rPr>
                <w:highlight w:val="none"/>
              </w:rPr>
            </w:pPr>
            <w:r>
              <w:rPr>
                <w:rFonts w:hint="eastAsia"/>
                <w:highlight w:val="none"/>
              </w:rPr>
              <w:t>/</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03438B6">
            <w:pPr>
              <w:pStyle w:val="13"/>
              <w:rPr>
                <w:highlight w:val="none"/>
              </w:rPr>
            </w:pPr>
            <w:r>
              <w:rPr>
                <w:rFonts w:hint="eastAsia"/>
                <w:highlight w:val="none"/>
              </w:rPr>
              <w:t>/</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E311226">
            <w:pPr>
              <w:pStyle w:val="13"/>
              <w:rPr>
                <w:highlight w:val="none"/>
              </w:rPr>
            </w:pPr>
            <w:r>
              <w:rPr>
                <w:rFonts w:hint="eastAsia"/>
                <w:highlight w:val="none"/>
              </w:rPr>
              <w:t>出屋面构件</w:t>
            </w:r>
          </w:p>
        </w:tc>
      </w:tr>
      <w:tr w14:paraId="018CB7C8">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BBF2AB7">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138359F3">
            <w:pPr>
              <w:pStyle w:val="13"/>
              <w:rPr>
                <w:highlight w:val="none"/>
              </w:rPr>
            </w:pPr>
            <w:r>
              <w:rPr>
                <w:rFonts w:hint="eastAsia"/>
                <w:highlight w:val="none"/>
              </w:rPr>
              <w:t>穿墙管道</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98FEE2D">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14114F1">
            <w:pPr>
              <w:pStyle w:val="13"/>
              <w:rPr>
                <w:highlight w:val="none"/>
              </w:rPr>
            </w:pPr>
            <w:r>
              <w:rPr>
                <w:rFonts w:hint="eastAsia"/>
                <w:highlight w:val="none"/>
              </w:rPr>
              <w:t>/</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9B11283">
            <w:pPr>
              <w:pStyle w:val="13"/>
              <w:rPr>
                <w:highlight w:val="none"/>
              </w:rPr>
            </w:pPr>
            <w:r>
              <w:rPr>
                <w:rFonts w:hint="eastAsia"/>
                <w:highlight w:val="none"/>
              </w:rPr>
              <w:t>/</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260E2C17">
            <w:pPr>
              <w:pStyle w:val="13"/>
              <w:rPr>
                <w:highlight w:val="none"/>
              </w:rPr>
            </w:pPr>
            <w:r>
              <w:rPr>
                <w:rFonts w:hint="eastAsia"/>
                <w:highlight w:val="none"/>
              </w:rPr>
              <w:t>上翻构件</w:t>
            </w:r>
          </w:p>
        </w:tc>
      </w:tr>
      <w:tr w14:paraId="7269AF75">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72EA147">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976856E">
            <w:pPr>
              <w:pStyle w:val="13"/>
              <w:rPr>
                <w:highlight w:val="none"/>
              </w:rPr>
            </w:pPr>
            <w:r>
              <w:rPr>
                <w:rFonts w:hint="eastAsia"/>
                <w:highlight w:val="none"/>
              </w:rPr>
              <w:t>地漏防水节点</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78EEA4A">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A05292F">
            <w:pPr>
              <w:pStyle w:val="13"/>
              <w:rPr>
                <w:highlight w:val="none"/>
              </w:rPr>
            </w:pPr>
            <w:r>
              <w:rPr>
                <w:rFonts w:hint="eastAsia"/>
                <w:highlight w:val="none"/>
              </w:rPr>
              <w:t>/</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3E2839DB">
            <w:pPr>
              <w:pStyle w:val="13"/>
              <w:rPr>
                <w:highlight w:val="none"/>
              </w:rPr>
            </w:pPr>
            <w:r>
              <w:rPr>
                <w:rFonts w:hint="eastAsia"/>
                <w:highlight w:val="none"/>
              </w:rPr>
              <w:t>/</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1F3D5B0">
            <w:pPr>
              <w:pStyle w:val="13"/>
              <w:rPr>
                <w:highlight w:val="none"/>
              </w:rPr>
            </w:pPr>
            <w:r>
              <w:rPr>
                <w:rFonts w:hint="eastAsia"/>
                <w:highlight w:val="none"/>
              </w:rPr>
              <w:t>穿屋面管道</w:t>
            </w:r>
          </w:p>
        </w:tc>
      </w:tr>
      <w:tr w14:paraId="2D5D1A9F">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37F5184">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9683A6F">
            <w:pPr>
              <w:pStyle w:val="13"/>
              <w:rPr>
                <w:highlight w:val="none"/>
              </w:rPr>
            </w:pPr>
            <w:r>
              <w:rPr>
                <w:rFonts w:hint="eastAsia"/>
                <w:highlight w:val="none"/>
              </w:rPr>
              <w:t>立面防水分区</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3255521">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656F3A6">
            <w:pPr>
              <w:pStyle w:val="13"/>
              <w:rPr>
                <w:highlight w:val="none"/>
              </w:rPr>
            </w:pPr>
            <w:r>
              <w:rPr>
                <w:rFonts w:hint="eastAsia"/>
                <w:highlight w:val="none"/>
              </w:rPr>
              <w:t>/</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FD1512E">
            <w:pPr>
              <w:pStyle w:val="13"/>
              <w:rPr>
                <w:highlight w:val="none"/>
              </w:rPr>
            </w:pPr>
            <w:r>
              <w:rPr>
                <w:rFonts w:hint="eastAsia"/>
                <w:highlight w:val="none"/>
              </w:rPr>
              <w:t>/</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19E4AAB">
            <w:pPr>
              <w:pStyle w:val="13"/>
              <w:rPr>
                <w:highlight w:val="none"/>
              </w:rPr>
            </w:pPr>
            <w:r>
              <w:rPr>
                <w:rFonts w:hint="eastAsia"/>
                <w:highlight w:val="none"/>
              </w:rPr>
              <w:t>变形缝</w:t>
            </w:r>
          </w:p>
        </w:tc>
      </w:tr>
      <w:tr w14:paraId="3693F7C7">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3C128737">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F750A42">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909772B">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4B5AE5FE">
            <w:pPr>
              <w:pStyle w:val="13"/>
              <w:rPr>
                <w:highlight w:val="none"/>
              </w:rPr>
            </w:pPr>
            <w:r>
              <w:rPr>
                <w:rFonts w:hint="eastAsia"/>
                <w:highlight w:val="none"/>
              </w:rPr>
              <w:t>/</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509453D6">
            <w:pPr>
              <w:pStyle w:val="13"/>
              <w:rPr>
                <w:highlight w:val="none"/>
              </w:rPr>
            </w:pPr>
            <w:r>
              <w:rPr>
                <w:rFonts w:hint="eastAsia"/>
                <w:highlight w:val="none"/>
              </w:rPr>
              <w:t>/</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59140AD1">
            <w:pPr>
              <w:pStyle w:val="13"/>
              <w:rPr>
                <w:highlight w:val="none"/>
              </w:rPr>
            </w:pPr>
            <w:r>
              <w:rPr>
                <w:rFonts w:hint="eastAsia"/>
                <w:highlight w:val="none"/>
              </w:rPr>
              <w:t>施工缝</w:t>
            </w:r>
          </w:p>
        </w:tc>
      </w:tr>
      <w:tr w14:paraId="10C92028">
        <w:tblPrEx>
          <w:tblCellMar>
            <w:top w:w="0" w:type="dxa"/>
            <w:left w:w="0" w:type="dxa"/>
            <w:bottom w:w="0" w:type="dxa"/>
            <w:right w:w="0" w:type="dxa"/>
          </w:tblCellMar>
        </w:tblPrEx>
        <w:trPr>
          <w:trHeight w:val="74" w:hRule="atLeast"/>
          <w:jc w:val="center"/>
        </w:trPr>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F2F8395">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554B6C4F">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D4F41DB">
            <w:pPr>
              <w:pStyle w:val="13"/>
              <w:rPr>
                <w:highlight w:val="none"/>
              </w:rPr>
            </w:pPr>
            <w:r>
              <w:rPr>
                <w:rFonts w:hint="eastAsia"/>
                <w:highlight w:val="none"/>
              </w:rPr>
              <w:t>/</w:t>
            </w:r>
          </w:p>
        </w:tc>
        <w:tc>
          <w:tcPr>
            <w:tcW w:w="832"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0474B7A">
            <w:pPr>
              <w:pStyle w:val="13"/>
              <w:rPr>
                <w:highlight w:val="none"/>
              </w:rPr>
            </w:pPr>
            <w:r>
              <w:rPr>
                <w:rFonts w:hint="eastAsia"/>
                <w:highlight w:val="none"/>
              </w:rPr>
              <w:t>/</w:t>
            </w:r>
          </w:p>
        </w:tc>
        <w:tc>
          <w:tcPr>
            <w:tcW w:w="838"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70D6D529">
            <w:pPr>
              <w:pStyle w:val="13"/>
              <w:rPr>
                <w:highlight w:val="none"/>
              </w:rPr>
            </w:pPr>
            <w:r>
              <w:rPr>
                <w:rFonts w:hint="eastAsia"/>
                <w:highlight w:val="none"/>
              </w:rPr>
              <w:t>/</w:t>
            </w:r>
          </w:p>
        </w:tc>
        <w:tc>
          <w:tcPr>
            <w:tcW w:w="829" w:type="pct"/>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638FC6B7">
            <w:pPr>
              <w:pStyle w:val="13"/>
              <w:rPr>
                <w:highlight w:val="none"/>
              </w:rPr>
            </w:pPr>
            <w:r>
              <w:rPr>
                <w:rFonts w:hint="eastAsia"/>
                <w:highlight w:val="none"/>
              </w:rPr>
              <w:t>排水地漏节点</w:t>
            </w:r>
          </w:p>
        </w:tc>
      </w:tr>
    </w:tbl>
    <w:p w14:paraId="7958B923">
      <w:pPr>
        <w:ind w:firstLine="500"/>
        <w:rPr>
          <w:rFonts w:cs="宋体"/>
          <w:spacing w:val="5"/>
          <w:position w:val="17"/>
          <w:highlight w:val="none"/>
          <w:lang w:bidi="ar"/>
        </w:rPr>
      </w:pPr>
      <w:r>
        <w:rPr>
          <w:rFonts w:hint="eastAsia" w:cs="宋体"/>
          <w:spacing w:val="5"/>
          <w:position w:val="17"/>
          <w:highlight w:val="none"/>
          <w:lang w:bidi="ar"/>
        </w:rPr>
        <w:t>其他专业工程</w:t>
      </w:r>
      <w:r>
        <w:rPr>
          <w:rFonts w:cs="宋体"/>
          <w:spacing w:val="5"/>
          <w:position w:val="17"/>
          <w:highlight w:val="none"/>
          <w:lang w:bidi="ar"/>
        </w:rPr>
        <w:t>，</w:t>
      </w:r>
      <w:r>
        <w:rPr>
          <w:rFonts w:hint="eastAsia" w:cs="宋体"/>
          <w:spacing w:val="5"/>
          <w:position w:val="17"/>
          <w:highlight w:val="none"/>
          <w:lang w:bidi="ar"/>
        </w:rPr>
        <w:t>具体以发包人要求为准。</w:t>
      </w:r>
    </w:p>
    <w:p w14:paraId="4067F8AB">
      <w:pPr>
        <w:ind w:firstLine="480"/>
        <w:rPr>
          <w:highlight w:val="none"/>
        </w:rPr>
      </w:pPr>
    </w:p>
    <w:p w14:paraId="38475EDC">
      <w:pPr>
        <w:pStyle w:val="5"/>
        <w:numPr>
          <w:ilvl w:val="2"/>
          <w:numId w:val="0"/>
        </w:numPr>
        <w:ind w:left="624" w:hanging="624"/>
        <w:rPr>
          <w:highlight w:val="none"/>
        </w:rPr>
      </w:pPr>
      <w:bookmarkStart w:id="332" w:name="_Toc18005"/>
      <w:r>
        <w:rPr>
          <w:rFonts w:hint="eastAsia"/>
          <w:highlight w:val="none"/>
        </w:rPr>
        <w:t>6.3.4深化</w:t>
      </w:r>
      <w:r>
        <w:rPr>
          <w:highlight w:val="none"/>
        </w:rPr>
        <w:t>设计</w:t>
      </w:r>
      <w:r>
        <w:rPr>
          <w:rFonts w:hint="eastAsia"/>
          <w:highlight w:val="none"/>
        </w:rPr>
        <w:t>审核</w:t>
      </w:r>
      <w:r>
        <w:rPr>
          <w:highlight w:val="none"/>
        </w:rPr>
        <w:t>的要求</w:t>
      </w:r>
      <w:bookmarkEnd w:id="332"/>
    </w:p>
    <w:p w14:paraId="7CBF38C3">
      <w:pPr>
        <w:pStyle w:val="6"/>
        <w:numPr>
          <w:ilvl w:val="3"/>
          <w:numId w:val="0"/>
        </w:numPr>
        <w:ind w:left="864" w:leftChars="100" w:hanging="624"/>
        <w:rPr>
          <w:highlight w:val="none"/>
        </w:rPr>
      </w:pPr>
      <w:r>
        <w:rPr>
          <w:rFonts w:hint="eastAsia"/>
          <w:highlight w:val="none"/>
        </w:rPr>
        <w:t>6.3.4.1深化设计工作由总承包人/专业承包人中标后立即进行，深化设计图纸应提交监理人、发包人，由监理人、发包人组织相关单位进行审定。深化设计审批单位主要包括监理人、设计人、发包人。</w:t>
      </w:r>
    </w:p>
    <w:p w14:paraId="6C452487">
      <w:pPr>
        <w:pStyle w:val="6"/>
        <w:numPr>
          <w:ilvl w:val="3"/>
          <w:numId w:val="0"/>
        </w:numPr>
        <w:ind w:left="864" w:leftChars="100" w:hanging="624"/>
        <w:rPr>
          <w:highlight w:val="none"/>
        </w:rPr>
      </w:pPr>
      <w:r>
        <w:rPr>
          <w:rFonts w:hint="eastAsia"/>
          <w:highlight w:val="none"/>
        </w:rPr>
        <w:t>6.3.4.2深化设计成果应分阶段报批，审批单位应根据分阶段报批计划审查总承包人/专业承包人/独立承包人提交的任何深化设计成果，并在规定时间内给予审查意见。</w:t>
      </w:r>
    </w:p>
    <w:p w14:paraId="14D8EFA5">
      <w:pPr>
        <w:pStyle w:val="6"/>
        <w:numPr>
          <w:ilvl w:val="3"/>
          <w:numId w:val="0"/>
        </w:numPr>
        <w:ind w:left="864" w:leftChars="100" w:hanging="624"/>
        <w:rPr>
          <w:highlight w:val="none"/>
        </w:rPr>
      </w:pPr>
      <w:r>
        <w:rPr>
          <w:rFonts w:hint="eastAsia"/>
          <w:highlight w:val="none"/>
        </w:rPr>
        <w:t>6.3.4.3总承包人/专业承包人/独立承包人应认真对待审批单位的审查意见，及时修订重报，同时积极跟踪审查进度，不得因审批进度为由追加工程费用和工期。</w:t>
      </w:r>
    </w:p>
    <w:p w14:paraId="735019D5">
      <w:pPr>
        <w:pStyle w:val="6"/>
        <w:numPr>
          <w:ilvl w:val="3"/>
          <w:numId w:val="0"/>
        </w:numPr>
        <w:ind w:left="864" w:leftChars="100" w:hanging="624"/>
        <w:rPr>
          <w:highlight w:val="none"/>
        </w:rPr>
      </w:pPr>
      <w:r>
        <w:rPr>
          <w:rFonts w:hint="eastAsia"/>
          <w:highlight w:val="none"/>
        </w:rPr>
        <w:t>6.3.4.4深化设计获得批准后，由深化设计单位根据各自负责内容分别向相关单位和人员交底。</w:t>
      </w:r>
    </w:p>
    <w:p w14:paraId="4BA2D373">
      <w:pPr>
        <w:pStyle w:val="4"/>
        <w:numPr>
          <w:ilvl w:val="1"/>
          <w:numId w:val="0"/>
        </w:numPr>
        <w:ind w:left="624" w:hanging="624"/>
        <w:rPr>
          <w:highlight w:val="none"/>
        </w:rPr>
      </w:pPr>
      <w:bookmarkStart w:id="333" w:name="_Toc14223"/>
      <w:bookmarkStart w:id="334" w:name="_Toc2838"/>
      <w:bookmarkStart w:id="335" w:name="_Toc179562983"/>
      <w:bookmarkStart w:id="336" w:name="_Toc29675"/>
      <w:bookmarkStart w:id="337" w:name="_Toc3167"/>
      <w:bookmarkStart w:id="338" w:name="_Toc23402"/>
      <w:bookmarkStart w:id="339" w:name="_Toc169722214"/>
      <w:bookmarkStart w:id="340" w:name="_Toc31507"/>
      <w:r>
        <w:rPr>
          <w:rFonts w:hint="eastAsia"/>
          <w:highlight w:val="none"/>
        </w:rPr>
        <w:t>6.4施工策划管理要求</w:t>
      </w:r>
      <w:bookmarkEnd w:id="333"/>
      <w:bookmarkEnd w:id="334"/>
      <w:bookmarkEnd w:id="335"/>
    </w:p>
    <w:p w14:paraId="2F7EE81B">
      <w:pPr>
        <w:ind w:firstLine="500"/>
        <w:rPr>
          <w:highlight w:val="none"/>
        </w:rPr>
      </w:pPr>
      <w:r>
        <w:rPr>
          <w:rFonts w:hint="eastAsia" w:cs="宋体"/>
          <w:spacing w:val="5"/>
          <w:position w:val="17"/>
          <w:highlight w:val="none"/>
          <w:lang w:bidi="ar"/>
        </w:rPr>
        <w:t>根据发包人要求完成项目管理策划，包括但不限于以下内容：项目管理实施规划策划、项目防水防渗漏策划、外立面施工管理策划、精装策划、机电安装策划、园林景观施工策划、交付策划。以上策划经发包人、发包委托管理单位、监理单位以及专家评审通过后由承包人上报纸质盖章版到发包人处留档。</w:t>
      </w:r>
    </w:p>
    <w:p w14:paraId="4C20E4DF">
      <w:pPr>
        <w:pStyle w:val="4"/>
        <w:numPr>
          <w:ilvl w:val="1"/>
          <w:numId w:val="0"/>
        </w:numPr>
        <w:ind w:left="624" w:hanging="624"/>
        <w:rPr>
          <w:highlight w:val="none"/>
        </w:rPr>
      </w:pPr>
      <w:bookmarkStart w:id="341" w:name="_Toc26912"/>
      <w:bookmarkStart w:id="342" w:name="_Toc27092"/>
      <w:bookmarkStart w:id="343" w:name="_Toc179562984"/>
      <w:r>
        <w:rPr>
          <w:rFonts w:hint="eastAsia"/>
          <w:highlight w:val="none"/>
        </w:rPr>
        <w:t>6.5</w:t>
      </w:r>
      <w:r>
        <w:rPr>
          <w:highlight w:val="none"/>
        </w:rPr>
        <w:t>样板管理要求</w:t>
      </w:r>
      <w:bookmarkEnd w:id="336"/>
      <w:bookmarkEnd w:id="337"/>
      <w:bookmarkEnd w:id="338"/>
      <w:bookmarkEnd w:id="339"/>
      <w:bookmarkEnd w:id="340"/>
      <w:bookmarkEnd w:id="341"/>
      <w:bookmarkEnd w:id="342"/>
      <w:bookmarkEnd w:id="343"/>
    </w:p>
    <w:p w14:paraId="56C019A7">
      <w:pPr>
        <w:pStyle w:val="5"/>
        <w:numPr>
          <w:ilvl w:val="2"/>
          <w:numId w:val="0"/>
        </w:numPr>
        <w:ind w:left="624" w:hanging="624"/>
        <w:rPr>
          <w:highlight w:val="none"/>
        </w:rPr>
      </w:pPr>
      <w:bookmarkStart w:id="344" w:name="_Toc11551"/>
      <w:r>
        <w:rPr>
          <w:rFonts w:hint="eastAsia"/>
          <w:highlight w:val="none"/>
        </w:rPr>
        <w:t>6.5.1样板实施基本要求</w:t>
      </w:r>
      <w:bookmarkEnd w:id="344"/>
    </w:p>
    <w:p w14:paraId="793C2E86">
      <w:pPr>
        <w:pStyle w:val="6"/>
        <w:numPr>
          <w:ilvl w:val="3"/>
          <w:numId w:val="0"/>
        </w:numPr>
        <w:ind w:left="864" w:leftChars="100" w:hanging="624"/>
        <w:rPr>
          <w:highlight w:val="none"/>
        </w:rPr>
      </w:pPr>
      <w:r>
        <w:rPr>
          <w:rFonts w:hint="eastAsia"/>
          <w:highlight w:val="none"/>
        </w:rPr>
        <w:t>6.5.1.1全面施工前由总承包人制定施工方案并选定样板施工的位置，报监理人、发包人审批。</w:t>
      </w:r>
    </w:p>
    <w:p w14:paraId="3452C0C9">
      <w:pPr>
        <w:pStyle w:val="6"/>
        <w:numPr>
          <w:ilvl w:val="3"/>
          <w:numId w:val="0"/>
        </w:numPr>
        <w:ind w:left="864" w:leftChars="100" w:hanging="624"/>
        <w:rPr>
          <w:highlight w:val="none"/>
        </w:rPr>
      </w:pPr>
      <w:r>
        <w:rPr>
          <w:rFonts w:hint="eastAsia"/>
          <w:highlight w:val="none"/>
        </w:rPr>
        <w:t>6.5.1.2样板选用的原材料、构配件、设备等必须符合设计要求、国家和地方规范标准及合同约定。材料、构配件、设备进场应履行申报制度，提供产品合格证、材料质量检测报告及产品说明书，由监理人按有关规范要求见证取样。</w:t>
      </w:r>
    </w:p>
    <w:p w14:paraId="49ED02F1">
      <w:pPr>
        <w:pStyle w:val="6"/>
        <w:numPr>
          <w:ilvl w:val="3"/>
          <w:numId w:val="0"/>
        </w:numPr>
        <w:ind w:left="864" w:leftChars="100" w:hanging="624"/>
        <w:rPr>
          <w:highlight w:val="none"/>
        </w:rPr>
      </w:pPr>
      <w:r>
        <w:rPr>
          <w:rFonts w:hint="eastAsia"/>
          <w:highlight w:val="none"/>
        </w:rPr>
        <w:t>6.5.1.3样板施工质量应体现施工队伍的综合技术水平，经确定的样板施工人员应为该分项工程固定的施工人员，不得随意更换。监理人/发包人对样板操作过程进行监控，对关键点、关键部位进行旁站监督。</w:t>
      </w:r>
    </w:p>
    <w:p w14:paraId="00FC4DD3">
      <w:pPr>
        <w:pStyle w:val="6"/>
        <w:numPr>
          <w:ilvl w:val="3"/>
          <w:numId w:val="0"/>
        </w:numPr>
        <w:ind w:left="864" w:leftChars="100" w:hanging="624"/>
        <w:rPr>
          <w:highlight w:val="none"/>
        </w:rPr>
      </w:pPr>
      <w:r>
        <w:rPr>
          <w:rFonts w:hint="eastAsia"/>
          <w:highlight w:val="none"/>
        </w:rPr>
        <w:t>6.5.1.4样板完成后由总承包人进行自检，做好记录，报监理人、发包人验收，验收合格后方可开始现场的全面施工。</w:t>
      </w:r>
    </w:p>
    <w:p w14:paraId="14D521A4">
      <w:pPr>
        <w:pStyle w:val="6"/>
        <w:numPr>
          <w:ilvl w:val="3"/>
          <w:numId w:val="0"/>
        </w:numPr>
        <w:ind w:left="864" w:leftChars="100" w:hanging="624"/>
        <w:rPr>
          <w:highlight w:val="none"/>
        </w:rPr>
      </w:pPr>
      <w:r>
        <w:rPr>
          <w:rFonts w:hint="eastAsia"/>
          <w:highlight w:val="none"/>
        </w:rPr>
        <w:t>6.5.1.5</w:t>
      </w:r>
      <w:r>
        <w:rPr>
          <w:highlight w:val="none"/>
        </w:rPr>
        <w:t>总承包人负责</w:t>
      </w:r>
      <w:r>
        <w:rPr>
          <w:rFonts w:hint="eastAsia"/>
          <w:highlight w:val="none"/>
        </w:rPr>
        <w:t>项目样板实施的整体策划工作，负责</w:t>
      </w:r>
      <w:r>
        <w:rPr>
          <w:highlight w:val="none"/>
        </w:rPr>
        <w:t>自身承建范围内</w:t>
      </w:r>
      <w:r>
        <w:rPr>
          <w:rFonts w:hint="eastAsia"/>
          <w:highlight w:val="none"/>
        </w:rPr>
        <w:t>工作内容</w:t>
      </w:r>
      <w:r>
        <w:rPr>
          <w:highlight w:val="none"/>
        </w:rPr>
        <w:t>的</w:t>
      </w:r>
      <w:r>
        <w:rPr>
          <w:rFonts w:hint="eastAsia"/>
          <w:highlight w:val="none"/>
        </w:rPr>
        <w:t>样板实施</w:t>
      </w:r>
      <w:r>
        <w:rPr>
          <w:highlight w:val="none"/>
        </w:rPr>
        <w:t>工作，</w:t>
      </w:r>
      <w:r>
        <w:rPr>
          <w:rFonts w:hint="eastAsia"/>
          <w:highlight w:val="none"/>
        </w:rPr>
        <w:t>并</w:t>
      </w:r>
      <w:r>
        <w:rPr>
          <w:highlight w:val="none"/>
        </w:rPr>
        <w:t>协调管理所需照管的</w:t>
      </w:r>
      <w:r>
        <w:rPr>
          <w:rFonts w:hint="eastAsia"/>
          <w:highlight w:val="none"/>
        </w:rPr>
        <w:t>各类专业承包人</w:t>
      </w:r>
      <w:r>
        <w:rPr>
          <w:highlight w:val="none"/>
        </w:rPr>
        <w:t>的</w:t>
      </w:r>
      <w:r>
        <w:rPr>
          <w:rFonts w:hint="eastAsia"/>
          <w:highlight w:val="none"/>
        </w:rPr>
        <w:t>样板实施</w:t>
      </w:r>
      <w:r>
        <w:rPr>
          <w:highlight w:val="none"/>
        </w:rPr>
        <w:t>工作</w:t>
      </w:r>
      <w:r>
        <w:rPr>
          <w:rFonts w:hint="eastAsia"/>
          <w:highlight w:val="none"/>
        </w:rPr>
        <w:t>。</w:t>
      </w:r>
    </w:p>
    <w:p w14:paraId="67B2D842">
      <w:pPr>
        <w:pStyle w:val="6"/>
        <w:numPr>
          <w:ilvl w:val="3"/>
          <w:numId w:val="0"/>
        </w:numPr>
        <w:ind w:left="864" w:leftChars="100" w:hanging="624"/>
        <w:rPr>
          <w:highlight w:val="none"/>
        </w:rPr>
      </w:pPr>
      <w:r>
        <w:rPr>
          <w:rFonts w:hint="eastAsia"/>
          <w:highlight w:val="none"/>
        </w:rPr>
        <w:t>6.5.1.</w:t>
      </w:r>
      <w:r>
        <w:rPr>
          <w:rFonts w:hint="eastAsia"/>
          <w:highlight w:val="none"/>
          <w:lang w:val="en-US" w:eastAsia="zh-CN"/>
        </w:rPr>
        <w:t>6</w:t>
      </w:r>
      <w:r>
        <w:rPr>
          <w:rFonts w:hint="eastAsia"/>
          <w:highlight w:val="none"/>
        </w:rPr>
        <w:t>参建单位进场后 7 天编制本项目工程样板计划表并报监理人、发包人审批；</w:t>
      </w:r>
    </w:p>
    <w:p w14:paraId="037BFF70">
      <w:pPr>
        <w:pStyle w:val="6"/>
        <w:numPr>
          <w:ilvl w:val="3"/>
          <w:numId w:val="0"/>
        </w:numPr>
        <w:ind w:left="864" w:leftChars="100" w:hanging="624"/>
        <w:rPr>
          <w:highlight w:val="none"/>
        </w:rPr>
      </w:pPr>
      <w:r>
        <w:rPr>
          <w:rFonts w:hint="eastAsia"/>
          <w:highlight w:val="none"/>
        </w:rPr>
        <w:t>6.5.1.</w:t>
      </w:r>
      <w:r>
        <w:rPr>
          <w:rFonts w:hint="eastAsia"/>
          <w:highlight w:val="none"/>
          <w:lang w:val="en-US" w:eastAsia="zh-CN"/>
        </w:rPr>
        <w:t>7</w:t>
      </w:r>
      <w:r>
        <w:rPr>
          <w:highlight w:val="none"/>
        </w:rPr>
        <w:t>面积开工前，工艺样板交底完成后，在实体制作施工样板，施工样板经</w:t>
      </w:r>
      <w:r>
        <w:rPr>
          <w:rFonts w:hint="eastAsia"/>
          <w:highlight w:val="none"/>
        </w:rPr>
        <w:t>监理人/发包人</w:t>
      </w:r>
      <w:r>
        <w:rPr>
          <w:highlight w:val="none"/>
        </w:rPr>
        <w:t>验收合格后，再进行大面积施工</w:t>
      </w:r>
      <w:r>
        <w:rPr>
          <w:rFonts w:hint="eastAsia"/>
          <w:highlight w:val="none"/>
        </w:rPr>
        <w:t>；</w:t>
      </w:r>
    </w:p>
    <w:p w14:paraId="39BF6284">
      <w:pPr>
        <w:pStyle w:val="5"/>
        <w:numPr>
          <w:ilvl w:val="2"/>
          <w:numId w:val="0"/>
        </w:numPr>
        <w:ind w:left="624" w:hanging="624"/>
        <w:rPr>
          <w:highlight w:val="none"/>
        </w:rPr>
      </w:pPr>
      <w:bookmarkStart w:id="345" w:name="_Toc23995"/>
      <w:r>
        <w:rPr>
          <w:rFonts w:hint="eastAsia"/>
          <w:highlight w:val="none"/>
        </w:rPr>
        <w:t>6.5.2样板管理要求</w:t>
      </w:r>
      <w:bookmarkEnd w:id="345"/>
    </w:p>
    <w:p w14:paraId="3F9C6F69">
      <w:pPr>
        <w:ind w:firstLine="480"/>
        <w:rPr>
          <w:highlight w:val="none"/>
        </w:rPr>
      </w:pPr>
      <w:r>
        <w:rPr>
          <w:rFonts w:hint="eastAsia"/>
          <w:highlight w:val="none"/>
        </w:rPr>
        <w:t>本项目样板设置主要分为：</w:t>
      </w:r>
    </w:p>
    <w:p w14:paraId="500D92A8">
      <w:pPr>
        <w:numPr>
          <w:ilvl w:val="0"/>
          <w:numId w:val="18"/>
        </w:numPr>
        <w:ind w:firstLine="480"/>
        <w:rPr>
          <w:highlight w:val="none"/>
        </w:rPr>
      </w:pPr>
      <w:r>
        <w:rPr>
          <w:rFonts w:hint="eastAsia"/>
          <w:highlight w:val="none"/>
        </w:rPr>
        <w:t>材料样板：要求设置单位材料封样间，保证所有主控材料百分百封样，达到材料品控管理的目的。</w:t>
      </w:r>
    </w:p>
    <w:p w14:paraId="34C12165">
      <w:pPr>
        <w:numPr>
          <w:ilvl w:val="0"/>
          <w:numId w:val="18"/>
        </w:numPr>
        <w:ind w:firstLine="480"/>
        <w:rPr>
          <w:highlight w:val="none"/>
        </w:rPr>
      </w:pPr>
      <w:r>
        <w:rPr>
          <w:rFonts w:hint="eastAsia"/>
          <w:highlight w:val="none"/>
        </w:rPr>
        <w:t>工艺展示样板;为工艺实体样板，项目主要工艺做法、重点控制节点，以节点模型的方式统一放置于户外的“展示样板区”，节点模型比例尺可根据实际情况进行调整；</w:t>
      </w:r>
    </w:p>
    <w:p w14:paraId="42A8342B">
      <w:pPr>
        <w:numPr>
          <w:ilvl w:val="0"/>
          <w:numId w:val="18"/>
        </w:numPr>
        <w:ind w:firstLine="480"/>
        <w:rPr>
          <w:highlight w:val="none"/>
        </w:rPr>
      </w:pPr>
      <w:r>
        <w:rPr>
          <w:rFonts w:hint="eastAsia"/>
          <w:highlight w:val="none"/>
        </w:rPr>
        <w:t>实体工序样板：每道工序开始施工的第一块区域，严格按照规范、图纸设计要求及交底进行施工。施工完成后由承包人、设计人、监理人、发包人共同进行验收，验收合格后按照样板标准进行大面积施工。有条件的情况下还需要保留工序工艺做法，形成工序样板展示间。</w:t>
      </w:r>
    </w:p>
    <w:p w14:paraId="3354A069">
      <w:pPr>
        <w:numPr>
          <w:ilvl w:val="0"/>
          <w:numId w:val="18"/>
        </w:numPr>
        <w:ind w:firstLine="480"/>
        <w:rPr>
          <w:highlight w:val="none"/>
        </w:rPr>
      </w:pPr>
      <w:r>
        <w:rPr>
          <w:rFonts w:hint="eastAsia"/>
          <w:highlight w:val="none"/>
        </w:rPr>
        <w:t>大货样板：指在工序施工完成后，明确交付标准且无质量问题的建筑结构区域，即精装、外立面、景观园林大面施工前，按照交付标准首先完成一定范围的施工展示。由承包人、设计人、监理人、发包人共同进行验收，验收合格后按照样板标准进行大面积施工。</w:t>
      </w:r>
    </w:p>
    <w:p w14:paraId="10344649">
      <w:pPr>
        <w:pStyle w:val="6"/>
        <w:numPr>
          <w:ilvl w:val="3"/>
          <w:numId w:val="0"/>
        </w:numPr>
        <w:ind w:left="864" w:leftChars="100" w:hanging="624"/>
        <w:rPr>
          <w:highlight w:val="none"/>
        </w:rPr>
      </w:pPr>
      <w:r>
        <w:rPr>
          <w:rFonts w:hint="eastAsia"/>
          <w:highlight w:val="none"/>
        </w:rPr>
        <w:t>6.5.2.1乙供材料看样定板</w:t>
      </w:r>
    </w:p>
    <w:p w14:paraId="192E31BD">
      <w:pPr>
        <w:ind w:firstLine="480"/>
        <w:rPr>
          <w:highlight w:val="none"/>
        </w:rPr>
      </w:pPr>
      <w:r>
        <w:rPr>
          <w:rFonts w:hint="eastAsia"/>
          <w:highlight w:val="none"/>
        </w:rPr>
        <w:t>（1）涉及观感类：承包人按施工进度节点提供样品，经发包人现场看样签认后进行进行封样留存，保证后期进场的材料与封样样品完全一致。</w:t>
      </w:r>
    </w:p>
    <w:p w14:paraId="2F6FE97C">
      <w:pPr>
        <w:ind w:firstLine="480"/>
        <w:rPr>
          <w:highlight w:val="none"/>
        </w:rPr>
      </w:pPr>
      <w:r>
        <w:rPr>
          <w:rFonts w:hint="eastAsia"/>
          <w:highlight w:val="none"/>
        </w:rPr>
        <w:t>（2）非观感类：承包人采购的材料设备必须符合合同文件约定的规格、质量和性能，材料设备品牌选择范围应等同或相当于《主要设备材料推荐品牌表》并按看样定板制度里的申报附件要求提供资料，并经监理人审议后确定。</w:t>
      </w:r>
    </w:p>
    <w:p w14:paraId="7061B294">
      <w:pPr>
        <w:pStyle w:val="6"/>
        <w:numPr>
          <w:ilvl w:val="3"/>
          <w:numId w:val="0"/>
        </w:numPr>
        <w:ind w:left="864" w:leftChars="100" w:hanging="624"/>
        <w:rPr>
          <w:highlight w:val="none"/>
        </w:rPr>
      </w:pPr>
      <w:r>
        <w:rPr>
          <w:rFonts w:hint="eastAsia"/>
          <w:highlight w:val="none"/>
        </w:rPr>
        <w:t>6.5.2.2工艺展示样板</w:t>
      </w:r>
    </w:p>
    <w:p w14:paraId="6F4A84B1">
      <w:pPr>
        <w:ind w:firstLine="480"/>
        <w:rPr>
          <w:highlight w:val="none"/>
        </w:rPr>
      </w:pPr>
      <w:r>
        <w:rPr>
          <w:rFonts w:hint="eastAsia"/>
          <w:highlight w:val="none"/>
        </w:rPr>
        <w:t>（1）承包人需按照发包人要求依据本项目设计图纸在现场制作全过程主要工序的工艺样板，根据项目工程特点在施工过程中或在施工现场划出一定范围的区域，做为样板展示区，样板区内的各专业工种细部构造均应以剖断面的形式展示。所有剖断面部位应有施工工艺标准说明、工艺流程说明、工序交接标准说明、常见的质量常见问题防治措施说明等。由此产生的任何费用发包人不另行补偿，且不得因此影响工程进度。</w:t>
      </w:r>
    </w:p>
    <w:p w14:paraId="3DA91A58">
      <w:pPr>
        <w:ind w:firstLine="480"/>
        <w:rPr>
          <w:highlight w:val="none"/>
        </w:rPr>
      </w:pPr>
      <w:r>
        <w:rPr>
          <w:rFonts w:hint="eastAsia"/>
          <w:highlight w:val="none"/>
        </w:rPr>
        <w:t>（</w:t>
      </w:r>
      <w:r>
        <w:rPr>
          <w:highlight w:val="none"/>
        </w:rPr>
        <w:t>2</w:t>
      </w:r>
      <w:r>
        <w:rPr>
          <w:rFonts w:hint="eastAsia"/>
          <w:highlight w:val="none"/>
        </w:rPr>
        <w:t>）外墙装饰施工工程将按照要求进行上墙打样，样板位置及区域由发包人指定。承包人报价及施工组织安排时考虑此因素，后期若因外墙装饰上墙打样而产生的进度延误及所需费用均由承包人自行承担，后期不予进行费用调整且不得因此影响工程进度。</w:t>
      </w:r>
    </w:p>
    <w:p w14:paraId="534DE87F">
      <w:pPr>
        <w:pStyle w:val="6"/>
        <w:numPr>
          <w:ilvl w:val="3"/>
          <w:numId w:val="0"/>
        </w:numPr>
        <w:ind w:left="864" w:leftChars="100" w:hanging="624"/>
        <w:rPr>
          <w:highlight w:val="none"/>
        </w:rPr>
      </w:pPr>
      <w:r>
        <w:rPr>
          <w:rFonts w:hint="eastAsia"/>
          <w:highlight w:val="none"/>
        </w:rPr>
        <w:t>6.5.2.3实体工序样板</w:t>
      </w:r>
    </w:p>
    <w:p w14:paraId="336EE14B">
      <w:pPr>
        <w:ind w:firstLine="480"/>
        <w:rPr>
          <w:highlight w:val="none"/>
        </w:rPr>
      </w:pPr>
      <w:r>
        <w:rPr>
          <w:rFonts w:hint="eastAsia"/>
          <w:highlight w:val="none"/>
        </w:rPr>
        <w:t>（1）正式蓝图下发后30日内，承包人需结合项目自身质量管理实际的基础上，就做样类别及范围与发包人充分沟通，编制《工程样板清单及实施计划》，经监理人审核后方可实施。</w:t>
      </w:r>
    </w:p>
    <w:p w14:paraId="6D90F79C">
      <w:pPr>
        <w:ind w:firstLine="480"/>
        <w:rPr>
          <w:highlight w:val="none"/>
        </w:rPr>
      </w:pPr>
      <w:r>
        <w:rPr>
          <w:rFonts w:hint="eastAsia"/>
          <w:highlight w:val="none"/>
        </w:rPr>
        <w:t>（2）承包人应在施工前为提前了解施工工序，统一施工工艺做法，确保大面积施工按要求顺利展开，应在每一分项工程施工前，进行样板的施工,在施工完成后经监理人验收并签确样板验收确认单，样板确认过程中的整改承包人需无条件配合，工程样板清单内的所有工序均需在样板确认单签确后实施。</w:t>
      </w:r>
    </w:p>
    <w:p w14:paraId="2B4DDDC4">
      <w:pPr>
        <w:ind w:firstLine="480"/>
        <w:rPr>
          <w:highlight w:val="none"/>
        </w:rPr>
      </w:pPr>
      <w:r>
        <w:rPr>
          <w:rFonts w:hint="eastAsia"/>
          <w:highlight w:val="none"/>
        </w:rPr>
        <w:t>（3）实体工序样板包含但不限于：</w:t>
      </w:r>
    </w:p>
    <w:p w14:paraId="69C41734">
      <w:pPr>
        <w:ind w:firstLine="480"/>
        <w:rPr>
          <w:highlight w:val="none"/>
        </w:rPr>
      </w:pPr>
      <w:r>
        <w:rPr>
          <w:rFonts w:hint="eastAsia"/>
          <w:highlight w:val="none"/>
        </w:rPr>
        <w:t xml:space="preserve">钢筋工程、混凝土工程（含模板工程）、砌体工程、抹灰工程、腻子工程、屋面工程、外墙防水样板、CMC样板（若有）、室内地坪及楼梯踏步、机电工程、装饰装修工程（包括但不限于一个完整标准层、首层大堂等）、园林工程（包括不限于铺装、乔木灌木草坪、铁艺、灯具、标识、垃圾桶）等。 </w:t>
      </w:r>
    </w:p>
    <w:p w14:paraId="2E70E816">
      <w:pPr>
        <w:ind w:firstLine="480"/>
        <w:rPr>
          <w:highlight w:val="none"/>
        </w:rPr>
      </w:pPr>
      <w:r>
        <w:rPr>
          <w:rFonts w:hint="eastAsia"/>
          <w:highlight w:val="none"/>
        </w:rPr>
        <w:t>当每项实体工序样板中存在材料不同将引起工艺改变时，应分不同材料加做样板。特别说明，对于砌体/ALC样板除完成砌体/ALC外，尚应完成样板范围内所有机电专业管线、设备设施的安装工作（包括强弱电线管安装，强弱电箱安装，开关、插座及弱电设备底盒预埋，空调洞口预留，给排水管道安装），当受条件影响不能以实物安装时，应以同规格尺寸的替代物模拟安装完成。</w:t>
      </w:r>
    </w:p>
    <w:p w14:paraId="7414ABE4">
      <w:pPr>
        <w:pStyle w:val="6"/>
        <w:numPr>
          <w:ilvl w:val="3"/>
          <w:numId w:val="0"/>
        </w:numPr>
        <w:ind w:left="864" w:leftChars="100" w:hanging="624"/>
        <w:rPr>
          <w:highlight w:val="none"/>
        </w:rPr>
      </w:pPr>
      <w:r>
        <w:rPr>
          <w:rFonts w:hint="eastAsia"/>
          <w:highlight w:val="none"/>
        </w:rPr>
        <w:t>6.5.2.4大货样板</w:t>
      </w:r>
    </w:p>
    <w:p w14:paraId="323FB550">
      <w:pPr>
        <w:ind w:firstLine="480"/>
        <w:rPr>
          <w:highlight w:val="none"/>
        </w:rPr>
      </w:pPr>
      <w:r>
        <w:rPr>
          <w:rFonts w:hint="eastAsia"/>
          <w:highlight w:val="none"/>
        </w:rPr>
        <w:t>大货样板包含五类：典型户型室内交付标准、大堂装饰交付标准、交付标准、外墙装饰样板、综合机电样板（公共区域）。总承包人须完成对应合同工程范围内的样板施工。</w:t>
      </w:r>
    </w:p>
    <w:p w14:paraId="791F3717">
      <w:pPr>
        <w:ind w:firstLine="480"/>
        <w:rPr>
          <w:highlight w:val="none"/>
        </w:rPr>
      </w:pPr>
      <w:r>
        <w:rPr>
          <w:rFonts w:hint="eastAsia"/>
          <w:highlight w:val="none"/>
        </w:rPr>
        <w:t>交房标准样板的具体项目及数量如下表所示：</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383"/>
        <w:gridCol w:w="5843"/>
      </w:tblGrid>
      <w:tr w14:paraId="4512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noWrap w:val="0"/>
            <w:vAlign w:val="center"/>
          </w:tcPr>
          <w:p w14:paraId="5057BE78">
            <w:pPr>
              <w:pStyle w:val="13"/>
              <w:rPr>
                <w:b/>
                <w:bCs/>
                <w:highlight w:val="none"/>
              </w:rPr>
            </w:pPr>
            <w:r>
              <w:rPr>
                <w:rFonts w:hint="eastAsia"/>
                <w:b/>
                <w:bCs/>
                <w:highlight w:val="none"/>
              </w:rPr>
              <w:t>序号</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198DED15">
            <w:pPr>
              <w:pStyle w:val="13"/>
              <w:rPr>
                <w:b/>
                <w:bCs/>
                <w:highlight w:val="none"/>
              </w:rPr>
            </w:pPr>
            <w:r>
              <w:rPr>
                <w:rFonts w:hint="eastAsia"/>
                <w:b/>
                <w:bCs/>
                <w:highlight w:val="none"/>
              </w:rPr>
              <w:t>样板名称</w:t>
            </w:r>
          </w:p>
        </w:tc>
        <w:tc>
          <w:tcPr>
            <w:tcW w:w="3225" w:type="pct"/>
            <w:tcBorders>
              <w:top w:val="single" w:color="auto" w:sz="4" w:space="0"/>
              <w:left w:val="single" w:color="auto" w:sz="4" w:space="0"/>
              <w:bottom w:val="single" w:color="auto" w:sz="4" w:space="0"/>
              <w:right w:val="single" w:color="auto" w:sz="4" w:space="0"/>
            </w:tcBorders>
            <w:noWrap w:val="0"/>
            <w:vAlign w:val="center"/>
          </w:tcPr>
          <w:p w14:paraId="49997A61">
            <w:pPr>
              <w:pStyle w:val="13"/>
              <w:rPr>
                <w:b/>
                <w:bCs/>
                <w:highlight w:val="none"/>
              </w:rPr>
            </w:pPr>
            <w:r>
              <w:rPr>
                <w:rFonts w:hint="eastAsia"/>
                <w:b/>
                <w:bCs/>
                <w:highlight w:val="none"/>
              </w:rPr>
              <w:t>验收要点</w:t>
            </w:r>
          </w:p>
        </w:tc>
      </w:tr>
      <w:tr w14:paraId="5ECE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noWrap w:val="0"/>
            <w:vAlign w:val="center"/>
          </w:tcPr>
          <w:p w14:paraId="23D6A85D">
            <w:pPr>
              <w:pStyle w:val="13"/>
              <w:rPr>
                <w:highlight w:val="none"/>
              </w:rPr>
            </w:pPr>
            <w:r>
              <w:rPr>
                <w:highlight w:val="none"/>
              </w:rPr>
              <w:t>1</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1D104114">
            <w:pPr>
              <w:pStyle w:val="13"/>
              <w:rPr>
                <w:highlight w:val="none"/>
              </w:rPr>
            </w:pPr>
            <w:r>
              <w:rPr>
                <w:rFonts w:hint="eastAsia"/>
                <w:highlight w:val="none"/>
              </w:rPr>
              <w:t>典型户型室内交付标准</w:t>
            </w:r>
          </w:p>
        </w:tc>
        <w:tc>
          <w:tcPr>
            <w:tcW w:w="3225" w:type="pct"/>
            <w:vMerge w:val="restart"/>
            <w:tcBorders>
              <w:top w:val="single" w:color="auto" w:sz="4" w:space="0"/>
              <w:left w:val="single" w:color="auto" w:sz="4" w:space="0"/>
              <w:right w:val="single" w:color="auto" w:sz="4" w:space="0"/>
            </w:tcBorders>
            <w:noWrap w:val="0"/>
            <w:vAlign w:val="center"/>
          </w:tcPr>
          <w:p w14:paraId="54108FAB">
            <w:pPr>
              <w:pStyle w:val="13"/>
              <w:rPr>
                <w:highlight w:val="none"/>
              </w:rPr>
            </w:pPr>
            <w:r>
              <w:rPr>
                <w:highlight w:val="none"/>
              </w:rPr>
              <w:t>1</w:t>
            </w:r>
            <w:r>
              <w:rPr>
                <w:rFonts w:hint="eastAsia"/>
                <w:highlight w:val="none"/>
              </w:rPr>
              <w:t>、与交付标准是否相符；</w:t>
            </w:r>
            <w:r>
              <w:rPr>
                <w:highlight w:val="none"/>
              </w:rPr>
              <w:t>2</w:t>
            </w:r>
            <w:r>
              <w:rPr>
                <w:rFonts w:hint="eastAsia"/>
                <w:highlight w:val="none"/>
              </w:rPr>
              <w:t>、使用功能是否合理；</w:t>
            </w:r>
            <w:r>
              <w:rPr>
                <w:highlight w:val="none"/>
              </w:rPr>
              <w:t>3</w:t>
            </w:r>
            <w:r>
              <w:rPr>
                <w:rFonts w:hint="eastAsia"/>
                <w:highlight w:val="none"/>
              </w:rPr>
              <w:t>、施工图纸是否合理；</w:t>
            </w:r>
            <w:r>
              <w:rPr>
                <w:highlight w:val="none"/>
              </w:rPr>
              <w:t>4</w:t>
            </w:r>
            <w:r>
              <w:rPr>
                <w:rFonts w:hint="eastAsia"/>
                <w:highlight w:val="none"/>
              </w:rPr>
              <w:t>、界面分判是否合理；</w:t>
            </w:r>
            <w:r>
              <w:rPr>
                <w:highlight w:val="none"/>
              </w:rPr>
              <w:t>5</w:t>
            </w:r>
            <w:r>
              <w:rPr>
                <w:rFonts w:hint="eastAsia"/>
                <w:highlight w:val="none"/>
              </w:rPr>
              <w:t>、感观标准是否满足要求</w:t>
            </w:r>
          </w:p>
        </w:tc>
      </w:tr>
      <w:tr w14:paraId="6DB6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noWrap w:val="0"/>
            <w:vAlign w:val="center"/>
          </w:tcPr>
          <w:p w14:paraId="78920E4C">
            <w:pPr>
              <w:pStyle w:val="13"/>
              <w:rPr>
                <w:highlight w:val="none"/>
              </w:rPr>
            </w:pPr>
            <w:r>
              <w:rPr>
                <w:highlight w:val="none"/>
              </w:rPr>
              <w:t>2</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0A5DA65B">
            <w:pPr>
              <w:pStyle w:val="13"/>
              <w:rPr>
                <w:highlight w:val="none"/>
              </w:rPr>
            </w:pPr>
            <w:r>
              <w:rPr>
                <w:rFonts w:hint="eastAsia"/>
                <w:highlight w:val="none"/>
              </w:rPr>
              <w:t>大堂装饰交付标准</w:t>
            </w:r>
          </w:p>
        </w:tc>
        <w:tc>
          <w:tcPr>
            <w:tcW w:w="3225" w:type="pct"/>
            <w:vMerge w:val="continue"/>
            <w:tcBorders>
              <w:left w:val="single" w:color="auto" w:sz="4" w:space="0"/>
              <w:right w:val="single" w:color="auto" w:sz="4" w:space="0"/>
            </w:tcBorders>
            <w:noWrap w:val="0"/>
            <w:vAlign w:val="center"/>
          </w:tcPr>
          <w:p w14:paraId="0DC1613C">
            <w:pPr>
              <w:pStyle w:val="13"/>
              <w:rPr>
                <w:highlight w:val="none"/>
              </w:rPr>
            </w:pPr>
          </w:p>
        </w:tc>
      </w:tr>
      <w:tr w14:paraId="1824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noWrap w:val="0"/>
            <w:vAlign w:val="center"/>
          </w:tcPr>
          <w:p w14:paraId="010E16DD">
            <w:pPr>
              <w:pStyle w:val="13"/>
              <w:rPr>
                <w:highlight w:val="none"/>
              </w:rPr>
            </w:pPr>
            <w:r>
              <w:rPr>
                <w:highlight w:val="none"/>
              </w:rPr>
              <w:t>4</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6319785B">
            <w:pPr>
              <w:pStyle w:val="13"/>
              <w:rPr>
                <w:highlight w:val="none"/>
              </w:rPr>
            </w:pPr>
            <w:r>
              <w:rPr>
                <w:rFonts w:hint="eastAsia"/>
                <w:highlight w:val="none"/>
              </w:rPr>
              <w:t>外墙装饰样板</w:t>
            </w:r>
          </w:p>
        </w:tc>
        <w:tc>
          <w:tcPr>
            <w:tcW w:w="3225" w:type="pct"/>
            <w:vMerge w:val="continue"/>
            <w:tcBorders>
              <w:left w:val="single" w:color="auto" w:sz="4" w:space="0"/>
              <w:right w:val="single" w:color="auto" w:sz="4" w:space="0"/>
            </w:tcBorders>
            <w:noWrap w:val="0"/>
            <w:vAlign w:val="center"/>
          </w:tcPr>
          <w:p w14:paraId="6CAEC7BB">
            <w:pPr>
              <w:pStyle w:val="13"/>
              <w:rPr>
                <w:highlight w:val="none"/>
              </w:rPr>
            </w:pPr>
          </w:p>
        </w:tc>
      </w:tr>
      <w:tr w14:paraId="0753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noWrap w:val="0"/>
            <w:vAlign w:val="center"/>
          </w:tcPr>
          <w:p w14:paraId="7D7A94D4">
            <w:pPr>
              <w:pStyle w:val="13"/>
              <w:rPr>
                <w:highlight w:val="none"/>
              </w:rPr>
            </w:pPr>
            <w:r>
              <w:rPr>
                <w:highlight w:val="none"/>
              </w:rPr>
              <w:t>5</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415C1C3D">
            <w:pPr>
              <w:pStyle w:val="13"/>
              <w:rPr>
                <w:highlight w:val="none"/>
              </w:rPr>
            </w:pPr>
            <w:r>
              <w:rPr>
                <w:rFonts w:hint="eastAsia"/>
                <w:highlight w:val="none"/>
              </w:rPr>
              <w:t>综合机电样板</w:t>
            </w:r>
          </w:p>
        </w:tc>
        <w:tc>
          <w:tcPr>
            <w:tcW w:w="3225" w:type="pct"/>
            <w:vMerge w:val="continue"/>
            <w:tcBorders>
              <w:left w:val="single" w:color="auto" w:sz="4" w:space="0"/>
              <w:right w:val="single" w:color="auto" w:sz="4" w:space="0"/>
            </w:tcBorders>
            <w:noWrap w:val="0"/>
            <w:vAlign w:val="center"/>
          </w:tcPr>
          <w:p w14:paraId="2E0EE1C8">
            <w:pPr>
              <w:pStyle w:val="13"/>
              <w:rPr>
                <w:highlight w:val="none"/>
              </w:rPr>
            </w:pPr>
          </w:p>
        </w:tc>
      </w:tr>
      <w:tr w14:paraId="21C1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noWrap w:val="0"/>
            <w:vAlign w:val="center"/>
          </w:tcPr>
          <w:p w14:paraId="0EAEBCF8">
            <w:pPr>
              <w:pStyle w:val="13"/>
              <w:rPr>
                <w:highlight w:val="none"/>
              </w:rPr>
            </w:pPr>
            <w:r>
              <w:rPr>
                <w:rFonts w:hint="eastAsia"/>
                <w:highlight w:val="none"/>
              </w:rPr>
              <w:t>6</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0F06E2F0">
            <w:pPr>
              <w:pStyle w:val="13"/>
              <w:rPr>
                <w:highlight w:val="none"/>
              </w:rPr>
            </w:pPr>
            <w:r>
              <w:rPr>
                <w:rFonts w:hint="eastAsia"/>
                <w:highlight w:val="none"/>
              </w:rPr>
              <w:t>景观样板</w:t>
            </w:r>
          </w:p>
        </w:tc>
        <w:tc>
          <w:tcPr>
            <w:tcW w:w="3225" w:type="pct"/>
            <w:vMerge w:val="continue"/>
            <w:tcBorders>
              <w:left w:val="single" w:color="auto" w:sz="4" w:space="0"/>
              <w:bottom w:val="single" w:color="auto" w:sz="4" w:space="0"/>
              <w:right w:val="single" w:color="auto" w:sz="4" w:space="0"/>
            </w:tcBorders>
            <w:noWrap w:val="0"/>
            <w:vAlign w:val="center"/>
          </w:tcPr>
          <w:p w14:paraId="7810FD45">
            <w:pPr>
              <w:pStyle w:val="13"/>
              <w:rPr>
                <w:highlight w:val="none"/>
              </w:rPr>
            </w:pPr>
          </w:p>
        </w:tc>
      </w:tr>
    </w:tbl>
    <w:p w14:paraId="3771C2A1">
      <w:pPr>
        <w:ind w:firstLine="480"/>
        <w:rPr>
          <w:highlight w:val="none"/>
        </w:rPr>
      </w:pPr>
      <w:r>
        <w:rPr>
          <w:rFonts w:hint="eastAsia"/>
          <w:highlight w:val="none"/>
        </w:rPr>
        <w:t>功能样板的工序质量要求按实地工序样板点评意见执行。</w:t>
      </w:r>
    </w:p>
    <w:p w14:paraId="365BE068">
      <w:pPr>
        <w:pStyle w:val="4"/>
        <w:numPr>
          <w:ilvl w:val="1"/>
          <w:numId w:val="0"/>
        </w:numPr>
        <w:ind w:left="624" w:hanging="624"/>
        <w:rPr>
          <w:highlight w:val="none"/>
        </w:rPr>
      </w:pPr>
      <w:bookmarkStart w:id="346" w:name="_Toc32725"/>
      <w:bookmarkStart w:id="347" w:name="_Toc14342"/>
      <w:bookmarkStart w:id="348" w:name="_Toc19496"/>
      <w:bookmarkStart w:id="349" w:name="_Toc522"/>
      <w:bookmarkStart w:id="350" w:name="_Toc30200"/>
      <w:bookmarkStart w:id="351" w:name="_Toc10768"/>
      <w:bookmarkStart w:id="352" w:name="_Toc179562985"/>
      <w:bookmarkStart w:id="353" w:name="_Toc9831"/>
      <w:r>
        <w:rPr>
          <w:rFonts w:hint="eastAsia"/>
          <w:highlight w:val="none"/>
        </w:rPr>
        <w:t>6.6交付示范区</w:t>
      </w:r>
      <w:bookmarkEnd w:id="346"/>
      <w:r>
        <w:rPr>
          <w:rFonts w:hint="eastAsia"/>
          <w:highlight w:val="none"/>
        </w:rPr>
        <w:t>要求</w:t>
      </w:r>
      <w:bookmarkEnd w:id="347"/>
      <w:bookmarkEnd w:id="348"/>
      <w:bookmarkEnd w:id="349"/>
      <w:bookmarkEnd w:id="350"/>
      <w:bookmarkEnd w:id="351"/>
      <w:bookmarkEnd w:id="352"/>
      <w:bookmarkEnd w:id="353"/>
    </w:p>
    <w:p w14:paraId="172BE7F4">
      <w:pPr>
        <w:ind w:firstLine="480"/>
        <w:rPr>
          <w:highlight w:val="none"/>
        </w:rPr>
      </w:pPr>
      <w:r>
        <w:rPr>
          <w:rFonts w:hint="eastAsia"/>
          <w:highlight w:val="none"/>
        </w:rPr>
        <w:t>承包人应完成交付样板示范区专项策划，在场内合适区域打造示范区，示范区包括但不限于大货样板展示、示范区围蔽、示范区物料、示范区展板展牌等。具体示范区选址及展示时间以发包人要求为准。示范区专项策划应对交付样板间以及示范区展示范围进行详尽的施工组织与时间安排，总承包人应负责项目整体示范区策划工作并统筹各专业承包人深化设计工作，以汇报形式经发包人确认后按策划实施，示范区打造产生的包括成品保护、保洁、施工便道、临时围蔽等措施费用发包人投标报价中综合考虑，不另行计取，且不得因此影响工程进度。</w:t>
      </w:r>
    </w:p>
    <w:p w14:paraId="52B36644">
      <w:pPr>
        <w:ind w:firstLine="480"/>
        <w:rPr>
          <w:highlight w:val="none"/>
        </w:rPr>
      </w:pPr>
      <w:r>
        <w:rPr>
          <w:rFonts w:hint="eastAsia"/>
          <w:highlight w:val="none"/>
        </w:rPr>
        <w:t>交付样板示范区可分阶段进行展示：</w:t>
      </w:r>
    </w:p>
    <w:p w14:paraId="62FD2AAC">
      <w:pPr>
        <w:pStyle w:val="5"/>
        <w:numPr>
          <w:ilvl w:val="2"/>
          <w:numId w:val="0"/>
        </w:numPr>
        <w:ind w:left="624" w:hanging="624"/>
        <w:rPr>
          <w:highlight w:val="none"/>
        </w:rPr>
      </w:pPr>
      <w:bookmarkStart w:id="354" w:name="_Toc12010"/>
      <w:r>
        <w:rPr>
          <w:rFonts w:hint="eastAsia"/>
          <w:highlight w:val="none"/>
        </w:rPr>
        <w:t>6.6.1户内交付标准：</w:t>
      </w:r>
      <w:bookmarkEnd w:id="354"/>
    </w:p>
    <w:p w14:paraId="406D7786">
      <w:pPr>
        <w:ind w:firstLine="480"/>
        <w:rPr>
          <w:highlight w:val="none"/>
        </w:rPr>
      </w:pPr>
      <w:r>
        <w:rPr>
          <w:highlight w:val="none"/>
        </w:rPr>
        <w:t>1</w:t>
      </w:r>
      <w:r>
        <w:rPr>
          <w:rFonts w:hint="eastAsia"/>
          <w:highlight w:val="none"/>
        </w:rPr>
        <w:t>）展示内容：户内交付标准</w:t>
      </w:r>
    </w:p>
    <w:p w14:paraId="3820D9F3">
      <w:pPr>
        <w:ind w:firstLine="480"/>
        <w:rPr>
          <w:highlight w:val="none"/>
        </w:rPr>
      </w:pPr>
      <w:r>
        <w:rPr>
          <w:rFonts w:hint="eastAsia"/>
          <w:highlight w:val="none"/>
        </w:rPr>
        <w:t>2）展示条件：</w:t>
      </w:r>
    </w:p>
    <w:p w14:paraId="5D90DDDE">
      <w:pPr>
        <w:ind w:firstLine="480"/>
        <w:rPr>
          <w:highlight w:val="none"/>
        </w:rPr>
      </w:pPr>
      <w:r>
        <w:rPr>
          <w:rFonts w:hint="eastAsia"/>
          <w:highlight w:val="none"/>
        </w:rPr>
        <w:t>①室内按交付标准完成所有构造做法。</w:t>
      </w:r>
    </w:p>
    <w:p w14:paraId="54448D77">
      <w:pPr>
        <w:ind w:firstLine="480"/>
        <w:rPr>
          <w:highlight w:val="none"/>
        </w:rPr>
      </w:pPr>
      <w:r>
        <w:rPr>
          <w:rFonts w:hint="eastAsia"/>
          <w:highlight w:val="none"/>
        </w:rPr>
        <w:t>②自工地大门至展示楼栋具备全硬化车型道路及人行道路。</w:t>
      </w:r>
    </w:p>
    <w:p w14:paraId="06C478FF">
      <w:pPr>
        <w:pStyle w:val="5"/>
        <w:numPr>
          <w:ilvl w:val="2"/>
          <w:numId w:val="0"/>
        </w:numPr>
        <w:ind w:left="624" w:hanging="624"/>
        <w:rPr>
          <w:highlight w:val="none"/>
        </w:rPr>
      </w:pPr>
      <w:bookmarkStart w:id="355" w:name="_Toc26196"/>
      <w:r>
        <w:rPr>
          <w:rFonts w:hint="eastAsia"/>
          <w:highlight w:val="none"/>
        </w:rPr>
        <w:t>6.6.2公共区域：</w:t>
      </w:r>
      <w:bookmarkEnd w:id="355"/>
    </w:p>
    <w:p w14:paraId="6C2074B4">
      <w:pPr>
        <w:ind w:firstLine="480"/>
        <w:rPr>
          <w:highlight w:val="none"/>
        </w:rPr>
      </w:pPr>
      <w:r>
        <w:rPr>
          <w:highlight w:val="none"/>
        </w:rPr>
        <w:t>1</w:t>
      </w:r>
      <w:r>
        <w:rPr>
          <w:rFonts w:hint="eastAsia"/>
          <w:highlight w:val="none"/>
        </w:rPr>
        <w:t>）展示内容：标准层公区交付标准、水电管井交付标准、外立面效果呈现</w:t>
      </w:r>
    </w:p>
    <w:p w14:paraId="6E6EB9F0">
      <w:pPr>
        <w:ind w:firstLine="480"/>
        <w:rPr>
          <w:highlight w:val="none"/>
        </w:rPr>
      </w:pPr>
      <w:r>
        <w:rPr>
          <w:highlight w:val="none"/>
        </w:rPr>
        <w:t>2</w:t>
      </w:r>
      <w:r>
        <w:rPr>
          <w:rFonts w:hint="eastAsia"/>
          <w:highlight w:val="none"/>
        </w:rPr>
        <w:t>）展示条件：</w:t>
      </w:r>
    </w:p>
    <w:p w14:paraId="1D7822B3">
      <w:pPr>
        <w:ind w:firstLine="480"/>
        <w:rPr>
          <w:highlight w:val="none"/>
        </w:rPr>
      </w:pPr>
      <w:r>
        <w:rPr>
          <w:rFonts w:hint="eastAsia"/>
          <w:highlight w:val="none"/>
        </w:rPr>
        <w:t>①示范区内楼栋交付样板所在楼层公区所有精装修完成、灯具安装完成。</w:t>
      </w:r>
    </w:p>
    <w:p w14:paraId="46D1BD15">
      <w:pPr>
        <w:ind w:firstLine="480"/>
        <w:rPr>
          <w:highlight w:val="none"/>
        </w:rPr>
      </w:pPr>
      <w:r>
        <w:rPr>
          <w:rFonts w:hint="eastAsia"/>
          <w:highlight w:val="none"/>
        </w:rPr>
        <w:t>②第一道悬挑架拆除完成，水平硬防护设置完成，第一道悬挑架范围内外立面铺贴完成（不含入户大堂）</w:t>
      </w:r>
    </w:p>
    <w:p w14:paraId="5DAA3DDE">
      <w:pPr>
        <w:ind w:firstLine="480"/>
        <w:rPr>
          <w:highlight w:val="none"/>
        </w:rPr>
      </w:pPr>
      <w:r>
        <w:rPr>
          <w:rFonts w:hint="eastAsia"/>
          <w:highlight w:val="none"/>
        </w:rPr>
        <w:t>③公区通电（临电）</w:t>
      </w:r>
    </w:p>
    <w:p w14:paraId="42D7FA05">
      <w:pPr>
        <w:pStyle w:val="5"/>
        <w:numPr>
          <w:ilvl w:val="2"/>
          <w:numId w:val="0"/>
        </w:numPr>
        <w:ind w:left="624" w:hanging="624"/>
        <w:rPr>
          <w:highlight w:val="none"/>
        </w:rPr>
      </w:pPr>
      <w:bookmarkStart w:id="356" w:name="_Toc9125"/>
      <w:r>
        <w:rPr>
          <w:rFonts w:hint="eastAsia"/>
          <w:highlight w:val="none"/>
        </w:rPr>
        <w:t>6.6.3整体示范区：</w:t>
      </w:r>
      <w:bookmarkEnd w:id="356"/>
    </w:p>
    <w:p w14:paraId="147D0FAD">
      <w:pPr>
        <w:ind w:firstLine="480"/>
        <w:rPr>
          <w:highlight w:val="none"/>
        </w:rPr>
      </w:pPr>
      <w:r>
        <w:rPr>
          <w:highlight w:val="none"/>
        </w:rPr>
        <w:t>1</w:t>
      </w:r>
      <w:r>
        <w:rPr>
          <w:rFonts w:hint="eastAsia"/>
          <w:highlight w:val="none"/>
        </w:rPr>
        <w:t>）展示内容：户内交付标准、公区及首层大堂交付标准、外立面及景观效果呈现</w:t>
      </w:r>
    </w:p>
    <w:p w14:paraId="6AC880E1">
      <w:pPr>
        <w:ind w:firstLine="480"/>
        <w:rPr>
          <w:highlight w:val="none"/>
        </w:rPr>
      </w:pPr>
      <w:r>
        <w:rPr>
          <w:highlight w:val="none"/>
        </w:rPr>
        <w:t>2</w:t>
      </w:r>
      <w:r>
        <w:rPr>
          <w:rFonts w:hint="eastAsia"/>
          <w:highlight w:val="none"/>
        </w:rPr>
        <w:t>）展示条件：</w:t>
      </w:r>
    </w:p>
    <w:p w14:paraId="7341C452">
      <w:pPr>
        <w:ind w:firstLine="480"/>
        <w:rPr>
          <w:highlight w:val="none"/>
        </w:rPr>
      </w:pPr>
      <w:r>
        <w:rPr>
          <w:rFonts w:hint="eastAsia"/>
          <w:highlight w:val="none"/>
        </w:rPr>
        <w:t>①示范区主体结构外立面完成、外架拆除。（视情况第一道悬挑外架拆除完成，水平硬防护设置完成）</w:t>
      </w:r>
    </w:p>
    <w:p w14:paraId="51A8A593">
      <w:pPr>
        <w:ind w:firstLine="480"/>
        <w:rPr>
          <w:highlight w:val="none"/>
        </w:rPr>
      </w:pPr>
      <w:r>
        <w:rPr>
          <w:rFonts w:hint="eastAsia"/>
          <w:highlight w:val="none"/>
        </w:rPr>
        <w:t>②示范区内楼栋首层标准层公区精装修完成。</w:t>
      </w:r>
    </w:p>
    <w:p w14:paraId="410B2A2A">
      <w:pPr>
        <w:ind w:firstLine="480"/>
        <w:rPr>
          <w:highlight w:val="none"/>
        </w:rPr>
      </w:pPr>
      <w:r>
        <w:rPr>
          <w:rFonts w:hint="eastAsia"/>
          <w:highlight w:val="none"/>
        </w:rPr>
        <w:t>③示范区内楼栋首层大堂精装修完成。</w:t>
      </w:r>
    </w:p>
    <w:p w14:paraId="18E15A47">
      <w:pPr>
        <w:ind w:firstLine="480"/>
        <w:rPr>
          <w:highlight w:val="none"/>
        </w:rPr>
      </w:pPr>
      <w:r>
        <w:rPr>
          <w:rFonts w:hint="eastAsia"/>
          <w:highlight w:val="none"/>
        </w:rPr>
        <w:t>④示范区内所有园林景观完成。</w:t>
      </w:r>
    </w:p>
    <w:p w14:paraId="4248122D">
      <w:pPr>
        <w:ind w:firstLine="480"/>
        <w:rPr>
          <w:highlight w:val="none"/>
        </w:rPr>
      </w:pPr>
      <w:r>
        <w:rPr>
          <w:rFonts w:hint="eastAsia"/>
          <w:highlight w:val="none"/>
        </w:rPr>
        <w:t>⑤示范区园林景观与邻近施工区围蔽完成。</w:t>
      </w:r>
    </w:p>
    <w:p w14:paraId="24262E95">
      <w:pPr>
        <w:ind w:firstLine="480"/>
        <w:rPr>
          <w:highlight w:val="none"/>
        </w:rPr>
      </w:pPr>
      <w:r>
        <w:rPr>
          <w:rFonts w:hint="eastAsia"/>
          <w:highlight w:val="none"/>
        </w:rPr>
        <w:t>⑥参观动线与非参观区域围蔽完成。</w:t>
      </w:r>
    </w:p>
    <w:p w14:paraId="2CA82F6A">
      <w:pPr>
        <w:ind w:firstLine="480"/>
        <w:rPr>
          <w:highlight w:val="none"/>
        </w:rPr>
      </w:pPr>
      <w:r>
        <w:rPr>
          <w:rFonts w:hint="eastAsia"/>
          <w:highlight w:val="none"/>
        </w:rPr>
        <w:t>⑦户内通水通电（临水临电）</w:t>
      </w:r>
    </w:p>
    <w:p w14:paraId="1B7BF6E3">
      <w:pPr>
        <w:pStyle w:val="4"/>
        <w:numPr>
          <w:ilvl w:val="1"/>
          <w:numId w:val="0"/>
        </w:numPr>
        <w:ind w:left="624" w:hanging="624"/>
        <w:rPr>
          <w:highlight w:val="none"/>
        </w:rPr>
      </w:pPr>
      <w:bookmarkStart w:id="357" w:name="_Toc12550"/>
      <w:bookmarkStart w:id="358" w:name="_Toc25650"/>
      <w:bookmarkStart w:id="359" w:name="_Toc17357"/>
      <w:bookmarkStart w:id="360" w:name="_Toc7784"/>
      <w:bookmarkStart w:id="361" w:name="_Toc179562986"/>
      <w:bookmarkStart w:id="362" w:name="_Toc10234"/>
      <w:bookmarkStart w:id="363" w:name="_Toc2939"/>
      <w:bookmarkStart w:id="364" w:name="_Toc169722215"/>
      <w:r>
        <w:rPr>
          <w:rFonts w:hint="eastAsia"/>
          <w:highlight w:val="none"/>
        </w:rPr>
        <w:t>6.7工序交接</w:t>
      </w:r>
      <w:r>
        <w:rPr>
          <w:highlight w:val="none"/>
        </w:rPr>
        <w:t>管理要求</w:t>
      </w:r>
      <w:bookmarkEnd w:id="357"/>
      <w:bookmarkEnd w:id="358"/>
      <w:bookmarkEnd w:id="359"/>
      <w:bookmarkEnd w:id="360"/>
      <w:bookmarkEnd w:id="361"/>
      <w:bookmarkEnd w:id="362"/>
      <w:bookmarkEnd w:id="363"/>
      <w:bookmarkEnd w:id="364"/>
    </w:p>
    <w:p w14:paraId="603F65D3">
      <w:pPr>
        <w:pStyle w:val="5"/>
        <w:numPr>
          <w:ilvl w:val="2"/>
          <w:numId w:val="0"/>
        </w:numPr>
        <w:ind w:left="624" w:hanging="624"/>
        <w:rPr>
          <w:highlight w:val="none"/>
        </w:rPr>
      </w:pPr>
      <w:bookmarkStart w:id="365" w:name="_Toc12476"/>
      <w:r>
        <w:rPr>
          <w:rFonts w:hint="eastAsia"/>
          <w:highlight w:val="none"/>
        </w:rPr>
        <w:t>6.7.1为保证上道工序施工质量满足下道工序施工的需要，控制专业间的工序转换工作，所有工程必须进行工序交接。</w:t>
      </w:r>
      <w:bookmarkEnd w:id="365"/>
    </w:p>
    <w:p w14:paraId="7F07DF61">
      <w:pPr>
        <w:pStyle w:val="5"/>
        <w:numPr>
          <w:ilvl w:val="2"/>
          <w:numId w:val="0"/>
        </w:numPr>
        <w:ind w:left="624" w:hanging="624"/>
        <w:rPr>
          <w:highlight w:val="none"/>
        </w:rPr>
      </w:pPr>
      <w:bookmarkStart w:id="366" w:name="_Toc1239"/>
      <w:r>
        <w:rPr>
          <w:rFonts w:hint="eastAsia"/>
          <w:highlight w:val="none"/>
        </w:rPr>
        <w:t>6.7.2重要工序施工完毕并经自检合格，由上道工序质检员向监理人提出工序交接申请。</w:t>
      </w:r>
      <w:bookmarkEnd w:id="366"/>
    </w:p>
    <w:p w14:paraId="4D0FB97B">
      <w:pPr>
        <w:pStyle w:val="5"/>
        <w:numPr>
          <w:ilvl w:val="2"/>
          <w:numId w:val="0"/>
        </w:numPr>
        <w:ind w:left="624" w:hanging="624"/>
        <w:rPr>
          <w:highlight w:val="none"/>
        </w:rPr>
      </w:pPr>
      <w:bookmarkStart w:id="367" w:name="_Toc25444"/>
      <w:r>
        <w:rPr>
          <w:rFonts w:hint="eastAsia"/>
          <w:highlight w:val="none"/>
        </w:rPr>
        <w:t>6.7.3监理人负责组织重要工序交接，交接双方质检员和主要技术人员参加。</w:t>
      </w:r>
      <w:bookmarkEnd w:id="367"/>
    </w:p>
    <w:p w14:paraId="12D5B2D2">
      <w:pPr>
        <w:pStyle w:val="5"/>
        <w:numPr>
          <w:ilvl w:val="2"/>
          <w:numId w:val="0"/>
        </w:numPr>
        <w:ind w:left="624" w:hanging="624"/>
        <w:rPr>
          <w:highlight w:val="none"/>
        </w:rPr>
      </w:pPr>
      <w:bookmarkStart w:id="368" w:name="_Toc16726"/>
      <w:r>
        <w:rPr>
          <w:rFonts w:hint="eastAsia"/>
          <w:highlight w:val="none"/>
        </w:rPr>
        <w:t>6.7.4交接检查中有异议时，由监理人组织协调，若确有不满足下道工序施工要求时，由移交方处理，处理完毕，重新进行工序交接。</w:t>
      </w:r>
      <w:bookmarkEnd w:id="368"/>
    </w:p>
    <w:p w14:paraId="4DF52D74">
      <w:pPr>
        <w:pStyle w:val="5"/>
        <w:numPr>
          <w:ilvl w:val="2"/>
          <w:numId w:val="0"/>
        </w:numPr>
        <w:ind w:left="624" w:hanging="624"/>
        <w:rPr>
          <w:highlight w:val="none"/>
        </w:rPr>
      </w:pPr>
      <w:bookmarkStart w:id="369" w:name="_Toc18822"/>
      <w:r>
        <w:rPr>
          <w:rFonts w:hint="eastAsia"/>
          <w:highlight w:val="none"/>
        </w:rPr>
        <w:t>6.7.</w:t>
      </w:r>
      <w:r>
        <w:rPr>
          <w:rFonts w:hint="eastAsia"/>
          <w:highlight w:val="none"/>
          <w:lang w:val="en-US" w:eastAsia="zh-CN"/>
        </w:rPr>
        <w:t>5</w:t>
      </w:r>
      <w:r>
        <w:rPr>
          <w:rFonts w:hint="eastAsia"/>
          <w:highlight w:val="none"/>
        </w:rPr>
        <w:t>工序控制与工程款支付相结合，付款时总承包人应附上各控制表格签字情况。未按上述要求办理或违反上述规定时，发包人将暂停支付相关工程量的工程款。</w:t>
      </w:r>
      <w:bookmarkEnd w:id="369"/>
    </w:p>
    <w:p w14:paraId="54D1C352">
      <w:pPr>
        <w:pStyle w:val="4"/>
        <w:numPr>
          <w:ilvl w:val="1"/>
          <w:numId w:val="0"/>
        </w:numPr>
        <w:ind w:left="624" w:hanging="624"/>
        <w:rPr>
          <w:highlight w:val="none"/>
        </w:rPr>
      </w:pPr>
      <w:bookmarkStart w:id="370" w:name="_Toc28410"/>
      <w:bookmarkStart w:id="371" w:name="_Toc29942"/>
      <w:bookmarkStart w:id="372" w:name="_Toc24708"/>
      <w:bookmarkStart w:id="373" w:name="_Toc169722216"/>
      <w:bookmarkStart w:id="374" w:name="_Toc28157"/>
      <w:bookmarkStart w:id="375" w:name="_Toc16561"/>
      <w:bookmarkStart w:id="376" w:name="_Toc14422"/>
      <w:bookmarkStart w:id="377" w:name="_Toc179562987"/>
      <w:r>
        <w:rPr>
          <w:rFonts w:hint="eastAsia"/>
          <w:highlight w:val="none"/>
        </w:rPr>
        <w:t>6.8</w:t>
      </w:r>
      <w:r>
        <w:rPr>
          <w:highlight w:val="none"/>
        </w:rPr>
        <w:t>工作面交接管理要求</w:t>
      </w:r>
      <w:bookmarkEnd w:id="370"/>
      <w:bookmarkEnd w:id="371"/>
      <w:bookmarkEnd w:id="372"/>
      <w:bookmarkEnd w:id="373"/>
      <w:bookmarkEnd w:id="374"/>
      <w:bookmarkEnd w:id="375"/>
      <w:bookmarkEnd w:id="376"/>
      <w:bookmarkEnd w:id="377"/>
      <w:r>
        <w:rPr>
          <w:rFonts w:hint="eastAsia"/>
          <w:highlight w:val="none"/>
        </w:rPr>
        <w:t xml:space="preserve"> </w:t>
      </w:r>
    </w:p>
    <w:p w14:paraId="054B50B7">
      <w:pPr>
        <w:pStyle w:val="5"/>
        <w:numPr>
          <w:ilvl w:val="2"/>
          <w:numId w:val="0"/>
        </w:numPr>
        <w:ind w:left="624" w:hanging="624"/>
        <w:rPr>
          <w:highlight w:val="none"/>
        </w:rPr>
      </w:pPr>
      <w:bookmarkStart w:id="378" w:name="_Toc20737"/>
      <w:r>
        <w:rPr>
          <w:rFonts w:hint="eastAsia"/>
          <w:highlight w:val="none"/>
        </w:rPr>
        <w:t>6.8.1总承包人负责完成工作面交接样板间的施工，经监理人/发包人验收合格后方可办理正式移交手续。交接样板间要选择在楼内最早具备条件的标准层房间及公共部位，尽量保证涉及户内所有总承包人的工程内容均在样板间内体现。</w:t>
      </w:r>
      <w:bookmarkEnd w:id="378"/>
    </w:p>
    <w:p w14:paraId="1C052DF0">
      <w:pPr>
        <w:pStyle w:val="5"/>
        <w:numPr>
          <w:ilvl w:val="2"/>
          <w:numId w:val="0"/>
        </w:numPr>
        <w:ind w:left="624" w:hanging="624"/>
        <w:rPr>
          <w:highlight w:val="none"/>
        </w:rPr>
      </w:pPr>
      <w:bookmarkStart w:id="379" w:name="_Toc13888"/>
      <w:r>
        <w:rPr>
          <w:rFonts w:hint="eastAsia"/>
          <w:highlight w:val="none"/>
        </w:rPr>
        <w:t>6.8.2总承包人负责制定各标段的交接计划，经监理人、发包人审核通过后实施，同时必须保证所有专业承包人都具有施工工作面。</w:t>
      </w:r>
      <w:bookmarkEnd w:id="379"/>
    </w:p>
    <w:p w14:paraId="489118B7">
      <w:pPr>
        <w:pStyle w:val="5"/>
        <w:numPr>
          <w:ilvl w:val="2"/>
          <w:numId w:val="0"/>
        </w:numPr>
        <w:ind w:left="624" w:hanging="624"/>
        <w:rPr>
          <w:highlight w:val="none"/>
        </w:rPr>
      </w:pPr>
      <w:bookmarkStart w:id="380" w:name="_Toc7439"/>
      <w:r>
        <w:rPr>
          <w:rFonts w:hint="eastAsia"/>
          <w:highlight w:val="none"/>
        </w:rPr>
        <w:t>6.8.3总承包人须提前做好交接场地的清理及质量检查工作，并做好相关记录。</w:t>
      </w:r>
      <w:bookmarkEnd w:id="380"/>
    </w:p>
    <w:p w14:paraId="46ED81EF">
      <w:pPr>
        <w:pStyle w:val="5"/>
        <w:numPr>
          <w:ilvl w:val="2"/>
          <w:numId w:val="0"/>
        </w:numPr>
        <w:ind w:left="624" w:hanging="624"/>
        <w:rPr>
          <w:highlight w:val="none"/>
        </w:rPr>
      </w:pPr>
      <w:bookmarkStart w:id="381" w:name="_Toc23787"/>
      <w:r>
        <w:rPr>
          <w:rFonts w:hint="eastAsia"/>
          <w:highlight w:val="none"/>
        </w:rPr>
        <w:t>6.8.4总承包人负责提供楼层标高线及轴线等总控制线。</w:t>
      </w:r>
      <w:bookmarkEnd w:id="381"/>
    </w:p>
    <w:p w14:paraId="1BEFCB45">
      <w:pPr>
        <w:pStyle w:val="5"/>
        <w:numPr>
          <w:ilvl w:val="2"/>
          <w:numId w:val="0"/>
        </w:numPr>
        <w:ind w:left="624" w:hanging="624"/>
        <w:rPr>
          <w:highlight w:val="none"/>
        </w:rPr>
      </w:pPr>
      <w:bookmarkStart w:id="382" w:name="_Toc22704"/>
      <w:r>
        <w:rPr>
          <w:rFonts w:hint="eastAsia"/>
          <w:highlight w:val="none"/>
        </w:rPr>
        <w:t>6.8.5总承包人负责所有卫生间、阳台交接时的闭水实验，由接收方确认不渗漏。</w:t>
      </w:r>
      <w:bookmarkEnd w:id="382"/>
    </w:p>
    <w:p w14:paraId="5D3AF8CD">
      <w:pPr>
        <w:pStyle w:val="5"/>
        <w:numPr>
          <w:ilvl w:val="2"/>
          <w:numId w:val="0"/>
        </w:numPr>
        <w:ind w:left="624" w:hanging="624"/>
        <w:rPr>
          <w:highlight w:val="none"/>
        </w:rPr>
      </w:pPr>
      <w:bookmarkStart w:id="383" w:name="_Toc10955"/>
      <w:r>
        <w:rPr>
          <w:rFonts w:hint="eastAsia"/>
          <w:highlight w:val="none"/>
        </w:rPr>
        <w:t>6.8.6总承包人负责所施工卫生间、厨房给排水设备交接时的给水水压测试、排水通球测试、管线密闭性等相关测试，由接收方现场确认。</w:t>
      </w:r>
      <w:bookmarkEnd w:id="383"/>
    </w:p>
    <w:p w14:paraId="308B7541">
      <w:pPr>
        <w:pStyle w:val="5"/>
        <w:numPr>
          <w:ilvl w:val="2"/>
          <w:numId w:val="0"/>
        </w:numPr>
        <w:ind w:left="624" w:hanging="624"/>
        <w:rPr>
          <w:highlight w:val="none"/>
        </w:rPr>
      </w:pPr>
      <w:bookmarkStart w:id="384" w:name="_Toc15849"/>
      <w:r>
        <w:rPr>
          <w:rFonts w:hint="eastAsia"/>
          <w:highlight w:val="none"/>
        </w:rPr>
        <w:t>6.8.7总承包人负责地面、墙面室内水管位置的弹线标示，由接收方确认。</w:t>
      </w:r>
      <w:bookmarkEnd w:id="384"/>
    </w:p>
    <w:p w14:paraId="34D07066">
      <w:pPr>
        <w:pStyle w:val="5"/>
        <w:numPr>
          <w:ilvl w:val="2"/>
          <w:numId w:val="0"/>
        </w:numPr>
        <w:ind w:left="624" w:hanging="624"/>
        <w:rPr>
          <w:highlight w:val="none"/>
        </w:rPr>
      </w:pPr>
      <w:bookmarkStart w:id="385" w:name="_Toc6959"/>
      <w:r>
        <w:rPr>
          <w:rFonts w:hint="eastAsia"/>
          <w:highlight w:val="none"/>
        </w:rPr>
        <w:t>6.8.8根据验收意见及时编制整改计划，明确整改时间。总承包人须组建专职整改队伍，对整改内容和漏项工程，无偿负责整改、施工，保证施工质量及交接进度。</w:t>
      </w:r>
      <w:bookmarkEnd w:id="385"/>
    </w:p>
    <w:p w14:paraId="56E1F2FE">
      <w:pPr>
        <w:pStyle w:val="5"/>
        <w:numPr>
          <w:ilvl w:val="2"/>
          <w:numId w:val="0"/>
        </w:numPr>
        <w:ind w:left="624" w:hanging="624"/>
        <w:rPr>
          <w:highlight w:val="none"/>
        </w:rPr>
      </w:pPr>
      <w:bookmarkStart w:id="386" w:name="_Toc26286"/>
      <w:r>
        <w:rPr>
          <w:rFonts w:hint="eastAsia"/>
          <w:highlight w:val="none"/>
        </w:rPr>
        <w:t>6.8.9总承包人须按照设计图纸及施工验收规范要求对不合格的门窗洞口（预留位置、尺寸、垂直、方正等）及时进行整改。</w:t>
      </w:r>
      <w:bookmarkEnd w:id="386"/>
    </w:p>
    <w:p w14:paraId="6D36C2CC">
      <w:pPr>
        <w:pStyle w:val="5"/>
        <w:numPr>
          <w:ilvl w:val="2"/>
          <w:numId w:val="0"/>
        </w:numPr>
        <w:ind w:left="624" w:hanging="624"/>
        <w:rPr>
          <w:highlight w:val="none"/>
        </w:rPr>
      </w:pPr>
      <w:bookmarkStart w:id="387" w:name="_Toc9392"/>
      <w:r>
        <w:rPr>
          <w:rFonts w:hint="eastAsia"/>
          <w:highlight w:val="none"/>
        </w:rPr>
        <w:t>6.8.10验收项目需要总承包人提供相应检测工具并配合的，总承包人应无偿提供所需的检测工具并协助检测工作。</w:t>
      </w:r>
      <w:bookmarkEnd w:id="387"/>
    </w:p>
    <w:p w14:paraId="099C9365">
      <w:pPr>
        <w:pStyle w:val="5"/>
        <w:numPr>
          <w:ilvl w:val="2"/>
          <w:numId w:val="0"/>
        </w:numPr>
        <w:ind w:left="624" w:hanging="624"/>
        <w:rPr>
          <w:highlight w:val="none"/>
        </w:rPr>
      </w:pPr>
      <w:bookmarkStart w:id="388" w:name="_Toc27096"/>
      <w:r>
        <w:rPr>
          <w:rFonts w:hint="eastAsia"/>
          <w:highlight w:val="none"/>
        </w:rPr>
        <w:t>6.8.11总承包人按照发包人要求穿插施工，在楼栋封顶后2个月内向精装修专业承包完成全部工作面移交，否则由精装修专业承包人直接接场并负责总承包人遗留问题整改。</w:t>
      </w:r>
      <w:bookmarkEnd w:id="388"/>
    </w:p>
    <w:p w14:paraId="68F15B98">
      <w:pPr>
        <w:pStyle w:val="4"/>
        <w:numPr>
          <w:ilvl w:val="1"/>
          <w:numId w:val="0"/>
        </w:numPr>
        <w:ind w:left="624" w:hanging="624"/>
        <w:rPr>
          <w:highlight w:val="none"/>
        </w:rPr>
      </w:pPr>
      <w:bookmarkStart w:id="389" w:name="_Toc179562988"/>
      <w:bookmarkStart w:id="390" w:name="_Toc169722217"/>
      <w:bookmarkStart w:id="391" w:name="_Toc15043"/>
      <w:bookmarkStart w:id="392" w:name="_Toc29290"/>
      <w:bookmarkStart w:id="393" w:name="_Toc11168"/>
      <w:bookmarkStart w:id="394" w:name="_Toc26142"/>
      <w:bookmarkStart w:id="395" w:name="_Toc26739"/>
      <w:bookmarkStart w:id="396" w:name="_Toc15187"/>
      <w:r>
        <w:rPr>
          <w:rFonts w:hint="eastAsia"/>
          <w:highlight w:val="none"/>
        </w:rPr>
        <w:t>6.9</w:t>
      </w:r>
      <w:r>
        <w:rPr>
          <w:highlight w:val="none"/>
        </w:rPr>
        <w:t>成品保护要求</w:t>
      </w:r>
      <w:bookmarkEnd w:id="389"/>
      <w:bookmarkEnd w:id="390"/>
      <w:bookmarkEnd w:id="391"/>
      <w:bookmarkEnd w:id="392"/>
      <w:bookmarkEnd w:id="393"/>
      <w:bookmarkEnd w:id="394"/>
      <w:bookmarkEnd w:id="395"/>
      <w:bookmarkEnd w:id="396"/>
    </w:p>
    <w:p w14:paraId="3DA88930">
      <w:pPr>
        <w:pStyle w:val="5"/>
        <w:numPr>
          <w:ilvl w:val="2"/>
          <w:numId w:val="0"/>
        </w:numPr>
        <w:ind w:left="624" w:hanging="624"/>
        <w:rPr>
          <w:highlight w:val="none"/>
        </w:rPr>
      </w:pPr>
      <w:bookmarkStart w:id="397" w:name="_Toc19719"/>
      <w:r>
        <w:rPr>
          <w:rFonts w:hint="eastAsia"/>
          <w:highlight w:val="none"/>
        </w:rPr>
        <w:t>6.9.1总则</w:t>
      </w:r>
      <w:bookmarkEnd w:id="397"/>
    </w:p>
    <w:p w14:paraId="6BACD803">
      <w:pPr>
        <w:ind w:firstLine="480"/>
        <w:rPr>
          <w:highlight w:val="none"/>
        </w:rPr>
      </w:pPr>
      <w:r>
        <w:rPr>
          <w:rFonts w:hint="eastAsia"/>
          <w:highlight w:val="none"/>
        </w:rPr>
        <w:t>工程竣工移交前，总承包人负责其自身承建工程项目的成品保护责任。</w:t>
      </w:r>
    </w:p>
    <w:p w14:paraId="48DD0A85">
      <w:pPr>
        <w:pStyle w:val="5"/>
        <w:numPr>
          <w:ilvl w:val="2"/>
          <w:numId w:val="0"/>
        </w:numPr>
        <w:ind w:left="624" w:hanging="624"/>
        <w:rPr>
          <w:highlight w:val="none"/>
        </w:rPr>
      </w:pPr>
      <w:bookmarkStart w:id="398" w:name="_Toc5278"/>
      <w:r>
        <w:rPr>
          <w:rFonts w:hint="eastAsia"/>
          <w:highlight w:val="none"/>
        </w:rPr>
        <w:t>6.9.2责任划分</w:t>
      </w:r>
      <w:bookmarkEnd w:id="398"/>
    </w:p>
    <w:p w14:paraId="007F80D2">
      <w:pPr>
        <w:pStyle w:val="6"/>
        <w:numPr>
          <w:ilvl w:val="3"/>
          <w:numId w:val="0"/>
        </w:numPr>
        <w:ind w:left="864" w:leftChars="100" w:hanging="624"/>
        <w:rPr>
          <w:highlight w:val="none"/>
        </w:rPr>
      </w:pPr>
      <w:r>
        <w:rPr>
          <w:rFonts w:hint="eastAsia"/>
          <w:highlight w:val="none"/>
        </w:rPr>
        <w:t>6.9.2.1成品保护应遵循“谁生产，谁保护”、“谁破坏，谁负责”、“总承包人监管”原则。</w:t>
      </w:r>
    </w:p>
    <w:p w14:paraId="5F292090">
      <w:pPr>
        <w:pStyle w:val="6"/>
        <w:numPr>
          <w:ilvl w:val="3"/>
          <w:numId w:val="0"/>
        </w:numPr>
        <w:ind w:left="864" w:leftChars="100" w:hanging="624"/>
        <w:rPr>
          <w:highlight w:val="none"/>
        </w:rPr>
      </w:pPr>
      <w:r>
        <w:rPr>
          <w:rFonts w:hint="eastAsia"/>
          <w:highlight w:val="none"/>
        </w:rPr>
        <w:t>6.9.2.2如果成品保护责任方未按要求完成成品保护工作，或未做到位而造成的成品破坏，无论是否有明确责任单位，所有损失由成品保护责任方承担。</w:t>
      </w:r>
    </w:p>
    <w:p w14:paraId="2157F4A4">
      <w:pPr>
        <w:pStyle w:val="6"/>
        <w:numPr>
          <w:ilvl w:val="3"/>
          <w:numId w:val="0"/>
        </w:numPr>
        <w:ind w:left="864" w:leftChars="100" w:hanging="624"/>
        <w:rPr>
          <w:highlight w:val="none"/>
        </w:rPr>
      </w:pPr>
      <w:r>
        <w:rPr>
          <w:rFonts w:hint="eastAsia"/>
          <w:highlight w:val="none"/>
        </w:rPr>
        <w:t>6.9.2.3如果成品保护责任方已按要求完成成品保护工作，其产品仍被破坏，若成品保护责任方有明确证据指证责任单位的，由责任单位赔付所有直接和间接损失。若不能明确责任单位，则由成品保护责任方负责。如各当事方对责任争执不下，则由监理人鉴定责任，发包人给出结果。</w:t>
      </w:r>
    </w:p>
    <w:p w14:paraId="4244DC39">
      <w:pPr>
        <w:pStyle w:val="5"/>
        <w:numPr>
          <w:ilvl w:val="2"/>
          <w:numId w:val="0"/>
        </w:numPr>
        <w:ind w:left="624" w:hanging="624"/>
        <w:rPr>
          <w:highlight w:val="none"/>
        </w:rPr>
      </w:pPr>
      <w:bookmarkStart w:id="399" w:name="_Toc23140"/>
      <w:r>
        <w:rPr>
          <w:rFonts w:hint="eastAsia"/>
          <w:highlight w:val="none"/>
        </w:rPr>
        <w:t>6.9.3实施细则</w:t>
      </w:r>
      <w:bookmarkEnd w:id="399"/>
    </w:p>
    <w:p w14:paraId="26EF34DD">
      <w:pPr>
        <w:pStyle w:val="6"/>
        <w:numPr>
          <w:ilvl w:val="3"/>
          <w:numId w:val="0"/>
        </w:numPr>
        <w:ind w:left="864" w:leftChars="100" w:hanging="624"/>
        <w:rPr>
          <w:highlight w:val="none"/>
        </w:rPr>
      </w:pPr>
      <w:r>
        <w:rPr>
          <w:rFonts w:hint="eastAsia"/>
          <w:highlight w:val="none"/>
        </w:rPr>
        <w:t>6.9.3.1总承包人须向发包人提供详细的成品保护方案，包括相关工序的具体成品、半成品保护措施，并对其承建范围内的工程项目的成品保护负责。</w:t>
      </w:r>
    </w:p>
    <w:p w14:paraId="5A7EF09A">
      <w:pPr>
        <w:pStyle w:val="6"/>
        <w:numPr>
          <w:ilvl w:val="3"/>
          <w:numId w:val="0"/>
        </w:numPr>
        <w:ind w:left="864" w:leftChars="100" w:hanging="624"/>
        <w:rPr>
          <w:highlight w:val="none"/>
        </w:rPr>
      </w:pPr>
      <w:r>
        <w:rPr>
          <w:rFonts w:hint="eastAsia"/>
          <w:highlight w:val="none"/>
        </w:rPr>
        <w:t>6.9.3.2总承包人现场成品保护应有专人负责对整个施工现场巡视和检查，防止成品、半成品被破坏。</w:t>
      </w:r>
    </w:p>
    <w:p w14:paraId="3163118A">
      <w:pPr>
        <w:pStyle w:val="6"/>
        <w:numPr>
          <w:ilvl w:val="3"/>
          <w:numId w:val="0"/>
        </w:numPr>
        <w:ind w:left="864" w:leftChars="100" w:hanging="624"/>
        <w:rPr>
          <w:highlight w:val="none"/>
        </w:rPr>
      </w:pPr>
      <w:r>
        <w:rPr>
          <w:rFonts w:hint="eastAsia"/>
          <w:highlight w:val="none"/>
        </w:rPr>
        <w:t>6.9.3.3先施工的单位必须向后施工办理书面交接手续，双方签字认可，后施工单位应对施工区域内的所有成品、半成品履行保护的责任和义务。</w:t>
      </w:r>
    </w:p>
    <w:p w14:paraId="04BEF640">
      <w:pPr>
        <w:pStyle w:val="6"/>
        <w:numPr>
          <w:ilvl w:val="3"/>
          <w:numId w:val="0"/>
        </w:numPr>
        <w:ind w:left="864" w:leftChars="100" w:hanging="624"/>
        <w:rPr>
          <w:highlight w:val="none"/>
        </w:rPr>
      </w:pPr>
      <w:r>
        <w:rPr>
          <w:rFonts w:hint="eastAsia"/>
          <w:highlight w:val="none"/>
        </w:rPr>
        <w:t>6.9.3.4施工过程中未按成品保护方案执行或成品保护执行严重不到位的，将予以处罚。</w:t>
      </w:r>
    </w:p>
    <w:p w14:paraId="01632CE7">
      <w:pPr>
        <w:pStyle w:val="6"/>
        <w:numPr>
          <w:ilvl w:val="3"/>
          <w:numId w:val="0"/>
        </w:numPr>
        <w:ind w:left="864" w:leftChars="100" w:hanging="624"/>
        <w:rPr>
          <w:highlight w:val="none"/>
        </w:rPr>
      </w:pPr>
      <w:r>
        <w:rPr>
          <w:rFonts w:hint="eastAsia"/>
          <w:highlight w:val="none"/>
        </w:rPr>
        <w:t>6.9.3.5工程交接验收单、成品移交以监理人/发包人签字确认为准。无正式工程交接验收单，成品或半成品损坏丢失由总承包人自行承担。</w:t>
      </w:r>
    </w:p>
    <w:p w14:paraId="4EF1DFCD">
      <w:pPr>
        <w:pStyle w:val="5"/>
        <w:numPr>
          <w:ilvl w:val="2"/>
          <w:numId w:val="0"/>
        </w:numPr>
        <w:ind w:left="624" w:hanging="624"/>
        <w:rPr>
          <w:highlight w:val="none"/>
        </w:rPr>
      </w:pPr>
      <w:bookmarkStart w:id="400" w:name="_Toc11364"/>
      <w:r>
        <w:rPr>
          <w:rFonts w:hint="eastAsia"/>
          <w:highlight w:val="none"/>
        </w:rPr>
        <w:t>6.9.4成品保护措施</w:t>
      </w:r>
      <w:bookmarkEnd w:id="400"/>
    </w:p>
    <w:p w14:paraId="19341F91">
      <w:pPr>
        <w:ind w:firstLine="480"/>
        <w:rPr>
          <w:highlight w:val="none"/>
        </w:rPr>
      </w:pPr>
      <w:r>
        <w:rPr>
          <w:rFonts w:hint="eastAsia"/>
          <w:highlight w:val="none"/>
        </w:rPr>
        <w:t>详见第</w:t>
      </w:r>
      <w:r>
        <w:rPr>
          <w:highlight w:val="none"/>
        </w:rPr>
        <w:t>6</w:t>
      </w:r>
      <w:r>
        <w:rPr>
          <w:rFonts w:hint="eastAsia"/>
          <w:highlight w:val="none"/>
        </w:rPr>
        <w:t>章第6</w:t>
      </w:r>
      <w:r>
        <w:rPr>
          <w:highlight w:val="none"/>
        </w:rPr>
        <w:t>.1.2</w:t>
      </w:r>
      <w:r>
        <w:rPr>
          <w:rFonts w:hint="eastAsia"/>
          <w:highlight w:val="none"/>
        </w:rPr>
        <w:t>节成品保护。</w:t>
      </w:r>
    </w:p>
    <w:p w14:paraId="1BEB88B0">
      <w:pPr>
        <w:pStyle w:val="4"/>
        <w:numPr>
          <w:ilvl w:val="1"/>
          <w:numId w:val="0"/>
        </w:numPr>
        <w:ind w:left="624" w:hanging="624"/>
        <w:rPr>
          <w:highlight w:val="none"/>
        </w:rPr>
      </w:pPr>
      <w:bookmarkStart w:id="401" w:name="_Toc18600"/>
      <w:bookmarkStart w:id="402" w:name="_Toc6225"/>
      <w:bookmarkStart w:id="403" w:name="_Toc169722218"/>
      <w:bookmarkStart w:id="404" w:name="_Toc4929"/>
      <w:bookmarkStart w:id="405" w:name="_Toc8603"/>
      <w:bookmarkStart w:id="406" w:name="_Toc18857"/>
      <w:bookmarkStart w:id="407" w:name="_Toc179562989"/>
      <w:bookmarkStart w:id="408" w:name="_Toc19462"/>
      <w:r>
        <w:rPr>
          <w:rFonts w:hint="eastAsia"/>
          <w:highlight w:val="none"/>
        </w:rPr>
        <w:t>6.10甲供物资</w:t>
      </w:r>
      <w:r>
        <w:rPr>
          <w:highlight w:val="none"/>
        </w:rPr>
        <w:t>管理要求</w:t>
      </w:r>
      <w:bookmarkEnd w:id="401"/>
      <w:bookmarkEnd w:id="402"/>
      <w:bookmarkEnd w:id="403"/>
      <w:bookmarkEnd w:id="404"/>
      <w:r>
        <w:rPr>
          <w:rFonts w:hint="eastAsia"/>
          <w:highlight w:val="none"/>
        </w:rPr>
        <w:t>（如有）</w:t>
      </w:r>
      <w:bookmarkEnd w:id="405"/>
      <w:bookmarkEnd w:id="406"/>
      <w:bookmarkEnd w:id="407"/>
      <w:bookmarkEnd w:id="408"/>
    </w:p>
    <w:p w14:paraId="79146F55">
      <w:pPr>
        <w:pStyle w:val="5"/>
        <w:numPr>
          <w:ilvl w:val="2"/>
          <w:numId w:val="0"/>
        </w:numPr>
        <w:ind w:left="624" w:hanging="624"/>
        <w:rPr>
          <w:highlight w:val="none"/>
        </w:rPr>
      </w:pPr>
      <w:bookmarkStart w:id="409" w:name="_Toc16580"/>
      <w:bookmarkStart w:id="410" w:name="_Toc328755017"/>
      <w:bookmarkStart w:id="411" w:name="_Toc406435935"/>
      <w:bookmarkStart w:id="412" w:name="_Toc329131560"/>
      <w:r>
        <w:rPr>
          <w:rFonts w:hint="eastAsia"/>
          <w:highlight w:val="none"/>
        </w:rPr>
        <w:t>6.10.1甲供物资</w:t>
      </w:r>
      <w:bookmarkEnd w:id="409"/>
    </w:p>
    <w:p w14:paraId="52EE9FFC">
      <w:pPr>
        <w:ind w:firstLine="480"/>
        <w:rPr>
          <w:highlight w:val="none"/>
        </w:rPr>
      </w:pPr>
      <w:r>
        <w:rPr>
          <w:rFonts w:hint="eastAsia"/>
          <w:highlight w:val="none"/>
        </w:rPr>
        <w:t>发包人招标，与供应商签订供货合同，发包人直接付款。</w:t>
      </w:r>
    </w:p>
    <w:p w14:paraId="26B6DDF0">
      <w:pPr>
        <w:pStyle w:val="5"/>
        <w:numPr>
          <w:ilvl w:val="2"/>
          <w:numId w:val="0"/>
        </w:numPr>
        <w:ind w:left="624" w:hanging="624"/>
        <w:rPr>
          <w:highlight w:val="none"/>
        </w:rPr>
      </w:pPr>
      <w:bookmarkStart w:id="413" w:name="_Toc25994"/>
      <w:r>
        <w:rPr>
          <w:rFonts w:hint="eastAsia"/>
          <w:highlight w:val="none"/>
        </w:rPr>
        <w:t>6.10.2供应计划管理流程</w:t>
      </w:r>
      <w:bookmarkEnd w:id="413"/>
    </w:p>
    <w:p w14:paraId="3D3A4546">
      <w:pPr>
        <w:ind w:firstLine="480"/>
        <w:rPr>
          <w:highlight w:val="none"/>
        </w:rPr>
      </w:pPr>
      <w:bookmarkStart w:id="414" w:name="_Hlk168667710"/>
      <w:bookmarkStart w:id="415" w:name="_Hlk168668529"/>
      <w:bookmarkStart w:id="416" w:name="_Toc329131558"/>
      <w:bookmarkStart w:id="417" w:name="_Toc436410800"/>
      <w:bookmarkStart w:id="418" w:name="_Toc406435933"/>
      <w:bookmarkStart w:id="419" w:name="_Toc437937241"/>
      <w:bookmarkStart w:id="420" w:name="_Toc436410967"/>
      <w:bookmarkStart w:id="421" w:name="_Toc328755015"/>
      <w:r>
        <w:rPr>
          <w:rFonts w:hint="eastAsia"/>
          <w:highlight w:val="none"/>
        </w:rPr>
        <w:t>总承包人应组织专业承包人共同编制并提交包含自身及专业承包人的《甲供物资供应计划表》→监理人审核确认→发包人审核确认→发包人核对供货合约、确认→发包人于甲供材系统发起《甲供材料要货订单》→发包人督促供应商确认订单→发包人督促供应商按要求及时、保质、足量交货→发包人督促供应商于甲供材系统及时确认到货→发包人督促并配合甲供材单位完成线上四方验收→发包人于甲供材系统发起付款流程</w:t>
      </w:r>
      <w:bookmarkEnd w:id="414"/>
      <w:r>
        <w:rPr>
          <w:rFonts w:hint="eastAsia"/>
          <w:highlight w:val="none"/>
        </w:rPr>
        <w:t>。</w:t>
      </w:r>
    </w:p>
    <w:bookmarkEnd w:id="415"/>
    <w:p w14:paraId="0374B9F5">
      <w:pPr>
        <w:pStyle w:val="5"/>
        <w:numPr>
          <w:ilvl w:val="2"/>
          <w:numId w:val="0"/>
        </w:numPr>
        <w:ind w:left="624" w:hanging="624"/>
        <w:rPr>
          <w:rFonts w:cs="Arial"/>
          <w:highlight w:val="none"/>
        </w:rPr>
      </w:pPr>
      <w:bookmarkStart w:id="422" w:name="_Toc13415"/>
      <w:r>
        <w:rPr>
          <w:rFonts w:hint="eastAsia" w:cs="Arial"/>
          <w:highlight w:val="none"/>
        </w:rPr>
        <w:t>6.10.3甲供</w:t>
      </w:r>
      <w:r>
        <w:rPr>
          <w:rFonts w:hint="eastAsia"/>
          <w:highlight w:val="none"/>
        </w:rPr>
        <w:t>物资</w:t>
      </w:r>
      <w:r>
        <w:rPr>
          <w:rFonts w:hint="eastAsia" w:cs="Arial"/>
          <w:highlight w:val="none"/>
        </w:rPr>
        <w:t>采购供应计划编制与排产</w:t>
      </w:r>
      <w:bookmarkEnd w:id="416"/>
      <w:bookmarkEnd w:id="417"/>
      <w:bookmarkEnd w:id="418"/>
      <w:bookmarkEnd w:id="419"/>
      <w:bookmarkEnd w:id="420"/>
      <w:bookmarkEnd w:id="421"/>
      <w:bookmarkEnd w:id="422"/>
      <w:r>
        <w:rPr>
          <w:rFonts w:cs="Arial"/>
          <w:highlight w:val="none"/>
        </w:rPr>
        <w:tab/>
      </w:r>
    </w:p>
    <w:p w14:paraId="4BAD532A">
      <w:pPr>
        <w:pStyle w:val="6"/>
        <w:numPr>
          <w:ilvl w:val="3"/>
          <w:numId w:val="0"/>
        </w:numPr>
        <w:ind w:left="864" w:leftChars="100" w:hanging="624"/>
        <w:rPr>
          <w:highlight w:val="none"/>
        </w:rPr>
      </w:pPr>
      <w:r>
        <w:rPr>
          <w:rFonts w:hint="eastAsia"/>
          <w:highlight w:val="none"/>
        </w:rPr>
        <w:t>6.10.3.1总承包人依据合同约定，根据已审批的工程总施工进度计划，考虑招标、排产、加工、运输、验收等因素，提前编制《甲供材料设备进场计划》报发包人，并对数量和规格的准确性负责。</w:t>
      </w:r>
    </w:p>
    <w:p w14:paraId="2EFA52F6">
      <w:pPr>
        <w:pStyle w:val="6"/>
        <w:numPr>
          <w:ilvl w:val="3"/>
          <w:numId w:val="0"/>
        </w:numPr>
        <w:ind w:left="864" w:leftChars="100" w:hanging="624"/>
        <w:rPr>
          <w:highlight w:val="none"/>
        </w:rPr>
      </w:pPr>
      <w:r>
        <w:rPr>
          <w:rFonts w:hint="eastAsia"/>
          <w:highlight w:val="none"/>
        </w:rPr>
        <w:t>6.10.3.2发包人根据每种甲供物资现场使用时间及各自的制造周期，适时向供应商发出《甲供材料设备要货订单》。</w:t>
      </w:r>
    </w:p>
    <w:p w14:paraId="08241B1B">
      <w:pPr>
        <w:pStyle w:val="5"/>
        <w:numPr>
          <w:ilvl w:val="2"/>
          <w:numId w:val="0"/>
        </w:numPr>
        <w:ind w:left="624" w:hanging="624"/>
        <w:rPr>
          <w:highlight w:val="none"/>
        </w:rPr>
      </w:pPr>
      <w:bookmarkStart w:id="423" w:name="_Toc1138"/>
      <w:r>
        <w:rPr>
          <w:rFonts w:hint="eastAsia"/>
          <w:highlight w:val="none"/>
        </w:rPr>
        <w:t>6.10.4发包人根据每种甲供物资现场使用时间及合同约定的供货周期，适时于甲供材系统向供应商发起《甲供材料要货订单》</w:t>
      </w:r>
      <w:bookmarkEnd w:id="423"/>
    </w:p>
    <w:p w14:paraId="5E05C32A">
      <w:pPr>
        <w:pStyle w:val="6"/>
        <w:numPr>
          <w:ilvl w:val="3"/>
          <w:numId w:val="0"/>
        </w:numPr>
        <w:ind w:left="864" w:leftChars="100" w:hanging="624"/>
        <w:rPr>
          <w:highlight w:val="none"/>
        </w:rPr>
      </w:pPr>
      <w:r>
        <w:rPr>
          <w:rFonts w:hint="eastAsia"/>
          <w:highlight w:val="none"/>
        </w:rPr>
        <w:t>6.10.4.1首批甲供物资到场：发包人在接到通知后组织监理人、总承包人等参与到货验收。总承包人填报《工程材料、构配件、设备报审表》，并报监理人。</w:t>
      </w:r>
    </w:p>
    <w:p w14:paraId="094441D6">
      <w:pPr>
        <w:pStyle w:val="6"/>
        <w:numPr>
          <w:ilvl w:val="3"/>
          <w:numId w:val="0"/>
        </w:numPr>
        <w:ind w:left="864" w:leftChars="100" w:hanging="624"/>
        <w:rPr>
          <w:highlight w:val="none"/>
        </w:rPr>
      </w:pPr>
      <w:r>
        <w:rPr>
          <w:rFonts w:hint="eastAsia"/>
          <w:highlight w:val="none"/>
        </w:rPr>
        <w:t>6.10.4.2以后批次物资进场：由监理人组织供货商、总承包人、发包人等相关单位共同验收。</w:t>
      </w:r>
    </w:p>
    <w:p w14:paraId="1234DB98">
      <w:pPr>
        <w:pStyle w:val="6"/>
        <w:numPr>
          <w:ilvl w:val="3"/>
          <w:numId w:val="0"/>
        </w:numPr>
        <w:ind w:left="864" w:leftChars="100" w:hanging="624"/>
        <w:rPr>
          <w:highlight w:val="none"/>
        </w:rPr>
      </w:pPr>
      <w:bookmarkStart w:id="424" w:name="_Hlk168668669"/>
      <w:r>
        <w:rPr>
          <w:rFonts w:hint="eastAsia"/>
          <w:highlight w:val="none"/>
        </w:rPr>
        <w:t>6.10.4.3参加验收人员应按供货合同、供货样板及《甲供材料要货订单》的订单信息，对到货物料的数量、外观、包装、质量等进行现场验收。</w:t>
      </w:r>
    </w:p>
    <w:bookmarkEnd w:id="424"/>
    <w:p w14:paraId="13AF494D">
      <w:pPr>
        <w:pStyle w:val="6"/>
        <w:numPr>
          <w:ilvl w:val="3"/>
          <w:numId w:val="0"/>
        </w:numPr>
        <w:ind w:left="864" w:leftChars="100" w:hanging="624"/>
        <w:rPr>
          <w:highlight w:val="none"/>
        </w:rPr>
      </w:pPr>
      <w:r>
        <w:rPr>
          <w:rFonts w:hint="eastAsia"/>
          <w:highlight w:val="none"/>
        </w:rPr>
        <w:t>6.10.4.4各方检查验收结束后，应于货到现场</w:t>
      </w:r>
      <w:r>
        <w:rPr>
          <w:highlight w:val="none"/>
        </w:rPr>
        <w:t>24</w:t>
      </w:r>
      <w:r>
        <w:rPr>
          <w:rFonts w:hint="eastAsia"/>
          <w:highlight w:val="none"/>
        </w:rPr>
        <w:t>小时内于甲供材管理系统上签署验收单，各方签字确认并注明意见及日期，有不合格物资需退场的应注明。</w:t>
      </w:r>
    </w:p>
    <w:p w14:paraId="25D4EBBE">
      <w:pPr>
        <w:pStyle w:val="6"/>
        <w:numPr>
          <w:ilvl w:val="3"/>
          <w:numId w:val="0"/>
        </w:numPr>
        <w:ind w:left="864" w:leftChars="100" w:hanging="624"/>
        <w:rPr>
          <w:highlight w:val="none"/>
        </w:rPr>
      </w:pPr>
      <w:r>
        <w:rPr>
          <w:rFonts w:hint="eastAsia"/>
          <w:highlight w:val="none"/>
        </w:rPr>
        <w:t>6.10.4.5若甲供物资需现场见证送检的，由监理人见证取样，由相关施工安装单位送检，检验所需费用按合同有关规定执行，检验所需时间应纳入计划。</w:t>
      </w:r>
    </w:p>
    <w:p w14:paraId="65487B3A">
      <w:pPr>
        <w:pStyle w:val="6"/>
        <w:numPr>
          <w:ilvl w:val="3"/>
          <w:numId w:val="0"/>
        </w:numPr>
        <w:ind w:left="864" w:leftChars="100" w:hanging="624"/>
        <w:rPr>
          <w:highlight w:val="none"/>
        </w:rPr>
      </w:pPr>
      <w:r>
        <w:rPr>
          <w:rFonts w:hint="eastAsia"/>
          <w:highlight w:val="none"/>
        </w:rPr>
        <w:t>6.10.4.6对在设备工厂内做定型试验的大型设备（如制冷机组、空调机组、新风机组、水泵、冷却塔、高低压配电柜等），必要时，发包人组织相关部门（总承包人及监理人）到工厂进行监督及设备试验参数的采集。</w:t>
      </w:r>
    </w:p>
    <w:p w14:paraId="4D94D433">
      <w:pPr>
        <w:pStyle w:val="6"/>
        <w:numPr>
          <w:ilvl w:val="3"/>
          <w:numId w:val="0"/>
        </w:numPr>
        <w:ind w:left="864" w:leftChars="100" w:hanging="624"/>
        <w:rPr>
          <w:highlight w:val="none"/>
        </w:rPr>
      </w:pPr>
      <w:r>
        <w:rPr>
          <w:rFonts w:hint="eastAsia"/>
          <w:highlight w:val="none"/>
        </w:rPr>
        <w:t>6.10.4.7对重要物资，必要时，发包人组织监理人、总承包人及专业承包人相关人员到工厂进行驻场监造，费用由各自单位承担。</w:t>
      </w:r>
    </w:p>
    <w:p w14:paraId="4EBA045F">
      <w:pPr>
        <w:pStyle w:val="6"/>
        <w:numPr>
          <w:ilvl w:val="3"/>
          <w:numId w:val="0"/>
        </w:numPr>
        <w:ind w:left="864" w:leftChars="100" w:hanging="624"/>
        <w:rPr>
          <w:highlight w:val="none"/>
        </w:rPr>
      </w:pPr>
      <w:r>
        <w:rPr>
          <w:rFonts w:hint="eastAsia"/>
          <w:highlight w:val="none"/>
        </w:rPr>
        <w:t>6.10.4.8总承包人应根据甲供材管理系统上签署的验收单登记《甲供材料设备验收入库台帐》，每月统计一次报送发包人。</w:t>
      </w:r>
    </w:p>
    <w:p w14:paraId="31B06221">
      <w:pPr>
        <w:pStyle w:val="6"/>
        <w:numPr>
          <w:ilvl w:val="3"/>
          <w:numId w:val="0"/>
        </w:numPr>
        <w:ind w:left="864" w:leftChars="100" w:hanging="624"/>
        <w:rPr>
          <w:highlight w:val="none"/>
        </w:rPr>
      </w:pPr>
      <w:r>
        <w:rPr>
          <w:rFonts w:hint="eastAsia"/>
          <w:highlight w:val="none"/>
        </w:rPr>
        <w:t>6.10.4.9所有发包人采购供应的物资由供应商运送到施工工地现场并卸货至发包人指定地点（汽车可到达区域）。到场后，由相应安装单位负责上述材料设备的二次运输和搬运、接收、验收、保管等管理工作。若因接收单位管理不当造成的损失，接收单位负责补偿。</w:t>
      </w:r>
    </w:p>
    <w:bookmarkEnd w:id="410"/>
    <w:bookmarkEnd w:id="411"/>
    <w:bookmarkEnd w:id="412"/>
    <w:p w14:paraId="401802C7">
      <w:pPr>
        <w:pStyle w:val="4"/>
        <w:numPr>
          <w:ilvl w:val="1"/>
          <w:numId w:val="0"/>
        </w:numPr>
        <w:ind w:left="624" w:hanging="624"/>
        <w:rPr>
          <w:highlight w:val="none"/>
        </w:rPr>
      </w:pPr>
      <w:bookmarkStart w:id="425" w:name="_Toc1003"/>
      <w:bookmarkStart w:id="426" w:name="_Toc16860"/>
      <w:bookmarkStart w:id="427" w:name="_Toc21967"/>
      <w:bookmarkStart w:id="428" w:name="_Toc169722219"/>
      <w:bookmarkStart w:id="429" w:name="_Toc31479"/>
      <w:bookmarkStart w:id="430" w:name="_Toc179562990"/>
      <w:bookmarkStart w:id="431" w:name="_Toc6112"/>
      <w:bookmarkStart w:id="432" w:name="_Toc983"/>
      <w:r>
        <w:rPr>
          <w:rFonts w:hint="eastAsia"/>
          <w:highlight w:val="none"/>
        </w:rPr>
        <w:t>6.11乙</w:t>
      </w:r>
      <w:r>
        <w:rPr>
          <w:highlight w:val="none"/>
        </w:rPr>
        <w:t>供</w:t>
      </w:r>
      <w:r>
        <w:rPr>
          <w:rFonts w:hint="eastAsia"/>
          <w:highlight w:val="none"/>
        </w:rPr>
        <w:t>物资</w:t>
      </w:r>
      <w:r>
        <w:rPr>
          <w:highlight w:val="none"/>
        </w:rPr>
        <w:t>管理要求</w:t>
      </w:r>
      <w:bookmarkEnd w:id="425"/>
      <w:bookmarkEnd w:id="426"/>
      <w:bookmarkEnd w:id="427"/>
      <w:bookmarkEnd w:id="428"/>
      <w:bookmarkEnd w:id="429"/>
      <w:bookmarkEnd w:id="430"/>
      <w:bookmarkEnd w:id="431"/>
      <w:bookmarkEnd w:id="432"/>
    </w:p>
    <w:p w14:paraId="4A95F631">
      <w:pPr>
        <w:pStyle w:val="5"/>
        <w:numPr>
          <w:ilvl w:val="2"/>
          <w:numId w:val="0"/>
        </w:numPr>
        <w:ind w:left="624" w:hanging="624"/>
        <w:rPr>
          <w:highlight w:val="none"/>
        </w:rPr>
      </w:pPr>
      <w:bookmarkStart w:id="433" w:name="_Toc5809"/>
      <w:bookmarkStart w:id="434" w:name="_Toc329131562"/>
      <w:bookmarkStart w:id="435" w:name="_Toc437937245"/>
      <w:bookmarkStart w:id="436" w:name="_Toc406435937"/>
      <w:bookmarkStart w:id="437" w:name="_Toc436410804"/>
      <w:bookmarkStart w:id="438" w:name="_Toc436410971"/>
      <w:bookmarkStart w:id="439" w:name="_Toc328755019"/>
      <w:bookmarkStart w:id="440" w:name="_Toc491332899"/>
      <w:bookmarkStart w:id="441" w:name="_Toc491453747"/>
      <w:bookmarkStart w:id="442" w:name="_Toc491089032"/>
      <w:bookmarkStart w:id="443" w:name="_Toc490829813"/>
      <w:r>
        <w:rPr>
          <w:rFonts w:hint="eastAsia"/>
          <w:highlight w:val="none"/>
        </w:rPr>
        <w:t>6.11.1乙供物资分类</w:t>
      </w:r>
      <w:bookmarkEnd w:id="433"/>
      <w:bookmarkEnd w:id="434"/>
      <w:bookmarkEnd w:id="435"/>
      <w:bookmarkEnd w:id="436"/>
      <w:bookmarkEnd w:id="437"/>
      <w:bookmarkEnd w:id="438"/>
      <w:bookmarkEnd w:id="439"/>
    </w:p>
    <w:p w14:paraId="0BA555C4">
      <w:pPr>
        <w:pStyle w:val="6"/>
        <w:numPr>
          <w:ilvl w:val="3"/>
          <w:numId w:val="0"/>
        </w:numPr>
        <w:ind w:left="864" w:leftChars="100" w:hanging="624"/>
        <w:rPr>
          <w:highlight w:val="none"/>
        </w:rPr>
      </w:pPr>
      <w:r>
        <w:rPr>
          <w:rFonts w:hint="eastAsia"/>
          <w:highlight w:val="none"/>
        </w:rPr>
        <w:t>6.11.1.1乙方供应：材料设备品牌选择范围应等同或相当于《主要设备材料推荐品牌表》，并按看样定板制度里的申报附件要求提供资料，并经监理人审议后确定，总承包人自行与供应商签订合同并付款。</w:t>
      </w:r>
    </w:p>
    <w:p w14:paraId="7CDD2174">
      <w:pPr>
        <w:pStyle w:val="5"/>
        <w:numPr>
          <w:ilvl w:val="2"/>
          <w:numId w:val="0"/>
        </w:numPr>
        <w:ind w:left="624" w:hanging="624"/>
        <w:rPr>
          <w:highlight w:val="none"/>
        </w:rPr>
      </w:pPr>
      <w:bookmarkStart w:id="444" w:name="_Toc28648"/>
      <w:bookmarkStart w:id="445" w:name="_Toc29009"/>
      <w:bookmarkStart w:id="446" w:name="_Toc436410972"/>
      <w:bookmarkStart w:id="447" w:name="_Toc406435938"/>
      <w:bookmarkStart w:id="448" w:name="_Toc328755020"/>
      <w:bookmarkStart w:id="449" w:name="_Toc437937246"/>
      <w:bookmarkStart w:id="450" w:name="_Toc329131563"/>
      <w:bookmarkStart w:id="451" w:name="_Toc436410805"/>
      <w:r>
        <w:rPr>
          <w:rFonts w:hint="eastAsia"/>
          <w:highlight w:val="none"/>
        </w:rPr>
        <w:t>6.11.2乙供物资计划管理</w:t>
      </w:r>
      <w:bookmarkEnd w:id="444"/>
      <w:bookmarkEnd w:id="445"/>
    </w:p>
    <w:p w14:paraId="53A5C58B">
      <w:pPr>
        <w:ind w:firstLine="480"/>
        <w:rPr>
          <w:highlight w:val="none"/>
        </w:rPr>
      </w:pPr>
      <w:r>
        <w:rPr>
          <w:rFonts w:hint="eastAsia"/>
          <w:highlight w:val="none"/>
        </w:rPr>
        <w:t>承包人进场后应根据设计图纸及施工进度计划制定主要材料设备采购计划，及时签订采购合同（签订供货合同的时间必须至少比第一批货物计划进场的时间提前两个月+备货期），影响工程造价较大的大批量材料设备，承包人必须提前定制或锁定价格，否则由此引起的工期调整或价格调整，发包人有权不予批准。其中：</w:t>
      </w:r>
    </w:p>
    <w:p w14:paraId="708EF126">
      <w:pPr>
        <w:pStyle w:val="6"/>
        <w:numPr>
          <w:ilvl w:val="3"/>
          <w:numId w:val="0"/>
        </w:numPr>
        <w:ind w:left="864" w:leftChars="100" w:hanging="624"/>
        <w:rPr>
          <w:highlight w:val="none"/>
        </w:rPr>
      </w:pPr>
      <w:r>
        <w:rPr>
          <w:rFonts w:hint="eastAsia"/>
          <w:highlight w:val="none"/>
        </w:rPr>
        <w:t>6.11.2.1主要材料设备采购计划需报监理单位审核，审核合格后报发包人备案，并作为第一期工程进度款的支付条件之一；</w:t>
      </w:r>
    </w:p>
    <w:p w14:paraId="463FED40">
      <w:pPr>
        <w:pStyle w:val="6"/>
        <w:numPr>
          <w:ilvl w:val="3"/>
          <w:numId w:val="0"/>
        </w:numPr>
        <w:ind w:left="864" w:leftChars="100" w:hanging="624"/>
        <w:rPr>
          <w:highlight w:val="none"/>
        </w:rPr>
      </w:pPr>
      <w:r>
        <w:rPr>
          <w:rFonts w:hint="eastAsia"/>
          <w:highlight w:val="none"/>
        </w:rPr>
        <w:t>6.11.2.2主要材料设备的采购合同必须报发包人备案（具体需要备案的材料设备采购合同种类由发包人根据项目实际需要确定），作为涉及相应材料设备的中间计量进度款的支付条件之一。</w:t>
      </w:r>
    </w:p>
    <w:p w14:paraId="3058C382">
      <w:pPr>
        <w:pStyle w:val="5"/>
        <w:numPr>
          <w:ilvl w:val="2"/>
          <w:numId w:val="0"/>
        </w:numPr>
        <w:ind w:left="624" w:hanging="624"/>
        <w:rPr>
          <w:highlight w:val="none"/>
        </w:rPr>
      </w:pPr>
      <w:bookmarkStart w:id="452" w:name="_Toc8271"/>
      <w:bookmarkStart w:id="453" w:name="_Toc4922"/>
      <w:r>
        <w:rPr>
          <w:rFonts w:hint="eastAsia"/>
          <w:highlight w:val="none"/>
        </w:rPr>
        <w:t>6.11.3乙供物资采购管理</w:t>
      </w:r>
      <w:bookmarkEnd w:id="452"/>
      <w:bookmarkEnd w:id="453"/>
    </w:p>
    <w:p w14:paraId="490C2616">
      <w:pPr>
        <w:spacing w:before="120" w:beforeLines="50" w:after="120" w:afterLines="50"/>
        <w:ind w:firstLine="480"/>
        <w:rPr>
          <w:highlight w:val="none"/>
        </w:rPr>
      </w:pPr>
      <w:r>
        <w:rPr>
          <w:rFonts w:hint="eastAsia"/>
          <w:highlight w:val="none"/>
        </w:rPr>
        <w:t>承包人必须确保在满足或优于招标文件（包括招标文件各专业主要设备材料技术参数）、招标图纸和相关规范要求的条件下采购主要材料设备。甲方保留对材料设备进行集中采购的权利，乙方须无条件配合。其中：</w:t>
      </w:r>
    </w:p>
    <w:p w14:paraId="5B48CBAE">
      <w:pPr>
        <w:pStyle w:val="6"/>
        <w:numPr>
          <w:ilvl w:val="3"/>
          <w:numId w:val="0"/>
        </w:numPr>
        <w:ind w:left="864" w:leftChars="100" w:hanging="624"/>
        <w:rPr>
          <w:highlight w:val="none"/>
        </w:rPr>
      </w:pPr>
      <w:r>
        <w:rPr>
          <w:rFonts w:hint="eastAsia"/>
          <w:highlight w:val="none"/>
        </w:rPr>
        <w:t>6.11.3.1招标文件有推荐品牌范围的主要材料设备，推荐承包人在推荐品牌范围内选用（具体见《主要设备材料推荐品牌表》）。</w:t>
      </w:r>
    </w:p>
    <w:p w14:paraId="40EBF15A">
      <w:pPr>
        <w:pStyle w:val="6"/>
        <w:numPr>
          <w:ilvl w:val="3"/>
          <w:numId w:val="0"/>
        </w:numPr>
        <w:ind w:left="864" w:leftChars="100" w:hanging="624"/>
        <w:rPr>
          <w:highlight w:val="none"/>
        </w:rPr>
      </w:pPr>
      <w:r>
        <w:rPr>
          <w:rFonts w:hint="eastAsia"/>
          <w:highlight w:val="none"/>
        </w:rPr>
        <w:t>6.11.3.2若承包人选用同等或优于推荐品牌的，在采购前必须经发包人审批同意，否则，视为承包人自行更换品牌，按招标文件和合同规定承担违约责任。</w:t>
      </w:r>
    </w:p>
    <w:p w14:paraId="389E024F">
      <w:pPr>
        <w:pStyle w:val="6"/>
        <w:numPr>
          <w:ilvl w:val="3"/>
          <w:numId w:val="0"/>
        </w:numPr>
        <w:ind w:left="864" w:leftChars="100" w:hanging="624"/>
        <w:rPr>
          <w:highlight w:val="none"/>
        </w:rPr>
      </w:pPr>
      <w:r>
        <w:rPr>
          <w:rFonts w:hint="eastAsia"/>
          <w:highlight w:val="none"/>
        </w:rPr>
        <w:t>6.11.3.3不在推荐品牌范围的主要材料设备，承包人按中国名牌、国家免检产品、省知名品牌的顺序选定，同时须严格按照发包人看样定板的相关规定执行。</w:t>
      </w:r>
    </w:p>
    <w:p w14:paraId="7E1F771F">
      <w:pPr>
        <w:pStyle w:val="6"/>
        <w:numPr>
          <w:ilvl w:val="3"/>
          <w:numId w:val="0"/>
        </w:numPr>
        <w:ind w:left="864" w:leftChars="100" w:hanging="624"/>
        <w:rPr>
          <w:highlight w:val="none"/>
        </w:rPr>
      </w:pPr>
      <w:r>
        <w:rPr>
          <w:rFonts w:hint="eastAsia"/>
          <w:highlight w:val="none"/>
        </w:rPr>
        <w:t>6.11.3.4本项目主要设备材料品牌/生产厂家推荐表，详见合同《主要设备材料推荐品牌表》。</w:t>
      </w:r>
    </w:p>
    <w:p w14:paraId="747D61C4">
      <w:pPr>
        <w:pStyle w:val="5"/>
        <w:numPr>
          <w:ilvl w:val="2"/>
          <w:numId w:val="0"/>
        </w:numPr>
        <w:ind w:left="624" w:hanging="624"/>
        <w:rPr>
          <w:highlight w:val="none"/>
        </w:rPr>
      </w:pPr>
      <w:bookmarkStart w:id="454" w:name="_Toc19132"/>
      <w:bookmarkStart w:id="455" w:name="_Toc20840"/>
      <w:r>
        <w:rPr>
          <w:rFonts w:hint="eastAsia"/>
          <w:highlight w:val="none"/>
        </w:rPr>
        <w:t>6.11.4乙供物资检验、试验管理</w:t>
      </w:r>
      <w:bookmarkEnd w:id="454"/>
      <w:bookmarkEnd w:id="455"/>
    </w:p>
    <w:p w14:paraId="22E24FBE">
      <w:pPr>
        <w:ind w:firstLine="0" w:firstLineChars="0"/>
        <w:jc w:val="left"/>
        <w:rPr>
          <w:highlight w:val="none"/>
        </w:rPr>
      </w:pPr>
      <w:r>
        <w:rPr>
          <w:highlight w:val="none"/>
        </w:rPr>
        <w:t xml:space="preserve"> </w:t>
      </w:r>
      <w:r>
        <w:rPr>
          <w:rFonts w:hint="eastAsia"/>
          <w:highlight w:val="none"/>
        </w:rPr>
        <w:t xml:space="preserve">  无论发包人是否推荐品牌范围，所有用于本工程的材料设备必须严格按合同条款的约定进行检验、试验，确保材料设备质量。材料进场批次要与见证取样检测批次一致， 否则，多出批次的检测费由承包人承担。本项目应进行节能、室内环境检测，需委托具有相应资质检测机构实施的相关工作。</w:t>
      </w:r>
    </w:p>
    <w:p w14:paraId="24F89CFE">
      <w:pPr>
        <w:pStyle w:val="5"/>
        <w:numPr>
          <w:ilvl w:val="2"/>
          <w:numId w:val="0"/>
        </w:numPr>
        <w:ind w:left="624" w:hanging="624"/>
        <w:rPr>
          <w:highlight w:val="none"/>
        </w:rPr>
      </w:pPr>
      <w:bookmarkStart w:id="456" w:name="_Toc2801"/>
      <w:bookmarkStart w:id="457" w:name="_Toc21472"/>
      <w:r>
        <w:rPr>
          <w:rFonts w:hint="eastAsia"/>
          <w:highlight w:val="none"/>
        </w:rPr>
        <w:t>6.11.5乙供材料设备看样定板管理</w:t>
      </w:r>
      <w:bookmarkEnd w:id="456"/>
      <w:bookmarkEnd w:id="457"/>
    </w:p>
    <w:p w14:paraId="0C12139A">
      <w:pPr>
        <w:ind w:firstLine="480"/>
        <w:jc w:val="left"/>
        <w:rPr>
          <w:highlight w:val="none"/>
        </w:rPr>
      </w:pPr>
      <w:r>
        <w:rPr>
          <w:rFonts w:hint="eastAsia"/>
          <w:highlight w:val="none"/>
        </w:rPr>
        <w:t>为加强本工程所使用的乙供材料设备的质量管理，确保承包人所选购的材料设备的 质量、技术性能、款式、效果等方面满足设计和使用需求，所有主要材料设备在看样定板之前，发包人、使用业主、监理单位、设计单位有权对乙供材料设备厂家的生产能力、 制造水平、生产工艺等方面进行综合考察评估，考核评估合格的方能采购。如经综合考察评估不合格，发包人有权在《主要设备材料推荐品牌表》中选择其他满足规定的材料厂家及品牌，经考核评估合格后予以选用，合同价款不作调整。</w:t>
      </w:r>
    </w:p>
    <w:p w14:paraId="293FEFF9">
      <w:pPr>
        <w:pStyle w:val="5"/>
        <w:numPr>
          <w:ilvl w:val="2"/>
          <w:numId w:val="0"/>
        </w:numPr>
        <w:ind w:left="624" w:hanging="624"/>
        <w:rPr>
          <w:highlight w:val="none"/>
        </w:rPr>
      </w:pPr>
      <w:bookmarkStart w:id="458" w:name="_Toc6871"/>
      <w:bookmarkStart w:id="459" w:name="_Toc13603"/>
      <w:r>
        <w:rPr>
          <w:rFonts w:hint="eastAsia"/>
          <w:highlight w:val="none"/>
        </w:rPr>
        <w:t>6.11.6乙供材料设备供应商管理</w:t>
      </w:r>
      <w:bookmarkEnd w:id="458"/>
      <w:bookmarkEnd w:id="459"/>
    </w:p>
    <w:p w14:paraId="2D42E39B">
      <w:pPr>
        <w:ind w:firstLine="480"/>
        <w:jc w:val="left"/>
        <w:rPr>
          <w:highlight w:val="none"/>
        </w:rPr>
      </w:pPr>
      <w:r>
        <w:rPr>
          <w:rFonts w:hint="eastAsia"/>
          <w:highlight w:val="none"/>
        </w:rPr>
        <w:t>承包人应在确定主要乙供材料设备供应商的 7 个工作日内，将供应商的清单明细（包括供应商的名称、联系人、联系电话、联系地址等）报监理单位和发包人备案。供应商须服从监理单位和发包人的管理，并按要求参加相关工作例会。</w:t>
      </w:r>
    </w:p>
    <w:p w14:paraId="35A01ACC">
      <w:pPr>
        <w:pStyle w:val="5"/>
        <w:numPr>
          <w:ilvl w:val="2"/>
          <w:numId w:val="0"/>
        </w:numPr>
        <w:ind w:left="624" w:hanging="624"/>
        <w:rPr>
          <w:highlight w:val="none"/>
        </w:rPr>
      </w:pPr>
      <w:bookmarkStart w:id="460" w:name="_Toc6536"/>
      <w:bookmarkStart w:id="461" w:name="_Toc11145"/>
      <w:r>
        <w:rPr>
          <w:rFonts w:hint="eastAsia"/>
          <w:highlight w:val="none"/>
        </w:rPr>
        <w:t>6.11.7材料设备专用于本工程</w:t>
      </w:r>
      <w:bookmarkEnd w:id="460"/>
      <w:bookmarkEnd w:id="461"/>
    </w:p>
    <w:p w14:paraId="313656E8">
      <w:pPr>
        <w:ind w:firstLine="0" w:firstLineChars="0"/>
        <w:jc w:val="left"/>
        <w:rPr>
          <w:highlight w:val="none"/>
        </w:rPr>
      </w:pPr>
      <w:r>
        <w:rPr>
          <w:rFonts w:hint="eastAsia"/>
          <w:highlight w:val="none"/>
        </w:rPr>
        <w:t>承包人运入施工现场的材料、工程设备、施工设备以及在施工场地建设的临时设施， 包括备品备件、安装工具与资料，必须专用于工程。未经发包人批准不得运出施工现场或挪作他用。</w:t>
      </w:r>
    </w:p>
    <w:bookmarkEnd w:id="440"/>
    <w:bookmarkEnd w:id="441"/>
    <w:bookmarkEnd w:id="442"/>
    <w:bookmarkEnd w:id="443"/>
    <w:bookmarkEnd w:id="446"/>
    <w:bookmarkEnd w:id="447"/>
    <w:bookmarkEnd w:id="448"/>
    <w:bookmarkEnd w:id="449"/>
    <w:bookmarkEnd w:id="450"/>
    <w:bookmarkEnd w:id="451"/>
    <w:p w14:paraId="0E6A04F9">
      <w:pPr>
        <w:pStyle w:val="4"/>
        <w:numPr>
          <w:ilvl w:val="1"/>
          <w:numId w:val="0"/>
        </w:numPr>
        <w:ind w:left="624" w:hanging="624"/>
        <w:rPr>
          <w:highlight w:val="none"/>
        </w:rPr>
      </w:pPr>
      <w:bookmarkStart w:id="462" w:name="_Toc520244624"/>
      <w:bookmarkEnd w:id="462"/>
      <w:bookmarkStart w:id="463" w:name="_Toc520245252"/>
      <w:bookmarkEnd w:id="463"/>
      <w:bookmarkStart w:id="464" w:name="_Toc491089033"/>
      <w:bookmarkStart w:id="465" w:name="_Toc15766"/>
      <w:bookmarkStart w:id="466" w:name="_Toc1041"/>
      <w:bookmarkStart w:id="467" w:name="_Toc32477"/>
      <w:bookmarkStart w:id="468" w:name="_Toc179562992"/>
      <w:bookmarkStart w:id="469" w:name="_Toc169722221"/>
      <w:bookmarkStart w:id="470" w:name="_Toc491453748"/>
      <w:bookmarkStart w:id="471" w:name="_Toc490829814"/>
      <w:bookmarkStart w:id="472" w:name="_Toc491332900"/>
      <w:bookmarkStart w:id="473" w:name="_Toc29849"/>
      <w:bookmarkStart w:id="474" w:name="_Toc15565"/>
      <w:bookmarkStart w:id="475" w:name="_Toc16579"/>
      <w:r>
        <w:rPr>
          <w:rFonts w:hint="eastAsia"/>
          <w:highlight w:val="none"/>
        </w:rPr>
        <w:t>6.1</w:t>
      </w:r>
      <w:r>
        <w:rPr>
          <w:rFonts w:hint="eastAsia"/>
          <w:highlight w:val="none"/>
          <w:lang w:val="en-US" w:eastAsia="zh-CN"/>
        </w:rPr>
        <w:t>2</w:t>
      </w:r>
      <w:r>
        <w:rPr>
          <w:highlight w:val="none"/>
        </w:rPr>
        <w:t>劳务队伍</w:t>
      </w:r>
      <w:r>
        <w:rPr>
          <w:rFonts w:hint="eastAsia"/>
          <w:highlight w:val="none"/>
        </w:rPr>
        <w:t>选择</w:t>
      </w:r>
      <w:r>
        <w:rPr>
          <w:highlight w:val="none"/>
        </w:rPr>
        <w:t>要求</w:t>
      </w:r>
      <w:bookmarkEnd w:id="464"/>
      <w:bookmarkEnd w:id="465"/>
      <w:bookmarkEnd w:id="466"/>
      <w:bookmarkEnd w:id="467"/>
      <w:bookmarkEnd w:id="468"/>
      <w:bookmarkEnd w:id="469"/>
      <w:bookmarkEnd w:id="470"/>
      <w:bookmarkEnd w:id="471"/>
      <w:bookmarkEnd w:id="472"/>
      <w:bookmarkEnd w:id="473"/>
      <w:bookmarkEnd w:id="474"/>
      <w:bookmarkEnd w:id="475"/>
    </w:p>
    <w:p w14:paraId="7DAAD331">
      <w:pPr>
        <w:pStyle w:val="5"/>
        <w:numPr>
          <w:ilvl w:val="2"/>
          <w:numId w:val="0"/>
        </w:numPr>
        <w:ind w:left="624" w:hanging="624"/>
        <w:rPr>
          <w:highlight w:val="none"/>
        </w:rPr>
      </w:pPr>
      <w:bookmarkStart w:id="476" w:name="_Toc4582"/>
      <w:r>
        <w:rPr>
          <w:rFonts w:hint="eastAsia"/>
          <w:highlight w:val="none"/>
        </w:rPr>
        <w:t>6.1</w:t>
      </w:r>
      <w:r>
        <w:rPr>
          <w:rFonts w:hint="eastAsia"/>
          <w:highlight w:val="none"/>
          <w:lang w:val="en-US" w:eastAsia="zh-CN"/>
        </w:rPr>
        <w:t>2</w:t>
      </w:r>
      <w:r>
        <w:rPr>
          <w:rFonts w:hint="eastAsia"/>
          <w:highlight w:val="none"/>
        </w:rPr>
        <w:t>.1劳务队伍的选定</w:t>
      </w:r>
      <w:bookmarkEnd w:id="476"/>
    </w:p>
    <w:p w14:paraId="7D5FBBA8">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.1.1具有劳务分包资质，不存在被停止招投标、安全生产许可证被暂扣或吊销等情况。已完成在项目所在地备案手续。</w:t>
      </w:r>
    </w:p>
    <w:p w14:paraId="210B86D9">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.1.2具备与招标项目类似的项目工程经验。</w:t>
      </w:r>
    </w:p>
    <w:p w14:paraId="4938F106">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.1.3近</w:t>
      </w:r>
      <w:r>
        <w:rPr>
          <w:highlight w:val="none"/>
        </w:rPr>
        <w:t>3</w:t>
      </w:r>
      <w:r>
        <w:rPr>
          <w:rFonts w:hint="eastAsia"/>
          <w:highlight w:val="none"/>
        </w:rPr>
        <w:t>年内与总承包人无劳务纠纷、群众事件、集体上访事件。</w:t>
      </w:r>
    </w:p>
    <w:p w14:paraId="245E72D1">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.1.4不得使用建筑业信用警戒提示企业名单、个人名单内的劳务企业及施工队长。</w:t>
      </w:r>
    </w:p>
    <w:p w14:paraId="0367AFD9">
      <w:pPr>
        <w:pStyle w:val="5"/>
        <w:numPr>
          <w:ilvl w:val="2"/>
          <w:numId w:val="0"/>
        </w:numPr>
        <w:ind w:left="624" w:hanging="624"/>
        <w:rPr>
          <w:highlight w:val="none"/>
        </w:rPr>
      </w:pPr>
      <w:bookmarkStart w:id="477" w:name="_Toc8295"/>
      <w:r>
        <w:rPr>
          <w:rFonts w:hint="eastAsia"/>
          <w:highlight w:val="none"/>
        </w:rPr>
        <w:t>6.1</w:t>
      </w:r>
      <w:r>
        <w:rPr>
          <w:rFonts w:hint="eastAsia"/>
          <w:highlight w:val="none"/>
          <w:lang w:val="en-US" w:eastAsia="zh-CN"/>
        </w:rPr>
        <w:t>2</w:t>
      </w:r>
      <w:r>
        <w:rPr>
          <w:rFonts w:hint="eastAsia"/>
          <w:highlight w:val="none"/>
        </w:rPr>
        <w:t>.2劳务队伍的管理</w:t>
      </w:r>
      <w:r>
        <w:rPr>
          <w:highlight w:val="none"/>
        </w:rPr>
        <w:t>要求</w:t>
      </w:r>
      <w:bookmarkEnd w:id="477"/>
    </w:p>
    <w:p w14:paraId="0FF2C64B">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.2.1劳务分包的组织机构健全，有完整的管理体系。</w:t>
      </w:r>
    </w:p>
    <w:p w14:paraId="31464D91">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.2.2劳务分包的项目人员架构齐全，并有相应的资格证书。由总承包人对劳务分包的项目人员的资格进行审查，并呈报给发包人。</w:t>
      </w:r>
    </w:p>
    <w:p w14:paraId="7A993A33">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.2.3总承包人需向发包人提交与劳务公司的具体总承包人式及材料设备界面划分等详细信息。劳务分包辅料中不得含主材。</w:t>
      </w:r>
      <w:r>
        <w:rPr>
          <w:rFonts w:hint="eastAsia"/>
          <w:highlight w:val="yellow"/>
        </w:rPr>
        <w:t>施工电梯</w:t>
      </w:r>
      <w:r>
        <w:rPr>
          <w:rFonts w:hint="eastAsia"/>
          <w:highlight w:val="none"/>
        </w:rPr>
        <w:t>、</w:t>
      </w:r>
      <w:r>
        <w:rPr>
          <w:rFonts w:hint="eastAsia"/>
          <w:highlight w:val="yellow"/>
        </w:rPr>
        <w:t>塔吊</w:t>
      </w:r>
      <w:r>
        <w:rPr>
          <w:rFonts w:hint="eastAsia"/>
          <w:highlight w:val="none"/>
        </w:rPr>
        <w:t>、二级以上配电箱等由总承包人提供。</w:t>
      </w:r>
    </w:p>
    <w:p w14:paraId="3D488E5D">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.2.4劳务分包的机器设备、工具应在总承包人的指导和检查下使用，统一管理。</w:t>
      </w:r>
    </w:p>
    <w:p w14:paraId="1BA1DBA0">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.2.5总承包人在</w:t>
      </w:r>
      <w:r>
        <w:rPr>
          <w:highlight w:val="none"/>
        </w:rPr>
        <w:t>劳务招标文件与合同</w:t>
      </w:r>
      <w:r>
        <w:rPr>
          <w:rFonts w:hint="eastAsia"/>
          <w:highlight w:val="none"/>
        </w:rPr>
        <w:t>文件中</w:t>
      </w:r>
      <w:r>
        <w:rPr>
          <w:highlight w:val="none"/>
        </w:rPr>
        <w:t>列明的质量、安全要求</w:t>
      </w:r>
      <w:r>
        <w:rPr>
          <w:rFonts w:hint="eastAsia"/>
          <w:highlight w:val="none"/>
        </w:rPr>
        <w:t>，应与发包人</w:t>
      </w:r>
      <w:r>
        <w:rPr>
          <w:highlight w:val="none"/>
        </w:rPr>
        <w:t>对总承包人的</w:t>
      </w:r>
      <w:r>
        <w:rPr>
          <w:rFonts w:hint="eastAsia"/>
          <w:highlight w:val="none"/>
        </w:rPr>
        <w:t>所有</w:t>
      </w:r>
      <w:r>
        <w:rPr>
          <w:highlight w:val="none"/>
        </w:rPr>
        <w:t>质量、安全要求一致，</w:t>
      </w:r>
      <w:r>
        <w:rPr>
          <w:rFonts w:hint="eastAsia"/>
          <w:highlight w:val="none"/>
        </w:rPr>
        <w:t>总承包人</w:t>
      </w:r>
      <w:r>
        <w:rPr>
          <w:highlight w:val="none"/>
        </w:rPr>
        <w:t>劳务招标文件与合同</w:t>
      </w:r>
      <w:r>
        <w:rPr>
          <w:rFonts w:hint="eastAsia"/>
          <w:highlight w:val="none"/>
        </w:rPr>
        <w:t>文件须</w:t>
      </w:r>
      <w:r>
        <w:rPr>
          <w:highlight w:val="none"/>
        </w:rPr>
        <w:t>报备发包人。</w:t>
      </w:r>
    </w:p>
    <w:p w14:paraId="12A7B4BF">
      <w:pPr>
        <w:pStyle w:val="5"/>
        <w:numPr>
          <w:ilvl w:val="2"/>
          <w:numId w:val="0"/>
        </w:numPr>
        <w:ind w:left="624" w:hanging="624"/>
        <w:rPr>
          <w:highlight w:val="none"/>
        </w:rPr>
      </w:pPr>
      <w:bookmarkStart w:id="478" w:name="_Toc4954"/>
      <w:r>
        <w:rPr>
          <w:rFonts w:hint="eastAsia"/>
          <w:highlight w:val="none"/>
        </w:rPr>
        <w:t>6.1</w:t>
      </w:r>
      <w:r>
        <w:rPr>
          <w:rFonts w:hint="eastAsia"/>
          <w:highlight w:val="none"/>
          <w:lang w:val="en-US" w:eastAsia="zh-CN"/>
        </w:rPr>
        <w:t>2</w:t>
      </w:r>
      <w:r>
        <w:rPr>
          <w:rFonts w:hint="eastAsia"/>
          <w:highlight w:val="none"/>
        </w:rPr>
        <w:t>.3劳务队伍的选择</w:t>
      </w:r>
      <w:r>
        <w:rPr>
          <w:highlight w:val="none"/>
        </w:rPr>
        <w:t>和考察</w:t>
      </w:r>
      <w:bookmarkEnd w:id="478"/>
    </w:p>
    <w:p w14:paraId="7DA99BA4">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.3.1总承包人对劳务分包的工程业绩资料、营业执照、资质证书、安全资格认可证、特种作业许可证等资质证明及内部管理制度文件作资格审查并报送监理人、发包人。</w:t>
      </w:r>
    </w:p>
    <w:p w14:paraId="17CFA9F0">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2</w:t>
      </w:r>
      <w:r>
        <w:rPr>
          <w:rFonts w:hint="eastAsia"/>
          <w:highlight w:val="none"/>
        </w:rPr>
        <w:t>.3.2监理人、发包人参与总承包人对劳务分包的考察，对拟选用的劳务分包考察其在建项目。考察结果作为总承包人劳务进场的条件，发包人具有一票否决权。</w:t>
      </w:r>
    </w:p>
    <w:p w14:paraId="0F22F1E9">
      <w:pPr>
        <w:pStyle w:val="4"/>
        <w:numPr>
          <w:ilvl w:val="1"/>
          <w:numId w:val="0"/>
        </w:numPr>
        <w:ind w:left="624" w:hanging="624"/>
        <w:rPr>
          <w:highlight w:val="none"/>
        </w:rPr>
      </w:pPr>
      <w:bookmarkStart w:id="479" w:name="_Toc179562993"/>
      <w:bookmarkStart w:id="480" w:name="_Toc491332901"/>
      <w:bookmarkStart w:id="481" w:name="_Toc491453749"/>
      <w:bookmarkStart w:id="482" w:name="_Toc490829815"/>
      <w:bookmarkStart w:id="483" w:name="_Toc491089034"/>
      <w:bookmarkStart w:id="484" w:name="_Toc10766"/>
      <w:bookmarkStart w:id="485" w:name="_Toc28356"/>
      <w:bookmarkStart w:id="486" w:name="_Toc21904"/>
      <w:bookmarkStart w:id="487" w:name="_Toc32722"/>
      <w:bookmarkStart w:id="488" w:name="_Toc169722222"/>
      <w:bookmarkStart w:id="489" w:name="_Toc19201"/>
      <w:bookmarkStart w:id="490" w:name="_Toc5548"/>
      <w:r>
        <w:rPr>
          <w:rFonts w:hint="eastAsia"/>
          <w:highlight w:val="none"/>
        </w:rPr>
        <w:t>6.1</w:t>
      </w:r>
      <w:r>
        <w:rPr>
          <w:rFonts w:hint="eastAsia"/>
          <w:highlight w:val="none"/>
          <w:lang w:val="en-US" w:eastAsia="zh-CN"/>
        </w:rPr>
        <w:t>3</w:t>
      </w:r>
      <w:r>
        <w:rPr>
          <w:rFonts w:hint="eastAsia"/>
          <w:highlight w:val="none"/>
        </w:rPr>
        <w:t>工程验收及移交要求</w:t>
      </w:r>
      <w:bookmarkEnd w:id="479"/>
      <w:bookmarkEnd w:id="480"/>
      <w:bookmarkEnd w:id="481"/>
      <w:bookmarkEnd w:id="482"/>
      <w:bookmarkEnd w:id="483"/>
      <w:bookmarkEnd w:id="484"/>
      <w:bookmarkEnd w:id="485"/>
      <w:bookmarkEnd w:id="486"/>
      <w:bookmarkEnd w:id="487"/>
      <w:bookmarkEnd w:id="488"/>
      <w:bookmarkEnd w:id="489"/>
      <w:bookmarkEnd w:id="490"/>
    </w:p>
    <w:p w14:paraId="456D41D2">
      <w:pPr>
        <w:pStyle w:val="5"/>
        <w:numPr>
          <w:ilvl w:val="2"/>
          <w:numId w:val="0"/>
        </w:numPr>
        <w:ind w:left="624" w:hanging="624"/>
        <w:rPr>
          <w:highlight w:val="none"/>
        </w:rPr>
      </w:pPr>
      <w:bookmarkStart w:id="491" w:name="_Toc30329"/>
      <w:bookmarkStart w:id="492" w:name="_Toc385333225"/>
      <w:r>
        <w:rPr>
          <w:rFonts w:hint="eastAsia"/>
          <w:highlight w:val="none"/>
        </w:rPr>
        <w:t>6.1</w:t>
      </w:r>
      <w:r>
        <w:rPr>
          <w:rFonts w:hint="eastAsia"/>
          <w:highlight w:val="none"/>
          <w:lang w:val="en-US" w:eastAsia="zh-CN"/>
        </w:rPr>
        <w:t>3</w:t>
      </w:r>
      <w:r>
        <w:rPr>
          <w:rFonts w:hint="eastAsia"/>
          <w:highlight w:val="none"/>
        </w:rPr>
        <w:t>.1工程</w:t>
      </w:r>
      <w:r>
        <w:rPr>
          <w:highlight w:val="none"/>
        </w:rPr>
        <w:t>验收</w:t>
      </w:r>
      <w:bookmarkEnd w:id="491"/>
      <w:bookmarkEnd w:id="492"/>
    </w:p>
    <w:p w14:paraId="0ED4D8D9">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.1.1承包人必须在工程具备验收条件时的 3 周前编制验收计划（包括专业工程 验收计划、消防等专项验收计划等），按工程竣工验收有关规定及验收计划分阶段逐项申报验收，确保工程一次验收合格。</w:t>
      </w:r>
    </w:p>
    <w:p w14:paraId="1CB003F0">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.1.2竣工验收执行《房屋建筑和市政基础设施工程竣工验收规定》（建质〔2013〕 171 号）和《关于规范广州市房屋建筑工程和市政基础设施工程竣工验收程序的通知》 （穗建质监字〔2014〕53 号）、《广州市房屋建筑和市政基础设施工程竣工联合验收工作方案》（穗建质[2020]446 号）（注：如有新规定则按新规定执行）。</w:t>
      </w:r>
    </w:p>
    <w:p w14:paraId="4EB39C7A">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.1.3经验收评定，工程质量不合格或工程内容有尚未完成者，由承包人在商 定的期限内进行修补后，再进行竣工验收，直至达到完全符合合同要求为止，并按最后验收合格的日期作为竣工日期，由此产生的一切费用均由承包人负责。</w:t>
      </w:r>
    </w:p>
    <w:p w14:paraId="2BDE88B2">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.1.4总承包人</w:t>
      </w:r>
      <w:r>
        <w:rPr>
          <w:highlight w:val="none"/>
        </w:rPr>
        <w:t>应在本工程的竣工验收完成日后按</w:t>
      </w:r>
      <w:r>
        <w:rPr>
          <w:rFonts w:hint="eastAsia"/>
          <w:highlight w:val="none"/>
        </w:rPr>
        <w:t>发包人</w:t>
      </w:r>
      <w:r>
        <w:rPr>
          <w:highlight w:val="none"/>
        </w:rPr>
        <w:t>要求时间</w:t>
      </w:r>
      <w:r>
        <w:rPr>
          <w:rFonts w:hint="eastAsia"/>
          <w:highlight w:val="none"/>
        </w:rPr>
        <w:t>，</w:t>
      </w:r>
      <w:r>
        <w:rPr>
          <w:highlight w:val="none"/>
        </w:rPr>
        <w:t>完成符合城建档案馆要求的档案资料（必须归集所有</w:t>
      </w:r>
      <w:r>
        <w:rPr>
          <w:rFonts w:hint="eastAsia"/>
          <w:highlight w:val="none"/>
        </w:rPr>
        <w:t>工程</w:t>
      </w:r>
      <w:r>
        <w:rPr>
          <w:highlight w:val="none"/>
        </w:rPr>
        <w:t>资料）。</w:t>
      </w:r>
      <w:r>
        <w:rPr>
          <w:rFonts w:hint="eastAsia"/>
          <w:highlight w:val="none"/>
        </w:rPr>
        <w:t>专业承包人</w:t>
      </w:r>
      <w:r>
        <w:rPr>
          <w:highlight w:val="none"/>
        </w:rPr>
        <w:t>的档案资料由</w:t>
      </w:r>
      <w:r>
        <w:rPr>
          <w:rFonts w:hint="eastAsia"/>
          <w:highlight w:val="none"/>
        </w:rPr>
        <w:t>专业承包人</w:t>
      </w:r>
      <w:r>
        <w:rPr>
          <w:highlight w:val="none"/>
        </w:rPr>
        <w:t>完善后提交</w:t>
      </w:r>
      <w:r>
        <w:rPr>
          <w:rFonts w:hint="eastAsia"/>
          <w:highlight w:val="none"/>
        </w:rPr>
        <w:t>总承包人</w:t>
      </w:r>
      <w:r>
        <w:rPr>
          <w:highlight w:val="none"/>
        </w:rPr>
        <w:t>归总、装订，</w:t>
      </w:r>
      <w:r>
        <w:rPr>
          <w:rFonts w:hint="eastAsia"/>
          <w:highlight w:val="none"/>
        </w:rPr>
        <w:t>总承包人</w:t>
      </w:r>
      <w:r>
        <w:rPr>
          <w:highlight w:val="none"/>
        </w:rPr>
        <w:t>对此提供协助。</w:t>
      </w:r>
      <w:r>
        <w:rPr>
          <w:rFonts w:hint="eastAsia"/>
          <w:highlight w:val="none"/>
        </w:rPr>
        <w:t>总承包人</w:t>
      </w:r>
      <w:r>
        <w:rPr>
          <w:highlight w:val="none"/>
        </w:rPr>
        <w:t>应及时为</w:t>
      </w:r>
      <w:r>
        <w:rPr>
          <w:rFonts w:hint="eastAsia"/>
          <w:highlight w:val="none"/>
        </w:rPr>
        <w:t>专业承包人</w:t>
      </w:r>
      <w:r>
        <w:rPr>
          <w:highlight w:val="none"/>
        </w:rPr>
        <w:t>的档案资料办理签字盖章等手续，否则影响本工程竣工验收，一切责任由</w:t>
      </w:r>
      <w:r>
        <w:rPr>
          <w:rFonts w:hint="eastAsia"/>
          <w:highlight w:val="none"/>
        </w:rPr>
        <w:t>总承包人</w:t>
      </w:r>
      <w:r>
        <w:rPr>
          <w:highlight w:val="none"/>
        </w:rPr>
        <w:t>承担。</w:t>
      </w:r>
      <w:r>
        <w:rPr>
          <w:rFonts w:hint="eastAsia"/>
          <w:highlight w:val="none"/>
        </w:rPr>
        <w:t>工程资料按月整理，作为进度款申请依据。</w:t>
      </w:r>
    </w:p>
    <w:p w14:paraId="15B11A71">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.1.5竣工</w:t>
      </w:r>
      <w:r>
        <w:rPr>
          <w:highlight w:val="none"/>
        </w:rPr>
        <w:t>验收后，</w:t>
      </w:r>
      <w:r>
        <w:rPr>
          <w:rFonts w:hint="eastAsia"/>
          <w:highlight w:val="none"/>
        </w:rPr>
        <w:t>总承包人应</w:t>
      </w:r>
      <w:r>
        <w:rPr>
          <w:highlight w:val="none"/>
        </w:rPr>
        <w:t>在规定的时限内，送交资料到相关政府部门进行备案</w:t>
      </w:r>
      <w:r>
        <w:rPr>
          <w:rFonts w:hint="eastAsia"/>
          <w:highlight w:val="none"/>
        </w:rPr>
        <w:t>，</w:t>
      </w:r>
      <w:r>
        <w:rPr>
          <w:highlight w:val="none"/>
        </w:rPr>
        <w:t>并为</w:t>
      </w:r>
      <w:r>
        <w:rPr>
          <w:rFonts w:hint="eastAsia"/>
          <w:highlight w:val="none"/>
        </w:rPr>
        <w:t>发包人</w:t>
      </w:r>
      <w:r>
        <w:rPr>
          <w:highlight w:val="none"/>
        </w:rPr>
        <w:t>取得《建设工程竣工验收备案证明书》。</w:t>
      </w:r>
    </w:p>
    <w:p w14:paraId="2FCA7434">
      <w:pPr>
        <w:pStyle w:val="5"/>
        <w:numPr>
          <w:ilvl w:val="2"/>
          <w:numId w:val="0"/>
        </w:numPr>
        <w:ind w:left="624" w:hanging="624"/>
        <w:rPr>
          <w:highlight w:val="none"/>
        </w:rPr>
      </w:pPr>
      <w:bookmarkStart w:id="493" w:name="_Toc532"/>
      <w:bookmarkStart w:id="494" w:name="_Toc385333226"/>
      <w:r>
        <w:rPr>
          <w:rFonts w:hint="eastAsia"/>
          <w:highlight w:val="none"/>
        </w:rPr>
        <w:t>6.1</w:t>
      </w:r>
      <w:r>
        <w:rPr>
          <w:rFonts w:hint="eastAsia"/>
          <w:highlight w:val="none"/>
          <w:lang w:val="en-US" w:eastAsia="zh-CN"/>
        </w:rPr>
        <w:t>3</w:t>
      </w:r>
      <w:r>
        <w:rPr>
          <w:rFonts w:hint="eastAsia"/>
          <w:highlight w:val="none"/>
        </w:rPr>
        <w:t>.2保洁要求</w:t>
      </w:r>
      <w:bookmarkEnd w:id="493"/>
    </w:p>
    <w:p w14:paraId="7AF02DC5">
      <w:pPr>
        <w:ind w:firstLine="480"/>
        <w:rPr>
          <w:highlight w:val="none"/>
        </w:rPr>
      </w:pPr>
      <w:r>
        <w:rPr>
          <w:rFonts w:hint="eastAsia"/>
          <w:highlight w:val="none"/>
        </w:rPr>
        <w:t>总承包人竣工移交对于自身承包范围工作内容应满足无肉眼可见垃圾并满足以下保洁移交标准：</w:t>
      </w:r>
    </w:p>
    <w:tbl>
      <w:tblPr>
        <w:tblStyle w:val="23"/>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0"/>
        <w:gridCol w:w="1965"/>
        <w:gridCol w:w="6490"/>
      </w:tblGrid>
      <w:tr w14:paraId="0AAD1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blHeader/>
        </w:trPr>
        <w:tc>
          <w:tcPr>
            <w:tcW w:w="1416" w:type="pct"/>
            <w:gridSpan w:val="2"/>
            <w:noWrap w:val="0"/>
            <w:vAlign w:val="center"/>
          </w:tcPr>
          <w:p w14:paraId="5D60E1E7">
            <w:pPr>
              <w:pStyle w:val="13"/>
              <w:rPr>
                <w:highlight w:val="none"/>
              </w:rPr>
            </w:pPr>
            <w:r>
              <w:rPr>
                <w:rFonts w:hint="eastAsia"/>
                <w:highlight w:val="none"/>
              </w:rPr>
              <w:t>部位</w:t>
            </w:r>
          </w:p>
        </w:tc>
        <w:tc>
          <w:tcPr>
            <w:tcW w:w="3583" w:type="pct"/>
            <w:tcBorders>
              <w:right w:val="single" w:color="auto" w:sz="4" w:space="0"/>
            </w:tcBorders>
            <w:noWrap w:val="0"/>
            <w:vAlign w:val="center"/>
          </w:tcPr>
          <w:p w14:paraId="2BAD88C7">
            <w:pPr>
              <w:pStyle w:val="13"/>
              <w:rPr>
                <w:highlight w:val="none"/>
              </w:rPr>
            </w:pPr>
            <w:r>
              <w:rPr>
                <w:rFonts w:hint="eastAsia"/>
                <w:highlight w:val="none"/>
              </w:rPr>
              <w:t>保洁移交标准</w:t>
            </w:r>
          </w:p>
        </w:tc>
      </w:tr>
      <w:tr w14:paraId="5C362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restart"/>
            <w:tcBorders>
              <w:right w:val="single" w:color="auto" w:sz="4" w:space="0"/>
            </w:tcBorders>
            <w:noWrap w:val="0"/>
            <w:vAlign w:val="center"/>
          </w:tcPr>
          <w:p w14:paraId="19B44CC9">
            <w:pPr>
              <w:pStyle w:val="13"/>
              <w:rPr>
                <w:highlight w:val="none"/>
              </w:rPr>
            </w:pPr>
            <w:r>
              <w:rPr>
                <w:rFonts w:hint="eastAsia"/>
                <w:highlight w:val="none"/>
              </w:rPr>
              <w:t>室内区域(毛坯交付)</w:t>
            </w:r>
          </w:p>
        </w:tc>
        <w:tc>
          <w:tcPr>
            <w:tcW w:w="1084" w:type="pct"/>
            <w:tcBorders>
              <w:left w:val="single" w:color="auto" w:sz="4" w:space="0"/>
            </w:tcBorders>
            <w:noWrap w:val="0"/>
            <w:vAlign w:val="center"/>
          </w:tcPr>
          <w:p w14:paraId="25E24D4C">
            <w:pPr>
              <w:pStyle w:val="13"/>
              <w:rPr>
                <w:highlight w:val="none"/>
              </w:rPr>
            </w:pPr>
            <w:r>
              <w:rPr>
                <w:rFonts w:hint="eastAsia"/>
                <w:highlight w:val="none"/>
              </w:rPr>
              <w:t>楼地面</w:t>
            </w:r>
          </w:p>
        </w:tc>
        <w:tc>
          <w:tcPr>
            <w:tcW w:w="3583" w:type="pct"/>
            <w:noWrap w:val="0"/>
            <w:vAlign w:val="center"/>
          </w:tcPr>
          <w:p w14:paraId="3293EB5F">
            <w:pPr>
              <w:pStyle w:val="13"/>
              <w:rPr>
                <w:highlight w:val="none"/>
              </w:rPr>
            </w:pPr>
            <w:r>
              <w:rPr>
                <w:rFonts w:hint="eastAsia"/>
                <w:highlight w:val="none"/>
              </w:rPr>
              <w:t>无积水、无泥沙、无灰尘、无污渍、无垃圾杂物、无建筑装修材料残留。</w:t>
            </w:r>
          </w:p>
        </w:tc>
      </w:tr>
      <w:tr w14:paraId="3FAA5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5E78E6B0">
            <w:pPr>
              <w:pStyle w:val="13"/>
              <w:rPr>
                <w:highlight w:val="none"/>
              </w:rPr>
            </w:pPr>
          </w:p>
        </w:tc>
        <w:tc>
          <w:tcPr>
            <w:tcW w:w="1084" w:type="pct"/>
            <w:tcBorders>
              <w:left w:val="single" w:color="auto" w:sz="4" w:space="0"/>
            </w:tcBorders>
            <w:noWrap w:val="0"/>
            <w:vAlign w:val="center"/>
          </w:tcPr>
          <w:p w14:paraId="35798B15">
            <w:pPr>
              <w:pStyle w:val="13"/>
              <w:rPr>
                <w:highlight w:val="none"/>
              </w:rPr>
            </w:pPr>
            <w:r>
              <w:rPr>
                <w:rFonts w:hint="eastAsia"/>
                <w:highlight w:val="none"/>
              </w:rPr>
              <w:t>墙面</w:t>
            </w:r>
          </w:p>
        </w:tc>
        <w:tc>
          <w:tcPr>
            <w:tcW w:w="3583" w:type="pct"/>
            <w:noWrap w:val="0"/>
            <w:vAlign w:val="center"/>
          </w:tcPr>
          <w:p w14:paraId="67B297E2">
            <w:pPr>
              <w:pStyle w:val="13"/>
              <w:rPr>
                <w:highlight w:val="none"/>
              </w:rPr>
            </w:pPr>
            <w:r>
              <w:rPr>
                <w:rFonts w:hint="eastAsia"/>
                <w:highlight w:val="none"/>
              </w:rPr>
              <w:t>无粘贴物、无灰尘、无污渍、无建筑装修材料残留。</w:t>
            </w:r>
            <w:r>
              <w:rPr>
                <w:highlight w:val="none"/>
              </w:rPr>
              <w:t xml:space="preserve"> </w:t>
            </w:r>
          </w:p>
        </w:tc>
      </w:tr>
      <w:tr w14:paraId="2E17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178E3340">
            <w:pPr>
              <w:pStyle w:val="13"/>
              <w:rPr>
                <w:highlight w:val="none"/>
              </w:rPr>
            </w:pPr>
          </w:p>
        </w:tc>
        <w:tc>
          <w:tcPr>
            <w:tcW w:w="1084" w:type="pct"/>
            <w:tcBorders>
              <w:left w:val="single" w:color="auto" w:sz="4" w:space="0"/>
            </w:tcBorders>
            <w:noWrap w:val="0"/>
            <w:vAlign w:val="center"/>
          </w:tcPr>
          <w:p w14:paraId="10045EA4">
            <w:pPr>
              <w:pStyle w:val="13"/>
              <w:rPr>
                <w:highlight w:val="none"/>
              </w:rPr>
            </w:pPr>
            <w:r>
              <w:rPr>
                <w:rFonts w:hint="eastAsia"/>
                <w:highlight w:val="none"/>
              </w:rPr>
              <w:t>天棚</w:t>
            </w:r>
          </w:p>
        </w:tc>
        <w:tc>
          <w:tcPr>
            <w:tcW w:w="3583" w:type="pct"/>
            <w:noWrap w:val="0"/>
            <w:vAlign w:val="center"/>
          </w:tcPr>
          <w:p w14:paraId="1EDC09A9">
            <w:pPr>
              <w:pStyle w:val="13"/>
              <w:rPr>
                <w:highlight w:val="none"/>
              </w:rPr>
            </w:pPr>
            <w:r>
              <w:rPr>
                <w:rFonts w:hint="eastAsia"/>
                <w:highlight w:val="none"/>
              </w:rPr>
              <w:t>无蛛网、无灰尘、无污渍、无建筑装修材料残留。</w:t>
            </w:r>
          </w:p>
        </w:tc>
      </w:tr>
      <w:tr w14:paraId="0F99A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5A594769">
            <w:pPr>
              <w:pStyle w:val="13"/>
              <w:rPr>
                <w:highlight w:val="none"/>
              </w:rPr>
            </w:pPr>
          </w:p>
        </w:tc>
        <w:tc>
          <w:tcPr>
            <w:tcW w:w="1084" w:type="pct"/>
            <w:tcBorders>
              <w:left w:val="single" w:color="auto" w:sz="4" w:space="0"/>
            </w:tcBorders>
            <w:noWrap w:val="0"/>
            <w:vAlign w:val="center"/>
          </w:tcPr>
          <w:p w14:paraId="70AD8A0D">
            <w:pPr>
              <w:pStyle w:val="13"/>
              <w:rPr>
                <w:highlight w:val="none"/>
              </w:rPr>
            </w:pPr>
            <w:r>
              <w:rPr>
                <w:rFonts w:hint="eastAsia"/>
                <w:highlight w:val="none"/>
              </w:rPr>
              <w:t>开关面板、电箱</w:t>
            </w:r>
          </w:p>
        </w:tc>
        <w:tc>
          <w:tcPr>
            <w:tcW w:w="3583" w:type="pct"/>
            <w:noWrap w:val="0"/>
            <w:vAlign w:val="center"/>
          </w:tcPr>
          <w:p w14:paraId="13298454">
            <w:pPr>
              <w:pStyle w:val="13"/>
              <w:rPr>
                <w:highlight w:val="none"/>
              </w:rPr>
            </w:pPr>
            <w:r>
              <w:rPr>
                <w:rFonts w:hint="eastAsia"/>
                <w:highlight w:val="none"/>
              </w:rPr>
              <w:t>无灰尘、无划痕、无污渍、无水泥迹。</w:t>
            </w:r>
          </w:p>
        </w:tc>
      </w:tr>
      <w:tr w14:paraId="5A793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473E6191">
            <w:pPr>
              <w:pStyle w:val="13"/>
              <w:rPr>
                <w:highlight w:val="none"/>
              </w:rPr>
            </w:pPr>
          </w:p>
        </w:tc>
        <w:tc>
          <w:tcPr>
            <w:tcW w:w="1084" w:type="pct"/>
            <w:tcBorders>
              <w:left w:val="single" w:color="auto" w:sz="4" w:space="0"/>
            </w:tcBorders>
            <w:noWrap w:val="0"/>
            <w:vAlign w:val="center"/>
          </w:tcPr>
          <w:p w14:paraId="60E52F02">
            <w:pPr>
              <w:pStyle w:val="13"/>
              <w:rPr>
                <w:highlight w:val="none"/>
              </w:rPr>
            </w:pPr>
            <w:r>
              <w:rPr>
                <w:rFonts w:hint="eastAsia"/>
                <w:highlight w:val="none"/>
              </w:rPr>
              <w:t>线管及管道</w:t>
            </w:r>
          </w:p>
        </w:tc>
        <w:tc>
          <w:tcPr>
            <w:tcW w:w="3583" w:type="pct"/>
            <w:noWrap w:val="0"/>
            <w:vAlign w:val="center"/>
          </w:tcPr>
          <w:p w14:paraId="5FEC860F">
            <w:pPr>
              <w:pStyle w:val="13"/>
              <w:rPr>
                <w:highlight w:val="none"/>
              </w:rPr>
            </w:pPr>
            <w:r>
              <w:rPr>
                <w:rFonts w:hint="eastAsia"/>
                <w:highlight w:val="none"/>
              </w:rPr>
              <w:t>无粘贴物、内部无杂物、无泥沙、无污渍，外部表面清洁、金属制品无锈渍。</w:t>
            </w:r>
          </w:p>
        </w:tc>
      </w:tr>
      <w:tr w14:paraId="32164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5A0753EF">
            <w:pPr>
              <w:pStyle w:val="13"/>
              <w:rPr>
                <w:highlight w:val="none"/>
              </w:rPr>
            </w:pPr>
          </w:p>
        </w:tc>
        <w:tc>
          <w:tcPr>
            <w:tcW w:w="1084" w:type="pct"/>
            <w:tcBorders>
              <w:left w:val="single" w:color="auto" w:sz="4" w:space="0"/>
            </w:tcBorders>
            <w:noWrap w:val="0"/>
            <w:vAlign w:val="center"/>
          </w:tcPr>
          <w:p w14:paraId="442AA887">
            <w:pPr>
              <w:pStyle w:val="13"/>
              <w:rPr>
                <w:highlight w:val="none"/>
              </w:rPr>
            </w:pPr>
            <w:r>
              <w:rPr>
                <w:rFonts w:hint="eastAsia"/>
                <w:highlight w:val="none"/>
              </w:rPr>
              <w:t>空调机位、空调孔</w:t>
            </w:r>
          </w:p>
        </w:tc>
        <w:tc>
          <w:tcPr>
            <w:tcW w:w="3583" w:type="pct"/>
            <w:noWrap w:val="0"/>
            <w:vAlign w:val="center"/>
          </w:tcPr>
          <w:p w14:paraId="611E2702">
            <w:pPr>
              <w:pStyle w:val="13"/>
              <w:rPr>
                <w:highlight w:val="none"/>
              </w:rPr>
            </w:pPr>
            <w:r>
              <w:rPr>
                <w:rFonts w:hint="eastAsia"/>
                <w:highlight w:val="none"/>
              </w:rPr>
              <w:t>无杂物，无灰尘。</w:t>
            </w:r>
          </w:p>
        </w:tc>
      </w:tr>
      <w:tr w14:paraId="73200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71C83D6F">
            <w:pPr>
              <w:pStyle w:val="13"/>
              <w:rPr>
                <w:highlight w:val="none"/>
              </w:rPr>
            </w:pPr>
          </w:p>
        </w:tc>
        <w:tc>
          <w:tcPr>
            <w:tcW w:w="1084" w:type="pct"/>
            <w:tcBorders>
              <w:left w:val="single" w:color="auto" w:sz="4" w:space="0"/>
            </w:tcBorders>
            <w:noWrap w:val="0"/>
            <w:vAlign w:val="center"/>
          </w:tcPr>
          <w:p w14:paraId="2D170FD8">
            <w:pPr>
              <w:pStyle w:val="13"/>
              <w:rPr>
                <w:highlight w:val="none"/>
              </w:rPr>
            </w:pPr>
            <w:r>
              <w:rPr>
                <w:rFonts w:hint="eastAsia"/>
                <w:highlight w:val="none"/>
              </w:rPr>
              <w:t>窗台</w:t>
            </w:r>
          </w:p>
        </w:tc>
        <w:tc>
          <w:tcPr>
            <w:tcW w:w="3583" w:type="pct"/>
            <w:noWrap w:val="0"/>
            <w:vAlign w:val="center"/>
          </w:tcPr>
          <w:p w14:paraId="3A8E9C54">
            <w:pPr>
              <w:pStyle w:val="13"/>
              <w:rPr>
                <w:highlight w:val="none"/>
              </w:rPr>
            </w:pPr>
            <w:r>
              <w:rPr>
                <w:rFonts w:hint="eastAsia"/>
                <w:highlight w:val="none"/>
              </w:rPr>
              <w:t>无杂物、无污迹、无灰尘。</w:t>
            </w:r>
          </w:p>
        </w:tc>
      </w:tr>
      <w:tr w14:paraId="3A674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restart"/>
            <w:tcBorders>
              <w:right w:val="single" w:color="auto" w:sz="4" w:space="0"/>
            </w:tcBorders>
            <w:noWrap w:val="0"/>
            <w:vAlign w:val="center"/>
          </w:tcPr>
          <w:p w14:paraId="51D59880">
            <w:pPr>
              <w:pStyle w:val="13"/>
              <w:rPr>
                <w:highlight w:val="none"/>
              </w:rPr>
            </w:pPr>
            <w:r>
              <w:rPr>
                <w:rFonts w:hint="eastAsia"/>
                <w:highlight w:val="none"/>
              </w:rPr>
              <w:t>公共区域</w:t>
            </w:r>
          </w:p>
        </w:tc>
        <w:tc>
          <w:tcPr>
            <w:tcW w:w="1084" w:type="pct"/>
            <w:tcBorders>
              <w:left w:val="single" w:color="auto" w:sz="4" w:space="0"/>
            </w:tcBorders>
            <w:noWrap w:val="0"/>
            <w:vAlign w:val="center"/>
          </w:tcPr>
          <w:p w14:paraId="55B2D0C8">
            <w:pPr>
              <w:pStyle w:val="13"/>
              <w:rPr>
                <w:highlight w:val="none"/>
              </w:rPr>
            </w:pPr>
            <w:r>
              <w:rPr>
                <w:rFonts w:hint="eastAsia"/>
                <w:highlight w:val="none"/>
              </w:rPr>
              <w:t>楼地面（楼梯）</w:t>
            </w:r>
          </w:p>
        </w:tc>
        <w:tc>
          <w:tcPr>
            <w:tcW w:w="3583" w:type="pct"/>
            <w:noWrap w:val="0"/>
            <w:vAlign w:val="center"/>
          </w:tcPr>
          <w:p w14:paraId="20DF0229">
            <w:pPr>
              <w:pStyle w:val="13"/>
              <w:rPr>
                <w:highlight w:val="none"/>
              </w:rPr>
            </w:pPr>
            <w:r>
              <w:rPr>
                <w:rFonts w:hint="eastAsia"/>
                <w:highlight w:val="none"/>
              </w:rPr>
              <w:t>无灰尘、无垃圾杂物、无污渍、无涂料斑点，踢脚线上无涂料和水泥迹。</w:t>
            </w:r>
          </w:p>
        </w:tc>
      </w:tr>
      <w:tr w14:paraId="5295D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31FB814A">
            <w:pPr>
              <w:pStyle w:val="13"/>
              <w:rPr>
                <w:highlight w:val="none"/>
              </w:rPr>
            </w:pPr>
          </w:p>
        </w:tc>
        <w:tc>
          <w:tcPr>
            <w:tcW w:w="1084" w:type="pct"/>
            <w:tcBorders>
              <w:left w:val="single" w:color="auto" w:sz="4" w:space="0"/>
            </w:tcBorders>
            <w:noWrap w:val="0"/>
            <w:vAlign w:val="center"/>
          </w:tcPr>
          <w:p w14:paraId="5DE50C9B">
            <w:pPr>
              <w:pStyle w:val="13"/>
              <w:rPr>
                <w:highlight w:val="none"/>
              </w:rPr>
            </w:pPr>
            <w:r>
              <w:rPr>
                <w:rFonts w:hint="eastAsia"/>
                <w:highlight w:val="none"/>
              </w:rPr>
              <w:t>墙面（楼梯）</w:t>
            </w:r>
          </w:p>
        </w:tc>
        <w:tc>
          <w:tcPr>
            <w:tcW w:w="3583" w:type="pct"/>
            <w:noWrap w:val="0"/>
            <w:vAlign w:val="center"/>
          </w:tcPr>
          <w:p w14:paraId="537A1822">
            <w:pPr>
              <w:pStyle w:val="13"/>
              <w:rPr>
                <w:highlight w:val="none"/>
              </w:rPr>
            </w:pPr>
            <w:r>
              <w:rPr>
                <w:rFonts w:hint="eastAsia"/>
                <w:highlight w:val="none"/>
              </w:rPr>
              <w:t>无粘贴物、无灰尘、无污渍、无建筑装修材料残留、无印迹、无划痕、无胶渍等异物、无异色污染。</w:t>
            </w:r>
          </w:p>
        </w:tc>
      </w:tr>
      <w:tr w14:paraId="3FBD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318C6B38">
            <w:pPr>
              <w:pStyle w:val="13"/>
              <w:rPr>
                <w:highlight w:val="none"/>
              </w:rPr>
            </w:pPr>
          </w:p>
        </w:tc>
        <w:tc>
          <w:tcPr>
            <w:tcW w:w="1084" w:type="pct"/>
            <w:tcBorders>
              <w:left w:val="single" w:color="auto" w:sz="4" w:space="0"/>
            </w:tcBorders>
            <w:noWrap w:val="0"/>
            <w:vAlign w:val="center"/>
          </w:tcPr>
          <w:p w14:paraId="5ED4576C">
            <w:pPr>
              <w:pStyle w:val="13"/>
              <w:rPr>
                <w:highlight w:val="none"/>
              </w:rPr>
            </w:pPr>
            <w:r>
              <w:rPr>
                <w:rFonts w:hint="eastAsia"/>
                <w:highlight w:val="none"/>
              </w:rPr>
              <w:t>天棚（楼梯）</w:t>
            </w:r>
          </w:p>
        </w:tc>
        <w:tc>
          <w:tcPr>
            <w:tcW w:w="3583" w:type="pct"/>
            <w:noWrap w:val="0"/>
            <w:vAlign w:val="center"/>
          </w:tcPr>
          <w:p w14:paraId="4F1B693F">
            <w:pPr>
              <w:pStyle w:val="13"/>
              <w:rPr>
                <w:highlight w:val="none"/>
              </w:rPr>
            </w:pPr>
            <w:r>
              <w:rPr>
                <w:rFonts w:hint="eastAsia"/>
                <w:highlight w:val="none"/>
              </w:rPr>
              <w:t>无蛛网、无灰尘、无划痕、无污渍、无建筑装修材料残留，阴阳角无暗灰、无异色污染。</w:t>
            </w:r>
          </w:p>
        </w:tc>
      </w:tr>
      <w:tr w14:paraId="35315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19691ED7">
            <w:pPr>
              <w:pStyle w:val="13"/>
              <w:rPr>
                <w:highlight w:val="none"/>
              </w:rPr>
            </w:pPr>
          </w:p>
        </w:tc>
        <w:tc>
          <w:tcPr>
            <w:tcW w:w="1084" w:type="pct"/>
            <w:tcBorders>
              <w:left w:val="single" w:color="auto" w:sz="4" w:space="0"/>
            </w:tcBorders>
            <w:noWrap w:val="0"/>
            <w:vAlign w:val="center"/>
          </w:tcPr>
          <w:p w14:paraId="1772125D">
            <w:pPr>
              <w:pStyle w:val="13"/>
              <w:rPr>
                <w:highlight w:val="none"/>
              </w:rPr>
            </w:pPr>
            <w:r>
              <w:rPr>
                <w:rFonts w:hint="eastAsia"/>
                <w:highlight w:val="none"/>
              </w:rPr>
              <w:t>开关面板</w:t>
            </w:r>
          </w:p>
        </w:tc>
        <w:tc>
          <w:tcPr>
            <w:tcW w:w="3583" w:type="pct"/>
            <w:noWrap w:val="0"/>
            <w:vAlign w:val="center"/>
          </w:tcPr>
          <w:p w14:paraId="54C1724E">
            <w:pPr>
              <w:pStyle w:val="13"/>
              <w:rPr>
                <w:highlight w:val="none"/>
              </w:rPr>
            </w:pPr>
            <w:r>
              <w:rPr>
                <w:rFonts w:hint="eastAsia"/>
                <w:highlight w:val="none"/>
              </w:rPr>
              <w:t>无灰尘、无划痕、无污渍、无水泥迹、无涂料斑点。</w:t>
            </w:r>
          </w:p>
        </w:tc>
      </w:tr>
      <w:tr w14:paraId="0587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4347FF91">
            <w:pPr>
              <w:pStyle w:val="13"/>
              <w:rPr>
                <w:highlight w:val="none"/>
              </w:rPr>
            </w:pPr>
          </w:p>
        </w:tc>
        <w:tc>
          <w:tcPr>
            <w:tcW w:w="1084" w:type="pct"/>
            <w:tcBorders>
              <w:left w:val="single" w:color="auto" w:sz="4" w:space="0"/>
            </w:tcBorders>
            <w:noWrap w:val="0"/>
            <w:vAlign w:val="center"/>
          </w:tcPr>
          <w:p w14:paraId="1C12D77E">
            <w:pPr>
              <w:pStyle w:val="13"/>
              <w:rPr>
                <w:highlight w:val="none"/>
              </w:rPr>
            </w:pPr>
            <w:r>
              <w:rPr>
                <w:rFonts w:hint="eastAsia"/>
                <w:highlight w:val="none"/>
              </w:rPr>
              <w:t>电箱</w:t>
            </w:r>
          </w:p>
        </w:tc>
        <w:tc>
          <w:tcPr>
            <w:tcW w:w="3583" w:type="pct"/>
            <w:noWrap w:val="0"/>
            <w:vAlign w:val="center"/>
          </w:tcPr>
          <w:p w14:paraId="644EB972">
            <w:pPr>
              <w:pStyle w:val="13"/>
              <w:rPr>
                <w:highlight w:val="none"/>
              </w:rPr>
            </w:pPr>
            <w:r>
              <w:rPr>
                <w:rFonts w:hint="eastAsia"/>
                <w:highlight w:val="none"/>
              </w:rPr>
              <w:t>无粘贴物、无灰尘、无划痕、无污渍、无水泥迹、无涂料斑点、金属制品无锈渍。</w:t>
            </w:r>
          </w:p>
        </w:tc>
      </w:tr>
      <w:tr w14:paraId="6D6F2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2B9F4F38">
            <w:pPr>
              <w:pStyle w:val="13"/>
              <w:rPr>
                <w:highlight w:val="none"/>
              </w:rPr>
            </w:pPr>
          </w:p>
        </w:tc>
        <w:tc>
          <w:tcPr>
            <w:tcW w:w="1084" w:type="pct"/>
            <w:tcBorders>
              <w:left w:val="single" w:color="auto" w:sz="4" w:space="0"/>
            </w:tcBorders>
            <w:noWrap w:val="0"/>
            <w:vAlign w:val="center"/>
          </w:tcPr>
          <w:p w14:paraId="4BBBDAD5">
            <w:pPr>
              <w:pStyle w:val="13"/>
              <w:rPr>
                <w:highlight w:val="none"/>
              </w:rPr>
            </w:pPr>
            <w:r>
              <w:rPr>
                <w:rFonts w:hint="eastAsia"/>
                <w:highlight w:val="none"/>
              </w:rPr>
              <w:t>线管及管道</w:t>
            </w:r>
          </w:p>
        </w:tc>
        <w:tc>
          <w:tcPr>
            <w:tcW w:w="3583" w:type="pct"/>
            <w:noWrap w:val="0"/>
            <w:vAlign w:val="center"/>
          </w:tcPr>
          <w:p w14:paraId="6ABBF3B5">
            <w:pPr>
              <w:pStyle w:val="13"/>
              <w:rPr>
                <w:highlight w:val="none"/>
              </w:rPr>
            </w:pPr>
            <w:r>
              <w:rPr>
                <w:rFonts w:hint="eastAsia"/>
                <w:highlight w:val="none"/>
              </w:rPr>
              <w:t>内部无杂物、无泥沙、无污渍，外部表面清洁、金属制品无锈渍。</w:t>
            </w:r>
          </w:p>
        </w:tc>
      </w:tr>
      <w:tr w14:paraId="420B4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restart"/>
            <w:tcBorders>
              <w:right w:val="single" w:color="auto" w:sz="4" w:space="0"/>
            </w:tcBorders>
            <w:noWrap w:val="0"/>
            <w:vAlign w:val="center"/>
          </w:tcPr>
          <w:p w14:paraId="08580FCF">
            <w:pPr>
              <w:pStyle w:val="13"/>
              <w:rPr>
                <w:highlight w:val="none"/>
              </w:rPr>
            </w:pPr>
            <w:r>
              <w:rPr>
                <w:rFonts w:hint="eastAsia"/>
                <w:highlight w:val="none"/>
              </w:rPr>
              <w:t>室外区域</w:t>
            </w:r>
          </w:p>
        </w:tc>
        <w:tc>
          <w:tcPr>
            <w:tcW w:w="1084" w:type="pct"/>
            <w:tcBorders>
              <w:left w:val="single" w:color="auto" w:sz="4" w:space="0"/>
            </w:tcBorders>
            <w:noWrap w:val="0"/>
            <w:vAlign w:val="center"/>
          </w:tcPr>
          <w:p w14:paraId="1934BDF3">
            <w:pPr>
              <w:pStyle w:val="13"/>
              <w:rPr>
                <w:highlight w:val="none"/>
              </w:rPr>
            </w:pPr>
            <w:r>
              <w:rPr>
                <w:rFonts w:hint="eastAsia"/>
                <w:highlight w:val="none"/>
              </w:rPr>
              <w:t>外墙面</w:t>
            </w:r>
          </w:p>
        </w:tc>
        <w:tc>
          <w:tcPr>
            <w:tcW w:w="3583" w:type="pct"/>
            <w:noWrap w:val="0"/>
            <w:vAlign w:val="center"/>
          </w:tcPr>
          <w:p w14:paraId="70973021">
            <w:pPr>
              <w:pStyle w:val="13"/>
              <w:rPr>
                <w:highlight w:val="none"/>
              </w:rPr>
            </w:pPr>
            <w:r>
              <w:rPr>
                <w:rFonts w:hint="eastAsia"/>
                <w:highlight w:val="none"/>
              </w:rPr>
              <w:t>无粘贴物、无灰尘、无污渍、无建筑装修材料残留、无印迹、无划痕、无胶渍等异物、无异色污染，石材、瓷砖墙面需保持光亮。</w:t>
            </w:r>
          </w:p>
        </w:tc>
      </w:tr>
      <w:tr w14:paraId="5FCEB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64DC5A44">
            <w:pPr>
              <w:pStyle w:val="13"/>
              <w:rPr>
                <w:highlight w:val="none"/>
              </w:rPr>
            </w:pPr>
          </w:p>
        </w:tc>
        <w:tc>
          <w:tcPr>
            <w:tcW w:w="1084" w:type="pct"/>
            <w:tcBorders>
              <w:left w:val="single" w:color="auto" w:sz="4" w:space="0"/>
            </w:tcBorders>
            <w:noWrap w:val="0"/>
            <w:vAlign w:val="center"/>
          </w:tcPr>
          <w:p w14:paraId="35EAE100">
            <w:pPr>
              <w:pStyle w:val="13"/>
              <w:rPr>
                <w:highlight w:val="none"/>
              </w:rPr>
            </w:pPr>
            <w:r>
              <w:rPr>
                <w:rFonts w:hint="eastAsia"/>
                <w:highlight w:val="none"/>
              </w:rPr>
              <w:t>屋顶（含天沟）</w:t>
            </w:r>
          </w:p>
        </w:tc>
        <w:tc>
          <w:tcPr>
            <w:tcW w:w="3583" w:type="pct"/>
            <w:noWrap w:val="0"/>
            <w:vAlign w:val="center"/>
          </w:tcPr>
          <w:p w14:paraId="7AA49CCF">
            <w:pPr>
              <w:pStyle w:val="13"/>
              <w:rPr>
                <w:highlight w:val="none"/>
              </w:rPr>
            </w:pPr>
            <w:r>
              <w:rPr>
                <w:rFonts w:hint="eastAsia"/>
                <w:highlight w:val="none"/>
              </w:rPr>
              <w:t>无积水、无泥沙、无垃圾杂物、无建筑材料残留，面层显本色。</w:t>
            </w:r>
          </w:p>
        </w:tc>
      </w:tr>
      <w:tr w14:paraId="0BD7C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79560BDE">
            <w:pPr>
              <w:pStyle w:val="13"/>
              <w:rPr>
                <w:highlight w:val="none"/>
              </w:rPr>
            </w:pPr>
          </w:p>
        </w:tc>
        <w:tc>
          <w:tcPr>
            <w:tcW w:w="1084" w:type="pct"/>
            <w:tcBorders>
              <w:left w:val="single" w:color="auto" w:sz="4" w:space="0"/>
            </w:tcBorders>
            <w:noWrap w:val="0"/>
            <w:vAlign w:val="center"/>
          </w:tcPr>
          <w:p w14:paraId="38DA3C7C">
            <w:pPr>
              <w:pStyle w:val="13"/>
              <w:rPr>
                <w:highlight w:val="none"/>
              </w:rPr>
            </w:pPr>
            <w:r>
              <w:rPr>
                <w:rFonts w:hint="eastAsia"/>
                <w:highlight w:val="none"/>
              </w:rPr>
              <w:t>室外地面</w:t>
            </w:r>
          </w:p>
        </w:tc>
        <w:tc>
          <w:tcPr>
            <w:tcW w:w="3583" w:type="pct"/>
            <w:noWrap w:val="0"/>
            <w:vAlign w:val="center"/>
          </w:tcPr>
          <w:p w14:paraId="3E9C8B22">
            <w:pPr>
              <w:pStyle w:val="13"/>
              <w:rPr>
                <w:highlight w:val="none"/>
              </w:rPr>
            </w:pPr>
            <w:r>
              <w:rPr>
                <w:rFonts w:hint="eastAsia"/>
                <w:highlight w:val="none"/>
              </w:rPr>
              <w:t>无粘贴物、无垃圾、无积砂、无印迹、无异色污染。</w:t>
            </w:r>
          </w:p>
        </w:tc>
      </w:tr>
      <w:tr w14:paraId="78A96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19DBBA4D">
            <w:pPr>
              <w:pStyle w:val="13"/>
              <w:rPr>
                <w:highlight w:val="none"/>
              </w:rPr>
            </w:pPr>
          </w:p>
        </w:tc>
        <w:tc>
          <w:tcPr>
            <w:tcW w:w="1084" w:type="pct"/>
            <w:tcBorders>
              <w:left w:val="single" w:color="auto" w:sz="4" w:space="0"/>
            </w:tcBorders>
            <w:noWrap w:val="0"/>
            <w:vAlign w:val="center"/>
          </w:tcPr>
          <w:p w14:paraId="6C5A6BEA">
            <w:pPr>
              <w:pStyle w:val="13"/>
              <w:rPr>
                <w:highlight w:val="none"/>
              </w:rPr>
            </w:pPr>
            <w:r>
              <w:rPr>
                <w:rFonts w:hint="eastAsia"/>
                <w:highlight w:val="none"/>
              </w:rPr>
              <w:t>室外道路</w:t>
            </w:r>
          </w:p>
        </w:tc>
        <w:tc>
          <w:tcPr>
            <w:tcW w:w="3583" w:type="pct"/>
            <w:noWrap w:val="0"/>
            <w:vAlign w:val="center"/>
          </w:tcPr>
          <w:p w14:paraId="1DD4AF63">
            <w:pPr>
              <w:pStyle w:val="13"/>
              <w:rPr>
                <w:highlight w:val="none"/>
              </w:rPr>
            </w:pPr>
            <w:r>
              <w:rPr>
                <w:rFonts w:hint="eastAsia"/>
                <w:highlight w:val="none"/>
              </w:rPr>
              <w:t>无粘贴物、无垃圾、无积砂、无异色污染。</w:t>
            </w:r>
          </w:p>
        </w:tc>
      </w:tr>
      <w:tr w14:paraId="6414F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1" w:type="pct"/>
            <w:vMerge w:val="continue"/>
            <w:tcBorders>
              <w:right w:val="single" w:color="auto" w:sz="4" w:space="0"/>
            </w:tcBorders>
            <w:noWrap w:val="0"/>
            <w:vAlign w:val="center"/>
          </w:tcPr>
          <w:p w14:paraId="16B94FD2">
            <w:pPr>
              <w:pStyle w:val="13"/>
              <w:rPr>
                <w:highlight w:val="none"/>
              </w:rPr>
            </w:pPr>
          </w:p>
        </w:tc>
        <w:tc>
          <w:tcPr>
            <w:tcW w:w="1084" w:type="pct"/>
            <w:tcBorders>
              <w:left w:val="single" w:color="auto" w:sz="4" w:space="0"/>
            </w:tcBorders>
            <w:noWrap w:val="0"/>
            <w:vAlign w:val="center"/>
          </w:tcPr>
          <w:p w14:paraId="28489BD4">
            <w:pPr>
              <w:pStyle w:val="13"/>
              <w:rPr>
                <w:highlight w:val="none"/>
              </w:rPr>
            </w:pPr>
            <w:r>
              <w:rPr>
                <w:rFonts w:hint="eastAsia"/>
                <w:highlight w:val="none"/>
              </w:rPr>
              <w:t>线管及管道</w:t>
            </w:r>
          </w:p>
        </w:tc>
        <w:tc>
          <w:tcPr>
            <w:tcW w:w="3583" w:type="pct"/>
            <w:noWrap w:val="0"/>
            <w:vAlign w:val="center"/>
          </w:tcPr>
          <w:p w14:paraId="3DF16DEC">
            <w:pPr>
              <w:pStyle w:val="13"/>
              <w:rPr>
                <w:highlight w:val="none"/>
              </w:rPr>
            </w:pPr>
            <w:r>
              <w:rPr>
                <w:rFonts w:hint="eastAsia"/>
                <w:highlight w:val="none"/>
              </w:rPr>
              <w:t>内部无杂物、无泥沙、无污渍，外部表面清洁、金属制品无锈渍。</w:t>
            </w:r>
          </w:p>
        </w:tc>
      </w:tr>
    </w:tbl>
    <w:p w14:paraId="3EF4215E">
      <w:pPr>
        <w:pStyle w:val="5"/>
        <w:numPr>
          <w:ilvl w:val="2"/>
          <w:numId w:val="0"/>
        </w:numPr>
        <w:ind w:left="624" w:hanging="624"/>
        <w:rPr>
          <w:highlight w:val="none"/>
        </w:rPr>
      </w:pPr>
      <w:bookmarkStart w:id="495" w:name="_Toc25945"/>
      <w:r>
        <w:rPr>
          <w:rFonts w:hint="eastAsia"/>
          <w:highlight w:val="none"/>
        </w:rPr>
        <w:t>6.1</w:t>
      </w:r>
      <w:r>
        <w:rPr>
          <w:rFonts w:hint="eastAsia"/>
          <w:highlight w:val="none"/>
          <w:lang w:val="en-US" w:eastAsia="zh-CN"/>
        </w:rPr>
        <w:t>3</w:t>
      </w:r>
      <w:r>
        <w:rPr>
          <w:rFonts w:hint="eastAsia"/>
          <w:highlight w:val="none"/>
        </w:rPr>
        <w:t>.3</w:t>
      </w:r>
      <w:r>
        <w:rPr>
          <w:highlight w:val="none"/>
        </w:rPr>
        <w:t>工程移交</w:t>
      </w:r>
      <w:bookmarkEnd w:id="494"/>
      <w:bookmarkEnd w:id="495"/>
    </w:p>
    <w:p w14:paraId="60B41493">
      <w:pPr>
        <w:ind w:firstLine="480"/>
        <w:rPr>
          <w:highlight w:val="none"/>
        </w:rPr>
      </w:pPr>
      <w:r>
        <w:rPr>
          <w:rFonts w:hint="eastAsia"/>
          <w:highlight w:val="none"/>
        </w:rPr>
        <w:t>竣工</w:t>
      </w:r>
      <w:r>
        <w:rPr>
          <w:highlight w:val="none"/>
        </w:rPr>
        <w:t>备案完成且移交验收完成合格后7日内，</w:t>
      </w:r>
      <w:r>
        <w:rPr>
          <w:rFonts w:hint="eastAsia"/>
          <w:highlight w:val="none"/>
        </w:rPr>
        <w:t>总承包人</w:t>
      </w:r>
      <w:r>
        <w:rPr>
          <w:highlight w:val="none"/>
        </w:rPr>
        <w:t>提交《工程</w:t>
      </w:r>
      <w:r>
        <w:rPr>
          <w:rFonts w:hint="eastAsia"/>
          <w:highlight w:val="none"/>
        </w:rPr>
        <w:t>移交书</w:t>
      </w:r>
      <w:r>
        <w:rPr>
          <w:highlight w:val="none"/>
        </w:rPr>
        <w:t>》，经</w:t>
      </w:r>
      <w:r>
        <w:rPr>
          <w:rFonts w:hint="eastAsia"/>
          <w:highlight w:val="none"/>
        </w:rPr>
        <w:t>监理人、发包人</w:t>
      </w:r>
      <w:r>
        <w:rPr>
          <w:highlight w:val="none"/>
        </w:rPr>
        <w:t>、物业单位（</w:t>
      </w:r>
      <w:r>
        <w:rPr>
          <w:rFonts w:hint="eastAsia"/>
          <w:highlight w:val="none"/>
        </w:rPr>
        <w:t>或发包人</w:t>
      </w:r>
      <w:r>
        <w:rPr>
          <w:highlight w:val="none"/>
        </w:rPr>
        <w:t>指定的其他部门）</w:t>
      </w:r>
      <w:r>
        <w:rPr>
          <w:rFonts w:hint="eastAsia"/>
          <w:highlight w:val="none"/>
        </w:rPr>
        <w:t>检查确认合同范围内工作已完成后</w:t>
      </w:r>
      <w:r>
        <w:rPr>
          <w:highlight w:val="none"/>
        </w:rPr>
        <w:t>签字认可，工程移交完成。</w:t>
      </w:r>
    </w:p>
    <w:p w14:paraId="45D04DE6">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.3.1移交范围</w:t>
      </w:r>
    </w:p>
    <w:p w14:paraId="0AD17848">
      <w:pPr>
        <w:ind w:firstLine="480"/>
        <w:rPr>
          <w:highlight w:val="none"/>
        </w:rPr>
      </w:pPr>
      <w:r>
        <w:rPr>
          <w:highlight w:val="none"/>
        </w:rPr>
        <w:t xml:space="preserve"> </w:t>
      </w:r>
      <w:r>
        <w:rPr>
          <w:rFonts w:hint="eastAsia"/>
          <w:highlight w:val="none"/>
        </w:rPr>
        <w:t>工程项目移交的范围包括工程资料移交、工程实体移交（含备品备件）和使用维护管理移交（含设备维护培训及交底）。</w:t>
      </w:r>
    </w:p>
    <w:p w14:paraId="045710E9">
      <w:pPr>
        <w:ind w:firstLine="480"/>
        <w:rPr>
          <w:highlight w:val="none"/>
        </w:rPr>
      </w:pPr>
      <w:r>
        <w:rPr>
          <w:rFonts w:hint="eastAsia"/>
          <w:highlight w:val="none"/>
        </w:rPr>
        <w:t>（1）工程资料移交</w:t>
      </w:r>
    </w:p>
    <w:p w14:paraId="76DF24A6">
      <w:pPr>
        <w:ind w:firstLine="480"/>
        <w:rPr>
          <w:highlight w:val="none"/>
        </w:rPr>
      </w:pPr>
      <w:r>
        <w:rPr>
          <w:rFonts w:hint="eastAsia"/>
          <w:highlight w:val="none"/>
        </w:rPr>
        <w:t>工程竣工资料包括工程建设前期有关资料、工程技术管理资料、竣工验收备案资 料等。承包人在工程实施过程中及工程竣工后，应对各类工程文件档案进行收集、整理和查验，确保向发包人移交的工程文件档案资料是真实的、完整的。</w:t>
      </w:r>
    </w:p>
    <w:p w14:paraId="57475A7C">
      <w:pPr>
        <w:ind w:firstLine="480"/>
        <w:rPr>
          <w:highlight w:val="none"/>
        </w:rPr>
      </w:pPr>
      <w:r>
        <w:rPr>
          <w:rFonts w:hint="eastAsia"/>
          <w:highlight w:val="none"/>
        </w:rPr>
        <w:t>（2）工程实体移交</w:t>
      </w:r>
    </w:p>
    <w:p w14:paraId="1E7F877D">
      <w:pPr>
        <w:ind w:firstLine="480"/>
        <w:rPr>
          <w:highlight w:val="none"/>
        </w:rPr>
      </w:pPr>
      <w:r>
        <w:rPr>
          <w:rFonts w:hint="eastAsia"/>
          <w:highlight w:val="none"/>
        </w:rPr>
        <w:t>承包人在工程移交前，应编制完整的《工程实体移交清单》（含设备材料移交清单、备品备件移交清单），并提供给发包人、监理单位和工程接收单位审核并盖章确认。</w:t>
      </w:r>
    </w:p>
    <w:p w14:paraId="24C00367">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.3.2移交前维护</w:t>
      </w:r>
    </w:p>
    <w:p w14:paraId="37621585">
      <w:pPr>
        <w:ind w:firstLine="480"/>
        <w:rPr>
          <w:highlight w:val="none"/>
        </w:rPr>
      </w:pPr>
      <w:r>
        <w:rPr>
          <w:rFonts w:hint="eastAsia"/>
          <w:highlight w:val="none"/>
        </w:rPr>
        <w:t>在工程竣工验收后至工程移交之前，承包人必须保障：智能化工程、机电工程的正常运行及维护，如在此期间发现工程或工程设备损坏或存在缺陷的，由承包人按质量保证期服务要求的约定进行修复。有关机电设备（含智能化设备）的检测、登记、 使用、运行、维护、耗材、水电气等费用已包含在合同总价中，发包人不另支付；如承包人拒绝维护，且经发包人书面催告后仍未维护的，发包人有权委托第三方维护所需费用由承包人承担。</w:t>
      </w:r>
    </w:p>
    <w:p w14:paraId="595D8502">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.3.3移交计划</w:t>
      </w:r>
    </w:p>
    <w:p w14:paraId="116D725D">
      <w:pPr>
        <w:ind w:firstLine="480"/>
        <w:rPr>
          <w:highlight w:val="none"/>
        </w:rPr>
      </w:pPr>
      <w:r>
        <w:rPr>
          <w:rFonts w:hint="eastAsia"/>
          <w:highlight w:val="none"/>
        </w:rPr>
        <w:t>承包人应在进行移交工作前编写工程项目移交计划，且移交计划需报发包人及监理单位审核，在经发包人及监理单位审核同意后按计划进行移交。</w:t>
      </w:r>
    </w:p>
    <w:p w14:paraId="08AE1853">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3</w:t>
      </w:r>
      <w:r>
        <w:rPr>
          <w:rFonts w:hint="eastAsia"/>
          <w:highlight w:val="none"/>
        </w:rPr>
        <w:t>.3.4工程移交</w:t>
      </w:r>
    </w:p>
    <w:p w14:paraId="56F3847D">
      <w:pPr>
        <w:ind w:firstLine="480"/>
        <w:rPr>
          <w:highlight w:val="none"/>
        </w:rPr>
      </w:pPr>
      <w:r>
        <w:rPr>
          <w:rFonts w:hint="eastAsia"/>
          <w:highlight w:val="none"/>
        </w:rPr>
        <w:t>承包人应在发包人组织的工程移交中向使用单位办理好工程移交，并做好相关的保障、维修及服务。</w:t>
      </w:r>
    </w:p>
    <w:p w14:paraId="1CEB1F80">
      <w:pPr>
        <w:ind w:firstLine="480"/>
        <w:rPr>
          <w:highlight w:val="none"/>
        </w:rPr>
      </w:pPr>
      <w:r>
        <w:rPr>
          <w:rFonts w:hint="eastAsia"/>
          <w:highlight w:val="none"/>
        </w:rPr>
        <w:t>承包人负责对工程竣工验收及工程移交中提出的质量及工程资料问题进行整改，完成 整改后向监理单位提交《工程整改完工报告》申请整改后正式移交。</w:t>
      </w:r>
    </w:p>
    <w:p w14:paraId="503F5223">
      <w:pPr>
        <w:pStyle w:val="5"/>
        <w:numPr>
          <w:ilvl w:val="2"/>
          <w:numId w:val="0"/>
        </w:numPr>
        <w:ind w:left="624" w:hanging="624"/>
        <w:rPr>
          <w:highlight w:val="none"/>
        </w:rPr>
      </w:pPr>
      <w:bookmarkStart w:id="496" w:name="_Toc385333227"/>
      <w:bookmarkStart w:id="497" w:name="_Toc24380"/>
      <w:r>
        <w:rPr>
          <w:rFonts w:hint="eastAsia"/>
          <w:highlight w:val="none"/>
        </w:rPr>
        <w:t>6.1</w:t>
      </w:r>
      <w:r>
        <w:rPr>
          <w:rFonts w:hint="eastAsia"/>
          <w:highlight w:val="none"/>
          <w:lang w:val="en-US" w:eastAsia="zh-CN"/>
        </w:rPr>
        <w:t>3</w:t>
      </w:r>
      <w:r>
        <w:rPr>
          <w:rFonts w:hint="eastAsia"/>
          <w:highlight w:val="none"/>
        </w:rPr>
        <w:t>.4</w:t>
      </w:r>
      <w:r>
        <w:rPr>
          <w:highlight w:val="none"/>
        </w:rPr>
        <w:t>竣工资料</w:t>
      </w:r>
      <w:bookmarkEnd w:id="496"/>
      <w:bookmarkEnd w:id="497"/>
    </w:p>
    <w:p w14:paraId="41514BD1">
      <w:pPr>
        <w:ind w:firstLine="480"/>
        <w:rPr>
          <w:highlight w:val="none"/>
        </w:rPr>
      </w:pPr>
      <w:r>
        <w:rPr>
          <w:rFonts w:hint="eastAsia"/>
          <w:highlight w:val="none"/>
        </w:rPr>
        <w:t>竣工验收前总承包人</w:t>
      </w:r>
      <w:r>
        <w:rPr>
          <w:highlight w:val="none"/>
        </w:rPr>
        <w:t>必须向</w:t>
      </w:r>
      <w:r>
        <w:rPr>
          <w:rFonts w:hint="eastAsia"/>
          <w:highlight w:val="none"/>
        </w:rPr>
        <w:t>发包人</w:t>
      </w:r>
      <w:r>
        <w:rPr>
          <w:highlight w:val="none"/>
        </w:rPr>
        <w:t>提交完整的按档案馆规定格式装订成册的竣工资料</w:t>
      </w:r>
      <w:r>
        <w:rPr>
          <w:rFonts w:hint="eastAsia"/>
          <w:highlight w:val="none"/>
        </w:rPr>
        <w:t>和</w:t>
      </w:r>
      <w:r>
        <w:rPr>
          <w:highlight w:val="none"/>
        </w:rPr>
        <w:t>竣工图</w:t>
      </w:r>
      <w:r>
        <w:rPr>
          <w:rFonts w:hint="eastAsia"/>
          <w:b/>
          <w:bCs/>
          <w:highlight w:val="none"/>
        </w:rPr>
        <w:t>共6</w:t>
      </w:r>
      <w:r>
        <w:rPr>
          <w:rFonts w:hint="eastAsia"/>
          <w:b/>
          <w:bCs/>
          <w:highlight w:val="none"/>
          <w:u w:val="single"/>
        </w:rPr>
        <w:t>套</w:t>
      </w:r>
      <w:r>
        <w:rPr>
          <w:rFonts w:hint="eastAsia"/>
          <w:highlight w:val="none"/>
        </w:rPr>
        <w:t>。</w:t>
      </w:r>
    </w:p>
    <w:p w14:paraId="4F5F6ED5">
      <w:pPr>
        <w:pStyle w:val="5"/>
        <w:numPr>
          <w:ilvl w:val="2"/>
          <w:numId w:val="0"/>
        </w:numPr>
        <w:ind w:left="624" w:hanging="624"/>
        <w:rPr>
          <w:highlight w:val="none"/>
        </w:rPr>
      </w:pPr>
      <w:bookmarkStart w:id="498" w:name="_Toc9389"/>
      <w:r>
        <w:rPr>
          <w:rFonts w:hint="eastAsia"/>
          <w:highlight w:val="none"/>
        </w:rPr>
        <w:t>6.1</w:t>
      </w:r>
      <w:r>
        <w:rPr>
          <w:rFonts w:hint="eastAsia"/>
          <w:highlight w:val="none"/>
          <w:lang w:val="en-US" w:eastAsia="zh-CN"/>
        </w:rPr>
        <w:t>3</w:t>
      </w:r>
      <w:r>
        <w:rPr>
          <w:rFonts w:hint="eastAsia"/>
          <w:highlight w:val="none"/>
        </w:rPr>
        <w:t>.5交付快修</w:t>
      </w:r>
      <w:r>
        <w:rPr>
          <w:highlight w:val="none"/>
        </w:rPr>
        <w:t>要求</w:t>
      </w:r>
      <w:bookmarkEnd w:id="498"/>
    </w:p>
    <w:p w14:paraId="03DF11DE">
      <w:pPr>
        <w:ind w:firstLine="480"/>
        <w:rPr>
          <w:highlight w:val="none"/>
        </w:rPr>
      </w:pPr>
      <w:r>
        <w:rPr>
          <w:rFonts w:hint="eastAsia"/>
          <w:highlight w:val="none"/>
        </w:rPr>
        <w:t>要求承包人</w:t>
      </w:r>
      <w:r>
        <w:rPr>
          <w:highlight w:val="none"/>
        </w:rPr>
        <w:t>正式交付前</w:t>
      </w:r>
      <w:r>
        <w:rPr>
          <w:rFonts w:hint="eastAsia"/>
          <w:highlight w:val="none"/>
        </w:rPr>
        <w:t>3</w:t>
      </w:r>
      <w:r>
        <w:rPr>
          <w:highlight w:val="none"/>
        </w:rPr>
        <w:t>个月</w:t>
      </w:r>
      <w:r>
        <w:rPr>
          <w:rFonts w:hint="eastAsia"/>
          <w:highlight w:val="none"/>
        </w:rPr>
        <w:t>成立交付专项小组，组织进行交付专项策划及资源筹备，承包人需组织各专业承包人成立集中交付快修指挥组，建立快修队责任人通讯录；交付前5日对快修队维修标准进行集中交底培训；由发包人对快修指挥组组长及工人每日进行交底，交底内容包括着装统一、文明用语、快修响应流程及注意事项等；每天晚上召开快修组例会，总结当天快修情况并进行风险提示；每周召开快修专项总结会，对快修队施工进度开展奖罚措施</w:t>
      </w:r>
      <w:r>
        <w:rPr>
          <w:highlight w:val="none"/>
        </w:rPr>
        <w:t>。</w:t>
      </w:r>
    </w:p>
    <w:p w14:paraId="68D5CA6E">
      <w:pPr>
        <w:pStyle w:val="4"/>
        <w:numPr>
          <w:ilvl w:val="1"/>
          <w:numId w:val="0"/>
        </w:numPr>
        <w:ind w:left="624" w:hanging="624"/>
        <w:rPr>
          <w:highlight w:val="none"/>
        </w:rPr>
      </w:pPr>
      <w:bookmarkStart w:id="499" w:name="_Toc28011"/>
      <w:bookmarkStart w:id="500" w:name="_Toc4165"/>
      <w:bookmarkStart w:id="501" w:name="_Toc19979"/>
      <w:bookmarkStart w:id="502" w:name="_Toc8316"/>
      <w:bookmarkStart w:id="503" w:name="_Toc27332"/>
      <w:bookmarkStart w:id="504" w:name="_Toc25825"/>
      <w:bookmarkStart w:id="505" w:name="_Toc26173"/>
      <w:bookmarkStart w:id="506" w:name="_Toc179562994"/>
      <w:bookmarkStart w:id="507" w:name="_Toc169722223"/>
      <w:bookmarkStart w:id="508" w:name="_Toc491332902"/>
      <w:bookmarkStart w:id="509" w:name="_Toc422854848"/>
      <w:bookmarkStart w:id="510" w:name="_Toc436899071"/>
      <w:bookmarkStart w:id="511" w:name="_Toc437939420"/>
      <w:bookmarkStart w:id="512" w:name="_Toc491453750"/>
      <w:bookmarkStart w:id="513" w:name="_Toc490829816"/>
      <w:bookmarkStart w:id="514" w:name="_Toc491089035"/>
      <w:r>
        <w:rPr>
          <w:rFonts w:hint="eastAsia"/>
          <w:highlight w:val="none"/>
        </w:rPr>
        <w:t>6.1</w:t>
      </w:r>
      <w:r>
        <w:rPr>
          <w:rFonts w:hint="eastAsia"/>
          <w:highlight w:val="none"/>
          <w:lang w:val="en-US" w:eastAsia="zh-CN"/>
        </w:rPr>
        <w:t>4</w:t>
      </w:r>
      <w:r>
        <w:rPr>
          <w:rFonts w:hint="eastAsia"/>
          <w:highlight w:val="none"/>
        </w:rPr>
        <w:t>质量保证期和售后服务</w:t>
      </w:r>
      <w:bookmarkEnd w:id="499"/>
      <w:bookmarkEnd w:id="500"/>
      <w:bookmarkEnd w:id="501"/>
      <w:bookmarkEnd w:id="502"/>
      <w:bookmarkEnd w:id="503"/>
      <w:bookmarkEnd w:id="504"/>
      <w:bookmarkEnd w:id="505"/>
      <w:bookmarkEnd w:id="506"/>
    </w:p>
    <w:p w14:paraId="26D0D40F">
      <w:pPr>
        <w:pStyle w:val="5"/>
        <w:numPr>
          <w:ilvl w:val="2"/>
          <w:numId w:val="0"/>
        </w:numPr>
        <w:ind w:left="624" w:hanging="624"/>
        <w:rPr>
          <w:highlight w:val="none"/>
        </w:rPr>
      </w:pPr>
      <w:bookmarkStart w:id="515" w:name="_Toc22622"/>
      <w:r>
        <w:rPr>
          <w:rFonts w:hint="eastAsia"/>
          <w:highlight w:val="none"/>
        </w:rPr>
        <w:t>6.1</w:t>
      </w:r>
      <w:r>
        <w:rPr>
          <w:rFonts w:hint="eastAsia"/>
          <w:highlight w:val="none"/>
          <w:lang w:val="en-US" w:eastAsia="zh-CN"/>
        </w:rPr>
        <w:t>4</w:t>
      </w:r>
      <w:r>
        <w:rPr>
          <w:rFonts w:hint="eastAsia"/>
          <w:highlight w:val="none"/>
        </w:rPr>
        <w:t>.1在质量保证期内，承包人按保修协议约定免费提供设备的维修及保养服务。</w:t>
      </w:r>
      <w:bookmarkEnd w:id="515"/>
    </w:p>
    <w:p w14:paraId="3AD938B3">
      <w:pPr>
        <w:pStyle w:val="5"/>
        <w:numPr>
          <w:ilvl w:val="2"/>
          <w:numId w:val="0"/>
        </w:numPr>
        <w:ind w:left="624" w:hanging="624"/>
        <w:rPr>
          <w:highlight w:val="none"/>
        </w:rPr>
      </w:pPr>
      <w:bookmarkStart w:id="516" w:name="_Toc16314"/>
      <w:r>
        <w:rPr>
          <w:rFonts w:hint="eastAsia"/>
          <w:highlight w:val="none"/>
        </w:rPr>
        <w:t>6.1</w:t>
      </w:r>
      <w:r>
        <w:rPr>
          <w:rFonts w:hint="eastAsia"/>
          <w:highlight w:val="none"/>
          <w:lang w:val="en-US" w:eastAsia="zh-CN"/>
        </w:rPr>
        <w:t>4</w:t>
      </w:r>
      <w:r>
        <w:rPr>
          <w:rFonts w:hint="eastAsia"/>
          <w:highlight w:val="none"/>
        </w:rPr>
        <w:t>.2质保期内须免费提供设备的维修及保养服务，定期派工程师到现场巡查，并配合对各系统进行每年一次的年检且提供年检报告。</w:t>
      </w:r>
      <w:bookmarkEnd w:id="516"/>
    </w:p>
    <w:p w14:paraId="2F1158EC">
      <w:pPr>
        <w:pStyle w:val="5"/>
        <w:numPr>
          <w:ilvl w:val="2"/>
          <w:numId w:val="0"/>
        </w:numPr>
        <w:ind w:left="624" w:hanging="624"/>
        <w:rPr>
          <w:highlight w:val="none"/>
        </w:rPr>
      </w:pPr>
      <w:bookmarkStart w:id="517" w:name="_Toc27089"/>
      <w:r>
        <w:rPr>
          <w:rFonts w:hint="eastAsia"/>
          <w:highlight w:val="none"/>
        </w:rPr>
        <w:t>6.1</w:t>
      </w:r>
      <w:r>
        <w:rPr>
          <w:rFonts w:hint="eastAsia"/>
          <w:highlight w:val="none"/>
          <w:lang w:val="en-US" w:eastAsia="zh-CN"/>
        </w:rPr>
        <w:t>4</w:t>
      </w:r>
      <w:r>
        <w:rPr>
          <w:rFonts w:hint="eastAsia"/>
          <w:highlight w:val="none"/>
        </w:rPr>
        <w:t>.3质保期内设备本身质量出现问题或由于设备本身质量原因造成的任何损伤 或损坏，承包人应及时给予免费维修或免费更换，由此引起的施工费、人工费、材料费等其他一切费用由承包人负责。新更换的零部件的质保期则从更换之日起计。</w:t>
      </w:r>
      <w:bookmarkEnd w:id="517"/>
    </w:p>
    <w:p w14:paraId="3A249233">
      <w:pPr>
        <w:pStyle w:val="5"/>
        <w:numPr>
          <w:ilvl w:val="2"/>
          <w:numId w:val="0"/>
        </w:numPr>
        <w:ind w:left="624" w:hanging="624"/>
        <w:rPr>
          <w:highlight w:val="none"/>
        </w:rPr>
      </w:pPr>
      <w:bookmarkStart w:id="518" w:name="_Toc25465"/>
      <w:r>
        <w:rPr>
          <w:rFonts w:hint="eastAsia"/>
          <w:highlight w:val="none"/>
        </w:rPr>
        <w:t>6.1</w:t>
      </w:r>
      <w:r>
        <w:rPr>
          <w:rFonts w:hint="eastAsia"/>
          <w:highlight w:val="none"/>
          <w:lang w:val="en-US" w:eastAsia="zh-CN"/>
        </w:rPr>
        <w:t>4</w:t>
      </w:r>
      <w:r>
        <w:rPr>
          <w:rFonts w:hint="eastAsia"/>
          <w:highlight w:val="none"/>
        </w:rPr>
        <w:t>.4承包人在故障保修响应方面应做到：承包人须在接到业主通知的 1 小时内予以答复；在业主要求时，承包人的技术人员须在收到业主通知后3小时之内到现场进行修理，相关的维修必须连续进行，直至故障完全修复为止。若在 24小时内不能排除故障，承包人应立即采取切实有效的补救措施（包括免费提供应急设备），全力防止损失的扩大。</w:t>
      </w:r>
      <w:bookmarkEnd w:id="518"/>
    </w:p>
    <w:p w14:paraId="7C0DEAF0">
      <w:pPr>
        <w:pStyle w:val="5"/>
        <w:numPr>
          <w:ilvl w:val="2"/>
          <w:numId w:val="0"/>
        </w:numPr>
        <w:ind w:left="624" w:hanging="624"/>
        <w:rPr>
          <w:highlight w:val="none"/>
        </w:rPr>
      </w:pPr>
      <w:bookmarkStart w:id="519" w:name="_Toc1384"/>
      <w:r>
        <w:rPr>
          <w:rFonts w:hint="eastAsia"/>
          <w:highlight w:val="none"/>
        </w:rPr>
        <w:t>6.1</w:t>
      </w:r>
      <w:r>
        <w:rPr>
          <w:rFonts w:hint="eastAsia"/>
          <w:highlight w:val="none"/>
          <w:lang w:val="en-US" w:eastAsia="zh-CN"/>
        </w:rPr>
        <w:t>4</w:t>
      </w:r>
      <w:r>
        <w:rPr>
          <w:rFonts w:hint="eastAsia"/>
          <w:highlight w:val="none"/>
        </w:rPr>
        <w:t>.5从工程竣工验收合格正式运行之日起的质量保证期（含潜在缺陷质量保证 期）内，由于设备材料因素造成的损坏，均由承包人免费维修、更换，由于人为（非承包人人员）和自然灾害造成的损坏，收取成本费用。</w:t>
      </w:r>
      <w:bookmarkEnd w:id="519"/>
    </w:p>
    <w:p w14:paraId="7B9DF873">
      <w:pPr>
        <w:pStyle w:val="5"/>
        <w:numPr>
          <w:ilvl w:val="2"/>
          <w:numId w:val="0"/>
        </w:numPr>
        <w:ind w:left="624" w:hanging="624"/>
        <w:rPr>
          <w:highlight w:val="none"/>
        </w:rPr>
      </w:pPr>
      <w:bookmarkStart w:id="520" w:name="_Toc20184"/>
      <w:r>
        <w:rPr>
          <w:rFonts w:hint="eastAsia"/>
          <w:highlight w:val="none"/>
        </w:rPr>
        <w:t>6.1</w:t>
      </w:r>
      <w:r>
        <w:rPr>
          <w:rFonts w:hint="eastAsia"/>
          <w:highlight w:val="none"/>
          <w:lang w:val="en-US" w:eastAsia="zh-CN"/>
        </w:rPr>
        <w:t>4</w:t>
      </w:r>
      <w:r>
        <w:rPr>
          <w:rFonts w:hint="eastAsia"/>
          <w:highlight w:val="none"/>
        </w:rPr>
        <w:t>.6在质量保证期结束前，承包人须与业主代表对合同项下设备进行全面的检 查，对任何缺陷由承包人负责修理。在修理之后，承包人须将缺陷原因、修理的内容、完成修理及恢复正常的时间和日期等情况报告给业主。</w:t>
      </w:r>
      <w:bookmarkEnd w:id="520"/>
    </w:p>
    <w:p w14:paraId="0FBAEEEF">
      <w:pPr>
        <w:pStyle w:val="5"/>
        <w:numPr>
          <w:ilvl w:val="2"/>
          <w:numId w:val="0"/>
        </w:numPr>
        <w:ind w:left="624" w:hanging="624"/>
        <w:rPr>
          <w:highlight w:val="none"/>
        </w:rPr>
      </w:pPr>
      <w:bookmarkStart w:id="521" w:name="_Toc4353"/>
      <w:r>
        <w:rPr>
          <w:rFonts w:hint="eastAsia"/>
          <w:highlight w:val="none"/>
        </w:rPr>
        <w:t>6.1</w:t>
      </w:r>
      <w:r>
        <w:rPr>
          <w:rFonts w:hint="eastAsia"/>
          <w:highlight w:val="none"/>
          <w:lang w:val="en-US" w:eastAsia="zh-CN"/>
        </w:rPr>
        <w:t>4</w:t>
      </w:r>
      <w:r>
        <w:rPr>
          <w:rFonts w:hint="eastAsia"/>
          <w:highlight w:val="none"/>
        </w:rPr>
        <w:t>.7承包人必提供满足质量保证期内正常运行的备品备件和易损、易耗件，并随时优惠提供易损件，优惠提供产品更新、改造服务。</w:t>
      </w:r>
      <w:bookmarkEnd w:id="521"/>
    </w:p>
    <w:p w14:paraId="7BA66DC1">
      <w:pPr>
        <w:pStyle w:val="5"/>
        <w:numPr>
          <w:ilvl w:val="2"/>
          <w:numId w:val="0"/>
        </w:numPr>
        <w:ind w:left="624" w:hanging="624"/>
        <w:rPr>
          <w:highlight w:val="none"/>
        </w:rPr>
      </w:pPr>
      <w:bookmarkStart w:id="522" w:name="_Toc10893"/>
      <w:r>
        <w:rPr>
          <w:rFonts w:hint="eastAsia"/>
          <w:highlight w:val="none"/>
        </w:rPr>
        <w:t>6.1</w:t>
      </w:r>
      <w:r>
        <w:rPr>
          <w:rFonts w:hint="eastAsia"/>
          <w:highlight w:val="none"/>
          <w:lang w:val="en-US" w:eastAsia="zh-CN"/>
        </w:rPr>
        <w:t>4</w:t>
      </w:r>
      <w:r>
        <w:rPr>
          <w:rFonts w:hint="eastAsia"/>
          <w:highlight w:val="none"/>
        </w:rPr>
        <w:t>.8在质量保证期内，以下主要设备提供原厂售后保修服务，若本项目的质量 保证期比主要设备供应商规定的售后保修服务期长的，须相应延长主要设备的原厂售后保修服务期，所发生的相关费用由承包人承担，发包人不另行增加费用。原厂提供售后保修服务的主要设备包括不限于：空调、水泵、电气元器件、控制器、智能化设备等。</w:t>
      </w:r>
      <w:bookmarkEnd w:id="522"/>
    </w:p>
    <w:p w14:paraId="284CF192">
      <w:pPr>
        <w:pStyle w:val="5"/>
        <w:numPr>
          <w:ilvl w:val="2"/>
          <w:numId w:val="0"/>
        </w:numPr>
        <w:ind w:left="624" w:hanging="624"/>
        <w:rPr>
          <w:highlight w:val="none"/>
        </w:rPr>
      </w:pPr>
      <w:bookmarkStart w:id="523" w:name="_Toc19329"/>
      <w:r>
        <w:rPr>
          <w:rFonts w:hint="eastAsia"/>
          <w:highlight w:val="none"/>
        </w:rPr>
        <w:t>6.1</w:t>
      </w:r>
      <w:r>
        <w:rPr>
          <w:rFonts w:hint="eastAsia"/>
          <w:highlight w:val="none"/>
          <w:lang w:val="en-US" w:eastAsia="zh-CN"/>
        </w:rPr>
        <w:t>4</w:t>
      </w:r>
      <w:r>
        <w:rPr>
          <w:rFonts w:hint="eastAsia"/>
          <w:highlight w:val="none"/>
        </w:rPr>
        <w:t>.9质保期满，由承包人提出退还质量保证金申请，按要求提交《工程质量保修责任期终止证书》，经监理单位、使用单位和发包人确认后按合同要求退还。</w:t>
      </w:r>
      <w:bookmarkEnd w:id="523"/>
    </w:p>
    <w:p w14:paraId="3BC71DBE">
      <w:pPr>
        <w:pStyle w:val="5"/>
        <w:numPr>
          <w:ilvl w:val="2"/>
          <w:numId w:val="0"/>
        </w:numPr>
        <w:ind w:left="624" w:hanging="624"/>
        <w:rPr>
          <w:highlight w:val="none"/>
        </w:rPr>
      </w:pPr>
      <w:bookmarkStart w:id="524" w:name="_Toc14026"/>
      <w:r>
        <w:rPr>
          <w:rFonts w:hint="eastAsia"/>
          <w:highlight w:val="none"/>
        </w:rPr>
        <w:t>6.1</w:t>
      </w:r>
      <w:r>
        <w:rPr>
          <w:rFonts w:hint="eastAsia"/>
          <w:highlight w:val="none"/>
          <w:lang w:val="en-US" w:eastAsia="zh-CN"/>
        </w:rPr>
        <w:t>4</w:t>
      </w:r>
      <w:r>
        <w:rPr>
          <w:rFonts w:hint="eastAsia"/>
          <w:highlight w:val="none"/>
        </w:rPr>
        <w:t>.10建设项目通过验收后，在使用过程中发现的较大质量隐患，发包人有权将合同质保期延长至隐患消除为止。</w:t>
      </w:r>
      <w:bookmarkEnd w:id="524"/>
    </w:p>
    <w:p w14:paraId="2211313E">
      <w:pPr>
        <w:pStyle w:val="5"/>
        <w:numPr>
          <w:ilvl w:val="2"/>
          <w:numId w:val="0"/>
        </w:numPr>
        <w:ind w:left="624" w:hanging="624"/>
        <w:rPr>
          <w:highlight w:val="none"/>
        </w:rPr>
      </w:pPr>
      <w:bookmarkStart w:id="525" w:name="_Toc1458"/>
      <w:r>
        <w:rPr>
          <w:rFonts w:hint="eastAsia"/>
          <w:highlight w:val="none"/>
        </w:rPr>
        <w:t>6.1</w:t>
      </w:r>
      <w:r>
        <w:rPr>
          <w:rFonts w:hint="eastAsia"/>
          <w:highlight w:val="none"/>
          <w:lang w:val="en-US" w:eastAsia="zh-CN"/>
        </w:rPr>
        <w:t>4</w:t>
      </w:r>
      <w:r>
        <w:rPr>
          <w:rFonts w:hint="eastAsia"/>
          <w:highlight w:val="none"/>
        </w:rPr>
        <w:t>.11本项目的质量保修金的支付与缺陷责任期内防水工程的质量情况挂钩具体详见合同约定。</w:t>
      </w:r>
      <w:bookmarkEnd w:id="525"/>
    </w:p>
    <w:p w14:paraId="576ED4A4">
      <w:pPr>
        <w:pStyle w:val="4"/>
        <w:numPr>
          <w:ilvl w:val="1"/>
          <w:numId w:val="0"/>
        </w:numPr>
        <w:ind w:left="624" w:hanging="624"/>
        <w:rPr>
          <w:highlight w:val="none"/>
        </w:rPr>
      </w:pPr>
      <w:bookmarkStart w:id="526" w:name="_Toc13606"/>
      <w:bookmarkStart w:id="527" w:name="_Toc13001"/>
      <w:bookmarkStart w:id="528" w:name="_Toc10415"/>
      <w:bookmarkStart w:id="529" w:name="_Toc8286"/>
      <w:bookmarkStart w:id="530" w:name="_Toc967"/>
      <w:bookmarkStart w:id="531" w:name="_Toc28938"/>
      <w:bookmarkStart w:id="532" w:name="_Toc179562995"/>
      <w:r>
        <w:rPr>
          <w:rFonts w:hint="eastAsia"/>
          <w:highlight w:val="none"/>
        </w:rPr>
        <w:t>6.1</w:t>
      </w:r>
      <w:r>
        <w:rPr>
          <w:rFonts w:hint="eastAsia"/>
          <w:highlight w:val="none"/>
          <w:lang w:val="en-US" w:eastAsia="zh-CN"/>
        </w:rPr>
        <w:t>5</w:t>
      </w:r>
      <w:r>
        <w:rPr>
          <w:rFonts w:hint="eastAsia"/>
          <w:highlight w:val="none"/>
        </w:rPr>
        <w:t>检测与试验要求</w:t>
      </w:r>
      <w:bookmarkEnd w:id="507"/>
      <w:bookmarkEnd w:id="526"/>
      <w:bookmarkEnd w:id="527"/>
      <w:bookmarkEnd w:id="528"/>
      <w:bookmarkEnd w:id="529"/>
      <w:bookmarkEnd w:id="530"/>
      <w:bookmarkEnd w:id="531"/>
      <w:bookmarkEnd w:id="532"/>
    </w:p>
    <w:p w14:paraId="68FF99E9">
      <w:pPr>
        <w:ind w:firstLine="480"/>
        <w:rPr>
          <w:highlight w:val="none"/>
        </w:rPr>
      </w:pPr>
      <w:r>
        <w:rPr>
          <w:rFonts w:hint="eastAsia"/>
          <w:highlight w:val="none"/>
        </w:rPr>
        <w:t>总承包人需做的材料检测和试验包括但不限于</w:t>
      </w:r>
      <w:r>
        <w:rPr>
          <w:highlight w:val="none"/>
        </w:rPr>
        <w:t>:</w:t>
      </w:r>
    </w:p>
    <w:p w14:paraId="01EFEA54">
      <w:pPr>
        <w:pStyle w:val="5"/>
        <w:numPr>
          <w:ilvl w:val="2"/>
          <w:numId w:val="0"/>
        </w:numPr>
        <w:ind w:left="624" w:hanging="624"/>
        <w:rPr>
          <w:highlight w:val="none"/>
        </w:rPr>
      </w:pPr>
      <w:bookmarkStart w:id="533" w:name="_Toc9970"/>
      <w:r>
        <w:rPr>
          <w:rFonts w:hint="eastAsia"/>
          <w:highlight w:val="none"/>
        </w:rPr>
        <w:t>6.1</w:t>
      </w:r>
      <w:r>
        <w:rPr>
          <w:rFonts w:hint="eastAsia"/>
          <w:highlight w:val="none"/>
          <w:lang w:val="en-US" w:eastAsia="zh-CN"/>
        </w:rPr>
        <w:t>5</w:t>
      </w:r>
      <w:r>
        <w:rPr>
          <w:rFonts w:hint="eastAsia"/>
          <w:highlight w:val="none"/>
        </w:rPr>
        <w:t>.1材料检测</w:t>
      </w:r>
      <w:bookmarkEnd w:id="533"/>
    </w:p>
    <w:p w14:paraId="7106D4AC">
      <w:pPr>
        <w:ind w:firstLine="480"/>
        <w:rPr>
          <w:highlight w:val="none"/>
        </w:rPr>
      </w:pPr>
      <w:r>
        <w:rPr>
          <w:rFonts w:hint="eastAsia"/>
          <w:highlight w:val="none"/>
        </w:rPr>
        <w:t>总承包人工程范围内的钢筋、混凝土、砌体、节能保温材料、机电类材料等须按照国家、行业和地方相关检验标准进行检验，合格后方可使用。</w:t>
      </w:r>
    </w:p>
    <w:p w14:paraId="07B4A718">
      <w:pPr>
        <w:pStyle w:val="5"/>
        <w:numPr>
          <w:ilvl w:val="2"/>
          <w:numId w:val="0"/>
        </w:numPr>
        <w:ind w:left="624" w:hanging="624"/>
        <w:rPr>
          <w:highlight w:val="none"/>
        </w:rPr>
      </w:pPr>
      <w:bookmarkStart w:id="534" w:name="_Toc4872"/>
      <w:r>
        <w:rPr>
          <w:rFonts w:hint="eastAsia"/>
          <w:highlight w:val="none"/>
        </w:rPr>
        <w:t>6.1</w:t>
      </w:r>
      <w:r>
        <w:rPr>
          <w:rFonts w:hint="eastAsia"/>
          <w:highlight w:val="none"/>
          <w:lang w:val="en-US" w:eastAsia="zh-CN"/>
        </w:rPr>
        <w:t>5</w:t>
      </w:r>
      <w:r>
        <w:rPr>
          <w:rFonts w:hint="eastAsia"/>
          <w:highlight w:val="none"/>
        </w:rPr>
        <w:t>.2性能试验</w:t>
      </w:r>
      <w:bookmarkEnd w:id="534"/>
    </w:p>
    <w:p w14:paraId="09782CEC">
      <w:pPr>
        <w:ind w:firstLine="480"/>
        <w:rPr>
          <w:highlight w:val="none"/>
        </w:rPr>
      </w:pPr>
      <w:r>
        <w:rPr>
          <w:rFonts w:hint="eastAsia"/>
          <w:highlight w:val="none"/>
        </w:rPr>
        <w:t>总承包人须按照国家、行业和地方及发包人的相关标准进行有关性能试验。</w:t>
      </w:r>
    </w:p>
    <w:p w14:paraId="0E5758A5">
      <w:pPr>
        <w:pStyle w:val="4"/>
        <w:numPr>
          <w:ilvl w:val="1"/>
          <w:numId w:val="0"/>
        </w:numPr>
        <w:ind w:left="624" w:hanging="624"/>
        <w:rPr>
          <w:highlight w:val="none"/>
        </w:rPr>
      </w:pPr>
      <w:bookmarkStart w:id="535" w:name="_Toc31201"/>
      <w:bookmarkStart w:id="536" w:name="_Toc9246"/>
      <w:bookmarkStart w:id="537" w:name="_Toc19664"/>
      <w:bookmarkStart w:id="538" w:name="_Toc179562996"/>
      <w:bookmarkStart w:id="539" w:name="_Toc10407"/>
      <w:bookmarkStart w:id="540" w:name="_Toc21213"/>
      <w:bookmarkStart w:id="541" w:name="_Toc1163"/>
      <w:bookmarkStart w:id="542" w:name="_Toc169722224"/>
      <w:r>
        <w:rPr>
          <w:rFonts w:hint="eastAsia"/>
          <w:highlight w:val="none"/>
        </w:rPr>
        <w:t>6.1</w:t>
      </w:r>
      <w:r>
        <w:rPr>
          <w:rFonts w:hint="eastAsia"/>
          <w:highlight w:val="none"/>
          <w:lang w:val="en-US" w:eastAsia="zh-CN"/>
        </w:rPr>
        <w:t>6</w:t>
      </w:r>
      <w:r>
        <w:rPr>
          <w:rFonts w:hint="eastAsia"/>
          <w:highlight w:val="none"/>
        </w:rPr>
        <w:t>撤场程序</w:t>
      </w:r>
      <w:bookmarkEnd w:id="508"/>
      <w:bookmarkEnd w:id="509"/>
      <w:bookmarkEnd w:id="510"/>
      <w:bookmarkEnd w:id="511"/>
      <w:bookmarkEnd w:id="512"/>
      <w:bookmarkEnd w:id="513"/>
      <w:bookmarkEnd w:id="514"/>
      <w:bookmarkEnd w:id="535"/>
      <w:bookmarkEnd w:id="536"/>
      <w:bookmarkEnd w:id="537"/>
      <w:bookmarkEnd w:id="538"/>
      <w:bookmarkEnd w:id="539"/>
      <w:bookmarkEnd w:id="540"/>
      <w:bookmarkEnd w:id="541"/>
      <w:bookmarkEnd w:id="542"/>
    </w:p>
    <w:p w14:paraId="3F1BE77C">
      <w:pPr>
        <w:pStyle w:val="5"/>
        <w:numPr>
          <w:ilvl w:val="2"/>
          <w:numId w:val="0"/>
        </w:numPr>
        <w:ind w:left="624" w:hanging="624"/>
        <w:rPr>
          <w:highlight w:val="none"/>
        </w:rPr>
      </w:pPr>
      <w:bookmarkStart w:id="543" w:name="_Toc436899072"/>
      <w:bookmarkStart w:id="544" w:name="_Toc24608"/>
      <w:r>
        <w:rPr>
          <w:rFonts w:hint="eastAsia"/>
          <w:highlight w:val="none"/>
        </w:rPr>
        <w:t>6.1</w:t>
      </w:r>
      <w:r>
        <w:rPr>
          <w:rFonts w:hint="eastAsia"/>
          <w:highlight w:val="none"/>
          <w:lang w:val="en-US" w:eastAsia="zh-CN"/>
        </w:rPr>
        <w:t>6</w:t>
      </w:r>
      <w:r>
        <w:rPr>
          <w:rFonts w:hint="eastAsia"/>
          <w:highlight w:val="none"/>
        </w:rPr>
        <w:t>.1总则</w:t>
      </w:r>
      <w:bookmarkEnd w:id="543"/>
      <w:bookmarkEnd w:id="544"/>
    </w:p>
    <w:p w14:paraId="239FF93A">
      <w:pPr>
        <w:ind w:firstLine="480"/>
        <w:rPr>
          <w:highlight w:val="none"/>
        </w:rPr>
      </w:pPr>
      <w:r>
        <w:rPr>
          <w:rFonts w:hint="eastAsia"/>
          <w:highlight w:val="none"/>
        </w:rPr>
        <w:t>经友好协商，总承包人同意调整原合同的施工范围，同意撤场。具体各方在权责、范围等事宜由后期发包人与总承包人签订的《总承包合同补充协议》中详细说明。</w:t>
      </w:r>
    </w:p>
    <w:p w14:paraId="6B19E844">
      <w:pPr>
        <w:pStyle w:val="5"/>
        <w:numPr>
          <w:ilvl w:val="2"/>
          <w:numId w:val="0"/>
        </w:numPr>
        <w:ind w:left="624" w:hanging="624"/>
        <w:rPr>
          <w:highlight w:val="none"/>
        </w:rPr>
      </w:pPr>
      <w:bookmarkStart w:id="545" w:name="_Toc436899073"/>
      <w:bookmarkStart w:id="546" w:name="_Toc2227"/>
      <w:r>
        <w:rPr>
          <w:rFonts w:hint="eastAsia"/>
          <w:highlight w:val="none"/>
        </w:rPr>
        <w:t>6.1</w:t>
      </w:r>
      <w:r>
        <w:rPr>
          <w:rFonts w:hint="eastAsia"/>
          <w:highlight w:val="none"/>
          <w:lang w:val="en-US" w:eastAsia="zh-CN"/>
        </w:rPr>
        <w:t>6</w:t>
      </w:r>
      <w:r>
        <w:rPr>
          <w:rFonts w:hint="eastAsia"/>
          <w:highlight w:val="none"/>
        </w:rPr>
        <w:t>.2成立撤场协调小组</w:t>
      </w:r>
      <w:bookmarkEnd w:id="545"/>
      <w:bookmarkEnd w:id="546"/>
    </w:p>
    <w:p w14:paraId="13FB25BB">
      <w:pPr>
        <w:ind w:firstLine="480"/>
        <w:rPr>
          <w:highlight w:val="none"/>
        </w:rPr>
      </w:pPr>
      <w:r>
        <w:rPr>
          <w:rFonts w:hint="eastAsia"/>
          <w:highlight w:val="none"/>
        </w:rPr>
        <w:t>明确总承包人撤场的大原则情况下，双方需在2个工作日内成立各自的撤场协调小组，明确小组成员、分工及详细的工作职责和义务。小组成员应包括但不限于双方的法人代表或法定授权人、项目负责人、合约人员等。</w:t>
      </w:r>
    </w:p>
    <w:p w14:paraId="556F6E19">
      <w:pPr>
        <w:pStyle w:val="5"/>
        <w:numPr>
          <w:ilvl w:val="2"/>
          <w:numId w:val="0"/>
        </w:numPr>
        <w:ind w:left="624" w:hanging="624"/>
        <w:rPr>
          <w:highlight w:val="none"/>
        </w:rPr>
      </w:pPr>
      <w:bookmarkStart w:id="547" w:name="_Toc14836"/>
      <w:bookmarkStart w:id="548" w:name="_Toc436899074"/>
      <w:r>
        <w:rPr>
          <w:rFonts w:hint="eastAsia"/>
          <w:highlight w:val="none"/>
        </w:rPr>
        <w:t>6.1</w:t>
      </w:r>
      <w:r>
        <w:rPr>
          <w:rFonts w:hint="eastAsia"/>
          <w:highlight w:val="none"/>
          <w:lang w:val="en-US" w:eastAsia="zh-CN"/>
        </w:rPr>
        <w:t>6</w:t>
      </w:r>
      <w:r>
        <w:rPr>
          <w:rFonts w:hint="eastAsia"/>
          <w:highlight w:val="none"/>
        </w:rPr>
        <w:t>.3现场盘点</w:t>
      </w:r>
      <w:bookmarkEnd w:id="547"/>
      <w:bookmarkEnd w:id="548"/>
    </w:p>
    <w:p w14:paraId="57AD3994">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3.1工程实体的盘点：双方对总承包人自身完成的工程实体工作量确认，总承包人需保证已完成的实体工程质量满足合同、国家、地方政府质量验收标准与规范要求。此项工作在总承包人收到发包人撤场通知单后，双方15天内完成全部盘点工作，20天内总承包人逐步提供后续施工的工作面，并最终在45天内完成质量整改工作和全部撤场工作。</w:t>
      </w:r>
    </w:p>
    <w:p w14:paraId="223D710C">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.3.2现场材料及配套设施的盘点：双方对现场剩余材料，临时水电、办公区、场地硬化、大型施工机械设备、临时防护、临时设施等进行盘点后，由发包人告知总承包人需要撤场的配套物资、材料、机械设施等。</w:t>
      </w:r>
    </w:p>
    <w:p w14:paraId="0F474616">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.3.3若《总承包合同补充协议》包含上述内容，按协议执行。</w:t>
      </w:r>
    </w:p>
    <w:p w14:paraId="0A88A4C5">
      <w:pPr>
        <w:pStyle w:val="5"/>
        <w:numPr>
          <w:ilvl w:val="2"/>
          <w:numId w:val="0"/>
        </w:numPr>
        <w:ind w:left="624" w:hanging="624"/>
        <w:rPr>
          <w:highlight w:val="none"/>
        </w:rPr>
      </w:pPr>
      <w:bookmarkStart w:id="549" w:name="_Toc436899075"/>
      <w:bookmarkStart w:id="550" w:name="_Toc20087"/>
      <w:r>
        <w:rPr>
          <w:rFonts w:hint="eastAsia"/>
          <w:highlight w:val="none"/>
        </w:rPr>
        <w:t>6.1</w:t>
      </w:r>
      <w:r>
        <w:rPr>
          <w:rFonts w:hint="eastAsia"/>
          <w:highlight w:val="none"/>
          <w:lang w:val="en-US" w:eastAsia="zh-CN"/>
        </w:rPr>
        <w:t>6</w:t>
      </w:r>
      <w:r>
        <w:rPr>
          <w:rFonts w:hint="eastAsia"/>
          <w:highlight w:val="none"/>
        </w:rPr>
        <w:t>.4总承包人尚需要完成的工作</w:t>
      </w:r>
      <w:bookmarkEnd w:id="549"/>
      <w:bookmarkEnd w:id="550"/>
    </w:p>
    <w:p w14:paraId="61899284">
      <w:pPr>
        <w:ind w:firstLine="480"/>
        <w:rPr>
          <w:highlight w:val="none"/>
        </w:rPr>
      </w:pPr>
      <w:r>
        <w:rPr>
          <w:rFonts w:hint="eastAsia"/>
          <w:highlight w:val="none"/>
        </w:rPr>
        <w:t>总承包人必须在45天内陆续交接并最终完成以下内容：</w:t>
      </w:r>
    </w:p>
    <w:p w14:paraId="6EB98DAD">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.4.1总承包人前期未完成的设计变更、已完工程中图纸漏项及未盘点到的相关内容。</w:t>
      </w:r>
    </w:p>
    <w:p w14:paraId="3CD84D3C">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.4.2由于工序、气候条件、工作界面、工料等原因需要连续作业完成的内容。</w:t>
      </w:r>
    </w:p>
    <w:p w14:paraId="53E86DEA">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.4.3总承包人依据合同中明确的资料内容、备案资料内容将其所涉及的全部施工过程资料移交于发包人，并签署资料移交清单。总承包人同时承诺在本工程办理后续有关手续过程中提供全部配合工作。</w:t>
      </w:r>
    </w:p>
    <w:p w14:paraId="20F8C274">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.4.4总承包人必须根据发包人下发的撤场通知单在规定时间内完成全部撤场（包括人员、材料、机械）。</w:t>
      </w:r>
    </w:p>
    <w:p w14:paraId="00C7D8CD">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.4.5总承包人必须自行妥善处理农民工、材料商、租赁公司等与总承包人有合同关系单位的一切纠纷，并完成上述单位的结算，保证不影响交接和后续施工进程。</w:t>
      </w:r>
    </w:p>
    <w:p w14:paraId="51152959">
      <w:pPr>
        <w:pStyle w:val="5"/>
        <w:numPr>
          <w:ilvl w:val="2"/>
          <w:numId w:val="0"/>
        </w:numPr>
        <w:ind w:left="624" w:hanging="624"/>
        <w:rPr>
          <w:highlight w:val="none"/>
        </w:rPr>
      </w:pPr>
      <w:bookmarkStart w:id="551" w:name="_Toc23692"/>
      <w:bookmarkStart w:id="552" w:name="_Toc436899076"/>
      <w:r>
        <w:rPr>
          <w:rFonts w:hint="eastAsia"/>
          <w:highlight w:val="none"/>
        </w:rPr>
        <w:t>6.1</w:t>
      </w:r>
      <w:r>
        <w:rPr>
          <w:rFonts w:hint="eastAsia"/>
          <w:highlight w:val="none"/>
          <w:lang w:val="en-US" w:eastAsia="zh-CN"/>
        </w:rPr>
        <w:t>6</w:t>
      </w:r>
      <w:r>
        <w:rPr>
          <w:rFonts w:hint="eastAsia"/>
          <w:highlight w:val="none"/>
        </w:rPr>
        <w:t>.5责任和义务</w:t>
      </w:r>
      <w:bookmarkEnd w:id="551"/>
      <w:bookmarkEnd w:id="552"/>
    </w:p>
    <w:p w14:paraId="1CB45E03">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.5.1双方协议撤场后，安全文明措施费、社保费、农民工保证金依据地方政府法律法规或依据发包人与总承包人后期签署的《总承包合同补充协议》执行，水电费依据水表、电表进行确定。</w:t>
      </w:r>
    </w:p>
    <w:p w14:paraId="65E3C910">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5.2总承包人应积极、及时、有效的配合发包人面积测绘、环保验收、消防验收、规划验收、卫生防疫验收、配套工程验收、竣工备案等一切后续验收及备案工作。在接到需要配合的通知后3日内按照通知要求派相关人员到场履行配合工作，若遇签字或盖章等需要，须在接到通知后3天内完成相应的签字及盖章工作。</w:t>
      </w:r>
    </w:p>
    <w:p w14:paraId="5262E54B">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6</w:t>
      </w:r>
      <w:r>
        <w:rPr>
          <w:rFonts w:hint="eastAsia"/>
          <w:highlight w:val="none"/>
        </w:rPr>
        <w:t>.5.3总承包人对其施工的工程质量负有维保的义务。</w:t>
      </w:r>
      <w:bookmarkStart w:id="553" w:name="_附表1：项目经理（项目总工/现场经理）资格一览表(盖章)"/>
      <w:bookmarkEnd w:id="553"/>
      <w:bookmarkStart w:id="554" w:name="_附表2：项目人员面试评价表格"/>
      <w:bookmarkEnd w:id="554"/>
      <w:bookmarkStart w:id="555" w:name="_附表一：项目经理（项目总工/现场经理）资格一览表(盖章)"/>
      <w:bookmarkEnd w:id="555"/>
      <w:bookmarkStart w:id="556" w:name="_附表二：项目人员面试评价表格"/>
      <w:bookmarkEnd w:id="556"/>
      <w:bookmarkStart w:id="557" w:name="_附表5：工程进度日报表"/>
      <w:bookmarkEnd w:id="557"/>
    </w:p>
    <w:p w14:paraId="14FE4068">
      <w:pPr>
        <w:pStyle w:val="4"/>
        <w:numPr>
          <w:ilvl w:val="1"/>
          <w:numId w:val="0"/>
        </w:numPr>
        <w:ind w:left="624" w:hanging="624"/>
        <w:rPr>
          <w:highlight w:val="none"/>
        </w:rPr>
      </w:pPr>
      <w:bookmarkStart w:id="558" w:name="_Toc20786"/>
      <w:bookmarkStart w:id="559" w:name="_Toc21413"/>
      <w:bookmarkStart w:id="560" w:name="_Toc179562997"/>
      <w:bookmarkStart w:id="561" w:name="_Toc19436"/>
      <w:bookmarkStart w:id="562" w:name="_Toc20015"/>
      <w:bookmarkStart w:id="563" w:name="_Toc19846"/>
      <w:bookmarkStart w:id="564" w:name="_Toc16933"/>
      <w:bookmarkStart w:id="565" w:name="_Toc169722225"/>
      <w:r>
        <w:rPr>
          <w:rFonts w:hint="eastAsia"/>
          <w:highlight w:val="none"/>
        </w:rPr>
        <w:t>6.1</w:t>
      </w:r>
      <w:r>
        <w:rPr>
          <w:rFonts w:hint="eastAsia"/>
          <w:highlight w:val="none"/>
          <w:lang w:val="en-US" w:eastAsia="zh-CN"/>
        </w:rPr>
        <w:t>7</w:t>
      </w:r>
      <w:r>
        <w:rPr>
          <w:rFonts w:hint="eastAsia"/>
          <w:highlight w:val="none"/>
        </w:rPr>
        <w:t>治污减霾要求</w:t>
      </w:r>
      <w:bookmarkEnd w:id="558"/>
      <w:bookmarkEnd w:id="559"/>
      <w:bookmarkEnd w:id="560"/>
      <w:bookmarkEnd w:id="561"/>
      <w:bookmarkEnd w:id="562"/>
      <w:bookmarkEnd w:id="563"/>
      <w:bookmarkEnd w:id="564"/>
      <w:bookmarkEnd w:id="565"/>
    </w:p>
    <w:p w14:paraId="2E24A701">
      <w:pPr>
        <w:pStyle w:val="5"/>
        <w:numPr>
          <w:ilvl w:val="2"/>
          <w:numId w:val="0"/>
        </w:numPr>
        <w:ind w:left="624" w:hanging="624"/>
        <w:rPr>
          <w:highlight w:val="none"/>
        </w:rPr>
      </w:pPr>
      <w:bookmarkStart w:id="566" w:name="_Toc18877"/>
      <w:r>
        <w:rPr>
          <w:rFonts w:hint="eastAsia"/>
          <w:highlight w:val="none"/>
        </w:rPr>
        <w:t>6.1</w:t>
      </w:r>
      <w:r>
        <w:rPr>
          <w:rFonts w:hint="eastAsia"/>
          <w:highlight w:val="none"/>
          <w:lang w:val="en-US" w:eastAsia="zh-CN"/>
        </w:rPr>
        <w:t>7</w:t>
      </w:r>
      <w:r>
        <w:rPr>
          <w:rFonts w:hint="eastAsia"/>
          <w:highlight w:val="none"/>
        </w:rPr>
        <w:t>.1总承包人应充分了解当地政府治污减霾、大气污染综合治理的要求，落实相关措施。</w:t>
      </w:r>
      <w:bookmarkEnd w:id="566"/>
    </w:p>
    <w:p w14:paraId="29E0D647">
      <w:pPr>
        <w:pStyle w:val="5"/>
        <w:numPr>
          <w:ilvl w:val="2"/>
          <w:numId w:val="0"/>
        </w:numPr>
        <w:ind w:left="624" w:hanging="624"/>
        <w:rPr>
          <w:highlight w:val="none"/>
        </w:rPr>
      </w:pPr>
      <w:bookmarkStart w:id="567" w:name="_Toc4600"/>
      <w:r>
        <w:rPr>
          <w:rFonts w:hint="eastAsia"/>
          <w:highlight w:val="none"/>
        </w:rPr>
        <w:t>6.1</w:t>
      </w:r>
      <w:r>
        <w:rPr>
          <w:rFonts w:hint="eastAsia"/>
          <w:highlight w:val="none"/>
          <w:lang w:val="en-US" w:eastAsia="zh-CN"/>
        </w:rPr>
        <w:t>7</w:t>
      </w:r>
      <w:r>
        <w:rPr>
          <w:rFonts w:hint="eastAsia"/>
          <w:highlight w:val="none"/>
        </w:rPr>
        <w:t>.2总承包人应积极应对雾霾天气对施工的影响，采取必要的措施，确保工程质量、安全、进度等目标的实现。</w:t>
      </w:r>
      <w:bookmarkEnd w:id="567"/>
    </w:p>
    <w:p w14:paraId="2AD93A4E">
      <w:pPr>
        <w:pStyle w:val="4"/>
        <w:numPr>
          <w:ilvl w:val="1"/>
          <w:numId w:val="0"/>
        </w:numPr>
        <w:ind w:left="624" w:hanging="624"/>
        <w:rPr>
          <w:highlight w:val="none"/>
        </w:rPr>
      </w:pPr>
      <w:bookmarkStart w:id="568" w:name="_Toc13398"/>
      <w:bookmarkStart w:id="569" w:name="_Toc17261"/>
      <w:bookmarkStart w:id="570" w:name="_Toc15470"/>
      <w:bookmarkStart w:id="571" w:name="_Toc5598"/>
      <w:bookmarkStart w:id="572" w:name="_Toc17328"/>
      <w:bookmarkStart w:id="573" w:name="_Toc30578"/>
      <w:bookmarkStart w:id="574" w:name="_Toc21980"/>
      <w:bookmarkStart w:id="575" w:name="_Toc179562998"/>
      <w:r>
        <w:rPr>
          <w:rFonts w:hint="eastAsia"/>
          <w:highlight w:val="none"/>
        </w:rPr>
        <w:t>6.1</w:t>
      </w:r>
      <w:r>
        <w:rPr>
          <w:rFonts w:hint="eastAsia"/>
          <w:highlight w:val="none"/>
          <w:lang w:val="en-US" w:eastAsia="zh-CN"/>
        </w:rPr>
        <w:t>8</w:t>
      </w:r>
      <w:r>
        <w:rPr>
          <w:rFonts w:hint="eastAsia"/>
          <w:highlight w:val="none"/>
        </w:rPr>
        <w:t>绿色施工管理要求</w:t>
      </w:r>
      <w:bookmarkEnd w:id="568"/>
      <w:bookmarkEnd w:id="569"/>
      <w:bookmarkEnd w:id="570"/>
      <w:bookmarkEnd w:id="571"/>
      <w:bookmarkEnd w:id="572"/>
      <w:bookmarkEnd w:id="573"/>
      <w:bookmarkEnd w:id="574"/>
      <w:bookmarkEnd w:id="575"/>
    </w:p>
    <w:p w14:paraId="0C22C59C">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8</w:t>
      </w:r>
      <w:r>
        <w:rPr>
          <w:rFonts w:hint="eastAsia"/>
          <w:highlight w:val="none"/>
        </w:rPr>
        <w:t>.1.1施工管理要求。加强绿色施工管理，主要包括组织管理、规划管理、实施管理、 评价管理和人员安全与健康管理五个方面。建立绿色施工管理体系，并制定相应的管理 制度与目标；编制绿色施工方案，该方案应在施工组织设计中独立成章，并按有关规定 进行审批；绿色施工应对整个施工过程实施动态管理，加强对施工策划、施工准备、材料采购、现场施工、工程验收等各阶段的管理和监督。</w:t>
      </w:r>
    </w:p>
    <w:p w14:paraId="1B810DA0">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8</w:t>
      </w:r>
      <w:r>
        <w:rPr>
          <w:rFonts w:hint="eastAsia"/>
          <w:highlight w:val="none"/>
        </w:rPr>
        <w:t>.1.2环境保护要求。对土方作业阶段、结构安装装饰阶段作业区扬尘高度进行监控， 采用喷雾、洒水等措施进行治理；同时做好对噪音与振动控制、光污染控制、水污染控制、土壤保护、建筑垃圾控制、地下设施、文物和资源保护等方面控制。</w:t>
      </w:r>
    </w:p>
    <w:p w14:paraId="727E3274">
      <w:pPr>
        <w:pStyle w:val="6"/>
        <w:numPr>
          <w:ilvl w:val="3"/>
          <w:numId w:val="0"/>
        </w:numPr>
        <w:ind w:left="864" w:leftChars="100" w:hanging="624"/>
        <w:rPr>
          <w:highlight w:val="none"/>
        </w:rPr>
      </w:pPr>
      <w:r>
        <w:rPr>
          <w:rFonts w:hint="eastAsia"/>
          <w:highlight w:val="none"/>
        </w:rPr>
        <w:t>6.1</w:t>
      </w:r>
      <w:r>
        <w:rPr>
          <w:rFonts w:hint="eastAsia"/>
          <w:highlight w:val="none"/>
          <w:lang w:val="en-US" w:eastAsia="zh-CN"/>
        </w:rPr>
        <w:t>8</w:t>
      </w:r>
      <w:r>
        <w:rPr>
          <w:rFonts w:hint="eastAsia"/>
          <w:highlight w:val="none"/>
        </w:rPr>
        <w:t>.1.3节材与材料资源利用。优化模板及支撑体系方案，采用工具式模板、钢制大模板和早拆支撑体系，采用定型钢模、钢框木模、木塑板；钢筋制作采用专业化加工、配送；使用预拌混凝土和商品砂浆。</w:t>
      </w:r>
    </w:p>
    <w:p w14:paraId="18790674">
      <w:pPr>
        <w:pStyle w:val="6"/>
        <w:numPr>
          <w:ilvl w:val="3"/>
          <w:numId w:val="0"/>
        </w:numPr>
        <w:ind w:left="864" w:leftChars="100" w:hanging="624"/>
        <w:rPr>
          <w:rFonts w:cs="Arial"/>
          <w:bCs/>
          <w:highlight w:val="none"/>
        </w:rPr>
      </w:pPr>
      <w:r>
        <w:rPr>
          <w:rFonts w:hint="eastAsia" w:cs="Arial"/>
          <w:bCs/>
          <w:highlight w:val="none"/>
        </w:rPr>
        <w:t>6.1</w:t>
      </w:r>
      <w:r>
        <w:rPr>
          <w:rFonts w:hint="eastAsia" w:cs="Arial"/>
          <w:bCs/>
          <w:highlight w:val="none"/>
          <w:lang w:val="en-US" w:eastAsia="zh-CN"/>
        </w:rPr>
        <w:t>8</w:t>
      </w:r>
      <w:r>
        <w:rPr>
          <w:rFonts w:hint="eastAsia" w:cs="Arial"/>
          <w:bCs/>
          <w:highlight w:val="none"/>
        </w:rPr>
        <w:t>.1.4</w:t>
      </w:r>
      <w:r>
        <w:rPr>
          <w:rFonts w:hint="eastAsia"/>
          <w:highlight w:val="none"/>
        </w:rPr>
        <w:t>推广使用节水与水资源利用技术，要求采取多种措施提高用水效率。如施工中 采用先进的节水施工工艺；现场搅拌用水、养护用水应采取有效的节水措施，严禁无措施浇水养护混凝土；施工现场分别对生活用水与工程用水确定用水定额指标，并分别计量管理；大型工程的不同单项工程、不同标段、不同专业承包生活区，凡具备条件的应分别计量用水量；对混凝土搅拌站点等用水集中的区域和工艺点进行专项计量考核，施工现场建立雨水、中水或可再利用水的搜集利用系统。</w:t>
      </w:r>
    </w:p>
    <w:p w14:paraId="7D1186AB">
      <w:pPr>
        <w:pStyle w:val="4"/>
        <w:numPr>
          <w:ilvl w:val="1"/>
          <w:numId w:val="0"/>
        </w:numPr>
        <w:ind w:left="624" w:hanging="624"/>
        <w:rPr>
          <w:highlight w:val="none"/>
        </w:rPr>
      </w:pPr>
      <w:bookmarkStart w:id="576" w:name="_Toc22787"/>
      <w:bookmarkStart w:id="577" w:name="_Toc25835"/>
      <w:bookmarkStart w:id="578" w:name="_Toc1285"/>
      <w:bookmarkStart w:id="579" w:name="_Toc179562999"/>
      <w:r>
        <w:rPr>
          <w:rFonts w:hint="eastAsia"/>
          <w:highlight w:val="none"/>
        </w:rPr>
        <w:t>6.</w:t>
      </w:r>
      <w:r>
        <w:rPr>
          <w:rFonts w:hint="eastAsia"/>
          <w:highlight w:val="none"/>
          <w:lang w:val="en-US" w:eastAsia="zh-CN"/>
        </w:rPr>
        <w:t>19</w:t>
      </w:r>
      <w:r>
        <w:rPr>
          <w:rFonts w:hint="eastAsia"/>
          <w:highlight w:val="none"/>
        </w:rPr>
        <w:t>其他施工管理要求</w:t>
      </w:r>
      <w:bookmarkEnd w:id="576"/>
      <w:bookmarkEnd w:id="577"/>
      <w:bookmarkEnd w:id="578"/>
      <w:bookmarkEnd w:id="579"/>
    </w:p>
    <w:p w14:paraId="5030CAEA">
      <w:pPr>
        <w:pStyle w:val="5"/>
        <w:numPr>
          <w:ilvl w:val="2"/>
          <w:numId w:val="0"/>
        </w:numPr>
        <w:ind w:left="624" w:hanging="624"/>
        <w:rPr>
          <w:highlight w:val="none"/>
        </w:rPr>
      </w:pPr>
      <w:bookmarkStart w:id="580" w:name="_Toc31876"/>
      <w:r>
        <w:rPr>
          <w:rFonts w:hint="eastAsia"/>
          <w:highlight w:val="none"/>
        </w:rPr>
        <w:t>6.</w:t>
      </w:r>
      <w:r>
        <w:rPr>
          <w:rFonts w:hint="eastAsia"/>
          <w:highlight w:val="none"/>
          <w:lang w:val="en-US" w:eastAsia="zh-CN"/>
        </w:rPr>
        <w:t>19</w:t>
      </w:r>
      <w:r>
        <w:rPr>
          <w:rFonts w:hint="eastAsia"/>
          <w:highlight w:val="none"/>
        </w:rPr>
        <w:t>.1总平面管理要求</w:t>
      </w:r>
      <w:bookmarkEnd w:id="580"/>
    </w:p>
    <w:p w14:paraId="2156A065">
      <w:pPr>
        <w:pStyle w:val="6"/>
        <w:numPr>
          <w:ilvl w:val="3"/>
          <w:numId w:val="0"/>
        </w:numPr>
        <w:ind w:left="864" w:leftChars="100" w:hanging="624"/>
        <w:rPr>
          <w:highlight w:val="none"/>
        </w:rPr>
      </w:pPr>
      <w:r>
        <w:rPr>
          <w:rFonts w:hint="eastAsia"/>
          <w:highlight w:val="none"/>
        </w:rPr>
        <w:t>6.20.1.1承包人应严格按已审批的施工总平面图或相关的单位工程施工平面图规定的位置，布置施工项目的主要机械设备、脚手架、密封式安全网和围挡、施工临时道路、各类管道或线路、施工材料加工场地及堆放位置或仓库、土方及建筑垃圾堆放位置、警卫室、现场的办公及生产和生活设施、变配电间、消防设施等。涉及到专业承包工程的，专业工程承包单位也必须按此条执行。</w:t>
      </w:r>
    </w:p>
    <w:p w14:paraId="6ED6AACC">
      <w:pPr>
        <w:pStyle w:val="6"/>
        <w:numPr>
          <w:ilvl w:val="3"/>
          <w:numId w:val="0"/>
        </w:numPr>
        <w:ind w:left="864" w:leftChars="100" w:hanging="624"/>
        <w:rPr>
          <w:highlight w:val="none"/>
        </w:rPr>
      </w:pPr>
      <w:r>
        <w:rPr>
          <w:rFonts w:hint="eastAsia"/>
          <w:highlight w:val="none"/>
        </w:rPr>
        <w:t>6.</w:t>
      </w:r>
      <w:r>
        <w:rPr>
          <w:rFonts w:hint="eastAsia"/>
          <w:highlight w:val="none"/>
          <w:lang w:val="en-US" w:eastAsia="zh-CN"/>
        </w:rPr>
        <w:t>19</w:t>
      </w:r>
      <w:r>
        <w:rPr>
          <w:rFonts w:hint="eastAsia"/>
          <w:highlight w:val="none"/>
        </w:rPr>
        <w:t>.1.</w:t>
      </w:r>
      <w:r>
        <w:rPr>
          <w:rFonts w:hint="eastAsia"/>
          <w:highlight w:val="none"/>
          <w:lang w:val="en-US" w:eastAsia="zh-CN"/>
        </w:rPr>
        <w:t>2</w:t>
      </w:r>
      <w:r>
        <w:rPr>
          <w:highlight w:val="none"/>
        </w:rPr>
        <w:t>若因影响后续施工而产生二次或多次临建设施搬迁，承包人必须无条件服从施工安排，并恢复原状，由此引起的恢复费用，发包人不做任何补偿。</w:t>
      </w:r>
    </w:p>
    <w:p w14:paraId="6D4BE687">
      <w:pPr>
        <w:pStyle w:val="6"/>
        <w:numPr>
          <w:ilvl w:val="3"/>
          <w:numId w:val="0"/>
        </w:numPr>
        <w:ind w:left="864" w:leftChars="100" w:hanging="624"/>
        <w:rPr>
          <w:highlight w:val="none"/>
        </w:rPr>
      </w:pPr>
      <w:r>
        <w:rPr>
          <w:rFonts w:hint="eastAsia"/>
          <w:highlight w:val="none"/>
        </w:rPr>
        <w:t>6.</w:t>
      </w:r>
      <w:r>
        <w:rPr>
          <w:rFonts w:hint="eastAsia"/>
          <w:highlight w:val="none"/>
          <w:lang w:val="en-US" w:eastAsia="zh-CN"/>
        </w:rPr>
        <w:t>19</w:t>
      </w:r>
      <w:r>
        <w:rPr>
          <w:rFonts w:hint="eastAsia"/>
          <w:highlight w:val="none"/>
        </w:rPr>
        <w:t>.1.</w:t>
      </w:r>
      <w:r>
        <w:rPr>
          <w:rFonts w:hint="eastAsia"/>
          <w:highlight w:val="none"/>
          <w:lang w:val="en-US" w:eastAsia="zh-CN"/>
        </w:rPr>
        <w:t>3</w:t>
      </w:r>
      <w:r>
        <w:rPr>
          <w:rFonts w:hint="eastAsia"/>
          <w:highlight w:val="none"/>
        </w:rPr>
        <w:t>承包人需为发包人/监理人/顾问提供、维护符合发包人要求的办公室及卫生设施，包括空调设施，并负责保洁工作，承包人进场后需上报临建布置图并报监理人及发包人审批后实施。</w:t>
      </w:r>
    </w:p>
    <w:p w14:paraId="29AE0899">
      <w:pPr>
        <w:pStyle w:val="5"/>
        <w:numPr>
          <w:ilvl w:val="2"/>
          <w:numId w:val="0"/>
        </w:numPr>
        <w:ind w:left="624" w:hanging="624"/>
        <w:rPr>
          <w:highlight w:val="none"/>
        </w:rPr>
      </w:pPr>
      <w:bookmarkStart w:id="581" w:name="_Toc32446"/>
      <w:r>
        <w:rPr>
          <w:rFonts w:hint="eastAsia"/>
          <w:highlight w:val="none"/>
        </w:rPr>
        <w:t>6.</w:t>
      </w:r>
      <w:r>
        <w:rPr>
          <w:rFonts w:hint="eastAsia"/>
          <w:highlight w:val="none"/>
          <w:lang w:val="en-US" w:eastAsia="zh-CN"/>
        </w:rPr>
        <w:t>19</w:t>
      </w:r>
      <w:r>
        <w:rPr>
          <w:rFonts w:hint="eastAsia"/>
          <w:highlight w:val="none"/>
        </w:rPr>
        <w:t>.2</w:t>
      </w:r>
      <w:r>
        <w:rPr>
          <w:highlight w:val="none"/>
        </w:rPr>
        <w:t>防水工程质量问题处理要求</w:t>
      </w:r>
      <w:bookmarkEnd w:id="581"/>
    </w:p>
    <w:p w14:paraId="1155C3D1">
      <w:pPr>
        <w:ind w:firstLine="480"/>
        <w:rPr>
          <w:highlight w:val="none"/>
        </w:rPr>
      </w:pPr>
      <w:r>
        <w:rPr>
          <w:highlight w:val="none"/>
        </w:rPr>
        <w:t>若在质保期内出现渗水、漏水等影响正常办公、生活的情况，在收到通知后 24 小时内必须赶到现场并及时进行维修，并赔偿由此引起的所有损失；未在约定期限内派人维修，发包人有权指定</w:t>
      </w:r>
      <w:r>
        <w:rPr>
          <w:rFonts w:hint="eastAsia"/>
          <w:highlight w:val="none"/>
        </w:rPr>
        <w:t>第三方</w:t>
      </w:r>
      <w:r>
        <w:rPr>
          <w:highlight w:val="none"/>
        </w:rPr>
        <w:t>其他人员维修。</w:t>
      </w:r>
    </w:p>
    <w:p w14:paraId="0D2C5F13">
      <w:pPr>
        <w:pStyle w:val="5"/>
        <w:numPr>
          <w:ilvl w:val="2"/>
          <w:numId w:val="0"/>
        </w:numPr>
        <w:ind w:left="624" w:hanging="624"/>
        <w:rPr>
          <w:highlight w:val="none"/>
        </w:rPr>
      </w:pPr>
      <w:bookmarkStart w:id="582" w:name="_Toc11342"/>
      <w:r>
        <w:rPr>
          <w:rFonts w:hint="eastAsia"/>
          <w:highlight w:val="none"/>
        </w:rPr>
        <w:t>6.</w:t>
      </w:r>
      <w:r>
        <w:rPr>
          <w:rFonts w:hint="eastAsia"/>
          <w:highlight w:val="none"/>
          <w:lang w:val="en-US" w:eastAsia="zh-CN"/>
        </w:rPr>
        <w:t>19</w:t>
      </w:r>
      <w:r>
        <w:rPr>
          <w:rFonts w:hint="eastAsia"/>
          <w:highlight w:val="none"/>
        </w:rPr>
        <w:t>.3</w:t>
      </w:r>
      <w:r>
        <w:rPr>
          <w:highlight w:val="none"/>
        </w:rPr>
        <w:t>水电空转要求</w:t>
      </w:r>
      <w:bookmarkEnd w:id="582"/>
    </w:p>
    <w:p w14:paraId="0BC25209">
      <w:pPr>
        <w:ind w:firstLine="480"/>
        <w:rPr>
          <w:highlight w:val="none"/>
        </w:rPr>
      </w:pPr>
      <w:r>
        <w:rPr>
          <w:rFonts w:hint="eastAsia"/>
          <w:highlight w:val="none"/>
        </w:rPr>
        <w:t>（1）水电接设完成至水电正式使用过程中</w:t>
      </w:r>
      <w:r>
        <w:rPr>
          <w:highlight w:val="none"/>
        </w:rPr>
        <w:t>的空置（损耗）费用由承包人自行承担；</w:t>
      </w:r>
    </w:p>
    <w:p w14:paraId="51D6CDD3">
      <w:pPr>
        <w:ind w:firstLine="480"/>
        <w:rPr>
          <w:highlight w:val="none"/>
        </w:rPr>
      </w:pPr>
      <w:r>
        <w:rPr>
          <w:rFonts w:hint="eastAsia"/>
          <w:highlight w:val="none"/>
        </w:rPr>
        <w:t>（2）</w:t>
      </w:r>
      <w:r>
        <w:rPr>
          <w:highlight w:val="none"/>
        </w:rPr>
        <w:t>所产生的费用已在投标总价中综合考虑，不要求发包人增加；</w:t>
      </w:r>
    </w:p>
    <w:p w14:paraId="777DF371">
      <w:pPr>
        <w:pStyle w:val="5"/>
        <w:numPr>
          <w:ilvl w:val="2"/>
          <w:numId w:val="0"/>
        </w:numPr>
        <w:ind w:left="624" w:hanging="624"/>
        <w:rPr>
          <w:highlight w:val="none"/>
        </w:rPr>
      </w:pPr>
      <w:bookmarkStart w:id="583" w:name="_Toc22422"/>
      <w:r>
        <w:rPr>
          <w:rFonts w:hint="eastAsia"/>
          <w:highlight w:val="none"/>
        </w:rPr>
        <w:t>6.</w:t>
      </w:r>
      <w:r>
        <w:rPr>
          <w:rFonts w:hint="eastAsia"/>
          <w:highlight w:val="none"/>
          <w:lang w:val="en-US" w:eastAsia="zh-CN"/>
        </w:rPr>
        <w:t>19</w:t>
      </w:r>
      <w:r>
        <w:rPr>
          <w:rFonts w:hint="eastAsia"/>
          <w:highlight w:val="none"/>
        </w:rPr>
        <w:t>.4</w:t>
      </w:r>
      <w:r>
        <w:rPr>
          <w:highlight w:val="none"/>
        </w:rPr>
        <w:t>周边管线及地下管线保护要求</w:t>
      </w:r>
      <w:bookmarkEnd w:id="583"/>
    </w:p>
    <w:p w14:paraId="5956718E">
      <w:pPr>
        <w:ind w:firstLine="480"/>
        <w:rPr>
          <w:highlight w:val="none"/>
        </w:rPr>
      </w:pPr>
      <w:r>
        <w:rPr>
          <w:highlight w:val="none"/>
        </w:rPr>
        <w:t>承包人应</w:t>
      </w:r>
      <w:r>
        <w:rPr>
          <w:rFonts w:hint="eastAsia"/>
          <w:highlight w:val="none"/>
        </w:rPr>
        <w:t>对周边管线及地下管线采取有效的保护措施，若造成周边管线及地下管线等损坏的，</w:t>
      </w:r>
      <w:r>
        <w:rPr>
          <w:highlight w:val="none"/>
        </w:rPr>
        <w:t>由承包人负责修复，并承担所造成的的所有损失。</w:t>
      </w:r>
      <w:r>
        <w:rPr>
          <w:rFonts w:hint="eastAsia"/>
          <w:highlight w:val="none"/>
        </w:rPr>
        <w:t>权属单位提出的施工配合费等一切费用均由</w:t>
      </w:r>
      <w:r>
        <w:rPr>
          <w:highlight w:val="none"/>
        </w:rPr>
        <w:t>承包人</w:t>
      </w:r>
      <w:r>
        <w:rPr>
          <w:rFonts w:hint="eastAsia"/>
          <w:highlight w:val="none"/>
        </w:rPr>
        <w:t>承担。</w:t>
      </w:r>
    </w:p>
    <w:p w14:paraId="1943CB2C">
      <w:pPr>
        <w:pStyle w:val="5"/>
        <w:numPr>
          <w:ilvl w:val="2"/>
          <w:numId w:val="0"/>
        </w:numPr>
        <w:ind w:left="624" w:hanging="624"/>
        <w:rPr>
          <w:highlight w:val="none"/>
        </w:rPr>
      </w:pPr>
      <w:bookmarkStart w:id="584" w:name="_Toc1982"/>
      <w:r>
        <w:rPr>
          <w:rFonts w:hint="eastAsia"/>
          <w:highlight w:val="none"/>
        </w:rPr>
        <w:t>6.</w:t>
      </w:r>
      <w:r>
        <w:rPr>
          <w:rFonts w:hint="eastAsia"/>
          <w:highlight w:val="none"/>
          <w:lang w:val="en-US" w:eastAsia="zh-CN"/>
        </w:rPr>
        <w:t>19</w:t>
      </w:r>
      <w:r>
        <w:rPr>
          <w:rFonts w:hint="eastAsia"/>
          <w:highlight w:val="none"/>
        </w:rPr>
        <w:t>.5</w:t>
      </w:r>
      <w:r>
        <w:rPr>
          <w:highlight w:val="none"/>
        </w:rPr>
        <w:t>周边管线（建筑物、构筑物等）变形监测要求</w:t>
      </w:r>
      <w:bookmarkEnd w:id="584"/>
    </w:p>
    <w:p w14:paraId="5FF00EC2">
      <w:pPr>
        <w:ind w:firstLine="480"/>
        <w:rPr>
          <w:highlight w:val="none"/>
        </w:rPr>
      </w:pPr>
      <w:r>
        <w:rPr>
          <w:highlight w:val="none"/>
        </w:rPr>
        <w:t>在工程整体交付使用前，承包人需已充分考虑现场周边管线（建筑物、构筑物、高 压电塔、城际铁路、燃油管道）等情况，并加强周边管线（建筑物、构筑物、高压电塔、城际铁路、燃油管道等）变形监测和采取有效的保护措施。</w:t>
      </w:r>
    </w:p>
    <w:p w14:paraId="388A8458">
      <w:pPr>
        <w:pStyle w:val="5"/>
        <w:numPr>
          <w:ilvl w:val="2"/>
          <w:numId w:val="0"/>
        </w:numPr>
        <w:ind w:left="624" w:hanging="624"/>
        <w:rPr>
          <w:highlight w:val="none"/>
        </w:rPr>
      </w:pPr>
      <w:bookmarkStart w:id="585" w:name="_Toc27945"/>
      <w:r>
        <w:rPr>
          <w:rFonts w:hint="eastAsia"/>
          <w:highlight w:val="none"/>
        </w:rPr>
        <w:t>6.</w:t>
      </w:r>
      <w:r>
        <w:rPr>
          <w:rFonts w:hint="eastAsia"/>
          <w:highlight w:val="none"/>
          <w:lang w:val="en-US" w:eastAsia="zh-CN"/>
        </w:rPr>
        <w:t>19</w:t>
      </w:r>
      <w:r>
        <w:rPr>
          <w:rFonts w:hint="eastAsia"/>
          <w:highlight w:val="none"/>
        </w:rPr>
        <w:t>.</w:t>
      </w:r>
      <w:r>
        <w:rPr>
          <w:rFonts w:hint="eastAsia"/>
          <w:highlight w:val="none"/>
          <w:lang w:val="en-US" w:eastAsia="zh-CN"/>
        </w:rPr>
        <w:t>6</w:t>
      </w:r>
      <w:r>
        <w:rPr>
          <w:highlight w:val="none"/>
        </w:rPr>
        <w:t>及时支付劳动者报酬要求</w:t>
      </w:r>
      <w:bookmarkEnd w:id="585"/>
    </w:p>
    <w:p w14:paraId="6EA18CE9">
      <w:pPr>
        <w:ind w:firstLine="480"/>
        <w:rPr>
          <w:highlight w:val="none"/>
        </w:rPr>
      </w:pPr>
      <w:r>
        <w:rPr>
          <w:rFonts w:hint="eastAsia"/>
          <w:highlight w:val="none"/>
        </w:rPr>
        <w:t>（1）</w:t>
      </w:r>
      <w:r>
        <w:rPr>
          <w:highlight w:val="none"/>
        </w:rPr>
        <w:t>根据国家和当地劳动法规，需与本项目施工的所有劳动者（含农民工、下同）签订了劳动合同，并严格履行支付劳动报酬等合同义务。</w:t>
      </w:r>
    </w:p>
    <w:p w14:paraId="13276478">
      <w:pPr>
        <w:ind w:firstLine="480"/>
        <w:rPr>
          <w:highlight w:val="none"/>
        </w:rPr>
      </w:pPr>
      <w:r>
        <w:rPr>
          <w:rFonts w:hint="eastAsia"/>
          <w:highlight w:val="none"/>
        </w:rPr>
        <w:t>（2）</w:t>
      </w:r>
      <w:r>
        <w:rPr>
          <w:highlight w:val="none"/>
        </w:rPr>
        <w:t>工程款应优先用于支付劳动者报酬。</w:t>
      </w:r>
    </w:p>
    <w:p w14:paraId="637A0519">
      <w:pPr>
        <w:ind w:firstLine="480"/>
        <w:rPr>
          <w:highlight w:val="none"/>
        </w:rPr>
      </w:pPr>
      <w:r>
        <w:rPr>
          <w:rFonts w:hint="eastAsia"/>
          <w:highlight w:val="none"/>
        </w:rPr>
        <w:t>（3）</w:t>
      </w:r>
      <w:r>
        <w:rPr>
          <w:highlight w:val="none"/>
        </w:rPr>
        <w:t>若在本项目上发生拖欠、克扣劳动者报酬行为的，或者因该项目劳动者报酬 纠纷使得发包人可能涉及诉讼、仲裁、或其他不利影响时，发包人有权从承包人工程款 中扣除相应款项，直接支付给相关的劳动者，并有权解除施工合同，承包人赔偿因此而给发包人造成的一切损失。</w:t>
      </w:r>
    </w:p>
    <w:p w14:paraId="590C5D7F">
      <w:pPr>
        <w:pStyle w:val="5"/>
        <w:numPr>
          <w:ilvl w:val="2"/>
          <w:numId w:val="0"/>
        </w:numPr>
        <w:ind w:left="624" w:hanging="624"/>
        <w:rPr>
          <w:highlight w:val="none"/>
        </w:rPr>
      </w:pPr>
      <w:bookmarkStart w:id="586" w:name="_Toc2778"/>
      <w:r>
        <w:rPr>
          <w:rFonts w:hint="eastAsia"/>
          <w:highlight w:val="none"/>
        </w:rPr>
        <w:t>6.</w:t>
      </w:r>
      <w:r>
        <w:rPr>
          <w:rFonts w:hint="eastAsia"/>
          <w:highlight w:val="none"/>
          <w:lang w:val="en-US" w:eastAsia="zh-CN"/>
        </w:rPr>
        <w:t>19</w:t>
      </w:r>
      <w:r>
        <w:rPr>
          <w:rFonts w:hint="eastAsia"/>
          <w:highlight w:val="none"/>
        </w:rPr>
        <w:t>.</w:t>
      </w:r>
      <w:r>
        <w:rPr>
          <w:rFonts w:hint="eastAsia"/>
          <w:highlight w:val="none"/>
          <w:lang w:val="en-US" w:eastAsia="zh-CN"/>
        </w:rPr>
        <w:t>7</w:t>
      </w:r>
      <w:r>
        <w:rPr>
          <w:highlight w:val="none"/>
        </w:rPr>
        <w:t>水土保持监测要求</w:t>
      </w:r>
      <w:bookmarkEnd w:id="586"/>
    </w:p>
    <w:p w14:paraId="41DF226A">
      <w:pPr>
        <w:ind w:firstLine="480"/>
        <w:rPr>
          <w:highlight w:val="none"/>
        </w:rPr>
      </w:pPr>
      <w:r>
        <w:rPr>
          <w:rFonts w:hint="eastAsia"/>
          <w:highlight w:val="none"/>
        </w:rPr>
        <w:t>（1）</w:t>
      </w:r>
      <w:r>
        <w:rPr>
          <w:highlight w:val="none"/>
        </w:rPr>
        <w:t>项目开工后，承包人自行安排人员进行水土保持监测工作。</w:t>
      </w:r>
    </w:p>
    <w:p w14:paraId="3E6D1994">
      <w:pPr>
        <w:ind w:firstLine="480"/>
        <w:rPr>
          <w:highlight w:val="none"/>
        </w:rPr>
      </w:pPr>
      <w:r>
        <w:rPr>
          <w:rFonts w:hint="eastAsia"/>
          <w:highlight w:val="none"/>
        </w:rPr>
        <w:t>（2）</w:t>
      </w:r>
      <w:r>
        <w:rPr>
          <w:highlight w:val="none"/>
        </w:rPr>
        <w:t>承包人及时将监测结果上报至发包人及监理单位。</w:t>
      </w:r>
    </w:p>
    <w:p w14:paraId="1A888122">
      <w:pPr>
        <w:ind w:firstLine="480"/>
        <w:rPr>
          <w:highlight w:val="none"/>
        </w:rPr>
      </w:pPr>
      <w:r>
        <w:rPr>
          <w:rFonts w:hint="eastAsia"/>
          <w:highlight w:val="none"/>
        </w:rPr>
        <w:t>（3）</w:t>
      </w:r>
      <w:r>
        <w:rPr>
          <w:highlight w:val="none"/>
        </w:rPr>
        <w:t>承包人收集、编制、汇总监测资料，配合发包人进行水土保持验收及备案等工作。</w:t>
      </w:r>
    </w:p>
    <w:p w14:paraId="056B15A2">
      <w:pPr>
        <w:ind w:firstLine="480"/>
        <w:rPr>
          <w:highlight w:val="none"/>
        </w:rPr>
      </w:pPr>
      <w:r>
        <w:rPr>
          <w:rFonts w:hint="eastAsia"/>
          <w:highlight w:val="none"/>
        </w:rPr>
        <w:t>（4）</w:t>
      </w:r>
      <w:r>
        <w:rPr>
          <w:highlight w:val="none"/>
        </w:rPr>
        <w:t>所产生的费用已在投标总价中综合考虑，不要求发包人增加。</w:t>
      </w:r>
    </w:p>
    <w:p w14:paraId="51A073A5">
      <w:pPr>
        <w:pStyle w:val="5"/>
        <w:numPr>
          <w:ilvl w:val="2"/>
          <w:numId w:val="0"/>
        </w:numPr>
        <w:ind w:left="624" w:hanging="624"/>
        <w:rPr>
          <w:highlight w:val="none"/>
        </w:rPr>
      </w:pPr>
      <w:bookmarkStart w:id="587" w:name="_Toc5610"/>
      <w:r>
        <w:rPr>
          <w:rFonts w:hint="eastAsia"/>
          <w:highlight w:val="none"/>
        </w:rPr>
        <w:t>6.</w:t>
      </w:r>
      <w:r>
        <w:rPr>
          <w:rFonts w:hint="eastAsia"/>
          <w:highlight w:val="none"/>
          <w:lang w:val="en-US" w:eastAsia="zh-CN"/>
        </w:rPr>
        <w:t>19</w:t>
      </w:r>
      <w:r>
        <w:rPr>
          <w:rFonts w:hint="eastAsia"/>
          <w:highlight w:val="none"/>
        </w:rPr>
        <w:t>.</w:t>
      </w:r>
      <w:r>
        <w:rPr>
          <w:rFonts w:hint="eastAsia"/>
          <w:highlight w:val="none"/>
          <w:lang w:val="en-US" w:eastAsia="zh-CN"/>
        </w:rPr>
        <w:t>8</w:t>
      </w:r>
      <w:r>
        <w:rPr>
          <w:highlight w:val="none"/>
        </w:rPr>
        <w:t>信息化管理及智慧工地建设</w:t>
      </w:r>
      <w:r>
        <w:rPr>
          <w:rFonts w:hint="eastAsia"/>
          <w:highlight w:val="none"/>
        </w:rPr>
        <w:t>要求</w:t>
      </w:r>
      <w:bookmarkEnd w:id="587"/>
    </w:p>
    <w:p w14:paraId="042256C1">
      <w:pPr>
        <w:pStyle w:val="6"/>
        <w:numPr>
          <w:ilvl w:val="3"/>
          <w:numId w:val="0"/>
        </w:numPr>
        <w:ind w:left="864" w:leftChars="100" w:hanging="624"/>
        <w:rPr>
          <w:highlight w:val="none"/>
        </w:rPr>
      </w:pPr>
      <w:r>
        <w:rPr>
          <w:rFonts w:hint="eastAsia"/>
          <w:highlight w:val="none"/>
        </w:rPr>
        <w:t>6.</w:t>
      </w:r>
      <w:r>
        <w:rPr>
          <w:rFonts w:hint="eastAsia"/>
          <w:highlight w:val="none"/>
          <w:lang w:val="en-US" w:eastAsia="zh-CN"/>
        </w:rPr>
        <w:t>19</w:t>
      </w:r>
      <w:r>
        <w:rPr>
          <w:rFonts w:hint="eastAsia"/>
          <w:highlight w:val="none"/>
        </w:rPr>
        <w:t>.</w:t>
      </w:r>
      <w:r>
        <w:rPr>
          <w:rFonts w:hint="eastAsia"/>
          <w:highlight w:val="none"/>
          <w:lang w:val="en-US" w:eastAsia="zh-CN"/>
        </w:rPr>
        <w:t>8</w:t>
      </w:r>
      <w:r>
        <w:rPr>
          <w:rFonts w:hint="eastAsia"/>
          <w:highlight w:val="none"/>
        </w:rPr>
        <w:t>.1</w:t>
      </w:r>
      <w:r>
        <w:rPr>
          <w:highlight w:val="none"/>
        </w:rPr>
        <w:t>信息系统对接</w:t>
      </w:r>
    </w:p>
    <w:p w14:paraId="5C691EF1">
      <w:pPr>
        <w:ind w:firstLine="480"/>
        <w:rPr>
          <w:highlight w:val="none"/>
        </w:rPr>
      </w:pPr>
      <w:r>
        <w:rPr>
          <w:highlight w:val="none"/>
        </w:rPr>
        <w:t>承包人自行配置优质的网络硬件、软件环境与</w:t>
      </w:r>
      <w:r>
        <w:rPr>
          <w:rFonts w:hint="eastAsia"/>
          <w:highlight w:val="none"/>
        </w:rPr>
        <w:t>发包人</w:t>
      </w:r>
      <w:r>
        <w:rPr>
          <w:highlight w:val="none"/>
        </w:rPr>
        <w:t>的综合管理平台对接</w:t>
      </w:r>
      <w:r>
        <w:rPr>
          <w:rFonts w:hint="eastAsia"/>
          <w:highlight w:val="none"/>
        </w:rPr>
        <w:t>并按照发包人要求进行相关数据上传工作</w:t>
      </w:r>
      <w:r>
        <w:rPr>
          <w:highlight w:val="none"/>
        </w:rPr>
        <w:t>，配备专业的信息化管理人员，并承担相应费用。</w:t>
      </w:r>
    </w:p>
    <w:p w14:paraId="3CA5CDCA">
      <w:pPr>
        <w:pStyle w:val="6"/>
        <w:numPr>
          <w:ilvl w:val="3"/>
          <w:numId w:val="0"/>
        </w:numPr>
        <w:ind w:left="864" w:leftChars="100" w:hanging="624"/>
        <w:rPr>
          <w:highlight w:val="none"/>
        </w:rPr>
      </w:pPr>
      <w:r>
        <w:rPr>
          <w:rFonts w:hint="eastAsia"/>
          <w:highlight w:val="none"/>
        </w:rPr>
        <w:t>6.</w:t>
      </w:r>
      <w:r>
        <w:rPr>
          <w:rFonts w:hint="eastAsia"/>
          <w:highlight w:val="none"/>
          <w:lang w:val="en-US" w:eastAsia="zh-CN"/>
        </w:rPr>
        <w:t>19</w:t>
      </w:r>
      <w:r>
        <w:rPr>
          <w:rFonts w:hint="eastAsia"/>
          <w:highlight w:val="none"/>
        </w:rPr>
        <w:t>.</w:t>
      </w:r>
      <w:r>
        <w:rPr>
          <w:rFonts w:hint="eastAsia"/>
          <w:highlight w:val="none"/>
          <w:lang w:val="en-US" w:eastAsia="zh-CN"/>
        </w:rPr>
        <w:t>8</w:t>
      </w:r>
      <w:r>
        <w:rPr>
          <w:rFonts w:hint="eastAsia"/>
          <w:highlight w:val="none"/>
        </w:rPr>
        <w:t>.2</w:t>
      </w:r>
      <w:r>
        <w:rPr>
          <w:highlight w:val="none"/>
        </w:rPr>
        <w:t>智慧工地建设</w:t>
      </w:r>
      <w:r>
        <w:rPr>
          <w:rFonts w:hint="eastAsia"/>
          <w:highlight w:val="none"/>
        </w:rPr>
        <w:t>要求</w:t>
      </w:r>
    </w:p>
    <w:p w14:paraId="781B31B3">
      <w:pPr>
        <w:ind w:firstLine="480"/>
        <w:rPr>
          <w:highlight w:val="none"/>
        </w:rPr>
      </w:pPr>
      <w:r>
        <w:rPr>
          <w:highlight w:val="none"/>
        </w:rPr>
        <w:t>承包人需实现工程建设过程中的智慧工地全过程监控，</w:t>
      </w:r>
      <w:r>
        <w:rPr>
          <w:rFonts w:hint="eastAsia"/>
          <w:highlight w:val="none"/>
        </w:rPr>
        <w:t>满足《建筑工程智慧工地技术规程DB4401/T 235-2023》的要求</w:t>
      </w:r>
      <w:r>
        <w:rPr>
          <w:highlight w:val="none"/>
        </w:rPr>
        <w:t>并</w:t>
      </w:r>
      <w:r>
        <w:rPr>
          <w:rFonts w:hint="eastAsia"/>
          <w:highlight w:val="none"/>
        </w:rPr>
        <w:t>达到二星级智慧工地评价标准，承包人应投入足够的人员并配备足够的设备与发包人工程项目信息管理系统连接，确保及时准确地按发包人要求进行信息沟通及管理。</w:t>
      </w:r>
      <w:r>
        <w:rPr>
          <w:highlight w:val="none"/>
        </w:rPr>
        <w:t>包括不限于：安全监控（脚手架管理、烟感消防预警等）、质量监控（实测实量、 混凝土生产信息、关键质量检测报告等）、文明施工（视频监控、扬尘噪声、车辆管理、实名制管理、智能水电管理、安全帽 AI 抓拍、联动喷淋等）等数据。</w:t>
      </w:r>
    </w:p>
    <w:p w14:paraId="00397A43">
      <w:pPr>
        <w:pStyle w:val="5"/>
        <w:numPr>
          <w:ilvl w:val="2"/>
          <w:numId w:val="0"/>
        </w:numPr>
        <w:ind w:left="624" w:hanging="624"/>
        <w:rPr>
          <w:highlight w:val="none"/>
        </w:rPr>
      </w:pPr>
      <w:bookmarkStart w:id="588" w:name="_Toc14534"/>
      <w:r>
        <w:rPr>
          <w:rFonts w:hint="eastAsia"/>
          <w:highlight w:val="none"/>
        </w:rPr>
        <w:t>6.</w:t>
      </w:r>
      <w:r>
        <w:rPr>
          <w:rFonts w:hint="eastAsia"/>
          <w:highlight w:val="none"/>
          <w:lang w:val="en-US" w:eastAsia="zh-CN"/>
        </w:rPr>
        <w:t>19</w:t>
      </w:r>
      <w:r>
        <w:rPr>
          <w:rFonts w:hint="eastAsia"/>
          <w:highlight w:val="none"/>
        </w:rPr>
        <w:t>.</w:t>
      </w:r>
      <w:r>
        <w:rPr>
          <w:rFonts w:hint="eastAsia"/>
          <w:highlight w:val="none"/>
          <w:lang w:val="en-US" w:eastAsia="zh-CN"/>
        </w:rPr>
        <w:t>9</w:t>
      </w:r>
      <w:r>
        <w:rPr>
          <w:rFonts w:hint="eastAsia"/>
          <w:highlight w:val="none"/>
        </w:rPr>
        <w:t>总承包人履约要求</w:t>
      </w:r>
      <w:bookmarkEnd w:id="588"/>
    </w:p>
    <w:p w14:paraId="4212B6A7">
      <w:pPr>
        <w:ind w:firstLine="480"/>
        <w:rPr>
          <w:highlight w:val="none"/>
        </w:rPr>
      </w:pPr>
      <w:r>
        <w:rPr>
          <w:rFonts w:hint="eastAsia"/>
          <w:highlight w:val="none"/>
        </w:rPr>
        <w:t>总承包人在施工过程中拒不履行本合同要求内容或者履行标准不符合要求的，发包人有权委托第三方单位替代履行，所造成的费用按第三方单位实际发生费用与承包人合同费用之间的高值扣除，并赔偿由此引起的所有损失</w:t>
      </w:r>
      <w:r>
        <w:rPr>
          <w:rFonts w:hint="eastAsia"/>
          <w:highlight w:val="none"/>
          <w:lang w:bidi="ar"/>
        </w:rPr>
        <w:t>。</w:t>
      </w:r>
    </w:p>
    <w:p w14:paraId="74F88B96">
      <w:pPr>
        <w:ind w:firstLine="480"/>
        <w:rPr>
          <w:highlight w:val="none"/>
        </w:rPr>
      </w:pPr>
      <w:bookmarkStart w:id="589" w:name="_Toc2881"/>
      <w:bookmarkStart w:id="590" w:name="_Toc179563000"/>
      <w:bookmarkStart w:id="591" w:name="_Toc10269"/>
      <w:bookmarkStart w:id="592" w:name="_Toc18333"/>
      <w:bookmarkStart w:id="593" w:name="_Toc169722229"/>
      <w:bookmarkStart w:id="594" w:name="_Toc27700"/>
      <w:r>
        <w:rPr>
          <w:rFonts w:hint="eastAsia"/>
          <w:highlight w:val="none"/>
        </w:rPr>
        <w:br w:type="page"/>
      </w:r>
    </w:p>
    <w:p w14:paraId="76905D1A">
      <w:pPr>
        <w:pStyle w:val="3"/>
        <w:numPr>
          <w:ilvl w:val="0"/>
          <w:numId w:val="0"/>
        </w:numPr>
        <w:ind w:left="432"/>
        <w:rPr>
          <w:highlight w:val="none"/>
        </w:rPr>
      </w:pPr>
      <w:bookmarkStart w:id="595" w:name="_Toc29373"/>
      <w:bookmarkStart w:id="596" w:name="_Toc26889"/>
      <w:r>
        <w:rPr>
          <w:highlight w:val="none"/>
        </w:rPr>
        <w:t xml:space="preserve">第7章 </w:t>
      </w:r>
      <w:r>
        <w:rPr>
          <w:rFonts w:hint="eastAsia"/>
          <w:highlight w:val="none"/>
        </w:rPr>
        <w:t>技术要求</w:t>
      </w:r>
      <w:bookmarkEnd w:id="589"/>
      <w:bookmarkEnd w:id="590"/>
      <w:bookmarkEnd w:id="591"/>
      <w:bookmarkEnd w:id="592"/>
      <w:bookmarkEnd w:id="593"/>
      <w:bookmarkEnd w:id="594"/>
      <w:bookmarkEnd w:id="595"/>
      <w:bookmarkEnd w:id="596"/>
    </w:p>
    <w:p w14:paraId="1EAA44AD">
      <w:pPr>
        <w:pStyle w:val="4"/>
        <w:numPr>
          <w:ilvl w:val="1"/>
          <w:numId w:val="0"/>
        </w:numPr>
        <w:ind w:left="624" w:hanging="624"/>
        <w:rPr>
          <w:highlight w:val="none"/>
        </w:rPr>
      </w:pPr>
      <w:bookmarkStart w:id="597" w:name="_Toc4683"/>
      <w:bookmarkStart w:id="598" w:name="_Toc169722230"/>
      <w:bookmarkStart w:id="599" w:name="_Toc14586"/>
      <w:bookmarkStart w:id="600" w:name="_Toc179563001"/>
      <w:bookmarkStart w:id="601" w:name="_Toc7987"/>
      <w:bookmarkStart w:id="602" w:name="_Toc17160"/>
      <w:bookmarkStart w:id="603" w:name="_Toc25992"/>
      <w:bookmarkStart w:id="604" w:name="_Toc20771"/>
      <w:r>
        <w:rPr>
          <w:rFonts w:hint="eastAsia"/>
          <w:highlight w:val="none"/>
        </w:rPr>
        <w:t>7.1</w:t>
      </w:r>
      <w:r>
        <w:rPr>
          <w:highlight w:val="none"/>
        </w:rPr>
        <w:t>技术规范和标准</w:t>
      </w:r>
      <w:bookmarkEnd w:id="597"/>
      <w:bookmarkEnd w:id="598"/>
      <w:bookmarkEnd w:id="599"/>
      <w:bookmarkEnd w:id="600"/>
      <w:bookmarkEnd w:id="601"/>
      <w:bookmarkEnd w:id="602"/>
      <w:bookmarkEnd w:id="603"/>
      <w:bookmarkEnd w:id="604"/>
      <w:bookmarkStart w:id="605" w:name="_Toc489516866"/>
      <w:bookmarkStart w:id="606" w:name="_Toc490643538"/>
      <w:bookmarkStart w:id="607" w:name="_Toc489520047"/>
      <w:bookmarkStart w:id="608" w:name="_Toc422854852"/>
    </w:p>
    <w:p w14:paraId="53B398CA">
      <w:pPr>
        <w:ind w:firstLine="480"/>
        <w:rPr>
          <w:highlight w:val="none"/>
        </w:rPr>
      </w:pPr>
      <w:r>
        <w:rPr>
          <w:rFonts w:hint="eastAsia"/>
          <w:highlight w:val="none"/>
        </w:rPr>
        <w:t>总承包人应严格执行最新的现行国家、行业和地方相关技术</w:t>
      </w:r>
      <w:r>
        <w:rPr>
          <w:highlight w:val="none"/>
        </w:rPr>
        <w:t>规范</w:t>
      </w:r>
      <w:r>
        <w:rPr>
          <w:rFonts w:hint="eastAsia"/>
          <w:highlight w:val="none"/>
        </w:rPr>
        <w:t>和</w:t>
      </w:r>
      <w:r>
        <w:rPr>
          <w:highlight w:val="none"/>
        </w:rPr>
        <w:t>标准</w:t>
      </w:r>
      <w:r>
        <w:rPr>
          <w:rFonts w:hint="eastAsia"/>
          <w:highlight w:val="none"/>
        </w:rPr>
        <w:t>。</w:t>
      </w:r>
      <w:r>
        <w:rPr>
          <w:highlight w:val="none"/>
        </w:rPr>
        <w:t>若</w:t>
      </w:r>
      <w:r>
        <w:rPr>
          <w:rFonts w:hint="eastAsia"/>
          <w:highlight w:val="none"/>
        </w:rPr>
        <w:t>上</w:t>
      </w:r>
      <w:r>
        <w:rPr>
          <w:highlight w:val="none"/>
        </w:rPr>
        <w:t>述规范和标准内容有互相抵触时，应按较严格的条款执行</w:t>
      </w:r>
      <w:r>
        <w:rPr>
          <w:rFonts w:hint="eastAsia"/>
          <w:highlight w:val="none"/>
        </w:rPr>
        <w:t>。</w:t>
      </w:r>
      <w:bookmarkEnd w:id="605"/>
      <w:bookmarkEnd w:id="606"/>
      <w:bookmarkEnd w:id="607"/>
    </w:p>
    <w:p w14:paraId="1A17BE2C">
      <w:pPr>
        <w:pStyle w:val="4"/>
        <w:numPr>
          <w:ilvl w:val="1"/>
          <w:numId w:val="0"/>
        </w:numPr>
        <w:ind w:left="624" w:hanging="624"/>
        <w:rPr>
          <w:highlight w:val="none"/>
        </w:rPr>
      </w:pPr>
      <w:bookmarkStart w:id="609" w:name="_Toc179563002"/>
      <w:bookmarkStart w:id="610" w:name="_Toc2078"/>
      <w:bookmarkStart w:id="611" w:name="_Toc16158"/>
      <w:bookmarkStart w:id="612" w:name="_Toc30015"/>
      <w:bookmarkStart w:id="613" w:name="_Toc29188"/>
      <w:bookmarkStart w:id="614" w:name="_Toc1463"/>
      <w:bookmarkStart w:id="615" w:name="_Toc12036"/>
      <w:bookmarkStart w:id="616" w:name="_Toc169722231"/>
      <w:r>
        <w:rPr>
          <w:rFonts w:hint="eastAsia"/>
          <w:highlight w:val="none"/>
        </w:rPr>
        <w:t>7.2一般施工技术要求</w:t>
      </w:r>
      <w:bookmarkEnd w:id="608"/>
      <w:bookmarkEnd w:id="609"/>
      <w:bookmarkEnd w:id="610"/>
      <w:bookmarkEnd w:id="611"/>
      <w:bookmarkEnd w:id="612"/>
      <w:bookmarkEnd w:id="613"/>
      <w:bookmarkEnd w:id="614"/>
      <w:bookmarkEnd w:id="615"/>
      <w:bookmarkEnd w:id="616"/>
      <w:bookmarkStart w:id="617" w:name="_Toc246820711"/>
    </w:p>
    <w:bookmarkEnd w:id="617"/>
    <w:p w14:paraId="75878367">
      <w:pPr>
        <w:pStyle w:val="5"/>
        <w:numPr>
          <w:ilvl w:val="2"/>
          <w:numId w:val="0"/>
        </w:numPr>
        <w:ind w:left="624" w:hanging="624"/>
        <w:rPr>
          <w:highlight w:val="none"/>
        </w:rPr>
      </w:pPr>
      <w:bookmarkStart w:id="618" w:name="_Toc24176"/>
      <w:bookmarkStart w:id="619" w:name="_Toc246820716"/>
      <w:bookmarkStart w:id="620" w:name="_Toc308696229"/>
      <w:bookmarkStart w:id="621" w:name="_Toc308643217"/>
      <w:r>
        <w:rPr>
          <w:rFonts w:hint="eastAsia"/>
          <w:highlight w:val="none"/>
        </w:rPr>
        <w:t>7.2.1</w:t>
      </w:r>
      <w:r>
        <w:rPr>
          <w:highlight w:val="none"/>
        </w:rPr>
        <w:t>测量</w:t>
      </w:r>
      <w:bookmarkEnd w:id="618"/>
      <w:bookmarkEnd w:id="619"/>
      <w:bookmarkEnd w:id="620"/>
      <w:bookmarkEnd w:id="621"/>
      <w:bookmarkStart w:id="622" w:name="_Toc246820717"/>
    </w:p>
    <w:p w14:paraId="5F2B2C6C">
      <w:pPr>
        <w:ind w:firstLine="480"/>
        <w:rPr>
          <w:highlight w:val="none"/>
        </w:rPr>
      </w:pPr>
      <w:r>
        <w:rPr>
          <w:rFonts w:hint="eastAsia"/>
          <w:highlight w:val="none"/>
        </w:rPr>
        <w:t>总承包人应该为所有的专业承包人，包括但不限于门窗、机电、保温、精装修等，提供准确、齐备、统一的坐标线和标高线。如坐标线或标高线因后续施工被隐蔽，总承包人应重新提供，并保证前后完全一致。</w:t>
      </w:r>
    </w:p>
    <w:p w14:paraId="2EFA4EEF">
      <w:pPr>
        <w:pStyle w:val="6"/>
        <w:numPr>
          <w:ilvl w:val="3"/>
          <w:numId w:val="0"/>
        </w:numPr>
        <w:ind w:left="864" w:leftChars="100" w:hanging="624"/>
        <w:rPr>
          <w:highlight w:val="none"/>
        </w:rPr>
      </w:pPr>
      <w:r>
        <w:rPr>
          <w:rFonts w:hint="eastAsia"/>
          <w:highlight w:val="none"/>
        </w:rPr>
        <w:t>7.2.1.1</w:t>
      </w:r>
      <w:r>
        <w:rPr>
          <w:highlight w:val="none"/>
        </w:rPr>
        <w:t>场地测量基准点移交</w:t>
      </w:r>
    </w:p>
    <w:p w14:paraId="6833E1AF">
      <w:pPr>
        <w:ind w:firstLine="480"/>
        <w:rPr>
          <w:highlight w:val="none"/>
        </w:rPr>
      </w:pPr>
      <w:r>
        <w:rPr>
          <w:rFonts w:hint="eastAsia"/>
          <w:highlight w:val="none"/>
        </w:rPr>
        <w:t>总承包人</w:t>
      </w:r>
      <w:r>
        <w:rPr>
          <w:highlight w:val="none"/>
        </w:rPr>
        <w:t>进场施工前，由</w:t>
      </w:r>
      <w:r>
        <w:rPr>
          <w:rFonts w:hint="eastAsia"/>
          <w:highlight w:val="none"/>
        </w:rPr>
        <w:t>发包人</w:t>
      </w:r>
      <w:r>
        <w:rPr>
          <w:highlight w:val="none"/>
        </w:rPr>
        <w:t>进行基准点的书面移交，</w:t>
      </w:r>
      <w:r>
        <w:rPr>
          <w:rFonts w:hint="eastAsia"/>
          <w:highlight w:val="none"/>
        </w:rPr>
        <w:t>总承包人</w:t>
      </w:r>
      <w:r>
        <w:rPr>
          <w:highlight w:val="none"/>
        </w:rPr>
        <w:t>应安排测量人员对测量基准点进行复测。工程的测量基准点由</w:t>
      </w:r>
      <w:r>
        <w:rPr>
          <w:rFonts w:hint="eastAsia"/>
          <w:highlight w:val="none"/>
        </w:rPr>
        <w:t>总承包人负责</w:t>
      </w:r>
      <w:r>
        <w:rPr>
          <w:highlight w:val="none"/>
        </w:rPr>
        <w:t>管理及保护，并负责损坏后的</w:t>
      </w:r>
      <w:r>
        <w:rPr>
          <w:rFonts w:hint="eastAsia"/>
          <w:highlight w:val="none"/>
        </w:rPr>
        <w:t>修补</w:t>
      </w:r>
      <w:r>
        <w:rPr>
          <w:highlight w:val="none"/>
        </w:rPr>
        <w:t>工作</w:t>
      </w:r>
      <w:r>
        <w:rPr>
          <w:rFonts w:hint="eastAsia"/>
          <w:highlight w:val="none"/>
        </w:rPr>
        <w:t>。</w:t>
      </w:r>
    </w:p>
    <w:p w14:paraId="3D081AAE">
      <w:pPr>
        <w:pStyle w:val="6"/>
        <w:numPr>
          <w:ilvl w:val="3"/>
          <w:numId w:val="0"/>
        </w:numPr>
        <w:ind w:left="864" w:leftChars="100" w:hanging="624"/>
        <w:rPr>
          <w:highlight w:val="none"/>
        </w:rPr>
      </w:pPr>
      <w:r>
        <w:rPr>
          <w:rFonts w:hint="eastAsia"/>
          <w:highlight w:val="none"/>
        </w:rPr>
        <w:t>7.2.1.2</w:t>
      </w:r>
      <w:r>
        <w:rPr>
          <w:highlight w:val="none"/>
        </w:rPr>
        <w:t>测量组织管理</w:t>
      </w:r>
      <w:bookmarkEnd w:id="622"/>
    </w:p>
    <w:p w14:paraId="5DC6CE3D">
      <w:pPr>
        <w:ind w:firstLine="480"/>
        <w:rPr>
          <w:highlight w:val="none"/>
        </w:rPr>
      </w:pPr>
      <w:r>
        <w:rPr>
          <w:rFonts w:hint="eastAsia"/>
          <w:highlight w:val="none"/>
        </w:rPr>
        <w:t>总承包人</w:t>
      </w:r>
      <w:r>
        <w:rPr>
          <w:highlight w:val="none"/>
        </w:rPr>
        <w:t>应安排专业的测量人员持证上岗，设立专门的测量组负责管理。</w:t>
      </w:r>
    </w:p>
    <w:p w14:paraId="622CB629">
      <w:pPr>
        <w:numPr>
          <w:ilvl w:val="0"/>
          <w:numId w:val="19"/>
        </w:numPr>
        <w:ind w:firstLine="480"/>
        <w:rPr>
          <w:highlight w:val="none"/>
        </w:rPr>
      </w:pPr>
      <w:r>
        <w:rPr>
          <w:rFonts w:hint="eastAsia"/>
          <w:highlight w:val="none"/>
        </w:rPr>
        <w:t>总承包人应配备满足本工程需要的测量放线人员，人员应有测量资质和三年以上同类住宅项目测量经验。</w:t>
      </w:r>
    </w:p>
    <w:p w14:paraId="06A812A4">
      <w:pPr>
        <w:numPr>
          <w:ilvl w:val="0"/>
          <w:numId w:val="19"/>
        </w:numPr>
        <w:ind w:firstLine="480"/>
        <w:rPr>
          <w:highlight w:val="none"/>
        </w:rPr>
      </w:pPr>
      <w:r>
        <w:rPr>
          <w:rFonts w:hint="eastAsia"/>
          <w:highlight w:val="none"/>
        </w:rPr>
        <w:t>总承包人应配备满足本工程需要的测量设备，测量设备应按规定进行年检，并保证工程测量精度。</w:t>
      </w:r>
    </w:p>
    <w:p w14:paraId="2BC76F30">
      <w:pPr>
        <w:numPr>
          <w:ilvl w:val="0"/>
          <w:numId w:val="19"/>
        </w:numPr>
        <w:ind w:firstLine="480"/>
        <w:rPr>
          <w:highlight w:val="none"/>
        </w:rPr>
      </w:pPr>
      <w:r>
        <w:rPr>
          <w:rFonts w:hint="eastAsia"/>
          <w:highlight w:val="none"/>
        </w:rPr>
        <w:t>总承包人应编制专项测量方案，并对实体工程平整度、垂直度、净高等指标制定相关的控制保证措施，在工程实施过程中切实执行。</w:t>
      </w:r>
    </w:p>
    <w:p w14:paraId="294E9CF8">
      <w:pPr>
        <w:pStyle w:val="6"/>
        <w:numPr>
          <w:ilvl w:val="3"/>
          <w:numId w:val="0"/>
        </w:numPr>
        <w:ind w:left="864" w:leftChars="100" w:hanging="624"/>
        <w:rPr>
          <w:highlight w:val="none"/>
        </w:rPr>
      </w:pPr>
      <w:bookmarkStart w:id="623" w:name="_Toc246820718"/>
      <w:r>
        <w:rPr>
          <w:rFonts w:hint="eastAsia"/>
          <w:highlight w:val="none"/>
        </w:rPr>
        <w:t>7.2.1.3总承包人</w:t>
      </w:r>
      <w:r>
        <w:rPr>
          <w:highlight w:val="none"/>
        </w:rPr>
        <w:t>负责测量工作内容</w:t>
      </w:r>
      <w:bookmarkEnd w:id="623"/>
    </w:p>
    <w:p w14:paraId="0D55338F">
      <w:pPr>
        <w:numPr>
          <w:ilvl w:val="0"/>
          <w:numId w:val="20"/>
        </w:numPr>
        <w:ind w:firstLine="480"/>
        <w:rPr>
          <w:highlight w:val="none"/>
        </w:rPr>
      </w:pPr>
      <w:r>
        <w:rPr>
          <w:rFonts w:hint="eastAsia"/>
          <w:highlight w:val="none"/>
        </w:rPr>
        <w:t>维护发包人提供的首级控制网。</w:t>
      </w:r>
    </w:p>
    <w:p w14:paraId="1E344F32">
      <w:pPr>
        <w:numPr>
          <w:ilvl w:val="0"/>
          <w:numId w:val="20"/>
        </w:numPr>
        <w:ind w:firstLine="480"/>
        <w:rPr>
          <w:highlight w:val="none"/>
        </w:rPr>
      </w:pPr>
      <w:r>
        <w:rPr>
          <w:rFonts w:hint="eastAsia"/>
          <w:highlight w:val="none"/>
        </w:rPr>
        <w:t>测设场地内的次级控制网。</w:t>
      </w:r>
    </w:p>
    <w:p w14:paraId="7D744347">
      <w:pPr>
        <w:numPr>
          <w:ilvl w:val="0"/>
          <w:numId w:val="20"/>
        </w:numPr>
        <w:ind w:firstLine="480"/>
        <w:rPr>
          <w:highlight w:val="none"/>
        </w:rPr>
      </w:pPr>
      <w:r>
        <w:rPr>
          <w:rFonts w:hint="eastAsia"/>
          <w:highlight w:val="none"/>
        </w:rPr>
        <w:t>负责建筑物内三级控制网主轴线的测设工作。</w:t>
      </w:r>
    </w:p>
    <w:p w14:paraId="06B94711">
      <w:pPr>
        <w:numPr>
          <w:ilvl w:val="0"/>
          <w:numId w:val="20"/>
        </w:numPr>
        <w:ind w:firstLine="480"/>
        <w:rPr>
          <w:highlight w:val="none"/>
        </w:rPr>
      </w:pPr>
      <w:r>
        <w:rPr>
          <w:rFonts w:hint="eastAsia"/>
          <w:highlight w:val="none"/>
        </w:rPr>
        <w:t>负责场地内基准标高的测设工作。</w:t>
      </w:r>
    </w:p>
    <w:p w14:paraId="206579E1">
      <w:pPr>
        <w:numPr>
          <w:ilvl w:val="0"/>
          <w:numId w:val="20"/>
        </w:numPr>
        <w:ind w:firstLine="480"/>
        <w:rPr>
          <w:highlight w:val="none"/>
        </w:rPr>
      </w:pPr>
      <w:r>
        <w:rPr>
          <w:rFonts w:hint="eastAsia"/>
          <w:highlight w:val="none"/>
        </w:rPr>
        <w:t>负责同一分期内不同标段间的测量复核工作。</w:t>
      </w:r>
    </w:p>
    <w:p w14:paraId="1401FAC0">
      <w:pPr>
        <w:numPr>
          <w:ilvl w:val="0"/>
          <w:numId w:val="20"/>
        </w:numPr>
        <w:ind w:firstLine="480"/>
        <w:rPr>
          <w:highlight w:val="none"/>
        </w:rPr>
      </w:pPr>
      <w:r>
        <w:rPr>
          <w:rFonts w:hint="eastAsia"/>
          <w:highlight w:val="none"/>
        </w:rPr>
        <w:t>向专业承包人进行主轴线及基准标高的移交工作。</w:t>
      </w:r>
    </w:p>
    <w:p w14:paraId="2BEF26AB">
      <w:pPr>
        <w:numPr>
          <w:ilvl w:val="0"/>
          <w:numId w:val="20"/>
        </w:numPr>
        <w:ind w:firstLine="480"/>
        <w:rPr>
          <w:highlight w:val="none"/>
        </w:rPr>
      </w:pPr>
      <w:r>
        <w:rPr>
          <w:rFonts w:hint="eastAsia"/>
          <w:highlight w:val="none"/>
        </w:rPr>
        <w:t>对专业承包人的测量工作进行管理及检查复核。</w:t>
      </w:r>
    </w:p>
    <w:p w14:paraId="79FD7580">
      <w:pPr>
        <w:numPr>
          <w:ilvl w:val="0"/>
          <w:numId w:val="20"/>
        </w:numPr>
        <w:ind w:firstLine="480"/>
        <w:rPr>
          <w:highlight w:val="none"/>
        </w:rPr>
      </w:pPr>
      <w:r>
        <w:rPr>
          <w:rFonts w:hint="eastAsia"/>
          <w:highlight w:val="none"/>
        </w:rPr>
        <w:t>负责测量资料的整理归档工作。</w:t>
      </w:r>
    </w:p>
    <w:p w14:paraId="056E3AF0">
      <w:pPr>
        <w:numPr>
          <w:ilvl w:val="0"/>
          <w:numId w:val="20"/>
        </w:numPr>
        <w:ind w:firstLine="480"/>
        <w:rPr>
          <w:highlight w:val="none"/>
        </w:rPr>
      </w:pPr>
      <w:r>
        <w:rPr>
          <w:rFonts w:hint="eastAsia"/>
          <w:highlight w:val="none"/>
        </w:rPr>
        <w:t>配合发包人做好政府规划部门的测量验线工作。</w:t>
      </w:r>
      <w:bookmarkStart w:id="624" w:name="_Toc246820726"/>
    </w:p>
    <w:bookmarkEnd w:id="624"/>
    <w:p w14:paraId="4FC6FC14">
      <w:pPr>
        <w:pStyle w:val="5"/>
        <w:numPr>
          <w:ilvl w:val="2"/>
          <w:numId w:val="0"/>
        </w:numPr>
        <w:ind w:left="624" w:hanging="624"/>
        <w:rPr>
          <w:highlight w:val="none"/>
        </w:rPr>
      </w:pPr>
      <w:bookmarkStart w:id="625" w:name="_Toc154742379"/>
      <w:bookmarkStart w:id="626" w:name="_Toc308696233"/>
      <w:bookmarkStart w:id="627" w:name="_Toc152173050"/>
      <w:bookmarkStart w:id="628" w:name="_Toc146516999"/>
      <w:bookmarkStart w:id="629" w:name="_Toc308643221"/>
      <w:bookmarkStart w:id="630" w:name="_Toc146361422"/>
      <w:bookmarkStart w:id="631" w:name="_Toc10238"/>
      <w:bookmarkStart w:id="632" w:name="_Toc246820740"/>
      <w:r>
        <w:rPr>
          <w:rFonts w:hint="eastAsia"/>
          <w:highlight w:val="none"/>
        </w:rPr>
        <w:t>7.2.2</w:t>
      </w:r>
      <w:r>
        <w:rPr>
          <w:highlight w:val="none"/>
        </w:rPr>
        <w:t>雨季施工措施</w:t>
      </w:r>
      <w:bookmarkEnd w:id="625"/>
      <w:bookmarkEnd w:id="626"/>
      <w:bookmarkEnd w:id="627"/>
      <w:bookmarkEnd w:id="628"/>
      <w:bookmarkEnd w:id="629"/>
      <w:bookmarkEnd w:id="630"/>
      <w:bookmarkEnd w:id="631"/>
      <w:bookmarkEnd w:id="632"/>
      <w:bookmarkStart w:id="633" w:name="_Toc154742380"/>
      <w:bookmarkStart w:id="634" w:name="_Toc75851495"/>
      <w:bookmarkStart w:id="635" w:name="_Toc146361423"/>
      <w:bookmarkStart w:id="636" w:name="_Toc152173051"/>
      <w:bookmarkStart w:id="637" w:name="_Toc246820741"/>
    </w:p>
    <w:bookmarkEnd w:id="633"/>
    <w:bookmarkEnd w:id="634"/>
    <w:bookmarkEnd w:id="635"/>
    <w:bookmarkEnd w:id="636"/>
    <w:bookmarkEnd w:id="637"/>
    <w:p w14:paraId="4531DC36">
      <w:pPr>
        <w:pStyle w:val="6"/>
        <w:numPr>
          <w:ilvl w:val="3"/>
          <w:numId w:val="0"/>
        </w:numPr>
        <w:ind w:left="864" w:leftChars="100" w:hanging="624"/>
        <w:rPr>
          <w:highlight w:val="none"/>
        </w:rPr>
      </w:pPr>
      <w:r>
        <w:rPr>
          <w:rFonts w:hint="eastAsia"/>
          <w:highlight w:val="none"/>
        </w:rPr>
        <w:t>7.2.2.1</w:t>
      </w:r>
      <w:r>
        <w:rPr>
          <w:highlight w:val="none"/>
        </w:rPr>
        <w:t>组织措施</w:t>
      </w:r>
    </w:p>
    <w:p w14:paraId="5EE4074E">
      <w:pPr>
        <w:numPr>
          <w:ilvl w:val="0"/>
          <w:numId w:val="21"/>
        </w:numPr>
        <w:ind w:firstLine="480"/>
        <w:rPr>
          <w:highlight w:val="none"/>
        </w:rPr>
      </w:pPr>
      <w:r>
        <w:rPr>
          <w:rFonts w:hint="eastAsia"/>
          <w:highlight w:val="none"/>
        </w:rPr>
        <w:t>总承包人</w:t>
      </w:r>
      <w:r>
        <w:rPr>
          <w:highlight w:val="none"/>
        </w:rPr>
        <w:t>应成立以项目负责人为第一责任人的应急小组，配备劳动力、应急水泵、电箱电缆、防雨布等物资和设备，并明确</w:t>
      </w:r>
      <w:r>
        <w:rPr>
          <w:rFonts w:hint="eastAsia"/>
          <w:highlight w:val="none"/>
        </w:rPr>
        <w:t>相关</w:t>
      </w:r>
      <w:r>
        <w:rPr>
          <w:highlight w:val="none"/>
        </w:rPr>
        <w:t>责任人。</w:t>
      </w:r>
    </w:p>
    <w:p w14:paraId="01035233">
      <w:pPr>
        <w:numPr>
          <w:ilvl w:val="0"/>
          <w:numId w:val="21"/>
        </w:numPr>
        <w:ind w:firstLine="480"/>
        <w:rPr>
          <w:highlight w:val="none"/>
        </w:rPr>
      </w:pPr>
      <w:r>
        <w:rPr>
          <w:highlight w:val="none"/>
        </w:rPr>
        <w:t>暴雨来临前，增加夜间值班人员，项目领导参与夜间值班，主要管理人员24小时</w:t>
      </w:r>
      <w:r>
        <w:rPr>
          <w:rFonts w:hint="eastAsia"/>
          <w:highlight w:val="none"/>
        </w:rPr>
        <w:t>手机</w:t>
      </w:r>
      <w:r>
        <w:rPr>
          <w:highlight w:val="none"/>
        </w:rPr>
        <w:t>开机。</w:t>
      </w:r>
    </w:p>
    <w:p w14:paraId="7975D3F8">
      <w:pPr>
        <w:numPr>
          <w:ilvl w:val="0"/>
          <w:numId w:val="21"/>
        </w:numPr>
        <w:ind w:firstLine="480"/>
        <w:rPr>
          <w:highlight w:val="none"/>
        </w:rPr>
      </w:pPr>
      <w:r>
        <w:rPr>
          <w:highlight w:val="none"/>
        </w:rPr>
        <w:t>雨季施工主要以预防为主，采取防雨措施及排水措施。</w:t>
      </w:r>
    </w:p>
    <w:p w14:paraId="06B5196D">
      <w:pPr>
        <w:numPr>
          <w:ilvl w:val="0"/>
          <w:numId w:val="21"/>
        </w:numPr>
        <w:ind w:firstLine="480"/>
        <w:rPr>
          <w:highlight w:val="none"/>
        </w:rPr>
      </w:pPr>
      <w:r>
        <w:rPr>
          <w:rFonts w:hint="eastAsia"/>
          <w:highlight w:val="none"/>
        </w:rPr>
        <w:t>总承包人</w:t>
      </w:r>
      <w:r>
        <w:rPr>
          <w:highlight w:val="none"/>
        </w:rPr>
        <w:t>应做好施工人员的雨季施工培训工作，组织相关人员进行施工现场的准备工作，并进行一次全面的施工现场检查，包括检查临时设施、临时用电、机械设备等各项工作。</w:t>
      </w:r>
    </w:p>
    <w:p w14:paraId="61DC813C">
      <w:pPr>
        <w:numPr>
          <w:ilvl w:val="0"/>
          <w:numId w:val="21"/>
        </w:numPr>
        <w:ind w:firstLine="480"/>
        <w:rPr>
          <w:highlight w:val="none"/>
        </w:rPr>
      </w:pPr>
      <w:r>
        <w:rPr>
          <w:highlight w:val="none"/>
        </w:rPr>
        <w:t>加强雨季施工的信息反馈，对容易发生问题的要采取防范措施，设法排除隐患，同时合理的安排日常工作。</w:t>
      </w:r>
    </w:p>
    <w:p w14:paraId="6C2818EF">
      <w:pPr>
        <w:pStyle w:val="6"/>
        <w:numPr>
          <w:ilvl w:val="3"/>
          <w:numId w:val="0"/>
        </w:numPr>
        <w:ind w:left="864" w:leftChars="100" w:hanging="624"/>
        <w:rPr>
          <w:highlight w:val="none"/>
        </w:rPr>
      </w:pPr>
      <w:r>
        <w:rPr>
          <w:rFonts w:hint="eastAsia"/>
          <w:highlight w:val="none"/>
        </w:rPr>
        <w:t>7.2.2.2雨季施工方案</w:t>
      </w:r>
    </w:p>
    <w:p w14:paraId="46A91C16">
      <w:pPr>
        <w:ind w:firstLine="480"/>
        <w:rPr>
          <w:highlight w:val="none"/>
        </w:rPr>
      </w:pPr>
      <w:r>
        <w:rPr>
          <w:rFonts w:hint="eastAsia"/>
          <w:highlight w:val="none"/>
        </w:rPr>
        <w:t>总承包人</w:t>
      </w:r>
      <w:r>
        <w:rPr>
          <w:highlight w:val="none"/>
        </w:rPr>
        <w:t>应编制详细的雨季施工方案，报监理人</w:t>
      </w:r>
      <w:r>
        <w:rPr>
          <w:rFonts w:hint="eastAsia"/>
          <w:highlight w:val="none"/>
        </w:rPr>
        <w:t>审批</w:t>
      </w:r>
      <w:r>
        <w:rPr>
          <w:highlight w:val="none"/>
        </w:rPr>
        <w:t>。该方案</w:t>
      </w:r>
      <w:r>
        <w:rPr>
          <w:rFonts w:hint="eastAsia"/>
          <w:highlight w:val="none"/>
        </w:rPr>
        <w:t>应</w:t>
      </w:r>
      <w:r>
        <w:rPr>
          <w:highlight w:val="none"/>
        </w:rPr>
        <w:t>根据具体施工图、工程进度</w:t>
      </w:r>
      <w:r>
        <w:rPr>
          <w:rFonts w:hint="eastAsia"/>
          <w:highlight w:val="none"/>
        </w:rPr>
        <w:t>计划</w:t>
      </w:r>
      <w:r>
        <w:rPr>
          <w:highlight w:val="none"/>
        </w:rPr>
        <w:t>及</w:t>
      </w:r>
      <w:r>
        <w:rPr>
          <w:rFonts w:hint="eastAsia"/>
          <w:highlight w:val="none"/>
        </w:rPr>
        <w:t>本地</w:t>
      </w:r>
      <w:r>
        <w:rPr>
          <w:highlight w:val="none"/>
        </w:rPr>
        <w:t>雨季</w:t>
      </w:r>
      <w:r>
        <w:rPr>
          <w:rFonts w:hint="eastAsia"/>
          <w:highlight w:val="none"/>
        </w:rPr>
        <w:t>特点</w:t>
      </w:r>
      <w:r>
        <w:rPr>
          <w:highlight w:val="none"/>
        </w:rPr>
        <w:t>编制完成，提出切实可行的雨季施工措施。</w:t>
      </w:r>
    </w:p>
    <w:p w14:paraId="4BFB4DB4">
      <w:pPr>
        <w:pStyle w:val="6"/>
        <w:numPr>
          <w:ilvl w:val="3"/>
          <w:numId w:val="0"/>
        </w:numPr>
        <w:ind w:left="864" w:leftChars="100" w:hanging="624"/>
        <w:rPr>
          <w:highlight w:val="none"/>
        </w:rPr>
      </w:pPr>
      <w:r>
        <w:rPr>
          <w:rFonts w:hint="eastAsia"/>
          <w:highlight w:val="none"/>
        </w:rPr>
        <w:t>7.2.2.3</w:t>
      </w:r>
      <w:r>
        <w:rPr>
          <w:highlight w:val="none"/>
        </w:rPr>
        <w:t>施工现场措施</w:t>
      </w:r>
    </w:p>
    <w:p w14:paraId="21ABF445">
      <w:pPr>
        <w:numPr>
          <w:ilvl w:val="0"/>
          <w:numId w:val="22"/>
        </w:numPr>
        <w:ind w:firstLine="480"/>
        <w:rPr>
          <w:highlight w:val="none"/>
        </w:rPr>
      </w:pPr>
      <w:r>
        <w:rPr>
          <w:highlight w:val="none"/>
        </w:rPr>
        <w:t>施工现场道路在雨季之前要进行修理，</w:t>
      </w:r>
      <w:r>
        <w:rPr>
          <w:rFonts w:hint="eastAsia"/>
          <w:highlight w:val="none"/>
        </w:rPr>
        <w:t>做</w:t>
      </w:r>
      <w:r>
        <w:rPr>
          <w:highlight w:val="none"/>
        </w:rPr>
        <w:t>到道路不积水。道路</w:t>
      </w:r>
      <w:r>
        <w:rPr>
          <w:rFonts w:hint="eastAsia"/>
          <w:highlight w:val="none"/>
        </w:rPr>
        <w:t>两</w:t>
      </w:r>
      <w:r>
        <w:rPr>
          <w:highlight w:val="none"/>
        </w:rPr>
        <w:t>侧设排水沟，每间隔一段距离加设集水坑，排水沟要经常维护，保持通畅，场地内部要作好有组织排水。</w:t>
      </w:r>
    </w:p>
    <w:p w14:paraId="73327C0B">
      <w:pPr>
        <w:numPr>
          <w:ilvl w:val="0"/>
          <w:numId w:val="22"/>
        </w:numPr>
        <w:ind w:firstLine="480"/>
        <w:rPr>
          <w:highlight w:val="none"/>
        </w:rPr>
      </w:pPr>
      <w:r>
        <w:rPr>
          <w:highlight w:val="none"/>
        </w:rPr>
        <w:t>室外露天的中、小型机械需按规定搭设防雨棚，电闸箱防漏电保护装置要灵敏有效，同时设专人定期检测并做好记录。机电设备需经常检查接零、接地保护。雨季前要对避雷装置进行一次全面的检查，遇雷雨天停止使用高大设备，以防雷击。</w:t>
      </w:r>
    </w:p>
    <w:p w14:paraId="45CF522C">
      <w:pPr>
        <w:numPr>
          <w:ilvl w:val="0"/>
          <w:numId w:val="22"/>
        </w:numPr>
        <w:ind w:firstLine="480"/>
        <w:rPr>
          <w:highlight w:val="none"/>
        </w:rPr>
      </w:pPr>
      <w:r>
        <w:rPr>
          <w:highlight w:val="none"/>
        </w:rPr>
        <w:t>雨季期间所需的塑料布提前准备好，污水泵要作到运转良好。库房及堆放场地四周要求有良好的排水。模板、脚手架、木方等堆放场地均在底部垫方木，上面用塑料布遮盖以防雨淋。</w:t>
      </w:r>
      <w:bookmarkStart w:id="638" w:name="_Toc75851498"/>
      <w:bookmarkStart w:id="639" w:name="_Toc152173052"/>
      <w:bookmarkStart w:id="640" w:name="_Toc146361424"/>
      <w:bookmarkStart w:id="641" w:name="_Toc246820744"/>
      <w:bookmarkStart w:id="642" w:name="_Toc154742381"/>
    </w:p>
    <w:p w14:paraId="006A68CD">
      <w:pPr>
        <w:pStyle w:val="6"/>
        <w:numPr>
          <w:ilvl w:val="3"/>
          <w:numId w:val="0"/>
        </w:numPr>
        <w:ind w:left="864" w:leftChars="100" w:hanging="624"/>
        <w:rPr>
          <w:highlight w:val="none"/>
        </w:rPr>
      </w:pPr>
      <w:r>
        <w:rPr>
          <w:rFonts w:hint="eastAsia"/>
          <w:highlight w:val="none"/>
        </w:rPr>
        <w:t>7.2.2.4</w:t>
      </w:r>
      <w:r>
        <w:rPr>
          <w:highlight w:val="none"/>
        </w:rPr>
        <w:t>主要部位雨季施工措施</w:t>
      </w:r>
      <w:bookmarkEnd w:id="638"/>
      <w:bookmarkEnd w:id="639"/>
      <w:bookmarkEnd w:id="640"/>
      <w:bookmarkEnd w:id="641"/>
      <w:bookmarkEnd w:id="642"/>
    </w:p>
    <w:p w14:paraId="406AAD2A">
      <w:pPr>
        <w:numPr>
          <w:ilvl w:val="0"/>
          <w:numId w:val="23"/>
        </w:numPr>
        <w:ind w:firstLine="480"/>
        <w:rPr>
          <w:highlight w:val="none"/>
        </w:rPr>
      </w:pPr>
      <w:r>
        <w:rPr>
          <w:highlight w:val="none"/>
        </w:rPr>
        <w:t>为防止首层及屋面平面洞口大量渗水至下部工作面，对屋面上外露的所有洞口应</w:t>
      </w:r>
      <w:r>
        <w:rPr>
          <w:rFonts w:hint="eastAsia"/>
          <w:highlight w:val="none"/>
        </w:rPr>
        <w:t>采用临时</w:t>
      </w:r>
      <w:r>
        <w:rPr>
          <w:highlight w:val="none"/>
        </w:rPr>
        <w:t>挡水措施。</w:t>
      </w:r>
    </w:p>
    <w:p w14:paraId="318802BD">
      <w:pPr>
        <w:numPr>
          <w:ilvl w:val="0"/>
          <w:numId w:val="23"/>
        </w:numPr>
        <w:ind w:firstLine="480"/>
        <w:rPr>
          <w:highlight w:val="none"/>
        </w:rPr>
      </w:pPr>
      <w:bookmarkStart w:id="643" w:name="_Toc246820746"/>
      <w:bookmarkStart w:id="644" w:name="_Toc146361425"/>
      <w:bookmarkStart w:id="645" w:name="_Toc75851499"/>
      <w:r>
        <w:rPr>
          <w:highlight w:val="none"/>
        </w:rPr>
        <w:t>在</w:t>
      </w:r>
      <w:bookmarkEnd w:id="643"/>
      <w:r>
        <w:rPr>
          <w:highlight w:val="none"/>
        </w:rPr>
        <w:t>极易积水区域设置足够功率及数量的水泵，安排专人巡视，检查水泵工作情况，并根据现场积水情况及时调整水泵数量或采取其他挡水等措施。</w:t>
      </w:r>
    </w:p>
    <w:p w14:paraId="212E5CB2">
      <w:pPr>
        <w:numPr>
          <w:ilvl w:val="0"/>
          <w:numId w:val="23"/>
        </w:numPr>
        <w:ind w:firstLine="480"/>
        <w:rPr>
          <w:highlight w:val="none"/>
        </w:rPr>
      </w:pPr>
      <w:r>
        <w:rPr>
          <w:highlight w:val="none"/>
        </w:rPr>
        <w:t>钢筋堆放时，下部要垫砌体、混凝土条块或</w:t>
      </w:r>
      <w:r>
        <w:rPr>
          <w:rFonts w:hint="eastAsia"/>
          <w:highlight w:val="none"/>
        </w:rPr>
        <w:t>木枋</w:t>
      </w:r>
      <w:r>
        <w:rPr>
          <w:highlight w:val="none"/>
        </w:rPr>
        <w:t>，雨天要覆盖塑料布。雨后要对钢筋表面进行检查，做好除锈工作。雨天不得在无任何防雨措施的场地进行焊接施工。</w:t>
      </w:r>
    </w:p>
    <w:p w14:paraId="54CBEDB0">
      <w:pPr>
        <w:numPr>
          <w:ilvl w:val="0"/>
          <w:numId w:val="23"/>
        </w:numPr>
        <w:ind w:firstLine="480"/>
        <w:rPr>
          <w:highlight w:val="none"/>
        </w:rPr>
      </w:pPr>
      <w:bookmarkStart w:id="646" w:name="_Toc246820748"/>
      <w:r>
        <w:rPr>
          <w:highlight w:val="none"/>
        </w:rPr>
        <w:t>混凝土浇筑前应了解当天的气象情况，以防因大雨被迫中断混凝土浇筑。对浇筑完未终凝的混凝土如遇突然降雨，及时用塑料布覆盖，以防水泥浆流失</w:t>
      </w:r>
      <w:bookmarkEnd w:id="646"/>
      <w:r>
        <w:rPr>
          <w:highlight w:val="none"/>
        </w:rPr>
        <w:t>。</w:t>
      </w:r>
    </w:p>
    <w:p w14:paraId="0D9C3289">
      <w:pPr>
        <w:numPr>
          <w:ilvl w:val="0"/>
          <w:numId w:val="23"/>
        </w:numPr>
        <w:ind w:firstLine="480"/>
        <w:rPr>
          <w:highlight w:val="none"/>
        </w:rPr>
      </w:pPr>
      <w:r>
        <w:rPr>
          <w:highlight w:val="none"/>
        </w:rPr>
        <w:t>室内装修时，应将门窗关闭，防止雨</w:t>
      </w:r>
      <w:r>
        <w:rPr>
          <w:rFonts w:hint="eastAsia"/>
          <w:highlight w:val="none"/>
        </w:rPr>
        <w:t>水</w:t>
      </w:r>
      <w:r>
        <w:rPr>
          <w:highlight w:val="none"/>
        </w:rPr>
        <w:t>进入室内，破坏已装修完毕的饰面层。易受潮的装修材料</w:t>
      </w:r>
      <w:r>
        <w:rPr>
          <w:rFonts w:hint="eastAsia"/>
          <w:highlight w:val="none"/>
        </w:rPr>
        <w:t>应</w:t>
      </w:r>
      <w:r>
        <w:rPr>
          <w:highlight w:val="none"/>
        </w:rPr>
        <w:t>堆放至室内或用防雨材料覆盖。雨期抹灰工程应采取防雨措施。</w:t>
      </w:r>
    </w:p>
    <w:p w14:paraId="0A75140D">
      <w:pPr>
        <w:numPr>
          <w:ilvl w:val="0"/>
          <w:numId w:val="23"/>
        </w:numPr>
        <w:ind w:firstLine="480"/>
        <w:rPr>
          <w:highlight w:val="none"/>
        </w:rPr>
      </w:pPr>
      <w:r>
        <w:rPr>
          <w:rFonts w:hint="eastAsia"/>
          <w:highlight w:val="none"/>
        </w:rPr>
        <w:t>雨季</w:t>
      </w:r>
      <w:r>
        <w:rPr>
          <w:highlight w:val="none"/>
        </w:rPr>
        <w:t>期间</w:t>
      </w:r>
      <w:r>
        <w:rPr>
          <w:rFonts w:hint="eastAsia"/>
          <w:highlight w:val="none"/>
        </w:rPr>
        <w:t>应</w:t>
      </w:r>
      <w:r>
        <w:rPr>
          <w:highlight w:val="none"/>
        </w:rPr>
        <w:t>对所有脚手架工程进行全面检查，脚手架立杆底座必须牢固，基土应夯实，外用脚手架要与墙体拉接牢固。</w:t>
      </w:r>
    </w:p>
    <w:p w14:paraId="30267D2B">
      <w:pPr>
        <w:numPr>
          <w:ilvl w:val="0"/>
          <w:numId w:val="23"/>
        </w:numPr>
        <w:ind w:firstLine="480"/>
        <w:rPr>
          <w:highlight w:val="none"/>
        </w:rPr>
      </w:pPr>
      <w:r>
        <w:rPr>
          <w:highlight w:val="none"/>
        </w:rPr>
        <w:t>雨天应停止外脚手架施工，大雨后要对架体进行全面检查，确认无沉降和松动后</w:t>
      </w:r>
      <w:r>
        <w:rPr>
          <w:rFonts w:hint="eastAsia"/>
          <w:highlight w:val="none"/>
        </w:rPr>
        <w:t>方</w:t>
      </w:r>
      <w:r>
        <w:rPr>
          <w:highlight w:val="none"/>
        </w:rPr>
        <w:t>可使用。</w:t>
      </w:r>
    </w:p>
    <w:bookmarkEnd w:id="644"/>
    <w:bookmarkEnd w:id="645"/>
    <w:p w14:paraId="7493D743">
      <w:pPr>
        <w:pStyle w:val="5"/>
        <w:numPr>
          <w:ilvl w:val="2"/>
          <w:numId w:val="0"/>
        </w:numPr>
        <w:ind w:left="624" w:hanging="624"/>
        <w:rPr>
          <w:highlight w:val="none"/>
        </w:rPr>
      </w:pPr>
      <w:bookmarkStart w:id="647" w:name="_Toc154742383"/>
      <w:bookmarkStart w:id="648" w:name="_Toc152173054"/>
      <w:bookmarkStart w:id="649" w:name="_Toc75851503"/>
      <w:bookmarkStart w:id="650" w:name="_Toc246820757"/>
      <w:bookmarkStart w:id="651" w:name="_Toc27367"/>
      <w:bookmarkStart w:id="652" w:name="_Toc146361426"/>
      <w:r>
        <w:rPr>
          <w:rFonts w:hint="eastAsia"/>
          <w:highlight w:val="none"/>
        </w:rPr>
        <w:t>7.2.3</w:t>
      </w:r>
      <w:r>
        <w:rPr>
          <w:highlight w:val="none"/>
        </w:rPr>
        <w:t>高温天气施工措施</w:t>
      </w:r>
      <w:bookmarkEnd w:id="647"/>
      <w:bookmarkEnd w:id="648"/>
      <w:bookmarkEnd w:id="649"/>
      <w:bookmarkEnd w:id="650"/>
      <w:bookmarkEnd w:id="651"/>
      <w:bookmarkEnd w:id="652"/>
    </w:p>
    <w:p w14:paraId="2C4F741D">
      <w:pPr>
        <w:ind w:firstLine="480"/>
        <w:rPr>
          <w:highlight w:val="none"/>
        </w:rPr>
      </w:pPr>
      <w:bookmarkStart w:id="653" w:name="_Toc146361427"/>
      <w:r>
        <w:rPr>
          <w:highlight w:val="none"/>
        </w:rPr>
        <w:t>在高温天气下(气温达35℃以上)，</w:t>
      </w:r>
      <w:r>
        <w:rPr>
          <w:rFonts w:hint="eastAsia"/>
          <w:highlight w:val="none"/>
        </w:rPr>
        <w:t>需</w:t>
      </w:r>
      <w:r>
        <w:rPr>
          <w:highlight w:val="none"/>
        </w:rPr>
        <w:t>采取预防措施，防止作业人员的中暑</w:t>
      </w:r>
      <w:r>
        <w:rPr>
          <w:rFonts w:hint="eastAsia"/>
          <w:highlight w:val="none"/>
        </w:rPr>
        <w:t>。</w:t>
      </w:r>
      <w:r>
        <w:rPr>
          <w:highlight w:val="none"/>
        </w:rPr>
        <w:t>在关系</w:t>
      </w:r>
      <w:r>
        <w:rPr>
          <w:rFonts w:hint="eastAsia"/>
          <w:highlight w:val="none"/>
        </w:rPr>
        <w:t>到</w:t>
      </w:r>
      <w:r>
        <w:rPr>
          <w:highlight w:val="none"/>
        </w:rPr>
        <w:t>工程质量的工艺上，要采取有效的温度控制措施。</w:t>
      </w:r>
    </w:p>
    <w:p w14:paraId="6B376443">
      <w:pPr>
        <w:pStyle w:val="6"/>
        <w:numPr>
          <w:ilvl w:val="3"/>
          <w:numId w:val="0"/>
        </w:numPr>
        <w:ind w:left="864" w:leftChars="100" w:hanging="624"/>
        <w:rPr>
          <w:highlight w:val="none"/>
        </w:rPr>
      </w:pPr>
      <w:bookmarkStart w:id="654" w:name="_Toc75851504"/>
      <w:bookmarkStart w:id="655" w:name="_Toc246820758"/>
      <w:r>
        <w:rPr>
          <w:rFonts w:hint="eastAsia"/>
          <w:highlight w:val="none"/>
        </w:rPr>
        <w:t>7.2.3.1</w:t>
      </w:r>
      <w:r>
        <w:rPr>
          <w:highlight w:val="none"/>
        </w:rPr>
        <w:t>人员防暑的保护</w:t>
      </w:r>
      <w:bookmarkEnd w:id="654"/>
      <w:bookmarkEnd w:id="655"/>
    </w:p>
    <w:p w14:paraId="31A913C1">
      <w:pPr>
        <w:numPr>
          <w:ilvl w:val="0"/>
          <w:numId w:val="24"/>
        </w:numPr>
        <w:ind w:firstLine="480"/>
        <w:rPr>
          <w:highlight w:val="none"/>
        </w:rPr>
      </w:pPr>
      <w:r>
        <w:rPr>
          <w:rFonts w:hint="eastAsia"/>
          <w:highlight w:val="none"/>
        </w:rPr>
        <w:t>总承包人</w:t>
      </w:r>
      <w:r>
        <w:rPr>
          <w:highlight w:val="none"/>
        </w:rPr>
        <w:t>应在现场配备防暑急救器材和药品</w:t>
      </w:r>
      <w:r>
        <w:rPr>
          <w:rFonts w:hint="eastAsia"/>
          <w:highlight w:val="none"/>
        </w:rPr>
        <w:t>，</w:t>
      </w:r>
      <w:r>
        <w:rPr>
          <w:highlight w:val="none"/>
        </w:rPr>
        <w:t>加强对防暑降温知识的宣传，组织现场作业人员进行中暑急救知识培训。</w:t>
      </w:r>
    </w:p>
    <w:p w14:paraId="64C1B767">
      <w:pPr>
        <w:numPr>
          <w:ilvl w:val="0"/>
          <w:numId w:val="24"/>
        </w:numPr>
        <w:ind w:firstLine="480"/>
        <w:rPr>
          <w:highlight w:val="none"/>
        </w:rPr>
      </w:pPr>
      <w:r>
        <w:rPr>
          <w:highlight w:val="none"/>
        </w:rPr>
        <w:t>房间保持良好通风，增加屋面隔热厚度或安装遮阳棚、防晒网，使工人能够有个较好的休息环境。发放防暑用品到每个员工并指导使用，在施工现场提供足够茶水、清凉饮料</w:t>
      </w:r>
      <w:r>
        <w:rPr>
          <w:rFonts w:hint="eastAsia"/>
          <w:highlight w:val="none"/>
        </w:rPr>
        <w:t>等</w:t>
      </w:r>
      <w:r>
        <w:rPr>
          <w:highlight w:val="none"/>
        </w:rPr>
        <w:t>。</w:t>
      </w:r>
    </w:p>
    <w:p w14:paraId="1E4AA763">
      <w:pPr>
        <w:numPr>
          <w:ilvl w:val="0"/>
          <w:numId w:val="24"/>
        </w:numPr>
        <w:ind w:firstLine="480"/>
        <w:rPr>
          <w:highlight w:val="none"/>
        </w:rPr>
      </w:pPr>
      <w:r>
        <w:rPr>
          <w:highlight w:val="none"/>
        </w:rPr>
        <w:t>当天气预报气温达35℃以上时，通过</w:t>
      </w:r>
      <w:r>
        <w:rPr>
          <w:rFonts w:hint="eastAsia"/>
          <w:highlight w:val="none"/>
        </w:rPr>
        <w:t>“</w:t>
      </w:r>
      <w:r>
        <w:rPr>
          <w:highlight w:val="none"/>
        </w:rPr>
        <w:t>抓两头、歇中间</w:t>
      </w:r>
      <w:r>
        <w:rPr>
          <w:rFonts w:hint="eastAsia"/>
          <w:highlight w:val="none"/>
        </w:rPr>
        <w:t>”</w:t>
      </w:r>
      <w:r>
        <w:rPr>
          <w:highlight w:val="none"/>
        </w:rPr>
        <w:t>等措施，尽量避免高温时段进行露天室外作业，严格控制加班加点，减轻工人劳动强度，避免疲劳作业。</w:t>
      </w:r>
    </w:p>
    <w:p w14:paraId="4E52BEE7">
      <w:pPr>
        <w:numPr>
          <w:ilvl w:val="0"/>
          <w:numId w:val="24"/>
        </w:numPr>
        <w:ind w:firstLine="480"/>
        <w:rPr>
          <w:highlight w:val="none"/>
        </w:rPr>
      </w:pPr>
      <w:r>
        <w:rPr>
          <w:highlight w:val="none"/>
        </w:rPr>
        <w:t>做好施工现场环境及卫生防疫工作，加强对饮用水、食品的卫生管理，加强对夏季易发疾病的监控，避免食物中毒和传染病的发生。</w:t>
      </w:r>
    </w:p>
    <w:p w14:paraId="7A07A0C4">
      <w:pPr>
        <w:pStyle w:val="6"/>
        <w:numPr>
          <w:ilvl w:val="3"/>
          <w:numId w:val="0"/>
        </w:numPr>
        <w:ind w:left="864" w:leftChars="100" w:hanging="624"/>
        <w:rPr>
          <w:highlight w:val="none"/>
        </w:rPr>
      </w:pPr>
      <w:bookmarkStart w:id="656" w:name="_Toc75851505"/>
      <w:bookmarkStart w:id="657" w:name="_Toc246820759"/>
      <w:r>
        <w:rPr>
          <w:rFonts w:hint="eastAsia"/>
          <w:highlight w:val="none"/>
        </w:rPr>
        <w:t>7.2.3.2</w:t>
      </w:r>
      <w:r>
        <w:rPr>
          <w:highlight w:val="none"/>
        </w:rPr>
        <w:t>施工工艺的保护</w:t>
      </w:r>
      <w:bookmarkEnd w:id="656"/>
      <w:bookmarkEnd w:id="657"/>
    </w:p>
    <w:p w14:paraId="5854F399">
      <w:pPr>
        <w:numPr>
          <w:ilvl w:val="0"/>
          <w:numId w:val="25"/>
        </w:numPr>
        <w:ind w:firstLine="480"/>
        <w:rPr>
          <w:highlight w:val="none"/>
        </w:rPr>
      </w:pPr>
      <w:r>
        <w:rPr>
          <w:highlight w:val="none"/>
        </w:rPr>
        <w:t>露天焊接作业，一是要挡阳光曝晒，二是用挡风罩挡风，防止焊接过程风吹焊接熔池，造成焊缝氧化或产生气孔。</w:t>
      </w:r>
    </w:p>
    <w:p w14:paraId="79554583">
      <w:pPr>
        <w:numPr>
          <w:ilvl w:val="0"/>
          <w:numId w:val="25"/>
        </w:numPr>
        <w:ind w:firstLine="480"/>
        <w:rPr>
          <w:highlight w:val="none"/>
        </w:rPr>
      </w:pPr>
      <w:r>
        <w:rPr>
          <w:highlight w:val="none"/>
        </w:rPr>
        <w:t>垂直测量时间选择清晨时段，减小因太阳直射的不均匀造成的热胀冷缩，给测量带来的偏差。</w:t>
      </w:r>
    </w:p>
    <w:p w14:paraId="331FCFB2">
      <w:pPr>
        <w:numPr>
          <w:ilvl w:val="0"/>
          <w:numId w:val="25"/>
        </w:numPr>
        <w:ind w:firstLine="480"/>
        <w:rPr>
          <w:highlight w:val="none"/>
        </w:rPr>
      </w:pPr>
      <w:r>
        <w:rPr>
          <w:highlight w:val="none"/>
        </w:rPr>
        <w:t>油漆或涂料的施工中，根据材料的性能或使用要求，要避免在阳光下暴晒作业，采用阴干、风干的措施，防止涂层干燥过快引起的粘结不牢而脱落。</w:t>
      </w:r>
      <w:bookmarkEnd w:id="653"/>
      <w:bookmarkStart w:id="658" w:name="_Toc411253359"/>
      <w:bookmarkEnd w:id="658"/>
      <w:bookmarkStart w:id="659" w:name="_Toc489519956"/>
      <w:bookmarkEnd w:id="659"/>
      <w:bookmarkStart w:id="660" w:name="_Toc488312927"/>
      <w:bookmarkEnd w:id="660"/>
      <w:bookmarkStart w:id="661" w:name="_Toc489257266"/>
      <w:bookmarkEnd w:id="661"/>
      <w:bookmarkStart w:id="662" w:name="_Toc488312812"/>
      <w:bookmarkEnd w:id="662"/>
      <w:bookmarkStart w:id="663" w:name="_Toc415745625"/>
      <w:bookmarkEnd w:id="663"/>
      <w:bookmarkStart w:id="664" w:name="_Toc489888533"/>
      <w:bookmarkEnd w:id="664"/>
      <w:bookmarkStart w:id="665" w:name="_Toc488312928"/>
      <w:bookmarkEnd w:id="665"/>
      <w:bookmarkStart w:id="666" w:name="_Toc416255272"/>
      <w:bookmarkEnd w:id="666"/>
      <w:bookmarkStart w:id="667" w:name="_Toc417651250"/>
      <w:bookmarkEnd w:id="667"/>
      <w:bookmarkStart w:id="668" w:name="_Toc488312651"/>
      <w:bookmarkEnd w:id="668"/>
      <w:bookmarkStart w:id="669" w:name="_Toc489519862"/>
      <w:bookmarkEnd w:id="669"/>
      <w:bookmarkStart w:id="670" w:name="_Toc489257267"/>
      <w:bookmarkEnd w:id="670"/>
      <w:bookmarkStart w:id="671" w:name="_Toc489219096"/>
      <w:bookmarkEnd w:id="671"/>
      <w:bookmarkStart w:id="672" w:name="_Toc414525185"/>
      <w:bookmarkEnd w:id="672"/>
      <w:bookmarkStart w:id="673" w:name="_Toc489257377"/>
      <w:bookmarkEnd w:id="673"/>
      <w:bookmarkStart w:id="674" w:name="_Toc422854854"/>
      <w:bookmarkEnd w:id="674"/>
      <w:bookmarkStart w:id="675" w:name="_Toc417564838"/>
      <w:bookmarkEnd w:id="675"/>
      <w:bookmarkStart w:id="676" w:name="_Toc489277291"/>
      <w:bookmarkEnd w:id="676"/>
      <w:bookmarkStart w:id="677" w:name="_Toc489516868"/>
      <w:bookmarkEnd w:id="677"/>
      <w:bookmarkStart w:id="678" w:name="_Toc414624408"/>
      <w:bookmarkEnd w:id="678"/>
      <w:bookmarkStart w:id="679" w:name="_Toc489519861"/>
      <w:bookmarkEnd w:id="679"/>
      <w:bookmarkStart w:id="680" w:name="_Toc410745245"/>
      <w:bookmarkEnd w:id="680"/>
      <w:bookmarkStart w:id="681" w:name="_Toc410744633"/>
      <w:bookmarkEnd w:id="681"/>
      <w:bookmarkStart w:id="682" w:name="_Toc415675005"/>
      <w:bookmarkEnd w:id="682"/>
      <w:bookmarkStart w:id="683" w:name="_Toc416255273"/>
      <w:bookmarkEnd w:id="683"/>
      <w:bookmarkStart w:id="684" w:name="_Toc410745725"/>
      <w:bookmarkEnd w:id="684"/>
      <w:bookmarkStart w:id="685" w:name="_Toc410745041"/>
      <w:bookmarkEnd w:id="685"/>
      <w:bookmarkStart w:id="686" w:name="_Toc417651251"/>
      <w:bookmarkEnd w:id="686"/>
      <w:bookmarkStart w:id="687" w:name="_Toc489888370"/>
      <w:bookmarkEnd w:id="687"/>
      <w:bookmarkStart w:id="688" w:name="_Toc410745246"/>
      <w:bookmarkEnd w:id="688"/>
      <w:bookmarkStart w:id="689" w:name="_Toc489519768"/>
      <w:bookmarkEnd w:id="689"/>
      <w:bookmarkStart w:id="690" w:name="_Toc417488783"/>
      <w:bookmarkEnd w:id="690"/>
      <w:bookmarkStart w:id="691" w:name="_Toc414454385"/>
      <w:bookmarkEnd w:id="691"/>
      <w:bookmarkStart w:id="692" w:name="_Toc490036465"/>
      <w:bookmarkEnd w:id="692"/>
      <w:bookmarkStart w:id="693" w:name="_Toc415675053"/>
      <w:bookmarkEnd w:id="693"/>
      <w:bookmarkStart w:id="694" w:name="_Toc410744632"/>
      <w:bookmarkEnd w:id="694"/>
      <w:bookmarkStart w:id="695" w:name="_Toc490643541"/>
      <w:bookmarkEnd w:id="695"/>
      <w:bookmarkStart w:id="696" w:name="_Toc415745665"/>
      <w:bookmarkEnd w:id="696"/>
      <w:bookmarkStart w:id="697" w:name="_Toc415745624"/>
      <w:bookmarkEnd w:id="697"/>
      <w:bookmarkStart w:id="698" w:name="_Toc417488784"/>
      <w:bookmarkEnd w:id="698"/>
      <w:bookmarkStart w:id="699" w:name="_Toc489519955"/>
      <w:bookmarkEnd w:id="699"/>
      <w:bookmarkStart w:id="700" w:name="_Toc490643540"/>
      <w:bookmarkEnd w:id="700"/>
      <w:bookmarkStart w:id="701" w:name="_Toc488312650"/>
      <w:bookmarkEnd w:id="701"/>
      <w:bookmarkStart w:id="702" w:name="_Toc414624409"/>
      <w:bookmarkEnd w:id="702"/>
      <w:bookmarkStart w:id="703" w:name="_Toc417461517"/>
      <w:bookmarkEnd w:id="703"/>
      <w:bookmarkStart w:id="704" w:name="_Toc489219095"/>
      <w:bookmarkEnd w:id="704"/>
      <w:bookmarkStart w:id="705" w:name="_Toc490036466"/>
      <w:bookmarkEnd w:id="705"/>
      <w:bookmarkStart w:id="706" w:name="_Toc414454386"/>
      <w:bookmarkEnd w:id="706"/>
      <w:bookmarkStart w:id="707" w:name="_Toc417461516"/>
      <w:bookmarkEnd w:id="707"/>
      <w:bookmarkStart w:id="708" w:name="_Toc416949228"/>
      <w:bookmarkEnd w:id="708"/>
      <w:bookmarkStart w:id="709" w:name="_Toc489888534"/>
      <w:bookmarkEnd w:id="709"/>
      <w:bookmarkStart w:id="710" w:name="_Toc415675004"/>
      <w:bookmarkEnd w:id="710"/>
      <w:bookmarkStart w:id="711" w:name="_Toc410745634"/>
      <w:bookmarkEnd w:id="711"/>
      <w:bookmarkStart w:id="712" w:name="_Toc422842580"/>
      <w:bookmarkEnd w:id="712"/>
      <w:bookmarkStart w:id="713" w:name="_Toc489257378"/>
      <w:bookmarkEnd w:id="713"/>
      <w:bookmarkStart w:id="714" w:name="_Toc416949227"/>
      <w:bookmarkEnd w:id="714"/>
      <w:bookmarkStart w:id="715" w:name="_Toc415745664"/>
      <w:bookmarkEnd w:id="715"/>
      <w:bookmarkStart w:id="716" w:name="_Toc488312813"/>
      <w:bookmarkEnd w:id="716"/>
      <w:bookmarkStart w:id="717" w:name="_Toc416364276"/>
      <w:bookmarkEnd w:id="717"/>
      <w:bookmarkStart w:id="718" w:name="_Toc422842579"/>
      <w:bookmarkEnd w:id="718"/>
      <w:bookmarkStart w:id="719" w:name="_Toc489277292"/>
      <w:bookmarkEnd w:id="719"/>
      <w:bookmarkStart w:id="720" w:name="_Toc489520049"/>
      <w:bookmarkEnd w:id="720"/>
      <w:bookmarkStart w:id="721" w:name="_Toc489516869"/>
      <w:bookmarkEnd w:id="721"/>
      <w:bookmarkStart w:id="722" w:name="_Toc410745726"/>
      <w:bookmarkEnd w:id="722"/>
      <w:bookmarkStart w:id="723" w:name="_Toc489257155"/>
      <w:bookmarkEnd w:id="723"/>
      <w:bookmarkStart w:id="724" w:name="_Toc416364277"/>
      <w:bookmarkEnd w:id="724"/>
      <w:bookmarkStart w:id="725" w:name="_Toc489519767"/>
      <w:bookmarkEnd w:id="725"/>
      <w:bookmarkStart w:id="726" w:name="_Toc422854853"/>
      <w:bookmarkEnd w:id="726"/>
      <w:bookmarkStart w:id="727" w:name="_Toc414525184"/>
      <w:bookmarkEnd w:id="727"/>
      <w:bookmarkStart w:id="728" w:name="_Toc489520050"/>
      <w:bookmarkEnd w:id="728"/>
      <w:bookmarkStart w:id="729" w:name="_Toc415675054"/>
      <w:bookmarkEnd w:id="729"/>
      <w:bookmarkStart w:id="730" w:name="_Toc410745635"/>
      <w:bookmarkEnd w:id="730"/>
      <w:bookmarkStart w:id="731" w:name="_Toc489257154"/>
      <w:bookmarkEnd w:id="731"/>
      <w:bookmarkStart w:id="732" w:name="_Toc410745040"/>
      <w:bookmarkEnd w:id="732"/>
      <w:bookmarkStart w:id="733" w:name="_Toc411253358"/>
      <w:bookmarkEnd w:id="733"/>
      <w:bookmarkStart w:id="734" w:name="_Toc417564839"/>
      <w:bookmarkEnd w:id="734"/>
      <w:bookmarkStart w:id="735" w:name="_Toc489888371"/>
      <w:bookmarkEnd w:id="735"/>
    </w:p>
    <w:p w14:paraId="2D15390B">
      <w:pPr>
        <w:pStyle w:val="5"/>
        <w:numPr>
          <w:ilvl w:val="2"/>
          <w:numId w:val="0"/>
        </w:numPr>
        <w:ind w:left="624" w:hanging="624"/>
        <w:rPr>
          <w:highlight w:val="none"/>
        </w:rPr>
      </w:pPr>
      <w:bookmarkStart w:id="736" w:name="_Toc30369"/>
      <w:r>
        <w:rPr>
          <w:rFonts w:hint="eastAsia"/>
          <w:highlight w:val="none"/>
        </w:rPr>
        <w:t>7.2.4防台风施工措施</w:t>
      </w:r>
      <w:bookmarkEnd w:id="736"/>
    </w:p>
    <w:p w14:paraId="35D936EE">
      <w:pPr>
        <w:pStyle w:val="6"/>
        <w:numPr>
          <w:ilvl w:val="3"/>
          <w:numId w:val="0"/>
        </w:numPr>
        <w:ind w:left="864" w:leftChars="100" w:hanging="624"/>
        <w:rPr>
          <w:highlight w:val="none"/>
        </w:rPr>
      </w:pPr>
      <w:r>
        <w:rPr>
          <w:rFonts w:hint="eastAsia"/>
          <w:highlight w:val="none"/>
        </w:rPr>
        <w:t>7.2.4.1组织措施</w:t>
      </w:r>
    </w:p>
    <w:p w14:paraId="5D0D1970">
      <w:pPr>
        <w:ind w:firstLine="480"/>
        <w:rPr>
          <w:highlight w:val="none"/>
        </w:rPr>
      </w:pPr>
      <w:r>
        <w:rPr>
          <w:rFonts w:hint="eastAsia" w:cs="宋体"/>
          <w:highlight w:val="none"/>
          <w:lang w:bidi="ar"/>
        </w:rPr>
        <w:t>1）以项目负责人为现场防台风责任人，建立现场安全防台风领导小组。防台风小组职责为制定防台风预案及防台风检查制度，教育现场每个施工人员要认真执行各项防台风安全管理制度。在气象部门每次台风预警信息发布后，项目负责人立即组织防台风小组成员开会，进行防台风工作布置，并组织各项防台风措施落实。</w:t>
      </w:r>
    </w:p>
    <w:p w14:paraId="7602176F">
      <w:pPr>
        <w:ind w:firstLine="480"/>
        <w:rPr>
          <w:highlight w:val="none"/>
        </w:rPr>
      </w:pPr>
      <w:r>
        <w:rPr>
          <w:rFonts w:hint="eastAsia" w:cs="宋体"/>
          <w:highlight w:val="none"/>
          <w:lang w:bidi="ar"/>
        </w:rPr>
        <w:t>2）防台风管理制度</w:t>
      </w:r>
    </w:p>
    <w:p w14:paraId="58016885">
      <w:pPr>
        <w:ind w:firstLine="480"/>
        <w:rPr>
          <w:highlight w:val="none"/>
        </w:rPr>
      </w:pPr>
      <w:r>
        <w:rPr>
          <w:rFonts w:hint="eastAsia" w:cs="宋体"/>
          <w:highlight w:val="none"/>
          <w:lang w:bidi="ar"/>
        </w:rPr>
        <w:t>a.在通讯群组、宣传栏等发布台风预警信息及停工通知，要求室外作业全部停工。</w:t>
      </w:r>
    </w:p>
    <w:p w14:paraId="792686A6">
      <w:pPr>
        <w:ind w:firstLine="480"/>
        <w:rPr>
          <w:highlight w:val="none"/>
        </w:rPr>
      </w:pPr>
      <w:r>
        <w:rPr>
          <w:rFonts w:hint="eastAsia" w:cs="宋体"/>
          <w:highlight w:val="none"/>
          <w:lang w:bidi="ar"/>
        </w:rPr>
        <w:t>b.所有临建房屋要求对屋面进行加固，防止台风掀翻屋盖。</w:t>
      </w:r>
    </w:p>
    <w:p w14:paraId="36611069">
      <w:pPr>
        <w:ind w:firstLine="480"/>
        <w:rPr>
          <w:highlight w:val="none"/>
        </w:rPr>
      </w:pPr>
      <w:r>
        <w:rPr>
          <w:rFonts w:hint="eastAsia" w:cs="宋体"/>
          <w:highlight w:val="none"/>
          <w:lang w:bidi="ar"/>
        </w:rPr>
        <w:t>c.电气设备要求覆盖或安装防雨设施，室外配电箱安装防雨设备。</w:t>
      </w:r>
    </w:p>
    <w:p w14:paraId="12F02B16">
      <w:pPr>
        <w:ind w:firstLine="480"/>
        <w:rPr>
          <w:highlight w:val="none"/>
        </w:rPr>
      </w:pPr>
      <w:r>
        <w:rPr>
          <w:rFonts w:hint="eastAsia" w:cs="宋体"/>
          <w:highlight w:val="none"/>
          <w:lang w:bidi="ar"/>
        </w:rPr>
        <w:t>d.起重运输机械井架未附墙的，要求及时附墙。</w:t>
      </w:r>
    </w:p>
    <w:p w14:paraId="2E031FE2">
      <w:pPr>
        <w:ind w:firstLine="480"/>
        <w:rPr>
          <w:highlight w:val="none"/>
        </w:rPr>
      </w:pPr>
      <w:r>
        <w:rPr>
          <w:rFonts w:hint="eastAsia" w:cs="宋体"/>
          <w:highlight w:val="none"/>
          <w:lang w:bidi="ar"/>
        </w:rPr>
        <w:t>e.外脚手架在顶部高度不能超过两步架，并要求安装好连墙件。</w:t>
      </w:r>
    </w:p>
    <w:p w14:paraId="70828711">
      <w:pPr>
        <w:ind w:firstLine="480"/>
        <w:rPr>
          <w:highlight w:val="none"/>
        </w:rPr>
      </w:pPr>
      <w:r>
        <w:rPr>
          <w:rFonts w:hint="eastAsia" w:cs="宋体"/>
          <w:highlight w:val="none"/>
          <w:lang w:bidi="ar"/>
        </w:rPr>
        <w:t>f.台风预警信息收到后，不能进行大型混凝土浇注。如楼面混凝土浇筑。</w:t>
      </w:r>
    </w:p>
    <w:p w14:paraId="6096F340">
      <w:pPr>
        <w:pStyle w:val="6"/>
        <w:numPr>
          <w:ilvl w:val="3"/>
          <w:numId w:val="0"/>
        </w:numPr>
        <w:ind w:left="864" w:leftChars="100" w:hanging="624"/>
        <w:rPr>
          <w:highlight w:val="none"/>
        </w:rPr>
      </w:pPr>
      <w:r>
        <w:rPr>
          <w:rFonts w:hint="eastAsia"/>
          <w:highlight w:val="none"/>
        </w:rPr>
        <w:t>7.2.4.2防台风安全专项施工方案</w:t>
      </w:r>
    </w:p>
    <w:p w14:paraId="26AD5321">
      <w:pPr>
        <w:ind w:firstLine="0" w:firstLineChars="0"/>
        <w:rPr>
          <w:highlight w:val="none"/>
        </w:rPr>
      </w:pPr>
      <w:r>
        <w:rPr>
          <w:rFonts w:hint="eastAsia" w:cs="宋体"/>
          <w:highlight w:val="none"/>
          <w:lang w:bidi="ar"/>
        </w:rPr>
        <w:t>总承包人应编制详细的防台风安全专项施工方案，报监理人审批。该方案应根据具体施工图、工程进度计划及本地台风气候特点编制完成，提出切实可行的防台风措施。</w:t>
      </w:r>
    </w:p>
    <w:p w14:paraId="32C24C50">
      <w:pPr>
        <w:pStyle w:val="6"/>
        <w:numPr>
          <w:ilvl w:val="3"/>
          <w:numId w:val="0"/>
        </w:numPr>
        <w:ind w:left="864" w:leftChars="100" w:hanging="624"/>
        <w:rPr>
          <w:highlight w:val="none"/>
        </w:rPr>
      </w:pPr>
      <w:r>
        <w:rPr>
          <w:rFonts w:hint="eastAsia"/>
          <w:highlight w:val="none"/>
        </w:rPr>
        <w:t>7.2.4.3施工现场措施</w:t>
      </w:r>
    </w:p>
    <w:p w14:paraId="1FE9A19D">
      <w:pPr>
        <w:ind w:firstLine="480"/>
        <w:rPr>
          <w:highlight w:val="none"/>
        </w:rPr>
      </w:pPr>
      <w:r>
        <w:rPr>
          <w:rFonts w:hint="eastAsia" w:cs="宋体"/>
          <w:highlight w:val="none"/>
          <w:lang w:bidi="ar"/>
        </w:rPr>
        <w:t>1）加强高处作业安全管理。排查高处作业情况，重点检查建筑工地“三宝”使用情况和临边洞口的防护情况。对存在问题的，立即予以整改。遇暴雨、六级以上强风，一律禁止进行攀登、悬空露天作业，确保人员安全。</w:t>
      </w:r>
    </w:p>
    <w:p w14:paraId="72BFFD60">
      <w:pPr>
        <w:ind w:firstLine="480"/>
        <w:rPr>
          <w:highlight w:val="none"/>
        </w:rPr>
      </w:pPr>
      <w:r>
        <w:rPr>
          <w:rFonts w:hint="eastAsia" w:cs="宋体"/>
          <w:highlight w:val="none"/>
          <w:lang w:bidi="ar"/>
        </w:rPr>
        <w:t>2）加强工地应急处置准备管理。做好建筑工地应急处置的准备用工作，储备应急物资、检查应急设备，组织应急队伍，要确保排水设施、机电设备的安全正常运行，确保垂直运输设施的稳固和防风安全，确保临时用电设施防水防触电的安全措施落实到位。</w:t>
      </w:r>
    </w:p>
    <w:p w14:paraId="52CA9E56">
      <w:pPr>
        <w:ind w:firstLine="480"/>
        <w:rPr>
          <w:highlight w:val="none"/>
        </w:rPr>
      </w:pPr>
      <w:r>
        <w:rPr>
          <w:rFonts w:hint="eastAsia" w:cs="宋体"/>
          <w:highlight w:val="none"/>
          <w:lang w:bidi="ar"/>
        </w:rPr>
        <w:t>3）注意及时收听收看气象灾害预警信息。本市气象台、电视台、广播电台、气象专线等媒体发布的台风、暴雨等气象灾害预警信息，根据天气变化及时做好工地防台风工作。</w:t>
      </w:r>
    </w:p>
    <w:p w14:paraId="32A64B7A">
      <w:pPr>
        <w:ind w:firstLine="480"/>
        <w:rPr>
          <w:highlight w:val="none"/>
        </w:rPr>
      </w:pPr>
      <w:r>
        <w:rPr>
          <w:rFonts w:hint="eastAsia" w:cs="宋体"/>
          <w:highlight w:val="none"/>
          <w:lang w:bidi="ar"/>
        </w:rPr>
        <w:t>4）台风到来前严格按规定停止作业。台风橙色预警信号发布后，要停止施工和高空作业。作业人员要减少户外停留时间，特别注意不可在工地围墙下躲风避雨。</w:t>
      </w:r>
    </w:p>
    <w:p w14:paraId="7414DE7F">
      <w:pPr>
        <w:ind w:firstLine="480"/>
        <w:rPr>
          <w:highlight w:val="none"/>
        </w:rPr>
      </w:pPr>
      <w:r>
        <w:rPr>
          <w:rFonts w:hint="eastAsia" w:cs="宋体"/>
          <w:highlight w:val="none"/>
          <w:lang w:bidi="ar"/>
        </w:rPr>
        <w:t>5）特殊情况下在高空作业突然来大风或台风来临时，施工人员不能及时下来躲避，要充分利用好安全带，将安全带牢牢系挂在牢固的结构上，并确保安全带的紧固性，必要时双手紧抱钢性构件或躲在设备挡风侧系挂好安全带，就近寻找避风点，保持镇定。</w:t>
      </w:r>
    </w:p>
    <w:p w14:paraId="44220227">
      <w:pPr>
        <w:ind w:firstLine="480"/>
        <w:rPr>
          <w:rFonts w:cs="宋体"/>
          <w:highlight w:val="none"/>
        </w:rPr>
      </w:pPr>
      <w:r>
        <w:rPr>
          <w:rFonts w:hint="eastAsia" w:cs="宋体"/>
          <w:highlight w:val="none"/>
          <w:lang w:bidi="ar"/>
        </w:rPr>
        <w:t>6）加强工地排水，确保管网畅通。对周围的排水管道进行清理，确保排水畅通，减少台风期间工地积水，一旦出现堵水或内涝，要及时采取措施处理。</w:t>
      </w:r>
    </w:p>
    <w:p w14:paraId="2CB073FB">
      <w:pPr>
        <w:ind w:firstLine="480"/>
        <w:rPr>
          <w:rFonts w:cs="宋体"/>
          <w:highlight w:val="none"/>
        </w:rPr>
      </w:pPr>
      <w:r>
        <w:rPr>
          <w:rFonts w:hint="eastAsia" w:cs="宋体"/>
          <w:highlight w:val="none"/>
          <w:lang w:bidi="ar"/>
        </w:rPr>
        <w:t>7）土建施工争取赶在台风期到来前，完成大基础和主要构筑物的施工。必须进行混凝土浇筑时，应用两倍的草袋进行防护，并确保压牢。</w:t>
      </w:r>
    </w:p>
    <w:p w14:paraId="54137C6C">
      <w:pPr>
        <w:ind w:firstLine="480"/>
        <w:rPr>
          <w:rFonts w:cs="宋体"/>
          <w:highlight w:val="none"/>
        </w:rPr>
      </w:pPr>
      <w:r>
        <w:rPr>
          <w:rFonts w:hint="eastAsia" w:cs="宋体"/>
          <w:highlight w:val="none"/>
          <w:lang w:bidi="ar"/>
        </w:rPr>
        <w:t>8）现场的铁皮、木板、石棉瓦等易被大风吹起的东西应打扫干净，材料设备摆好放牢。</w:t>
      </w:r>
    </w:p>
    <w:p w14:paraId="0F059432">
      <w:pPr>
        <w:pStyle w:val="6"/>
        <w:numPr>
          <w:ilvl w:val="3"/>
          <w:numId w:val="0"/>
        </w:numPr>
        <w:ind w:left="864" w:leftChars="100" w:hanging="624"/>
        <w:rPr>
          <w:highlight w:val="none"/>
        </w:rPr>
      </w:pPr>
      <w:r>
        <w:rPr>
          <w:rFonts w:hint="eastAsia"/>
          <w:highlight w:val="none"/>
        </w:rPr>
        <w:t>7.2.4.4暴雨防御措施</w:t>
      </w:r>
    </w:p>
    <w:p w14:paraId="71BAA9C5">
      <w:pPr>
        <w:ind w:firstLine="480"/>
        <w:rPr>
          <w:rFonts w:cs="宋体"/>
          <w:highlight w:val="none"/>
        </w:rPr>
      </w:pPr>
      <w:r>
        <w:rPr>
          <w:rFonts w:hint="eastAsia" w:cs="宋体"/>
          <w:highlight w:val="none"/>
          <w:lang w:bidi="ar"/>
        </w:rPr>
        <w:t>1）检查排水设施或通道的可用性，检查应排水设备的可用性，检查门、窗、天台等易进雨的设施，收盖露天存放的物品，疏散低洼易浸地区物资，要注意广播、电视有关暴雨信息的最新广播。发现险情，在保证安全的情况下，组织抢险。雨后组织检查，排除险情和隐患。</w:t>
      </w:r>
    </w:p>
    <w:p w14:paraId="62612A70">
      <w:pPr>
        <w:ind w:firstLine="480"/>
        <w:rPr>
          <w:rFonts w:cs="宋体"/>
          <w:highlight w:val="none"/>
        </w:rPr>
      </w:pPr>
      <w:r>
        <w:rPr>
          <w:rFonts w:hint="eastAsia" w:cs="宋体"/>
          <w:highlight w:val="none"/>
          <w:lang w:bidi="ar"/>
        </w:rPr>
        <w:t>2）暂停在空矿地方的户外作业；外出应考虑天气和道路情况是否许可；检查户外电气设备、临时电气设备的抗风、抗雨措施；切断低洼地带有危险的室外电源；发现险情，在采取了安全措施的情况下，组织抢险。雨后组织检查，排除险情和隐患。</w:t>
      </w:r>
    </w:p>
    <w:p w14:paraId="03BD7659">
      <w:pPr>
        <w:ind w:firstLine="480"/>
        <w:rPr>
          <w:rFonts w:cs="宋体"/>
          <w:highlight w:val="none"/>
        </w:rPr>
      </w:pPr>
      <w:r>
        <w:rPr>
          <w:rFonts w:hint="eastAsia" w:cs="宋体"/>
          <w:highlight w:val="none"/>
          <w:lang w:bidi="ar"/>
        </w:rPr>
        <w:t>3）室内停留人员，如办公区可能出现严重水淹，则报警，组织救援，到安全地方暂避；停止户外作业；停止非事故抢险的交通运输活动；雨后组织检查，排除险情和隐患。</w:t>
      </w:r>
    </w:p>
    <w:p w14:paraId="785870CC">
      <w:pPr>
        <w:pStyle w:val="6"/>
        <w:numPr>
          <w:ilvl w:val="3"/>
          <w:numId w:val="0"/>
        </w:numPr>
        <w:ind w:left="864" w:leftChars="100" w:hanging="624"/>
        <w:rPr>
          <w:highlight w:val="none"/>
        </w:rPr>
      </w:pPr>
      <w:r>
        <w:rPr>
          <w:rFonts w:hint="eastAsia"/>
          <w:highlight w:val="none"/>
        </w:rPr>
        <w:t>7.2.4.5雷暴防御措施</w:t>
      </w:r>
    </w:p>
    <w:p w14:paraId="5EF7834D">
      <w:pPr>
        <w:ind w:firstLine="480"/>
        <w:rPr>
          <w:highlight w:val="none"/>
        </w:rPr>
      </w:pPr>
      <w:r>
        <w:rPr>
          <w:rFonts w:hint="eastAsia" w:cs="宋体"/>
          <w:highlight w:val="none"/>
          <w:lang w:bidi="ar"/>
        </w:rPr>
        <w:t>在雷暴来临之前完成所有防雷接地的检查。雷暴期间，停止一切户外活动，防雷暴措施方法如下：</w:t>
      </w:r>
    </w:p>
    <w:p w14:paraId="00F50D3A">
      <w:pPr>
        <w:ind w:firstLine="480"/>
        <w:rPr>
          <w:rFonts w:cs="宋体"/>
          <w:highlight w:val="none"/>
        </w:rPr>
      </w:pPr>
      <w:r>
        <w:rPr>
          <w:rFonts w:hint="eastAsia" w:cs="宋体"/>
          <w:highlight w:val="none"/>
          <w:lang w:bidi="ar"/>
        </w:rPr>
        <w:t>1）避雷针设置</w:t>
      </w:r>
    </w:p>
    <w:p w14:paraId="707FC6B5">
      <w:pPr>
        <w:ind w:firstLine="480"/>
        <w:rPr>
          <w:rFonts w:cs="宋体"/>
          <w:highlight w:val="none"/>
        </w:rPr>
      </w:pPr>
      <w:r>
        <w:rPr>
          <w:rFonts w:hint="eastAsia" w:cs="宋体"/>
          <w:highlight w:val="none"/>
          <w:lang w:bidi="ar"/>
        </w:rPr>
        <w:t>所有正在施工建造的建筑物，当高度在20m以上应装设避雷针。施工现场内的脚手架机械设备，若在相邻建筑物、构筑物的防雷设置的保护范围以外，则应安装避雷针。机械设备上的避雷针的防雷引下线可利用该设备的金属结构体，但应保证电气联接。机械设备所有的动力、控制、照明、信号及通信等线路，应采用钢管敷设。钢管与机械设备的金属结构体作焊接以保证其接地通道的电气连接。</w:t>
      </w:r>
    </w:p>
    <w:p w14:paraId="24685A32">
      <w:pPr>
        <w:ind w:left="480" w:leftChars="200" w:firstLine="0" w:firstLineChars="0"/>
        <w:rPr>
          <w:rFonts w:cs="宋体"/>
          <w:highlight w:val="none"/>
        </w:rPr>
      </w:pPr>
      <w:r>
        <w:rPr>
          <w:rFonts w:hint="eastAsia" w:cs="宋体"/>
          <w:highlight w:val="none"/>
          <w:lang w:bidi="ar"/>
        </w:rPr>
        <w:t>2）防止感应雷击的措施</w:t>
      </w:r>
    </w:p>
    <w:p w14:paraId="4573DF1C">
      <w:pPr>
        <w:ind w:firstLine="480"/>
        <w:rPr>
          <w:highlight w:val="none"/>
        </w:rPr>
      </w:pPr>
      <w:r>
        <w:rPr>
          <w:rFonts w:hint="eastAsia" w:cs="宋体"/>
          <w:highlight w:val="none"/>
          <w:lang w:bidi="ar"/>
        </w:rPr>
        <w:t>建筑物在施工过程中，其避雷针（网、带）及其接地装置，应采取自下而上的施工程序，即首先安装集中接地装置，后安装引下线，最后安装接闪器。建筑物内的金属设备、金属管道、结构钢筋均应做到有良好的接地。</w:t>
      </w:r>
    </w:p>
    <w:p w14:paraId="0390A407">
      <w:pPr>
        <w:pStyle w:val="5"/>
        <w:numPr>
          <w:ilvl w:val="2"/>
          <w:numId w:val="0"/>
        </w:numPr>
        <w:ind w:left="624" w:hanging="624"/>
        <w:rPr>
          <w:highlight w:val="none"/>
        </w:rPr>
      </w:pPr>
      <w:bookmarkStart w:id="737" w:name="_Toc31870"/>
      <w:r>
        <w:rPr>
          <w:rFonts w:hint="eastAsia"/>
          <w:highlight w:val="none"/>
        </w:rPr>
        <w:t>7.2.5夜间施工措施</w:t>
      </w:r>
      <w:bookmarkEnd w:id="737"/>
    </w:p>
    <w:p w14:paraId="56C61130">
      <w:pPr>
        <w:pStyle w:val="6"/>
        <w:numPr>
          <w:ilvl w:val="3"/>
          <w:numId w:val="0"/>
        </w:numPr>
        <w:ind w:left="864" w:leftChars="100" w:hanging="624"/>
        <w:rPr>
          <w:highlight w:val="none"/>
        </w:rPr>
      </w:pPr>
      <w:r>
        <w:rPr>
          <w:rFonts w:hint="eastAsia"/>
          <w:highlight w:val="none"/>
        </w:rPr>
        <w:t>7.2.5.1夜间施工应满足当地政府要求，办理相关许可证。</w:t>
      </w:r>
    </w:p>
    <w:p w14:paraId="3433B68F">
      <w:pPr>
        <w:pStyle w:val="6"/>
        <w:numPr>
          <w:ilvl w:val="3"/>
          <w:numId w:val="0"/>
        </w:numPr>
        <w:ind w:left="864" w:leftChars="100" w:hanging="624"/>
        <w:rPr>
          <w:highlight w:val="none"/>
        </w:rPr>
      </w:pPr>
      <w:r>
        <w:rPr>
          <w:rFonts w:hint="eastAsia"/>
          <w:highlight w:val="none"/>
        </w:rPr>
        <w:t>7.2.5.2</w:t>
      </w:r>
      <w:r>
        <w:rPr>
          <w:highlight w:val="none"/>
        </w:rPr>
        <w:t>根据现场情况，夜间施工尽量安排噪音小的工作，避免影响邻近居民休息。</w:t>
      </w:r>
    </w:p>
    <w:p w14:paraId="5DADEC29">
      <w:pPr>
        <w:pStyle w:val="6"/>
        <w:numPr>
          <w:ilvl w:val="3"/>
          <w:numId w:val="0"/>
        </w:numPr>
        <w:ind w:left="864" w:leftChars="100" w:hanging="624"/>
        <w:rPr>
          <w:highlight w:val="none"/>
        </w:rPr>
      </w:pPr>
      <w:r>
        <w:rPr>
          <w:rFonts w:hint="eastAsia"/>
          <w:highlight w:val="none"/>
        </w:rPr>
        <w:t>7.2.5.3</w:t>
      </w:r>
      <w:r>
        <w:rPr>
          <w:highlight w:val="none"/>
        </w:rPr>
        <w:t>夜间施工时，应保证有足够的照明设施，能满足夜间施工需要，并准备备用电源。</w:t>
      </w:r>
    </w:p>
    <w:p w14:paraId="07787B28">
      <w:pPr>
        <w:pStyle w:val="6"/>
        <w:numPr>
          <w:ilvl w:val="3"/>
          <w:numId w:val="0"/>
        </w:numPr>
        <w:ind w:left="864" w:leftChars="100" w:hanging="624"/>
        <w:rPr>
          <w:highlight w:val="none"/>
        </w:rPr>
      </w:pPr>
      <w:r>
        <w:rPr>
          <w:rFonts w:hint="eastAsia"/>
          <w:highlight w:val="none"/>
        </w:rPr>
        <w:t>7.2.5.4</w:t>
      </w:r>
      <w:r>
        <w:rPr>
          <w:highlight w:val="none"/>
        </w:rPr>
        <w:t>施工现场设置明显的交通标志、安全标牌、警戒灯等标志，标志牌具备夜间荧光功能</w:t>
      </w:r>
      <w:r>
        <w:rPr>
          <w:rFonts w:hint="eastAsia"/>
          <w:highlight w:val="none"/>
        </w:rPr>
        <w:t>，</w:t>
      </w:r>
      <w:r>
        <w:rPr>
          <w:highlight w:val="none"/>
        </w:rPr>
        <w:t>保证施工机械和施工人员的施工安全。施工人员需穿戴反光警示服。</w:t>
      </w:r>
    </w:p>
    <w:p w14:paraId="6502E954">
      <w:pPr>
        <w:pStyle w:val="6"/>
        <w:numPr>
          <w:ilvl w:val="3"/>
          <w:numId w:val="0"/>
        </w:numPr>
        <w:ind w:left="864" w:leftChars="100" w:hanging="624"/>
        <w:rPr>
          <w:highlight w:val="none"/>
        </w:rPr>
      </w:pPr>
      <w:r>
        <w:rPr>
          <w:rFonts w:hint="eastAsia"/>
          <w:highlight w:val="none"/>
        </w:rPr>
        <w:t>7.2.5.5</w:t>
      </w:r>
      <w:r>
        <w:rPr>
          <w:highlight w:val="none"/>
        </w:rPr>
        <w:t>夜间气候恶劣的情况下严禁施工作业。</w:t>
      </w:r>
    </w:p>
    <w:p w14:paraId="049F05FA">
      <w:pPr>
        <w:pStyle w:val="4"/>
        <w:numPr>
          <w:ilvl w:val="1"/>
          <w:numId w:val="0"/>
        </w:numPr>
        <w:ind w:left="624" w:hanging="624"/>
        <w:rPr>
          <w:highlight w:val="none"/>
        </w:rPr>
      </w:pPr>
      <w:bookmarkStart w:id="738" w:name="_Toc520245260"/>
      <w:bookmarkEnd w:id="738"/>
      <w:bookmarkStart w:id="739" w:name="_Toc520244632"/>
      <w:bookmarkEnd w:id="739"/>
      <w:bookmarkStart w:id="740" w:name="_Toc13682"/>
      <w:bookmarkStart w:id="741" w:name="_Toc1497"/>
      <w:bookmarkStart w:id="742" w:name="_Toc179563003"/>
      <w:bookmarkStart w:id="743" w:name="_Toc30731"/>
      <w:bookmarkStart w:id="744" w:name="_Toc5839"/>
      <w:bookmarkStart w:id="745" w:name="_Toc15477"/>
      <w:bookmarkStart w:id="746" w:name="_Toc24519"/>
      <w:bookmarkStart w:id="747" w:name="_Toc422854855"/>
      <w:bookmarkStart w:id="748" w:name="_Toc169722232"/>
      <w:r>
        <w:rPr>
          <w:rFonts w:hint="eastAsia"/>
          <w:highlight w:val="none"/>
        </w:rPr>
        <w:t>7.3地基基础工程施工技术要求</w:t>
      </w:r>
      <w:bookmarkEnd w:id="740"/>
      <w:bookmarkEnd w:id="741"/>
      <w:bookmarkEnd w:id="742"/>
      <w:bookmarkEnd w:id="743"/>
      <w:bookmarkEnd w:id="744"/>
      <w:bookmarkEnd w:id="745"/>
      <w:bookmarkEnd w:id="746"/>
    </w:p>
    <w:p w14:paraId="1E75B37C">
      <w:pPr>
        <w:ind w:firstLine="480"/>
        <w:rPr>
          <w:highlight w:val="none"/>
        </w:rPr>
      </w:pPr>
      <w:r>
        <w:rPr>
          <w:rFonts w:hint="eastAsia"/>
          <w:highlight w:val="none"/>
        </w:rPr>
        <w:t>地基处理、桩基础、砖胎膜施工、防水施工、以及大体积混凝土浇筑等按照现行规范组织施工，实行全过程旁站，隐蔽验收、材料进场均采取举牌等可视化验收。</w:t>
      </w:r>
    </w:p>
    <w:p w14:paraId="00C2C893">
      <w:pPr>
        <w:ind w:firstLine="480"/>
        <w:rPr>
          <w:highlight w:val="none"/>
        </w:rPr>
      </w:pPr>
      <w:r>
        <w:rPr>
          <w:rFonts w:hint="eastAsia"/>
          <w:highlight w:val="none"/>
        </w:rPr>
        <w:t>（1）设计单位通过试桩给定收桩的相关数据，并按该规定执行，涉及打（压）桩顺序、承台土方开挖顺序按监理人批准的施工方案实行；</w:t>
      </w:r>
    </w:p>
    <w:p w14:paraId="6B33D93E">
      <w:pPr>
        <w:ind w:firstLine="480"/>
        <w:rPr>
          <w:highlight w:val="none"/>
        </w:rPr>
      </w:pPr>
      <w:r>
        <w:rPr>
          <w:rFonts w:hint="eastAsia"/>
          <w:highlight w:val="none"/>
        </w:rPr>
        <w:t>（2）基础工程严格按照设计图纸、规范施工，所有原材进场应进行见证验收计量、送检，材料品牌按照合同要求以及看样定板通过材料执行。实体工程应进行现场抽样，抽样结果作为结算依据。</w:t>
      </w:r>
    </w:p>
    <w:p w14:paraId="7E2A569C">
      <w:pPr>
        <w:ind w:firstLine="480"/>
        <w:rPr>
          <w:highlight w:val="none"/>
        </w:rPr>
      </w:pPr>
      <w:r>
        <w:rPr>
          <w:rFonts w:hint="eastAsia"/>
          <w:highlight w:val="none"/>
        </w:rPr>
        <w:t>（3）砖胎膜砌筑，砖胎膜需编制专项施工方案报监理单位、设计单位以及发包人审批后实施，原则上承台深度≤800mm的采用60mm厚承台板，承台深度800mm~1500mm采用200mm厚砌块砖砌筑，1500mm以上采用240mm砌块砖并每隔2米设置400*400mm砖柱。承台砖胎膜砌筑完成后抹灰施工前应由承包人验收合格并报监理人现场每个承台举牌验收。</w:t>
      </w:r>
    </w:p>
    <w:p w14:paraId="130384EA">
      <w:pPr>
        <w:ind w:firstLine="480"/>
        <w:rPr>
          <w:highlight w:val="none"/>
        </w:rPr>
      </w:pPr>
      <w:r>
        <w:rPr>
          <w:rFonts w:hint="eastAsia"/>
          <w:highlight w:val="none"/>
        </w:rPr>
        <w:t>（5）承台及地梁混凝土浇筑前，必须清理完毕内部的积水、杂物，基础</w:t>
      </w:r>
      <w:r>
        <w:rPr>
          <w:rFonts w:hint="eastAsia"/>
          <w:highlight w:val="yellow"/>
        </w:rPr>
        <w:t>底板</w:t>
      </w:r>
      <w:r>
        <w:rPr>
          <w:rFonts w:hint="eastAsia"/>
          <w:highlight w:val="none"/>
        </w:rPr>
        <w:t>施工应编制专项施工方案，涉及</w:t>
      </w:r>
      <w:r>
        <w:rPr>
          <w:rFonts w:hint="eastAsia"/>
          <w:highlight w:val="yellow"/>
        </w:rPr>
        <w:t>底板</w:t>
      </w:r>
      <w:r>
        <w:rPr>
          <w:rFonts w:hint="eastAsia"/>
          <w:highlight w:val="none"/>
        </w:rPr>
        <w:t>防水、后浇带必须由施工单位出具详细深化图报设计单位确认以及监理审批后方可施工；桩头处理及锚固应按监理工程师审批通过的专项方案实施；大体积混凝土按规定配料、浇筑、监测、养护；土方回填按规范要求分层回填、逐层压实；</w:t>
      </w:r>
    </w:p>
    <w:p w14:paraId="11BDF541">
      <w:pPr>
        <w:ind w:firstLine="480"/>
        <w:rPr>
          <w:highlight w:val="none"/>
        </w:rPr>
      </w:pPr>
      <w:r>
        <w:rPr>
          <w:rFonts w:hint="eastAsia"/>
          <w:highlight w:val="none"/>
        </w:rPr>
        <w:t>（6）地基基础工程见证、验收资料应现场签署并即时存档，所有计量设备应由具备资质的第三方单位校定检测。</w:t>
      </w:r>
    </w:p>
    <w:p w14:paraId="69460005">
      <w:pPr>
        <w:pStyle w:val="4"/>
        <w:numPr>
          <w:ilvl w:val="1"/>
          <w:numId w:val="0"/>
        </w:numPr>
        <w:ind w:left="624" w:hanging="624"/>
        <w:rPr>
          <w:highlight w:val="none"/>
        </w:rPr>
      </w:pPr>
      <w:bookmarkStart w:id="749" w:name="_Toc26775"/>
      <w:bookmarkStart w:id="750" w:name="_Toc179563004"/>
      <w:bookmarkStart w:id="751" w:name="_Toc261"/>
      <w:bookmarkStart w:id="752" w:name="_Toc25049"/>
      <w:bookmarkStart w:id="753" w:name="_Toc756"/>
      <w:bookmarkStart w:id="754" w:name="_Toc7521"/>
      <w:bookmarkStart w:id="755" w:name="_Toc8432"/>
      <w:r>
        <w:rPr>
          <w:rFonts w:hint="eastAsia"/>
          <w:highlight w:val="none"/>
        </w:rPr>
        <w:t>7.4</w:t>
      </w:r>
      <w:r>
        <w:rPr>
          <w:highlight w:val="none"/>
        </w:rPr>
        <w:t>混凝土工程施工技术要求</w:t>
      </w:r>
      <w:bookmarkEnd w:id="747"/>
      <w:bookmarkEnd w:id="748"/>
      <w:bookmarkEnd w:id="749"/>
      <w:bookmarkEnd w:id="750"/>
      <w:bookmarkEnd w:id="751"/>
      <w:bookmarkEnd w:id="752"/>
      <w:bookmarkEnd w:id="753"/>
      <w:bookmarkEnd w:id="754"/>
      <w:bookmarkEnd w:id="755"/>
    </w:p>
    <w:p w14:paraId="136E69A7">
      <w:pPr>
        <w:pStyle w:val="5"/>
        <w:numPr>
          <w:ilvl w:val="2"/>
          <w:numId w:val="0"/>
        </w:numPr>
        <w:ind w:left="624" w:hanging="624"/>
        <w:rPr>
          <w:highlight w:val="none"/>
        </w:rPr>
      </w:pPr>
      <w:bookmarkStart w:id="756" w:name="_Toc29704"/>
      <w:r>
        <w:rPr>
          <w:rFonts w:hint="eastAsia"/>
          <w:highlight w:val="none"/>
        </w:rPr>
        <w:t>7.4.1钢筋工程</w:t>
      </w:r>
      <w:bookmarkEnd w:id="756"/>
    </w:p>
    <w:p w14:paraId="6D70365A">
      <w:pPr>
        <w:pStyle w:val="6"/>
        <w:numPr>
          <w:ilvl w:val="3"/>
          <w:numId w:val="0"/>
        </w:numPr>
        <w:ind w:left="864" w:leftChars="100" w:hanging="624"/>
        <w:rPr>
          <w:highlight w:val="none"/>
        </w:rPr>
      </w:pPr>
      <w:r>
        <w:rPr>
          <w:rFonts w:hint="eastAsia"/>
          <w:highlight w:val="none"/>
        </w:rPr>
        <w:t>7.4.1.1质量标准</w:t>
      </w:r>
    </w:p>
    <w:p w14:paraId="07A8E55B">
      <w:pPr>
        <w:numPr>
          <w:ilvl w:val="0"/>
          <w:numId w:val="26"/>
        </w:numPr>
        <w:ind w:firstLine="480"/>
        <w:rPr>
          <w:highlight w:val="none"/>
        </w:rPr>
      </w:pPr>
      <w:r>
        <w:rPr>
          <w:rFonts w:hint="eastAsia"/>
          <w:highlight w:val="none"/>
        </w:rPr>
        <w:t>应符合现行国家和行业有关钢筋工程的规范和标准。</w:t>
      </w:r>
    </w:p>
    <w:p w14:paraId="46B1ECB1">
      <w:pPr>
        <w:numPr>
          <w:ilvl w:val="0"/>
          <w:numId w:val="26"/>
        </w:numPr>
        <w:ind w:firstLine="480"/>
        <w:rPr>
          <w:highlight w:val="none"/>
        </w:rPr>
      </w:pPr>
      <w:r>
        <w:rPr>
          <w:rFonts w:hint="eastAsia"/>
          <w:highlight w:val="none"/>
        </w:rPr>
        <w:t>钢筋的规格、形状、尺寸、数量、间距、锚固长度、接头位置、保护层厚度须符合设计要求和施工规范的规定。</w:t>
      </w:r>
    </w:p>
    <w:p w14:paraId="43E96402">
      <w:pPr>
        <w:numPr>
          <w:ilvl w:val="0"/>
          <w:numId w:val="26"/>
        </w:numPr>
        <w:ind w:firstLine="480"/>
        <w:rPr>
          <w:highlight w:val="none"/>
        </w:rPr>
      </w:pPr>
      <w:r>
        <w:rPr>
          <w:rFonts w:hint="eastAsia"/>
          <w:highlight w:val="none"/>
        </w:rPr>
        <w:t>钢筋骨架绑扎，缺扣、松扣不超过应绑扎数据的10%，且不应集中。</w:t>
      </w:r>
    </w:p>
    <w:p w14:paraId="7B466A33">
      <w:pPr>
        <w:numPr>
          <w:ilvl w:val="0"/>
          <w:numId w:val="26"/>
        </w:numPr>
        <w:ind w:firstLine="480"/>
        <w:rPr>
          <w:highlight w:val="none"/>
        </w:rPr>
      </w:pPr>
      <w:r>
        <w:rPr>
          <w:rFonts w:hint="eastAsia"/>
          <w:highlight w:val="none"/>
        </w:rPr>
        <w:t>钢筋弯钩的朝向正确，绑扎接头符合施工规范的规定，搭接长度不小于规定值。</w:t>
      </w:r>
    </w:p>
    <w:p w14:paraId="6C05BC6F">
      <w:pPr>
        <w:numPr>
          <w:ilvl w:val="0"/>
          <w:numId w:val="26"/>
        </w:numPr>
        <w:ind w:firstLine="480"/>
        <w:rPr>
          <w:highlight w:val="none"/>
        </w:rPr>
      </w:pPr>
      <w:r>
        <w:rPr>
          <w:rFonts w:hint="eastAsia"/>
          <w:highlight w:val="none"/>
        </w:rPr>
        <w:t>所有焊接接头必须进行外观检验，其要求是：焊缝表面平顺，没有较明显的咬边、凹陷、焊瘤、夹渣及气孔，严禁有裂纹出现。</w:t>
      </w:r>
    </w:p>
    <w:p w14:paraId="0AFB331E">
      <w:pPr>
        <w:pStyle w:val="6"/>
        <w:numPr>
          <w:ilvl w:val="3"/>
          <w:numId w:val="0"/>
        </w:numPr>
        <w:ind w:left="864" w:leftChars="100" w:hanging="624"/>
        <w:rPr>
          <w:highlight w:val="none"/>
        </w:rPr>
      </w:pPr>
      <w:r>
        <w:rPr>
          <w:rFonts w:hint="eastAsia"/>
          <w:highlight w:val="none"/>
        </w:rPr>
        <w:t>7.4.1.2钢筋材料验收要求</w:t>
      </w:r>
    </w:p>
    <w:p w14:paraId="1DEBD6A2">
      <w:pPr>
        <w:ind w:firstLine="480"/>
        <w:rPr>
          <w:highlight w:val="none"/>
        </w:rPr>
      </w:pPr>
      <w:r>
        <w:rPr>
          <w:highlight w:val="none"/>
        </w:rPr>
        <w:t>送到施工现场的每一批热轧钢筋应符合如下条件：</w:t>
      </w:r>
    </w:p>
    <w:p w14:paraId="32FA7290">
      <w:pPr>
        <w:numPr>
          <w:ilvl w:val="0"/>
          <w:numId w:val="27"/>
        </w:numPr>
        <w:ind w:firstLine="480"/>
        <w:rPr>
          <w:highlight w:val="none"/>
        </w:rPr>
      </w:pPr>
      <w:r>
        <w:rPr>
          <w:rFonts w:hint="eastAsia"/>
          <w:highlight w:val="none"/>
        </w:rPr>
        <w:t>有加盖供应单位公章的质量证明书，质量证明书应真实且与钢筋铭牌上信息相对应。</w:t>
      </w:r>
    </w:p>
    <w:p w14:paraId="335ECEB9">
      <w:pPr>
        <w:numPr>
          <w:ilvl w:val="0"/>
          <w:numId w:val="27"/>
        </w:numPr>
        <w:ind w:firstLine="480"/>
        <w:rPr>
          <w:highlight w:val="none"/>
        </w:rPr>
      </w:pPr>
      <w:r>
        <w:rPr>
          <w:rFonts w:hint="eastAsia"/>
          <w:highlight w:val="none"/>
        </w:rPr>
        <w:t>钢筋有出厂合格证即铭牌, 对抗震设防要求的结构，重点关注是否有E标钢筋要求。</w:t>
      </w:r>
    </w:p>
    <w:p w14:paraId="2BC02B9C">
      <w:pPr>
        <w:numPr>
          <w:ilvl w:val="0"/>
          <w:numId w:val="27"/>
        </w:numPr>
        <w:ind w:firstLine="480"/>
        <w:rPr>
          <w:highlight w:val="none"/>
        </w:rPr>
      </w:pPr>
      <w:r>
        <w:rPr>
          <w:rFonts w:hint="eastAsia"/>
          <w:highlight w:val="none"/>
        </w:rPr>
        <w:t>钢筋外观无损伤，表面无裂纹、油污或锈斑。</w:t>
      </w:r>
    </w:p>
    <w:p w14:paraId="0EC08877">
      <w:pPr>
        <w:numPr>
          <w:ilvl w:val="0"/>
          <w:numId w:val="27"/>
        </w:numPr>
        <w:ind w:firstLine="480"/>
        <w:rPr>
          <w:highlight w:val="none"/>
        </w:rPr>
      </w:pPr>
      <w:r>
        <w:rPr>
          <w:rFonts w:hint="eastAsia"/>
          <w:highlight w:val="none"/>
        </w:rPr>
        <w:t>总承包人在监理人监督下见证取样送检，检验报告合格。</w:t>
      </w:r>
    </w:p>
    <w:p w14:paraId="79484B5C">
      <w:pPr>
        <w:numPr>
          <w:ilvl w:val="0"/>
          <w:numId w:val="27"/>
        </w:numPr>
        <w:ind w:firstLine="480"/>
        <w:rPr>
          <w:highlight w:val="none"/>
        </w:rPr>
      </w:pPr>
      <w:r>
        <w:rPr>
          <w:rFonts w:hint="eastAsia"/>
          <w:highlight w:val="none"/>
        </w:rPr>
        <w:t>所有进场钢筋待检测合格后方可投入使用。</w:t>
      </w:r>
    </w:p>
    <w:p w14:paraId="7130F61A">
      <w:pPr>
        <w:pStyle w:val="6"/>
        <w:numPr>
          <w:ilvl w:val="3"/>
          <w:numId w:val="0"/>
        </w:numPr>
        <w:ind w:left="864" w:leftChars="100" w:hanging="624"/>
        <w:rPr>
          <w:highlight w:val="none"/>
        </w:rPr>
      </w:pPr>
      <w:r>
        <w:rPr>
          <w:rFonts w:hint="eastAsia"/>
          <w:highlight w:val="none"/>
        </w:rPr>
        <w:t>7.4.1.3质量关键点控制</w:t>
      </w:r>
    </w:p>
    <w:p w14:paraId="63DA1960">
      <w:pPr>
        <w:numPr>
          <w:ilvl w:val="0"/>
          <w:numId w:val="28"/>
        </w:numPr>
        <w:ind w:firstLine="480"/>
        <w:rPr>
          <w:highlight w:val="none"/>
        </w:rPr>
      </w:pPr>
      <w:r>
        <w:rPr>
          <w:rFonts w:hint="eastAsia"/>
          <w:highlight w:val="none"/>
        </w:rPr>
        <w:t>钢筋加工：加工标准挂牌于现场，加工前有详细的技术交底及加工翻样图，分别明示于各自的操作台前。直螺纹套丝钢筋端头端面宜平整并与钢筋轴线垂直，不得有马蹄形或扭曲，钢筋端部不得有弯曲，套丝检查合格后套上塑料保护帽。钢筋应采用机械调直，严禁采用冷拉、冷拔的方法。</w:t>
      </w:r>
    </w:p>
    <w:p w14:paraId="157C5E8F">
      <w:pPr>
        <w:numPr>
          <w:ilvl w:val="0"/>
          <w:numId w:val="28"/>
        </w:numPr>
        <w:ind w:firstLine="480"/>
        <w:rPr>
          <w:highlight w:val="none"/>
        </w:rPr>
      </w:pPr>
      <w:r>
        <w:rPr>
          <w:rFonts w:hint="eastAsia"/>
          <w:highlight w:val="none"/>
        </w:rPr>
        <w:t>钢筋翻样：要考虑水电、设备等预留洞的位置，尽量不切断钢筋，电盒焊在附加的钢筋上，安装牢固，不得焊在主筋上。</w:t>
      </w:r>
    </w:p>
    <w:p w14:paraId="3726CAE7">
      <w:pPr>
        <w:numPr>
          <w:ilvl w:val="0"/>
          <w:numId w:val="28"/>
        </w:numPr>
        <w:ind w:firstLine="480"/>
        <w:rPr>
          <w:highlight w:val="none"/>
        </w:rPr>
      </w:pPr>
      <w:r>
        <w:rPr>
          <w:rFonts w:hint="eastAsia"/>
          <w:highlight w:val="none"/>
        </w:rPr>
        <w:t>楼板钢筋绑扎：在模板上根据楼板钢筋间距画线后绑扎，包括起步筋的位置。板筋应100%绑扎。</w:t>
      </w:r>
    </w:p>
    <w:p w14:paraId="11B7D0DF">
      <w:pPr>
        <w:numPr>
          <w:ilvl w:val="0"/>
          <w:numId w:val="28"/>
        </w:numPr>
        <w:ind w:firstLine="480"/>
        <w:rPr>
          <w:highlight w:val="none"/>
        </w:rPr>
      </w:pPr>
      <w:r>
        <w:rPr>
          <w:rFonts w:hint="eastAsia"/>
          <w:highlight w:val="none"/>
        </w:rPr>
        <w:t>加工后的直螺纹接头应用专用模具检查。直螺纹接头连接后应检查外露丝扣，合格后做好标识。</w:t>
      </w:r>
    </w:p>
    <w:p w14:paraId="26E9C78E">
      <w:pPr>
        <w:numPr>
          <w:ilvl w:val="0"/>
          <w:numId w:val="28"/>
        </w:numPr>
        <w:ind w:firstLine="480"/>
        <w:rPr>
          <w:highlight w:val="none"/>
        </w:rPr>
      </w:pPr>
      <w:r>
        <w:rPr>
          <w:rFonts w:hint="eastAsia"/>
          <w:highlight w:val="none"/>
        </w:rPr>
        <w:t>楼板混凝土浇筑前，应搭设操作马道，严格控制负弯矩筋被踩下，在模板上摆放钢筋马凳，上面铺设架板，架板离混凝土成品面层不得小于100mm，以方便操作。</w:t>
      </w:r>
    </w:p>
    <w:p w14:paraId="7BEC0C87">
      <w:pPr>
        <w:numPr>
          <w:ilvl w:val="0"/>
          <w:numId w:val="28"/>
        </w:numPr>
        <w:ind w:firstLine="480"/>
        <w:rPr>
          <w:highlight w:val="none"/>
        </w:rPr>
      </w:pPr>
      <w:r>
        <w:rPr>
          <w:rFonts w:hint="eastAsia"/>
          <w:highlight w:val="none"/>
        </w:rPr>
        <w:t>保护层垫块的材质及间距：钢筋保护层厚度应符合设计、规范要求，垫块采用成品水泥砂浆垫块或其他成品垫块，板底钢筋垫块数量设置应满足保护层要求；负弯矩钢筋应设置通长马凳，其间距不应超过600mm。</w:t>
      </w:r>
    </w:p>
    <w:p w14:paraId="4B5B260A">
      <w:pPr>
        <w:numPr>
          <w:ilvl w:val="0"/>
          <w:numId w:val="28"/>
        </w:numPr>
        <w:ind w:firstLine="480"/>
        <w:rPr>
          <w:highlight w:val="none"/>
        </w:rPr>
      </w:pPr>
      <w:r>
        <w:rPr>
          <w:rFonts w:hint="eastAsia"/>
          <w:highlight w:val="none"/>
        </w:rPr>
        <w:t>基础</w:t>
      </w:r>
      <w:r>
        <w:rPr>
          <w:rFonts w:hint="eastAsia"/>
          <w:highlight w:val="yellow"/>
        </w:rPr>
        <w:t>底板</w:t>
      </w:r>
      <w:r>
        <w:rPr>
          <w:rFonts w:hint="eastAsia"/>
          <w:highlight w:val="none"/>
        </w:rPr>
        <w:t>钢筋绑扎时，马凳需经过受力计算，安全可靠，确保能承受</w:t>
      </w:r>
      <w:r>
        <w:rPr>
          <w:rFonts w:hint="eastAsia"/>
          <w:highlight w:val="yellow"/>
        </w:rPr>
        <w:t>底板</w:t>
      </w:r>
      <w:r>
        <w:rPr>
          <w:rFonts w:hint="eastAsia"/>
          <w:highlight w:val="none"/>
        </w:rPr>
        <w:t>上层钢筋负重，工人进入两层钢筋之间进行作业前，需总承包人项目总工核实安全可靠后方可进入。</w:t>
      </w:r>
    </w:p>
    <w:p w14:paraId="22EC18C3">
      <w:pPr>
        <w:pStyle w:val="5"/>
        <w:numPr>
          <w:ilvl w:val="2"/>
          <w:numId w:val="0"/>
        </w:numPr>
        <w:ind w:left="624" w:hanging="624"/>
        <w:rPr>
          <w:highlight w:val="none"/>
        </w:rPr>
      </w:pPr>
      <w:bookmarkStart w:id="757" w:name="_Toc24537"/>
      <w:r>
        <w:rPr>
          <w:rFonts w:hint="eastAsia"/>
          <w:highlight w:val="none"/>
        </w:rPr>
        <w:t>7.4.2模板工程</w:t>
      </w:r>
      <w:bookmarkEnd w:id="757"/>
    </w:p>
    <w:p w14:paraId="7519197C">
      <w:pPr>
        <w:pStyle w:val="6"/>
        <w:numPr>
          <w:ilvl w:val="3"/>
          <w:numId w:val="0"/>
        </w:numPr>
        <w:ind w:left="864" w:leftChars="100" w:hanging="624"/>
        <w:rPr>
          <w:highlight w:val="none"/>
        </w:rPr>
      </w:pPr>
      <w:r>
        <w:rPr>
          <w:rFonts w:hint="eastAsia"/>
          <w:highlight w:val="none"/>
        </w:rPr>
        <w:t>7.4.2.1木模板</w:t>
      </w:r>
    </w:p>
    <w:p w14:paraId="3DFA18DE">
      <w:pPr>
        <w:numPr>
          <w:ilvl w:val="0"/>
          <w:numId w:val="29"/>
        </w:numPr>
        <w:ind w:firstLine="480"/>
        <w:rPr>
          <w:highlight w:val="none"/>
        </w:rPr>
      </w:pPr>
      <w:r>
        <w:rPr>
          <w:rFonts w:hint="eastAsia"/>
          <w:highlight w:val="none"/>
        </w:rPr>
        <w:t>质量标准</w:t>
      </w:r>
    </w:p>
    <w:p w14:paraId="6DF9ABCE">
      <w:pPr>
        <w:numPr>
          <w:ilvl w:val="0"/>
          <w:numId w:val="30"/>
        </w:numPr>
        <w:ind w:firstLine="480"/>
        <w:rPr>
          <w:highlight w:val="none"/>
        </w:rPr>
      </w:pPr>
      <w:r>
        <w:rPr>
          <w:rFonts w:hint="eastAsia"/>
          <w:highlight w:val="none"/>
        </w:rPr>
        <w:t>模板支设应保证主体结构成活后色泽一致，无漏浆漏振、蜂窝、麻面，接缝平整，棱角方正，线条顺直，各项实测指标合格。</w:t>
      </w:r>
    </w:p>
    <w:p w14:paraId="4283613D">
      <w:pPr>
        <w:numPr>
          <w:ilvl w:val="0"/>
          <w:numId w:val="30"/>
        </w:numPr>
        <w:ind w:firstLine="480"/>
        <w:rPr>
          <w:highlight w:val="none"/>
        </w:rPr>
      </w:pPr>
      <w:r>
        <w:rPr>
          <w:highlight w:val="none"/>
        </w:rPr>
        <w:t>模板工程一次合格率不得低于98%，整改后合格率100%。确保混凝土拆模后实测实量</w:t>
      </w:r>
      <w:r>
        <w:rPr>
          <w:rFonts w:hint="eastAsia"/>
          <w:highlight w:val="none"/>
        </w:rPr>
        <w:t>一次</w:t>
      </w:r>
      <w:r>
        <w:rPr>
          <w:highlight w:val="none"/>
        </w:rPr>
        <w:t>合格率不低于95%</w:t>
      </w:r>
      <w:r>
        <w:rPr>
          <w:rFonts w:hint="eastAsia"/>
          <w:highlight w:val="none"/>
        </w:rPr>
        <w:t>，轻度整改后合格率不低于</w:t>
      </w:r>
      <w:r>
        <w:rPr>
          <w:highlight w:val="none"/>
        </w:rPr>
        <w:t>97%</w:t>
      </w:r>
      <w:r>
        <w:rPr>
          <w:rFonts w:hint="eastAsia"/>
          <w:highlight w:val="none"/>
        </w:rPr>
        <w:t>。</w:t>
      </w:r>
    </w:p>
    <w:p w14:paraId="20456984">
      <w:pPr>
        <w:numPr>
          <w:ilvl w:val="0"/>
          <w:numId w:val="30"/>
        </w:numPr>
        <w:ind w:firstLine="480"/>
        <w:rPr>
          <w:highlight w:val="none"/>
        </w:rPr>
      </w:pPr>
      <w:r>
        <w:rPr>
          <w:rFonts w:hint="eastAsia"/>
          <w:highlight w:val="none"/>
        </w:rPr>
        <w:t>原材料</w:t>
      </w:r>
    </w:p>
    <w:p w14:paraId="2BE6B838">
      <w:pPr>
        <w:numPr>
          <w:ilvl w:val="0"/>
          <w:numId w:val="30"/>
        </w:numPr>
        <w:ind w:firstLine="480"/>
        <w:rPr>
          <w:highlight w:val="none"/>
        </w:rPr>
      </w:pPr>
      <w:r>
        <w:rPr>
          <w:rFonts w:hint="eastAsia"/>
          <w:highlight w:val="none"/>
        </w:rPr>
        <w:t>采用全新胶合覆膜板，要求不少于14mm厚，厚度偏差满足GB∕T 17656-2018 混凝土模板用胶合板规范要求，胶合强度单个试件≥</w:t>
      </w:r>
      <w:r>
        <w:rPr>
          <w:highlight w:val="none"/>
        </w:rPr>
        <w:t>0.7Mpa</w:t>
      </w:r>
      <w:r>
        <w:rPr>
          <w:rFonts w:hint="eastAsia"/>
          <w:highlight w:val="none"/>
        </w:rPr>
        <w:t>，静曲强度顺纹≥</w:t>
      </w:r>
      <w:r>
        <w:rPr>
          <w:highlight w:val="none"/>
        </w:rPr>
        <w:t>45Mpa</w:t>
      </w:r>
      <w:r>
        <w:rPr>
          <w:rFonts w:hint="eastAsia"/>
          <w:highlight w:val="none"/>
        </w:rPr>
        <w:t>，横纹≥</w:t>
      </w:r>
      <w:r>
        <w:rPr>
          <w:highlight w:val="none"/>
        </w:rPr>
        <w:t>30Mpa</w:t>
      </w:r>
      <w:r>
        <w:rPr>
          <w:rFonts w:hint="eastAsia"/>
          <w:highlight w:val="none"/>
        </w:rPr>
        <w:t>；弹性模量顺纹≥</w:t>
      </w:r>
      <w:r>
        <w:rPr>
          <w:highlight w:val="none"/>
        </w:rPr>
        <w:t>6000Mpa</w:t>
      </w:r>
      <w:r>
        <w:rPr>
          <w:rFonts w:hint="eastAsia"/>
          <w:highlight w:val="none"/>
        </w:rPr>
        <w:t>，横纹≥</w:t>
      </w:r>
      <w:r>
        <w:rPr>
          <w:highlight w:val="none"/>
        </w:rPr>
        <w:t>4500Mpa</w:t>
      </w:r>
      <w:r>
        <w:rPr>
          <w:rFonts w:hint="eastAsia"/>
          <w:highlight w:val="none"/>
        </w:rPr>
        <w:t>。</w:t>
      </w:r>
    </w:p>
    <w:p w14:paraId="39018548">
      <w:pPr>
        <w:numPr>
          <w:ilvl w:val="0"/>
          <w:numId w:val="30"/>
        </w:numPr>
        <w:ind w:firstLine="480"/>
        <w:rPr>
          <w:highlight w:val="none"/>
        </w:rPr>
      </w:pPr>
      <w:r>
        <w:rPr>
          <w:rFonts w:hint="eastAsia"/>
          <w:highlight w:val="none"/>
        </w:rPr>
        <w:t>梁模板周转次数不宜大于3次，其他部位模板周转次数不宜大于4次，若模板出现边缘破损应及时更换。</w:t>
      </w:r>
    </w:p>
    <w:p w14:paraId="5B9210E7">
      <w:pPr>
        <w:numPr>
          <w:ilvl w:val="0"/>
          <w:numId w:val="30"/>
        </w:numPr>
        <w:ind w:firstLine="480"/>
        <w:rPr>
          <w:highlight w:val="none"/>
        </w:rPr>
      </w:pPr>
      <w:r>
        <w:rPr>
          <w:rFonts w:hint="eastAsia"/>
          <w:highlight w:val="none"/>
        </w:rPr>
        <w:t>墙柱主、次楞应采用方钢、槽钢，断面一致。钢材表面应平直光滑，不应有裂缝、结疤、分层、错位、硬弯、毛刺、压痕和深划痕。钢管采用</w:t>
      </w:r>
      <w:r>
        <w:rPr>
          <w:highlight w:val="none"/>
        </w:rPr>
        <w:t>Φ48.3×3.6 mm</w:t>
      </w:r>
      <w:r>
        <w:rPr>
          <w:rFonts w:hint="eastAsia"/>
          <w:highlight w:val="none"/>
        </w:rPr>
        <w:t>，即外径</w:t>
      </w:r>
      <w:r>
        <w:rPr>
          <w:highlight w:val="none"/>
        </w:rPr>
        <w:t>48.3 mm</w:t>
      </w:r>
      <w:r>
        <w:rPr>
          <w:rFonts w:hint="eastAsia"/>
          <w:highlight w:val="none"/>
        </w:rPr>
        <w:t>，壁厚</w:t>
      </w:r>
      <w:r>
        <w:rPr>
          <w:highlight w:val="none"/>
        </w:rPr>
        <w:t>3.6 mm</w:t>
      </w:r>
      <w:r>
        <w:rPr>
          <w:rFonts w:hint="eastAsia"/>
          <w:highlight w:val="none"/>
        </w:rPr>
        <w:t>。钢管表面和材料要求与方钢相同。</w:t>
      </w:r>
      <w:r>
        <w:rPr>
          <w:highlight w:val="none"/>
        </w:rPr>
        <w:t xml:space="preserve">                                                </w:t>
      </w:r>
    </w:p>
    <w:p w14:paraId="18109BB2">
      <w:pPr>
        <w:numPr>
          <w:ilvl w:val="0"/>
          <w:numId w:val="30"/>
        </w:numPr>
        <w:ind w:firstLine="480"/>
        <w:rPr>
          <w:highlight w:val="none"/>
        </w:rPr>
      </w:pPr>
      <w:r>
        <w:rPr>
          <w:rFonts w:hint="eastAsia"/>
          <w:highlight w:val="none"/>
        </w:rPr>
        <w:t>止水螺杆采用三段式止水螺杆，地上穿墙螺杆直径≥</w:t>
      </w:r>
      <w:r>
        <w:rPr>
          <w:highlight w:val="none"/>
        </w:rPr>
        <w:t>12mm</w:t>
      </w:r>
      <w:r>
        <w:rPr>
          <w:rFonts w:hint="eastAsia"/>
          <w:highlight w:val="none"/>
        </w:rPr>
        <w:t>。</w:t>
      </w:r>
    </w:p>
    <w:p w14:paraId="3D7927C6">
      <w:pPr>
        <w:numPr>
          <w:ilvl w:val="0"/>
          <w:numId w:val="30"/>
        </w:numPr>
        <w:ind w:firstLine="480"/>
        <w:rPr>
          <w:highlight w:val="none"/>
        </w:rPr>
      </w:pPr>
      <w:r>
        <w:rPr>
          <w:rFonts w:hint="eastAsia"/>
          <w:highlight w:val="none"/>
        </w:rPr>
        <w:t>模板内水泥撑条长度应与混凝土构件截面尺寸相同，不允许采用过短的水泥撑条。</w:t>
      </w:r>
    </w:p>
    <w:p w14:paraId="7ADFB2D0">
      <w:pPr>
        <w:numPr>
          <w:ilvl w:val="0"/>
          <w:numId w:val="30"/>
        </w:numPr>
        <w:ind w:firstLine="480"/>
        <w:rPr>
          <w:highlight w:val="none"/>
        </w:rPr>
      </w:pPr>
      <w:r>
        <w:rPr>
          <w:rFonts w:hint="eastAsia"/>
          <w:highlight w:val="none"/>
        </w:rPr>
        <w:t>脱模剂采用非油性脱模剂。</w:t>
      </w:r>
    </w:p>
    <w:p w14:paraId="49244343">
      <w:pPr>
        <w:numPr>
          <w:ilvl w:val="0"/>
          <w:numId w:val="29"/>
        </w:numPr>
        <w:tabs>
          <w:tab w:val="left" w:pos="567"/>
          <w:tab w:val="left" w:pos="851"/>
        </w:tabs>
        <w:spacing w:before="120" w:beforeLines="50" w:after="120" w:afterLines="50"/>
        <w:ind w:firstLine="480"/>
        <w:rPr>
          <w:highlight w:val="none"/>
        </w:rPr>
      </w:pPr>
      <w:r>
        <w:rPr>
          <w:rFonts w:hint="eastAsia"/>
          <w:highlight w:val="none"/>
        </w:rPr>
        <w:t>测量放线</w:t>
      </w:r>
    </w:p>
    <w:p w14:paraId="21147F5D">
      <w:pPr>
        <w:numPr>
          <w:ilvl w:val="0"/>
          <w:numId w:val="31"/>
        </w:numPr>
        <w:ind w:firstLine="480"/>
        <w:rPr>
          <w:highlight w:val="none"/>
        </w:rPr>
      </w:pPr>
      <w:r>
        <w:rPr>
          <w:rFonts w:hint="eastAsia"/>
          <w:highlight w:val="none"/>
        </w:rPr>
        <w:t>柱子和剪力墙四周及洞口应有两道尺寸：一道为混凝土构件截面轮廓线，另一道为</w:t>
      </w:r>
      <w:r>
        <w:rPr>
          <w:highlight w:val="none"/>
        </w:rPr>
        <w:t>200 mm</w:t>
      </w:r>
      <w:r>
        <w:rPr>
          <w:rFonts w:hint="eastAsia"/>
          <w:highlight w:val="none"/>
        </w:rPr>
        <w:t>或</w:t>
      </w:r>
      <w:r>
        <w:rPr>
          <w:highlight w:val="none"/>
        </w:rPr>
        <w:t>300 mm</w:t>
      </w:r>
      <w:r>
        <w:rPr>
          <w:rFonts w:hint="eastAsia"/>
          <w:highlight w:val="none"/>
        </w:rPr>
        <w:t>控制线。</w:t>
      </w:r>
    </w:p>
    <w:p w14:paraId="3CE41FF3">
      <w:pPr>
        <w:numPr>
          <w:ilvl w:val="0"/>
          <w:numId w:val="31"/>
        </w:numPr>
        <w:ind w:firstLine="480"/>
        <w:rPr>
          <w:highlight w:val="none"/>
        </w:rPr>
      </w:pPr>
      <w:r>
        <w:rPr>
          <w:rFonts w:hint="eastAsia"/>
          <w:highlight w:val="none"/>
        </w:rPr>
        <w:t>轴线偏差±</w:t>
      </w:r>
      <w:r>
        <w:rPr>
          <w:highlight w:val="none"/>
        </w:rPr>
        <w:t>5mm</w:t>
      </w:r>
      <w:r>
        <w:rPr>
          <w:rFonts w:hint="eastAsia"/>
          <w:highlight w:val="none"/>
        </w:rPr>
        <w:t>，楼层总宽及总长偏差±</w:t>
      </w:r>
      <w:r>
        <w:rPr>
          <w:highlight w:val="none"/>
        </w:rPr>
        <w:t>10mm</w:t>
      </w:r>
      <w:r>
        <w:rPr>
          <w:rFonts w:hint="eastAsia"/>
          <w:highlight w:val="none"/>
        </w:rPr>
        <w:t>。</w:t>
      </w:r>
    </w:p>
    <w:p w14:paraId="55CC09D5">
      <w:pPr>
        <w:numPr>
          <w:ilvl w:val="0"/>
          <w:numId w:val="31"/>
        </w:numPr>
        <w:ind w:firstLine="480"/>
        <w:rPr>
          <w:highlight w:val="none"/>
        </w:rPr>
      </w:pPr>
      <w:r>
        <w:rPr>
          <w:rFonts w:hint="eastAsia"/>
          <w:highlight w:val="none"/>
        </w:rPr>
        <w:t>在模板安装前应设置定位筋，定位筋设置于模板内侧，其截面圆应与混凝土构件截面轮廓线相切，外侧底部钉模板条锁底。</w:t>
      </w:r>
    </w:p>
    <w:p w14:paraId="4E6711A4">
      <w:pPr>
        <w:numPr>
          <w:ilvl w:val="0"/>
          <w:numId w:val="29"/>
        </w:numPr>
        <w:tabs>
          <w:tab w:val="left" w:pos="567"/>
          <w:tab w:val="left" w:pos="851"/>
        </w:tabs>
        <w:spacing w:before="120" w:beforeLines="50" w:after="120" w:afterLines="50"/>
        <w:ind w:firstLine="480"/>
        <w:rPr>
          <w:highlight w:val="none"/>
        </w:rPr>
      </w:pPr>
      <w:r>
        <w:rPr>
          <w:rFonts w:hint="eastAsia"/>
          <w:highlight w:val="none"/>
        </w:rPr>
        <w:t>墙模加固</w:t>
      </w:r>
    </w:p>
    <w:p w14:paraId="588C6DA9">
      <w:pPr>
        <w:numPr>
          <w:ilvl w:val="0"/>
          <w:numId w:val="32"/>
        </w:numPr>
        <w:ind w:firstLine="480"/>
        <w:rPr>
          <w:highlight w:val="none"/>
        </w:rPr>
      </w:pPr>
      <w:r>
        <w:rPr>
          <w:rFonts w:hint="eastAsia"/>
          <w:highlight w:val="none"/>
        </w:rPr>
        <w:t>对拉螺栓竖向间距≤</w:t>
      </w:r>
      <w:r>
        <w:rPr>
          <w:highlight w:val="none"/>
        </w:rPr>
        <w:t>500mm</w:t>
      </w:r>
      <w:r>
        <w:rPr>
          <w:rFonts w:hint="eastAsia"/>
          <w:highlight w:val="none"/>
        </w:rPr>
        <w:t>，水平间距≤</w:t>
      </w:r>
      <w:r>
        <w:rPr>
          <w:highlight w:val="none"/>
        </w:rPr>
        <w:t>450mm</w:t>
      </w:r>
      <w:r>
        <w:rPr>
          <w:rFonts w:hint="eastAsia"/>
          <w:highlight w:val="none"/>
        </w:rPr>
        <w:t>，最低道距地≤</w:t>
      </w:r>
      <w:r>
        <w:rPr>
          <w:highlight w:val="none"/>
        </w:rPr>
        <w:t>200mm</w:t>
      </w:r>
      <w:r>
        <w:rPr>
          <w:rFonts w:hint="eastAsia"/>
          <w:highlight w:val="none"/>
        </w:rPr>
        <w:t>，最上道距</w:t>
      </w:r>
      <w:r>
        <w:rPr>
          <w:rFonts w:hint="eastAsia"/>
          <w:highlight w:val="yellow"/>
        </w:rPr>
        <w:t>顶板</w:t>
      </w:r>
      <w:r>
        <w:rPr>
          <w:rFonts w:hint="eastAsia"/>
          <w:highlight w:val="none"/>
        </w:rPr>
        <w:t>≤</w:t>
      </w:r>
      <w:r>
        <w:rPr>
          <w:highlight w:val="none"/>
        </w:rPr>
        <w:t>300mm</w:t>
      </w:r>
      <w:r>
        <w:rPr>
          <w:rFonts w:hint="eastAsia"/>
          <w:highlight w:val="none"/>
        </w:rPr>
        <w:t>，转角部位对拉螺栓阴角≤</w:t>
      </w:r>
      <w:r>
        <w:rPr>
          <w:highlight w:val="none"/>
        </w:rPr>
        <w:t>200mm</w:t>
      </w:r>
      <w:r>
        <w:rPr>
          <w:rFonts w:hint="eastAsia"/>
          <w:highlight w:val="none"/>
        </w:rPr>
        <w:t>。</w:t>
      </w:r>
    </w:p>
    <w:p w14:paraId="47B5EDD4">
      <w:pPr>
        <w:numPr>
          <w:ilvl w:val="0"/>
          <w:numId w:val="32"/>
        </w:numPr>
        <w:ind w:firstLine="480"/>
        <w:rPr>
          <w:highlight w:val="none"/>
        </w:rPr>
      </w:pPr>
      <w:r>
        <w:rPr>
          <w:rFonts w:hint="eastAsia"/>
          <w:highlight w:val="none"/>
        </w:rPr>
        <w:t>对拉螺栓竖向间距≤</w:t>
      </w:r>
      <w:r>
        <w:rPr>
          <w:highlight w:val="none"/>
        </w:rPr>
        <w:t>500 mm</w:t>
      </w:r>
      <w:r>
        <w:rPr>
          <w:rFonts w:hint="eastAsia"/>
          <w:highlight w:val="none"/>
        </w:rPr>
        <w:t>，水平间距≤</w:t>
      </w:r>
      <w:r>
        <w:rPr>
          <w:highlight w:val="none"/>
        </w:rPr>
        <w:t>350 mm</w:t>
      </w:r>
      <w:r>
        <w:rPr>
          <w:rFonts w:hint="eastAsia"/>
          <w:highlight w:val="none"/>
        </w:rPr>
        <w:t>，最低道距地≤</w:t>
      </w:r>
      <w:r>
        <w:rPr>
          <w:highlight w:val="none"/>
        </w:rPr>
        <w:t>200 mm</w:t>
      </w:r>
      <w:r>
        <w:rPr>
          <w:rFonts w:hint="eastAsia"/>
          <w:highlight w:val="none"/>
        </w:rPr>
        <w:t>，最上道距</w:t>
      </w:r>
      <w:r>
        <w:rPr>
          <w:rFonts w:hint="eastAsia"/>
          <w:highlight w:val="yellow"/>
        </w:rPr>
        <w:t>顶板</w:t>
      </w:r>
      <w:r>
        <w:rPr>
          <w:rFonts w:hint="eastAsia"/>
          <w:highlight w:val="none"/>
        </w:rPr>
        <w:t>≤</w:t>
      </w:r>
      <w:r>
        <w:rPr>
          <w:highlight w:val="none"/>
        </w:rPr>
        <w:t>300 mm</w:t>
      </w:r>
      <w:r>
        <w:rPr>
          <w:rFonts w:hint="eastAsia"/>
          <w:highlight w:val="none"/>
        </w:rPr>
        <w:t>，转角部位对拉螺栓阴角≤</w:t>
      </w:r>
      <w:r>
        <w:rPr>
          <w:highlight w:val="none"/>
        </w:rPr>
        <w:t>200 mm</w:t>
      </w:r>
      <w:r>
        <w:rPr>
          <w:rFonts w:hint="eastAsia"/>
          <w:highlight w:val="none"/>
        </w:rPr>
        <w:t>。</w:t>
      </w:r>
    </w:p>
    <w:p w14:paraId="02D10ACA">
      <w:pPr>
        <w:numPr>
          <w:ilvl w:val="0"/>
          <w:numId w:val="32"/>
        </w:numPr>
        <w:ind w:firstLine="480"/>
        <w:rPr>
          <w:highlight w:val="none"/>
        </w:rPr>
      </w:pPr>
      <w:r>
        <w:rPr>
          <w:rFonts w:hint="eastAsia"/>
          <w:highlight w:val="none"/>
        </w:rPr>
        <w:t>竖向龙骨净尺间距≤</w:t>
      </w:r>
      <w:r>
        <w:rPr>
          <w:highlight w:val="none"/>
        </w:rPr>
        <w:t>250mm</w:t>
      </w:r>
      <w:r>
        <w:rPr>
          <w:rFonts w:hint="eastAsia"/>
          <w:highlight w:val="none"/>
        </w:rPr>
        <w:t>，横向龙骨净尺间距≤</w:t>
      </w:r>
      <w:r>
        <w:rPr>
          <w:highlight w:val="none"/>
        </w:rPr>
        <w:t>500 mm</w:t>
      </w:r>
      <w:r>
        <w:rPr>
          <w:rFonts w:hint="eastAsia"/>
          <w:highlight w:val="none"/>
        </w:rPr>
        <w:t>。</w:t>
      </w:r>
    </w:p>
    <w:p w14:paraId="67E0842B">
      <w:pPr>
        <w:numPr>
          <w:ilvl w:val="0"/>
          <w:numId w:val="32"/>
        </w:numPr>
        <w:ind w:firstLine="480"/>
        <w:rPr>
          <w:highlight w:val="none"/>
        </w:rPr>
      </w:pPr>
      <w:r>
        <w:rPr>
          <w:rFonts w:hint="eastAsia"/>
          <w:highlight w:val="none"/>
        </w:rPr>
        <w:t>墙根部采用水泥砂浆护角，防止漏浆；或者采用模板条锁底边，起到固定模板和防止漏浆两重作用。</w:t>
      </w:r>
    </w:p>
    <w:p w14:paraId="0CE83337">
      <w:pPr>
        <w:numPr>
          <w:ilvl w:val="0"/>
          <w:numId w:val="32"/>
        </w:numPr>
        <w:ind w:firstLine="480"/>
        <w:rPr>
          <w:highlight w:val="none"/>
        </w:rPr>
      </w:pPr>
      <w:r>
        <w:rPr>
          <w:rFonts w:hint="eastAsia"/>
          <w:highlight w:val="none"/>
        </w:rPr>
        <w:t>每道剪力墙斜支撑不少于两道，在外墙位置除了斜支架外还应设置拉索，每面外墙拉索不少于两道。</w:t>
      </w:r>
    </w:p>
    <w:p w14:paraId="18C77C43">
      <w:pPr>
        <w:numPr>
          <w:ilvl w:val="0"/>
          <w:numId w:val="32"/>
        </w:numPr>
        <w:ind w:firstLine="480"/>
        <w:rPr>
          <w:highlight w:val="none"/>
        </w:rPr>
      </w:pPr>
      <w:r>
        <w:rPr>
          <w:rFonts w:hint="eastAsia"/>
          <w:highlight w:val="none"/>
        </w:rPr>
        <w:t>外墙和下沉式卫生间处模板下挂至少</w:t>
      </w:r>
      <w:r>
        <w:rPr>
          <w:highlight w:val="none"/>
        </w:rPr>
        <w:t>150 mm</w:t>
      </w:r>
      <w:r>
        <w:rPr>
          <w:rFonts w:hint="eastAsia"/>
          <w:highlight w:val="none"/>
        </w:rPr>
        <w:t>。</w:t>
      </w:r>
    </w:p>
    <w:p w14:paraId="49D6D59C">
      <w:pPr>
        <w:numPr>
          <w:ilvl w:val="0"/>
          <w:numId w:val="32"/>
        </w:numPr>
        <w:ind w:firstLine="480"/>
        <w:rPr>
          <w:highlight w:val="none"/>
        </w:rPr>
      </w:pPr>
      <w:r>
        <w:rPr>
          <w:rFonts w:hint="eastAsia"/>
          <w:highlight w:val="none"/>
        </w:rPr>
        <w:t>墙模跨洞口处模板平整度控制应采取相应措施。</w:t>
      </w:r>
    </w:p>
    <w:p w14:paraId="34C7174B">
      <w:pPr>
        <w:numPr>
          <w:ilvl w:val="0"/>
          <w:numId w:val="32"/>
        </w:numPr>
        <w:ind w:firstLine="480"/>
        <w:rPr>
          <w:highlight w:val="none"/>
        </w:rPr>
      </w:pPr>
      <w:r>
        <w:rPr>
          <w:rFonts w:hint="eastAsia"/>
          <w:highlight w:val="none"/>
        </w:rPr>
        <w:t>对拉螺栓与墙模板应垂直，松紧应一致，螺杆上螺帽必须拧紧，不得出现松脱。</w:t>
      </w:r>
    </w:p>
    <w:p w14:paraId="67A9F020">
      <w:pPr>
        <w:numPr>
          <w:ilvl w:val="0"/>
          <w:numId w:val="29"/>
        </w:numPr>
        <w:ind w:firstLine="480"/>
        <w:rPr>
          <w:highlight w:val="none"/>
        </w:rPr>
      </w:pPr>
      <w:r>
        <w:rPr>
          <w:rFonts w:hint="eastAsia"/>
          <w:highlight w:val="none"/>
        </w:rPr>
        <w:t>柱模加固</w:t>
      </w:r>
    </w:p>
    <w:p w14:paraId="2AAA0D82">
      <w:pPr>
        <w:numPr>
          <w:ilvl w:val="0"/>
          <w:numId w:val="33"/>
        </w:numPr>
        <w:ind w:firstLine="480"/>
        <w:rPr>
          <w:highlight w:val="none"/>
        </w:rPr>
      </w:pPr>
      <w:r>
        <w:rPr>
          <w:rFonts w:hint="eastAsia"/>
          <w:highlight w:val="none"/>
        </w:rPr>
        <w:t>穿墙螺杆直径≥</w:t>
      </w:r>
      <w:r>
        <w:rPr>
          <w:highlight w:val="none"/>
        </w:rPr>
        <w:t>14mm</w:t>
      </w:r>
      <w:r>
        <w:rPr>
          <w:rFonts w:hint="eastAsia"/>
          <w:highlight w:val="none"/>
        </w:rPr>
        <w:t>。</w:t>
      </w:r>
    </w:p>
    <w:p w14:paraId="0094A803">
      <w:pPr>
        <w:numPr>
          <w:ilvl w:val="0"/>
          <w:numId w:val="33"/>
        </w:numPr>
        <w:ind w:firstLine="480"/>
        <w:rPr>
          <w:highlight w:val="none"/>
        </w:rPr>
      </w:pPr>
      <w:r>
        <w:rPr>
          <w:rFonts w:hint="eastAsia"/>
          <w:highlight w:val="none"/>
        </w:rPr>
        <w:t>柱箍间距≤</w:t>
      </w:r>
      <w:r>
        <w:rPr>
          <w:highlight w:val="none"/>
        </w:rPr>
        <w:t>500 mm</w:t>
      </w:r>
      <w:r>
        <w:rPr>
          <w:rFonts w:hint="eastAsia"/>
          <w:highlight w:val="none"/>
        </w:rPr>
        <w:t>，第一道柱箍距离根部</w:t>
      </w:r>
      <w:r>
        <w:rPr>
          <w:highlight w:val="none"/>
        </w:rPr>
        <w:t>150 mm</w:t>
      </w:r>
      <w:r>
        <w:rPr>
          <w:rFonts w:hint="eastAsia"/>
          <w:highlight w:val="none"/>
        </w:rPr>
        <w:t>。</w:t>
      </w:r>
    </w:p>
    <w:p w14:paraId="4BF5DD12">
      <w:pPr>
        <w:numPr>
          <w:ilvl w:val="0"/>
          <w:numId w:val="33"/>
        </w:numPr>
        <w:ind w:firstLine="480"/>
        <w:rPr>
          <w:highlight w:val="none"/>
        </w:rPr>
      </w:pPr>
      <w:r>
        <w:rPr>
          <w:rFonts w:hint="eastAsia"/>
          <w:highlight w:val="none"/>
        </w:rPr>
        <w:t>地面以上</w:t>
      </w:r>
      <w:r>
        <w:rPr>
          <w:highlight w:val="none"/>
        </w:rPr>
        <w:t>1/2</w:t>
      </w:r>
      <w:r>
        <w:rPr>
          <w:rFonts w:hint="eastAsia"/>
          <w:highlight w:val="none"/>
        </w:rPr>
        <w:t>柱高以下处设双螺帽。</w:t>
      </w:r>
    </w:p>
    <w:p w14:paraId="5B70B04F">
      <w:pPr>
        <w:numPr>
          <w:ilvl w:val="0"/>
          <w:numId w:val="33"/>
        </w:numPr>
        <w:ind w:firstLine="480"/>
        <w:rPr>
          <w:highlight w:val="none"/>
        </w:rPr>
      </w:pPr>
      <w:r>
        <w:rPr>
          <w:rFonts w:hint="eastAsia"/>
          <w:highlight w:val="none"/>
        </w:rPr>
        <w:t>梁柱结合处模板拼缝取柱模包梁模的构造形式。</w:t>
      </w:r>
    </w:p>
    <w:p w14:paraId="22C23E08">
      <w:pPr>
        <w:numPr>
          <w:ilvl w:val="0"/>
          <w:numId w:val="29"/>
        </w:numPr>
        <w:ind w:firstLine="480"/>
        <w:rPr>
          <w:highlight w:val="none"/>
        </w:rPr>
      </w:pPr>
      <w:r>
        <w:rPr>
          <w:rFonts w:hint="eastAsia"/>
          <w:highlight w:val="none"/>
        </w:rPr>
        <w:t>梁模加固</w:t>
      </w:r>
      <w:r>
        <w:rPr>
          <w:highlight w:val="none"/>
        </w:rPr>
        <w:t xml:space="preserve"> </w:t>
      </w:r>
    </w:p>
    <w:p w14:paraId="693C0A2F">
      <w:pPr>
        <w:numPr>
          <w:ilvl w:val="0"/>
          <w:numId w:val="34"/>
        </w:numPr>
        <w:ind w:firstLine="480"/>
        <w:rPr>
          <w:highlight w:val="none"/>
        </w:rPr>
      </w:pPr>
      <w:r>
        <w:rPr>
          <w:rFonts w:hint="eastAsia"/>
          <w:highlight w:val="none"/>
        </w:rPr>
        <w:t>梁高≥</w:t>
      </w:r>
      <w:r>
        <w:rPr>
          <w:highlight w:val="none"/>
        </w:rPr>
        <w:t>600mm</w:t>
      </w:r>
      <w:r>
        <w:rPr>
          <w:rFonts w:hint="eastAsia"/>
          <w:highlight w:val="none"/>
        </w:rPr>
        <w:t>要加穿梁螺杆。</w:t>
      </w:r>
      <w:r>
        <w:rPr>
          <w:highlight w:val="none"/>
        </w:rPr>
        <w:t xml:space="preserve"> </w:t>
      </w:r>
    </w:p>
    <w:p w14:paraId="480D68CA">
      <w:pPr>
        <w:numPr>
          <w:ilvl w:val="0"/>
          <w:numId w:val="34"/>
        </w:numPr>
        <w:ind w:firstLine="480"/>
        <w:rPr>
          <w:highlight w:val="none"/>
        </w:rPr>
      </w:pPr>
      <w:r>
        <w:rPr>
          <w:rFonts w:hint="eastAsia"/>
          <w:highlight w:val="none"/>
        </w:rPr>
        <w:t>梁底应有单支撑与满堂架子连接。</w:t>
      </w:r>
      <w:r>
        <w:rPr>
          <w:highlight w:val="none"/>
        </w:rPr>
        <w:t xml:space="preserve"> </w:t>
      </w:r>
    </w:p>
    <w:p w14:paraId="61F54F30">
      <w:pPr>
        <w:numPr>
          <w:ilvl w:val="0"/>
          <w:numId w:val="34"/>
        </w:numPr>
        <w:ind w:firstLine="480"/>
        <w:rPr>
          <w:highlight w:val="none"/>
        </w:rPr>
      </w:pPr>
      <w:r>
        <w:rPr>
          <w:rFonts w:hint="eastAsia"/>
          <w:highlight w:val="none"/>
        </w:rPr>
        <w:t>梁板交接处采用通长木方加固。</w:t>
      </w:r>
    </w:p>
    <w:p w14:paraId="2374C933">
      <w:pPr>
        <w:numPr>
          <w:ilvl w:val="0"/>
          <w:numId w:val="34"/>
        </w:numPr>
        <w:ind w:firstLine="480"/>
        <w:rPr>
          <w:highlight w:val="none"/>
        </w:rPr>
      </w:pPr>
      <w:r>
        <w:rPr>
          <w:rFonts w:hint="eastAsia"/>
          <w:highlight w:val="none"/>
        </w:rPr>
        <w:t>梁底增加步步紧</w:t>
      </w:r>
      <w:r>
        <w:rPr>
          <w:highlight w:val="none"/>
        </w:rPr>
        <w:t>,</w:t>
      </w:r>
      <w:r>
        <w:rPr>
          <w:rFonts w:hint="eastAsia"/>
          <w:highlight w:val="none"/>
        </w:rPr>
        <w:t>间距≤</w:t>
      </w:r>
      <w:r>
        <w:rPr>
          <w:highlight w:val="none"/>
        </w:rPr>
        <w:t>600mm</w:t>
      </w:r>
      <w:r>
        <w:rPr>
          <w:rFonts w:hint="eastAsia"/>
          <w:highlight w:val="none"/>
        </w:rPr>
        <w:t>。</w:t>
      </w:r>
      <w:r>
        <w:rPr>
          <w:highlight w:val="none"/>
        </w:rPr>
        <w:t xml:space="preserve"> </w:t>
      </w:r>
    </w:p>
    <w:p w14:paraId="21CBBE3F">
      <w:pPr>
        <w:numPr>
          <w:ilvl w:val="0"/>
          <w:numId w:val="34"/>
        </w:numPr>
        <w:ind w:firstLine="480"/>
        <w:rPr>
          <w:highlight w:val="none"/>
        </w:rPr>
      </w:pPr>
      <w:r>
        <w:rPr>
          <w:rFonts w:hint="eastAsia"/>
          <w:highlight w:val="none"/>
        </w:rPr>
        <w:t>跨度大于</w:t>
      </w:r>
      <w:r>
        <w:rPr>
          <w:highlight w:val="none"/>
        </w:rPr>
        <w:t>4m</w:t>
      </w:r>
      <w:r>
        <w:rPr>
          <w:rFonts w:hint="eastAsia"/>
          <w:highlight w:val="none"/>
        </w:rPr>
        <w:t>时，应起拱全跨长度的</w:t>
      </w:r>
      <w:r>
        <w:rPr>
          <w:highlight w:val="none"/>
        </w:rPr>
        <w:t>1/1000-3/1000</w:t>
      </w:r>
      <w:r>
        <w:rPr>
          <w:rFonts w:hint="eastAsia"/>
          <w:highlight w:val="none"/>
        </w:rPr>
        <w:t>。</w:t>
      </w:r>
    </w:p>
    <w:p w14:paraId="2FAE6834">
      <w:pPr>
        <w:numPr>
          <w:ilvl w:val="0"/>
          <w:numId w:val="29"/>
        </w:numPr>
        <w:ind w:firstLine="480"/>
        <w:rPr>
          <w:highlight w:val="none"/>
        </w:rPr>
      </w:pPr>
      <w:r>
        <w:rPr>
          <w:rFonts w:hint="eastAsia"/>
          <w:highlight w:val="none"/>
        </w:rPr>
        <w:t>板模加固</w:t>
      </w:r>
    </w:p>
    <w:p w14:paraId="7289A35E">
      <w:pPr>
        <w:numPr>
          <w:ilvl w:val="0"/>
          <w:numId w:val="35"/>
        </w:numPr>
        <w:ind w:firstLine="480"/>
        <w:rPr>
          <w:highlight w:val="none"/>
        </w:rPr>
      </w:pPr>
      <w:r>
        <w:rPr>
          <w:rFonts w:hint="eastAsia"/>
          <w:highlight w:val="none"/>
        </w:rPr>
        <w:t>顶托（</w:t>
      </w:r>
      <w:r>
        <w:rPr>
          <w:highlight w:val="none"/>
        </w:rPr>
        <w:t>U</w:t>
      </w:r>
      <w:r>
        <w:rPr>
          <w:rFonts w:hint="eastAsia"/>
          <w:highlight w:val="none"/>
        </w:rPr>
        <w:t>型托）螺杆伸出钢管顶部长度≤</w:t>
      </w:r>
      <w:r>
        <w:rPr>
          <w:highlight w:val="none"/>
        </w:rPr>
        <w:t>200mm</w:t>
      </w:r>
      <w:r>
        <w:rPr>
          <w:rFonts w:hint="eastAsia"/>
          <w:highlight w:val="none"/>
        </w:rPr>
        <w:t>。</w:t>
      </w:r>
    </w:p>
    <w:p w14:paraId="4846D491">
      <w:pPr>
        <w:numPr>
          <w:ilvl w:val="0"/>
          <w:numId w:val="35"/>
        </w:numPr>
        <w:ind w:firstLine="480"/>
        <w:rPr>
          <w:highlight w:val="none"/>
        </w:rPr>
      </w:pPr>
      <w:r>
        <w:rPr>
          <w:rFonts w:hint="eastAsia"/>
          <w:highlight w:val="none"/>
        </w:rPr>
        <w:t>立杆间距≤</w:t>
      </w:r>
      <w:r>
        <w:rPr>
          <w:highlight w:val="none"/>
        </w:rPr>
        <w:t>1200mm</w:t>
      </w:r>
      <w:r>
        <w:rPr>
          <w:rFonts w:hint="eastAsia"/>
          <w:highlight w:val="none"/>
        </w:rPr>
        <w:t>，并符合设计承载力要求。</w:t>
      </w:r>
    </w:p>
    <w:p w14:paraId="1F58D819">
      <w:pPr>
        <w:numPr>
          <w:ilvl w:val="0"/>
          <w:numId w:val="35"/>
        </w:numPr>
        <w:ind w:firstLine="480"/>
        <w:rPr>
          <w:highlight w:val="none"/>
        </w:rPr>
      </w:pPr>
      <w:r>
        <w:rPr>
          <w:rFonts w:hint="eastAsia"/>
          <w:highlight w:val="none"/>
        </w:rPr>
        <w:t>纵横项扫地杆距地≤</w:t>
      </w:r>
      <w:r>
        <w:rPr>
          <w:highlight w:val="none"/>
        </w:rPr>
        <w:t>200mm</w:t>
      </w:r>
      <w:r>
        <w:rPr>
          <w:rFonts w:hint="eastAsia"/>
          <w:highlight w:val="none"/>
        </w:rPr>
        <w:t>。</w:t>
      </w:r>
    </w:p>
    <w:p w14:paraId="47CA602A">
      <w:pPr>
        <w:numPr>
          <w:ilvl w:val="0"/>
          <w:numId w:val="35"/>
        </w:numPr>
        <w:ind w:firstLine="480"/>
        <w:rPr>
          <w:highlight w:val="none"/>
        </w:rPr>
      </w:pPr>
      <w:r>
        <w:rPr>
          <w:rFonts w:hint="eastAsia"/>
          <w:highlight w:val="none"/>
        </w:rPr>
        <w:t>距墙第一道立杆≤</w:t>
      </w:r>
      <w:r>
        <w:rPr>
          <w:highlight w:val="none"/>
        </w:rPr>
        <w:t>400mm</w:t>
      </w:r>
      <w:r>
        <w:rPr>
          <w:rFonts w:hint="eastAsia"/>
          <w:highlight w:val="none"/>
        </w:rPr>
        <w:t>。</w:t>
      </w:r>
    </w:p>
    <w:p w14:paraId="28035EA6">
      <w:pPr>
        <w:numPr>
          <w:ilvl w:val="0"/>
          <w:numId w:val="35"/>
        </w:numPr>
        <w:ind w:firstLine="480"/>
        <w:rPr>
          <w:highlight w:val="none"/>
        </w:rPr>
      </w:pPr>
      <w:r>
        <w:rPr>
          <w:rFonts w:hint="eastAsia"/>
          <w:highlight w:val="none"/>
        </w:rPr>
        <w:t>方木间距≤</w:t>
      </w:r>
      <w:r>
        <w:rPr>
          <w:highlight w:val="none"/>
        </w:rPr>
        <w:t>200mm</w:t>
      </w:r>
      <w:r>
        <w:rPr>
          <w:rFonts w:hint="eastAsia"/>
          <w:highlight w:val="none"/>
        </w:rPr>
        <w:t>。</w:t>
      </w:r>
    </w:p>
    <w:p w14:paraId="76D9AB38">
      <w:pPr>
        <w:numPr>
          <w:ilvl w:val="0"/>
          <w:numId w:val="35"/>
        </w:numPr>
        <w:ind w:firstLine="480"/>
        <w:rPr>
          <w:highlight w:val="none"/>
        </w:rPr>
      </w:pPr>
      <w:r>
        <w:rPr>
          <w:rFonts w:hint="eastAsia"/>
          <w:highlight w:val="none"/>
        </w:rPr>
        <w:t>板模板与墙模板和梁模板相交处用通长木方加固。</w:t>
      </w:r>
    </w:p>
    <w:p w14:paraId="24CBC9D3">
      <w:pPr>
        <w:numPr>
          <w:ilvl w:val="0"/>
          <w:numId w:val="35"/>
        </w:numPr>
        <w:ind w:firstLine="480"/>
        <w:rPr>
          <w:highlight w:val="none"/>
        </w:rPr>
      </w:pPr>
      <w:r>
        <w:rPr>
          <w:rFonts w:hint="eastAsia"/>
          <w:highlight w:val="none"/>
        </w:rPr>
        <w:t>下沉式卫生间挂模底部应增加支撑，防止挂模底部涨模。</w:t>
      </w:r>
    </w:p>
    <w:p w14:paraId="1C5721FC">
      <w:pPr>
        <w:numPr>
          <w:ilvl w:val="0"/>
          <w:numId w:val="35"/>
        </w:numPr>
        <w:ind w:firstLine="480"/>
        <w:rPr>
          <w:highlight w:val="none"/>
        </w:rPr>
      </w:pPr>
      <w:r>
        <w:rPr>
          <w:rFonts w:hint="eastAsia"/>
          <w:highlight w:val="none"/>
        </w:rPr>
        <w:t>板模悬挑长度不宜超过</w:t>
      </w:r>
      <w:r>
        <w:rPr>
          <w:highlight w:val="none"/>
        </w:rPr>
        <w:t>350 mm</w:t>
      </w:r>
      <w:r>
        <w:rPr>
          <w:rFonts w:hint="eastAsia"/>
          <w:highlight w:val="none"/>
        </w:rPr>
        <w:t>，离墙距离不宜大于</w:t>
      </w:r>
      <w:r>
        <w:rPr>
          <w:highlight w:val="none"/>
        </w:rPr>
        <w:t>150 mm</w:t>
      </w:r>
      <w:r>
        <w:rPr>
          <w:rFonts w:hint="eastAsia"/>
          <w:highlight w:val="none"/>
        </w:rPr>
        <w:t>。</w:t>
      </w:r>
    </w:p>
    <w:p w14:paraId="5F485638">
      <w:pPr>
        <w:numPr>
          <w:ilvl w:val="0"/>
          <w:numId w:val="29"/>
        </w:numPr>
        <w:ind w:firstLine="480"/>
        <w:rPr>
          <w:highlight w:val="none"/>
        </w:rPr>
      </w:pPr>
      <w:r>
        <w:rPr>
          <w:rFonts w:hint="eastAsia"/>
          <w:highlight w:val="none"/>
        </w:rPr>
        <w:t>后浇带加固</w:t>
      </w:r>
    </w:p>
    <w:p w14:paraId="711928E2">
      <w:pPr>
        <w:numPr>
          <w:ilvl w:val="0"/>
          <w:numId w:val="36"/>
        </w:numPr>
        <w:ind w:firstLine="480"/>
        <w:rPr>
          <w:highlight w:val="none"/>
        </w:rPr>
      </w:pPr>
      <w:r>
        <w:rPr>
          <w:rFonts w:hint="eastAsia"/>
          <w:highlight w:val="none"/>
        </w:rPr>
        <w:t>后浇带和悬挑结构采用独立的模板及支撑系统，两侧支撑均不少于两排。</w:t>
      </w:r>
    </w:p>
    <w:p w14:paraId="05DED5F7">
      <w:pPr>
        <w:numPr>
          <w:ilvl w:val="0"/>
          <w:numId w:val="36"/>
        </w:numPr>
        <w:ind w:firstLine="480"/>
        <w:rPr>
          <w:highlight w:val="none"/>
        </w:rPr>
      </w:pPr>
      <w:r>
        <w:rPr>
          <w:rFonts w:hint="eastAsia"/>
          <w:highlight w:val="none"/>
        </w:rPr>
        <w:t>后浇带封闭前，后浇带处梁、板模板的支撑不得拆除。</w:t>
      </w:r>
      <w:r>
        <w:rPr>
          <w:highlight w:val="none"/>
        </w:rPr>
        <w:t xml:space="preserve"> </w:t>
      </w:r>
    </w:p>
    <w:p w14:paraId="20ED1708">
      <w:pPr>
        <w:numPr>
          <w:ilvl w:val="0"/>
          <w:numId w:val="36"/>
        </w:numPr>
        <w:ind w:firstLine="480"/>
        <w:rPr>
          <w:highlight w:val="none"/>
        </w:rPr>
      </w:pPr>
      <w:r>
        <w:rPr>
          <w:rFonts w:hint="eastAsia"/>
          <w:highlight w:val="none"/>
        </w:rPr>
        <w:t>温度后浇带，混凝土浇筑间隔时间不少于</w:t>
      </w:r>
      <w:r>
        <w:rPr>
          <w:highlight w:val="none"/>
        </w:rPr>
        <w:t>60</w:t>
      </w:r>
      <w:r>
        <w:rPr>
          <w:rFonts w:hint="eastAsia"/>
          <w:highlight w:val="none"/>
        </w:rPr>
        <w:t>天。沉降后浇带要求主体结构施工完成后并满足设计图纸要求后再进行混凝土浇筑。</w:t>
      </w:r>
      <w:r>
        <w:rPr>
          <w:highlight w:val="none"/>
        </w:rPr>
        <w:t xml:space="preserve"> </w:t>
      </w:r>
    </w:p>
    <w:p w14:paraId="3F896ADF">
      <w:pPr>
        <w:numPr>
          <w:ilvl w:val="0"/>
          <w:numId w:val="36"/>
        </w:numPr>
        <w:ind w:firstLine="480"/>
        <w:rPr>
          <w:highlight w:val="none"/>
        </w:rPr>
      </w:pPr>
      <w:r>
        <w:rPr>
          <w:rFonts w:hint="eastAsia"/>
          <w:highlight w:val="none"/>
        </w:rPr>
        <w:t>后浇带浇筑完毕后，混凝土养护</w:t>
      </w:r>
      <w:r>
        <w:rPr>
          <w:highlight w:val="none"/>
        </w:rPr>
        <w:t>28</w:t>
      </w:r>
      <w:r>
        <w:rPr>
          <w:rFonts w:hint="eastAsia"/>
          <w:highlight w:val="none"/>
        </w:rPr>
        <w:t>天后，方可拆除。</w:t>
      </w:r>
      <w:r>
        <w:rPr>
          <w:highlight w:val="none"/>
        </w:rPr>
        <w:t xml:space="preserve">                                          </w:t>
      </w:r>
    </w:p>
    <w:p w14:paraId="0E58B316">
      <w:pPr>
        <w:numPr>
          <w:ilvl w:val="0"/>
          <w:numId w:val="36"/>
        </w:numPr>
        <w:ind w:firstLine="480"/>
        <w:rPr>
          <w:highlight w:val="none"/>
        </w:rPr>
      </w:pPr>
      <w:r>
        <w:rPr>
          <w:rFonts w:hint="eastAsia"/>
          <w:highlight w:val="none"/>
        </w:rPr>
        <w:t>后浇带支撑加剪刀撑。</w:t>
      </w:r>
    </w:p>
    <w:p w14:paraId="49C345A0">
      <w:pPr>
        <w:numPr>
          <w:ilvl w:val="0"/>
          <w:numId w:val="29"/>
        </w:numPr>
        <w:ind w:firstLine="480"/>
        <w:rPr>
          <w:highlight w:val="none"/>
        </w:rPr>
      </w:pPr>
      <w:r>
        <w:rPr>
          <w:rFonts w:hint="eastAsia"/>
          <w:highlight w:val="none"/>
        </w:rPr>
        <w:t>模板拆除</w:t>
      </w:r>
    </w:p>
    <w:p w14:paraId="12B9FF77">
      <w:pPr>
        <w:numPr>
          <w:ilvl w:val="0"/>
          <w:numId w:val="37"/>
        </w:numPr>
        <w:ind w:firstLine="480"/>
        <w:rPr>
          <w:highlight w:val="none"/>
        </w:rPr>
      </w:pPr>
      <w:r>
        <w:rPr>
          <w:rFonts w:hint="eastAsia"/>
          <w:highlight w:val="none"/>
        </w:rPr>
        <w:t>模板拆除前应设置警戒区，并应设专人监护。</w:t>
      </w:r>
    </w:p>
    <w:p w14:paraId="6B2A59B8">
      <w:pPr>
        <w:numPr>
          <w:ilvl w:val="0"/>
          <w:numId w:val="37"/>
        </w:numPr>
        <w:ind w:firstLine="480"/>
        <w:rPr>
          <w:highlight w:val="none"/>
        </w:rPr>
      </w:pPr>
      <w:r>
        <w:rPr>
          <w:rFonts w:hint="eastAsia"/>
          <w:highlight w:val="none"/>
        </w:rPr>
        <w:t>模板拆除过程中应注意保护主体结构边角位置，保证不出现缺棱掉角。</w:t>
      </w:r>
    </w:p>
    <w:p w14:paraId="733A4BB4">
      <w:pPr>
        <w:pStyle w:val="6"/>
        <w:numPr>
          <w:ilvl w:val="3"/>
          <w:numId w:val="0"/>
        </w:numPr>
        <w:ind w:left="864" w:leftChars="100" w:hanging="624"/>
        <w:rPr>
          <w:highlight w:val="none"/>
        </w:rPr>
      </w:pPr>
      <w:r>
        <w:rPr>
          <w:rFonts w:hint="eastAsia"/>
          <w:highlight w:val="none"/>
        </w:rPr>
        <w:t>7.4.2.2铝合金模板</w:t>
      </w:r>
    </w:p>
    <w:p w14:paraId="7696BAB0">
      <w:pPr>
        <w:ind w:firstLine="480"/>
        <w:rPr>
          <w:highlight w:val="none"/>
        </w:rPr>
      </w:pPr>
      <w:r>
        <w:rPr>
          <w:highlight w:val="none"/>
        </w:rPr>
        <w:t>1</w:t>
      </w:r>
      <w:r>
        <w:rPr>
          <w:rFonts w:hint="eastAsia"/>
          <w:highlight w:val="none"/>
        </w:rPr>
        <w:t>）铝模板工厂选择确定</w:t>
      </w:r>
    </w:p>
    <w:p w14:paraId="7F56DEA4">
      <w:pPr>
        <w:ind w:firstLine="480"/>
        <w:rPr>
          <w:highlight w:val="none"/>
        </w:rPr>
      </w:pPr>
      <w:r>
        <w:rPr>
          <w:rFonts w:hint="eastAsia"/>
          <w:highlight w:val="none"/>
        </w:rPr>
        <w:t>总承包人应将铝模厂家资料报</w:t>
      </w:r>
      <w:r>
        <w:rPr>
          <w:highlight w:val="none"/>
        </w:rPr>
        <w:t>发包人审核</w:t>
      </w:r>
      <w:r>
        <w:rPr>
          <w:rFonts w:hint="eastAsia"/>
          <w:highlight w:val="none"/>
        </w:rPr>
        <w:t>，由总承包人组织考察厂家的项目和工厂，发包人参加，经考察合格后，方可选用。同时发包人有权在任何时候更换铝模生产厂家</w:t>
      </w:r>
      <w:r>
        <w:rPr>
          <w:highlight w:val="none"/>
        </w:rPr>
        <w:t>。</w:t>
      </w:r>
    </w:p>
    <w:p w14:paraId="4BEF3429">
      <w:pPr>
        <w:ind w:firstLine="480"/>
        <w:rPr>
          <w:highlight w:val="none"/>
        </w:rPr>
      </w:pPr>
      <w:r>
        <w:rPr>
          <w:highlight w:val="none"/>
        </w:rPr>
        <w:t>2</w:t>
      </w:r>
      <w:r>
        <w:rPr>
          <w:rFonts w:hint="eastAsia"/>
          <w:highlight w:val="none"/>
        </w:rPr>
        <w:t>）质量标准</w:t>
      </w:r>
    </w:p>
    <w:p w14:paraId="59D0CBC3">
      <w:pPr>
        <w:ind w:firstLine="480"/>
        <w:rPr>
          <w:highlight w:val="none"/>
        </w:rPr>
      </w:pPr>
      <w:r>
        <w:rPr>
          <w:rFonts w:hint="eastAsia"/>
          <w:highlight w:val="none"/>
        </w:rPr>
        <w:t>采用铝模施工区域的</w:t>
      </w:r>
      <w:r>
        <w:rPr>
          <w:highlight w:val="none"/>
        </w:rPr>
        <w:t>混凝土结构实测实量</w:t>
      </w:r>
      <w:r>
        <w:rPr>
          <w:rFonts w:hint="eastAsia"/>
          <w:highlight w:val="none"/>
        </w:rPr>
        <w:t>一次合格率不低于95%。</w:t>
      </w:r>
    </w:p>
    <w:p w14:paraId="6B7701FD">
      <w:pPr>
        <w:ind w:firstLine="480"/>
        <w:rPr>
          <w:highlight w:val="none"/>
        </w:rPr>
      </w:pPr>
      <w:r>
        <w:rPr>
          <w:highlight w:val="none"/>
        </w:rPr>
        <w:t>3</w:t>
      </w:r>
      <w:r>
        <w:rPr>
          <w:rFonts w:hint="eastAsia"/>
          <w:highlight w:val="none"/>
        </w:rPr>
        <w:t>）铝合金材料</w:t>
      </w:r>
    </w:p>
    <w:p w14:paraId="5AD2DC92">
      <w:pPr>
        <w:numPr>
          <w:ilvl w:val="0"/>
          <w:numId w:val="38"/>
        </w:numPr>
        <w:tabs>
          <w:tab w:val="left" w:pos="-420"/>
          <w:tab w:val="clear" w:pos="-840"/>
        </w:tabs>
        <w:ind w:firstLine="480"/>
        <w:rPr>
          <w:highlight w:val="none"/>
        </w:rPr>
      </w:pPr>
      <w:r>
        <w:rPr>
          <w:rFonts w:hint="eastAsia"/>
          <w:highlight w:val="none"/>
        </w:rPr>
        <w:t>铝合金带肋面板、各类型材及板材符合国家规范。</w:t>
      </w:r>
    </w:p>
    <w:p w14:paraId="4ADEFB79">
      <w:pPr>
        <w:numPr>
          <w:ilvl w:val="0"/>
          <w:numId w:val="38"/>
        </w:numPr>
        <w:tabs>
          <w:tab w:val="left" w:pos="-420"/>
          <w:tab w:val="clear" w:pos="-840"/>
        </w:tabs>
        <w:ind w:firstLine="480"/>
        <w:rPr>
          <w:highlight w:val="none"/>
        </w:rPr>
      </w:pPr>
      <w:r>
        <w:rPr>
          <w:rFonts w:hint="eastAsia"/>
          <w:highlight w:val="none"/>
        </w:rPr>
        <w:t>铝合金模板系统的钢支撑、钢背楞、拉杆、销钉、销片等钢配件符合国家规范。</w:t>
      </w:r>
    </w:p>
    <w:p w14:paraId="03919332">
      <w:pPr>
        <w:numPr>
          <w:ilvl w:val="0"/>
          <w:numId w:val="38"/>
        </w:numPr>
        <w:tabs>
          <w:tab w:val="left" w:pos="-420"/>
          <w:tab w:val="clear" w:pos="-840"/>
        </w:tabs>
        <w:ind w:firstLine="480"/>
        <w:rPr>
          <w:highlight w:val="none"/>
        </w:rPr>
      </w:pPr>
      <w:r>
        <w:rPr>
          <w:rFonts w:hint="eastAsia"/>
          <w:highlight w:val="none"/>
        </w:rPr>
        <w:t>采用水性脱模剂，脱模剂品牌须报发包人审核确定。</w:t>
      </w:r>
    </w:p>
    <w:p w14:paraId="658C5EE4">
      <w:pPr>
        <w:ind w:firstLine="480"/>
        <w:rPr>
          <w:highlight w:val="none"/>
        </w:rPr>
      </w:pPr>
      <w:r>
        <w:rPr>
          <w:highlight w:val="none"/>
        </w:rPr>
        <w:t>4）铝合金模板</w:t>
      </w:r>
      <w:r>
        <w:rPr>
          <w:rFonts w:hint="eastAsia"/>
          <w:highlight w:val="none"/>
        </w:rPr>
        <w:t>设计、生产</w:t>
      </w:r>
    </w:p>
    <w:p w14:paraId="1219D19A">
      <w:pPr>
        <w:numPr>
          <w:ilvl w:val="0"/>
          <w:numId w:val="39"/>
        </w:numPr>
        <w:tabs>
          <w:tab w:val="left" w:pos="-420"/>
          <w:tab w:val="clear" w:pos="-840"/>
        </w:tabs>
        <w:ind w:firstLine="480"/>
        <w:rPr>
          <w:highlight w:val="none"/>
        </w:rPr>
      </w:pPr>
      <w:r>
        <w:rPr>
          <w:rFonts w:hint="eastAsia"/>
          <w:highlight w:val="none"/>
        </w:rPr>
        <w:t>铝模深化时</w:t>
      </w:r>
      <w:r>
        <w:rPr>
          <w:highlight w:val="none"/>
        </w:rPr>
        <w:t>应考虑</w:t>
      </w:r>
      <w:r>
        <w:rPr>
          <w:rFonts w:hint="eastAsia"/>
          <w:highlight w:val="none"/>
        </w:rPr>
        <w:t>以下部位全部同主体一起浇筑：窗台、窗坎、反坎、门洞过梁、构造柱、滴水线、楼层分隔线、门头梁下挂、户内门框柱（包括入户门、户内门、卫生间门、阳台铝合金门）、铝模混凝土结构墙体与砌体连接节点、预留孔洞位置、干湿相接房间隔墙、给水管压槽、机电点位与铝模冲突处等。</w:t>
      </w:r>
    </w:p>
    <w:p w14:paraId="74C0A232">
      <w:pPr>
        <w:numPr>
          <w:ilvl w:val="0"/>
          <w:numId w:val="39"/>
        </w:numPr>
        <w:tabs>
          <w:tab w:val="left" w:pos="-420"/>
          <w:tab w:val="clear" w:pos="-840"/>
        </w:tabs>
        <w:ind w:firstLine="480"/>
        <w:rPr>
          <w:highlight w:val="none"/>
        </w:rPr>
      </w:pPr>
      <w:r>
        <w:rPr>
          <w:rFonts w:hint="eastAsia"/>
          <w:highlight w:val="none"/>
        </w:rPr>
        <w:t>深化设计图纸必须经过发包人审批同意后方可按照深化图纸开模、加工。</w:t>
      </w:r>
    </w:p>
    <w:p w14:paraId="75AA3521">
      <w:pPr>
        <w:numPr>
          <w:ilvl w:val="0"/>
          <w:numId w:val="39"/>
        </w:numPr>
        <w:tabs>
          <w:tab w:val="left" w:pos="-420"/>
          <w:tab w:val="clear" w:pos="-840"/>
        </w:tabs>
        <w:ind w:firstLine="480"/>
        <w:rPr>
          <w:highlight w:val="none"/>
        </w:rPr>
      </w:pPr>
      <w:r>
        <w:rPr>
          <w:rFonts w:hint="eastAsia"/>
          <w:highlight w:val="none"/>
        </w:rPr>
        <w:t>铝</w:t>
      </w:r>
      <w:r>
        <w:rPr>
          <w:highlight w:val="none"/>
        </w:rPr>
        <w:t>模设计</w:t>
      </w:r>
      <w:r>
        <w:rPr>
          <w:rFonts w:hint="eastAsia"/>
          <w:highlight w:val="none"/>
        </w:rPr>
        <w:t>厚度</w:t>
      </w:r>
      <w:r>
        <w:rPr>
          <w:highlight w:val="none"/>
        </w:rPr>
        <w:t>应满足</w:t>
      </w:r>
      <w:r>
        <w:rPr>
          <w:rFonts w:hint="eastAsia"/>
          <w:highlight w:val="none"/>
        </w:rPr>
        <w:t>模板</w:t>
      </w:r>
      <w:r>
        <w:rPr>
          <w:highlight w:val="none"/>
        </w:rPr>
        <w:t>承载力</w:t>
      </w:r>
      <w:r>
        <w:rPr>
          <w:rFonts w:hint="eastAsia"/>
          <w:highlight w:val="none"/>
        </w:rPr>
        <w:t>要</w:t>
      </w:r>
      <w:r>
        <w:rPr>
          <w:highlight w:val="none"/>
        </w:rPr>
        <w:t>求。</w:t>
      </w:r>
    </w:p>
    <w:p w14:paraId="7F4D051C">
      <w:pPr>
        <w:numPr>
          <w:ilvl w:val="0"/>
          <w:numId w:val="39"/>
        </w:numPr>
        <w:tabs>
          <w:tab w:val="left" w:pos="-420"/>
          <w:tab w:val="clear" w:pos="-840"/>
        </w:tabs>
        <w:ind w:firstLine="480"/>
        <w:rPr>
          <w:highlight w:val="none"/>
        </w:rPr>
      </w:pPr>
      <w:r>
        <w:rPr>
          <w:highlight w:val="none"/>
        </w:rPr>
        <w:t>铝模在</w:t>
      </w:r>
      <w:r>
        <w:rPr>
          <w:rFonts w:hint="eastAsia"/>
          <w:highlight w:val="none"/>
        </w:rPr>
        <w:t>工</w:t>
      </w:r>
      <w:r>
        <w:rPr>
          <w:highlight w:val="none"/>
        </w:rPr>
        <w:t>厂</w:t>
      </w:r>
      <w:r>
        <w:rPr>
          <w:rFonts w:hint="eastAsia"/>
          <w:highlight w:val="none"/>
        </w:rPr>
        <w:t>内</w:t>
      </w:r>
      <w:r>
        <w:rPr>
          <w:highlight w:val="none"/>
        </w:rPr>
        <w:t>应进行充分的隔离处理，同时优化混凝土配合</w:t>
      </w:r>
      <w:r>
        <w:rPr>
          <w:rFonts w:hint="eastAsia"/>
          <w:highlight w:val="none"/>
        </w:rPr>
        <w:t>比</w:t>
      </w:r>
      <w:r>
        <w:rPr>
          <w:highlight w:val="none"/>
        </w:rPr>
        <w:t>，避免混凝土表面出现麻</w:t>
      </w:r>
      <w:r>
        <w:rPr>
          <w:rFonts w:hint="eastAsia"/>
          <w:highlight w:val="none"/>
        </w:rPr>
        <w:t>面</w:t>
      </w:r>
      <w:r>
        <w:rPr>
          <w:highlight w:val="none"/>
        </w:rPr>
        <w:t>、</w:t>
      </w:r>
      <w:r>
        <w:rPr>
          <w:rFonts w:hint="eastAsia"/>
          <w:highlight w:val="none"/>
        </w:rPr>
        <w:t>起</w:t>
      </w:r>
      <w:r>
        <w:rPr>
          <w:highlight w:val="none"/>
        </w:rPr>
        <w:t>泡。</w:t>
      </w:r>
    </w:p>
    <w:p w14:paraId="171EC29C">
      <w:pPr>
        <w:ind w:firstLine="480"/>
        <w:rPr>
          <w:highlight w:val="none"/>
        </w:rPr>
      </w:pPr>
      <w:r>
        <w:rPr>
          <w:highlight w:val="none"/>
        </w:rPr>
        <w:t>5</w:t>
      </w:r>
      <w:r>
        <w:rPr>
          <w:rFonts w:hint="eastAsia"/>
          <w:highlight w:val="none"/>
        </w:rPr>
        <w:t>）铝合金模板试</w:t>
      </w:r>
      <w:r>
        <w:rPr>
          <w:highlight w:val="none"/>
        </w:rPr>
        <w:t>拼装</w:t>
      </w:r>
    </w:p>
    <w:p w14:paraId="2E60C82D">
      <w:pPr>
        <w:numPr>
          <w:ilvl w:val="0"/>
          <w:numId w:val="40"/>
        </w:numPr>
        <w:tabs>
          <w:tab w:val="left" w:pos="-420"/>
          <w:tab w:val="clear" w:pos="-840"/>
        </w:tabs>
        <w:ind w:firstLine="480"/>
        <w:rPr>
          <w:highlight w:val="none"/>
        </w:rPr>
      </w:pPr>
      <w:r>
        <w:rPr>
          <w:rFonts w:hint="eastAsia"/>
          <w:highlight w:val="none"/>
        </w:rPr>
        <w:t>铝模在正式安装之前，应在工厂进行试拼装。铝模的试拼装应在组装平台或铝模厂家经处理的场地上进行，组装完毕后由总承包人组织发包人、监理人、设计人等单位进行铝模试拼装联合验收。验收合格</w:t>
      </w:r>
      <w:r>
        <w:rPr>
          <w:highlight w:val="none"/>
        </w:rPr>
        <w:t>后方可拉至现场。</w:t>
      </w:r>
    </w:p>
    <w:p w14:paraId="2AC5157E">
      <w:pPr>
        <w:numPr>
          <w:ilvl w:val="0"/>
          <w:numId w:val="40"/>
        </w:numPr>
        <w:tabs>
          <w:tab w:val="left" w:pos="-420"/>
          <w:tab w:val="clear" w:pos="-840"/>
        </w:tabs>
        <w:ind w:firstLine="480"/>
        <w:rPr>
          <w:highlight w:val="none"/>
        </w:rPr>
      </w:pPr>
      <w:r>
        <w:rPr>
          <w:rFonts w:hint="eastAsia"/>
          <w:highlight w:val="none"/>
        </w:rPr>
        <w:t>试拼装验收管控要点：检查铝模支撑体系是否按深化图配置；检查压槽配件是否固定牢固，滴水线、给水管、缺口梁等压槽配件宜采用焊接固定；检查各深化节点是否落实到位。且总承包人需在安装过程中提前安排人员进行机电点位预埋定位穿插施工，复核图纸的准确性，正确指导后期现场施工。深化设计图纸必须经过监理审批同意后方可按照深化图纸开模、加工。若因深化图纸与蓝图不符导致铝模拆改，造成的损失由承包人承担。</w:t>
      </w:r>
    </w:p>
    <w:p w14:paraId="5D77860C">
      <w:pPr>
        <w:numPr>
          <w:ilvl w:val="0"/>
          <w:numId w:val="40"/>
        </w:numPr>
        <w:tabs>
          <w:tab w:val="left" w:pos="-420"/>
          <w:tab w:val="clear" w:pos="-840"/>
        </w:tabs>
        <w:ind w:firstLine="480"/>
        <w:rPr>
          <w:highlight w:val="none"/>
        </w:rPr>
      </w:pPr>
      <w:r>
        <w:rPr>
          <w:rFonts w:hint="eastAsia"/>
          <w:highlight w:val="none"/>
        </w:rPr>
        <w:t>经试拼装验收合格后打包运输到项目，打包前由铝模施工班组对铝模进行编号，按照编号进行打包和装车。平行叠放稳妥，避免碰撞。每捆打包的铝模之间应加垫木，铝模与垫木应上下平堆，运输时，应整体绑缚捆紧，防止摇晃摩擦。</w:t>
      </w:r>
    </w:p>
    <w:p w14:paraId="654C9A43">
      <w:pPr>
        <w:ind w:firstLine="480"/>
        <w:rPr>
          <w:highlight w:val="none"/>
        </w:rPr>
      </w:pPr>
      <w:r>
        <w:rPr>
          <w:highlight w:val="none"/>
        </w:rPr>
        <w:t>6</w:t>
      </w:r>
      <w:r>
        <w:rPr>
          <w:rFonts w:hint="eastAsia"/>
          <w:highlight w:val="none"/>
        </w:rPr>
        <w:t>）质量</w:t>
      </w:r>
      <w:r>
        <w:rPr>
          <w:highlight w:val="none"/>
        </w:rPr>
        <w:t>控制要求</w:t>
      </w:r>
    </w:p>
    <w:p w14:paraId="69B1C7F5">
      <w:pPr>
        <w:numPr>
          <w:ilvl w:val="0"/>
          <w:numId w:val="41"/>
        </w:numPr>
        <w:tabs>
          <w:tab w:val="left" w:pos="-420"/>
          <w:tab w:val="clear" w:pos="-840"/>
        </w:tabs>
        <w:ind w:firstLine="480"/>
        <w:rPr>
          <w:highlight w:val="none"/>
        </w:rPr>
      </w:pPr>
      <w:r>
        <w:rPr>
          <w:rFonts w:hint="eastAsia"/>
          <w:highlight w:val="none"/>
        </w:rPr>
        <w:t>铝模验收控制程序：劳务自检→总承包人复验→监理人核验→发包人抽检。</w:t>
      </w:r>
    </w:p>
    <w:p w14:paraId="5F8F84F5">
      <w:pPr>
        <w:numPr>
          <w:ilvl w:val="0"/>
          <w:numId w:val="41"/>
        </w:numPr>
        <w:tabs>
          <w:tab w:val="left" w:pos="-420"/>
          <w:tab w:val="clear" w:pos="-840"/>
        </w:tabs>
        <w:ind w:firstLine="480"/>
        <w:rPr>
          <w:highlight w:val="none"/>
        </w:rPr>
      </w:pPr>
      <w:r>
        <w:rPr>
          <w:rFonts w:hint="eastAsia"/>
          <w:highlight w:val="none"/>
        </w:rPr>
        <w:t>墙</w:t>
      </w:r>
      <w:r>
        <w:rPr>
          <w:highlight w:val="none"/>
        </w:rPr>
        <w:t>柱模板</w:t>
      </w:r>
      <w:r>
        <w:rPr>
          <w:rFonts w:hint="eastAsia"/>
          <w:highlight w:val="none"/>
        </w:rPr>
        <w:t>的</w:t>
      </w:r>
      <w:r>
        <w:rPr>
          <w:highlight w:val="none"/>
        </w:rPr>
        <w:t>安装底面应平整坚实</w:t>
      </w:r>
      <w:r>
        <w:rPr>
          <w:rFonts w:hint="eastAsia"/>
          <w:highlight w:val="none"/>
        </w:rPr>
        <w:t>，</w:t>
      </w:r>
      <w:r>
        <w:rPr>
          <w:highlight w:val="none"/>
        </w:rPr>
        <w:t>并采取可靠的定位措施</w:t>
      </w:r>
      <w:r>
        <w:rPr>
          <w:rFonts w:hint="eastAsia"/>
          <w:highlight w:val="none"/>
        </w:rPr>
        <w:t>。</w:t>
      </w:r>
    </w:p>
    <w:p w14:paraId="47B9279C">
      <w:pPr>
        <w:numPr>
          <w:ilvl w:val="0"/>
          <w:numId w:val="41"/>
        </w:numPr>
        <w:tabs>
          <w:tab w:val="left" w:pos="-420"/>
          <w:tab w:val="clear" w:pos="-840"/>
        </w:tabs>
        <w:ind w:firstLine="480"/>
        <w:rPr>
          <w:highlight w:val="none"/>
        </w:rPr>
      </w:pPr>
      <w:r>
        <w:rPr>
          <w:rFonts w:hint="eastAsia"/>
          <w:highlight w:val="none"/>
        </w:rPr>
        <w:t>立杆</w:t>
      </w:r>
      <w:r>
        <w:rPr>
          <w:highlight w:val="none"/>
        </w:rPr>
        <w:t>和斜撑下的支承面应平整，并有足够的</w:t>
      </w:r>
      <w:r>
        <w:rPr>
          <w:rFonts w:hint="eastAsia"/>
          <w:highlight w:val="none"/>
        </w:rPr>
        <w:t>承压</w:t>
      </w:r>
      <w:r>
        <w:rPr>
          <w:highlight w:val="none"/>
        </w:rPr>
        <w:t>面积</w:t>
      </w:r>
      <w:r>
        <w:rPr>
          <w:rFonts w:hint="eastAsia"/>
          <w:highlight w:val="none"/>
        </w:rPr>
        <w:t>，斜支撑应着力于外楞。</w:t>
      </w:r>
    </w:p>
    <w:p w14:paraId="75D36313">
      <w:pPr>
        <w:numPr>
          <w:ilvl w:val="0"/>
          <w:numId w:val="41"/>
        </w:numPr>
        <w:tabs>
          <w:tab w:val="left" w:pos="-420"/>
          <w:tab w:val="clear" w:pos="-840"/>
        </w:tabs>
        <w:ind w:firstLine="480"/>
        <w:rPr>
          <w:highlight w:val="none"/>
        </w:rPr>
      </w:pPr>
      <w:r>
        <w:rPr>
          <w:rFonts w:hint="eastAsia"/>
          <w:highlight w:val="none"/>
        </w:rPr>
        <w:t>上下</w:t>
      </w:r>
      <w:r>
        <w:rPr>
          <w:highlight w:val="none"/>
        </w:rPr>
        <w:t>层对应的</w:t>
      </w:r>
      <w:r>
        <w:rPr>
          <w:rFonts w:hint="eastAsia"/>
          <w:highlight w:val="none"/>
        </w:rPr>
        <w:t>模板</w:t>
      </w:r>
      <w:r>
        <w:rPr>
          <w:highlight w:val="none"/>
        </w:rPr>
        <w:t>立杆应设置在同一</w:t>
      </w:r>
      <w:r>
        <w:rPr>
          <w:rFonts w:hint="eastAsia"/>
          <w:highlight w:val="none"/>
        </w:rPr>
        <w:t>竖向</w:t>
      </w:r>
      <w:r>
        <w:rPr>
          <w:highlight w:val="none"/>
        </w:rPr>
        <w:t>中心线上。</w:t>
      </w:r>
    </w:p>
    <w:p w14:paraId="1BF4341D">
      <w:pPr>
        <w:numPr>
          <w:ilvl w:val="0"/>
          <w:numId w:val="41"/>
        </w:numPr>
        <w:tabs>
          <w:tab w:val="left" w:pos="-420"/>
          <w:tab w:val="clear" w:pos="-840"/>
        </w:tabs>
        <w:ind w:firstLine="480"/>
        <w:rPr>
          <w:highlight w:val="none"/>
        </w:rPr>
      </w:pPr>
      <w:r>
        <w:rPr>
          <w:rFonts w:hint="eastAsia"/>
          <w:highlight w:val="none"/>
        </w:rPr>
        <w:t>为保证</w:t>
      </w:r>
      <w:r>
        <w:rPr>
          <w:highlight w:val="none"/>
        </w:rPr>
        <w:t>门窗洞口</w:t>
      </w:r>
      <w:r>
        <w:rPr>
          <w:rFonts w:hint="eastAsia"/>
          <w:highlight w:val="none"/>
        </w:rPr>
        <w:t>方</w:t>
      </w:r>
      <w:r>
        <w:rPr>
          <w:highlight w:val="none"/>
        </w:rPr>
        <w:t>正度</w:t>
      </w:r>
      <w:r>
        <w:rPr>
          <w:rFonts w:hint="eastAsia"/>
          <w:highlight w:val="none"/>
        </w:rPr>
        <w:t>及</w:t>
      </w:r>
      <w:r>
        <w:rPr>
          <w:highlight w:val="none"/>
        </w:rPr>
        <w:t>整体平整度，对宽度小</w:t>
      </w:r>
      <w:r>
        <w:rPr>
          <w:rFonts w:hint="eastAsia"/>
          <w:highlight w:val="none"/>
        </w:rPr>
        <w:t>于1m的</w:t>
      </w:r>
      <w:r>
        <w:rPr>
          <w:highlight w:val="none"/>
        </w:rPr>
        <w:t>门洞，下端设置</w:t>
      </w:r>
      <w:r>
        <w:rPr>
          <w:rFonts w:hint="eastAsia"/>
          <w:highlight w:val="none"/>
        </w:rPr>
        <w:t>铝</w:t>
      </w:r>
      <w:r>
        <w:rPr>
          <w:highlight w:val="none"/>
        </w:rPr>
        <w:t>角拉件控制门宽，对宽度</w:t>
      </w:r>
      <w:r>
        <w:rPr>
          <w:rFonts w:hint="eastAsia"/>
          <w:highlight w:val="none"/>
        </w:rPr>
        <w:t>大于1m的</w:t>
      </w:r>
      <w:r>
        <w:rPr>
          <w:highlight w:val="none"/>
        </w:rPr>
        <w:t>门洞，</w:t>
      </w:r>
      <w:r>
        <w:rPr>
          <w:rFonts w:hint="eastAsia"/>
          <w:highlight w:val="none"/>
        </w:rPr>
        <w:t>于</w:t>
      </w:r>
      <w:r>
        <w:rPr>
          <w:highlight w:val="none"/>
        </w:rPr>
        <w:t>两边门头铝板下方各设置斜撑固定。</w:t>
      </w:r>
    </w:p>
    <w:p w14:paraId="29656310">
      <w:pPr>
        <w:numPr>
          <w:ilvl w:val="0"/>
          <w:numId w:val="41"/>
        </w:numPr>
        <w:tabs>
          <w:tab w:val="left" w:pos="-420"/>
          <w:tab w:val="clear" w:pos="-840"/>
        </w:tabs>
        <w:ind w:firstLine="480"/>
        <w:rPr>
          <w:highlight w:val="none"/>
        </w:rPr>
      </w:pPr>
      <w:r>
        <w:rPr>
          <w:rFonts w:hint="eastAsia"/>
          <w:highlight w:val="none"/>
        </w:rPr>
        <w:t>为</w:t>
      </w:r>
      <w:r>
        <w:rPr>
          <w:highlight w:val="none"/>
        </w:rPr>
        <w:t>控制施工标高，外墙起</w:t>
      </w:r>
      <w:r>
        <w:rPr>
          <w:rFonts w:hint="eastAsia"/>
          <w:highlight w:val="none"/>
        </w:rPr>
        <w:t>步</w:t>
      </w:r>
      <w:r>
        <w:rPr>
          <w:highlight w:val="none"/>
        </w:rPr>
        <w:t>板预</w:t>
      </w:r>
      <w:r>
        <w:rPr>
          <w:rFonts w:hint="eastAsia"/>
          <w:highlight w:val="none"/>
        </w:rPr>
        <w:t>埋螺丝</w:t>
      </w:r>
      <w:r>
        <w:rPr>
          <w:highlight w:val="none"/>
        </w:rPr>
        <w:t>孔为长圆孔，内墙底部铝模提高</w:t>
      </w:r>
      <w:r>
        <w:rPr>
          <w:rFonts w:hint="eastAsia"/>
          <w:highlight w:val="none"/>
        </w:rPr>
        <w:t>10</w:t>
      </w:r>
      <w:r>
        <w:rPr>
          <w:highlight w:val="none"/>
        </w:rPr>
        <w:t>mm</w:t>
      </w:r>
      <w:r>
        <w:rPr>
          <w:rFonts w:hint="eastAsia"/>
          <w:highlight w:val="none"/>
        </w:rPr>
        <w:t>，</w:t>
      </w:r>
      <w:r>
        <w:rPr>
          <w:highlight w:val="none"/>
        </w:rPr>
        <w:t>待标高调整到位后用限位</w:t>
      </w:r>
      <w:r>
        <w:rPr>
          <w:rFonts w:hint="eastAsia"/>
          <w:highlight w:val="none"/>
        </w:rPr>
        <w:t>板</w:t>
      </w:r>
      <w:r>
        <w:rPr>
          <w:highlight w:val="none"/>
        </w:rPr>
        <w:t>条堵缝，防止漏浆。</w:t>
      </w:r>
    </w:p>
    <w:p w14:paraId="018E1153">
      <w:pPr>
        <w:numPr>
          <w:ilvl w:val="0"/>
          <w:numId w:val="41"/>
        </w:numPr>
        <w:tabs>
          <w:tab w:val="left" w:pos="-420"/>
          <w:tab w:val="clear" w:pos="-840"/>
        </w:tabs>
        <w:ind w:firstLine="480"/>
        <w:rPr>
          <w:highlight w:val="none"/>
        </w:rPr>
      </w:pPr>
      <w:r>
        <w:rPr>
          <w:rFonts w:hint="eastAsia"/>
          <w:highlight w:val="none"/>
        </w:rPr>
        <w:t>为</w:t>
      </w:r>
      <w:r>
        <w:rPr>
          <w:highlight w:val="none"/>
        </w:rPr>
        <w:t>处理铝模施工楼层间的接缝，可在外墙部位设置</w:t>
      </w:r>
      <w:r>
        <w:rPr>
          <w:rFonts w:hint="eastAsia"/>
          <w:highlight w:val="none"/>
        </w:rPr>
        <w:t>300</w:t>
      </w:r>
      <w:r>
        <w:rPr>
          <w:highlight w:val="none"/>
        </w:rPr>
        <w:t>mm</w:t>
      </w:r>
      <w:r>
        <w:rPr>
          <w:rFonts w:hint="eastAsia"/>
          <w:highlight w:val="none"/>
        </w:rPr>
        <w:t>高</w:t>
      </w:r>
      <w:r>
        <w:rPr>
          <w:highlight w:val="none"/>
        </w:rPr>
        <w:t>起步板连接上下层铝模板，内墙墙身铝板下端为</w:t>
      </w:r>
      <w:r>
        <w:rPr>
          <w:rFonts w:hint="eastAsia"/>
          <w:highlight w:val="none"/>
        </w:rPr>
        <w:t>40</w:t>
      </w:r>
      <w:r>
        <w:rPr>
          <w:highlight w:val="none"/>
        </w:rPr>
        <w:t>mm</w:t>
      </w:r>
      <w:r>
        <w:rPr>
          <w:rFonts w:hint="eastAsia"/>
          <w:highlight w:val="none"/>
        </w:rPr>
        <w:t>的</w:t>
      </w:r>
      <w:r>
        <w:rPr>
          <w:highlight w:val="none"/>
        </w:rPr>
        <w:t>高铝角</w:t>
      </w:r>
      <w:r>
        <w:rPr>
          <w:rFonts w:hint="eastAsia"/>
          <w:highlight w:val="none"/>
        </w:rPr>
        <w:t>。</w:t>
      </w:r>
    </w:p>
    <w:p w14:paraId="6034C80A">
      <w:pPr>
        <w:numPr>
          <w:ilvl w:val="0"/>
          <w:numId w:val="41"/>
        </w:numPr>
        <w:tabs>
          <w:tab w:val="left" w:pos="-420"/>
          <w:tab w:val="clear" w:pos="-840"/>
        </w:tabs>
        <w:ind w:firstLine="480"/>
        <w:rPr>
          <w:highlight w:val="none"/>
        </w:rPr>
      </w:pPr>
      <w:r>
        <w:rPr>
          <w:rFonts w:hint="eastAsia"/>
          <w:highlight w:val="none"/>
        </w:rPr>
        <w:t>墙</w:t>
      </w:r>
      <w:r>
        <w:rPr>
          <w:highlight w:val="none"/>
        </w:rPr>
        <w:t>柱垂直定位参照线和标高控制线都应</w:t>
      </w:r>
      <w:r>
        <w:rPr>
          <w:rFonts w:hint="eastAsia"/>
          <w:highlight w:val="none"/>
        </w:rPr>
        <w:t>标识</w:t>
      </w:r>
      <w:r>
        <w:rPr>
          <w:highlight w:val="none"/>
        </w:rPr>
        <w:t>清晰准确</w:t>
      </w:r>
      <w:r>
        <w:rPr>
          <w:rFonts w:hint="eastAsia"/>
          <w:highlight w:val="none"/>
        </w:rPr>
        <w:t>，</w:t>
      </w:r>
      <w:r>
        <w:rPr>
          <w:highlight w:val="none"/>
        </w:rPr>
        <w:t>便于模板垂直度、水平度的控制。</w:t>
      </w:r>
    </w:p>
    <w:p w14:paraId="5342F9F6">
      <w:pPr>
        <w:numPr>
          <w:ilvl w:val="0"/>
          <w:numId w:val="41"/>
        </w:numPr>
        <w:tabs>
          <w:tab w:val="left" w:pos="-420"/>
          <w:tab w:val="clear" w:pos="-840"/>
        </w:tabs>
        <w:ind w:firstLine="480"/>
        <w:rPr>
          <w:highlight w:val="none"/>
        </w:rPr>
      </w:pPr>
      <w:r>
        <w:rPr>
          <w:rFonts w:hint="eastAsia"/>
          <w:highlight w:val="none"/>
        </w:rPr>
        <w:t>墙</w:t>
      </w:r>
      <w:r>
        <w:rPr>
          <w:highlight w:val="none"/>
        </w:rPr>
        <w:t>柱模板</w:t>
      </w:r>
      <w:r>
        <w:rPr>
          <w:rFonts w:hint="eastAsia"/>
          <w:highlight w:val="none"/>
        </w:rPr>
        <w:t>竖</w:t>
      </w:r>
      <w:r>
        <w:rPr>
          <w:highlight w:val="none"/>
        </w:rPr>
        <w:t>向要做成整</w:t>
      </w:r>
      <w:r>
        <w:rPr>
          <w:rFonts w:hint="eastAsia"/>
          <w:highlight w:val="none"/>
        </w:rPr>
        <w:t>板</w:t>
      </w:r>
      <w:r>
        <w:rPr>
          <w:highlight w:val="none"/>
        </w:rPr>
        <w:t>，不</w:t>
      </w:r>
      <w:r>
        <w:rPr>
          <w:rFonts w:hint="eastAsia"/>
          <w:highlight w:val="none"/>
        </w:rPr>
        <w:t>允许竖</w:t>
      </w:r>
      <w:r>
        <w:rPr>
          <w:highlight w:val="none"/>
        </w:rPr>
        <w:t>向</w:t>
      </w:r>
      <w:r>
        <w:rPr>
          <w:rFonts w:hint="eastAsia"/>
          <w:highlight w:val="none"/>
        </w:rPr>
        <w:t>拼</w:t>
      </w:r>
      <w:r>
        <w:rPr>
          <w:highlight w:val="none"/>
        </w:rPr>
        <w:t>缝</w:t>
      </w:r>
      <w:r>
        <w:rPr>
          <w:rFonts w:hint="eastAsia"/>
          <w:highlight w:val="none"/>
        </w:rPr>
        <w:t>，便于垂直</w:t>
      </w:r>
      <w:r>
        <w:rPr>
          <w:highlight w:val="none"/>
        </w:rPr>
        <w:t>控制。</w:t>
      </w:r>
    </w:p>
    <w:p w14:paraId="4D78CFF3">
      <w:pPr>
        <w:numPr>
          <w:ilvl w:val="0"/>
          <w:numId w:val="41"/>
        </w:numPr>
        <w:tabs>
          <w:tab w:val="left" w:pos="-420"/>
          <w:tab w:val="clear" w:pos="-840"/>
        </w:tabs>
        <w:ind w:firstLine="480"/>
        <w:rPr>
          <w:highlight w:val="none"/>
        </w:rPr>
      </w:pPr>
      <w:r>
        <w:rPr>
          <w:rFonts w:hint="eastAsia"/>
          <w:highlight w:val="none"/>
        </w:rPr>
        <w:t>现场</w:t>
      </w:r>
      <w:r>
        <w:rPr>
          <w:highlight w:val="none"/>
        </w:rPr>
        <w:t>设置校模机，对变形超过允许偏差的模板进行校正，确保混凝土成型尺寸及</w:t>
      </w:r>
      <w:r>
        <w:rPr>
          <w:rFonts w:hint="eastAsia"/>
          <w:highlight w:val="none"/>
        </w:rPr>
        <w:t>质量。</w:t>
      </w:r>
    </w:p>
    <w:p w14:paraId="0E2C6CA3">
      <w:pPr>
        <w:numPr>
          <w:ilvl w:val="0"/>
          <w:numId w:val="41"/>
        </w:numPr>
        <w:tabs>
          <w:tab w:val="left" w:pos="-420"/>
          <w:tab w:val="clear" w:pos="-840"/>
        </w:tabs>
        <w:ind w:firstLine="480"/>
        <w:rPr>
          <w:highlight w:val="none"/>
        </w:rPr>
      </w:pPr>
      <w:r>
        <w:rPr>
          <w:rFonts w:hint="eastAsia"/>
          <w:highlight w:val="none"/>
        </w:rPr>
        <w:t>模板</w:t>
      </w:r>
      <w:r>
        <w:rPr>
          <w:highlight w:val="none"/>
        </w:rPr>
        <w:t>拆除时，应将模板</w:t>
      </w:r>
      <w:r>
        <w:rPr>
          <w:rFonts w:hint="eastAsia"/>
          <w:highlight w:val="none"/>
        </w:rPr>
        <w:t>逐</w:t>
      </w:r>
      <w:r>
        <w:rPr>
          <w:highlight w:val="none"/>
        </w:rPr>
        <w:t>块拆除传递，严禁抛掷踩撞，避免损伤模板和</w:t>
      </w:r>
      <w:r>
        <w:rPr>
          <w:rFonts w:hint="eastAsia"/>
          <w:highlight w:val="none"/>
        </w:rPr>
        <w:t>混凝土</w:t>
      </w:r>
      <w:r>
        <w:rPr>
          <w:highlight w:val="none"/>
        </w:rPr>
        <w:t>。</w:t>
      </w:r>
    </w:p>
    <w:p w14:paraId="46B6678F">
      <w:pPr>
        <w:numPr>
          <w:ilvl w:val="0"/>
          <w:numId w:val="41"/>
        </w:numPr>
        <w:tabs>
          <w:tab w:val="left" w:pos="-420"/>
          <w:tab w:val="clear" w:pos="-840"/>
        </w:tabs>
        <w:ind w:firstLine="480"/>
        <w:rPr>
          <w:highlight w:val="none"/>
        </w:rPr>
      </w:pPr>
      <w:r>
        <w:rPr>
          <w:rFonts w:hint="eastAsia"/>
          <w:highlight w:val="none"/>
        </w:rPr>
        <w:t>拆下的模板和配件应分类堆放整齐。</w:t>
      </w:r>
    </w:p>
    <w:p w14:paraId="1E23BF84">
      <w:pPr>
        <w:numPr>
          <w:ilvl w:val="0"/>
          <w:numId w:val="41"/>
        </w:numPr>
        <w:tabs>
          <w:tab w:val="left" w:pos="-420"/>
          <w:tab w:val="clear" w:pos="-840"/>
        </w:tabs>
        <w:ind w:firstLine="480"/>
        <w:rPr>
          <w:highlight w:val="none"/>
        </w:rPr>
      </w:pPr>
      <w:r>
        <w:rPr>
          <w:rFonts w:hint="eastAsia"/>
          <w:highlight w:val="none"/>
        </w:rPr>
        <w:t>为</w:t>
      </w:r>
      <w:r>
        <w:rPr>
          <w:highlight w:val="none"/>
        </w:rPr>
        <w:t>减少混凝土泵抖动对支撑的不利影响，推荐使用下层</w:t>
      </w:r>
      <w:r>
        <w:rPr>
          <w:rFonts w:hint="eastAsia"/>
          <w:highlight w:val="none"/>
        </w:rPr>
        <w:t>布料</w:t>
      </w:r>
      <w:r>
        <w:rPr>
          <w:highlight w:val="none"/>
        </w:rPr>
        <w:t>机，如果使用</w:t>
      </w:r>
      <w:r>
        <w:rPr>
          <w:rFonts w:hint="eastAsia"/>
          <w:highlight w:val="none"/>
        </w:rPr>
        <w:t>普通</w:t>
      </w:r>
      <w:r>
        <w:rPr>
          <w:highlight w:val="none"/>
        </w:rPr>
        <w:t>布</w:t>
      </w:r>
      <w:r>
        <w:rPr>
          <w:rFonts w:hint="eastAsia"/>
          <w:highlight w:val="none"/>
        </w:rPr>
        <w:t>料</w:t>
      </w:r>
      <w:r>
        <w:rPr>
          <w:highlight w:val="none"/>
        </w:rPr>
        <w:t>机，水平管需垫轮胎</w:t>
      </w:r>
      <w:r>
        <w:rPr>
          <w:rFonts w:hint="eastAsia"/>
          <w:highlight w:val="none"/>
        </w:rPr>
        <w:t>减</w:t>
      </w:r>
      <w:r>
        <w:rPr>
          <w:highlight w:val="none"/>
        </w:rPr>
        <w:t>震</w:t>
      </w:r>
      <w:r>
        <w:rPr>
          <w:rFonts w:hint="eastAsia"/>
          <w:highlight w:val="none"/>
        </w:rPr>
        <w:t>，布料机下部须采取有效加固措施</w:t>
      </w:r>
      <w:r>
        <w:rPr>
          <w:highlight w:val="none"/>
        </w:rPr>
        <w:t>。</w:t>
      </w:r>
    </w:p>
    <w:p w14:paraId="2FC0C2F1">
      <w:pPr>
        <w:numPr>
          <w:ilvl w:val="0"/>
          <w:numId w:val="41"/>
        </w:numPr>
        <w:tabs>
          <w:tab w:val="left" w:pos="-420"/>
          <w:tab w:val="clear" w:pos="-840"/>
        </w:tabs>
        <w:ind w:firstLine="480"/>
        <w:rPr>
          <w:highlight w:val="none"/>
        </w:rPr>
      </w:pPr>
      <w:r>
        <w:rPr>
          <w:rFonts w:hint="eastAsia"/>
          <w:highlight w:val="none"/>
        </w:rPr>
        <w:t>总承包人应安排满足工程进度以及质量要求的铝模厂熟练工人进行</w:t>
      </w:r>
      <w:r>
        <w:rPr>
          <w:highlight w:val="none"/>
        </w:rPr>
        <w:t>铝模板施工</w:t>
      </w:r>
      <w:r>
        <w:rPr>
          <w:rFonts w:hint="eastAsia"/>
          <w:highlight w:val="none"/>
        </w:rPr>
        <w:t>。</w:t>
      </w:r>
    </w:p>
    <w:p w14:paraId="29812CE4">
      <w:pPr>
        <w:ind w:firstLine="480"/>
        <w:rPr>
          <w:highlight w:val="none"/>
        </w:rPr>
      </w:pPr>
      <w:r>
        <w:rPr>
          <w:rFonts w:hint="eastAsia"/>
          <w:highlight w:val="none"/>
          <w:lang w:val="en-US" w:eastAsia="zh-CN"/>
        </w:rPr>
        <w:t>7</w:t>
      </w:r>
      <w:r>
        <w:rPr>
          <w:rFonts w:hint="eastAsia"/>
          <w:highlight w:val="none"/>
        </w:rPr>
        <w:t>）铝模拆模控制</w:t>
      </w:r>
    </w:p>
    <w:p w14:paraId="5652DCA8">
      <w:pPr>
        <w:numPr>
          <w:ilvl w:val="0"/>
          <w:numId w:val="42"/>
        </w:numPr>
        <w:ind w:firstLine="480"/>
        <w:rPr>
          <w:highlight w:val="none"/>
        </w:rPr>
      </w:pPr>
      <w:r>
        <w:rPr>
          <w:rFonts w:hint="eastAsia"/>
          <w:highlight w:val="none"/>
        </w:rPr>
        <w:t>现场拆除组合铝模时，应遵循下列规定：拆模前应制定拆模的程序，拆模方法以及安全措施。先拆墙身模板，再拆梁、板模板。支撑件与杆件应逐件拆卸，模板应逐块拆卸传递，拆除时不得损伤模板和混凝土。拆下的模板和配件均应分类堆放整齐，附件应放在工具箱内。</w:t>
      </w:r>
    </w:p>
    <w:p w14:paraId="2998E530">
      <w:pPr>
        <w:numPr>
          <w:ilvl w:val="0"/>
          <w:numId w:val="42"/>
        </w:numPr>
        <w:ind w:firstLine="480"/>
        <w:rPr>
          <w:highlight w:val="none"/>
        </w:rPr>
      </w:pPr>
      <w:r>
        <w:rPr>
          <w:rFonts w:hint="eastAsia"/>
          <w:highlight w:val="none"/>
        </w:rPr>
        <w:t>拆除下来的模板应及时清理上面的混凝土残渣，然后及时涂刷专用脱模剂。脱模剂的涂刷要求：所有模板必须清洁干净后方可涂刷脱模剂；墙身模板竖立后用滚筒涂刷，为防止量过多流动污染地面，只刷模板上半部分，下半部分让它自由流匀；楼面部分的脱模剂不能用滚筒涂刷，只能用胶壶喷洒，且用量不能过多。</w:t>
      </w:r>
    </w:p>
    <w:p w14:paraId="19C03601">
      <w:pPr>
        <w:ind w:firstLine="480"/>
        <w:rPr>
          <w:rFonts w:ascii="Times New Roman"/>
          <w:bCs/>
          <w:highlight w:val="none"/>
        </w:rPr>
      </w:pPr>
      <w:r>
        <w:rPr>
          <w:rFonts w:hint="eastAsia"/>
          <w:highlight w:val="none"/>
          <w:lang w:val="en-US" w:eastAsia="zh-CN"/>
        </w:rPr>
        <w:t>8</w:t>
      </w:r>
      <w:r>
        <w:rPr>
          <w:rFonts w:hint="eastAsia"/>
          <w:highlight w:val="none"/>
        </w:rPr>
        <w:t>）</w:t>
      </w:r>
      <w:r>
        <w:rPr>
          <w:rFonts w:hint="eastAsia" w:ascii="Times New Roman"/>
          <w:bCs/>
          <w:highlight w:val="none"/>
        </w:rPr>
        <w:t>负责拉片式铝模防锈工作，采用银色防锈漆按圆形磨具涂刷。总承包人投标报价时充分考虑相关措施费用，包含在合约清单中。</w:t>
      </w:r>
    </w:p>
    <w:p w14:paraId="764FEA4A">
      <w:pPr>
        <w:ind w:firstLine="480"/>
        <w:rPr>
          <w:highlight w:val="none"/>
        </w:rPr>
      </w:pPr>
      <w:r>
        <w:rPr>
          <w:rFonts w:hint="eastAsia"/>
          <w:highlight w:val="none"/>
          <w:lang w:val="en-US" w:eastAsia="zh-CN"/>
        </w:rPr>
        <w:t>9</w:t>
      </w:r>
      <w:r>
        <w:rPr>
          <w:highlight w:val="none"/>
        </w:rPr>
        <w:t>）</w:t>
      </w:r>
      <w:r>
        <w:rPr>
          <w:rFonts w:hint="eastAsia"/>
          <w:highlight w:val="none"/>
        </w:rPr>
        <w:t>外墙免抹灰项目，爬架底部、中部两道翻板位置需设置截浆带，以阻止外墙模板漏浆而污染爬架以下的外墙腻子。</w:t>
      </w:r>
    </w:p>
    <w:p w14:paraId="61624053">
      <w:pPr>
        <w:pStyle w:val="5"/>
        <w:numPr>
          <w:ilvl w:val="2"/>
          <w:numId w:val="0"/>
        </w:numPr>
        <w:ind w:left="624" w:hanging="624"/>
        <w:rPr>
          <w:highlight w:val="none"/>
        </w:rPr>
      </w:pPr>
      <w:bookmarkStart w:id="758" w:name="_Toc30974"/>
      <w:r>
        <w:rPr>
          <w:rFonts w:hint="eastAsia"/>
          <w:highlight w:val="none"/>
        </w:rPr>
        <w:t>7.4.3混凝土工程</w:t>
      </w:r>
      <w:bookmarkEnd w:id="758"/>
    </w:p>
    <w:p w14:paraId="69AC590C">
      <w:pPr>
        <w:pStyle w:val="6"/>
        <w:numPr>
          <w:ilvl w:val="3"/>
          <w:numId w:val="0"/>
        </w:numPr>
        <w:ind w:left="864" w:leftChars="100" w:hanging="624"/>
        <w:rPr>
          <w:highlight w:val="none"/>
        </w:rPr>
      </w:pPr>
      <w:r>
        <w:rPr>
          <w:rFonts w:hint="eastAsia"/>
          <w:highlight w:val="none"/>
        </w:rPr>
        <w:t xml:space="preserve">7.4.3.1质量标准 </w:t>
      </w:r>
      <w:r>
        <w:rPr>
          <w:highlight w:val="none"/>
        </w:rPr>
        <w:t xml:space="preserve"> </w:t>
      </w:r>
    </w:p>
    <w:p w14:paraId="5A565C5B">
      <w:pPr>
        <w:numPr>
          <w:ilvl w:val="0"/>
          <w:numId w:val="43"/>
        </w:numPr>
        <w:ind w:firstLine="480"/>
        <w:rPr>
          <w:highlight w:val="none"/>
        </w:rPr>
      </w:pPr>
      <w:r>
        <w:rPr>
          <w:rFonts w:hint="eastAsia"/>
          <w:highlight w:val="none"/>
        </w:rPr>
        <w:t>应符合国家和行业现行有关混凝土工程的规范和标准。</w:t>
      </w:r>
    </w:p>
    <w:p w14:paraId="282B7DE9">
      <w:pPr>
        <w:numPr>
          <w:ilvl w:val="0"/>
          <w:numId w:val="43"/>
        </w:numPr>
        <w:ind w:firstLine="480"/>
        <w:rPr>
          <w:highlight w:val="none"/>
        </w:rPr>
      </w:pPr>
      <w:bookmarkStart w:id="759" w:name="_Hlk168303936"/>
      <w:r>
        <w:rPr>
          <w:rFonts w:hint="eastAsia"/>
          <w:highlight w:val="none"/>
        </w:rPr>
        <w:t>如混凝土墙为无保温且免抹灰做法，总承包人应采取必要的打磨、修补措施，对混凝土墙进行整改处理，质量标准为垂直度、平整度允许偏差</w:t>
      </w:r>
      <w:r>
        <w:rPr>
          <w:highlight w:val="none"/>
        </w:rPr>
        <w:t>4mm</w:t>
      </w:r>
      <w:r>
        <w:rPr>
          <w:rFonts w:hint="eastAsia"/>
          <w:highlight w:val="none"/>
        </w:rPr>
        <w:t>，并达到工序移交标准。总承包人投标报价时充分考虑相关措施费用，相关费用不单独计取。</w:t>
      </w:r>
      <w:bookmarkEnd w:id="759"/>
    </w:p>
    <w:p w14:paraId="648D3028">
      <w:pPr>
        <w:numPr>
          <w:ilvl w:val="0"/>
          <w:numId w:val="43"/>
        </w:numPr>
        <w:ind w:firstLine="480"/>
        <w:rPr>
          <w:highlight w:val="none"/>
        </w:rPr>
      </w:pPr>
      <w:r>
        <w:rPr>
          <w:rFonts w:hint="eastAsia"/>
          <w:highlight w:val="none"/>
        </w:rPr>
        <w:t>混凝土施工缝、后浇带留置应按设计要求。</w:t>
      </w:r>
    </w:p>
    <w:p w14:paraId="22D474AC">
      <w:pPr>
        <w:numPr>
          <w:ilvl w:val="0"/>
          <w:numId w:val="43"/>
        </w:numPr>
        <w:ind w:firstLine="480"/>
        <w:rPr>
          <w:highlight w:val="none"/>
        </w:rPr>
      </w:pPr>
      <w:r>
        <w:rPr>
          <w:rFonts w:hint="eastAsia"/>
          <w:highlight w:val="none"/>
        </w:rPr>
        <w:t>现浇混凝土楼板板底严禁抹灰。</w:t>
      </w:r>
    </w:p>
    <w:p w14:paraId="033AEA72">
      <w:pPr>
        <w:numPr>
          <w:ilvl w:val="0"/>
          <w:numId w:val="43"/>
        </w:numPr>
        <w:ind w:firstLine="480"/>
        <w:rPr>
          <w:highlight w:val="none"/>
        </w:rPr>
      </w:pPr>
      <w:r>
        <w:rPr>
          <w:rFonts w:hint="eastAsia"/>
          <w:highlight w:val="none"/>
        </w:rPr>
        <w:t>混凝土不得出现蜂窝、烂根、缺棱掉角、一般表面夹渣（如夹模板、垃圾、编织袋等）、混凝土楼板收面不佳（如有脚印、麻面、高低不平）、混凝土构件出现孔洞（深于钢筋保护层厚度）、露筋等情况，阴角线应规整顺直。</w:t>
      </w:r>
    </w:p>
    <w:p w14:paraId="13D8D988">
      <w:pPr>
        <w:numPr>
          <w:ilvl w:val="0"/>
          <w:numId w:val="43"/>
        </w:numPr>
        <w:ind w:firstLine="480"/>
        <w:rPr>
          <w:highlight w:val="none"/>
        </w:rPr>
      </w:pPr>
      <w:r>
        <w:rPr>
          <w:rFonts w:hint="eastAsia"/>
          <w:highlight w:val="none"/>
        </w:rPr>
        <w:t>铝模施工区域</w:t>
      </w:r>
      <w:r>
        <w:rPr>
          <w:highlight w:val="none"/>
        </w:rPr>
        <w:t>确保混凝土拆模后实测实量</w:t>
      </w:r>
      <w:r>
        <w:rPr>
          <w:rFonts w:hint="eastAsia"/>
          <w:highlight w:val="none"/>
        </w:rPr>
        <w:t>一次</w:t>
      </w:r>
      <w:r>
        <w:rPr>
          <w:highlight w:val="none"/>
        </w:rPr>
        <w:t>合格率不低于9</w:t>
      </w:r>
      <w:r>
        <w:rPr>
          <w:rFonts w:hint="eastAsia"/>
          <w:highlight w:val="none"/>
        </w:rPr>
        <w:t>8</w:t>
      </w:r>
      <w:r>
        <w:rPr>
          <w:highlight w:val="none"/>
        </w:rPr>
        <w:t>%</w:t>
      </w:r>
      <w:r>
        <w:rPr>
          <w:rFonts w:hint="eastAsia"/>
          <w:highlight w:val="none"/>
        </w:rPr>
        <w:t>。</w:t>
      </w:r>
    </w:p>
    <w:p w14:paraId="7E3227D0">
      <w:pPr>
        <w:pStyle w:val="6"/>
        <w:numPr>
          <w:ilvl w:val="3"/>
          <w:numId w:val="0"/>
        </w:numPr>
        <w:ind w:left="864" w:leftChars="100" w:hanging="624"/>
        <w:rPr>
          <w:highlight w:val="none"/>
        </w:rPr>
      </w:pPr>
      <w:r>
        <w:rPr>
          <w:rFonts w:hint="eastAsia"/>
          <w:highlight w:val="none"/>
        </w:rPr>
        <w:t>7.4.3.2浇筑令</w:t>
      </w:r>
    </w:p>
    <w:p w14:paraId="0E8AA029">
      <w:pPr>
        <w:ind w:firstLine="480"/>
        <w:rPr>
          <w:highlight w:val="none"/>
        </w:rPr>
      </w:pPr>
      <w:r>
        <w:rPr>
          <w:rFonts w:hint="eastAsia"/>
          <w:highlight w:val="none"/>
        </w:rPr>
        <w:t>混凝土浇筑前，应经监理人/发包人对模板工程、钢筋工程及水电预留预埋等隐蔽工程验收合格后，会签验收意见，并由总监/总监代表下发浇筑令再进行混凝土浇筑施工。</w:t>
      </w:r>
    </w:p>
    <w:p w14:paraId="3A7EF1FC">
      <w:pPr>
        <w:pStyle w:val="6"/>
        <w:numPr>
          <w:ilvl w:val="3"/>
          <w:numId w:val="0"/>
        </w:numPr>
        <w:ind w:left="864" w:leftChars="100" w:hanging="624"/>
        <w:rPr>
          <w:highlight w:val="none"/>
        </w:rPr>
      </w:pPr>
      <w:r>
        <w:rPr>
          <w:rFonts w:hint="eastAsia"/>
          <w:highlight w:val="none"/>
        </w:rPr>
        <w:t>7.4.3.3混凝土材料验收要求</w:t>
      </w:r>
    </w:p>
    <w:p w14:paraId="443273CF">
      <w:pPr>
        <w:numPr>
          <w:ilvl w:val="0"/>
          <w:numId w:val="44"/>
        </w:numPr>
        <w:ind w:firstLine="480"/>
        <w:rPr>
          <w:highlight w:val="none"/>
        </w:rPr>
      </w:pPr>
      <w:r>
        <w:rPr>
          <w:rFonts w:hint="eastAsia"/>
          <w:highlight w:val="none"/>
        </w:rPr>
        <w:t>基础、主体结构须全部采用商品混凝土。</w:t>
      </w:r>
    </w:p>
    <w:p w14:paraId="4B21F332">
      <w:pPr>
        <w:numPr>
          <w:ilvl w:val="0"/>
          <w:numId w:val="44"/>
        </w:numPr>
        <w:ind w:firstLine="480"/>
        <w:rPr>
          <w:highlight w:val="none"/>
        </w:rPr>
      </w:pPr>
      <w:r>
        <w:rPr>
          <w:rFonts w:hint="eastAsia"/>
          <w:highlight w:val="none"/>
        </w:rPr>
        <w:t>监理人在混凝土运输到达现场后随机见证抽检混凝土塌落度，并见证取样留置混凝土试块，做好标识。对进场不合格的混凝土一律退回，不得浇筑。</w:t>
      </w:r>
    </w:p>
    <w:p w14:paraId="33DFEE96">
      <w:pPr>
        <w:numPr>
          <w:ilvl w:val="0"/>
          <w:numId w:val="44"/>
        </w:numPr>
        <w:ind w:firstLine="480"/>
        <w:rPr>
          <w:highlight w:val="none"/>
        </w:rPr>
      </w:pPr>
      <w:r>
        <w:rPr>
          <w:rFonts w:hint="eastAsia"/>
          <w:highlight w:val="none"/>
        </w:rPr>
        <w:t>混凝土搅拌站应提供原材料的质量合格证明文件和混凝土配合比单。</w:t>
      </w:r>
    </w:p>
    <w:p w14:paraId="1F40B5B7">
      <w:pPr>
        <w:pStyle w:val="6"/>
        <w:numPr>
          <w:ilvl w:val="3"/>
          <w:numId w:val="0"/>
        </w:numPr>
        <w:ind w:left="864" w:leftChars="100" w:hanging="624"/>
        <w:rPr>
          <w:highlight w:val="none"/>
        </w:rPr>
      </w:pPr>
      <w:r>
        <w:rPr>
          <w:rFonts w:hint="eastAsia"/>
          <w:highlight w:val="none"/>
        </w:rPr>
        <w:t>7.4.3.4浇筑过程控制要求</w:t>
      </w:r>
    </w:p>
    <w:p w14:paraId="3801B581">
      <w:pPr>
        <w:numPr>
          <w:ilvl w:val="0"/>
          <w:numId w:val="45"/>
        </w:numPr>
        <w:ind w:firstLine="480"/>
        <w:rPr>
          <w:highlight w:val="none"/>
        </w:rPr>
      </w:pPr>
      <w:r>
        <w:rPr>
          <w:rFonts w:hint="eastAsia"/>
          <w:highlight w:val="none"/>
        </w:rPr>
        <w:t xml:space="preserve">保证混凝土供应及时，并确保混凝土连续浇筑。 </w:t>
      </w:r>
    </w:p>
    <w:p w14:paraId="64244E62">
      <w:pPr>
        <w:numPr>
          <w:ilvl w:val="0"/>
          <w:numId w:val="45"/>
        </w:numPr>
        <w:ind w:firstLine="480"/>
        <w:rPr>
          <w:highlight w:val="none"/>
        </w:rPr>
      </w:pPr>
      <w:r>
        <w:rPr>
          <w:rFonts w:hint="eastAsia"/>
          <w:highlight w:val="none"/>
        </w:rPr>
        <w:t>混凝土浇筑振捣时须关注模板是否变形，随时校正和加固模板。</w:t>
      </w:r>
    </w:p>
    <w:p w14:paraId="28B5FD79">
      <w:pPr>
        <w:numPr>
          <w:ilvl w:val="0"/>
          <w:numId w:val="45"/>
        </w:numPr>
        <w:ind w:firstLine="480"/>
        <w:rPr>
          <w:highlight w:val="none"/>
        </w:rPr>
      </w:pPr>
      <w:r>
        <w:rPr>
          <w:rFonts w:hint="eastAsia"/>
          <w:highlight w:val="none"/>
        </w:rPr>
        <w:t>墙柱混凝土必须分层连续浇筑，每层浇筑高度不大于500mm。</w:t>
      </w:r>
    </w:p>
    <w:p w14:paraId="5A502FF7">
      <w:pPr>
        <w:numPr>
          <w:ilvl w:val="0"/>
          <w:numId w:val="45"/>
        </w:numPr>
        <w:ind w:firstLine="480"/>
        <w:rPr>
          <w:highlight w:val="none"/>
        </w:rPr>
      </w:pPr>
      <w:r>
        <w:rPr>
          <w:rFonts w:hint="eastAsia"/>
          <w:highlight w:val="none"/>
        </w:rPr>
        <w:t>墙柱与梁、板的混凝土强度等级不同时，应先浇筑墙柱高标号混凝土于楼板面标高，且向柱周边的板内及梁内浇筑一定的长度，然后再浇梁、板混凝土。</w:t>
      </w:r>
    </w:p>
    <w:p w14:paraId="0FE65BA6">
      <w:pPr>
        <w:numPr>
          <w:ilvl w:val="0"/>
          <w:numId w:val="45"/>
        </w:numPr>
        <w:ind w:firstLine="480"/>
        <w:rPr>
          <w:highlight w:val="none"/>
        </w:rPr>
      </w:pPr>
      <w:r>
        <w:rPr>
          <w:rFonts w:hint="eastAsia"/>
          <w:highlight w:val="none"/>
        </w:rPr>
        <w:t>严格控制振捣时间，不得过振和漏振，防止出现离析、蜂窝、狗洞等质量问题。</w:t>
      </w:r>
    </w:p>
    <w:p w14:paraId="7D5D0782">
      <w:pPr>
        <w:numPr>
          <w:ilvl w:val="0"/>
          <w:numId w:val="45"/>
        </w:numPr>
        <w:ind w:firstLine="480"/>
        <w:rPr>
          <w:highlight w:val="none"/>
        </w:rPr>
      </w:pPr>
      <w:r>
        <w:rPr>
          <w:rFonts w:hint="eastAsia"/>
          <w:highlight w:val="none"/>
        </w:rPr>
        <w:t>浇筑混凝土应连续进行。如必须间歇，时间应尽量缩短，并应在前层混凝土初凝之前，将次层混凝土浇筑完毕。间歇的最长时间应按所有水泥品种及混凝土初凝条件确定，一般超过2小时应按施工缝处理。</w:t>
      </w:r>
    </w:p>
    <w:p w14:paraId="40519957">
      <w:pPr>
        <w:numPr>
          <w:ilvl w:val="0"/>
          <w:numId w:val="45"/>
        </w:numPr>
        <w:ind w:firstLine="480"/>
        <w:rPr>
          <w:highlight w:val="none"/>
        </w:rPr>
      </w:pPr>
      <w:r>
        <w:rPr>
          <w:rFonts w:hint="eastAsia"/>
          <w:highlight w:val="none"/>
        </w:rPr>
        <w:t>浇筑混凝土时应派专人经常观察模板钢筋、预留孔洞、预埋件、插筋等有无位移变形或堵塞情况，发现问题应停止浇灌并应在已浇筑的混凝土初凝前修整完毕。</w:t>
      </w:r>
    </w:p>
    <w:p w14:paraId="26AB4741">
      <w:pPr>
        <w:numPr>
          <w:ilvl w:val="0"/>
          <w:numId w:val="45"/>
        </w:numPr>
        <w:ind w:firstLine="480"/>
        <w:rPr>
          <w:highlight w:val="none"/>
        </w:rPr>
      </w:pPr>
      <w:r>
        <w:rPr>
          <w:rFonts w:hint="eastAsia"/>
          <w:highlight w:val="none"/>
        </w:rPr>
        <w:t>梁板混凝土浇筑过程中，必须采用拉线、插扦等方式严格控制楼板厚度。插扦测量板厚应在楼板混凝土振捣完成后进行，分别对板四角及板中位置的板厚进行插扦测量，并在平面图上记录板厚数据。板厚控制应以插扦数据为准。</w:t>
      </w:r>
    </w:p>
    <w:p w14:paraId="625FEED6">
      <w:pPr>
        <w:numPr>
          <w:ilvl w:val="0"/>
          <w:numId w:val="45"/>
        </w:numPr>
        <w:ind w:firstLine="480"/>
        <w:rPr>
          <w:highlight w:val="none"/>
        </w:rPr>
      </w:pPr>
      <w:r>
        <w:rPr>
          <w:rFonts w:hint="eastAsia"/>
          <w:highlight w:val="none"/>
        </w:rPr>
        <w:t>构造柱混凝土一次浇筑时必须采取措施（填砂）与结构断开，以免改变结构受力状态。</w:t>
      </w:r>
    </w:p>
    <w:p w14:paraId="1D526B81">
      <w:pPr>
        <w:numPr>
          <w:ilvl w:val="0"/>
          <w:numId w:val="45"/>
        </w:numPr>
        <w:ind w:firstLine="480"/>
        <w:rPr>
          <w:highlight w:val="none"/>
        </w:rPr>
      </w:pPr>
      <w:r>
        <w:rPr>
          <w:rFonts w:hint="eastAsia"/>
          <w:highlight w:val="none"/>
        </w:rPr>
        <w:t>楼板混凝土振捣完成后，应进行收光扫毛。初次压光应在混凝土初凝前，用木抹子搓压后，用铁抹子初次压光；待混凝土表面收水后（人踩了有脚印，但不陷入时为宜）采用磨光机进行第二次压光，压光时用力均匀，将表面压实、压光，清除表面气泡、砂眼等缺陷。收光完成后，需对楼板混凝土表面用扫把进行扫毛，以增强结构与后续工艺的粘结性。</w:t>
      </w:r>
    </w:p>
    <w:p w14:paraId="2FDEDCDF">
      <w:pPr>
        <w:pStyle w:val="6"/>
        <w:numPr>
          <w:ilvl w:val="3"/>
          <w:numId w:val="0"/>
        </w:numPr>
        <w:ind w:left="864" w:leftChars="100" w:hanging="624"/>
        <w:rPr>
          <w:highlight w:val="none"/>
        </w:rPr>
      </w:pPr>
      <w:r>
        <w:rPr>
          <w:rFonts w:hint="eastAsia"/>
          <w:highlight w:val="none"/>
        </w:rPr>
        <w:t>7.4.3.5</w:t>
      </w:r>
      <w:r>
        <w:rPr>
          <w:highlight w:val="none"/>
        </w:rPr>
        <w:t xml:space="preserve"> </w:t>
      </w:r>
      <w:r>
        <w:rPr>
          <w:rFonts w:hint="eastAsia"/>
          <w:highlight w:val="none"/>
        </w:rPr>
        <w:t>混凝土的养护要求</w:t>
      </w:r>
    </w:p>
    <w:p w14:paraId="25E522C1">
      <w:pPr>
        <w:numPr>
          <w:ilvl w:val="0"/>
          <w:numId w:val="46"/>
        </w:numPr>
        <w:ind w:firstLine="480"/>
        <w:rPr>
          <w:highlight w:val="none"/>
        </w:rPr>
      </w:pPr>
      <w:r>
        <w:rPr>
          <w:rFonts w:hint="eastAsia"/>
          <w:highlight w:val="none"/>
        </w:rPr>
        <w:t>混凝土浇筑完毕后12小时内宜用塑料薄膜覆盖并保湿养护，混凝土在规范规定的养护期内必须保湿养护，养护应由专人负责。</w:t>
      </w:r>
    </w:p>
    <w:p w14:paraId="7EA8120B">
      <w:pPr>
        <w:numPr>
          <w:ilvl w:val="0"/>
          <w:numId w:val="46"/>
        </w:numPr>
        <w:ind w:firstLine="480"/>
        <w:rPr>
          <w:highlight w:val="none"/>
        </w:rPr>
      </w:pPr>
      <w:r>
        <w:rPr>
          <w:rFonts w:hint="eastAsia"/>
          <w:highlight w:val="none"/>
        </w:rPr>
        <w:t>混凝土浇水养护日期，掺用缓凝型外加剂或有抗渗要求的混凝土不得小于14天。在混凝土强度达到1.2Mpa之前，不得在其上踩或施工振动。柱、墙拆模后，宜用塑料薄膜覆盖养护，以确保立面结构表面保持湿润状态。</w:t>
      </w:r>
    </w:p>
    <w:p w14:paraId="3E69ED6C">
      <w:pPr>
        <w:pStyle w:val="6"/>
        <w:numPr>
          <w:ilvl w:val="3"/>
          <w:numId w:val="0"/>
        </w:numPr>
        <w:spacing w:before="120" w:beforeLines="50" w:after="120" w:afterLines="50"/>
        <w:ind w:left="864" w:leftChars="100" w:hanging="624"/>
        <w:rPr>
          <w:highlight w:val="none"/>
        </w:rPr>
      </w:pPr>
      <w:r>
        <w:rPr>
          <w:rFonts w:hint="eastAsia"/>
          <w:highlight w:val="none"/>
        </w:rPr>
        <w:t>7.4.3.6屋面混凝土施工</w:t>
      </w:r>
    </w:p>
    <w:p w14:paraId="44F61BEB">
      <w:pPr>
        <w:numPr>
          <w:ilvl w:val="0"/>
          <w:numId w:val="47"/>
        </w:numPr>
        <w:ind w:firstLine="480"/>
        <w:rPr>
          <w:highlight w:val="none"/>
        </w:rPr>
      </w:pPr>
      <w:r>
        <w:rPr>
          <w:rFonts w:hint="eastAsia"/>
          <w:highlight w:val="none"/>
        </w:rPr>
        <w:t>同个板块内的室外或屋顶混凝土浇筑若留设施工缝，至少在泛水高度范围内，其止水钢板设置应闭合完整。</w:t>
      </w:r>
    </w:p>
    <w:p w14:paraId="63F0884D">
      <w:pPr>
        <w:numPr>
          <w:ilvl w:val="0"/>
          <w:numId w:val="47"/>
        </w:numPr>
        <w:ind w:firstLine="480"/>
        <w:rPr>
          <w:highlight w:val="none"/>
        </w:rPr>
      </w:pPr>
      <w:r>
        <w:rPr>
          <w:rFonts w:hint="eastAsia"/>
          <w:highlight w:val="none"/>
        </w:rPr>
        <w:t>室外和屋顶区域的竖向构件（如：女儿墙、天窗反坎、伸缩缝、风井等）混凝土应尽量一次浇筑，不得在泛水高度范围内形成冷缝，否则须在施工缝处设置止水钢板。该范围内须使用符合设计要求的止水螺杆进行模板工程的加固。</w:t>
      </w:r>
    </w:p>
    <w:p w14:paraId="34892D99">
      <w:pPr>
        <w:pStyle w:val="4"/>
        <w:numPr>
          <w:ilvl w:val="1"/>
          <w:numId w:val="0"/>
        </w:numPr>
        <w:ind w:left="624" w:hanging="624"/>
        <w:rPr>
          <w:highlight w:val="none"/>
        </w:rPr>
      </w:pPr>
      <w:bookmarkStart w:id="760" w:name="_Toc179563005"/>
      <w:bookmarkStart w:id="761" w:name="_Toc6548"/>
      <w:bookmarkStart w:id="762" w:name="_Toc6525"/>
      <w:bookmarkStart w:id="763" w:name="_Toc31689"/>
      <w:bookmarkStart w:id="764" w:name="_Toc15254"/>
      <w:bookmarkStart w:id="765" w:name="_Toc3252"/>
      <w:bookmarkStart w:id="766" w:name="_Toc422854856"/>
      <w:bookmarkStart w:id="767" w:name="_Toc169722233"/>
      <w:bookmarkStart w:id="768" w:name="_Toc3498"/>
      <w:r>
        <w:rPr>
          <w:rFonts w:hint="eastAsia"/>
          <w:highlight w:val="none"/>
        </w:rPr>
        <w:t>7.5</w:t>
      </w:r>
      <w:r>
        <w:rPr>
          <w:highlight w:val="none"/>
        </w:rPr>
        <w:t>砌筑工程技术要求</w:t>
      </w:r>
      <w:bookmarkEnd w:id="760"/>
      <w:bookmarkEnd w:id="761"/>
      <w:bookmarkEnd w:id="762"/>
      <w:bookmarkEnd w:id="763"/>
      <w:bookmarkEnd w:id="764"/>
      <w:bookmarkEnd w:id="765"/>
      <w:bookmarkEnd w:id="766"/>
      <w:bookmarkEnd w:id="767"/>
      <w:bookmarkEnd w:id="768"/>
    </w:p>
    <w:p w14:paraId="203FCB92">
      <w:pPr>
        <w:pStyle w:val="5"/>
        <w:numPr>
          <w:ilvl w:val="2"/>
          <w:numId w:val="0"/>
        </w:numPr>
        <w:ind w:left="624" w:hanging="624"/>
        <w:rPr>
          <w:highlight w:val="none"/>
        </w:rPr>
      </w:pPr>
      <w:bookmarkStart w:id="769" w:name="_Toc5455"/>
      <w:r>
        <w:rPr>
          <w:rFonts w:hint="eastAsia"/>
          <w:highlight w:val="none"/>
        </w:rPr>
        <w:t>7.5.1砌筑工程</w:t>
      </w:r>
      <w:bookmarkEnd w:id="769"/>
    </w:p>
    <w:p w14:paraId="0C2F59F9">
      <w:pPr>
        <w:pStyle w:val="6"/>
        <w:numPr>
          <w:ilvl w:val="3"/>
          <w:numId w:val="0"/>
        </w:numPr>
        <w:ind w:left="864" w:leftChars="100" w:hanging="624"/>
        <w:rPr>
          <w:highlight w:val="none"/>
        </w:rPr>
      </w:pPr>
      <w:r>
        <w:rPr>
          <w:rFonts w:hint="eastAsia"/>
          <w:highlight w:val="none"/>
        </w:rPr>
        <w:t>7.5.1.1质量标准</w:t>
      </w:r>
    </w:p>
    <w:p w14:paraId="1A93F74F">
      <w:pPr>
        <w:numPr>
          <w:ilvl w:val="0"/>
          <w:numId w:val="48"/>
        </w:numPr>
        <w:ind w:firstLine="480"/>
        <w:rPr>
          <w:highlight w:val="none"/>
        </w:rPr>
      </w:pPr>
      <w:r>
        <w:rPr>
          <w:highlight w:val="none"/>
        </w:rPr>
        <w:t>应符合现行国家和行业有关砌体工程的规范、标准。</w:t>
      </w:r>
    </w:p>
    <w:p w14:paraId="6545496E">
      <w:pPr>
        <w:numPr>
          <w:ilvl w:val="0"/>
          <w:numId w:val="48"/>
        </w:numPr>
        <w:ind w:firstLine="480"/>
        <w:rPr>
          <w:highlight w:val="none"/>
        </w:rPr>
      </w:pPr>
      <w:r>
        <w:rPr>
          <w:highlight w:val="none"/>
        </w:rPr>
        <w:t>砌块排列：上、下皮应错缝搭砌，搭砌长度不应小于砌块长度的</w:t>
      </w:r>
      <w:r>
        <w:rPr>
          <w:rFonts w:hint="eastAsia"/>
          <w:highlight w:val="none"/>
        </w:rPr>
        <w:t>1/3</w:t>
      </w:r>
      <w:r>
        <w:rPr>
          <w:highlight w:val="none"/>
        </w:rPr>
        <w:t>，且不应小于20</w:t>
      </w:r>
      <w:r>
        <w:rPr>
          <w:rFonts w:hint="eastAsia"/>
          <w:highlight w:val="none"/>
        </w:rPr>
        <w:t>0mm</w:t>
      </w:r>
      <w:r>
        <w:rPr>
          <w:highlight w:val="none"/>
        </w:rPr>
        <w:t>。</w:t>
      </w:r>
    </w:p>
    <w:p w14:paraId="0968DA7A">
      <w:pPr>
        <w:numPr>
          <w:ilvl w:val="0"/>
          <w:numId w:val="48"/>
        </w:numPr>
        <w:ind w:firstLine="480"/>
        <w:rPr>
          <w:highlight w:val="none"/>
        </w:rPr>
      </w:pPr>
      <w:r>
        <w:rPr>
          <w:highlight w:val="none"/>
        </w:rPr>
        <w:t>砌筑交接处：外墙转角及纵横墙交接处，应将砌块分皮咬槎，交错搭砌，如果不能咬槎时，按设计要求采取其它的构造措施。</w:t>
      </w:r>
    </w:p>
    <w:p w14:paraId="16DF12D9">
      <w:pPr>
        <w:numPr>
          <w:ilvl w:val="0"/>
          <w:numId w:val="48"/>
        </w:numPr>
        <w:ind w:firstLine="480"/>
        <w:rPr>
          <w:highlight w:val="none"/>
        </w:rPr>
      </w:pPr>
      <w:r>
        <w:rPr>
          <w:highlight w:val="none"/>
        </w:rPr>
        <w:t>砌体垂直缝：砌体垂直缝与门窗洞口边线应避开同缝，且不得采用砖镶砌。</w:t>
      </w:r>
    </w:p>
    <w:p w14:paraId="6B127048">
      <w:pPr>
        <w:numPr>
          <w:ilvl w:val="0"/>
          <w:numId w:val="48"/>
        </w:numPr>
        <w:ind w:firstLine="480"/>
        <w:rPr>
          <w:highlight w:val="none"/>
        </w:rPr>
      </w:pPr>
      <w:r>
        <w:rPr>
          <w:highlight w:val="none"/>
        </w:rPr>
        <w:t>灰缝：砌体水平灰缝和竖向灰缝宽度不应超过</w:t>
      </w:r>
      <w:r>
        <w:rPr>
          <w:rFonts w:hint="eastAsia"/>
          <w:highlight w:val="none"/>
        </w:rPr>
        <w:t>15mm</w:t>
      </w:r>
      <w:r>
        <w:rPr>
          <w:highlight w:val="none"/>
        </w:rPr>
        <w:t>。砌筑灰缝应饱满、无通缝、瞎缝，要求双面勾缝。</w:t>
      </w:r>
    </w:p>
    <w:p w14:paraId="5F54957D">
      <w:pPr>
        <w:pStyle w:val="6"/>
        <w:numPr>
          <w:ilvl w:val="3"/>
          <w:numId w:val="0"/>
        </w:numPr>
        <w:ind w:left="864" w:leftChars="100" w:hanging="624"/>
        <w:rPr>
          <w:highlight w:val="none"/>
        </w:rPr>
      </w:pPr>
      <w:r>
        <w:rPr>
          <w:rFonts w:hint="eastAsia"/>
          <w:highlight w:val="none"/>
        </w:rPr>
        <w:t>7.5.1.2砌筑小样图和排砖图</w:t>
      </w:r>
    </w:p>
    <w:p w14:paraId="67265272">
      <w:pPr>
        <w:numPr>
          <w:ilvl w:val="0"/>
          <w:numId w:val="49"/>
        </w:numPr>
        <w:ind w:firstLine="480"/>
        <w:rPr>
          <w:highlight w:val="none"/>
        </w:rPr>
      </w:pPr>
      <w:r>
        <w:rPr>
          <w:highlight w:val="none"/>
        </w:rPr>
        <w:t>总承包人负责对建筑图、结构图、水电图纸及装修图进行详细审查并通过图纸深化保证图纸交圈。</w:t>
      </w:r>
    </w:p>
    <w:p w14:paraId="2AEB3E4E">
      <w:pPr>
        <w:numPr>
          <w:ilvl w:val="0"/>
          <w:numId w:val="49"/>
        </w:numPr>
        <w:ind w:firstLine="480"/>
        <w:rPr>
          <w:highlight w:val="none"/>
        </w:rPr>
      </w:pPr>
      <w:r>
        <w:rPr>
          <w:highlight w:val="none"/>
        </w:rPr>
        <w:t>总承包人在大面积砌筑施工之前须编制各户型砌筑小样图和排砖图，并经监理人/发包人审核后，由总承包人组织施工班组针对小样图、排砖图和砌筑各工序要求的技术交底会，并形成交底记录。</w:t>
      </w:r>
    </w:p>
    <w:p w14:paraId="3FA0BC74">
      <w:pPr>
        <w:numPr>
          <w:ilvl w:val="0"/>
          <w:numId w:val="49"/>
        </w:numPr>
        <w:ind w:firstLine="480"/>
        <w:rPr>
          <w:highlight w:val="none"/>
        </w:rPr>
      </w:pPr>
      <w:r>
        <w:rPr>
          <w:highlight w:val="none"/>
        </w:rPr>
        <w:t>砌筑小样图中包括砌筑阶段开间进深尺寸、外门窗洞口及室内各门窗洞口尺寸，窗台压顶标高等。</w:t>
      </w:r>
    </w:p>
    <w:p w14:paraId="2A3C8F9D">
      <w:pPr>
        <w:numPr>
          <w:ilvl w:val="0"/>
          <w:numId w:val="49"/>
        </w:numPr>
        <w:ind w:firstLine="480"/>
        <w:rPr>
          <w:highlight w:val="none"/>
        </w:rPr>
      </w:pPr>
      <w:r>
        <w:rPr>
          <w:highlight w:val="none"/>
        </w:rPr>
        <w:t>排砖图中，明确各墙体、洞口处通过施工过程中利用灰缝宽度控制，提升砌筑墙体观感质量。</w:t>
      </w:r>
    </w:p>
    <w:p w14:paraId="6A1D1C76">
      <w:pPr>
        <w:numPr>
          <w:ilvl w:val="0"/>
          <w:numId w:val="49"/>
        </w:numPr>
        <w:ind w:firstLine="480"/>
        <w:rPr>
          <w:highlight w:val="none"/>
        </w:rPr>
      </w:pPr>
      <w:r>
        <w:rPr>
          <w:highlight w:val="none"/>
        </w:rPr>
        <w:t>砌筑小样图、排砖图必须贴置于对应户型内。</w:t>
      </w:r>
    </w:p>
    <w:p w14:paraId="096FC04F">
      <w:pPr>
        <w:numPr>
          <w:ilvl w:val="0"/>
          <w:numId w:val="49"/>
        </w:numPr>
        <w:ind w:firstLine="480"/>
        <w:rPr>
          <w:highlight w:val="none"/>
        </w:rPr>
      </w:pPr>
      <w:r>
        <w:rPr>
          <w:highlight w:val="none"/>
        </w:rPr>
        <w:t>门窗洞口预留混凝土块数量、间距应满足国家和地方标准要求。</w:t>
      </w:r>
    </w:p>
    <w:p w14:paraId="294DE974">
      <w:pPr>
        <w:pStyle w:val="6"/>
        <w:numPr>
          <w:ilvl w:val="3"/>
          <w:numId w:val="0"/>
        </w:numPr>
        <w:ind w:left="864" w:leftChars="100" w:hanging="624"/>
        <w:rPr>
          <w:highlight w:val="none"/>
        </w:rPr>
      </w:pPr>
      <w:r>
        <w:rPr>
          <w:rFonts w:hint="eastAsia"/>
          <w:highlight w:val="none"/>
        </w:rPr>
        <w:t>7.5.1.3砌筑控制线</w:t>
      </w:r>
    </w:p>
    <w:p w14:paraId="72A57A6D">
      <w:pPr>
        <w:ind w:firstLine="480"/>
        <w:rPr>
          <w:highlight w:val="none"/>
        </w:rPr>
      </w:pPr>
      <w:r>
        <w:rPr>
          <w:rFonts w:hint="eastAsia"/>
          <w:highlight w:val="none"/>
        </w:rPr>
        <w:t>砌筑前每个房间必须设置建筑1</w:t>
      </w:r>
      <w:r>
        <w:rPr>
          <w:highlight w:val="none"/>
        </w:rPr>
        <w:t>m</w:t>
      </w:r>
      <w:r>
        <w:rPr>
          <w:rFonts w:hint="eastAsia"/>
          <w:highlight w:val="none"/>
        </w:rPr>
        <w:t>控制线、砌筑边线、房间控制线、门窗洞口控制线等，总承包人须采取措施确保控制线的准确性。</w:t>
      </w:r>
    </w:p>
    <w:p w14:paraId="2E1B1C93">
      <w:pPr>
        <w:numPr>
          <w:ilvl w:val="1"/>
          <w:numId w:val="50"/>
        </w:numPr>
        <w:ind w:firstLine="480"/>
        <w:rPr>
          <w:highlight w:val="none"/>
        </w:rPr>
      </w:pPr>
      <w:r>
        <w:rPr>
          <w:rFonts w:hint="eastAsia"/>
          <w:highlight w:val="none"/>
        </w:rPr>
        <w:t>房间控制线：在卧室、客厅等每个房间地面距纵横墙体300mm处和中心点用十字交叉线标出四个角及中心点，用红色油漆标识。</w:t>
      </w:r>
    </w:p>
    <w:p w14:paraId="36FD1858">
      <w:pPr>
        <w:numPr>
          <w:ilvl w:val="1"/>
          <w:numId w:val="50"/>
        </w:numPr>
        <w:ind w:firstLine="480"/>
        <w:rPr>
          <w:highlight w:val="none"/>
        </w:rPr>
      </w:pPr>
      <w:r>
        <w:rPr>
          <w:rFonts w:hint="eastAsia"/>
          <w:highlight w:val="none"/>
        </w:rPr>
        <w:t>标高控制线：在墙上用墨斗弹出建筑1m线，弹线清晰并交圈，用红色油漆标识“建筑1m线”字样。</w:t>
      </w:r>
    </w:p>
    <w:p w14:paraId="5C229800">
      <w:pPr>
        <w:numPr>
          <w:ilvl w:val="1"/>
          <w:numId w:val="50"/>
        </w:numPr>
        <w:ind w:firstLine="480"/>
        <w:rPr>
          <w:highlight w:val="none"/>
        </w:rPr>
      </w:pPr>
      <w:r>
        <w:rPr>
          <w:rFonts w:hint="eastAsia"/>
          <w:highlight w:val="none"/>
        </w:rPr>
        <w:t>楼层主控轴线：在地面用墨斗弹出楼层主控轴线，弹线清晰，轴线准确。</w:t>
      </w:r>
    </w:p>
    <w:p w14:paraId="47DF4163">
      <w:pPr>
        <w:pStyle w:val="6"/>
        <w:numPr>
          <w:ilvl w:val="3"/>
          <w:numId w:val="0"/>
        </w:numPr>
        <w:ind w:left="864" w:leftChars="100" w:hanging="624"/>
        <w:rPr>
          <w:highlight w:val="none"/>
        </w:rPr>
      </w:pPr>
      <w:r>
        <w:rPr>
          <w:rFonts w:hint="eastAsia"/>
          <w:highlight w:val="none"/>
        </w:rPr>
        <w:t>7.5.1.4关键控制点</w:t>
      </w:r>
    </w:p>
    <w:p w14:paraId="1410E093">
      <w:pPr>
        <w:numPr>
          <w:ilvl w:val="1"/>
          <w:numId w:val="51"/>
        </w:numPr>
        <w:ind w:firstLine="480"/>
        <w:rPr>
          <w:highlight w:val="none"/>
        </w:rPr>
      </w:pPr>
      <w:r>
        <w:rPr>
          <w:rFonts w:hint="eastAsia"/>
          <w:highlight w:val="none"/>
        </w:rPr>
        <w:t>砌体材料至工地及施工作业面，应有防磕碰及防潮措施，场内转运应采用平板车运输。</w:t>
      </w:r>
    </w:p>
    <w:p w14:paraId="4C30F0D9">
      <w:pPr>
        <w:numPr>
          <w:ilvl w:val="1"/>
          <w:numId w:val="51"/>
        </w:numPr>
        <w:ind w:firstLine="480"/>
        <w:rPr>
          <w:highlight w:val="none"/>
        </w:rPr>
      </w:pPr>
      <w:r>
        <w:rPr>
          <w:rFonts w:hint="eastAsia"/>
          <w:highlight w:val="none"/>
        </w:rPr>
        <w:t>砌筑施工过程中，必须双面挂天地线和水平控制线，以保证砌筑墙体的垂直、平整、方正性、灰缝的宽度及观感质量。</w:t>
      </w:r>
    </w:p>
    <w:p w14:paraId="0F006437">
      <w:pPr>
        <w:numPr>
          <w:ilvl w:val="1"/>
          <w:numId w:val="51"/>
        </w:numPr>
        <w:ind w:firstLine="480"/>
        <w:rPr>
          <w:highlight w:val="none"/>
        </w:rPr>
      </w:pPr>
      <w:r>
        <w:rPr>
          <w:highlight w:val="none"/>
        </w:rPr>
        <w:t>砌筑工程中不同材料交接处（包括构造柱与砌体结构间）挂设耐碱玻纤维网或镀锌钢丝网，挂网前墙体高低差部分采用水泥砂浆填补，交接处每边搭接宽度不小于</w:t>
      </w:r>
      <w:r>
        <w:rPr>
          <w:rFonts w:hint="eastAsia"/>
          <w:highlight w:val="none"/>
        </w:rPr>
        <w:t>100</w:t>
      </w:r>
      <w:r>
        <w:rPr>
          <w:highlight w:val="none"/>
        </w:rPr>
        <w:t>mm，宽度方向两侧分别固定，做到绷紧、牢固、与基层贴合密实。</w:t>
      </w:r>
    </w:p>
    <w:p w14:paraId="6545FB03">
      <w:pPr>
        <w:numPr>
          <w:ilvl w:val="1"/>
          <w:numId w:val="51"/>
        </w:numPr>
        <w:ind w:firstLine="480"/>
        <w:rPr>
          <w:highlight w:val="none"/>
        </w:rPr>
      </w:pPr>
      <w:r>
        <w:rPr>
          <w:highlight w:val="none"/>
        </w:rPr>
        <w:t>灰缝饱满，顶砖规范，按要求设置圈梁、构造柱。</w:t>
      </w:r>
    </w:p>
    <w:p w14:paraId="2F6DD766">
      <w:pPr>
        <w:pStyle w:val="5"/>
        <w:numPr>
          <w:ilvl w:val="2"/>
          <w:numId w:val="0"/>
        </w:numPr>
        <w:ind w:left="624" w:hanging="624"/>
        <w:rPr>
          <w:highlight w:val="none"/>
        </w:rPr>
      </w:pPr>
      <w:bookmarkStart w:id="770" w:name="_Toc19640"/>
      <w:r>
        <w:rPr>
          <w:rFonts w:hint="eastAsia"/>
          <w:highlight w:val="none"/>
        </w:rPr>
        <w:t>7.5.2二次结构</w:t>
      </w:r>
      <w:bookmarkEnd w:id="770"/>
    </w:p>
    <w:p w14:paraId="299B1A2A">
      <w:pPr>
        <w:numPr>
          <w:ilvl w:val="1"/>
          <w:numId w:val="52"/>
        </w:numPr>
        <w:ind w:firstLine="480"/>
        <w:rPr>
          <w:highlight w:val="none"/>
        </w:rPr>
      </w:pPr>
      <w:r>
        <w:rPr>
          <w:rFonts w:hint="eastAsia"/>
          <w:highlight w:val="none"/>
        </w:rPr>
        <w:t>质量标准：结构定位准确、高度符合要求，且与一次结构结合密实，混凝土浇捣观感同一次结构要求。</w:t>
      </w:r>
    </w:p>
    <w:p w14:paraId="2E4E2424">
      <w:pPr>
        <w:numPr>
          <w:ilvl w:val="1"/>
          <w:numId w:val="52"/>
        </w:numPr>
        <w:ind w:firstLine="480"/>
        <w:rPr>
          <w:highlight w:val="none"/>
        </w:rPr>
      </w:pPr>
      <w:r>
        <w:rPr>
          <w:rFonts w:hint="eastAsia"/>
          <w:highlight w:val="none"/>
        </w:rPr>
        <w:t>现场应先做好混凝土导墙尺寸控制线弹线，严格控制导墙宽度与高度，导墙凿毛边线部位采用无齿锯进行切割。</w:t>
      </w:r>
    </w:p>
    <w:p w14:paraId="6CB2B0E9">
      <w:pPr>
        <w:numPr>
          <w:ilvl w:val="1"/>
          <w:numId w:val="52"/>
        </w:numPr>
        <w:ind w:firstLine="480"/>
        <w:rPr>
          <w:highlight w:val="none"/>
        </w:rPr>
      </w:pPr>
      <w:r>
        <w:rPr>
          <w:rFonts w:hint="eastAsia"/>
          <w:highlight w:val="none"/>
        </w:rPr>
        <w:t>应准备专业的凿毛工具（剔凿锤、或自制工具），去除结构浮浆面，使结合面形成规整的带状面。凿至露出粗骨料，立面剔凿应高出导墙高度约1cm。</w:t>
      </w:r>
    </w:p>
    <w:p w14:paraId="6F1D3A7C">
      <w:pPr>
        <w:numPr>
          <w:ilvl w:val="1"/>
          <w:numId w:val="52"/>
        </w:numPr>
        <w:ind w:firstLine="480"/>
        <w:rPr>
          <w:highlight w:val="none"/>
        </w:rPr>
      </w:pPr>
      <w:r>
        <w:rPr>
          <w:rFonts w:hint="eastAsia"/>
          <w:highlight w:val="none"/>
        </w:rPr>
        <w:t>根据弹好的导墙控制线安装模板，保证模板的拼接严密、支撑牢固、安装位置正确，模板表面平整、光滑，表面刷好脱模剂。</w:t>
      </w:r>
    </w:p>
    <w:p w14:paraId="23789203">
      <w:pPr>
        <w:numPr>
          <w:ilvl w:val="1"/>
          <w:numId w:val="52"/>
        </w:numPr>
        <w:ind w:firstLine="480"/>
        <w:rPr>
          <w:highlight w:val="none"/>
        </w:rPr>
      </w:pPr>
      <w:r>
        <w:rPr>
          <w:rFonts w:hint="eastAsia"/>
          <w:highlight w:val="none"/>
        </w:rPr>
        <w:t>混凝土导墙浇筑时，应采用小型振动棒对混凝土振捣，必须均匀密实。</w:t>
      </w:r>
    </w:p>
    <w:p w14:paraId="0EF6027C">
      <w:pPr>
        <w:numPr>
          <w:ilvl w:val="1"/>
          <w:numId w:val="52"/>
        </w:numPr>
        <w:ind w:firstLine="480"/>
        <w:rPr>
          <w:highlight w:val="none"/>
        </w:rPr>
      </w:pPr>
      <w:r>
        <w:rPr>
          <w:rFonts w:hint="eastAsia"/>
          <w:highlight w:val="none"/>
        </w:rPr>
        <w:t>应重视后期的养护、成品保护阶段，避免养护不到位出现开裂，或成品保护不到位人为破坏现象。</w:t>
      </w:r>
    </w:p>
    <w:p w14:paraId="04E09AF9">
      <w:pPr>
        <w:pStyle w:val="5"/>
        <w:numPr>
          <w:ilvl w:val="2"/>
          <w:numId w:val="0"/>
        </w:numPr>
        <w:ind w:left="624" w:hanging="624"/>
        <w:rPr>
          <w:highlight w:val="none"/>
        </w:rPr>
      </w:pPr>
      <w:bookmarkStart w:id="771" w:name="_Toc7549"/>
      <w:r>
        <w:rPr>
          <w:rFonts w:hint="eastAsia"/>
          <w:highlight w:val="none"/>
        </w:rPr>
        <w:t>7.5.3隔墙板施工</w:t>
      </w:r>
      <w:bookmarkEnd w:id="771"/>
    </w:p>
    <w:p w14:paraId="782DB9DD">
      <w:pPr>
        <w:pStyle w:val="6"/>
        <w:numPr>
          <w:ilvl w:val="3"/>
          <w:numId w:val="0"/>
        </w:numPr>
        <w:ind w:left="864" w:leftChars="100" w:hanging="624"/>
        <w:rPr>
          <w:highlight w:val="none"/>
        </w:rPr>
      </w:pPr>
      <w:r>
        <w:rPr>
          <w:rFonts w:hint="eastAsia"/>
          <w:highlight w:val="none"/>
        </w:rPr>
        <w:t>7.5.3.1主材材质要求</w:t>
      </w:r>
    </w:p>
    <w:p w14:paraId="27262A3E">
      <w:pPr>
        <w:numPr>
          <w:ilvl w:val="1"/>
          <w:numId w:val="53"/>
        </w:numPr>
        <w:ind w:firstLine="480"/>
        <w:rPr>
          <w:highlight w:val="none"/>
        </w:rPr>
      </w:pPr>
      <w:r>
        <w:rPr>
          <w:rFonts w:hint="eastAsia"/>
          <w:highlight w:val="none"/>
        </w:rPr>
        <w:t>隔墙板安装应采用与隔墙板材质匹配的专用粘接砂浆进行粘接。粘接砂浆应使用电动工具搅拌均匀。粘接砂浆随拌随用，拌合后宜在2小时内用完。</w:t>
      </w:r>
    </w:p>
    <w:p w14:paraId="1667DD81">
      <w:pPr>
        <w:numPr>
          <w:ilvl w:val="1"/>
          <w:numId w:val="53"/>
        </w:numPr>
        <w:ind w:firstLine="480"/>
        <w:rPr>
          <w:highlight w:val="none"/>
        </w:rPr>
      </w:pPr>
      <w:r>
        <w:rPr>
          <w:rFonts w:hint="eastAsia"/>
          <w:highlight w:val="none"/>
        </w:rPr>
        <w:t>隔墙板外观质量指标、物理性能指标和尺寸允许偏差应满足国家和行业规范要求。</w:t>
      </w:r>
    </w:p>
    <w:p w14:paraId="1055EA79">
      <w:pPr>
        <w:pStyle w:val="6"/>
        <w:numPr>
          <w:ilvl w:val="3"/>
          <w:numId w:val="0"/>
        </w:numPr>
        <w:ind w:left="864" w:leftChars="100" w:hanging="624"/>
        <w:rPr>
          <w:highlight w:val="none"/>
        </w:rPr>
      </w:pPr>
      <w:r>
        <w:rPr>
          <w:rFonts w:hint="eastAsia"/>
          <w:highlight w:val="none"/>
        </w:rPr>
        <w:t>7.5.3.2隔墙板安装</w:t>
      </w:r>
    </w:p>
    <w:p w14:paraId="5E196418">
      <w:pPr>
        <w:numPr>
          <w:ilvl w:val="1"/>
          <w:numId w:val="54"/>
        </w:numPr>
        <w:ind w:firstLine="480"/>
        <w:rPr>
          <w:highlight w:val="none"/>
        </w:rPr>
      </w:pPr>
      <w:r>
        <w:rPr>
          <w:highlight w:val="none"/>
        </w:rPr>
        <w:t>在板的企口处应均匀刮满厚度不少于10mm的粘结材料，板缝间隙应揉挤严密，把挤出的砂浆刮平，缝隙不大于8mm。</w:t>
      </w:r>
    </w:p>
    <w:p w14:paraId="5E3232A7">
      <w:pPr>
        <w:numPr>
          <w:ilvl w:val="1"/>
          <w:numId w:val="54"/>
        </w:numPr>
        <w:ind w:firstLine="480"/>
        <w:rPr>
          <w:highlight w:val="none"/>
        </w:rPr>
      </w:pPr>
      <w:r>
        <w:rPr>
          <w:highlight w:val="none"/>
        </w:rPr>
        <w:t>板与板之间的凹槽内应满贴网格布并采用粘接砂浆抹平；墙板阴角交接部位必须挂网格布做加强处理。</w:t>
      </w:r>
    </w:p>
    <w:p w14:paraId="785AC038">
      <w:pPr>
        <w:numPr>
          <w:ilvl w:val="1"/>
          <w:numId w:val="54"/>
        </w:numPr>
        <w:ind w:firstLine="480"/>
        <w:rPr>
          <w:highlight w:val="none"/>
        </w:rPr>
      </w:pPr>
      <w:r>
        <w:rPr>
          <w:highlight w:val="none"/>
        </w:rPr>
        <w:t>为保证隔墙的使用功能，应尽量采用整板拼装。当隔墙端部尺寸不足一块标准板宽时，应按尺寸要求补板，补板宽度不宜小于200mm。</w:t>
      </w:r>
    </w:p>
    <w:p w14:paraId="4AAA34F2">
      <w:pPr>
        <w:numPr>
          <w:ilvl w:val="1"/>
          <w:numId w:val="54"/>
        </w:numPr>
        <w:ind w:firstLine="480"/>
        <w:rPr>
          <w:highlight w:val="none"/>
        </w:rPr>
      </w:pPr>
      <w:r>
        <w:rPr>
          <w:highlight w:val="none"/>
        </w:rPr>
        <w:t>在结构墙柱加上U型钢卡，采用射钉固定，钢卡竖向间距不应大于1000mm。</w:t>
      </w:r>
    </w:p>
    <w:p w14:paraId="6B8B1F4D">
      <w:pPr>
        <w:numPr>
          <w:ilvl w:val="1"/>
          <w:numId w:val="54"/>
        </w:numPr>
        <w:ind w:firstLine="480"/>
        <w:rPr>
          <w:highlight w:val="none"/>
        </w:rPr>
      </w:pPr>
      <w:r>
        <w:rPr>
          <w:highlight w:val="none"/>
        </w:rPr>
        <w:t>墙板顶面与混凝土楼板顶紧，在墙板顶部加上L型钢卡，采用射钉固定，钢卡横向间距不应大于600mm；隔墙板上口孔洞采用泡沫块填塞后刮满厚度不少于10mm的粘结材料。隔墙板与板之间交接处贴网格布并采用粘接砂浆抹平。</w:t>
      </w:r>
    </w:p>
    <w:p w14:paraId="18B61747">
      <w:pPr>
        <w:numPr>
          <w:ilvl w:val="1"/>
          <w:numId w:val="54"/>
        </w:numPr>
        <w:ind w:firstLine="480"/>
        <w:rPr>
          <w:highlight w:val="none"/>
        </w:rPr>
      </w:pPr>
      <w:r>
        <w:rPr>
          <w:highlight w:val="none"/>
        </w:rPr>
        <w:t>板下端离地面保持10mm～20mm空高；打入木楔的位置应选择在墙板的实心肋位置，在墙板隔墙与楼地面空隙处，用水泥砂浆填实；利用木楔调整位置，两个木楔为一组，使墙板就位，可将板垂直向上挤压、顶紧梁、板，底部应固定好；木楔应在立板养护7d后取出并用砂浆填实楔孔。</w:t>
      </w:r>
    </w:p>
    <w:p w14:paraId="373C01D2">
      <w:pPr>
        <w:numPr>
          <w:ilvl w:val="1"/>
          <w:numId w:val="54"/>
        </w:numPr>
        <w:ind w:firstLine="480"/>
        <w:rPr>
          <w:highlight w:val="none"/>
        </w:rPr>
      </w:pPr>
      <w:r>
        <w:rPr>
          <w:highlight w:val="none"/>
        </w:rPr>
        <w:t>为考虑后期业主门安装固定及对门头板的支撑，门边板和门头板第一孔须采用砂浆填满孔洞；门头板须搭接在门边板上，搭接距离不小于一孔的宽度，门边板与门头板交接处须贴加强网格布并采用砂浆抹平。</w:t>
      </w:r>
    </w:p>
    <w:p w14:paraId="64DD20A6">
      <w:pPr>
        <w:numPr>
          <w:ilvl w:val="1"/>
          <w:numId w:val="54"/>
        </w:numPr>
        <w:ind w:firstLine="480"/>
        <w:rPr>
          <w:highlight w:val="none"/>
          <w:lang w:bidi="ar"/>
        </w:rPr>
      </w:pPr>
      <w:r>
        <w:rPr>
          <w:highlight w:val="none"/>
        </w:rPr>
        <w:t>当门头板与结构墙柱相接部位，在结构墙柱上须设置3mm厚L型钢制托架，对门头板进行支撑；门头板另一侧须搭接在门边板上，门头板只允许一侧与混凝土墙柱采用托架支撑固定，另一侧必须为搭接，不允许两侧均与混凝土结构平接。</w:t>
      </w:r>
      <w:r>
        <w:rPr>
          <w:rFonts w:hint="eastAsia"/>
          <w:highlight w:val="none"/>
          <w:lang w:bidi="ar"/>
        </w:rPr>
        <w:t xml:space="preserve"> </w:t>
      </w:r>
    </w:p>
    <w:p w14:paraId="627D1AB1">
      <w:pPr>
        <w:pStyle w:val="6"/>
        <w:numPr>
          <w:ilvl w:val="3"/>
          <w:numId w:val="0"/>
        </w:numPr>
        <w:ind w:left="864" w:leftChars="100" w:hanging="624"/>
        <w:rPr>
          <w:highlight w:val="none"/>
        </w:rPr>
      </w:pPr>
      <w:r>
        <w:rPr>
          <w:rFonts w:hint="eastAsia"/>
          <w:highlight w:val="none"/>
        </w:rPr>
        <w:t>7.5.3.3隔墙板水电开槽</w:t>
      </w:r>
    </w:p>
    <w:p w14:paraId="7658C72C">
      <w:pPr>
        <w:numPr>
          <w:ilvl w:val="1"/>
          <w:numId w:val="55"/>
        </w:numPr>
        <w:ind w:firstLine="480"/>
        <w:rPr>
          <w:highlight w:val="none"/>
        </w:rPr>
      </w:pPr>
      <w:r>
        <w:rPr>
          <w:highlight w:val="none"/>
        </w:rPr>
        <w:t>水管、电线尽量从吊顶内/地板上走到水电定位的上/下方，然后在墙板的上/下方开一个小口，让水电管线由墙板孔洞直接走到水电定位点，最后用切割机在水电定位点的位置开口进行水电管线安装，安装完毕后采用细石混凝土进行封堵。</w:t>
      </w:r>
    </w:p>
    <w:p w14:paraId="2D7D1457">
      <w:pPr>
        <w:numPr>
          <w:ilvl w:val="1"/>
          <w:numId w:val="55"/>
        </w:numPr>
        <w:ind w:firstLine="480"/>
        <w:rPr>
          <w:highlight w:val="none"/>
        </w:rPr>
      </w:pPr>
      <w:r>
        <w:rPr>
          <w:highlight w:val="none"/>
        </w:rPr>
        <w:t>开槽长度不应大于墙板宽度的1/2（300mm），开槽深度不得大于40mm，不得在隔墙两侧同一部位开槽、开洞，其间距应至少错开150mm。</w:t>
      </w:r>
    </w:p>
    <w:p w14:paraId="0B4D94BB">
      <w:pPr>
        <w:pStyle w:val="6"/>
        <w:numPr>
          <w:ilvl w:val="3"/>
          <w:numId w:val="0"/>
        </w:numPr>
        <w:ind w:left="864" w:leftChars="100" w:hanging="624"/>
        <w:rPr>
          <w:highlight w:val="none"/>
        </w:rPr>
      </w:pPr>
      <w:r>
        <w:rPr>
          <w:rFonts w:hint="eastAsia"/>
          <w:highlight w:val="none"/>
        </w:rPr>
        <w:t>7.5.3.4防开裂措施</w:t>
      </w:r>
    </w:p>
    <w:p w14:paraId="23E2A0A0">
      <w:pPr>
        <w:numPr>
          <w:ilvl w:val="1"/>
          <w:numId w:val="56"/>
        </w:numPr>
        <w:ind w:firstLine="480"/>
        <w:rPr>
          <w:highlight w:val="none"/>
        </w:rPr>
      </w:pPr>
      <w:r>
        <w:rPr>
          <w:rFonts w:hint="eastAsia"/>
          <w:highlight w:val="none"/>
        </w:rPr>
        <w:t>进场墙板须满足《GB15762-2020蒸压加气混凝土板》的规范要求后才能出厂到工地安装；</w:t>
      </w:r>
    </w:p>
    <w:p w14:paraId="7DFB70B5">
      <w:pPr>
        <w:numPr>
          <w:ilvl w:val="1"/>
          <w:numId w:val="56"/>
        </w:numPr>
        <w:ind w:firstLine="480"/>
        <w:rPr>
          <w:highlight w:val="none"/>
        </w:rPr>
      </w:pPr>
      <w:r>
        <w:rPr>
          <w:rFonts w:hint="eastAsia"/>
          <w:highlight w:val="none"/>
        </w:rPr>
        <w:t>养护期：蒸压加气混凝土板出釜后应在厂内存放7d，养护28天以上方能出厂，并保证出场强度不能低于设计强度的75%。</w:t>
      </w:r>
    </w:p>
    <w:p w14:paraId="32AEA9A2">
      <w:pPr>
        <w:numPr>
          <w:ilvl w:val="1"/>
          <w:numId w:val="56"/>
        </w:numPr>
        <w:ind w:firstLine="480"/>
        <w:rPr>
          <w:highlight w:val="none"/>
        </w:rPr>
      </w:pPr>
      <w:r>
        <w:rPr>
          <w:highlight w:val="none"/>
        </w:rPr>
        <w:t>板材的干密度、抗压强度、干燥收缩值应符合规范要求；</w:t>
      </w:r>
    </w:p>
    <w:p w14:paraId="33D58EA0">
      <w:pPr>
        <w:numPr>
          <w:ilvl w:val="1"/>
          <w:numId w:val="56"/>
        </w:numPr>
        <w:ind w:firstLine="480"/>
        <w:rPr>
          <w:highlight w:val="none"/>
        </w:rPr>
      </w:pPr>
      <w:r>
        <w:rPr>
          <w:highlight w:val="none"/>
        </w:rPr>
        <w:t>墙板安装必须砂浆饱满，使用的砂浆必须按本方案要求；</w:t>
      </w:r>
    </w:p>
    <w:p w14:paraId="61440A68">
      <w:pPr>
        <w:numPr>
          <w:ilvl w:val="1"/>
          <w:numId w:val="56"/>
        </w:numPr>
        <w:ind w:firstLine="480"/>
        <w:rPr>
          <w:highlight w:val="none"/>
        </w:rPr>
      </w:pPr>
      <w:r>
        <w:rPr>
          <w:highlight w:val="none"/>
        </w:rPr>
        <w:t>墙板安装完成后7天内禁止在墙板上作业和敲打，防止松动开裂；</w:t>
      </w:r>
    </w:p>
    <w:p w14:paraId="014D3C1B">
      <w:pPr>
        <w:numPr>
          <w:ilvl w:val="1"/>
          <w:numId w:val="56"/>
        </w:numPr>
        <w:ind w:firstLine="480"/>
        <w:rPr>
          <w:highlight w:val="none"/>
        </w:rPr>
      </w:pPr>
      <w:r>
        <w:rPr>
          <w:highlight w:val="none"/>
        </w:rPr>
        <w:t>墙板安装时板与板直接必须使用专用砂浆进行粘接，安装完成后少需要等待28天后再使用白砂浆处理V字槽，若现场条件允许可待整栋楼安装完成之后处理V字槽；</w:t>
      </w:r>
    </w:p>
    <w:p w14:paraId="5B9BC8C4">
      <w:pPr>
        <w:numPr>
          <w:ilvl w:val="1"/>
          <w:numId w:val="56"/>
        </w:numPr>
        <w:ind w:firstLine="480"/>
        <w:rPr>
          <w:highlight w:val="none"/>
        </w:rPr>
      </w:pPr>
      <w:r>
        <w:rPr>
          <w:highlight w:val="none"/>
        </w:rPr>
        <w:t>已安装上的墙板应防止水淋，避免湿胀干缩；</w:t>
      </w:r>
    </w:p>
    <w:p w14:paraId="3CDCBD8C">
      <w:pPr>
        <w:numPr>
          <w:ilvl w:val="1"/>
          <w:numId w:val="56"/>
        </w:numPr>
        <w:ind w:firstLine="480"/>
        <w:rPr>
          <w:highlight w:val="none"/>
        </w:rPr>
      </w:pPr>
      <w:r>
        <w:rPr>
          <w:highlight w:val="none"/>
        </w:rPr>
        <w:t>安装时粘接的专用砂浆须饱满，灰缝控制在5mm-8mm左右；</w:t>
      </w:r>
    </w:p>
    <w:p w14:paraId="74AD8F49">
      <w:pPr>
        <w:pStyle w:val="6"/>
        <w:numPr>
          <w:ilvl w:val="3"/>
          <w:numId w:val="0"/>
        </w:numPr>
        <w:ind w:left="864" w:leftChars="100" w:hanging="624"/>
        <w:rPr>
          <w:highlight w:val="none"/>
        </w:rPr>
      </w:pPr>
      <w:r>
        <w:rPr>
          <w:rFonts w:hint="eastAsia"/>
          <w:highlight w:val="none"/>
        </w:rPr>
        <w:t xml:space="preserve">7.5.3.5ALC板拼缝处理： </w:t>
      </w:r>
    </w:p>
    <w:p w14:paraId="4E69ADB2">
      <w:pPr>
        <w:numPr>
          <w:ilvl w:val="1"/>
          <w:numId w:val="57"/>
        </w:numPr>
        <w:ind w:firstLine="480"/>
        <w:rPr>
          <w:highlight w:val="none"/>
        </w:rPr>
      </w:pPr>
      <w:r>
        <w:rPr>
          <w:highlight w:val="none"/>
        </w:rPr>
        <w:t xml:space="preserve">ALC墙板与墙板对接时自然靠拢，两板间缝隙不大于 5mm，墙板外侧板缝采用专用密封胶封堵后，用专用粘结剂粘结；墙板内侧及内墙板两侧拼缝采用专用嵌缝剂封堵，板面挂宽度不小于 10cm 的耐碱玻纤网格布，每边 5cm，再采用专用粘结剂粘结。 </w:t>
      </w:r>
    </w:p>
    <w:p w14:paraId="037FD645">
      <w:pPr>
        <w:numPr>
          <w:ilvl w:val="1"/>
          <w:numId w:val="57"/>
        </w:numPr>
        <w:ind w:firstLine="480"/>
        <w:rPr>
          <w:highlight w:val="none"/>
        </w:rPr>
      </w:pPr>
      <w:r>
        <w:rPr>
          <w:highlight w:val="none"/>
        </w:rPr>
        <w:t xml:space="preserve">外墙板底部与基础、楼板交接部位的两侧板缝预留缝隙不大于 30cm，缝隙采用专用粘接剂塞缝；内墙板底部与基础、楼板交接部位的两侧板缝采用专用粘接剂塞缝。 </w:t>
      </w:r>
    </w:p>
    <w:p w14:paraId="559E2CD1">
      <w:pPr>
        <w:numPr>
          <w:ilvl w:val="1"/>
          <w:numId w:val="57"/>
        </w:numPr>
        <w:ind w:firstLine="480"/>
        <w:rPr>
          <w:highlight w:val="none"/>
        </w:rPr>
      </w:pPr>
      <w:r>
        <w:rPr>
          <w:highlight w:val="none"/>
        </w:rPr>
        <w:t xml:space="preserve">外墙板与其他墙、柱梁交接部位、外墙横板的竖缝外侧墙板、转角处竖缝外侧、温度缝等缝隙留设应不大于 20mm，缝隙采用专用粘接剂塞缝。 </w:t>
      </w:r>
    </w:p>
    <w:p w14:paraId="2632B733">
      <w:pPr>
        <w:pStyle w:val="6"/>
        <w:numPr>
          <w:ilvl w:val="3"/>
          <w:numId w:val="0"/>
        </w:numPr>
        <w:ind w:left="864" w:leftChars="100" w:hanging="624"/>
        <w:rPr>
          <w:highlight w:val="none"/>
        </w:rPr>
      </w:pPr>
      <w:r>
        <w:rPr>
          <w:rFonts w:hint="eastAsia"/>
          <w:highlight w:val="none"/>
        </w:rPr>
        <w:t xml:space="preserve">7.5.3.6洞口加固措施 </w:t>
      </w:r>
    </w:p>
    <w:p w14:paraId="21EA4323">
      <w:pPr>
        <w:numPr>
          <w:ilvl w:val="1"/>
          <w:numId w:val="58"/>
        </w:numPr>
        <w:ind w:firstLine="480"/>
        <w:rPr>
          <w:highlight w:val="none"/>
        </w:rPr>
      </w:pPr>
      <w:r>
        <w:rPr>
          <w:highlight w:val="none"/>
        </w:rPr>
        <w:t xml:space="preserve">洞口宽度≤300mm 时，可直接后开洞口。 </w:t>
      </w:r>
    </w:p>
    <w:p w14:paraId="4071197A">
      <w:pPr>
        <w:numPr>
          <w:ilvl w:val="1"/>
          <w:numId w:val="58"/>
        </w:numPr>
        <w:ind w:firstLine="480"/>
        <w:rPr>
          <w:highlight w:val="none"/>
        </w:rPr>
      </w:pPr>
      <w:r>
        <w:rPr>
          <w:highlight w:val="none"/>
        </w:rPr>
        <w:t xml:space="preserve">洞口宽度 300＜b≤600 时，可跨两板板缝后开。 </w:t>
      </w:r>
    </w:p>
    <w:p w14:paraId="1476B3FA">
      <w:pPr>
        <w:numPr>
          <w:ilvl w:val="1"/>
          <w:numId w:val="58"/>
        </w:numPr>
        <w:ind w:firstLine="480"/>
        <w:rPr>
          <w:highlight w:val="none"/>
        </w:rPr>
      </w:pPr>
      <w:r>
        <w:rPr>
          <w:highlight w:val="none"/>
        </w:rPr>
        <w:t xml:space="preserve">洞口宽度＞600 时，洞口应采取加固措施，洞口各边采用 100*8 的扁钢进行加固，扁钢与墙板每间距 300mm 采用φ6 自攻螺钉连接。 </w:t>
      </w:r>
    </w:p>
    <w:p w14:paraId="3F606449">
      <w:pPr>
        <w:pStyle w:val="6"/>
        <w:numPr>
          <w:ilvl w:val="3"/>
          <w:numId w:val="0"/>
        </w:numPr>
        <w:ind w:left="864" w:leftChars="100" w:hanging="624"/>
        <w:rPr>
          <w:highlight w:val="none"/>
        </w:rPr>
      </w:pPr>
      <w:r>
        <w:rPr>
          <w:rFonts w:hint="eastAsia"/>
          <w:highlight w:val="none"/>
        </w:rPr>
        <w:t>7.5.3.7安装注意事项</w:t>
      </w:r>
    </w:p>
    <w:p w14:paraId="508A9ECE">
      <w:pPr>
        <w:numPr>
          <w:ilvl w:val="1"/>
          <w:numId w:val="59"/>
        </w:numPr>
        <w:ind w:firstLine="480"/>
        <w:rPr>
          <w:highlight w:val="none"/>
        </w:rPr>
      </w:pPr>
      <w:r>
        <w:rPr>
          <w:highlight w:val="none"/>
        </w:rPr>
        <w:t>安装时按照由内向外顺序安装，先装一道内防火墙板材，再装外单面临空板材。板材安装必须严格按照排板图进行安装，按照板上标识数字安装在相应的位置上。</w:t>
      </w:r>
    </w:p>
    <w:p w14:paraId="0AAA86A8">
      <w:pPr>
        <w:numPr>
          <w:ilvl w:val="1"/>
          <w:numId w:val="59"/>
        </w:numPr>
        <w:ind w:firstLine="480"/>
        <w:rPr>
          <w:highlight w:val="none"/>
        </w:rPr>
      </w:pPr>
      <w:r>
        <w:rPr>
          <w:highlight w:val="none"/>
        </w:rPr>
        <w:t xml:space="preserve">用于接头和拼缝的砂浆，应采用专用胶粘剂。密封胶应采用防火密封胶。条板墙安 装时粘接剂要涂刷均匀，拼缝时挤出多余粘接剂及时处理，保证板面清洁。连接件和型钢间、型钢和型钢间均应焊接连接且满足承载力要求，焊缝除通长型材 外均为沿搭接长度满焊，焊脚高度应不小于 4mm。钩头螺栓与连接角钢的焊接搭接长度应≥25mm，钩头螺栓固定点距板端应≥80mm，通长角钢与结构梁连接焊缝深度4mm，长 50mm，间距 200mm。焊缝质量应满足规范要求。所有焊缝均应将焊渣清除干净并满 涂防锈漆。所有锚固件、专用托板等连接件，均应做防锈处理。 </w:t>
      </w:r>
    </w:p>
    <w:p w14:paraId="0403C879">
      <w:pPr>
        <w:numPr>
          <w:ilvl w:val="1"/>
          <w:numId w:val="59"/>
        </w:numPr>
        <w:ind w:firstLine="480"/>
        <w:rPr>
          <w:highlight w:val="none"/>
        </w:rPr>
      </w:pPr>
      <w:r>
        <w:rPr>
          <w:highlight w:val="none"/>
        </w:rPr>
        <w:t xml:space="preserve">ALC 板上开槽要求宜沿板的纵向切槽，开槽深度不大于 50mm，严禁横向开槽。开槽时需用专用开槽工具，禁止使用冲击钻及人工踢凿，线管埋设完毕用专用嵌缝砂浆分两层封闭，并粘贴 4*4 耐碱玻纤网格布。 </w:t>
      </w:r>
    </w:p>
    <w:p w14:paraId="3C9AE688">
      <w:pPr>
        <w:numPr>
          <w:ilvl w:val="1"/>
          <w:numId w:val="59"/>
        </w:numPr>
        <w:ind w:firstLine="480"/>
        <w:rPr>
          <w:highlight w:val="none"/>
        </w:rPr>
      </w:pPr>
      <w:r>
        <w:rPr>
          <w:highlight w:val="none"/>
        </w:rPr>
        <w:t xml:space="preserve">开洞去角小于板宽的 1/3，要求必须机械切割，严禁榔头锤击，开洞时采取有效保护措施，以避免墙板破损。 </w:t>
      </w:r>
    </w:p>
    <w:p w14:paraId="7308C888">
      <w:pPr>
        <w:numPr>
          <w:ilvl w:val="1"/>
          <w:numId w:val="59"/>
        </w:numPr>
        <w:ind w:firstLine="480"/>
        <w:rPr>
          <w:highlight w:val="none"/>
        </w:rPr>
      </w:pPr>
      <w:r>
        <w:rPr>
          <w:highlight w:val="none"/>
        </w:rPr>
        <w:t xml:space="preserve">对于施工前由于吊装运输等因素造成缺楞掉角的板应在施工前进行修补，修补完成并检验合格后才能投入使用。在施工过程中造成的板材局部破损，应先清洗破损处的粉尘，再用厂内配置好的专用修补粉进行修补，修补完应采取相关保护措施。 </w:t>
      </w:r>
    </w:p>
    <w:p w14:paraId="1582269A">
      <w:pPr>
        <w:pStyle w:val="6"/>
        <w:numPr>
          <w:ilvl w:val="3"/>
          <w:numId w:val="0"/>
        </w:numPr>
        <w:ind w:left="864" w:leftChars="100" w:hanging="624"/>
        <w:rPr>
          <w:highlight w:val="none"/>
        </w:rPr>
      </w:pPr>
      <w:r>
        <w:rPr>
          <w:rFonts w:hint="eastAsia"/>
          <w:highlight w:val="none"/>
        </w:rPr>
        <w:t>7.5.3.8</w:t>
      </w:r>
      <w:r>
        <w:rPr>
          <w:highlight w:val="none"/>
        </w:rPr>
        <w:t>验收标准</w:t>
      </w:r>
    </w:p>
    <w:p w14:paraId="7CA29129">
      <w:pPr>
        <w:ind w:firstLine="480"/>
        <w:rPr>
          <w:highlight w:val="none"/>
        </w:rPr>
      </w:pPr>
      <w:r>
        <w:rPr>
          <w:highlight w:val="none"/>
        </w:rPr>
        <w:t xml:space="preserve">严格执行国家施工质量验收规范，加强检验批质量评定工作。根据隐蔽工程验 收 </w:t>
      </w:r>
    </w:p>
    <w:p w14:paraId="4DB4D90B">
      <w:pPr>
        <w:ind w:firstLine="480"/>
        <w:rPr>
          <w:highlight w:val="none"/>
        </w:rPr>
      </w:pPr>
      <w:r>
        <w:rPr>
          <w:highlight w:val="none"/>
        </w:rPr>
        <w:t>制度，做好验收记录。每层为一个检验批，安装完毕后先自检，然后报总包验收。验收合格后，方能进行下一道工序施工。严格执行“三按”“三检”和“一控”。</w:t>
      </w:r>
    </w:p>
    <w:p w14:paraId="701CE8F1">
      <w:pPr>
        <w:ind w:firstLine="480"/>
        <w:rPr>
          <w:highlight w:val="none"/>
        </w:rPr>
      </w:pPr>
      <w:r>
        <w:rPr>
          <w:highlight w:val="none"/>
        </w:rPr>
        <w:t xml:space="preserve">“三按”：严格按图纸、按规范标准、按方案施工； </w:t>
      </w:r>
    </w:p>
    <w:p w14:paraId="5B88EE43">
      <w:pPr>
        <w:ind w:firstLine="480"/>
        <w:rPr>
          <w:highlight w:val="none"/>
        </w:rPr>
      </w:pPr>
      <w:r>
        <w:rPr>
          <w:highlight w:val="none"/>
        </w:rPr>
        <w:t xml:space="preserve">“三检”：自检、互检、交接检； </w:t>
      </w:r>
    </w:p>
    <w:p w14:paraId="2D103D88">
      <w:pPr>
        <w:ind w:firstLine="480"/>
        <w:rPr>
          <w:highlight w:val="none"/>
        </w:rPr>
      </w:pPr>
      <w:r>
        <w:rPr>
          <w:highlight w:val="none"/>
        </w:rPr>
        <w:t xml:space="preserve">“一控”：自控正确率，一次验收合格率。 </w:t>
      </w:r>
    </w:p>
    <w:p w14:paraId="362C3EDB">
      <w:pPr>
        <w:pStyle w:val="6"/>
        <w:numPr>
          <w:ilvl w:val="3"/>
          <w:numId w:val="0"/>
        </w:numPr>
        <w:ind w:left="864" w:leftChars="100" w:hanging="624"/>
        <w:rPr>
          <w:highlight w:val="none"/>
        </w:rPr>
      </w:pPr>
      <w:r>
        <w:rPr>
          <w:rFonts w:hint="eastAsia"/>
          <w:highlight w:val="none"/>
        </w:rPr>
        <w:t xml:space="preserve">7.5.3.9成品保护 </w:t>
      </w:r>
    </w:p>
    <w:p w14:paraId="1DC055C8">
      <w:pPr>
        <w:numPr>
          <w:ilvl w:val="1"/>
          <w:numId w:val="60"/>
        </w:numPr>
        <w:ind w:firstLine="480"/>
        <w:rPr>
          <w:highlight w:val="none"/>
        </w:rPr>
      </w:pPr>
      <w:r>
        <w:rPr>
          <w:highlight w:val="none"/>
        </w:rPr>
        <w:t xml:space="preserve">运输时应按堆放要求装车，并采取可靠捆绑措施，运输途中避免颠簸和急转弯，防止颠簸碰坏。 </w:t>
      </w:r>
    </w:p>
    <w:p w14:paraId="6665F471">
      <w:pPr>
        <w:numPr>
          <w:ilvl w:val="1"/>
          <w:numId w:val="60"/>
        </w:numPr>
        <w:ind w:firstLine="480"/>
        <w:rPr>
          <w:highlight w:val="none"/>
        </w:rPr>
      </w:pPr>
      <w:r>
        <w:rPr>
          <w:highlight w:val="none"/>
        </w:rPr>
        <w:t xml:space="preserve">进场后应设立单独堆放场地并做好围挡工作。堆放场地应平整坚实，不应直接堆放在场地上，条板两端下面应设置堆放垫木。堆放时垂直方向不宜超过 2 米。加气板与地面要有防潮措施。露天堆放时宜采用塑料布等覆盖措施，防止污染和雨浸湿。堆放时要有护角措施，并有标识。 </w:t>
      </w:r>
    </w:p>
    <w:p w14:paraId="07D940C7">
      <w:pPr>
        <w:numPr>
          <w:ilvl w:val="1"/>
          <w:numId w:val="60"/>
        </w:numPr>
        <w:ind w:firstLine="480"/>
        <w:rPr>
          <w:highlight w:val="none"/>
        </w:rPr>
      </w:pPr>
      <w:r>
        <w:rPr>
          <w:highlight w:val="none"/>
        </w:rPr>
        <w:t xml:space="preserve">吊运时应采用宽度≥500mm 的尼龙吊带兜板底起吊，边角需要防护避免磕碰损伤，禁止用钢丝绳或麻绳直接兜板底起吊。板材吊运时按照板号把相应位置的板运到指定的户型内，并且码放整齐。搬运时轻装轻放，平行搬运或两侧支撑平行运输，严禁单边抬起，拖地拉运或单边支撑运输。 </w:t>
      </w:r>
    </w:p>
    <w:p w14:paraId="7FDE6EEF">
      <w:pPr>
        <w:numPr>
          <w:ilvl w:val="1"/>
          <w:numId w:val="60"/>
        </w:numPr>
        <w:ind w:firstLine="480"/>
        <w:rPr>
          <w:highlight w:val="none"/>
        </w:rPr>
      </w:pPr>
      <w:r>
        <w:rPr>
          <w:highlight w:val="none"/>
        </w:rPr>
        <w:t xml:space="preserve">安装过程中采取专用的运输和施工机具，避免板材损坏。专用提升架和小推车均做软包处理，避免板材与钢材直接接触造成损伤。 </w:t>
      </w:r>
    </w:p>
    <w:p w14:paraId="6367B348">
      <w:pPr>
        <w:numPr>
          <w:ilvl w:val="1"/>
          <w:numId w:val="60"/>
        </w:numPr>
        <w:ind w:firstLine="480"/>
        <w:rPr>
          <w:highlight w:val="none"/>
        </w:rPr>
      </w:pPr>
      <w:r>
        <w:rPr>
          <w:highlight w:val="none"/>
        </w:rPr>
        <w:t xml:space="preserve">加气墙板安装完毕后应注意成品保护，严禁撞击与磕碰。小范围调整板材位置需制作专用工具，严防破坏板外观。所有可能损坏墙板的危险器物不得靠近墙板。加气墙板支撑件其它工种不得随意拆除。 </w:t>
      </w:r>
    </w:p>
    <w:p w14:paraId="790E5171">
      <w:pPr>
        <w:numPr>
          <w:ilvl w:val="1"/>
          <w:numId w:val="60"/>
        </w:numPr>
        <w:ind w:firstLine="480"/>
        <w:rPr>
          <w:highlight w:val="none"/>
        </w:rPr>
      </w:pPr>
      <w:r>
        <w:rPr>
          <w:highlight w:val="none"/>
        </w:rPr>
        <w:t xml:space="preserve">墙板安装完毕七天后才能进行管线等开槽工作。电线开槽需用专用工具开槽，不得直接剔凿，所有线管开槽封堵时增加网格布，分两层用专用嵌缝砂浆抹平。 </w:t>
      </w:r>
    </w:p>
    <w:p w14:paraId="345FC556">
      <w:pPr>
        <w:pStyle w:val="4"/>
        <w:numPr>
          <w:ilvl w:val="1"/>
          <w:numId w:val="0"/>
        </w:numPr>
        <w:ind w:left="624" w:hanging="624"/>
        <w:rPr>
          <w:highlight w:val="none"/>
        </w:rPr>
      </w:pPr>
      <w:bookmarkStart w:id="772" w:name="_Toc8961"/>
      <w:bookmarkStart w:id="773" w:name="_Toc16005"/>
      <w:bookmarkStart w:id="774" w:name="_Toc179563006"/>
      <w:bookmarkStart w:id="775" w:name="_Toc169722236"/>
      <w:bookmarkStart w:id="776" w:name="_Toc422854859"/>
      <w:bookmarkStart w:id="777" w:name="_Toc13776"/>
      <w:bookmarkStart w:id="778" w:name="_Toc21677"/>
      <w:bookmarkStart w:id="779" w:name="_Toc17953"/>
      <w:bookmarkStart w:id="780" w:name="_Toc10462"/>
      <w:r>
        <w:rPr>
          <w:rFonts w:hint="eastAsia"/>
          <w:highlight w:val="none"/>
        </w:rPr>
        <w:t>7.6装饰装修工程技术要求</w:t>
      </w:r>
      <w:bookmarkEnd w:id="772"/>
      <w:bookmarkEnd w:id="773"/>
      <w:bookmarkEnd w:id="774"/>
      <w:bookmarkEnd w:id="775"/>
      <w:bookmarkEnd w:id="776"/>
      <w:bookmarkEnd w:id="777"/>
      <w:bookmarkEnd w:id="778"/>
      <w:bookmarkEnd w:id="779"/>
      <w:bookmarkEnd w:id="780"/>
    </w:p>
    <w:p w14:paraId="5FF436CB">
      <w:pPr>
        <w:pStyle w:val="5"/>
        <w:numPr>
          <w:ilvl w:val="2"/>
          <w:numId w:val="0"/>
        </w:numPr>
        <w:ind w:left="624" w:hanging="624"/>
        <w:rPr>
          <w:highlight w:val="none"/>
        </w:rPr>
      </w:pPr>
      <w:bookmarkStart w:id="781" w:name="_Toc15245"/>
      <w:r>
        <w:rPr>
          <w:rFonts w:hint="eastAsia"/>
          <w:highlight w:val="none"/>
        </w:rPr>
        <w:t>7.6.1抹灰工程</w:t>
      </w:r>
      <w:bookmarkEnd w:id="781"/>
    </w:p>
    <w:p w14:paraId="24263770">
      <w:pPr>
        <w:pStyle w:val="6"/>
        <w:numPr>
          <w:ilvl w:val="3"/>
          <w:numId w:val="0"/>
        </w:numPr>
        <w:ind w:left="864" w:leftChars="100" w:hanging="624"/>
        <w:rPr>
          <w:highlight w:val="none"/>
        </w:rPr>
      </w:pPr>
      <w:r>
        <w:rPr>
          <w:rFonts w:hint="eastAsia"/>
          <w:highlight w:val="none"/>
        </w:rPr>
        <w:t>7.6.1.1 普通水泥砂浆抹灰</w:t>
      </w:r>
    </w:p>
    <w:p w14:paraId="27F07274">
      <w:pPr>
        <w:numPr>
          <w:ilvl w:val="1"/>
          <w:numId w:val="61"/>
        </w:numPr>
        <w:ind w:firstLine="480"/>
        <w:rPr>
          <w:highlight w:val="none"/>
        </w:rPr>
      </w:pPr>
      <w:r>
        <w:rPr>
          <w:rFonts w:hint="eastAsia"/>
          <w:highlight w:val="none"/>
        </w:rPr>
        <w:t>抹灰找平工程不空不裂，尺寸合格，表面平整清洁，无明显抹纹，接槎平整，无空鼓开裂，批嵌细腻，无脱皮。</w:t>
      </w:r>
    </w:p>
    <w:p w14:paraId="3AEB1C36">
      <w:pPr>
        <w:numPr>
          <w:ilvl w:val="1"/>
          <w:numId w:val="61"/>
        </w:numPr>
        <w:ind w:firstLine="480"/>
        <w:rPr>
          <w:highlight w:val="none"/>
        </w:rPr>
      </w:pPr>
      <w:r>
        <w:rPr>
          <w:rFonts w:hint="eastAsia"/>
          <w:highlight w:val="none"/>
        </w:rPr>
        <w:t xml:space="preserve">立面垂直，阴阳角方正顺直，预留洞、槽、管道等的位置、尺寸正确、出墙口整洁、顺直。 </w:t>
      </w:r>
    </w:p>
    <w:p w14:paraId="2181F5B1">
      <w:pPr>
        <w:numPr>
          <w:ilvl w:val="1"/>
          <w:numId w:val="61"/>
        </w:numPr>
        <w:ind w:firstLine="480"/>
        <w:rPr>
          <w:highlight w:val="none"/>
        </w:rPr>
      </w:pPr>
      <w:r>
        <w:rPr>
          <w:rFonts w:hint="eastAsia"/>
          <w:highlight w:val="none"/>
        </w:rPr>
        <w:t>基层墙面应清除浮浆、脱模剂、油污及模板残留物，螺杆洞封堵必须符合要求，不同界面交接位置必须进行挂网，挂网前高低差部位应用水泥砂浆填补，挂网要求采用耐碱玻璃纤维网或镀锌钢丝网。</w:t>
      </w:r>
    </w:p>
    <w:p w14:paraId="1CACC820">
      <w:pPr>
        <w:numPr>
          <w:ilvl w:val="1"/>
          <w:numId w:val="61"/>
        </w:numPr>
        <w:ind w:firstLine="480"/>
        <w:rPr>
          <w:highlight w:val="none"/>
        </w:rPr>
      </w:pPr>
      <w:r>
        <w:rPr>
          <w:rFonts w:hint="eastAsia"/>
          <w:highlight w:val="none"/>
        </w:rPr>
        <w:t>抹灰施工提前一天对墙面进行喷水湿润，甩浆施工当天再次对墙面进行洒水湿润。</w:t>
      </w:r>
    </w:p>
    <w:p w14:paraId="25394476">
      <w:pPr>
        <w:numPr>
          <w:ilvl w:val="1"/>
          <w:numId w:val="61"/>
        </w:numPr>
        <w:ind w:firstLine="480"/>
        <w:rPr>
          <w:highlight w:val="none"/>
        </w:rPr>
      </w:pPr>
      <w:r>
        <w:rPr>
          <w:rFonts w:hint="eastAsia"/>
          <w:highlight w:val="none"/>
        </w:rPr>
        <w:t>甩浆拉毛（外墙建议使用高压水枪拉毛）</w:t>
      </w:r>
    </w:p>
    <w:p w14:paraId="3EF32BC4">
      <w:pPr>
        <w:numPr>
          <w:ilvl w:val="0"/>
          <w:numId w:val="62"/>
        </w:numPr>
        <w:ind w:firstLine="480"/>
        <w:rPr>
          <w:highlight w:val="none"/>
        </w:rPr>
      </w:pPr>
      <w:r>
        <w:rPr>
          <w:rFonts w:hint="eastAsia"/>
          <w:highlight w:val="none"/>
        </w:rPr>
        <w:t>浆料采用高强度粘结剂、施工用水、复合硅酸盐水泥、砂，推荐配比为胶:水:水泥:砂=1:2:4:1，各项目应根据胶水的粘结性能、墙面的光滑程度等因素，配置合适的浆料配比。</w:t>
      </w:r>
    </w:p>
    <w:p w14:paraId="3D31FFEF">
      <w:pPr>
        <w:numPr>
          <w:ilvl w:val="0"/>
          <w:numId w:val="62"/>
        </w:numPr>
        <w:ind w:firstLine="480"/>
        <w:rPr>
          <w:highlight w:val="none"/>
        </w:rPr>
      </w:pPr>
      <w:r>
        <w:rPr>
          <w:rFonts w:hint="eastAsia"/>
          <w:highlight w:val="none"/>
        </w:rPr>
        <w:t>甩浆面积不小于基面的95%，毛刺高度在0.5cm左右；浆料达到一定强度后，必须进行喷水养护，特别是边角部位，养护时间不低于3天。</w:t>
      </w:r>
    </w:p>
    <w:p w14:paraId="5118AA78">
      <w:pPr>
        <w:numPr>
          <w:ilvl w:val="1"/>
          <w:numId w:val="61"/>
        </w:numPr>
        <w:ind w:firstLine="480"/>
        <w:rPr>
          <w:highlight w:val="none"/>
        </w:rPr>
      </w:pPr>
      <w:r>
        <w:rPr>
          <w:rFonts w:hint="eastAsia"/>
          <w:highlight w:val="none"/>
        </w:rPr>
        <w:t>抹灰施工应分层进行，</w:t>
      </w:r>
      <w:r>
        <w:rPr>
          <w:highlight w:val="none"/>
        </w:rPr>
        <w:t>第一</w:t>
      </w:r>
      <w:r>
        <w:rPr>
          <w:rFonts w:hint="eastAsia"/>
          <w:highlight w:val="none"/>
        </w:rPr>
        <w:t>层</w:t>
      </w:r>
      <w:r>
        <w:rPr>
          <w:highlight w:val="none"/>
        </w:rPr>
        <w:t>抹灰</w:t>
      </w:r>
      <w:r>
        <w:rPr>
          <w:rFonts w:hint="eastAsia"/>
          <w:highlight w:val="none"/>
        </w:rPr>
        <w:t>前需提前两天对甩浆墙面洒水润湿，确保</w:t>
      </w:r>
      <w:r>
        <w:rPr>
          <w:highlight w:val="none"/>
        </w:rPr>
        <w:t>墙面湿润，并滚涂界面剂，厚度控制在8mm</w:t>
      </w:r>
      <w:r>
        <w:rPr>
          <w:rFonts w:hint="eastAsia"/>
          <w:highlight w:val="none"/>
        </w:rPr>
        <w:t>左右，</w:t>
      </w:r>
      <w:r>
        <w:rPr>
          <w:highlight w:val="none"/>
        </w:rPr>
        <w:t>抹灰表面拉毛处理</w:t>
      </w:r>
      <w:r>
        <w:rPr>
          <w:rFonts w:hint="eastAsia"/>
          <w:highlight w:val="none"/>
        </w:rPr>
        <w:t>；</w:t>
      </w:r>
      <w:r>
        <w:rPr>
          <w:highlight w:val="none"/>
        </w:rPr>
        <w:t>第二</w:t>
      </w:r>
      <w:r>
        <w:rPr>
          <w:rFonts w:hint="eastAsia"/>
          <w:highlight w:val="none"/>
        </w:rPr>
        <w:t>层</w:t>
      </w:r>
      <w:r>
        <w:rPr>
          <w:highlight w:val="none"/>
        </w:rPr>
        <w:t>抹灰</w:t>
      </w:r>
      <w:r>
        <w:rPr>
          <w:rFonts w:hint="eastAsia"/>
          <w:highlight w:val="none"/>
        </w:rPr>
        <w:t>应在第二天进行，宜</w:t>
      </w:r>
      <w:r>
        <w:rPr>
          <w:highlight w:val="none"/>
        </w:rPr>
        <w:t>满挂</w:t>
      </w:r>
      <w:r>
        <w:rPr>
          <w:rFonts w:hint="eastAsia"/>
          <w:highlight w:val="none"/>
        </w:rPr>
        <w:t>抗碱玻璃纤维网格布，</w:t>
      </w:r>
      <w:r>
        <w:rPr>
          <w:highlight w:val="none"/>
        </w:rPr>
        <w:t>厚度控制在7mm</w:t>
      </w:r>
      <w:r>
        <w:rPr>
          <w:rFonts w:hint="eastAsia"/>
          <w:highlight w:val="none"/>
        </w:rPr>
        <w:t>左右。为避免和减少抹灰层砂浆空鼓、收缩裂缝，面层不宜过分压光，以表面不粗糙、无明显小凹坑、砂头不外露为准。</w:t>
      </w:r>
    </w:p>
    <w:p w14:paraId="775B2D36">
      <w:pPr>
        <w:numPr>
          <w:ilvl w:val="1"/>
          <w:numId w:val="61"/>
        </w:numPr>
        <w:ind w:firstLine="480"/>
        <w:rPr>
          <w:highlight w:val="none"/>
        </w:rPr>
      </w:pPr>
      <w:r>
        <w:rPr>
          <w:highlight w:val="none"/>
        </w:rPr>
        <w:t>抹灰初凝后</w:t>
      </w:r>
      <w:r>
        <w:rPr>
          <w:rFonts w:hint="eastAsia"/>
          <w:highlight w:val="none"/>
        </w:rPr>
        <w:t>的</w:t>
      </w:r>
      <w:r>
        <w:rPr>
          <w:highlight w:val="none"/>
        </w:rPr>
        <w:t>养护，</w:t>
      </w:r>
      <w:r>
        <w:rPr>
          <w:rFonts w:hint="eastAsia"/>
          <w:highlight w:val="none"/>
        </w:rPr>
        <w:t>首选</w:t>
      </w:r>
      <w:r>
        <w:rPr>
          <w:highlight w:val="none"/>
        </w:rPr>
        <w:t>覆</w:t>
      </w:r>
      <w:r>
        <w:rPr>
          <w:rFonts w:hint="eastAsia"/>
          <w:highlight w:val="none"/>
        </w:rPr>
        <w:t>膜</w:t>
      </w:r>
      <w:r>
        <w:rPr>
          <w:highlight w:val="none"/>
        </w:rPr>
        <w:t>养护。覆膜</w:t>
      </w:r>
      <w:r>
        <w:rPr>
          <w:rFonts w:hint="eastAsia"/>
          <w:highlight w:val="none"/>
        </w:rPr>
        <w:t>时间</w:t>
      </w:r>
      <w:r>
        <w:rPr>
          <w:highlight w:val="none"/>
        </w:rPr>
        <w:t>控制在两遍抹灰完成后的12个小时左右。用胶</w:t>
      </w:r>
      <w:r>
        <w:rPr>
          <w:rFonts w:hint="eastAsia"/>
          <w:highlight w:val="none"/>
        </w:rPr>
        <w:t>:</w:t>
      </w:r>
      <w:r>
        <w:rPr>
          <w:highlight w:val="none"/>
        </w:rPr>
        <w:t>水=3</w:t>
      </w:r>
      <w:r>
        <w:rPr>
          <w:rFonts w:hint="eastAsia"/>
          <w:highlight w:val="none"/>
        </w:rPr>
        <w:t>:</w:t>
      </w:r>
      <w:r>
        <w:rPr>
          <w:highlight w:val="none"/>
        </w:rPr>
        <w:t>7的乳胶液滚涂在砂浆表面，之后将PE塑料膜</w:t>
      </w:r>
      <w:r>
        <w:rPr>
          <w:rFonts w:hint="eastAsia"/>
          <w:highlight w:val="none"/>
        </w:rPr>
        <w:t>粘覆</w:t>
      </w:r>
      <w:r>
        <w:rPr>
          <w:highlight w:val="none"/>
        </w:rPr>
        <w:t>其上，直至交付精装或交付。</w:t>
      </w:r>
    </w:p>
    <w:p w14:paraId="6BE96BAF">
      <w:pPr>
        <w:numPr>
          <w:ilvl w:val="1"/>
          <w:numId w:val="61"/>
        </w:numPr>
        <w:ind w:firstLine="480"/>
        <w:rPr>
          <w:highlight w:val="none"/>
        </w:rPr>
      </w:pPr>
      <w:r>
        <w:rPr>
          <w:rFonts w:hint="eastAsia"/>
          <w:highlight w:val="none"/>
        </w:rPr>
        <w:t>砂浆在楼层堆放时必须设垫板或使用容器，禁止现场加水及初凝后使用。</w:t>
      </w:r>
    </w:p>
    <w:p w14:paraId="4561BD80">
      <w:pPr>
        <w:numPr>
          <w:ilvl w:val="1"/>
          <w:numId w:val="61"/>
        </w:numPr>
        <w:ind w:firstLine="480"/>
        <w:rPr>
          <w:highlight w:val="none"/>
        </w:rPr>
      </w:pPr>
      <w:r>
        <w:rPr>
          <w:rFonts w:hint="eastAsia"/>
          <w:highlight w:val="none"/>
        </w:rPr>
        <w:t>施工要求</w:t>
      </w:r>
    </w:p>
    <w:p w14:paraId="5D48F5F5">
      <w:pPr>
        <w:numPr>
          <w:ilvl w:val="0"/>
          <w:numId w:val="63"/>
        </w:numPr>
        <w:ind w:firstLine="480"/>
        <w:rPr>
          <w:highlight w:val="none"/>
        </w:rPr>
      </w:pPr>
      <w:r>
        <w:rPr>
          <w:rFonts w:hint="eastAsia"/>
          <w:highlight w:val="none"/>
        </w:rPr>
        <w:t xml:space="preserve">砌体结构完成至少15天（间歇时间）； </w:t>
      </w:r>
    </w:p>
    <w:p w14:paraId="070A60E8">
      <w:pPr>
        <w:numPr>
          <w:ilvl w:val="0"/>
          <w:numId w:val="63"/>
        </w:numPr>
        <w:ind w:firstLine="480"/>
        <w:rPr>
          <w:highlight w:val="none"/>
        </w:rPr>
      </w:pPr>
      <w:r>
        <w:rPr>
          <w:rFonts w:hint="eastAsia"/>
          <w:highlight w:val="none"/>
        </w:rPr>
        <w:t xml:space="preserve">完成门窗的防水处理，并要求粘贴好保护膜； </w:t>
      </w:r>
    </w:p>
    <w:p w14:paraId="0503EBF7">
      <w:pPr>
        <w:numPr>
          <w:ilvl w:val="0"/>
          <w:numId w:val="63"/>
        </w:numPr>
        <w:ind w:firstLine="480"/>
        <w:rPr>
          <w:highlight w:val="none"/>
        </w:rPr>
      </w:pPr>
      <w:r>
        <w:rPr>
          <w:rFonts w:hint="eastAsia"/>
          <w:highlight w:val="none"/>
        </w:rPr>
        <w:t xml:space="preserve">完成墙体预留水电管线安装和室内插座、开关底盒安装，及安装管线墙面填实修补工作； </w:t>
      </w:r>
    </w:p>
    <w:p w14:paraId="31EC20F0">
      <w:pPr>
        <w:numPr>
          <w:ilvl w:val="0"/>
          <w:numId w:val="63"/>
        </w:numPr>
        <w:ind w:firstLine="480"/>
        <w:rPr>
          <w:highlight w:val="none"/>
        </w:rPr>
      </w:pPr>
      <w:r>
        <w:rPr>
          <w:rFonts w:hint="eastAsia"/>
          <w:highlight w:val="none"/>
        </w:rPr>
        <w:t xml:space="preserve">内外墙体各种孔洞采取相应的措施封堵完毕，包括脚手眼、穿墙螺栓孔、管道洞口等； </w:t>
      </w:r>
    </w:p>
    <w:p w14:paraId="3BCFA78E">
      <w:pPr>
        <w:numPr>
          <w:ilvl w:val="0"/>
          <w:numId w:val="63"/>
        </w:numPr>
        <w:ind w:firstLine="480"/>
        <w:rPr>
          <w:highlight w:val="none"/>
        </w:rPr>
      </w:pPr>
      <w:r>
        <w:rPr>
          <w:rFonts w:hint="eastAsia"/>
          <w:highlight w:val="none"/>
        </w:rPr>
        <w:t xml:space="preserve">墙体基层清理干净，包括灰尘、油渍、污垢及蜂窝、露筋、铅丝头、模板皮、浮浆等； </w:t>
      </w:r>
    </w:p>
    <w:p w14:paraId="77817D19">
      <w:pPr>
        <w:numPr>
          <w:ilvl w:val="0"/>
          <w:numId w:val="63"/>
        </w:numPr>
        <w:ind w:firstLine="480"/>
        <w:rPr>
          <w:highlight w:val="none"/>
        </w:rPr>
      </w:pPr>
      <w:r>
        <w:rPr>
          <w:rFonts w:hint="eastAsia"/>
          <w:highlight w:val="none"/>
        </w:rPr>
        <w:t>砖墙、混凝土墙抹灰前，应在粉刷施工前喷洒1~2遍水，待其表面无水珠流淌即可进行抹灰。也可采用专用界面剂。</w:t>
      </w:r>
    </w:p>
    <w:p w14:paraId="06CEB529">
      <w:pPr>
        <w:numPr>
          <w:ilvl w:val="0"/>
          <w:numId w:val="63"/>
        </w:numPr>
        <w:ind w:firstLine="480"/>
        <w:rPr>
          <w:highlight w:val="none"/>
        </w:rPr>
      </w:pPr>
      <w:r>
        <w:rPr>
          <w:rFonts w:hint="eastAsia"/>
          <w:highlight w:val="none"/>
        </w:rPr>
        <w:t>加气混凝土砌块墙、轻质板材隔墙抹灰前，应在抹灰前2 ~3小时开始洒水，洒水次数为2 ~3次，当表面无水珠流淌即可抹灰；也可采用专用界面剂。</w:t>
      </w:r>
    </w:p>
    <w:p w14:paraId="618192E6">
      <w:pPr>
        <w:numPr>
          <w:ilvl w:val="1"/>
          <w:numId w:val="61"/>
        </w:numPr>
        <w:ind w:firstLine="480"/>
        <w:rPr>
          <w:highlight w:val="none"/>
        </w:rPr>
      </w:pPr>
      <w:r>
        <w:rPr>
          <w:rFonts w:hint="eastAsia"/>
          <w:highlight w:val="none"/>
        </w:rPr>
        <w:t>抹灰层构造</w:t>
      </w:r>
    </w:p>
    <w:p w14:paraId="28EA5DB7">
      <w:pPr>
        <w:ind w:firstLine="480"/>
        <w:rPr>
          <w:highlight w:val="none"/>
        </w:rPr>
      </w:pPr>
      <w:r>
        <w:rPr>
          <w:rFonts w:hint="eastAsia"/>
          <w:highlight w:val="none"/>
        </w:rPr>
        <w:t>由建筑设计规定，不同材料基体交接处应设置耐碱涂覆网布，防止开裂。抹灰厚度小于5mm的可直接使用石膏面层粉刷砂浆。厚度为5~20mm的可先用石膏底层粉刷砂浆或石膏轻质底层粉刷砂浆打底，再用石膏面层砂浆照面。抹灰总厚度若大于35mm，要在底层抹灰中加挂钢丝网以防止开裂、掉灰。</w:t>
      </w:r>
    </w:p>
    <w:p w14:paraId="7D0FAB9D">
      <w:pPr>
        <w:ind w:firstLine="480"/>
        <w:rPr>
          <w:highlight w:val="none"/>
        </w:rPr>
      </w:pPr>
      <w:r>
        <w:rPr>
          <w:rFonts w:hint="eastAsia"/>
          <w:highlight w:val="none"/>
        </w:rPr>
        <w:t>施工前，应根据设计要求和基层表面平整垂直情况，用一面墙做基准吊垂直、套方、找规矩。并经检查后再确定抹灰厚度。</w:t>
      </w:r>
    </w:p>
    <w:p w14:paraId="7C7062C7">
      <w:pPr>
        <w:numPr>
          <w:ilvl w:val="1"/>
          <w:numId w:val="61"/>
        </w:numPr>
        <w:ind w:firstLine="480"/>
        <w:rPr>
          <w:highlight w:val="none"/>
        </w:rPr>
      </w:pPr>
      <w:r>
        <w:rPr>
          <w:rFonts w:hint="eastAsia"/>
          <w:highlight w:val="none"/>
        </w:rPr>
        <w:t>施工方法：手工抹灰或机喷砂浆施工。</w:t>
      </w:r>
    </w:p>
    <w:p w14:paraId="3759BE8F">
      <w:pPr>
        <w:numPr>
          <w:ilvl w:val="0"/>
          <w:numId w:val="64"/>
        </w:numPr>
        <w:ind w:firstLine="480"/>
        <w:rPr>
          <w:highlight w:val="none"/>
        </w:rPr>
      </w:pPr>
      <w:r>
        <w:rPr>
          <w:rFonts w:hint="eastAsia"/>
          <w:highlight w:val="none"/>
        </w:rPr>
        <w:t>手工抹灰：墙面抹灰时，用灰板和抹子将粉刷砂浆抹在墙面上，用h形尺或刮板紧贴标筋刮平压实，做到墙面垂直。当抹灰厚度超过8mm时，应分层施工，每层厚度控制在8mm以内，待上一层粉刷砂浆料终凝后再抹下一层。要求抹灰层与基层之间、各抹灰层之间粘接牢固，无空鼓、无脱层。</w:t>
      </w:r>
    </w:p>
    <w:p w14:paraId="10258A54">
      <w:pPr>
        <w:numPr>
          <w:ilvl w:val="0"/>
          <w:numId w:val="64"/>
        </w:numPr>
        <w:ind w:firstLine="480"/>
        <w:rPr>
          <w:highlight w:val="none"/>
        </w:rPr>
      </w:pPr>
      <w:r>
        <w:rPr>
          <w:rFonts w:hint="eastAsia"/>
          <w:highlight w:val="none"/>
        </w:rPr>
        <w:t>机喷砂浆：当施工中断时间大于15分钟或在喷涂工作结束后，应认真清洗混料泵、输送管、喷枪等工具。</w:t>
      </w:r>
    </w:p>
    <w:p w14:paraId="2F7A78F4">
      <w:pPr>
        <w:numPr>
          <w:ilvl w:val="0"/>
          <w:numId w:val="64"/>
        </w:numPr>
        <w:ind w:firstLine="480"/>
        <w:rPr>
          <w:highlight w:val="none"/>
        </w:rPr>
      </w:pPr>
      <w:r>
        <w:rPr>
          <w:rFonts w:hint="eastAsia"/>
          <w:highlight w:val="none"/>
        </w:rPr>
        <w:t>表面压光应在终凝前进行，用手指压表面不出现明显压痕时为宜。可洒水湿润，并用找平刮刀继续找平。</w:t>
      </w:r>
    </w:p>
    <w:p w14:paraId="54D85545">
      <w:pPr>
        <w:numPr>
          <w:ilvl w:val="0"/>
          <w:numId w:val="64"/>
        </w:numPr>
        <w:ind w:firstLine="480"/>
        <w:rPr>
          <w:highlight w:val="none"/>
        </w:rPr>
      </w:pPr>
      <w:r>
        <w:rPr>
          <w:rFonts w:hint="eastAsia"/>
          <w:highlight w:val="none"/>
        </w:rPr>
        <w:t>抹灰完成后，室内宜通风排湿严禁明水浸湿已抹灰墙面。</w:t>
      </w:r>
    </w:p>
    <w:p w14:paraId="53F3ECE0">
      <w:pPr>
        <w:pStyle w:val="6"/>
        <w:numPr>
          <w:ilvl w:val="3"/>
          <w:numId w:val="0"/>
        </w:numPr>
        <w:ind w:left="864" w:leftChars="100" w:hanging="624"/>
        <w:rPr>
          <w:highlight w:val="none"/>
        </w:rPr>
      </w:pPr>
      <w:r>
        <w:rPr>
          <w:rFonts w:hint="eastAsia"/>
          <w:highlight w:val="none"/>
        </w:rPr>
        <w:t>7.6.1.2 石膏砂浆抹灰</w:t>
      </w:r>
    </w:p>
    <w:p w14:paraId="37646DD1">
      <w:pPr>
        <w:pStyle w:val="7"/>
        <w:numPr>
          <w:ilvl w:val="4"/>
          <w:numId w:val="0"/>
        </w:numPr>
        <w:ind w:firstLine="420"/>
        <w:rPr>
          <w:highlight w:val="none"/>
        </w:rPr>
      </w:pPr>
      <w:r>
        <w:rPr>
          <w:rFonts w:hint="eastAsia"/>
          <w:highlight w:val="none"/>
        </w:rPr>
        <w:t>7.6.1.2.1适用范围</w:t>
      </w:r>
    </w:p>
    <w:p w14:paraId="14375723">
      <w:pPr>
        <w:ind w:firstLine="480"/>
        <w:rPr>
          <w:highlight w:val="none"/>
        </w:rPr>
      </w:pPr>
      <w:r>
        <w:rPr>
          <w:rFonts w:hint="eastAsia"/>
          <w:highlight w:val="none"/>
        </w:rPr>
        <w:t>适用于建筑内墙抹灰为主的石膏粉刷砂浆抹灰工程。厨房、卫生间等湿度较大房间不得使用石膏砂浆抹灰。</w:t>
      </w:r>
    </w:p>
    <w:p w14:paraId="68197057">
      <w:pPr>
        <w:pStyle w:val="7"/>
        <w:numPr>
          <w:ilvl w:val="4"/>
          <w:numId w:val="0"/>
        </w:numPr>
        <w:ind w:firstLine="420"/>
        <w:rPr>
          <w:highlight w:val="none"/>
        </w:rPr>
      </w:pPr>
      <w:r>
        <w:rPr>
          <w:rFonts w:hint="eastAsia"/>
          <w:highlight w:val="none"/>
        </w:rPr>
        <w:t>7.6.1.2.2质量标准</w:t>
      </w:r>
    </w:p>
    <w:p w14:paraId="4D98296C">
      <w:pPr>
        <w:numPr>
          <w:ilvl w:val="1"/>
          <w:numId w:val="65"/>
        </w:numPr>
        <w:ind w:firstLine="480"/>
        <w:rPr>
          <w:highlight w:val="none"/>
        </w:rPr>
      </w:pPr>
      <w:r>
        <w:rPr>
          <w:rFonts w:hint="eastAsia"/>
          <w:highlight w:val="none"/>
        </w:rPr>
        <w:t>抹灰表面应光滑、洁净、接槎平整、颜色均匀，无抹纹。</w:t>
      </w:r>
    </w:p>
    <w:p w14:paraId="73244324">
      <w:pPr>
        <w:numPr>
          <w:ilvl w:val="1"/>
          <w:numId w:val="65"/>
        </w:numPr>
        <w:ind w:firstLine="480"/>
        <w:rPr>
          <w:highlight w:val="none"/>
        </w:rPr>
      </w:pPr>
      <w:r>
        <w:rPr>
          <w:rFonts w:hint="eastAsia"/>
          <w:highlight w:val="none"/>
        </w:rPr>
        <w:t>抹灰层的总厚度应符合设计要求。</w:t>
      </w:r>
    </w:p>
    <w:p w14:paraId="647F9939">
      <w:pPr>
        <w:pStyle w:val="7"/>
        <w:numPr>
          <w:ilvl w:val="4"/>
          <w:numId w:val="0"/>
        </w:numPr>
        <w:ind w:firstLine="420"/>
        <w:rPr>
          <w:highlight w:val="none"/>
        </w:rPr>
      </w:pPr>
      <w:r>
        <w:rPr>
          <w:rFonts w:hint="eastAsia"/>
          <w:highlight w:val="none"/>
        </w:rPr>
        <w:t>7.6.1.2.3材料要求</w:t>
      </w:r>
    </w:p>
    <w:p w14:paraId="52F9AE39">
      <w:pPr>
        <w:numPr>
          <w:ilvl w:val="1"/>
          <w:numId w:val="66"/>
        </w:numPr>
        <w:ind w:firstLine="480"/>
        <w:rPr>
          <w:highlight w:val="none"/>
        </w:rPr>
      </w:pPr>
      <w:r>
        <w:rPr>
          <w:rFonts w:hint="eastAsia"/>
          <w:highlight w:val="none"/>
        </w:rPr>
        <w:t>粉刷石膏各项性能（包括初凝时间、终凝时间、抗折强度、抗压强度、拉伸粘结强度、体积密度、保水率）满足JC/T517《粉刷石膏》要求。耐碱型网格布性能（包括单位面积质量、耐碱拉伸断裂强力、耐碱拉伸断裂强力保留率、断裂应变）应符合相应技术指标。</w:t>
      </w:r>
    </w:p>
    <w:p w14:paraId="504947BB">
      <w:pPr>
        <w:numPr>
          <w:ilvl w:val="1"/>
          <w:numId w:val="66"/>
        </w:numPr>
        <w:ind w:firstLine="480"/>
        <w:rPr>
          <w:highlight w:val="none"/>
        </w:rPr>
      </w:pPr>
      <w:r>
        <w:rPr>
          <w:rFonts w:hint="eastAsia"/>
          <w:highlight w:val="none"/>
        </w:rPr>
        <w:t>袋装石膏粉刷砂浆的保质期为6个月，散装石膏粉刷砂浆必须在专用封闭式筒仓内储存，保质期为3个月。严禁使用过期的和受潮结块的石膏粉刷砂浆。在施工现场存储时应采取防雨防潮措施。</w:t>
      </w:r>
    </w:p>
    <w:p w14:paraId="2F1F5448">
      <w:pPr>
        <w:numPr>
          <w:ilvl w:val="1"/>
          <w:numId w:val="66"/>
        </w:numPr>
        <w:ind w:firstLine="480"/>
        <w:rPr>
          <w:highlight w:val="none"/>
        </w:rPr>
      </w:pPr>
      <w:r>
        <w:rPr>
          <w:rFonts w:hint="eastAsia"/>
          <w:highlight w:val="none"/>
        </w:rPr>
        <w:t>钢丝网，宽度为每边100mm，镀锌钢丝网实测眼目规格为不大于10×10mm，实测钢丝直径为不小于0.7mm，使用钢钉挂网，钢钉固定间距不大于250mm。耐碱玻璃纤维网规格10×10mm。</w:t>
      </w:r>
    </w:p>
    <w:p w14:paraId="563A4D73">
      <w:pPr>
        <w:pStyle w:val="5"/>
        <w:numPr>
          <w:ilvl w:val="2"/>
          <w:numId w:val="0"/>
        </w:numPr>
        <w:ind w:left="624" w:hanging="624"/>
        <w:rPr>
          <w:highlight w:val="none"/>
        </w:rPr>
      </w:pPr>
      <w:bookmarkStart w:id="782" w:name="_Toc3246"/>
      <w:r>
        <w:rPr>
          <w:rFonts w:hint="eastAsia"/>
          <w:highlight w:val="none"/>
        </w:rPr>
        <w:t>7.6.2 地面工程</w:t>
      </w:r>
      <w:bookmarkEnd w:id="782"/>
    </w:p>
    <w:p w14:paraId="6C5DB357">
      <w:pPr>
        <w:pStyle w:val="6"/>
        <w:numPr>
          <w:ilvl w:val="3"/>
          <w:numId w:val="0"/>
        </w:numPr>
        <w:ind w:left="864" w:leftChars="100" w:hanging="624"/>
        <w:rPr>
          <w:highlight w:val="none"/>
        </w:rPr>
      </w:pPr>
      <w:r>
        <w:rPr>
          <w:rFonts w:hint="eastAsia"/>
          <w:highlight w:val="none"/>
        </w:rPr>
        <w:t>7.6.2.1需按照地面实际情况设置分隔条，分隔条方案需报监理人/发包人审批。</w:t>
      </w:r>
    </w:p>
    <w:p w14:paraId="2DCD6E62">
      <w:pPr>
        <w:pStyle w:val="6"/>
        <w:numPr>
          <w:ilvl w:val="3"/>
          <w:numId w:val="0"/>
        </w:numPr>
        <w:ind w:left="864" w:leftChars="100" w:hanging="624"/>
        <w:rPr>
          <w:highlight w:val="none"/>
        </w:rPr>
      </w:pPr>
      <w:r>
        <w:rPr>
          <w:rFonts w:hint="eastAsia"/>
          <w:highlight w:val="none"/>
        </w:rPr>
        <w:t>7.6.2.2地面施工后覆盖塑料薄膜，避免地面产生龟裂，并进行不少于7天的养护。覆膜</w:t>
      </w:r>
      <w:r>
        <w:rPr>
          <w:highlight w:val="none"/>
        </w:rPr>
        <w:t>保护可直至移交精装或竣工。</w:t>
      </w:r>
    </w:p>
    <w:p w14:paraId="246411FB">
      <w:pPr>
        <w:pStyle w:val="6"/>
        <w:numPr>
          <w:ilvl w:val="3"/>
          <w:numId w:val="0"/>
        </w:numPr>
        <w:ind w:left="864" w:leftChars="100" w:hanging="624"/>
        <w:rPr>
          <w:highlight w:val="none"/>
        </w:rPr>
      </w:pPr>
      <w:r>
        <w:rPr>
          <w:rFonts w:hint="eastAsia"/>
          <w:highlight w:val="none"/>
        </w:rPr>
        <w:t>7.6.2.3地坪表面平整，颜色一致，清洁干净，无污染，无开裂空鼓，表面无麻面，不起砂。</w:t>
      </w:r>
    </w:p>
    <w:p w14:paraId="290B300B">
      <w:pPr>
        <w:pStyle w:val="6"/>
        <w:numPr>
          <w:ilvl w:val="3"/>
          <w:numId w:val="0"/>
        </w:numPr>
        <w:ind w:left="864" w:leftChars="100" w:hanging="624"/>
        <w:rPr>
          <w:highlight w:val="none"/>
        </w:rPr>
      </w:pPr>
      <w:r>
        <w:rPr>
          <w:rFonts w:hint="eastAsia"/>
          <w:highlight w:val="none"/>
        </w:rPr>
        <w:t>7.6.2.4 地坪平整度允许偏差满足规范要求。踢脚线平整顺直，高度一致，无空鼓开裂，与墙面结合牢固，上下平整，分色清楚。</w:t>
      </w:r>
    </w:p>
    <w:p w14:paraId="729EF6B9">
      <w:pPr>
        <w:pStyle w:val="5"/>
        <w:numPr>
          <w:ilvl w:val="2"/>
          <w:numId w:val="0"/>
        </w:numPr>
        <w:ind w:left="624" w:hanging="624"/>
        <w:rPr>
          <w:highlight w:val="none"/>
        </w:rPr>
      </w:pPr>
      <w:bookmarkStart w:id="783" w:name="_Toc18125"/>
      <w:r>
        <w:rPr>
          <w:rFonts w:hint="eastAsia"/>
          <w:highlight w:val="none"/>
        </w:rPr>
        <w:t>7.6.3窗台、阳台</w:t>
      </w:r>
      <w:bookmarkEnd w:id="783"/>
    </w:p>
    <w:p w14:paraId="5BBA081E">
      <w:pPr>
        <w:pStyle w:val="6"/>
        <w:numPr>
          <w:ilvl w:val="3"/>
          <w:numId w:val="0"/>
        </w:numPr>
        <w:ind w:left="864" w:leftChars="100" w:hanging="624"/>
        <w:rPr>
          <w:highlight w:val="none"/>
        </w:rPr>
      </w:pPr>
      <w:r>
        <w:rPr>
          <w:rFonts w:hint="eastAsia"/>
          <w:highlight w:val="none"/>
        </w:rPr>
        <w:t>7.6.3.1窗台横平竖直，楞角线条清晰；窗台泛水排水坡度不小于</w:t>
      </w:r>
      <w:r>
        <w:rPr>
          <w:highlight w:val="none"/>
        </w:rPr>
        <w:t>6</w:t>
      </w:r>
      <w:r>
        <w:rPr>
          <w:rFonts w:hint="eastAsia"/>
          <w:highlight w:val="none"/>
        </w:rPr>
        <w:t>%；窗台滴水槽顺直，</w:t>
      </w:r>
      <w:r>
        <w:rPr>
          <w:highlight w:val="none"/>
        </w:rPr>
        <w:t>两</w:t>
      </w:r>
      <w:r>
        <w:rPr>
          <w:rFonts w:hint="eastAsia"/>
          <w:highlight w:val="none"/>
        </w:rPr>
        <w:t>边粉刷相等，整齐一致。</w:t>
      </w:r>
    </w:p>
    <w:p w14:paraId="1DC54FD8">
      <w:pPr>
        <w:pStyle w:val="6"/>
        <w:numPr>
          <w:ilvl w:val="3"/>
          <w:numId w:val="0"/>
        </w:numPr>
        <w:ind w:left="864" w:leftChars="100" w:hanging="624"/>
        <w:rPr>
          <w:highlight w:val="none"/>
        </w:rPr>
      </w:pPr>
      <w:r>
        <w:rPr>
          <w:rFonts w:hint="eastAsia"/>
          <w:highlight w:val="none"/>
        </w:rPr>
        <w:t>7.6.3.2阳台粉刷曲线和顺，阴阳角清晰明快，挂落线厚度、宽度一致，细砂批嵌均匀，纹路顺直；涂料均匀，无色差，无起皱脱皮。上下阳台进出一致，梁底水平无翘曲，上口压顶找坡方向正确。</w:t>
      </w:r>
    </w:p>
    <w:p w14:paraId="6A35FDEF">
      <w:pPr>
        <w:pStyle w:val="6"/>
        <w:numPr>
          <w:ilvl w:val="3"/>
          <w:numId w:val="0"/>
        </w:numPr>
        <w:ind w:left="864" w:leftChars="100" w:hanging="624"/>
        <w:rPr>
          <w:highlight w:val="none"/>
        </w:rPr>
      </w:pPr>
      <w:r>
        <w:rPr>
          <w:rFonts w:hint="eastAsia"/>
          <w:highlight w:val="none"/>
        </w:rPr>
        <w:t>7.6.3.3阳台栏杆表面无明显划痕、无凹损和明显色差，栏杆整齐一致，位置正确，横平竖直。</w:t>
      </w:r>
    </w:p>
    <w:p w14:paraId="43385B3C">
      <w:pPr>
        <w:pStyle w:val="6"/>
        <w:numPr>
          <w:ilvl w:val="3"/>
          <w:numId w:val="0"/>
        </w:numPr>
        <w:ind w:left="864" w:leftChars="100" w:hanging="624"/>
        <w:rPr>
          <w:highlight w:val="none"/>
        </w:rPr>
      </w:pPr>
      <w:r>
        <w:rPr>
          <w:rFonts w:hint="eastAsia"/>
          <w:highlight w:val="none"/>
        </w:rPr>
        <w:t>7.6.3.4阳台应严格按图纸放坡，不倒泛水，无积水，无渗漏。</w:t>
      </w:r>
    </w:p>
    <w:p w14:paraId="69099B98">
      <w:pPr>
        <w:pStyle w:val="5"/>
        <w:numPr>
          <w:ilvl w:val="2"/>
          <w:numId w:val="0"/>
        </w:numPr>
        <w:ind w:left="624" w:hanging="624"/>
        <w:rPr>
          <w:highlight w:val="none"/>
        </w:rPr>
      </w:pPr>
      <w:bookmarkStart w:id="784" w:name="_Toc2779"/>
      <w:r>
        <w:rPr>
          <w:rFonts w:hint="eastAsia"/>
          <w:highlight w:val="none"/>
        </w:rPr>
        <w:t>7.6.4 卫生间</w:t>
      </w:r>
      <w:bookmarkEnd w:id="784"/>
    </w:p>
    <w:p w14:paraId="6010C2C2">
      <w:pPr>
        <w:pStyle w:val="6"/>
        <w:numPr>
          <w:ilvl w:val="3"/>
          <w:numId w:val="0"/>
        </w:numPr>
        <w:ind w:left="864" w:leftChars="100" w:hanging="624"/>
        <w:rPr>
          <w:highlight w:val="none"/>
        </w:rPr>
      </w:pPr>
      <w:r>
        <w:rPr>
          <w:rFonts w:hint="eastAsia"/>
          <w:highlight w:val="none"/>
        </w:rPr>
        <w:t>7.6.4.1墙面细砂批嵌粗细一致，平整清洁，纹路上下顺直，无裂缝，不起壳，地坪平整。</w:t>
      </w:r>
    </w:p>
    <w:p w14:paraId="6AA5E39A">
      <w:pPr>
        <w:pStyle w:val="6"/>
        <w:numPr>
          <w:ilvl w:val="3"/>
          <w:numId w:val="0"/>
        </w:numPr>
        <w:ind w:left="864" w:leftChars="100" w:hanging="624"/>
        <w:rPr>
          <w:highlight w:val="none"/>
        </w:rPr>
      </w:pPr>
      <w:r>
        <w:rPr>
          <w:rFonts w:hint="eastAsia"/>
          <w:highlight w:val="none"/>
        </w:rPr>
        <w:t>7.6.4.2卫生间地面24小时闭水试验，达到不渗不漏，地面按设计要求向地漏处找坡。</w:t>
      </w:r>
    </w:p>
    <w:p w14:paraId="1ECC8379">
      <w:pPr>
        <w:pStyle w:val="5"/>
        <w:numPr>
          <w:ilvl w:val="2"/>
          <w:numId w:val="0"/>
        </w:numPr>
        <w:ind w:left="624" w:hanging="624"/>
        <w:rPr>
          <w:highlight w:val="none"/>
        </w:rPr>
      </w:pPr>
      <w:bookmarkStart w:id="785" w:name="_Toc13986"/>
      <w:r>
        <w:rPr>
          <w:rFonts w:hint="eastAsia"/>
          <w:highlight w:val="none"/>
        </w:rPr>
        <w:t>7.6.5 厨房排烟</w:t>
      </w:r>
      <w:r>
        <w:rPr>
          <w:highlight w:val="none"/>
        </w:rPr>
        <w:t>道</w:t>
      </w:r>
      <w:bookmarkEnd w:id="785"/>
    </w:p>
    <w:p w14:paraId="2E7CB04D">
      <w:pPr>
        <w:pStyle w:val="6"/>
        <w:numPr>
          <w:ilvl w:val="3"/>
          <w:numId w:val="0"/>
        </w:numPr>
        <w:ind w:left="864" w:leftChars="100" w:hanging="624"/>
        <w:rPr>
          <w:highlight w:val="none"/>
        </w:rPr>
      </w:pPr>
      <w:r>
        <w:rPr>
          <w:rFonts w:hint="eastAsia"/>
          <w:highlight w:val="none"/>
        </w:rPr>
        <w:t>7.6.5.1成品排烟道在楼层处</w:t>
      </w:r>
      <w:r>
        <w:rPr>
          <w:highlight w:val="none"/>
        </w:rPr>
        <w:t>采用</w:t>
      </w:r>
      <w:r>
        <w:rPr>
          <w:rFonts w:hint="eastAsia"/>
          <w:highlight w:val="none"/>
        </w:rPr>
        <w:t>2根</w:t>
      </w:r>
      <w:r>
        <w:rPr>
          <w:highlight w:val="none"/>
        </w:rPr>
        <w:t>直径</w:t>
      </w:r>
      <w:r>
        <w:rPr>
          <w:rFonts w:hint="eastAsia"/>
          <w:highlight w:val="none"/>
        </w:rPr>
        <w:t>12</w:t>
      </w:r>
      <w:r>
        <w:rPr>
          <w:highlight w:val="none"/>
        </w:rPr>
        <w:t>钢筋</w:t>
      </w:r>
      <w:r>
        <w:rPr>
          <w:rFonts w:hint="eastAsia"/>
          <w:highlight w:val="none"/>
        </w:rPr>
        <w:t>每</w:t>
      </w:r>
      <w:r>
        <w:rPr>
          <w:highlight w:val="none"/>
        </w:rPr>
        <w:t>三层</w:t>
      </w:r>
      <w:r>
        <w:rPr>
          <w:rFonts w:hint="eastAsia"/>
          <w:highlight w:val="none"/>
        </w:rPr>
        <w:t>承</w:t>
      </w:r>
      <w:r>
        <w:rPr>
          <w:highlight w:val="none"/>
        </w:rPr>
        <w:t>托</w:t>
      </w:r>
      <w:r>
        <w:rPr>
          <w:rFonts w:hint="eastAsia"/>
          <w:highlight w:val="none"/>
        </w:rPr>
        <w:t>一</w:t>
      </w:r>
      <w:r>
        <w:rPr>
          <w:highlight w:val="none"/>
        </w:rPr>
        <w:t>次</w:t>
      </w:r>
      <w:r>
        <w:rPr>
          <w:rFonts w:hint="eastAsia"/>
          <w:highlight w:val="none"/>
        </w:rPr>
        <w:t>，烟</w:t>
      </w:r>
      <w:r>
        <w:rPr>
          <w:highlight w:val="none"/>
        </w:rPr>
        <w:t>道外壁</w:t>
      </w:r>
      <w:r>
        <w:rPr>
          <w:rFonts w:hint="eastAsia"/>
          <w:highlight w:val="none"/>
        </w:rPr>
        <w:t>与</w:t>
      </w:r>
      <w:r>
        <w:rPr>
          <w:highlight w:val="none"/>
        </w:rPr>
        <w:t>楼板</w:t>
      </w:r>
      <w:r>
        <w:rPr>
          <w:rFonts w:hint="eastAsia"/>
          <w:highlight w:val="none"/>
        </w:rPr>
        <w:t>/导墙</w:t>
      </w:r>
      <w:r>
        <w:rPr>
          <w:highlight w:val="none"/>
        </w:rPr>
        <w:t>之间</w:t>
      </w:r>
      <w:r>
        <w:rPr>
          <w:rFonts w:hint="eastAsia"/>
          <w:highlight w:val="none"/>
        </w:rPr>
        <w:t>用C</w:t>
      </w:r>
      <w:r>
        <w:rPr>
          <w:highlight w:val="none"/>
        </w:rPr>
        <w:t>20</w:t>
      </w:r>
      <w:r>
        <w:rPr>
          <w:rFonts w:hint="eastAsia"/>
          <w:highlight w:val="none"/>
        </w:rPr>
        <w:t>细</w:t>
      </w:r>
      <w:r>
        <w:rPr>
          <w:highlight w:val="none"/>
        </w:rPr>
        <w:t>石混凝土封堵填实</w:t>
      </w:r>
      <w:r>
        <w:rPr>
          <w:rFonts w:hint="eastAsia"/>
          <w:highlight w:val="none"/>
        </w:rPr>
        <w:t xml:space="preserve">。 </w:t>
      </w:r>
    </w:p>
    <w:p w14:paraId="523FED96">
      <w:pPr>
        <w:pStyle w:val="6"/>
        <w:numPr>
          <w:ilvl w:val="3"/>
          <w:numId w:val="0"/>
        </w:numPr>
        <w:ind w:left="864" w:leftChars="100" w:hanging="624"/>
        <w:rPr>
          <w:highlight w:val="none"/>
        </w:rPr>
      </w:pPr>
      <w:r>
        <w:rPr>
          <w:rFonts w:hint="eastAsia"/>
          <w:highlight w:val="none"/>
        </w:rPr>
        <w:t>7.6.5.2排烟</w:t>
      </w:r>
      <w:r>
        <w:rPr>
          <w:highlight w:val="none"/>
        </w:rPr>
        <w:t>道出上人</w:t>
      </w:r>
      <w:r>
        <w:rPr>
          <w:rFonts w:hint="eastAsia"/>
          <w:highlight w:val="none"/>
        </w:rPr>
        <w:t>屋</w:t>
      </w:r>
      <w:r>
        <w:rPr>
          <w:highlight w:val="none"/>
        </w:rPr>
        <w:t>面高度不低于</w:t>
      </w:r>
      <w:r>
        <w:rPr>
          <w:rFonts w:hint="eastAsia"/>
          <w:highlight w:val="none"/>
        </w:rPr>
        <w:t>屋</w:t>
      </w:r>
      <w:r>
        <w:rPr>
          <w:highlight w:val="none"/>
        </w:rPr>
        <w:t>面</w:t>
      </w:r>
      <w:r>
        <w:rPr>
          <w:rFonts w:hint="eastAsia"/>
          <w:highlight w:val="none"/>
        </w:rPr>
        <w:t>完成</w:t>
      </w:r>
      <w:r>
        <w:rPr>
          <w:highlight w:val="none"/>
        </w:rPr>
        <w:t>面</w:t>
      </w:r>
      <w:r>
        <w:rPr>
          <w:rFonts w:hint="eastAsia"/>
          <w:highlight w:val="none"/>
        </w:rPr>
        <w:t>2m，顶</w:t>
      </w:r>
      <w:r>
        <w:rPr>
          <w:highlight w:val="none"/>
        </w:rPr>
        <w:t>部应设置成品烟道自带的防雨</w:t>
      </w:r>
      <w:r>
        <w:rPr>
          <w:rFonts w:hint="eastAsia"/>
          <w:highlight w:val="none"/>
        </w:rPr>
        <w:t>、</w:t>
      </w:r>
      <w:r>
        <w:rPr>
          <w:highlight w:val="none"/>
        </w:rPr>
        <w:t>防倒灌风帽</w:t>
      </w:r>
      <w:r>
        <w:rPr>
          <w:rFonts w:hint="eastAsia"/>
          <w:highlight w:val="none"/>
        </w:rPr>
        <w:t>。</w:t>
      </w:r>
    </w:p>
    <w:p w14:paraId="517DC03D">
      <w:pPr>
        <w:pStyle w:val="6"/>
        <w:numPr>
          <w:ilvl w:val="3"/>
          <w:numId w:val="0"/>
        </w:numPr>
        <w:ind w:left="864" w:leftChars="100" w:hanging="624"/>
        <w:rPr>
          <w:highlight w:val="none"/>
        </w:rPr>
      </w:pPr>
      <w:r>
        <w:rPr>
          <w:rFonts w:hint="eastAsia"/>
          <w:highlight w:val="none"/>
        </w:rPr>
        <w:t>7.6.5.3出屋面排烟道外壁采用混凝土现浇，</w:t>
      </w:r>
      <w:r>
        <w:rPr>
          <w:highlight w:val="none"/>
        </w:rPr>
        <w:t>防止外</w:t>
      </w:r>
      <w:r>
        <w:rPr>
          <w:rFonts w:hint="eastAsia"/>
          <w:highlight w:val="none"/>
        </w:rPr>
        <w:t>壁开裂。</w:t>
      </w:r>
    </w:p>
    <w:p w14:paraId="601C5526">
      <w:pPr>
        <w:pStyle w:val="5"/>
        <w:numPr>
          <w:ilvl w:val="2"/>
          <w:numId w:val="0"/>
        </w:numPr>
        <w:ind w:left="624" w:hanging="624"/>
        <w:rPr>
          <w:highlight w:val="none"/>
        </w:rPr>
      </w:pPr>
      <w:bookmarkStart w:id="786" w:name="_Toc7655"/>
      <w:r>
        <w:rPr>
          <w:rFonts w:hint="eastAsia"/>
          <w:highlight w:val="none"/>
        </w:rPr>
        <w:t>7.6.6公共部位粗装修</w:t>
      </w:r>
      <w:bookmarkEnd w:id="786"/>
    </w:p>
    <w:p w14:paraId="6891E549">
      <w:pPr>
        <w:pStyle w:val="6"/>
        <w:numPr>
          <w:ilvl w:val="3"/>
          <w:numId w:val="0"/>
        </w:numPr>
        <w:ind w:left="864" w:leftChars="100" w:hanging="624"/>
        <w:rPr>
          <w:highlight w:val="none"/>
        </w:rPr>
      </w:pPr>
      <w:r>
        <w:rPr>
          <w:rFonts w:hint="eastAsia"/>
          <w:highlight w:val="none"/>
        </w:rPr>
        <w:t>7.6.6.1墙面平整，阴阳角方正顺直清晰。梁表面平整，梁底水平，高度宽度一致，腻子批嵌平整，无腻灰，无波纹，涂料均匀，无色差。</w:t>
      </w:r>
    </w:p>
    <w:p w14:paraId="78BB097F">
      <w:pPr>
        <w:pStyle w:val="6"/>
        <w:numPr>
          <w:ilvl w:val="3"/>
          <w:numId w:val="0"/>
        </w:numPr>
        <w:ind w:left="864" w:leftChars="100" w:hanging="624"/>
        <w:rPr>
          <w:highlight w:val="none"/>
        </w:rPr>
      </w:pPr>
      <w:r>
        <w:rPr>
          <w:rFonts w:hint="eastAsia"/>
          <w:highlight w:val="none"/>
        </w:rPr>
        <w:t>7.6.6.2地砖铺贴平整，拼花图案清晰，色泽一致，表面清洁，不起壳，无裂缝，无碎块，掉角，缺楞，砖缝均匀顺直；楼梯踏步尺寸一致，无大小头，斜面一条线。</w:t>
      </w:r>
    </w:p>
    <w:p w14:paraId="2BB09D26">
      <w:pPr>
        <w:pStyle w:val="6"/>
        <w:numPr>
          <w:ilvl w:val="3"/>
          <w:numId w:val="0"/>
        </w:numPr>
        <w:ind w:left="864" w:leftChars="100" w:hanging="624"/>
        <w:rPr>
          <w:highlight w:val="none"/>
        </w:rPr>
      </w:pPr>
      <w:r>
        <w:rPr>
          <w:rFonts w:hint="eastAsia"/>
          <w:highlight w:val="none"/>
        </w:rPr>
        <w:t>7.6.6.3楼梯挡水线、挂落线、宽厚度一致，表面平整，颜色一致，阴阳角清晰明快不含糊。</w:t>
      </w:r>
    </w:p>
    <w:p w14:paraId="464B234B">
      <w:pPr>
        <w:pStyle w:val="6"/>
        <w:numPr>
          <w:ilvl w:val="3"/>
          <w:numId w:val="0"/>
        </w:numPr>
        <w:ind w:left="864" w:leftChars="100" w:hanging="624"/>
        <w:rPr>
          <w:highlight w:val="none"/>
        </w:rPr>
      </w:pPr>
      <w:r>
        <w:rPr>
          <w:rFonts w:hint="eastAsia"/>
          <w:highlight w:val="none"/>
        </w:rPr>
        <w:t>7.6.6.4楼梯栏杆、扶手：栏杆焊疤处理平整，木扶手拼接牢固，扶手背不弯曲，腻子批嵌密实，油漆表面涂刷后无锈斑、焊渣，毛刺等。</w:t>
      </w:r>
    </w:p>
    <w:p w14:paraId="4351D427">
      <w:pPr>
        <w:pStyle w:val="4"/>
        <w:numPr>
          <w:ilvl w:val="1"/>
          <w:numId w:val="0"/>
        </w:numPr>
        <w:ind w:left="624" w:hanging="624"/>
        <w:rPr>
          <w:highlight w:val="none"/>
        </w:rPr>
      </w:pPr>
      <w:bookmarkStart w:id="787" w:name="_Toc6779"/>
      <w:bookmarkStart w:id="788" w:name="_Toc20046"/>
      <w:bookmarkStart w:id="789" w:name="_Toc10822"/>
      <w:bookmarkStart w:id="790" w:name="_Toc179563007"/>
      <w:bookmarkStart w:id="791" w:name="_Toc13710"/>
      <w:bookmarkStart w:id="792" w:name="_Toc19090"/>
      <w:bookmarkStart w:id="793" w:name="_Toc422854860"/>
      <w:bookmarkStart w:id="794" w:name="_Toc28921"/>
      <w:bookmarkStart w:id="795" w:name="_Toc169722237"/>
      <w:r>
        <w:rPr>
          <w:rFonts w:hint="eastAsia"/>
          <w:highlight w:val="none"/>
        </w:rPr>
        <w:t>7.7外墙工程技术要求</w:t>
      </w:r>
      <w:bookmarkEnd w:id="787"/>
      <w:bookmarkEnd w:id="788"/>
      <w:bookmarkEnd w:id="789"/>
      <w:bookmarkEnd w:id="790"/>
      <w:bookmarkEnd w:id="791"/>
      <w:bookmarkEnd w:id="792"/>
      <w:bookmarkEnd w:id="793"/>
      <w:bookmarkEnd w:id="794"/>
      <w:bookmarkEnd w:id="795"/>
    </w:p>
    <w:p w14:paraId="436E9E62">
      <w:pPr>
        <w:pStyle w:val="5"/>
        <w:numPr>
          <w:ilvl w:val="2"/>
          <w:numId w:val="0"/>
        </w:numPr>
        <w:ind w:left="624" w:hanging="624"/>
        <w:rPr>
          <w:highlight w:val="none"/>
        </w:rPr>
      </w:pPr>
      <w:bookmarkStart w:id="796" w:name="_Toc17169"/>
      <w:r>
        <w:rPr>
          <w:rFonts w:hint="eastAsia"/>
          <w:highlight w:val="none"/>
        </w:rPr>
        <w:t>7.7.1外墙面砖饰面返碱率为零，如发现返碱及时用清水清洗，直至不返碱为止。</w:t>
      </w:r>
      <w:bookmarkEnd w:id="796"/>
    </w:p>
    <w:p w14:paraId="5E6BC8A9">
      <w:pPr>
        <w:pStyle w:val="5"/>
        <w:numPr>
          <w:ilvl w:val="2"/>
          <w:numId w:val="0"/>
        </w:numPr>
        <w:ind w:left="624" w:hanging="624"/>
        <w:rPr>
          <w:highlight w:val="none"/>
        </w:rPr>
      </w:pPr>
      <w:bookmarkStart w:id="797" w:name="_Toc30992"/>
      <w:r>
        <w:rPr>
          <w:rFonts w:hint="eastAsia"/>
          <w:highlight w:val="none"/>
        </w:rPr>
        <w:t>7.7.2墙面平整无空鼓开裂，大墙角、阴角挺拔通直，细砂批嵌均匀无接口，表面无明显射影和波纹，阴阳角清晰；涂料均匀，无色差，无接痕，无污染，收头清爽。</w:t>
      </w:r>
      <w:bookmarkEnd w:id="797"/>
    </w:p>
    <w:p w14:paraId="66E18CCE">
      <w:pPr>
        <w:pStyle w:val="5"/>
        <w:numPr>
          <w:ilvl w:val="2"/>
          <w:numId w:val="0"/>
        </w:numPr>
        <w:ind w:left="624" w:hanging="624"/>
        <w:rPr>
          <w:highlight w:val="none"/>
        </w:rPr>
      </w:pPr>
      <w:bookmarkStart w:id="798" w:name="_Toc26543"/>
      <w:r>
        <w:rPr>
          <w:rFonts w:hint="eastAsia"/>
          <w:highlight w:val="none"/>
        </w:rPr>
        <w:t>7.7.3空调洞板：空调板挂线施工，上下垂直度≤1cm，宽度一致，洞口尺寸相同，左右上下横平竖直，洞口阴角通直清晰不含糊，洞外阳角方正顺直。</w:t>
      </w:r>
      <w:bookmarkEnd w:id="798"/>
    </w:p>
    <w:p w14:paraId="1EE0BBF3">
      <w:pPr>
        <w:pStyle w:val="5"/>
        <w:numPr>
          <w:ilvl w:val="2"/>
          <w:numId w:val="0"/>
        </w:numPr>
        <w:ind w:left="624" w:hanging="624"/>
        <w:rPr>
          <w:highlight w:val="none"/>
        </w:rPr>
      </w:pPr>
      <w:bookmarkStart w:id="799" w:name="_Toc27055"/>
      <w:r>
        <w:rPr>
          <w:rFonts w:hint="eastAsia"/>
          <w:highlight w:val="none"/>
        </w:rPr>
        <w:t>7.7.4外墙勒脚线和明沟：表面平整，无空鼓开裂，颜色一致无污染，上口水平，厚度相同不弯曲；明沟里、中、外按档次尺寸一致，转弯处和顺，月亮弯形状统一，无积水，排水流畅；伸缩缝宽度一致，不弯曲，油膏饱满，平整均匀无外溢。</w:t>
      </w:r>
      <w:bookmarkEnd w:id="799"/>
    </w:p>
    <w:p w14:paraId="0115A28A">
      <w:pPr>
        <w:pStyle w:val="5"/>
        <w:numPr>
          <w:ilvl w:val="2"/>
          <w:numId w:val="0"/>
        </w:numPr>
        <w:ind w:left="624" w:hanging="624"/>
        <w:rPr>
          <w:highlight w:val="none"/>
        </w:rPr>
      </w:pPr>
      <w:bookmarkStart w:id="800" w:name="_Toc15116"/>
      <w:r>
        <w:rPr>
          <w:rFonts w:hint="eastAsia"/>
          <w:highlight w:val="none"/>
        </w:rPr>
        <w:t>7.7.5外立面预先排版，面砖整砖铺贴，平整度好，色泽均匀，无色差、反碱、污痕；分格线条连续、平直；勾缝密实，宽度及深度均匀一致；拉拔试验合格。</w:t>
      </w:r>
      <w:bookmarkEnd w:id="800"/>
    </w:p>
    <w:p w14:paraId="2CA3AB56">
      <w:pPr>
        <w:pStyle w:val="5"/>
        <w:numPr>
          <w:ilvl w:val="2"/>
          <w:numId w:val="0"/>
        </w:numPr>
        <w:ind w:left="624" w:hanging="624"/>
        <w:rPr>
          <w:highlight w:val="none"/>
        </w:rPr>
      </w:pPr>
      <w:bookmarkStart w:id="801" w:name="_Toc15885"/>
      <w:r>
        <w:rPr>
          <w:rFonts w:hint="eastAsia"/>
          <w:highlight w:val="none"/>
        </w:rPr>
        <w:t>7.7.6外墙穿墙螺栓洞封堵：使用与相应部位混凝土强度等级相同的微膨胀水泥砂浆填塞密实，填充完成后，在外墙洞口100x100mm范围刮</w:t>
      </w:r>
      <w:r>
        <w:rPr>
          <w:highlight w:val="none"/>
        </w:rPr>
        <w:t>涂</w:t>
      </w:r>
      <w:r>
        <w:rPr>
          <w:rFonts w:hint="eastAsia"/>
          <w:highlight w:val="none"/>
        </w:rPr>
        <w:t>防水材料。</w:t>
      </w:r>
      <w:bookmarkEnd w:id="801"/>
    </w:p>
    <w:p w14:paraId="418D9770">
      <w:pPr>
        <w:pStyle w:val="4"/>
        <w:numPr>
          <w:ilvl w:val="1"/>
          <w:numId w:val="0"/>
        </w:numPr>
        <w:ind w:left="624" w:hanging="624"/>
        <w:rPr>
          <w:highlight w:val="none"/>
        </w:rPr>
      </w:pPr>
      <w:bookmarkStart w:id="802" w:name="_Toc6195"/>
      <w:bookmarkStart w:id="803" w:name="_Toc26233"/>
      <w:bookmarkStart w:id="804" w:name="_Toc8615"/>
      <w:bookmarkStart w:id="805" w:name="_Toc1331"/>
      <w:bookmarkStart w:id="806" w:name="_Toc179563008"/>
      <w:bookmarkStart w:id="807" w:name="_Toc10545"/>
      <w:bookmarkStart w:id="808" w:name="_Toc32269"/>
      <w:bookmarkStart w:id="809" w:name="_Toc422854861"/>
      <w:bookmarkStart w:id="810" w:name="_Toc169722238"/>
      <w:r>
        <w:rPr>
          <w:rFonts w:hint="eastAsia"/>
          <w:highlight w:val="none"/>
        </w:rPr>
        <w:t>7.8门窗工程技术要求</w:t>
      </w:r>
      <w:bookmarkEnd w:id="802"/>
      <w:bookmarkEnd w:id="803"/>
      <w:bookmarkEnd w:id="804"/>
      <w:bookmarkEnd w:id="805"/>
      <w:bookmarkEnd w:id="806"/>
      <w:bookmarkEnd w:id="807"/>
      <w:bookmarkEnd w:id="808"/>
    </w:p>
    <w:p w14:paraId="07BEB352">
      <w:pPr>
        <w:ind w:firstLine="480"/>
        <w:rPr>
          <w:highlight w:val="none"/>
        </w:rPr>
      </w:pPr>
      <w:r>
        <w:rPr>
          <w:rFonts w:hint="eastAsia"/>
          <w:highlight w:val="none"/>
        </w:rPr>
        <w:t>实行样板先行；门窗必须是在厂家车间生产以成品形式运抵施工现场；门窗预留洞口尺寸符合规范要求；门窗安装的固定方式及填缝符合规范；</w:t>
      </w:r>
    </w:p>
    <w:p w14:paraId="6931AE2A">
      <w:pPr>
        <w:pStyle w:val="5"/>
        <w:numPr>
          <w:ilvl w:val="2"/>
          <w:numId w:val="0"/>
        </w:numPr>
        <w:ind w:left="624" w:hanging="624"/>
        <w:rPr>
          <w:highlight w:val="none"/>
        </w:rPr>
      </w:pPr>
      <w:bookmarkStart w:id="811" w:name="_Toc18161"/>
      <w:r>
        <w:rPr>
          <w:rFonts w:hint="eastAsia"/>
          <w:highlight w:val="none"/>
        </w:rPr>
        <w:t>7.8.1门窗工程技术要求</w:t>
      </w:r>
      <w:bookmarkEnd w:id="811"/>
      <w:r>
        <w:rPr>
          <w:rFonts w:hint="eastAsia"/>
          <w:highlight w:val="none"/>
        </w:rPr>
        <w:t xml:space="preserve"> </w:t>
      </w:r>
    </w:p>
    <w:p w14:paraId="69175779">
      <w:pPr>
        <w:ind w:firstLine="480"/>
        <w:rPr>
          <w:highlight w:val="none"/>
        </w:rPr>
      </w:pPr>
      <w:r>
        <w:rPr>
          <w:rFonts w:hint="eastAsia"/>
          <w:highlight w:val="none"/>
        </w:rPr>
        <w:t xml:space="preserve">（1）技术规范和标准 </w:t>
      </w:r>
    </w:p>
    <w:p w14:paraId="6EA9F9F3">
      <w:pPr>
        <w:ind w:firstLine="480"/>
        <w:rPr>
          <w:highlight w:val="none"/>
        </w:rPr>
      </w:pPr>
      <w:r>
        <w:rPr>
          <w:rFonts w:hint="eastAsia"/>
          <w:highlight w:val="none"/>
        </w:rPr>
        <w:t>承包人应严格执行最新的现行国家、行业和地方相关技术规范和标准。若规范和标准内容有互相抵触时，应按较严格的条款执行。</w:t>
      </w:r>
    </w:p>
    <w:p w14:paraId="1CB1E2CE">
      <w:pPr>
        <w:ind w:firstLine="480"/>
        <w:rPr>
          <w:highlight w:val="none"/>
        </w:rPr>
      </w:pPr>
      <w:r>
        <w:rPr>
          <w:rFonts w:hint="eastAsia"/>
          <w:highlight w:val="none"/>
        </w:rPr>
        <w:t xml:space="preserve">（2）材料技术要求 </w:t>
      </w:r>
    </w:p>
    <w:p w14:paraId="2C9AFF85">
      <w:pPr>
        <w:ind w:firstLine="480"/>
        <w:rPr>
          <w:highlight w:val="none"/>
        </w:rPr>
      </w:pPr>
      <w:r>
        <w:rPr>
          <w:rFonts w:hint="eastAsia"/>
          <w:highlight w:val="none"/>
        </w:rPr>
        <w:t>总则：所有材料参数物理性能以设计技术要求为准。</w:t>
      </w:r>
    </w:p>
    <w:p w14:paraId="263BFD1F">
      <w:pPr>
        <w:ind w:firstLine="480"/>
        <w:rPr>
          <w:highlight w:val="none"/>
        </w:rPr>
      </w:pPr>
      <w:r>
        <w:rPr>
          <w:highlight w:val="none"/>
        </w:rPr>
        <w:t>1）</w:t>
      </w:r>
      <w:r>
        <w:rPr>
          <w:rFonts w:hint="eastAsia"/>
          <w:highlight w:val="none"/>
        </w:rPr>
        <w:t xml:space="preserve">铝合金型材 </w:t>
      </w:r>
    </w:p>
    <w:p w14:paraId="56E1A8AA">
      <w:pPr>
        <w:ind w:firstLine="480"/>
        <w:rPr>
          <w:highlight w:val="none"/>
        </w:rPr>
      </w:pPr>
      <w:r>
        <w:rPr>
          <w:rFonts w:hint="eastAsia"/>
          <w:highlight w:val="none"/>
        </w:rPr>
        <w:t xml:space="preserve">a.铝合金型材材质物理参数以设计技术要求和设计说明为准。 </w:t>
      </w:r>
    </w:p>
    <w:p w14:paraId="3CFD8D3D">
      <w:pPr>
        <w:ind w:firstLine="480"/>
        <w:rPr>
          <w:highlight w:val="none"/>
        </w:rPr>
      </w:pPr>
      <w:r>
        <w:rPr>
          <w:rFonts w:hint="eastAsia"/>
          <w:highlight w:val="none"/>
        </w:rPr>
        <w:t xml:space="preserve">b.表面处理：铝合金型材可视表面以图纸描述为准，技术要求如下： </w:t>
      </w:r>
    </w:p>
    <w:p w14:paraId="2E50ACF1">
      <w:pPr>
        <w:ind w:firstLine="480"/>
        <w:rPr>
          <w:highlight w:val="none"/>
        </w:rPr>
      </w:pPr>
      <w:r>
        <w:rPr>
          <w:rFonts w:hint="eastAsia"/>
          <w:highlight w:val="none"/>
        </w:rPr>
        <w:t xml:space="preserve">b.阳极氧化：阳极氧化表面不应有任何的瑕疵、刮痕、磨损及凹痕。当阳极氧化及其养护完成后，其表面不可呈现任何斑点，污迹或条纹。阳极氧化膜厚度应不低于AA15 级的要求,材料进场时应提供膜厚检测仪进行膜厚检测。 </w:t>
      </w:r>
    </w:p>
    <w:p w14:paraId="6251B8FA">
      <w:pPr>
        <w:ind w:firstLine="480"/>
        <w:rPr>
          <w:highlight w:val="none"/>
        </w:rPr>
      </w:pPr>
      <w:r>
        <w:rPr>
          <w:rFonts w:hint="eastAsia"/>
          <w:highlight w:val="none"/>
        </w:rPr>
        <w:t>e.氟碳喷涂：氟碳喷涂二涂平均厚度≥30μm，且局部厚度不少于25μm。三涂平均厚度≥40μm，且局部厚度不少于 35μm。氟碳树脂含量不应低于树脂总量的 70%；</w:t>
      </w:r>
    </w:p>
    <w:p w14:paraId="70FB840F">
      <w:pPr>
        <w:ind w:firstLine="480"/>
        <w:rPr>
          <w:highlight w:val="none"/>
        </w:rPr>
      </w:pPr>
      <w:r>
        <w:rPr>
          <w:rFonts w:hint="eastAsia"/>
          <w:highlight w:val="none"/>
        </w:rPr>
        <w:t xml:space="preserve">e.粉末喷涂：粉末喷涂一般应用于室内（设计有特殊要求的除外），粉末喷涂涂层厚度应符合局部厚度≥40μm，且＜120μm 的要求。 </w:t>
      </w:r>
    </w:p>
    <w:p w14:paraId="3B36FDF8">
      <w:pPr>
        <w:ind w:firstLine="480"/>
        <w:rPr>
          <w:highlight w:val="none"/>
        </w:rPr>
      </w:pPr>
      <w:r>
        <w:rPr>
          <w:rFonts w:hint="eastAsia"/>
          <w:highlight w:val="none"/>
        </w:rPr>
        <w:t xml:space="preserve">f.型材壁厚：铝合金型材壁厚以招标图纸描述为准，并符合各地相应地方标准要求。 </w:t>
      </w:r>
    </w:p>
    <w:p w14:paraId="4F4E42CF">
      <w:pPr>
        <w:ind w:firstLine="480"/>
        <w:rPr>
          <w:highlight w:val="none"/>
        </w:rPr>
      </w:pPr>
      <w:r>
        <w:rPr>
          <w:rFonts w:hint="eastAsia"/>
          <w:highlight w:val="none"/>
        </w:rPr>
        <w:t>以上若设计有明确要求，以设计要求为准。</w:t>
      </w:r>
    </w:p>
    <w:p w14:paraId="5A7A9E75">
      <w:pPr>
        <w:ind w:firstLine="480"/>
        <w:rPr>
          <w:highlight w:val="none"/>
        </w:rPr>
      </w:pPr>
      <w:r>
        <w:rPr>
          <w:highlight w:val="none"/>
        </w:rPr>
        <w:t>2）</w:t>
      </w:r>
      <w:r>
        <w:rPr>
          <w:rFonts w:hint="eastAsia"/>
          <w:highlight w:val="none"/>
        </w:rPr>
        <w:t xml:space="preserve">玻璃 </w:t>
      </w:r>
    </w:p>
    <w:p w14:paraId="659CA05F">
      <w:pPr>
        <w:ind w:firstLine="480"/>
        <w:rPr>
          <w:highlight w:val="none"/>
        </w:rPr>
      </w:pPr>
      <w:r>
        <w:rPr>
          <w:rFonts w:hint="eastAsia"/>
          <w:highlight w:val="none"/>
        </w:rPr>
        <w:t xml:space="preserve">具体规格及厚度详见招标图纸，玻璃品种、颜色和性能，由发包人根据需要选定。 </w:t>
      </w:r>
    </w:p>
    <w:p w14:paraId="22CCFFB1">
      <w:pPr>
        <w:ind w:firstLine="480"/>
        <w:rPr>
          <w:highlight w:val="none"/>
        </w:rPr>
      </w:pPr>
      <w:r>
        <w:rPr>
          <w:rFonts w:hint="eastAsia"/>
          <w:highlight w:val="none"/>
        </w:rPr>
        <w:t>a.玻璃参数需满足建筑整体节能要求。露点温度满足设计及规范要求。所有玻璃厚度须进行玻璃抗风压计算设计、镶嵌结构设计。对隔声、隔热、保温等要求，应进行验算。要求提供计算书及相关玻璃试验报告。</w:t>
      </w:r>
    </w:p>
    <w:p w14:paraId="1EFEF0B1">
      <w:pPr>
        <w:ind w:firstLine="480"/>
        <w:rPr>
          <w:highlight w:val="none"/>
        </w:rPr>
      </w:pPr>
      <w:r>
        <w:rPr>
          <w:rFonts w:hint="eastAsia"/>
          <w:highlight w:val="none"/>
        </w:rPr>
        <w:t xml:space="preserve">b.玻璃不能出现影响到玻璃性能的缺陷。例如：气泡、波浪、污点、刮伤、 裂缝、错误染色、碎屑、杂质等，玻璃应符合如下表技术指标。 </w:t>
      </w:r>
    </w:p>
    <w:p w14:paraId="1ACEBAC3">
      <w:pPr>
        <w:ind w:firstLine="480"/>
        <w:rPr>
          <w:highlight w:val="none"/>
        </w:rPr>
      </w:pPr>
      <w:r>
        <w:rPr>
          <w:rFonts w:hint="eastAsia"/>
          <w:highlight w:val="none"/>
        </w:rPr>
        <w:t xml:space="preserve">c.玻璃颜色应该和发包人确认的封样一致。 </w:t>
      </w:r>
    </w:p>
    <w:p w14:paraId="0760BE13">
      <w:pPr>
        <w:ind w:firstLine="480"/>
        <w:rPr>
          <w:highlight w:val="none"/>
        </w:rPr>
      </w:pPr>
      <w:r>
        <w:rPr>
          <w:rFonts w:hint="eastAsia"/>
          <w:highlight w:val="none"/>
        </w:rPr>
        <w:t xml:space="preserve">d.所有送到现场的玻璃应该附有制造商的识别标签，钢化玻璃需有3C标签，且不得出厂后添加，所有标签统一在右下角处。 </w:t>
      </w:r>
    </w:p>
    <w:p w14:paraId="10C23E76">
      <w:pPr>
        <w:ind w:firstLine="480"/>
        <w:rPr>
          <w:highlight w:val="none"/>
        </w:rPr>
      </w:pPr>
      <w:r>
        <w:rPr>
          <w:rFonts w:hint="eastAsia"/>
          <w:highlight w:val="none"/>
        </w:rPr>
        <w:t xml:space="preserve">e.对玻璃进行详细的热工分析，以确保玻璃受温度影响，不会发生破坏。这项分析应该考虑外墙的遮阳情况，包括外墙的装饰、相邻结构和建筑物投射、内部暗楼等等。承包人应该承担玻璃受到温度影响发生破坏时，对此玻璃进行替换所产生的一切费用。 </w:t>
      </w:r>
    </w:p>
    <w:p w14:paraId="5525E137">
      <w:pPr>
        <w:ind w:firstLine="480"/>
        <w:rPr>
          <w:highlight w:val="none"/>
        </w:rPr>
      </w:pPr>
      <w:r>
        <w:rPr>
          <w:rFonts w:hint="eastAsia"/>
          <w:highlight w:val="none"/>
        </w:rPr>
        <w:t xml:space="preserve">f.夹胶玻璃 </w:t>
      </w:r>
    </w:p>
    <w:p w14:paraId="1281B219">
      <w:pPr>
        <w:ind w:firstLine="480"/>
        <w:rPr>
          <w:highlight w:val="none"/>
        </w:rPr>
      </w:pPr>
      <w:r>
        <w:rPr>
          <w:rFonts w:hint="eastAsia"/>
          <w:highlight w:val="none"/>
        </w:rPr>
        <w:t xml:space="preserve">①夹胶玻璃必须采用干法加工合成 </w:t>
      </w:r>
    </w:p>
    <w:p w14:paraId="562DBC8B">
      <w:pPr>
        <w:ind w:firstLine="480"/>
        <w:rPr>
          <w:highlight w:val="none"/>
        </w:rPr>
      </w:pPr>
      <w:r>
        <w:rPr>
          <w:rFonts w:hint="eastAsia"/>
          <w:highlight w:val="none"/>
        </w:rPr>
        <w:t xml:space="preserve">②当夹胶玻璃采用 PVB 胶片且有裸露边时，其自由边必须做封边处理。 </w:t>
      </w:r>
    </w:p>
    <w:p w14:paraId="1165B562">
      <w:pPr>
        <w:ind w:firstLine="480"/>
        <w:rPr>
          <w:highlight w:val="none"/>
        </w:rPr>
      </w:pPr>
      <w:r>
        <w:rPr>
          <w:rFonts w:hint="eastAsia"/>
          <w:highlight w:val="none"/>
        </w:rPr>
        <w:t xml:space="preserve">③提供由 PVB 制造商出具的原产地证明及合格加工商证明。 </w:t>
      </w:r>
    </w:p>
    <w:p w14:paraId="1D812561">
      <w:pPr>
        <w:ind w:firstLine="480"/>
        <w:rPr>
          <w:highlight w:val="none"/>
        </w:rPr>
      </w:pPr>
      <w:r>
        <w:rPr>
          <w:rFonts w:hint="eastAsia"/>
          <w:highlight w:val="none"/>
        </w:rPr>
        <w:t xml:space="preserve">④栏杆玻璃：所有外露部位需要精磨边，玻璃面板支承孔边与板边的距离不宜小于 70mm。 </w:t>
      </w:r>
    </w:p>
    <w:p w14:paraId="27403CE6">
      <w:pPr>
        <w:ind w:firstLine="480"/>
        <w:rPr>
          <w:highlight w:val="none"/>
        </w:rPr>
      </w:pPr>
      <w:r>
        <w:rPr>
          <w:rFonts w:hint="eastAsia"/>
          <w:highlight w:val="none"/>
        </w:rPr>
        <w:t xml:space="preserve">g.中空玻璃 </w:t>
      </w:r>
    </w:p>
    <w:p w14:paraId="6961A197">
      <w:pPr>
        <w:ind w:firstLine="480"/>
        <w:rPr>
          <w:highlight w:val="none"/>
        </w:rPr>
      </w:pPr>
      <w:r>
        <w:rPr>
          <w:rFonts w:hint="eastAsia"/>
          <w:highlight w:val="none"/>
        </w:rPr>
        <w:t xml:space="preserve">①LOW-E 玻璃在中空组装前，需要将玻璃边缘的镀膜去除，去除范围从边缘至第一道密封，不得与丁基胶接触，以防止水气破坏镀膜。第一道密封胶为丁基胶，连续粘接到玻璃上，胶的最小宽度为 3mm。第二道密封胶为结构密封胶，连续粘接到两片玻璃上，胶应该完全盖住间隔条，且施打连续饱满、表面平整不得有任何间隙，间隔条要求连续折弯。 </w:t>
      </w:r>
    </w:p>
    <w:p w14:paraId="180E1824">
      <w:pPr>
        <w:ind w:firstLine="480"/>
        <w:rPr>
          <w:highlight w:val="none"/>
        </w:rPr>
      </w:pPr>
      <w:r>
        <w:rPr>
          <w:rFonts w:hint="eastAsia"/>
          <w:highlight w:val="none"/>
        </w:rPr>
        <w:t xml:space="preserve">②中空玻璃的单片玻璃厚度相差不宜大于 3mm。 </w:t>
      </w:r>
    </w:p>
    <w:p w14:paraId="75EF927C">
      <w:pPr>
        <w:ind w:firstLine="480"/>
        <w:rPr>
          <w:highlight w:val="none"/>
        </w:rPr>
      </w:pPr>
      <w:r>
        <w:rPr>
          <w:rFonts w:hint="eastAsia"/>
          <w:highlight w:val="none"/>
        </w:rPr>
        <w:t>③中空玻璃合片必须采用立式中空玻璃合成流水线生产。</w:t>
      </w:r>
    </w:p>
    <w:p w14:paraId="6D922501">
      <w:pPr>
        <w:ind w:firstLine="480"/>
        <w:rPr>
          <w:highlight w:val="none"/>
        </w:rPr>
      </w:pPr>
      <w:r>
        <w:rPr>
          <w:rFonts w:hint="eastAsia"/>
          <w:highlight w:val="none"/>
        </w:rPr>
        <w:t xml:space="preserve">④弯曲度：防火玻璃的弓形弯曲度不应超过 0.3%，波形弯曲度不应超过 0.2% </w:t>
      </w:r>
    </w:p>
    <w:p w14:paraId="7B6F1D97">
      <w:pPr>
        <w:ind w:firstLine="480"/>
        <w:rPr>
          <w:highlight w:val="none"/>
        </w:rPr>
      </w:pPr>
      <w:r>
        <w:rPr>
          <w:rFonts w:hint="eastAsia"/>
          <w:highlight w:val="none"/>
        </w:rPr>
        <w:t xml:space="preserve">h.所有玻璃均进行磨边和倒棱磨边处理，倒棱宽度不宜小于 1.0mm，玻璃边外露采用精磨边。 </w:t>
      </w:r>
    </w:p>
    <w:p w14:paraId="7203F170">
      <w:pPr>
        <w:ind w:firstLine="480"/>
        <w:rPr>
          <w:highlight w:val="none"/>
        </w:rPr>
      </w:pPr>
      <w:r>
        <w:rPr>
          <w:rFonts w:hint="eastAsia"/>
          <w:highlight w:val="none"/>
        </w:rPr>
        <w:t xml:space="preserve">i.项目开始移交小业主之后 2 年之内玻璃若发生自爆，由承包人负责免费更换，且由此造成的一切经济损失由承包人负责。 </w:t>
      </w:r>
    </w:p>
    <w:p w14:paraId="244342D6">
      <w:pPr>
        <w:ind w:firstLine="480"/>
        <w:rPr>
          <w:highlight w:val="none"/>
        </w:rPr>
      </w:pPr>
      <w:r>
        <w:rPr>
          <w:rFonts w:hint="eastAsia"/>
          <w:highlight w:val="none"/>
        </w:rPr>
        <w:t xml:space="preserve">3）材质：以设计技术要求和设计说明为准。 </w:t>
      </w:r>
    </w:p>
    <w:p w14:paraId="0A99048D">
      <w:pPr>
        <w:ind w:firstLine="480"/>
        <w:rPr>
          <w:highlight w:val="none"/>
        </w:rPr>
      </w:pPr>
      <w:r>
        <w:rPr>
          <w:rFonts w:hint="eastAsia"/>
          <w:highlight w:val="none"/>
        </w:rPr>
        <w:t xml:space="preserve">a.非可视位置表面处理：除图纸特殊说明外，所有钢材表面热浸镀锌处理， </w:t>
      </w:r>
    </w:p>
    <w:p w14:paraId="56C4ACFC">
      <w:pPr>
        <w:ind w:firstLine="480"/>
        <w:rPr>
          <w:highlight w:val="none"/>
        </w:rPr>
      </w:pPr>
      <w:r>
        <w:rPr>
          <w:rFonts w:hint="eastAsia"/>
          <w:highlight w:val="none"/>
        </w:rPr>
        <w:t xml:space="preserve">b.钢材厚度≥6 毫米时镀锌层平均厚度不小于 85μm 局部膜厚不小于 70μm；3 毫米≤钢材厚度＜6 毫米时，镀锌层平均厚度不小于 70μm 局部膜厚不小于 55μm。 </w:t>
      </w:r>
    </w:p>
    <w:p w14:paraId="3280AC72">
      <w:pPr>
        <w:ind w:firstLine="480"/>
        <w:rPr>
          <w:highlight w:val="none"/>
        </w:rPr>
      </w:pPr>
      <w:r>
        <w:rPr>
          <w:rFonts w:hint="eastAsia"/>
          <w:highlight w:val="none"/>
        </w:rPr>
        <w:t xml:space="preserve">c.可见位置表面处理：常温氟碳三涂表面处理，三涂层结构（富锌底漆、环氧树脂漆、氟碳面漆）,总涂层厚度不小于 150µm 并符合相关标准。所有外露钢材的除锈、防腐做法：喷砂除锈 Sa2.5 级，且需满足设计及规范要 求,无机富锌底漆 2*40μm，环氧云铁中间漆 2*60μm，氟碳面漆 2*30μm，涂层干膜总厚度 260μm，表面处理质保年限不少于 15 年。防腐底漆、封闭漆、中间漆、面漆应相容，漆间附着力好，应采用同一系列的产品进行配套。 </w:t>
      </w:r>
    </w:p>
    <w:p w14:paraId="64375862">
      <w:pPr>
        <w:ind w:firstLine="480"/>
        <w:rPr>
          <w:highlight w:val="none"/>
        </w:rPr>
      </w:pPr>
      <w:r>
        <w:rPr>
          <w:rFonts w:hint="eastAsia"/>
          <w:highlight w:val="none"/>
        </w:rPr>
        <w:t xml:space="preserve">d.钢结构制作中的管材、板材和型材选用国产优质产品。钢材应选用新材或没有锈痕的钢材。所有钢材应有品质保证资料，并且进行抽样检验，合格后方可使用。 </w:t>
      </w:r>
    </w:p>
    <w:p w14:paraId="7952A111">
      <w:pPr>
        <w:ind w:firstLine="480"/>
        <w:rPr>
          <w:highlight w:val="none"/>
        </w:rPr>
      </w:pPr>
      <w:r>
        <w:rPr>
          <w:rFonts w:hint="eastAsia"/>
          <w:highlight w:val="none"/>
        </w:rPr>
        <w:t xml:space="preserve">f.钢材的连接如采用焊接，节点图中未注明的均采用角焊缝满焊，焊高为型钢壁厚较薄一方的壁厚，采用 E43 焊条，焊缝等级为三级。 </w:t>
      </w:r>
    </w:p>
    <w:p w14:paraId="098B16E8">
      <w:pPr>
        <w:pStyle w:val="5"/>
        <w:numPr>
          <w:ilvl w:val="2"/>
          <w:numId w:val="0"/>
        </w:numPr>
        <w:ind w:left="624" w:hanging="624"/>
        <w:rPr>
          <w:highlight w:val="none"/>
        </w:rPr>
      </w:pPr>
      <w:bookmarkStart w:id="812" w:name="_Toc3857"/>
      <w:r>
        <w:rPr>
          <w:rFonts w:hint="eastAsia"/>
          <w:highlight w:val="none"/>
        </w:rPr>
        <w:t>7.8.2门、窗用五金件</w:t>
      </w:r>
      <w:bookmarkEnd w:id="812"/>
      <w:r>
        <w:rPr>
          <w:rFonts w:hint="eastAsia"/>
          <w:highlight w:val="none"/>
        </w:rPr>
        <w:t xml:space="preserve"> </w:t>
      </w:r>
    </w:p>
    <w:p w14:paraId="603C6286">
      <w:pPr>
        <w:ind w:firstLine="480"/>
        <w:rPr>
          <w:highlight w:val="none"/>
        </w:rPr>
      </w:pPr>
      <w:r>
        <w:rPr>
          <w:rFonts w:hint="eastAsia"/>
          <w:highlight w:val="none"/>
        </w:rPr>
        <w:t xml:space="preserve">（1）共性标准 </w:t>
      </w:r>
    </w:p>
    <w:p w14:paraId="52C4BC51">
      <w:pPr>
        <w:ind w:firstLine="480"/>
        <w:rPr>
          <w:highlight w:val="none"/>
        </w:rPr>
      </w:pPr>
      <w:r>
        <w:rPr>
          <w:highlight w:val="none"/>
        </w:rPr>
        <w:t>a.</w:t>
      </w:r>
      <w:r>
        <w:rPr>
          <w:rFonts w:hint="eastAsia"/>
          <w:highlight w:val="none"/>
        </w:rPr>
        <w:t xml:space="preserve">窗使用的五金件中，涉及不锈钢材质部分均应为 SUS304 或以上的不锈钢材料，所有可见的五金件饰面应与窗框一致（建筑师特殊要求除外）。 </w:t>
      </w:r>
    </w:p>
    <w:p w14:paraId="78E538D5">
      <w:pPr>
        <w:ind w:firstLine="480"/>
        <w:rPr>
          <w:highlight w:val="none"/>
        </w:rPr>
      </w:pPr>
      <w:r>
        <w:rPr>
          <w:highlight w:val="none"/>
        </w:rPr>
        <w:t>b.</w:t>
      </w:r>
      <w:r>
        <w:rPr>
          <w:rFonts w:hint="eastAsia"/>
          <w:highlight w:val="none"/>
        </w:rPr>
        <w:t xml:space="preserve">涂层色泽均匀一致，不应有气泡、流挂、脱落、堆漆、桔皮等缺陷。 </w:t>
      </w:r>
    </w:p>
    <w:p w14:paraId="042257A8">
      <w:pPr>
        <w:ind w:firstLine="480"/>
        <w:rPr>
          <w:highlight w:val="none"/>
        </w:rPr>
      </w:pPr>
      <w:r>
        <w:rPr>
          <w:highlight w:val="none"/>
        </w:rPr>
        <w:t>c.</w:t>
      </w:r>
      <w:r>
        <w:rPr>
          <w:rFonts w:hint="eastAsia"/>
          <w:highlight w:val="none"/>
        </w:rPr>
        <w:t xml:space="preserve">氧化层、镀层表面应均匀，不应有泛黄、露底、烧焦等缺陷。 </w:t>
      </w:r>
    </w:p>
    <w:p w14:paraId="0C3ED178">
      <w:pPr>
        <w:ind w:firstLine="480"/>
        <w:rPr>
          <w:highlight w:val="none"/>
        </w:rPr>
      </w:pPr>
      <w:r>
        <w:rPr>
          <w:rFonts w:hint="eastAsia"/>
          <w:highlight w:val="none"/>
        </w:rPr>
        <w:t xml:space="preserve">（2）门窗锁系统的技术标准 </w:t>
      </w:r>
    </w:p>
    <w:p w14:paraId="26F4E705">
      <w:pPr>
        <w:ind w:firstLine="480"/>
        <w:rPr>
          <w:highlight w:val="none"/>
        </w:rPr>
      </w:pPr>
      <w:r>
        <w:rPr>
          <w:highlight w:val="none"/>
        </w:rPr>
        <w:t>a.</w:t>
      </w:r>
      <w:r>
        <w:rPr>
          <w:rFonts w:hint="eastAsia"/>
          <w:highlight w:val="none"/>
        </w:rPr>
        <w:t xml:space="preserve">门窗的锁系统应采用多点锁系统，严禁使用旋压执手。 </w:t>
      </w:r>
    </w:p>
    <w:p w14:paraId="050DCE00">
      <w:pPr>
        <w:ind w:firstLine="480"/>
        <w:rPr>
          <w:highlight w:val="none"/>
        </w:rPr>
      </w:pPr>
      <w:r>
        <w:rPr>
          <w:highlight w:val="none"/>
        </w:rPr>
        <w:t>b.</w:t>
      </w:r>
      <w:r>
        <w:rPr>
          <w:rFonts w:hint="eastAsia"/>
          <w:highlight w:val="none"/>
        </w:rPr>
        <w:t xml:space="preserve">多点锁：可调式锁座，锌基合金铸件，锁点为不锈钢。 </w:t>
      </w:r>
    </w:p>
    <w:p w14:paraId="2DB9BAE2">
      <w:pPr>
        <w:ind w:firstLine="480"/>
        <w:rPr>
          <w:highlight w:val="none"/>
        </w:rPr>
      </w:pPr>
      <w:r>
        <w:rPr>
          <w:highlight w:val="none"/>
        </w:rPr>
        <w:t>c.</w:t>
      </w:r>
      <w:r>
        <w:rPr>
          <w:rFonts w:hint="eastAsia"/>
          <w:highlight w:val="none"/>
        </w:rPr>
        <w:t xml:space="preserve">锁点数量不得少于两个，具体数量和位置需要经过结构计算确定。 </w:t>
      </w:r>
    </w:p>
    <w:p w14:paraId="296C4167">
      <w:pPr>
        <w:ind w:firstLine="480"/>
        <w:rPr>
          <w:highlight w:val="none"/>
        </w:rPr>
      </w:pPr>
      <w:r>
        <w:rPr>
          <w:highlight w:val="none"/>
        </w:rPr>
        <w:t>d.</w:t>
      </w:r>
      <w:r>
        <w:rPr>
          <w:rFonts w:hint="eastAsia"/>
          <w:highlight w:val="none"/>
        </w:rPr>
        <w:t xml:space="preserve">门窗的锁系统应全部嵌入门或窗框内，位置隐蔽。 </w:t>
      </w:r>
    </w:p>
    <w:p w14:paraId="2A5C65FA">
      <w:pPr>
        <w:ind w:firstLine="480"/>
        <w:rPr>
          <w:highlight w:val="none"/>
        </w:rPr>
      </w:pPr>
      <w:r>
        <w:rPr>
          <w:highlight w:val="none"/>
        </w:rPr>
        <w:t>e.</w:t>
      </w:r>
      <w:r>
        <w:rPr>
          <w:rFonts w:hint="eastAsia"/>
          <w:highlight w:val="none"/>
        </w:rPr>
        <w:t xml:space="preserve">执手打开时不得影响门窗向外推拉。 </w:t>
      </w:r>
    </w:p>
    <w:p w14:paraId="73E27D78">
      <w:pPr>
        <w:ind w:firstLine="480"/>
        <w:rPr>
          <w:highlight w:val="none"/>
        </w:rPr>
      </w:pPr>
      <w:r>
        <w:rPr>
          <w:rFonts w:hint="eastAsia"/>
          <w:highlight w:val="none"/>
        </w:rPr>
        <w:t xml:space="preserve">（3）铰链及限位器 </w:t>
      </w:r>
    </w:p>
    <w:p w14:paraId="68AE5ED6">
      <w:pPr>
        <w:ind w:firstLine="480"/>
        <w:rPr>
          <w:highlight w:val="none"/>
        </w:rPr>
      </w:pPr>
      <w:r>
        <w:rPr>
          <w:highlight w:val="none"/>
        </w:rPr>
        <w:t>a.</w:t>
      </w:r>
      <w:r>
        <w:rPr>
          <w:rFonts w:hint="eastAsia"/>
          <w:highlight w:val="none"/>
        </w:rPr>
        <w:t xml:space="preserve"> 开启窗应可以用手全部打开至开启窗的整个横断面处于全部打开的位置。 </w:t>
      </w:r>
    </w:p>
    <w:p w14:paraId="409344CF">
      <w:pPr>
        <w:ind w:firstLine="480"/>
        <w:rPr>
          <w:highlight w:val="none"/>
        </w:rPr>
      </w:pPr>
      <w:r>
        <w:rPr>
          <w:highlight w:val="none"/>
        </w:rPr>
        <w:t>b.</w:t>
      </w:r>
      <w:r>
        <w:rPr>
          <w:rFonts w:hint="eastAsia"/>
          <w:highlight w:val="none"/>
        </w:rPr>
        <w:t xml:space="preserve"> 门窗的铰链应经过挤压和冲压加工而成，铰链应灵活自如，但应确保配合平滑，以防止门窗关上或打开时产生震动。 </w:t>
      </w:r>
    </w:p>
    <w:p w14:paraId="63190280">
      <w:pPr>
        <w:ind w:firstLine="480"/>
        <w:rPr>
          <w:highlight w:val="none"/>
        </w:rPr>
      </w:pPr>
      <w:r>
        <w:rPr>
          <w:rFonts w:hint="eastAsia"/>
          <w:highlight w:val="none"/>
        </w:rPr>
        <w:t xml:space="preserve">（4）锚固件、紧固件、连接件 </w:t>
      </w:r>
    </w:p>
    <w:p w14:paraId="61CDDA95">
      <w:pPr>
        <w:ind w:firstLine="480"/>
        <w:rPr>
          <w:highlight w:val="none"/>
        </w:rPr>
      </w:pPr>
      <w:r>
        <w:rPr>
          <w:rFonts w:hint="eastAsia"/>
          <w:highlight w:val="none"/>
        </w:rPr>
        <w:t xml:space="preserve">1）锚固件：采用碳素结构钢或不锈钢制品。 </w:t>
      </w:r>
    </w:p>
    <w:p w14:paraId="73A2375B">
      <w:pPr>
        <w:ind w:firstLine="480"/>
        <w:rPr>
          <w:highlight w:val="none"/>
        </w:rPr>
      </w:pPr>
      <w:r>
        <w:rPr>
          <w:highlight w:val="none"/>
        </w:rPr>
        <w:t>2</w:t>
      </w:r>
      <w:r>
        <w:rPr>
          <w:rFonts w:hint="eastAsia"/>
          <w:highlight w:val="none"/>
        </w:rPr>
        <w:t xml:space="preserve">）防腐隔离垫片：采用 1mm 橡胶垫片或采用 1mm 聚四氟乙烯。 </w:t>
      </w:r>
    </w:p>
    <w:p w14:paraId="30B7EA7F">
      <w:pPr>
        <w:ind w:firstLine="480"/>
        <w:rPr>
          <w:highlight w:val="none"/>
        </w:rPr>
      </w:pPr>
      <w:r>
        <w:rPr>
          <w:rFonts w:hint="eastAsia"/>
          <w:highlight w:val="none"/>
        </w:rPr>
        <w:t xml:space="preserve">（5）垫块及密封胶条 </w:t>
      </w:r>
    </w:p>
    <w:p w14:paraId="3ABE3467">
      <w:pPr>
        <w:ind w:firstLine="480"/>
        <w:rPr>
          <w:highlight w:val="none"/>
        </w:rPr>
      </w:pPr>
      <w:r>
        <w:rPr>
          <w:highlight w:val="none"/>
        </w:rPr>
        <w:t>1</w:t>
      </w:r>
      <w:r>
        <w:rPr>
          <w:rFonts w:hint="eastAsia"/>
          <w:highlight w:val="none"/>
        </w:rPr>
        <w:t xml:space="preserve">）密封/防水胶条： </w:t>
      </w:r>
    </w:p>
    <w:p w14:paraId="31BD001B">
      <w:pPr>
        <w:ind w:firstLine="480"/>
        <w:rPr>
          <w:highlight w:val="none"/>
        </w:rPr>
      </w:pPr>
      <w:r>
        <w:rPr>
          <w:rFonts w:hint="eastAsia"/>
          <w:highlight w:val="none"/>
        </w:rPr>
        <w:t xml:space="preserve">选用优质三元乙丙胶条、氯丁橡胶、硅橡胶。扇与框之间密封胶条宜采用 O 型胶条，并符合现行标准规定。 </w:t>
      </w:r>
    </w:p>
    <w:p w14:paraId="1C2BD684">
      <w:pPr>
        <w:ind w:firstLine="480"/>
        <w:rPr>
          <w:highlight w:val="none"/>
        </w:rPr>
      </w:pPr>
      <w:r>
        <w:rPr>
          <w:rFonts w:hint="eastAsia"/>
          <w:highlight w:val="none"/>
        </w:rPr>
        <w:t xml:space="preserve">玻璃垫块： </w:t>
      </w:r>
    </w:p>
    <w:p w14:paraId="3325272C">
      <w:pPr>
        <w:ind w:firstLine="480"/>
        <w:rPr>
          <w:highlight w:val="none"/>
        </w:rPr>
      </w:pPr>
      <w:r>
        <w:rPr>
          <w:rFonts w:hint="eastAsia"/>
          <w:highlight w:val="none"/>
        </w:rPr>
        <w:t xml:space="preserve">材质为合成橡胶，邵氏硬度 85±5，颜色为黑色，垫块的邵氏硬度与应用相结合。气密性胶条应该在工厂进行组角。所有胶条、垫块与密封胶的相容性必须经试验证明。 </w:t>
      </w:r>
    </w:p>
    <w:p w14:paraId="5642C051">
      <w:pPr>
        <w:pStyle w:val="5"/>
        <w:numPr>
          <w:ilvl w:val="2"/>
          <w:numId w:val="0"/>
        </w:numPr>
        <w:ind w:left="624" w:hanging="624"/>
        <w:rPr>
          <w:highlight w:val="none"/>
        </w:rPr>
      </w:pPr>
      <w:bookmarkStart w:id="813" w:name="_Toc21974"/>
      <w:r>
        <w:rPr>
          <w:rFonts w:hint="eastAsia"/>
          <w:highlight w:val="none"/>
        </w:rPr>
        <w:t>7.8.3防雷专项技术要求</w:t>
      </w:r>
      <w:bookmarkEnd w:id="813"/>
      <w:r>
        <w:rPr>
          <w:rFonts w:hint="eastAsia"/>
          <w:highlight w:val="none"/>
        </w:rPr>
        <w:t xml:space="preserve"> </w:t>
      </w:r>
    </w:p>
    <w:p w14:paraId="1E822255">
      <w:pPr>
        <w:ind w:firstLine="480"/>
        <w:rPr>
          <w:highlight w:val="none"/>
        </w:rPr>
      </w:pPr>
      <w:r>
        <w:rPr>
          <w:highlight w:val="none"/>
        </w:rPr>
        <w:t>(1)</w:t>
      </w:r>
      <w:r>
        <w:rPr>
          <w:rFonts w:hint="eastAsia"/>
          <w:highlight w:val="none"/>
        </w:rPr>
        <w:t xml:space="preserve">样板先行 </w:t>
      </w:r>
    </w:p>
    <w:p w14:paraId="5602F885">
      <w:pPr>
        <w:ind w:firstLine="480"/>
        <w:rPr>
          <w:highlight w:val="none"/>
        </w:rPr>
      </w:pPr>
      <w:r>
        <w:rPr>
          <w:rFonts w:hint="eastAsia"/>
          <w:highlight w:val="none"/>
        </w:rPr>
        <w:t xml:space="preserve">在大面积外窗施工前，应选择有代表性的外窗、阳台门及栏杆百叶，按照外门窗的防雷深化设计节点，在现场先做样板，经防雷测试合格后，方可大面积施工。 </w:t>
      </w:r>
    </w:p>
    <w:p w14:paraId="64DC6480">
      <w:pPr>
        <w:ind w:firstLine="480"/>
        <w:rPr>
          <w:highlight w:val="none"/>
        </w:rPr>
      </w:pPr>
      <w:r>
        <w:rPr>
          <w:highlight w:val="none"/>
        </w:rPr>
        <w:t>(2)</w:t>
      </w:r>
      <w:r>
        <w:rPr>
          <w:rFonts w:hint="eastAsia"/>
          <w:highlight w:val="none"/>
        </w:rPr>
        <w:t xml:space="preserve">工艺及技术要求 </w:t>
      </w:r>
    </w:p>
    <w:p w14:paraId="5F32F264">
      <w:pPr>
        <w:ind w:firstLine="480"/>
        <w:rPr>
          <w:highlight w:val="none"/>
        </w:rPr>
      </w:pPr>
      <w:r>
        <w:rPr>
          <w:rFonts w:hint="eastAsia"/>
          <w:highlight w:val="none"/>
        </w:rPr>
        <w:t xml:space="preserve">建筑外窗的防雷设置，应符合下列规定： </w:t>
      </w:r>
    </w:p>
    <w:p w14:paraId="24C9B4F6">
      <w:pPr>
        <w:ind w:firstLine="480"/>
        <w:rPr>
          <w:highlight w:val="none"/>
        </w:rPr>
      </w:pPr>
      <w:r>
        <w:rPr>
          <w:highlight w:val="none"/>
        </w:rPr>
        <w:t>1)</w:t>
      </w:r>
      <w:r>
        <w:rPr>
          <w:rFonts w:hint="eastAsia"/>
          <w:highlight w:val="none"/>
        </w:rPr>
        <w:t xml:space="preserve">防雷连接导体采用热浸镀锌处理的直径不小于 8mm 圆钢或截面积不小于48mm2 厚度不小于 4mm 的扁钢等截面面积扁钢，也可采用专门铜制防雷带（需设计确定截面要求）。 </w:t>
      </w:r>
    </w:p>
    <w:p w14:paraId="7EDB97E4">
      <w:pPr>
        <w:ind w:firstLine="480"/>
        <w:rPr>
          <w:highlight w:val="none"/>
        </w:rPr>
      </w:pPr>
      <w:r>
        <w:rPr>
          <w:highlight w:val="none"/>
        </w:rPr>
        <w:t>2)</w:t>
      </w:r>
      <w:r>
        <w:rPr>
          <w:rFonts w:hint="eastAsia"/>
          <w:highlight w:val="none"/>
        </w:rPr>
        <w:t xml:space="preserve">窗外框与防雷连接件连接处，应先将其非导电的表面处理层除去，再与防雷连接件连接。 </w:t>
      </w:r>
    </w:p>
    <w:p w14:paraId="2E0B4B38">
      <w:pPr>
        <w:ind w:firstLine="480"/>
        <w:rPr>
          <w:highlight w:val="none"/>
        </w:rPr>
      </w:pPr>
      <w:r>
        <w:rPr>
          <w:highlight w:val="none"/>
        </w:rPr>
        <w:t>3)</w:t>
      </w:r>
      <w:r>
        <w:rPr>
          <w:rFonts w:hint="eastAsia"/>
          <w:highlight w:val="none"/>
        </w:rPr>
        <w:t xml:space="preserve">连接防雷圆钢或钢带应与主体防雷装置焊接连接，焊接长度不小100mm， </w:t>
      </w:r>
    </w:p>
    <w:p w14:paraId="2729A3C1">
      <w:pPr>
        <w:ind w:firstLine="480"/>
        <w:rPr>
          <w:highlight w:val="none"/>
        </w:rPr>
      </w:pPr>
      <w:r>
        <w:rPr>
          <w:rFonts w:hint="eastAsia"/>
          <w:highlight w:val="none"/>
        </w:rPr>
        <w:t xml:space="preserve">做防锈处理。 </w:t>
      </w:r>
    </w:p>
    <w:p w14:paraId="6A6A3672">
      <w:pPr>
        <w:ind w:firstLine="480"/>
        <w:rPr>
          <w:highlight w:val="none"/>
        </w:rPr>
      </w:pPr>
      <w:r>
        <w:rPr>
          <w:highlight w:val="none"/>
        </w:rPr>
        <w:t>4)</w:t>
      </w:r>
      <w:r>
        <w:rPr>
          <w:rFonts w:hint="eastAsia"/>
          <w:highlight w:val="none"/>
        </w:rPr>
        <w:t xml:space="preserve">各接地点接地电阻的测试值应符合设计要求，并保证通过当地防雷检测机构的验收。 </w:t>
      </w:r>
    </w:p>
    <w:p w14:paraId="713B14B5">
      <w:pPr>
        <w:pStyle w:val="5"/>
        <w:numPr>
          <w:ilvl w:val="2"/>
          <w:numId w:val="0"/>
        </w:numPr>
        <w:ind w:left="624" w:hanging="624"/>
        <w:rPr>
          <w:highlight w:val="none"/>
        </w:rPr>
      </w:pPr>
      <w:bookmarkStart w:id="814" w:name="_Toc3980"/>
      <w:r>
        <w:rPr>
          <w:rFonts w:hint="eastAsia"/>
          <w:highlight w:val="none"/>
        </w:rPr>
        <w:t>7.8.4防渗漏专项技术要求</w:t>
      </w:r>
      <w:bookmarkEnd w:id="814"/>
      <w:r>
        <w:rPr>
          <w:rFonts w:hint="eastAsia"/>
          <w:highlight w:val="none"/>
        </w:rPr>
        <w:t xml:space="preserve"> </w:t>
      </w:r>
    </w:p>
    <w:p w14:paraId="2CE3C3F9">
      <w:pPr>
        <w:ind w:firstLine="480"/>
        <w:rPr>
          <w:highlight w:val="none"/>
        </w:rPr>
      </w:pPr>
      <w:r>
        <w:rPr>
          <w:rFonts w:hint="eastAsia"/>
          <w:highlight w:val="none"/>
        </w:rPr>
        <w:t xml:space="preserve">在大面积外窗施工前，应选择有代表性的外窗，按照外窗深化设计节点，在现场先做样板，并进行淋水试验。经淋水试验合格后，方可大面积施工。则应对造成渗漏的设计、施工原因进行深入分析，优化设计节点、施工工艺，避免出现大面积渗漏。 </w:t>
      </w:r>
    </w:p>
    <w:p w14:paraId="488F4193">
      <w:pPr>
        <w:ind w:firstLine="480"/>
        <w:rPr>
          <w:highlight w:val="none"/>
        </w:rPr>
      </w:pPr>
      <w:r>
        <w:rPr>
          <w:rFonts w:hint="eastAsia"/>
          <w:highlight w:val="none"/>
        </w:rPr>
        <w:t xml:space="preserve">淋水要求所有外门窗安装完成后承包人均应做至少两次淋水试验。外门窗淋水试验要求如下： </w:t>
      </w:r>
    </w:p>
    <w:p w14:paraId="256A72C6">
      <w:pPr>
        <w:ind w:firstLine="480"/>
        <w:rPr>
          <w:highlight w:val="none"/>
        </w:rPr>
      </w:pPr>
      <w:r>
        <w:rPr>
          <w:rFonts w:hint="eastAsia"/>
          <w:highlight w:val="none"/>
        </w:rPr>
        <w:t>1）第一次淋水试验应在窗框安装完毕，塞缝和防水完成，用水管淋水检查塞缝有无渗漏，如发现渗漏，承包方应及时返工维修。 淋水持续时间不应少于30min。</w:t>
      </w:r>
    </w:p>
    <w:p w14:paraId="31D024F5">
      <w:pPr>
        <w:ind w:firstLine="480"/>
        <w:rPr>
          <w:highlight w:val="none"/>
        </w:rPr>
      </w:pPr>
      <w:r>
        <w:rPr>
          <w:highlight w:val="none"/>
        </w:rPr>
        <w:t>2</w:t>
      </w:r>
      <w:r>
        <w:rPr>
          <w:rFonts w:hint="eastAsia"/>
          <w:highlight w:val="none"/>
        </w:rPr>
        <w:t xml:space="preserve">）第二次淋水试验应在门窗所有玻璃窗扇安装完成之后，依据规范对窗体进行淋水试验，喷淋时间应持续5min。 </w:t>
      </w:r>
    </w:p>
    <w:p w14:paraId="4A59E3E8">
      <w:pPr>
        <w:pStyle w:val="5"/>
        <w:numPr>
          <w:ilvl w:val="2"/>
          <w:numId w:val="0"/>
        </w:numPr>
        <w:ind w:left="624" w:hanging="624"/>
        <w:rPr>
          <w:highlight w:val="none"/>
        </w:rPr>
      </w:pPr>
      <w:bookmarkStart w:id="815" w:name="_Toc13838"/>
      <w:r>
        <w:rPr>
          <w:rFonts w:hint="eastAsia"/>
          <w:highlight w:val="none"/>
        </w:rPr>
        <w:t>7.8.5门窗制作技术要求</w:t>
      </w:r>
      <w:bookmarkEnd w:id="815"/>
      <w:r>
        <w:rPr>
          <w:rFonts w:hint="eastAsia"/>
          <w:highlight w:val="none"/>
        </w:rPr>
        <w:t xml:space="preserve"> </w:t>
      </w:r>
    </w:p>
    <w:p w14:paraId="7D76143D">
      <w:pPr>
        <w:ind w:firstLine="480"/>
        <w:rPr>
          <w:highlight w:val="none"/>
        </w:rPr>
      </w:pPr>
      <w:r>
        <w:rPr>
          <w:rFonts w:hint="eastAsia"/>
          <w:highlight w:val="none"/>
        </w:rPr>
        <w:t xml:space="preserve">总则：所有门窗构件在加工制作前，应对照建筑、结构施工图及现场实物进行核对，并对现有洞口、埋件进行精心测量，调整偏差。加工质量必须符合现行质量验收规范，观感质量良好，办理检验批验收。 </w:t>
      </w:r>
    </w:p>
    <w:p w14:paraId="34B2983C">
      <w:pPr>
        <w:ind w:firstLine="480"/>
        <w:rPr>
          <w:highlight w:val="none"/>
        </w:rPr>
      </w:pPr>
      <w:r>
        <w:rPr>
          <w:rFonts w:hint="eastAsia"/>
          <w:highlight w:val="none"/>
        </w:rPr>
        <w:t>（1）铝合金门窗加工</w:t>
      </w:r>
    </w:p>
    <w:p w14:paraId="638B5230">
      <w:pPr>
        <w:ind w:firstLine="480"/>
        <w:rPr>
          <w:highlight w:val="none"/>
        </w:rPr>
      </w:pPr>
      <w:r>
        <w:rPr>
          <w:highlight w:val="none"/>
        </w:rPr>
        <w:t>1)</w:t>
      </w:r>
      <w:r>
        <w:rPr>
          <w:rFonts w:hint="eastAsia"/>
          <w:highlight w:val="none"/>
        </w:rPr>
        <w:t xml:space="preserve"> 门窗应根据现场洞口实测实量尺寸统一进行调整后再加工制作，不得照搬 建筑图纸上的尺寸。 </w:t>
      </w:r>
    </w:p>
    <w:p w14:paraId="651E9C8D">
      <w:pPr>
        <w:ind w:firstLine="480"/>
        <w:rPr>
          <w:highlight w:val="none"/>
        </w:rPr>
      </w:pPr>
      <w:r>
        <w:rPr>
          <w:highlight w:val="none"/>
        </w:rPr>
        <w:t>2)</w:t>
      </w:r>
      <w:r>
        <w:rPr>
          <w:rFonts w:hint="eastAsia"/>
          <w:highlight w:val="none"/>
        </w:rPr>
        <w:t xml:space="preserve"> 门窗框应拼缝严密平整。在工厂内拼装时其接榫拼缝处、螺钉孔、工艺孔等处应有密封措施。 </w:t>
      </w:r>
    </w:p>
    <w:p w14:paraId="3382DDCA">
      <w:pPr>
        <w:ind w:firstLine="480"/>
        <w:rPr>
          <w:highlight w:val="none"/>
        </w:rPr>
      </w:pPr>
      <w:r>
        <w:rPr>
          <w:highlight w:val="none"/>
        </w:rPr>
        <w:t>3)</w:t>
      </w:r>
      <w:r>
        <w:rPr>
          <w:rFonts w:hint="eastAsia"/>
          <w:highlight w:val="none"/>
        </w:rPr>
        <w:t xml:space="preserve"> 五金配件应满足整樘门窗承载能力的要求，其反复启闭性能应满足门窗反复启闭性能要求。门窗五金配件需单独进行材料看样定板，在门窗大面进场前需完成设计、施工样板确认及封样。</w:t>
      </w:r>
    </w:p>
    <w:p w14:paraId="392506A2">
      <w:pPr>
        <w:ind w:firstLine="480"/>
        <w:rPr>
          <w:highlight w:val="none"/>
        </w:rPr>
      </w:pPr>
      <w:r>
        <w:rPr>
          <w:highlight w:val="none"/>
        </w:rPr>
        <w:t>4)</w:t>
      </w:r>
      <w:r>
        <w:rPr>
          <w:rFonts w:hint="eastAsia"/>
          <w:highlight w:val="none"/>
        </w:rPr>
        <w:t xml:space="preserve"> 承重（承载）五金件（合页、风撑等）与门窗连接采用盘头机制螺钉，其余部位可使用盘头自攻钉。不锈钢材质要求均为304不锈钢，不应采用铝及铝合金抽芯铆钉做门窗受力联接用紧固件。 </w:t>
      </w:r>
    </w:p>
    <w:p w14:paraId="0D57A7EE">
      <w:pPr>
        <w:ind w:firstLine="480"/>
        <w:rPr>
          <w:highlight w:val="none"/>
        </w:rPr>
      </w:pPr>
      <w:r>
        <w:rPr>
          <w:highlight w:val="none"/>
        </w:rPr>
        <w:t>5)</w:t>
      </w:r>
      <w:r>
        <w:rPr>
          <w:rFonts w:hint="eastAsia"/>
          <w:highlight w:val="none"/>
        </w:rPr>
        <w:t xml:space="preserve"> 框底应设置排水孔，排水孔应在工厂加工，禁止现场开设。 </w:t>
      </w:r>
    </w:p>
    <w:p w14:paraId="5B3F4EEF">
      <w:pPr>
        <w:ind w:firstLine="480"/>
        <w:rPr>
          <w:highlight w:val="none"/>
        </w:rPr>
      </w:pPr>
      <w:r>
        <w:rPr>
          <w:highlight w:val="none"/>
        </w:rPr>
        <w:t>6)</w:t>
      </w:r>
      <w:r>
        <w:rPr>
          <w:rFonts w:hint="eastAsia"/>
          <w:highlight w:val="none"/>
        </w:rPr>
        <w:t xml:space="preserve"> 窗开启扇四周密封胶条安装应连续。 </w:t>
      </w:r>
    </w:p>
    <w:p w14:paraId="0A55A828">
      <w:pPr>
        <w:ind w:firstLine="480"/>
        <w:rPr>
          <w:highlight w:val="none"/>
        </w:rPr>
      </w:pPr>
      <w:r>
        <w:rPr>
          <w:highlight w:val="none"/>
        </w:rPr>
        <w:t>7)</w:t>
      </w:r>
      <w:r>
        <w:rPr>
          <w:rFonts w:hint="eastAsia"/>
          <w:highlight w:val="none"/>
        </w:rPr>
        <w:t xml:space="preserve"> 玻璃与窗框密封胶施打应确保密实、连续、饱满。用于固定五金件的螺钉 应带胶拧紧。 </w:t>
      </w:r>
    </w:p>
    <w:p w14:paraId="043EA94B">
      <w:pPr>
        <w:ind w:firstLine="480"/>
        <w:rPr>
          <w:highlight w:val="none"/>
        </w:rPr>
      </w:pPr>
      <w:r>
        <w:rPr>
          <w:highlight w:val="none"/>
        </w:rPr>
        <w:t>8)</w:t>
      </w:r>
      <w:r>
        <w:rPr>
          <w:rFonts w:hint="eastAsia"/>
          <w:highlight w:val="none"/>
        </w:rPr>
        <w:t xml:space="preserve"> 门窗装配后应保证玻璃与镶嵌槽间隙，并在主要部位装有减震垫块，使其能缓冲启闭等力的冲击。密封条与玻璃、玻璃槽口的接触应紧密平整。密封胶与玻璃、玻璃槽口和边缘应粘结牢固、接缝平齐。带密封条的玻璃压条，其密封条必须与玻璃全部贴紧，压条与型材之间应无明显缝隙，压条接缝应不大于 0.5mm。玻璃下部不能直接坐落于金属面上，应用厚度为 3mm的合成橡胶垫块将玻璃垫起，使玻璃以柔性和弹性与金属框相接触。玻璃的安装方向应正确。中空玻璃内外表面均应洁净，玻璃中空层内不得有灰尘和水蒸气。 </w:t>
      </w:r>
    </w:p>
    <w:p w14:paraId="0CD8BACE">
      <w:pPr>
        <w:ind w:firstLine="480"/>
        <w:rPr>
          <w:highlight w:val="none"/>
        </w:rPr>
      </w:pPr>
      <w:r>
        <w:rPr>
          <w:highlight w:val="none"/>
        </w:rPr>
        <w:t>9)</w:t>
      </w:r>
      <w:r>
        <w:rPr>
          <w:rFonts w:hint="eastAsia"/>
          <w:highlight w:val="none"/>
        </w:rPr>
        <w:t xml:space="preserve"> 门窗所有拼接位置需有组角片和组角胶。 </w:t>
      </w:r>
    </w:p>
    <w:p w14:paraId="30F05F2F">
      <w:pPr>
        <w:ind w:firstLine="480"/>
        <w:rPr>
          <w:highlight w:val="none"/>
        </w:rPr>
      </w:pPr>
      <w:r>
        <w:rPr>
          <w:highlight w:val="none"/>
        </w:rPr>
        <w:t>10)</w:t>
      </w:r>
      <w:r>
        <w:rPr>
          <w:rFonts w:hint="eastAsia"/>
          <w:highlight w:val="none"/>
        </w:rPr>
        <w:t xml:space="preserve"> 铝合金门窗加工过程注胶要求 </w:t>
      </w:r>
    </w:p>
    <w:p w14:paraId="06949CA5">
      <w:pPr>
        <w:ind w:firstLine="480"/>
        <w:rPr>
          <w:highlight w:val="none"/>
        </w:rPr>
      </w:pPr>
      <w:r>
        <w:rPr>
          <w:highlight w:val="none"/>
        </w:rPr>
        <w:t>a.</w:t>
      </w:r>
      <w:r>
        <w:rPr>
          <w:rFonts w:hint="eastAsia"/>
          <w:highlight w:val="none"/>
        </w:rPr>
        <w:t xml:space="preserve">门窗扇应保证合理的胶缝间隙（5mm-8mm），注胶作业应在洁净工作间进行， 注胶前要清洁型材和玻璃与硅胶的结合面，注胶及养护应在温度适宜的环境中作业，保证密封胶与玻璃、铝材有良好粘结。 </w:t>
      </w:r>
    </w:p>
    <w:p w14:paraId="5D43764C">
      <w:pPr>
        <w:ind w:firstLine="480"/>
        <w:rPr>
          <w:highlight w:val="none"/>
        </w:rPr>
      </w:pPr>
      <w:r>
        <w:rPr>
          <w:highlight w:val="none"/>
        </w:rPr>
        <w:t>b.</w:t>
      </w:r>
      <w:r>
        <w:rPr>
          <w:rFonts w:hint="eastAsia"/>
          <w:highlight w:val="none"/>
        </w:rPr>
        <w:t xml:space="preserve">榫接方式时在榫头部位应涂密封胶。 </w:t>
      </w:r>
    </w:p>
    <w:p w14:paraId="1874E063">
      <w:pPr>
        <w:ind w:firstLine="480"/>
        <w:rPr>
          <w:highlight w:val="none"/>
        </w:rPr>
      </w:pPr>
      <w:r>
        <w:rPr>
          <w:highlight w:val="none"/>
        </w:rPr>
        <w:t>c.</w:t>
      </w:r>
      <w:r>
        <w:rPr>
          <w:rFonts w:hint="eastAsia"/>
          <w:highlight w:val="none"/>
        </w:rPr>
        <w:t xml:space="preserve">推拉窗与推拉门的固定玻璃扣板应先涂胶再组装。 </w:t>
      </w:r>
    </w:p>
    <w:p w14:paraId="24BC6C8B">
      <w:pPr>
        <w:ind w:firstLine="480"/>
        <w:rPr>
          <w:highlight w:val="none"/>
        </w:rPr>
      </w:pPr>
      <w:r>
        <w:rPr>
          <w:highlight w:val="none"/>
        </w:rPr>
        <w:t>d.</w:t>
      </w:r>
      <w:r>
        <w:rPr>
          <w:rFonts w:hint="eastAsia"/>
          <w:highlight w:val="none"/>
        </w:rPr>
        <w:t>推拉窗和推拉门框料四角横竖连接部位应加防水垫片。</w:t>
      </w:r>
    </w:p>
    <w:p w14:paraId="24D4CD2B">
      <w:pPr>
        <w:ind w:firstLine="480"/>
        <w:rPr>
          <w:highlight w:val="none"/>
        </w:rPr>
      </w:pPr>
      <w:r>
        <w:rPr>
          <w:highlight w:val="none"/>
        </w:rPr>
        <w:t xml:space="preserve">11) </w:t>
      </w:r>
      <w:r>
        <w:rPr>
          <w:rFonts w:hint="eastAsia"/>
          <w:highlight w:val="none"/>
        </w:rPr>
        <w:t xml:space="preserve">铝合金门窗构件加工必须有加工图和保证门窗达到设计性能的工艺和技术要求，构件加工除应符合设计要求外，还应符合下列基本要求： </w:t>
      </w:r>
    </w:p>
    <w:p w14:paraId="35857191">
      <w:pPr>
        <w:ind w:firstLine="480"/>
        <w:rPr>
          <w:highlight w:val="none"/>
        </w:rPr>
      </w:pPr>
      <w:r>
        <w:rPr>
          <w:highlight w:val="none"/>
        </w:rPr>
        <w:t>a.</w:t>
      </w:r>
      <w:r>
        <w:rPr>
          <w:rFonts w:hint="eastAsia"/>
          <w:highlight w:val="none"/>
        </w:rPr>
        <w:t xml:space="preserve">下料之前应对其型号、表面质量与颜色等进行检查。 </w:t>
      </w:r>
    </w:p>
    <w:p w14:paraId="1ED63268">
      <w:pPr>
        <w:ind w:firstLine="480"/>
        <w:rPr>
          <w:highlight w:val="none"/>
        </w:rPr>
      </w:pPr>
      <w:r>
        <w:rPr>
          <w:highlight w:val="none"/>
        </w:rPr>
        <w:t>b.</w:t>
      </w:r>
      <w:r>
        <w:rPr>
          <w:rFonts w:hint="eastAsia"/>
          <w:highlight w:val="none"/>
        </w:rPr>
        <w:t xml:space="preserve">下料尺寸长度允许偏差为±0.5mm，端头斜度允许偏差为±15′。 </w:t>
      </w:r>
    </w:p>
    <w:p w14:paraId="355B6F88">
      <w:pPr>
        <w:ind w:firstLine="480"/>
        <w:rPr>
          <w:highlight w:val="none"/>
        </w:rPr>
      </w:pPr>
      <w:r>
        <w:rPr>
          <w:highlight w:val="none"/>
        </w:rPr>
        <w:t>c.</w:t>
      </w:r>
      <w:r>
        <w:rPr>
          <w:rFonts w:hint="eastAsia"/>
          <w:highlight w:val="none"/>
        </w:rPr>
        <w:t xml:space="preserve">截料端不应有明显加工变形，毛刺不大于 0.2mm。 </w:t>
      </w:r>
    </w:p>
    <w:p w14:paraId="76ABE7D9">
      <w:pPr>
        <w:ind w:firstLine="480"/>
        <w:rPr>
          <w:highlight w:val="none"/>
        </w:rPr>
      </w:pPr>
      <w:r>
        <w:rPr>
          <w:highlight w:val="none"/>
        </w:rPr>
        <w:t>d.</w:t>
      </w:r>
      <w:r>
        <w:rPr>
          <w:rFonts w:hint="eastAsia"/>
          <w:highlight w:val="none"/>
        </w:rPr>
        <w:t xml:space="preserve">孔位允许偏差±0.5mm，孔距允许偏差±0.5mm，累计偏差不大于±1.0mm。 </w:t>
      </w:r>
    </w:p>
    <w:p w14:paraId="733896FC">
      <w:pPr>
        <w:ind w:firstLine="480"/>
        <w:rPr>
          <w:highlight w:val="none"/>
        </w:rPr>
      </w:pPr>
      <w:r>
        <w:rPr>
          <w:highlight w:val="none"/>
        </w:rPr>
        <w:t>e.</w:t>
      </w:r>
      <w:r>
        <w:rPr>
          <w:rFonts w:hint="eastAsia"/>
          <w:highlight w:val="none"/>
        </w:rPr>
        <w:t>如设计要求增加钢衬，则钢衬材料必须按照相关规范进行送检，其表面处理方式为热浸镀锌。</w:t>
      </w:r>
    </w:p>
    <w:p w14:paraId="5BE4324E">
      <w:pPr>
        <w:ind w:firstLine="480"/>
        <w:rPr>
          <w:highlight w:val="none"/>
        </w:rPr>
      </w:pPr>
      <w:r>
        <w:rPr>
          <w:highlight w:val="none"/>
        </w:rPr>
        <w:t>f.</w:t>
      </w:r>
      <w:r>
        <w:rPr>
          <w:rFonts w:hint="eastAsia"/>
          <w:highlight w:val="none"/>
        </w:rPr>
        <w:t xml:space="preserve">当发包人需要时，须予以配合提供加工图。 </w:t>
      </w:r>
    </w:p>
    <w:p w14:paraId="4AC4599F">
      <w:pPr>
        <w:ind w:firstLine="480"/>
        <w:rPr>
          <w:highlight w:val="none"/>
        </w:rPr>
      </w:pPr>
      <w:r>
        <w:rPr>
          <w:highlight w:val="none"/>
        </w:rPr>
        <w:t>12)</w:t>
      </w:r>
      <w:r>
        <w:rPr>
          <w:rFonts w:hint="eastAsia"/>
          <w:highlight w:val="none"/>
        </w:rPr>
        <w:t xml:space="preserve">铝合金构件中槽、豁、榫的加工应符合下列要求： </w:t>
      </w:r>
    </w:p>
    <w:p w14:paraId="7B3AAD51">
      <w:pPr>
        <w:ind w:firstLine="480"/>
        <w:rPr>
          <w:highlight w:val="none"/>
        </w:rPr>
      </w:pPr>
      <w:r>
        <w:rPr>
          <w:highlight w:val="none"/>
        </w:rPr>
        <w:t>a.</w:t>
      </w:r>
      <w:r>
        <w:rPr>
          <w:rFonts w:hint="eastAsia"/>
          <w:highlight w:val="none"/>
        </w:rPr>
        <w:t xml:space="preserve">构件铣槽尺寸允许偏差应符合下表的要求。 </w:t>
      </w:r>
    </w:p>
    <w:p w14:paraId="6658BE50">
      <w:pPr>
        <w:ind w:firstLine="480"/>
        <w:rPr>
          <w:highlight w:val="none"/>
        </w:rPr>
      </w:pPr>
      <w:r>
        <w:rPr>
          <w:highlight w:val="none"/>
        </w:rPr>
        <w:t>b.</w:t>
      </w:r>
      <w:r>
        <w:rPr>
          <w:rFonts w:hint="eastAsia"/>
          <w:highlight w:val="none"/>
        </w:rPr>
        <w:t xml:space="preserve">排水孔槽偏差参考槽口加工。排水孔尺寸大小要满足排水要求，同时排水孔不得内外直通。 </w:t>
      </w:r>
    </w:p>
    <w:p w14:paraId="6CE65EE6">
      <w:pPr>
        <w:ind w:firstLine="480"/>
        <w:rPr>
          <w:highlight w:val="none"/>
        </w:rPr>
      </w:pPr>
      <w:r>
        <w:rPr>
          <w:highlight w:val="none"/>
        </w:rPr>
        <w:t>12</w:t>
      </w:r>
      <w:r>
        <w:rPr>
          <w:rFonts w:hint="eastAsia"/>
          <w:highlight w:val="none"/>
        </w:rPr>
        <w:t xml:space="preserve">）构件连接必须牢固可靠，组装后各连接处应对角紧密、接口平整。 </w:t>
      </w:r>
    </w:p>
    <w:p w14:paraId="6310FBA2">
      <w:pPr>
        <w:ind w:firstLine="480"/>
        <w:rPr>
          <w:highlight w:val="none"/>
        </w:rPr>
      </w:pPr>
      <w:r>
        <w:rPr>
          <w:highlight w:val="none"/>
        </w:rPr>
        <w:t>a.</w:t>
      </w:r>
      <w:r>
        <w:rPr>
          <w:rFonts w:hint="eastAsia"/>
          <w:highlight w:val="none"/>
        </w:rPr>
        <w:t xml:space="preserve">采用 45°组角时应采用铝角码在组角机上组角。 </w:t>
      </w:r>
    </w:p>
    <w:p w14:paraId="366D1AC9">
      <w:pPr>
        <w:ind w:firstLine="480"/>
        <w:rPr>
          <w:highlight w:val="none"/>
        </w:rPr>
      </w:pPr>
      <w:r>
        <w:rPr>
          <w:highlight w:val="none"/>
        </w:rPr>
        <w:t>b.</w:t>
      </w:r>
      <w:r>
        <w:rPr>
          <w:rFonts w:hint="eastAsia"/>
          <w:highlight w:val="none"/>
        </w:rPr>
        <w:t xml:space="preserve">采用 90°组框时应在铝材背面设置加强衬板。 </w:t>
      </w:r>
    </w:p>
    <w:p w14:paraId="3246456F">
      <w:pPr>
        <w:ind w:firstLine="480"/>
        <w:rPr>
          <w:highlight w:val="none"/>
        </w:rPr>
      </w:pPr>
      <w:r>
        <w:rPr>
          <w:highlight w:val="none"/>
        </w:rPr>
        <w:t>c.</w:t>
      </w:r>
      <w:r>
        <w:rPr>
          <w:rFonts w:hint="eastAsia"/>
          <w:highlight w:val="none"/>
        </w:rPr>
        <w:t xml:space="preserve">组装中挺时应采用专用铝构件或锌铝构件连接。 </w:t>
      </w:r>
    </w:p>
    <w:p w14:paraId="0D468909">
      <w:pPr>
        <w:ind w:firstLine="480"/>
        <w:rPr>
          <w:highlight w:val="none"/>
        </w:rPr>
      </w:pPr>
      <w:r>
        <w:rPr>
          <w:highlight w:val="none"/>
        </w:rPr>
        <w:t>d.</w:t>
      </w:r>
      <w:r>
        <w:rPr>
          <w:rFonts w:hint="eastAsia"/>
          <w:highlight w:val="none"/>
        </w:rPr>
        <w:t>采用自攻螺丝连接时应有丝槽，同时满足铝合金型材截面的厚度不宜小于螺距的 2.5 倍。</w:t>
      </w:r>
    </w:p>
    <w:p w14:paraId="348C42C0">
      <w:pPr>
        <w:ind w:firstLine="480"/>
        <w:rPr>
          <w:highlight w:val="none"/>
        </w:rPr>
      </w:pPr>
      <w:r>
        <w:rPr>
          <w:rFonts w:hint="eastAsia"/>
          <w:highlight w:val="none"/>
        </w:rPr>
        <w:t xml:space="preserve">（2）耐火窗 </w:t>
      </w:r>
    </w:p>
    <w:p w14:paraId="2F015195">
      <w:pPr>
        <w:ind w:firstLine="480"/>
        <w:rPr>
          <w:highlight w:val="none"/>
        </w:rPr>
      </w:pPr>
      <w:r>
        <w:rPr>
          <w:rFonts w:hint="eastAsia"/>
          <w:highlight w:val="none"/>
        </w:rPr>
        <w:t xml:space="preserve">1）要求设置可开启外窗并且耐火完整性不小于1.00h，该窗为非隔热防火窗，必须满足相关规范及设计标准要求。 </w:t>
      </w:r>
    </w:p>
    <w:p w14:paraId="4642E5F4">
      <w:pPr>
        <w:ind w:firstLine="480"/>
        <w:rPr>
          <w:highlight w:val="none"/>
        </w:rPr>
      </w:pPr>
      <w:r>
        <w:rPr>
          <w:highlight w:val="none"/>
        </w:rPr>
        <w:t>2</w:t>
      </w:r>
      <w:r>
        <w:rPr>
          <w:rFonts w:hint="eastAsia"/>
          <w:highlight w:val="none"/>
        </w:rPr>
        <w:t>）门窗加工应在工厂进行，除玻璃压线可以现场局部修整外，其他构件均不得在施工现场制作。</w:t>
      </w:r>
    </w:p>
    <w:p w14:paraId="3E7F7E63">
      <w:pPr>
        <w:ind w:firstLine="480"/>
        <w:rPr>
          <w:highlight w:val="none"/>
        </w:rPr>
      </w:pPr>
      <w:r>
        <w:rPr>
          <w:highlight w:val="none"/>
        </w:rPr>
        <w:t>3</w:t>
      </w:r>
      <w:r>
        <w:rPr>
          <w:rFonts w:hint="eastAsia"/>
          <w:highlight w:val="none"/>
        </w:rPr>
        <w:t xml:space="preserve">）所有构件在加工制作前，应对照建筑、结构施工图、门窗设计图进行核对，并对已完成结构进行复测，调整偏差。若需按实测结果调整门窗设计大样图尺寸，需经发包人确认后方可加工制作。 </w:t>
      </w:r>
    </w:p>
    <w:p w14:paraId="31D8458D">
      <w:pPr>
        <w:ind w:firstLine="480"/>
        <w:rPr>
          <w:highlight w:val="none"/>
        </w:rPr>
      </w:pPr>
      <w:r>
        <w:rPr>
          <w:highlight w:val="none"/>
        </w:rPr>
        <w:t>4</w:t>
      </w:r>
      <w:r>
        <w:rPr>
          <w:rFonts w:hint="eastAsia"/>
          <w:highlight w:val="none"/>
        </w:rPr>
        <w:t xml:space="preserve">）所有进厂的原材料必须有合格证和检测报告，并按照规范要求进行报验工作。 </w:t>
      </w:r>
    </w:p>
    <w:p w14:paraId="35105DE9">
      <w:pPr>
        <w:ind w:firstLine="480"/>
        <w:rPr>
          <w:highlight w:val="none"/>
        </w:rPr>
      </w:pPr>
      <w:r>
        <w:rPr>
          <w:highlight w:val="none"/>
        </w:rPr>
        <w:t>5</w:t>
      </w:r>
      <w:r>
        <w:rPr>
          <w:rFonts w:hint="eastAsia"/>
          <w:highlight w:val="none"/>
        </w:rPr>
        <w:t xml:space="preserve">）所有构件连接处缝隙应进行可靠的密封处理，可采用专用密封组件或密封胶进行密封。同时各组件及构件应当进行防腐处理。 </w:t>
      </w:r>
    </w:p>
    <w:p w14:paraId="1AF531A7">
      <w:pPr>
        <w:ind w:firstLine="480"/>
        <w:rPr>
          <w:highlight w:val="none"/>
        </w:rPr>
      </w:pPr>
      <w:r>
        <w:rPr>
          <w:rFonts w:hint="eastAsia"/>
          <w:highlight w:val="none"/>
        </w:rPr>
        <w:t xml:space="preserve">6）密封胶条与密封毛条的安装应满足下列要求： </w:t>
      </w:r>
    </w:p>
    <w:p w14:paraId="5D80E508">
      <w:pPr>
        <w:ind w:firstLine="480"/>
        <w:rPr>
          <w:highlight w:val="none"/>
        </w:rPr>
      </w:pPr>
      <w:r>
        <w:rPr>
          <w:rFonts w:hint="eastAsia"/>
          <w:highlight w:val="none"/>
        </w:rPr>
        <w:t xml:space="preserve">a.密封胶条与密封毛条的断面形状及规格尺寸应与铝合金型材断面相匹配。 </w:t>
      </w:r>
    </w:p>
    <w:p w14:paraId="2AC71C1A">
      <w:pPr>
        <w:ind w:firstLine="480"/>
        <w:rPr>
          <w:highlight w:val="none"/>
        </w:rPr>
      </w:pPr>
      <w:r>
        <w:rPr>
          <w:rFonts w:hint="eastAsia"/>
          <w:highlight w:val="none"/>
        </w:rPr>
        <w:t xml:space="preserve">b.密封胶条嵌装应平整，其长度宜比边框内槽口长 1.5%～3%。 </w:t>
      </w:r>
    </w:p>
    <w:p w14:paraId="2E60C33E">
      <w:pPr>
        <w:ind w:firstLine="480"/>
        <w:rPr>
          <w:highlight w:val="none"/>
        </w:rPr>
      </w:pPr>
      <w:r>
        <w:rPr>
          <w:rFonts w:hint="eastAsia"/>
          <w:highlight w:val="none"/>
        </w:rPr>
        <w:t xml:space="preserve">c.密封胶条与密封毛条装配后应平整、严密、牢固，不得有脱槽、断裂等现象。 </w:t>
      </w:r>
    </w:p>
    <w:p w14:paraId="02BE13C3">
      <w:pPr>
        <w:ind w:firstLine="480"/>
        <w:rPr>
          <w:highlight w:val="none"/>
        </w:rPr>
      </w:pPr>
      <w:r>
        <w:rPr>
          <w:rFonts w:hint="eastAsia"/>
          <w:highlight w:val="none"/>
        </w:rPr>
        <w:t xml:space="preserve">d.密封胶条与密封毛条单边必须整根嵌装，不得拼接，接口宜位于转角处。 </w:t>
      </w:r>
    </w:p>
    <w:p w14:paraId="1D461E03">
      <w:pPr>
        <w:ind w:firstLine="480"/>
        <w:rPr>
          <w:highlight w:val="none"/>
        </w:rPr>
      </w:pPr>
      <w:r>
        <w:rPr>
          <w:rFonts w:hint="eastAsia"/>
          <w:highlight w:val="none"/>
        </w:rPr>
        <w:t xml:space="preserve">e.密封胶条转角部位接口处必须密封处理。 </w:t>
      </w:r>
    </w:p>
    <w:p w14:paraId="509E1646">
      <w:pPr>
        <w:ind w:firstLine="480"/>
        <w:rPr>
          <w:highlight w:val="none"/>
        </w:rPr>
      </w:pPr>
      <w:r>
        <w:rPr>
          <w:rFonts w:hint="eastAsia"/>
          <w:highlight w:val="none"/>
        </w:rPr>
        <w:t xml:space="preserve">f.不得使用未经试验合格的胶结材料，不得使用未经认可的胶结材料，不得使用过期产品。 </w:t>
      </w:r>
    </w:p>
    <w:p w14:paraId="189795B1">
      <w:pPr>
        <w:ind w:firstLine="480"/>
        <w:rPr>
          <w:highlight w:val="none"/>
        </w:rPr>
      </w:pPr>
      <w:r>
        <w:rPr>
          <w:rFonts w:hint="eastAsia"/>
          <w:highlight w:val="none"/>
        </w:rPr>
        <w:t xml:space="preserve">g.加工质量必须符合现行质量验收规范，观感质量良好，办理检验批验收。 </w:t>
      </w:r>
    </w:p>
    <w:p w14:paraId="3C2D09EF">
      <w:pPr>
        <w:ind w:firstLine="480"/>
        <w:rPr>
          <w:highlight w:val="none"/>
        </w:rPr>
      </w:pPr>
      <w:r>
        <w:rPr>
          <w:rFonts w:hint="eastAsia"/>
          <w:highlight w:val="none"/>
        </w:rPr>
        <w:t xml:space="preserve">（3）包装应符合下列规定： </w:t>
      </w:r>
    </w:p>
    <w:p w14:paraId="7E2A4E36">
      <w:pPr>
        <w:ind w:firstLine="480"/>
        <w:rPr>
          <w:highlight w:val="none"/>
        </w:rPr>
      </w:pPr>
      <w:r>
        <w:rPr>
          <w:rFonts w:hint="eastAsia"/>
          <w:highlight w:val="none"/>
        </w:rPr>
        <w:t xml:space="preserve">1) 应根据门窗型材、玻璃和附件的表面处理情况，采取合适的无腐蚀作用材 </w:t>
      </w:r>
    </w:p>
    <w:p w14:paraId="124DB96E">
      <w:pPr>
        <w:ind w:firstLine="480"/>
        <w:rPr>
          <w:highlight w:val="none"/>
        </w:rPr>
      </w:pPr>
      <w:r>
        <w:rPr>
          <w:rFonts w:hint="eastAsia"/>
          <w:highlight w:val="none"/>
        </w:rPr>
        <w:t xml:space="preserve">料包装。 </w:t>
      </w:r>
    </w:p>
    <w:p w14:paraId="738255E0">
      <w:pPr>
        <w:ind w:firstLine="480"/>
        <w:rPr>
          <w:highlight w:val="none"/>
        </w:rPr>
      </w:pPr>
      <w:r>
        <w:rPr>
          <w:rFonts w:hint="eastAsia"/>
          <w:highlight w:val="none"/>
        </w:rPr>
        <w:t xml:space="preserve">2) 包装箱应有足够的承载能力，确保运输中不受损坏。 </w:t>
      </w:r>
    </w:p>
    <w:p w14:paraId="35FDD66A">
      <w:pPr>
        <w:ind w:firstLine="480"/>
        <w:rPr>
          <w:highlight w:val="none"/>
        </w:rPr>
      </w:pPr>
      <w:r>
        <w:rPr>
          <w:rFonts w:hint="eastAsia"/>
          <w:highlight w:val="none"/>
        </w:rPr>
        <w:t xml:space="preserve">3) 包装箱内的各类部件，避免发生碰撞、窜动，以免运输过程中发生损坏。 </w:t>
      </w:r>
    </w:p>
    <w:p w14:paraId="2E982F92">
      <w:pPr>
        <w:ind w:firstLine="480"/>
        <w:rPr>
          <w:highlight w:val="none"/>
        </w:rPr>
      </w:pPr>
      <w:r>
        <w:rPr>
          <w:rFonts w:hint="eastAsia"/>
          <w:highlight w:val="none"/>
        </w:rPr>
        <w:t xml:space="preserve">（4）每樘出厂检验或交货批应有相应的产品合格证书及检测报告。 </w:t>
      </w:r>
    </w:p>
    <w:p w14:paraId="7028341B">
      <w:pPr>
        <w:ind w:firstLine="480"/>
        <w:rPr>
          <w:highlight w:val="none"/>
        </w:rPr>
      </w:pPr>
      <w:r>
        <w:rPr>
          <w:rFonts w:hint="eastAsia"/>
          <w:highlight w:val="none"/>
        </w:rPr>
        <w:t xml:space="preserve">（5）运输应符合下列规定： </w:t>
      </w:r>
    </w:p>
    <w:p w14:paraId="22773783">
      <w:pPr>
        <w:ind w:firstLine="480"/>
        <w:rPr>
          <w:highlight w:val="none"/>
        </w:rPr>
      </w:pPr>
      <w:r>
        <w:rPr>
          <w:rFonts w:hint="eastAsia"/>
          <w:highlight w:val="none"/>
        </w:rPr>
        <w:t xml:space="preserve">1) 运输工具应有防雨措施，并保持清洁无污染。 </w:t>
      </w:r>
    </w:p>
    <w:p w14:paraId="6587D369">
      <w:pPr>
        <w:ind w:firstLine="480"/>
        <w:rPr>
          <w:highlight w:val="none"/>
        </w:rPr>
      </w:pPr>
      <w:r>
        <w:rPr>
          <w:rFonts w:hint="eastAsia"/>
          <w:highlight w:val="none"/>
        </w:rPr>
        <w:t xml:space="preserve">2) 搬运过程中应轻拿轻放，严禁摔、扔、撞击。吊运点应选择窗框外沿，其 </w:t>
      </w:r>
    </w:p>
    <w:p w14:paraId="755A3D1F">
      <w:pPr>
        <w:ind w:firstLine="480"/>
        <w:rPr>
          <w:highlight w:val="none"/>
        </w:rPr>
      </w:pPr>
      <w:r>
        <w:rPr>
          <w:rFonts w:hint="eastAsia"/>
          <w:highlight w:val="none"/>
        </w:rPr>
        <w:t xml:space="preserve">表面应用软质材料隔开，不得在框扇内插入抬杠起吊。 </w:t>
      </w:r>
    </w:p>
    <w:p w14:paraId="60257764">
      <w:pPr>
        <w:ind w:firstLine="480"/>
        <w:rPr>
          <w:highlight w:val="none"/>
        </w:rPr>
      </w:pPr>
      <w:r>
        <w:rPr>
          <w:rFonts w:hint="eastAsia"/>
          <w:highlight w:val="none"/>
        </w:rPr>
        <w:t xml:space="preserve">3) 运输时应竖直排放并可靠固定，门窗与门窗之间应用无腐蚀作用的软质材 </w:t>
      </w:r>
    </w:p>
    <w:p w14:paraId="38A4AE3C">
      <w:pPr>
        <w:ind w:firstLine="480"/>
        <w:rPr>
          <w:highlight w:val="none"/>
        </w:rPr>
      </w:pPr>
      <w:r>
        <w:rPr>
          <w:rFonts w:hint="eastAsia"/>
          <w:highlight w:val="none"/>
        </w:rPr>
        <w:t xml:space="preserve">料隔开，特别应注意避免五金配件凸出部位与门窗的其他部位接触，以免损坏。 </w:t>
      </w:r>
    </w:p>
    <w:p w14:paraId="69236933">
      <w:pPr>
        <w:pStyle w:val="5"/>
        <w:numPr>
          <w:ilvl w:val="2"/>
          <w:numId w:val="0"/>
        </w:numPr>
        <w:ind w:left="624" w:hanging="624"/>
        <w:rPr>
          <w:highlight w:val="none"/>
        </w:rPr>
      </w:pPr>
      <w:bookmarkStart w:id="816" w:name="_Toc3721"/>
      <w:r>
        <w:rPr>
          <w:rFonts w:hint="eastAsia"/>
          <w:highlight w:val="none"/>
        </w:rPr>
        <w:t>7.8.6门窗安装技术要求</w:t>
      </w:r>
      <w:bookmarkEnd w:id="816"/>
      <w:r>
        <w:rPr>
          <w:rFonts w:hint="eastAsia"/>
          <w:highlight w:val="none"/>
        </w:rPr>
        <w:t xml:space="preserve"> </w:t>
      </w:r>
    </w:p>
    <w:p w14:paraId="208B36F1">
      <w:pPr>
        <w:ind w:firstLine="480"/>
        <w:rPr>
          <w:highlight w:val="none"/>
        </w:rPr>
      </w:pPr>
      <w:r>
        <w:rPr>
          <w:rFonts w:hint="eastAsia"/>
          <w:highlight w:val="none"/>
        </w:rPr>
        <w:t xml:space="preserve">（1）塞缝要求 </w:t>
      </w:r>
    </w:p>
    <w:p w14:paraId="6A1921B6">
      <w:pPr>
        <w:ind w:firstLine="480"/>
        <w:rPr>
          <w:highlight w:val="none"/>
        </w:rPr>
      </w:pPr>
      <w:r>
        <w:rPr>
          <w:highlight w:val="none"/>
        </w:rPr>
        <w:t xml:space="preserve">1) </w:t>
      </w:r>
      <w:r>
        <w:rPr>
          <w:rFonts w:hint="eastAsia"/>
          <w:highlight w:val="none"/>
        </w:rPr>
        <w:t xml:space="preserve">结合施工图纸及现场施工情况，出具相关的塞缝及防渗漏专项施工方案。 </w:t>
      </w:r>
    </w:p>
    <w:p w14:paraId="132014B6">
      <w:pPr>
        <w:ind w:firstLine="480"/>
        <w:rPr>
          <w:highlight w:val="none"/>
        </w:rPr>
      </w:pPr>
      <w:r>
        <w:rPr>
          <w:highlight w:val="none"/>
        </w:rPr>
        <w:t>2）</w:t>
      </w:r>
      <w:r>
        <w:rPr>
          <w:rFonts w:hint="eastAsia"/>
          <w:highlight w:val="none"/>
        </w:rPr>
        <w:t xml:space="preserve">安装前，应清除洞口周围松动的砂浆、浮渣及浮灰。 </w:t>
      </w:r>
    </w:p>
    <w:p w14:paraId="7EE4C804">
      <w:pPr>
        <w:ind w:firstLine="480"/>
        <w:rPr>
          <w:highlight w:val="none"/>
        </w:rPr>
      </w:pPr>
      <w:r>
        <w:rPr>
          <w:highlight w:val="none"/>
        </w:rPr>
        <w:t xml:space="preserve">3) </w:t>
      </w:r>
      <w:r>
        <w:rPr>
          <w:rFonts w:hint="eastAsia"/>
          <w:highlight w:val="none"/>
        </w:rPr>
        <w:t xml:space="preserve">塞缝材料要求：外窗应采用干硬性防水砂浆塞缝。干硬性防水砂浆按水泥：砂子＝1:2~1:3 配制，掺入 4%水泥用量的防水粉和防开裂纤维材料，加水量以砂浆手捏成团、落地开花为宜。 </w:t>
      </w:r>
    </w:p>
    <w:p w14:paraId="57C1B4A1">
      <w:pPr>
        <w:ind w:firstLine="480"/>
        <w:rPr>
          <w:highlight w:val="none"/>
        </w:rPr>
      </w:pPr>
      <w:r>
        <w:rPr>
          <w:rFonts w:hint="eastAsia"/>
          <w:highlight w:val="none"/>
        </w:rPr>
        <w:t>水泥强度等级不应低于32.5级，不得使用过期或受潮结块水泥；砂宜采用中砂，粒径3mm以下，含泥量不得大于1%，硫化物和硫酸盐含量不得大于1%；水应采用不含有害物质的洁净水；聚合物乳液的外观质量要求无颗粒、异物和凝固物；外加剂的技术性能应符合国家或行业标准一等品及以上的质量要求</w:t>
      </w:r>
    </w:p>
    <w:p w14:paraId="4E74DCF3">
      <w:pPr>
        <w:ind w:firstLine="480"/>
        <w:rPr>
          <w:highlight w:val="none"/>
        </w:rPr>
      </w:pPr>
      <w:r>
        <w:rPr>
          <w:highlight w:val="none"/>
        </w:rPr>
        <w:t xml:space="preserve">4) </w:t>
      </w:r>
      <w:r>
        <w:rPr>
          <w:rFonts w:hint="eastAsia"/>
          <w:highlight w:val="none"/>
        </w:rPr>
        <w:t xml:space="preserve"> 塞缝做法要求：对门窗框与墙体缝隙或钢副框与墙体缝隙，四周均采用干硬性防水砂浆塞缝。</w:t>
      </w:r>
    </w:p>
    <w:p w14:paraId="2C1251C5">
      <w:pPr>
        <w:ind w:firstLine="480"/>
        <w:rPr>
          <w:highlight w:val="none"/>
        </w:rPr>
      </w:pPr>
      <w:r>
        <w:rPr>
          <w:highlight w:val="none"/>
        </w:rPr>
        <w:t xml:space="preserve">5) </w:t>
      </w:r>
      <w:r>
        <w:rPr>
          <w:rFonts w:hint="eastAsia"/>
          <w:highlight w:val="none"/>
        </w:rPr>
        <w:t xml:space="preserve">塞缝前清理要求：门窗框与墙体间干硬性防水砂浆塞缝前，应取出窗框临时固定木楔，清扫干净，并将墙体淋湿。 </w:t>
      </w:r>
    </w:p>
    <w:p w14:paraId="0425D6ED">
      <w:pPr>
        <w:ind w:firstLine="480"/>
        <w:rPr>
          <w:highlight w:val="none"/>
        </w:rPr>
      </w:pPr>
      <w:r>
        <w:rPr>
          <w:highlight w:val="none"/>
        </w:rPr>
        <w:t xml:space="preserve">6) </w:t>
      </w:r>
      <w:r>
        <w:rPr>
          <w:rFonts w:hint="eastAsia"/>
          <w:highlight w:val="none"/>
        </w:rPr>
        <w:t xml:space="preserve">防水砂浆养护要求：在防水砂浆终凝后，应连续浇水养护不少于 3 天。 </w:t>
      </w:r>
    </w:p>
    <w:p w14:paraId="74D9BD68">
      <w:pPr>
        <w:ind w:firstLine="480"/>
        <w:rPr>
          <w:highlight w:val="none"/>
        </w:rPr>
      </w:pPr>
      <w:r>
        <w:rPr>
          <w:highlight w:val="none"/>
        </w:rPr>
        <w:t xml:space="preserve">7) </w:t>
      </w:r>
      <w:r>
        <w:rPr>
          <w:rFonts w:hint="eastAsia"/>
          <w:highlight w:val="none"/>
        </w:rPr>
        <w:t xml:space="preserve">塞缝监管要求：应加强窗框四周塞缝的监控管理，如专人负责管理、专人施工、严格控制防水砂浆配合比、样板先行、加强技术交底、严格进行淋水试验等。 </w:t>
      </w:r>
    </w:p>
    <w:p w14:paraId="35354C59">
      <w:pPr>
        <w:ind w:firstLine="480"/>
        <w:rPr>
          <w:highlight w:val="none"/>
        </w:rPr>
      </w:pPr>
      <w:r>
        <w:rPr>
          <w:highlight w:val="none"/>
        </w:rPr>
        <w:t>8)</w:t>
      </w:r>
      <w:r>
        <w:rPr>
          <w:rFonts w:hint="eastAsia"/>
          <w:highlight w:val="none"/>
        </w:rPr>
        <w:t xml:space="preserve"> 防水加强层：在塞缝养护完成后，应刷JS 防水涂料，总厚度大于 1.5mm，防水涂料接窗框5mm，涂刷范围外翻立面墙体100mm，费用包含在门窗工程内，不另行计算。</w:t>
      </w:r>
    </w:p>
    <w:p w14:paraId="1964EA7F">
      <w:pPr>
        <w:ind w:firstLine="480"/>
        <w:rPr>
          <w:highlight w:val="none"/>
        </w:rPr>
      </w:pPr>
      <w:r>
        <w:rPr>
          <w:highlight w:val="none"/>
        </w:rPr>
        <w:t xml:space="preserve">9) </w:t>
      </w:r>
      <w:r>
        <w:rPr>
          <w:rFonts w:hint="eastAsia"/>
          <w:highlight w:val="none"/>
        </w:rPr>
        <w:t xml:space="preserve">密封胶施工：土建外装饰面层与窗框交接面应预留不小于6mm×6mm 的密封胶槽。预留胶槽打胶时，基层应干燥以避免胶干后收缩使装饰面层开裂而导致渗水。应确保胶缝密实、连续、饱满，胶缝宽度以 15mm 左右为宜。同时，为达到胶缝的美观精致，窗框及外饰面上可粘贴美纹纸。密封胶应选取用中性硅酮密封胶。严禁将密封胶施打在涂料面层上。 </w:t>
      </w:r>
    </w:p>
    <w:p w14:paraId="7D8D8E65">
      <w:pPr>
        <w:ind w:firstLine="480"/>
        <w:rPr>
          <w:highlight w:val="none"/>
        </w:rPr>
      </w:pPr>
      <w:r>
        <w:rPr>
          <w:rFonts w:hint="eastAsia"/>
          <w:highlight w:val="none"/>
        </w:rPr>
        <w:t xml:space="preserve">（2）门窗安装技术要求： </w:t>
      </w:r>
    </w:p>
    <w:p w14:paraId="2464A8E7">
      <w:pPr>
        <w:ind w:firstLine="480"/>
        <w:rPr>
          <w:highlight w:val="none"/>
        </w:rPr>
      </w:pPr>
      <w:r>
        <w:rPr>
          <w:highlight w:val="none"/>
        </w:rPr>
        <w:t xml:space="preserve">1) </w:t>
      </w:r>
      <w:r>
        <w:rPr>
          <w:rFonts w:hint="eastAsia"/>
          <w:highlight w:val="none"/>
        </w:rPr>
        <w:t xml:space="preserve">非副框法门窗框安装要求： </w:t>
      </w:r>
    </w:p>
    <w:p w14:paraId="0B4CDBD3">
      <w:pPr>
        <w:ind w:firstLine="480"/>
        <w:rPr>
          <w:highlight w:val="none"/>
        </w:rPr>
      </w:pPr>
      <w:r>
        <w:rPr>
          <w:highlight w:val="none"/>
        </w:rPr>
        <w:t>a.</w:t>
      </w:r>
      <w:r>
        <w:rPr>
          <w:rFonts w:hint="eastAsia"/>
          <w:highlight w:val="none"/>
        </w:rPr>
        <w:t xml:space="preserve">铝合金门窗接触墙体的框面，必须认真做好防腐处理：一般在安装前应刷沥青酚醛表漆二度，并防止堵塞物划伤防腐面层。 </w:t>
      </w:r>
    </w:p>
    <w:p w14:paraId="038D36A0">
      <w:pPr>
        <w:ind w:firstLine="480"/>
        <w:rPr>
          <w:highlight w:val="none"/>
        </w:rPr>
      </w:pPr>
      <w:r>
        <w:rPr>
          <w:highlight w:val="none"/>
        </w:rPr>
        <w:t>b.</w:t>
      </w:r>
      <w:r>
        <w:rPr>
          <w:rFonts w:hint="eastAsia"/>
          <w:highlight w:val="none"/>
        </w:rPr>
        <w:t xml:space="preserve">当门窗框与墙体间采用固定片固定时，固定片应内高外低；固定片要求为： </w:t>
      </w:r>
    </w:p>
    <w:p w14:paraId="0141CEAB">
      <w:pPr>
        <w:ind w:firstLine="480"/>
        <w:rPr>
          <w:highlight w:val="none"/>
        </w:rPr>
      </w:pPr>
      <w:r>
        <w:rPr>
          <w:rFonts w:hint="eastAsia"/>
          <w:highlight w:val="none"/>
        </w:rPr>
        <w:t xml:space="preserve">厚度不少于1.5㎜、宽度不少于20㎜的镀锌钢片，材质为 Q235。固定片间距需满足规范要求，固定片应固定在预制混凝土块上，固定片应距离中横框、中竖框、窗角位置不大于 150mm,不得将固定片直接固定在中横框、中竖框、窗角的挡头上。门窗框牢固固定在砼结构或砖结构或其他结构上，严禁将固定片固定在不能承受荷载的砌体结构上。固定片与窗框连接应采用自攻螺钉固定，不得仅靠卡紧方式固定。钉孔内应注硅酮密封胶，以保证连接处密封。紧固件端头及拼樘料与门窗框间的缝隙应采用密封胶密封。 </w:t>
      </w:r>
    </w:p>
    <w:p w14:paraId="62783787">
      <w:pPr>
        <w:pStyle w:val="4"/>
        <w:numPr>
          <w:ilvl w:val="1"/>
          <w:numId w:val="0"/>
        </w:numPr>
        <w:ind w:left="624" w:hanging="624"/>
        <w:rPr>
          <w:highlight w:val="none"/>
        </w:rPr>
      </w:pPr>
      <w:bookmarkStart w:id="817" w:name="_Toc15304"/>
      <w:bookmarkStart w:id="818" w:name="_Toc14649"/>
      <w:bookmarkStart w:id="819" w:name="_Toc3141"/>
      <w:bookmarkStart w:id="820" w:name="_Toc2759"/>
      <w:bookmarkStart w:id="821" w:name="_Toc800"/>
      <w:bookmarkStart w:id="822" w:name="_Toc27142"/>
      <w:bookmarkStart w:id="823" w:name="_Toc179563009"/>
      <w:r>
        <w:rPr>
          <w:rFonts w:hint="eastAsia"/>
          <w:highlight w:val="none"/>
        </w:rPr>
        <w:t>7.9屋面工程技术要求</w:t>
      </w:r>
      <w:bookmarkEnd w:id="809"/>
      <w:bookmarkEnd w:id="810"/>
      <w:bookmarkEnd w:id="817"/>
      <w:bookmarkEnd w:id="818"/>
      <w:bookmarkEnd w:id="819"/>
      <w:bookmarkEnd w:id="820"/>
      <w:bookmarkEnd w:id="821"/>
      <w:bookmarkEnd w:id="822"/>
      <w:bookmarkEnd w:id="823"/>
    </w:p>
    <w:p w14:paraId="4BE0995F">
      <w:pPr>
        <w:pStyle w:val="5"/>
        <w:numPr>
          <w:ilvl w:val="2"/>
          <w:numId w:val="0"/>
        </w:numPr>
        <w:ind w:left="624" w:hanging="624"/>
        <w:rPr>
          <w:highlight w:val="none"/>
        </w:rPr>
      </w:pPr>
      <w:bookmarkStart w:id="824" w:name="_Toc31737"/>
      <w:r>
        <w:rPr>
          <w:rFonts w:hint="eastAsia"/>
          <w:highlight w:val="none"/>
        </w:rPr>
        <w:t>7.9.1光棚、屋面栏杆油漆均匀，无流坠起皱，无锈斑，焊缝饱满，无漏焊、脱焊现象。</w:t>
      </w:r>
      <w:bookmarkEnd w:id="824"/>
    </w:p>
    <w:p w14:paraId="5844B0FF">
      <w:pPr>
        <w:pStyle w:val="5"/>
        <w:numPr>
          <w:ilvl w:val="2"/>
          <w:numId w:val="0"/>
        </w:numPr>
        <w:ind w:left="624" w:hanging="624"/>
        <w:rPr>
          <w:highlight w:val="none"/>
        </w:rPr>
      </w:pPr>
      <w:bookmarkStart w:id="825" w:name="_Toc14033"/>
      <w:r>
        <w:rPr>
          <w:rFonts w:hint="eastAsia"/>
          <w:highlight w:val="none"/>
        </w:rPr>
        <w:t>7.9.2飘板、柱表面光滑平整，线角顺直，涂料均匀无色差。</w:t>
      </w:r>
      <w:bookmarkEnd w:id="825"/>
    </w:p>
    <w:p w14:paraId="07573B07">
      <w:pPr>
        <w:pStyle w:val="5"/>
        <w:numPr>
          <w:ilvl w:val="2"/>
          <w:numId w:val="0"/>
        </w:numPr>
        <w:ind w:left="624" w:hanging="624"/>
        <w:rPr>
          <w:highlight w:val="none"/>
        </w:rPr>
      </w:pPr>
      <w:bookmarkStart w:id="826" w:name="_Toc23135"/>
      <w:r>
        <w:rPr>
          <w:rFonts w:hint="eastAsia"/>
          <w:highlight w:val="none"/>
        </w:rPr>
        <w:t>7.9.3屋面地坪找坡准确，天沟部位防水卷材铺贴密实，无孔洞，裂口，裂缝。天沟排水通畅，无明显积水。整个屋面24小时蓄水无渗漏。</w:t>
      </w:r>
      <w:bookmarkEnd w:id="826"/>
    </w:p>
    <w:p w14:paraId="30BFCB06">
      <w:pPr>
        <w:pStyle w:val="5"/>
        <w:numPr>
          <w:ilvl w:val="2"/>
          <w:numId w:val="0"/>
        </w:numPr>
        <w:ind w:left="624" w:hanging="624"/>
        <w:rPr>
          <w:highlight w:val="none"/>
        </w:rPr>
      </w:pPr>
      <w:bookmarkStart w:id="827" w:name="_Toc23974"/>
      <w:r>
        <w:rPr>
          <w:rFonts w:hint="eastAsia"/>
          <w:highlight w:val="none"/>
        </w:rPr>
        <w:t>7.9.4屋面施工前总承包人需对屋面防水节点进行深化设计，经监理人/发包人确认后方可进行施工。</w:t>
      </w:r>
      <w:bookmarkEnd w:id="827"/>
    </w:p>
    <w:p w14:paraId="2A3191D5">
      <w:pPr>
        <w:pStyle w:val="5"/>
        <w:numPr>
          <w:ilvl w:val="2"/>
          <w:numId w:val="0"/>
        </w:numPr>
        <w:ind w:left="624" w:hanging="624"/>
        <w:rPr>
          <w:highlight w:val="none"/>
        </w:rPr>
      </w:pPr>
      <w:bookmarkStart w:id="828" w:name="_Toc2924"/>
      <w:r>
        <w:rPr>
          <w:rFonts w:hint="eastAsia"/>
          <w:highlight w:val="none"/>
        </w:rPr>
        <w:t>7.9.5屋面工程预先排版，分格整齐，管线支架、排气口、雨水口、柱脚、女儿墙等细部处理精细。</w:t>
      </w:r>
      <w:bookmarkEnd w:id="828"/>
    </w:p>
    <w:p w14:paraId="5325B82C">
      <w:pPr>
        <w:pStyle w:val="4"/>
        <w:numPr>
          <w:ilvl w:val="1"/>
          <w:numId w:val="0"/>
        </w:numPr>
        <w:ind w:left="624" w:hanging="624"/>
        <w:rPr>
          <w:highlight w:val="none"/>
        </w:rPr>
      </w:pPr>
      <w:bookmarkStart w:id="829" w:name="_Toc12217"/>
      <w:bookmarkStart w:id="830" w:name="_Toc179563010"/>
      <w:bookmarkStart w:id="831" w:name="_Toc23443"/>
      <w:bookmarkStart w:id="832" w:name="_Toc10774"/>
      <w:bookmarkStart w:id="833" w:name="_Toc28322"/>
      <w:bookmarkStart w:id="834" w:name="_Toc422854862"/>
      <w:bookmarkStart w:id="835" w:name="_Toc169722239"/>
      <w:bookmarkStart w:id="836" w:name="_Toc5880"/>
      <w:bookmarkStart w:id="837" w:name="_Toc13805"/>
      <w:r>
        <w:rPr>
          <w:rFonts w:hint="eastAsia"/>
          <w:highlight w:val="none"/>
        </w:rPr>
        <w:t>7.10防渗漏专项工程技术要求</w:t>
      </w:r>
      <w:bookmarkEnd w:id="829"/>
      <w:bookmarkEnd w:id="830"/>
      <w:bookmarkEnd w:id="831"/>
      <w:bookmarkEnd w:id="832"/>
      <w:bookmarkEnd w:id="833"/>
      <w:bookmarkEnd w:id="834"/>
      <w:bookmarkEnd w:id="835"/>
      <w:bookmarkEnd w:id="836"/>
      <w:bookmarkEnd w:id="837"/>
    </w:p>
    <w:p w14:paraId="2D8F6739">
      <w:pPr>
        <w:ind w:firstLine="480"/>
        <w:rPr>
          <w:highlight w:val="none"/>
        </w:rPr>
      </w:pPr>
      <w:r>
        <w:rPr>
          <w:rFonts w:hint="eastAsia"/>
          <w:highlight w:val="none"/>
        </w:rPr>
        <w:t>总承包人对自行承建工程涉及的渗漏问题负责，做好防渗漏专项策划及深化设计，精心施工防水工程，确保防渗漏效果。</w:t>
      </w:r>
    </w:p>
    <w:p w14:paraId="686B74B0">
      <w:pPr>
        <w:ind w:firstLine="480"/>
        <w:rPr>
          <w:highlight w:val="none"/>
        </w:rPr>
      </w:pPr>
      <w:r>
        <w:rPr>
          <w:rFonts w:hint="eastAsia"/>
          <w:highlight w:val="none"/>
        </w:rPr>
        <w:t>防渗漏的所有节点及构造做法均需满足技术标准化要求。</w:t>
      </w:r>
    </w:p>
    <w:p w14:paraId="5059CB02">
      <w:pPr>
        <w:ind w:firstLine="480"/>
        <w:rPr>
          <w:highlight w:val="none"/>
        </w:rPr>
      </w:pPr>
      <w:r>
        <w:rPr>
          <w:rFonts w:hint="eastAsia"/>
          <w:highlight w:val="none"/>
        </w:rPr>
        <w:t>屋面、卫生间、阳台</w:t>
      </w:r>
      <w:r>
        <w:rPr>
          <w:highlight w:val="none"/>
        </w:rPr>
        <w:t>、</w:t>
      </w:r>
      <w:r>
        <w:rPr>
          <w:rFonts w:hint="eastAsia"/>
          <w:highlight w:val="none"/>
        </w:rPr>
        <w:t>消防水池、游泳池等部位必须在结构完成堵漏并经试水合格后才能开展防水施工。</w:t>
      </w:r>
    </w:p>
    <w:p w14:paraId="43E9BD76">
      <w:pPr>
        <w:pStyle w:val="5"/>
        <w:numPr>
          <w:ilvl w:val="2"/>
          <w:numId w:val="0"/>
        </w:numPr>
        <w:ind w:left="624" w:hanging="624"/>
        <w:rPr>
          <w:highlight w:val="none"/>
        </w:rPr>
      </w:pPr>
      <w:bookmarkStart w:id="838" w:name="_Toc28103"/>
      <w:r>
        <w:rPr>
          <w:rFonts w:hint="eastAsia"/>
          <w:highlight w:val="none"/>
        </w:rPr>
        <w:t>7.10.2外墙防渗漏</w:t>
      </w:r>
      <w:bookmarkEnd w:id="838"/>
    </w:p>
    <w:p w14:paraId="7DAF1941">
      <w:pPr>
        <w:pStyle w:val="6"/>
        <w:numPr>
          <w:ilvl w:val="3"/>
          <w:numId w:val="0"/>
        </w:numPr>
        <w:ind w:left="864" w:leftChars="100" w:hanging="624"/>
        <w:rPr>
          <w:highlight w:val="none"/>
        </w:rPr>
      </w:pPr>
      <w:r>
        <w:rPr>
          <w:rFonts w:hint="eastAsia"/>
          <w:highlight w:val="none"/>
        </w:rPr>
        <w:t>7.10.2.1砌筑外墙满挂耐碱玻纤网</w:t>
      </w:r>
      <w:r>
        <w:rPr>
          <w:highlight w:val="none"/>
        </w:rPr>
        <w:t>/</w:t>
      </w:r>
      <w:r>
        <w:rPr>
          <w:rFonts w:hint="eastAsia"/>
          <w:highlight w:val="none"/>
        </w:rPr>
        <w:t>镀锌钢丝网做抗裂增强处理，以避免受温度影响收缩不均而产生开裂。</w:t>
      </w:r>
    </w:p>
    <w:p w14:paraId="1BFFE9AA">
      <w:pPr>
        <w:pStyle w:val="6"/>
        <w:numPr>
          <w:ilvl w:val="3"/>
          <w:numId w:val="0"/>
        </w:numPr>
        <w:ind w:left="864" w:leftChars="100" w:hanging="624"/>
        <w:rPr>
          <w:highlight w:val="none"/>
        </w:rPr>
      </w:pPr>
      <w:r>
        <w:rPr>
          <w:rFonts w:hint="eastAsia"/>
          <w:highlight w:val="none"/>
        </w:rPr>
        <w:t>7.10.2.2对砌筑外墙，抹灰层面层应有防止开裂措施。</w:t>
      </w:r>
    </w:p>
    <w:p w14:paraId="74FA8E6D">
      <w:pPr>
        <w:pStyle w:val="6"/>
        <w:numPr>
          <w:ilvl w:val="3"/>
          <w:numId w:val="0"/>
        </w:numPr>
        <w:ind w:left="864" w:leftChars="100" w:hanging="624"/>
        <w:rPr>
          <w:highlight w:val="none"/>
        </w:rPr>
      </w:pPr>
      <w:r>
        <w:rPr>
          <w:rFonts w:hint="eastAsia"/>
          <w:highlight w:val="none"/>
        </w:rPr>
        <w:t>7.10.2.3外墙</w:t>
      </w:r>
      <w:r>
        <w:rPr>
          <w:highlight w:val="none"/>
        </w:rPr>
        <w:t>整体</w:t>
      </w:r>
      <w:r>
        <w:rPr>
          <w:rFonts w:hint="eastAsia"/>
          <w:highlight w:val="none"/>
        </w:rPr>
        <w:t>淋水试验统一由总承包人负责，结构漏水由总承包人承担责任，窗体及塞缝处漏水由总承包人承担责任。</w:t>
      </w:r>
    </w:p>
    <w:p w14:paraId="4DF8B808">
      <w:pPr>
        <w:pStyle w:val="6"/>
        <w:numPr>
          <w:ilvl w:val="3"/>
          <w:numId w:val="0"/>
        </w:numPr>
        <w:ind w:left="864" w:leftChars="100" w:hanging="624"/>
        <w:rPr>
          <w:highlight w:val="none"/>
        </w:rPr>
      </w:pPr>
      <w:r>
        <w:rPr>
          <w:rFonts w:hint="eastAsia"/>
          <w:highlight w:val="none"/>
        </w:rPr>
        <w:t>7.10.2.4  外墙脚手孔及洞眼应用细石混凝土分层塞实，并在洞口四周</w:t>
      </w:r>
      <w:r>
        <w:rPr>
          <w:highlight w:val="none"/>
        </w:rPr>
        <w:t>100</w:t>
      </w:r>
      <w:r>
        <w:rPr>
          <w:rFonts w:hint="eastAsia"/>
          <w:highlight w:val="none"/>
        </w:rPr>
        <w:t>×</w:t>
      </w:r>
      <w:r>
        <w:rPr>
          <w:highlight w:val="none"/>
        </w:rPr>
        <w:t>100</w:t>
      </w:r>
      <w:r>
        <w:rPr>
          <w:rFonts w:hint="eastAsia"/>
          <w:highlight w:val="none"/>
        </w:rPr>
        <w:t>范围刮涂刷防水增强层。螺杆眼需采用微膨胀水泥砂浆进行封堵，外涂刷圆饼状防水涂料增强。费用不另行计取。</w:t>
      </w:r>
      <w:r>
        <w:rPr>
          <w:highlight w:val="none"/>
        </w:rPr>
        <w:t xml:space="preserve"> </w:t>
      </w:r>
    </w:p>
    <w:p w14:paraId="389DA8A4">
      <w:pPr>
        <w:pStyle w:val="28"/>
        <w:rPr>
          <w:rFonts w:hint="default"/>
          <w:highlight w:val="none"/>
        </w:rPr>
      </w:pPr>
      <w:r>
        <w:rPr>
          <w:highlight w:val="none"/>
        </w:rPr>
        <w:drawing>
          <wp:inline distT="0" distB="0" distL="114300" distR="114300">
            <wp:extent cx="2354580" cy="1765300"/>
            <wp:effectExtent l="0" t="0" r="7620" b="6350"/>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1"/>
                    </pic:cNvPicPr>
                  </pic:nvPicPr>
                  <pic:blipFill>
                    <a:blip r:embed="rId131"/>
                    <a:stretch>
                      <a:fillRect/>
                    </a:stretch>
                  </pic:blipFill>
                  <pic:spPr>
                    <a:xfrm>
                      <a:off x="0" y="0"/>
                      <a:ext cx="2354580" cy="1765300"/>
                    </a:xfrm>
                    <a:prstGeom prst="rect">
                      <a:avLst/>
                    </a:prstGeom>
                    <a:noFill/>
                    <a:ln>
                      <a:noFill/>
                    </a:ln>
                  </pic:spPr>
                </pic:pic>
              </a:graphicData>
            </a:graphic>
          </wp:inline>
        </w:drawing>
      </w:r>
      <w:r>
        <w:rPr>
          <w:highlight w:val="none"/>
        </w:rPr>
        <w:drawing>
          <wp:inline distT="0" distB="0" distL="114300" distR="114300">
            <wp:extent cx="2387600" cy="1819910"/>
            <wp:effectExtent l="0" t="0" r="12700" b="889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132"/>
                    <a:stretch>
                      <a:fillRect/>
                    </a:stretch>
                  </pic:blipFill>
                  <pic:spPr>
                    <a:xfrm>
                      <a:off x="0" y="0"/>
                      <a:ext cx="2387600" cy="1819910"/>
                    </a:xfrm>
                    <a:prstGeom prst="rect">
                      <a:avLst/>
                    </a:prstGeom>
                    <a:noFill/>
                    <a:ln>
                      <a:noFill/>
                    </a:ln>
                  </pic:spPr>
                </pic:pic>
              </a:graphicData>
            </a:graphic>
          </wp:inline>
        </w:drawing>
      </w:r>
    </w:p>
    <w:p w14:paraId="00557288">
      <w:pPr>
        <w:pStyle w:val="28"/>
        <w:outlineLvl w:val="2"/>
        <w:rPr>
          <w:rFonts w:hint="default"/>
          <w:highlight w:val="none"/>
        </w:rPr>
      </w:pPr>
      <w:bookmarkStart w:id="839" w:name="_Toc22089"/>
      <w:r>
        <w:rPr>
          <w:highlight w:val="none"/>
        </w:rPr>
        <w:t>螺杆洞封堵示意</w:t>
      </w:r>
      <w:bookmarkEnd w:id="839"/>
    </w:p>
    <w:p w14:paraId="267A467E">
      <w:pPr>
        <w:ind w:firstLine="480"/>
        <w:rPr>
          <w:highlight w:val="none"/>
        </w:rPr>
      </w:pPr>
    </w:p>
    <w:p w14:paraId="0A871FD0">
      <w:pPr>
        <w:pStyle w:val="5"/>
        <w:numPr>
          <w:ilvl w:val="2"/>
          <w:numId w:val="0"/>
        </w:numPr>
        <w:ind w:left="624" w:hanging="624"/>
        <w:rPr>
          <w:highlight w:val="none"/>
        </w:rPr>
      </w:pPr>
      <w:bookmarkStart w:id="840" w:name="_Toc16871"/>
      <w:r>
        <w:rPr>
          <w:rFonts w:hint="eastAsia"/>
          <w:highlight w:val="none"/>
        </w:rPr>
        <w:t>7.10.3外门窗防渗漏</w:t>
      </w:r>
      <w:bookmarkEnd w:id="840"/>
    </w:p>
    <w:p w14:paraId="6424663D">
      <w:pPr>
        <w:ind w:firstLine="480"/>
        <w:rPr>
          <w:highlight w:val="none"/>
        </w:rPr>
      </w:pPr>
      <w:r>
        <w:rPr>
          <w:rFonts w:hint="eastAsia"/>
          <w:highlight w:val="none"/>
        </w:rPr>
        <w:t>外门窗防渗漏深化设计、门窗安装、塞缝、防水由专业承包人负责。总承包人自行承建工程与外门窗防渗漏专项工程有关的完成标准主要体现在以下方面：</w:t>
      </w:r>
    </w:p>
    <w:p w14:paraId="6614DB77">
      <w:pPr>
        <w:pStyle w:val="6"/>
        <w:numPr>
          <w:ilvl w:val="3"/>
          <w:numId w:val="0"/>
        </w:numPr>
        <w:ind w:left="864" w:leftChars="100" w:hanging="624"/>
        <w:rPr>
          <w:highlight w:val="none"/>
        </w:rPr>
      </w:pPr>
      <w:r>
        <w:rPr>
          <w:rFonts w:hint="eastAsia"/>
          <w:highlight w:val="none"/>
        </w:rPr>
        <w:t>7.10.3.1</w:t>
      </w:r>
      <w:r>
        <w:rPr>
          <w:highlight w:val="none"/>
        </w:rPr>
        <w:t>门窗安装弹线定位</w:t>
      </w:r>
    </w:p>
    <w:p w14:paraId="35A7605B">
      <w:pPr>
        <w:ind w:firstLine="480"/>
        <w:rPr>
          <w:highlight w:val="none"/>
        </w:rPr>
      </w:pPr>
      <w:r>
        <w:rPr>
          <w:rFonts w:hint="eastAsia"/>
          <w:highlight w:val="none"/>
        </w:rPr>
        <w:t>在门窗框或副框安装前，总承包人应为门窗安装提供三线（水平线、垂直线和进出线）基准，由门窗安装单位逐个复测洞口尺寸及偏差，对需要进行处理的门窗洞口应做好记录和标识。</w:t>
      </w:r>
    </w:p>
    <w:p w14:paraId="30471207">
      <w:pPr>
        <w:pStyle w:val="6"/>
        <w:numPr>
          <w:ilvl w:val="3"/>
          <w:numId w:val="0"/>
        </w:numPr>
        <w:ind w:left="864" w:leftChars="100" w:hanging="624"/>
        <w:rPr>
          <w:highlight w:val="none"/>
        </w:rPr>
      </w:pPr>
      <w:r>
        <w:rPr>
          <w:rFonts w:hint="eastAsia"/>
          <w:highlight w:val="none"/>
        </w:rPr>
        <w:t>7.10.3.2</w:t>
      </w:r>
      <w:r>
        <w:rPr>
          <w:highlight w:val="none"/>
        </w:rPr>
        <w:t>门窗洞口偏差处理</w:t>
      </w:r>
    </w:p>
    <w:tbl>
      <w:tblPr>
        <w:tblStyle w:val="23"/>
        <w:tblW w:w="4999" w:type="pct"/>
        <w:jc w:val="right"/>
        <w:tblLayout w:type="autofit"/>
        <w:tblCellMar>
          <w:top w:w="0" w:type="dxa"/>
          <w:left w:w="108" w:type="dxa"/>
          <w:bottom w:w="0" w:type="dxa"/>
          <w:right w:w="108" w:type="dxa"/>
        </w:tblCellMar>
      </w:tblPr>
      <w:tblGrid>
        <w:gridCol w:w="3140"/>
        <w:gridCol w:w="5918"/>
      </w:tblGrid>
      <w:tr w14:paraId="524F6B2B">
        <w:tblPrEx>
          <w:tblCellMar>
            <w:top w:w="0" w:type="dxa"/>
            <w:left w:w="108" w:type="dxa"/>
            <w:bottom w:w="0" w:type="dxa"/>
            <w:right w:w="108" w:type="dxa"/>
          </w:tblCellMar>
        </w:tblPrEx>
        <w:trPr>
          <w:trHeight w:val="317" w:hRule="atLeast"/>
          <w:jc w:val="right"/>
        </w:trPr>
        <w:tc>
          <w:tcPr>
            <w:tcW w:w="1733" w:type="pct"/>
            <w:tcBorders>
              <w:top w:val="single" w:color="auto" w:sz="4" w:space="0"/>
              <w:left w:val="single" w:color="auto" w:sz="4" w:space="0"/>
              <w:bottom w:val="single" w:color="auto" w:sz="4" w:space="0"/>
              <w:right w:val="single" w:color="auto" w:sz="4" w:space="0"/>
            </w:tcBorders>
            <w:noWrap w:val="0"/>
            <w:vAlign w:val="center"/>
          </w:tcPr>
          <w:p w14:paraId="64CAF6E5">
            <w:pPr>
              <w:pStyle w:val="13"/>
              <w:rPr>
                <w:b/>
                <w:bCs/>
                <w:highlight w:val="none"/>
              </w:rPr>
            </w:pPr>
            <w:r>
              <w:rPr>
                <w:rFonts w:hint="eastAsia"/>
                <w:b/>
                <w:bCs/>
                <w:highlight w:val="none"/>
              </w:rPr>
              <w:t>门窗框（或副框）与洞口间缝隙偏差值δ（</w:t>
            </w:r>
            <w:r>
              <w:rPr>
                <w:b/>
                <w:bCs/>
                <w:highlight w:val="none"/>
              </w:rPr>
              <w:t>mm</w:t>
            </w:r>
            <w:r>
              <w:rPr>
                <w:rFonts w:hint="eastAsia"/>
                <w:b/>
                <w:bCs/>
                <w:highlight w:val="none"/>
              </w:rPr>
              <w:t>）</w:t>
            </w:r>
          </w:p>
        </w:tc>
        <w:tc>
          <w:tcPr>
            <w:tcW w:w="3266" w:type="pct"/>
            <w:tcBorders>
              <w:top w:val="single" w:color="auto" w:sz="4" w:space="0"/>
              <w:left w:val="nil"/>
              <w:bottom w:val="single" w:color="auto" w:sz="4" w:space="0"/>
              <w:right w:val="single" w:color="auto" w:sz="4" w:space="0"/>
            </w:tcBorders>
            <w:noWrap w:val="0"/>
            <w:vAlign w:val="center"/>
          </w:tcPr>
          <w:p w14:paraId="00DF0A70">
            <w:pPr>
              <w:pStyle w:val="13"/>
              <w:rPr>
                <w:b/>
                <w:bCs/>
                <w:highlight w:val="none"/>
              </w:rPr>
            </w:pPr>
            <w:r>
              <w:rPr>
                <w:rFonts w:hint="eastAsia"/>
                <w:b/>
                <w:bCs/>
                <w:highlight w:val="none"/>
              </w:rPr>
              <w:t>处理方式</w:t>
            </w:r>
          </w:p>
        </w:tc>
      </w:tr>
      <w:tr w14:paraId="76F17B9A">
        <w:tblPrEx>
          <w:tblCellMar>
            <w:top w:w="0" w:type="dxa"/>
            <w:left w:w="108" w:type="dxa"/>
            <w:bottom w:w="0" w:type="dxa"/>
            <w:right w:w="108" w:type="dxa"/>
          </w:tblCellMar>
        </w:tblPrEx>
        <w:trPr>
          <w:trHeight w:val="708" w:hRule="atLeast"/>
          <w:jc w:val="right"/>
        </w:trPr>
        <w:tc>
          <w:tcPr>
            <w:tcW w:w="1733" w:type="pct"/>
            <w:tcBorders>
              <w:top w:val="nil"/>
              <w:left w:val="single" w:color="auto" w:sz="4" w:space="0"/>
              <w:bottom w:val="single" w:color="auto" w:sz="4" w:space="0"/>
              <w:right w:val="single" w:color="auto" w:sz="4" w:space="0"/>
            </w:tcBorders>
            <w:noWrap w:val="0"/>
            <w:vAlign w:val="center"/>
          </w:tcPr>
          <w:p w14:paraId="66CF548D">
            <w:pPr>
              <w:pStyle w:val="13"/>
              <w:rPr>
                <w:highlight w:val="none"/>
              </w:rPr>
            </w:pPr>
            <w:r>
              <w:rPr>
                <w:rFonts w:hint="eastAsia"/>
                <w:highlight w:val="none"/>
              </w:rPr>
              <w:t>δ≥</w:t>
            </w:r>
            <w:r>
              <w:rPr>
                <w:highlight w:val="none"/>
              </w:rPr>
              <w:t>50</w:t>
            </w:r>
          </w:p>
        </w:tc>
        <w:tc>
          <w:tcPr>
            <w:tcW w:w="3266" w:type="pct"/>
            <w:tcBorders>
              <w:top w:val="nil"/>
              <w:left w:val="nil"/>
              <w:bottom w:val="single" w:color="auto" w:sz="4" w:space="0"/>
              <w:right w:val="single" w:color="auto" w:sz="4" w:space="0"/>
            </w:tcBorders>
            <w:noWrap w:val="0"/>
            <w:vAlign w:val="center"/>
          </w:tcPr>
          <w:p w14:paraId="6AC85AED">
            <w:pPr>
              <w:pStyle w:val="13"/>
              <w:rPr>
                <w:highlight w:val="none"/>
              </w:rPr>
            </w:pPr>
            <w:r>
              <w:rPr>
                <w:rFonts w:hint="eastAsia"/>
                <w:highlight w:val="none"/>
              </w:rPr>
              <w:t>配筋并浇筑</w:t>
            </w:r>
            <w:r>
              <w:rPr>
                <w:highlight w:val="none"/>
              </w:rPr>
              <w:t>C20</w:t>
            </w:r>
            <w:r>
              <w:rPr>
                <w:rFonts w:hint="eastAsia"/>
                <w:highlight w:val="none"/>
              </w:rPr>
              <w:t>细石混凝土，内配</w:t>
            </w:r>
            <w:r>
              <w:rPr>
                <w:highlight w:val="none"/>
              </w:rPr>
              <w:t>2</w:t>
            </w:r>
            <w:r>
              <w:rPr>
                <w:rFonts w:hint="eastAsia"/>
                <w:highlight w:val="none"/>
              </w:rPr>
              <w:t>φ</w:t>
            </w:r>
            <w:r>
              <w:rPr>
                <w:highlight w:val="none"/>
              </w:rPr>
              <w:t>10</w:t>
            </w:r>
            <w:r>
              <w:rPr>
                <w:rFonts w:hint="eastAsia"/>
                <w:highlight w:val="none"/>
              </w:rPr>
              <w:t>通长钢筋和φ</w:t>
            </w:r>
            <w:r>
              <w:rPr>
                <w:highlight w:val="none"/>
              </w:rPr>
              <w:t>6@250U</w:t>
            </w:r>
            <w:r>
              <w:rPr>
                <w:rFonts w:hint="eastAsia"/>
                <w:highlight w:val="none"/>
              </w:rPr>
              <w:t>型箍筋，与原有墙体可靠连接</w:t>
            </w:r>
          </w:p>
        </w:tc>
      </w:tr>
      <w:tr w14:paraId="3804E539">
        <w:tblPrEx>
          <w:tblCellMar>
            <w:top w:w="0" w:type="dxa"/>
            <w:left w:w="108" w:type="dxa"/>
            <w:bottom w:w="0" w:type="dxa"/>
            <w:right w:w="108" w:type="dxa"/>
          </w:tblCellMar>
        </w:tblPrEx>
        <w:trPr>
          <w:trHeight w:val="364" w:hRule="atLeast"/>
          <w:jc w:val="right"/>
        </w:trPr>
        <w:tc>
          <w:tcPr>
            <w:tcW w:w="1733" w:type="pct"/>
            <w:tcBorders>
              <w:top w:val="nil"/>
              <w:left w:val="single" w:color="auto" w:sz="4" w:space="0"/>
              <w:bottom w:val="single" w:color="auto" w:sz="4" w:space="0"/>
              <w:right w:val="single" w:color="auto" w:sz="4" w:space="0"/>
            </w:tcBorders>
            <w:noWrap w:val="0"/>
            <w:vAlign w:val="center"/>
          </w:tcPr>
          <w:p w14:paraId="43AC86A8">
            <w:pPr>
              <w:pStyle w:val="13"/>
              <w:rPr>
                <w:highlight w:val="none"/>
              </w:rPr>
            </w:pPr>
            <w:r>
              <w:rPr>
                <w:highlight w:val="none"/>
              </w:rPr>
              <w:t>50</w:t>
            </w:r>
            <w:r>
              <w:rPr>
                <w:rFonts w:hint="eastAsia"/>
                <w:highlight w:val="none"/>
              </w:rPr>
              <w:t>≥δ＞</w:t>
            </w:r>
            <w:r>
              <w:rPr>
                <w:highlight w:val="none"/>
              </w:rPr>
              <w:t>25</w:t>
            </w:r>
          </w:p>
        </w:tc>
        <w:tc>
          <w:tcPr>
            <w:tcW w:w="3266" w:type="pct"/>
            <w:tcBorders>
              <w:top w:val="nil"/>
              <w:left w:val="nil"/>
              <w:bottom w:val="single" w:color="auto" w:sz="4" w:space="0"/>
              <w:right w:val="single" w:color="auto" w:sz="4" w:space="0"/>
            </w:tcBorders>
            <w:noWrap w:val="0"/>
            <w:vAlign w:val="center"/>
          </w:tcPr>
          <w:p w14:paraId="205A171C">
            <w:pPr>
              <w:pStyle w:val="13"/>
              <w:rPr>
                <w:highlight w:val="none"/>
              </w:rPr>
            </w:pPr>
            <w:r>
              <w:rPr>
                <w:rFonts w:hint="eastAsia"/>
                <w:highlight w:val="none"/>
              </w:rPr>
              <w:t>挂双层镀锌钢丝网，采用防水砂浆抹灰</w:t>
            </w:r>
          </w:p>
        </w:tc>
      </w:tr>
      <w:tr w14:paraId="3EB6E094">
        <w:tblPrEx>
          <w:tblCellMar>
            <w:top w:w="0" w:type="dxa"/>
            <w:left w:w="108" w:type="dxa"/>
            <w:bottom w:w="0" w:type="dxa"/>
            <w:right w:w="108" w:type="dxa"/>
          </w:tblCellMar>
        </w:tblPrEx>
        <w:trPr>
          <w:trHeight w:val="364" w:hRule="atLeast"/>
          <w:jc w:val="right"/>
        </w:trPr>
        <w:tc>
          <w:tcPr>
            <w:tcW w:w="1733" w:type="pct"/>
            <w:tcBorders>
              <w:top w:val="nil"/>
              <w:left w:val="single" w:color="auto" w:sz="4" w:space="0"/>
              <w:bottom w:val="single" w:color="auto" w:sz="4" w:space="0"/>
              <w:right w:val="single" w:color="auto" w:sz="4" w:space="0"/>
            </w:tcBorders>
            <w:noWrap w:val="0"/>
            <w:vAlign w:val="center"/>
          </w:tcPr>
          <w:p w14:paraId="138DECC4">
            <w:pPr>
              <w:pStyle w:val="13"/>
              <w:rPr>
                <w:highlight w:val="none"/>
              </w:rPr>
            </w:pPr>
            <w:r>
              <w:rPr>
                <w:highlight w:val="none"/>
              </w:rPr>
              <w:t>25</w:t>
            </w:r>
            <w:r>
              <w:rPr>
                <w:rFonts w:hint="eastAsia"/>
                <w:highlight w:val="none"/>
              </w:rPr>
              <w:t>＞δ＞</w:t>
            </w:r>
            <w:r>
              <w:rPr>
                <w:highlight w:val="none"/>
              </w:rPr>
              <w:t>5</w:t>
            </w:r>
          </w:p>
        </w:tc>
        <w:tc>
          <w:tcPr>
            <w:tcW w:w="3266" w:type="pct"/>
            <w:tcBorders>
              <w:top w:val="nil"/>
              <w:left w:val="nil"/>
              <w:bottom w:val="single" w:color="auto" w:sz="4" w:space="0"/>
              <w:right w:val="single" w:color="auto" w:sz="4" w:space="0"/>
            </w:tcBorders>
            <w:noWrap w:val="0"/>
            <w:vAlign w:val="center"/>
          </w:tcPr>
          <w:p w14:paraId="72422732">
            <w:pPr>
              <w:pStyle w:val="13"/>
              <w:rPr>
                <w:highlight w:val="none"/>
              </w:rPr>
            </w:pPr>
            <w:r>
              <w:rPr>
                <w:rFonts w:hint="eastAsia"/>
                <w:highlight w:val="none"/>
              </w:rPr>
              <w:t>挂单层镀锌钢丝网，采用防水砂浆抹灰</w:t>
            </w:r>
          </w:p>
        </w:tc>
      </w:tr>
      <w:tr w14:paraId="632CE472">
        <w:tblPrEx>
          <w:tblCellMar>
            <w:top w:w="0" w:type="dxa"/>
            <w:left w:w="108" w:type="dxa"/>
            <w:bottom w:w="0" w:type="dxa"/>
            <w:right w:w="108" w:type="dxa"/>
          </w:tblCellMar>
        </w:tblPrEx>
        <w:trPr>
          <w:trHeight w:val="364" w:hRule="atLeast"/>
          <w:jc w:val="right"/>
        </w:trPr>
        <w:tc>
          <w:tcPr>
            <w:tcW w:w="1733" w:type="pct"/>
            <w:tcBorders>
              <w:top w:val="nil"/>
              <w:left w:val="single" w:color="auto" w:sz="4" w:space="0"/>
              <w:bottom w:val="single" w:color="auto" w:sz="4" w:space="0"/>
              <w:right w:val="single" w:color="auto" w:sz="4" w:space="0"/>
            </w:tcBorders>
            <w:noWrap w:val="0"/>
            <w:vAlign w:val="center"/>
          </w:tcPr>
          <w:p w14:paraId="0EF9F947">
            <w:pPr>
              <w:pStyle w:val="13"/>
              <w:rPr>
                <w:highlight w:val="none"/>
              </w:rPr>
            </w:pPr>
            <w:r>
              <w:rPr>
                <w:highlight w:val="none"/>
              </w:rPr>
              <w:t>5</w:t>
            </w:r>
            <w:r>
              <w:rPr>
                <w:rFonts w:hint="eastAsia"/>
                <w:highlight w:val="none"/>
              </w:rPr>
              <w:t>＞δ＞</w:t>
            </w:r>
            <w:r>
              <w:rPr>
                <w:highlight w:val="none"/>
              </w:rPr>
              <w:t>-5</w:t>
            </w:r>
          </w:p>
        </w:tc>
        <w:tc>
          <w:tcPr>
            <w:tcW w:w="3266" w:type="pct"/>
            <w:tcBorders>
              <w:top w:val="nil"/>
              <w:left w:val="nil"/>
              <w:bottom w:val="single" w:color="auto" w:sz="4" w:space="0"/>
              <w:right w:val="single" w:color="auto" w:sz="4" w:space="0"/>
            </w:tcBorders>
            <w:noWrap w:val="0"/>
            <w:vAlign w:val="center"/>
          </w:tcPr>
          <w:p w14:paraId="5FA44A02">
            <w:pPr>
              <w:pStyle w:val="13"/>
              <w:rPr>
                <w:highlight w:val="none"/>
              </w:rPr>
            </w:pPr>
            <w:r>
              <w:rPr>
                <w:rFonts w:hint="eastAsia"/>
                <w:highlight w:val="none"/>
              </w:rPr>
              <w:t>不做处理，但应保证塞缝密实</w:t>
            </w:r>
          </w:p>
        </w:tc>
      </w:tr>
      <w:tr w14:paraId="479F4A7F">
        <w:tblPrEx>
          <w:tblCellMar>
            <w:top w:w="0" w:type="dxa"/>
            <w:left w:w="108" w:type="dxa"/>
            <w:bottom w:w="0" w:type="dxa"/>
            <w:right w:w="108" w:type="dxa"/>
          </w:tblCellMar>
        </w:tblPrEx>
        <w:trPr>
          <w:trHeight w:val="437" w:hRule="atLeast"/>
          <w:jc w:val="right"/>
        </w:trPr>
        <w:tc>
          <w:tcPr>
            <w:tcW w:w="1733" w:type="pct"/>
            <w:tcBorders>
              <w:top w:val="nil"/>
              <w:left w:val="single" w:color="auto" w:sz="4" w:space="0"/>
              <w:bottom w:val="single" w:color="auto" w:sz="4" w:space="0"/>
              <w:right w:val="single" w:color="auto" w:sz="4" w:space="0"/>
            </w:tcBorders>
            <w:noWrap w:val="0"/>
            <w:vAlign w:val="center"/>
          </w:tcPr>
          <w:p w14:paraId="0CB3F840">
            <w:pPr>
              <w:pStyle w:val="13"/>
              <w:rPr>
                <w:highlight w:val="none"/>
              </w:rPr>
            </w:pPr>
            <w:r>
              <w:rPr>
                <w:highlight w:val="none"/>
              </w:rPr>
              <w:t>-5</w:t>
            </w:r>
            <w:r>
              <w:rPr>
                <w:rFonts w:hint="eastAsia"/>
                <w:highlight w:val="none"/>
              </w:rPr>
              <w:t>＞δ≥</w:t>
            </w:r>
            <w:r>
              <w:rPr>
                <w:highlight w:val="none"/>
              </w:rPr>
              <w:t>-10</w:t>
            </w:r>
          </w:p>
        </w:tc>
        <w:tc>
          <w:tcPr>
            <w:tcW w:w="3266" w:type="pct"/>
            <w:tcBorders>
              <w:top w:val="nil"/>
              <w:left w:val="nil"/>
              <w:bottom w:val="single" w:color="auto" w:sz="4" w:space="0"/>
              <w:right w:val="single" w:color="auto" w:sz="4" w:space="0"/>
            </w:tcBorders>
            <w:noWrap w:val="0"/>
            <w:vAlign w:val="center"/>
          </w:tcPr>
          <w:p w14:paraId="69A9AD93">
            <w:pPr>
              <w:pStyle w:val="13"/>
              <w:rPr>
                <w:highlight w:val="none"/>
              </w:rPr>
            </w:pPr>
            <w:r>
              <w:rPr>
                <w:rFonts w:hint="eastAsia"/>
                <w:highlight w:val="none"/>
              </w:rPr>
              <w:t>剔凿并用防水砂浆粉刷平整</w:t>
            </w:r>
          </w:p>
        </w:tc>
      </w:tr>
      <w:tr w14:paraId="2B09DBA6">
        <w:tblPrEx>
          <w:tblCellMar>
            <w:top w:w="0" w:type="dxa"/>
            <w:left w:w="108" w:type="dxa"/>
            <w:bottom w:w="0" w:type="dxa"/>
            <w:right w:w="108" w:type="dxa"/>
          </w:tblCellMar>
        </w:tblPrEx>
        <w:trPr>
          <w:trHeight w:val="364" w:hRule="atLeast"/>
          <w:jc w:val="right"/>
        </w:trPr>
        <w:tc>
          <w:tcPr>
            <w:tcW w:w="1733" w:type="pct"/>
            <w:tcBorders>
              <w:top w:val="single" w:color="auto" w:sz="4" w:space="0"/>
              <w:left w:val="single" w:color="auto" w:sz="4" w:space="0"/>
              <w:bottom w:val="single" w:color="auto" w:sz="4" w:space="0"/>
              <w:right w:val="single" w:color="auto" w:sz="4" w:space="0"/>
            </w:tcBorders>
            <w:noWrap w:val="0"/>
            <w:vAlign w:val="center"/>
          </w:tcPr>
          <w:p w14:paraId="3135F402">
            <w:pPr>
              <w:pStyle w:val="13"/>
              <w:rPr>
                <w:highlight w:val="none"/>
              </w:rPr>
            </w:pPr>
            <w:r>
              <w:rPr>
                <w:highlight w:val="none"/>
              </w:rPr>
              <w:t>-10</w:t>
            </w:r>
            <w:r>
              <w:rPr>
                <w:rFonts w:hint="eastAsia"/>
                <w:highlight w:val="none"/>
              </w:rPr>
              <w:t>＞δ</w:t>
            </w:r>
          </w:p>
        </w:tc>
        <w:tc>
          <w:tcPr>
            <w:tcW w:w="3266" w:type="pct"/>
            <w:tcBorders>
              <w:top w:val="single" w:color="auto" w:sz="4" w:space="0"/>
              <w:left w:val="nil"/>
              <w:bottom w:val="single" w:color="auto" w:sz="4" w:space="0"/>
              <w:right w:val="single" w:color="auto" w:sz="4" w:space="0"/>
            </w:tcBorders>
            <w:noWrap w:val="0"/>
            <w:vAlign w:val="center"/>
          </w:tcPr>
          <w:p w14:paraId="378CEF9F">
            <w:pPr>
              <w:pStyle w:val="13"/>
              <w:rPr>
                <w:highlight w:val="none"/>
              </w:rPr>
            </w:pPr>
            <w:r>
              <w:rPr>
                <w:rFonts w:hint="eastAsia"/>
                <w:highlight w:val="none"/>
              </w:rPr>
              <w:t>剔凿并用防水砂浆粉刷平整</w:t>
            </w:r>
          </w:p>
        </w:tc>
      </w:tr>
    </w:tbl>
    <w:p w14:paraId="7DC89598">
      <w:pPr>
        <w:pStyle w:val="6"/>
        <w:numPr>
          <w:ilvl w:val="3"/>
          <w:numId w:val="0"/>
        </w:numPr>
        <w:ind w:left="864" w:leftChars="100" w:hanging="624"/>
        <w:rPr>
          <w:highlight w:val="none"/>
        </w:rPr>
      </w:pPr>
      <w:r>
        <w:rPr>
          <w:rFonts w:hint="eastAsia"/>
          <w:highlight w:val="none"/>
        </w:rPr>
        <w:t>7.10.3.3窗楣窗台</w:t>
      </w:r>
    </w:p>
    <w:p w14:paraId="3DE8EDAF">
      <w:pPr>
        <w:ind w:firstLine="480"/>
        <w:rPr>
          <w:highlight w:val="none"/>
        </w:rPr>
      </w:pPr>
      <w:r>
        <w:rPr>
          <w:rFonts w:hint="eastAsia"/>
          <w:highlight w:val="none"/>
        </w:rPr>
        <w:t>窗楣滴水线槽设置：窗楣应合理设置滴水线槽；当窗楣采用鹰嘴做法时，应注意控制鹰嘴坡度，避免出现倒泛水现象；当外饰面为面砖时，宜使用在工厂加工的成品砖做鹰嘴。</w:t>
      </w:r>
    </w:p>
    <w:p w14:paraId="74653FFB">
      <w:pPr>
        <w:ind w:firstLine="480"/>
        <w:rPr>
          <w:highlight w:val="none"/>
        </w:rPr>
      </w:pPr>
      <w:r>
        <w:rPr>
          <w:rFonts w:hint="eastAsia"/>
          <w:highlight w:val="none"/>
        </w:rPr>
        <w:t>窗台坡度：窗台抹</w:t>
      </w:r>
      <w:r>
        <w:rPr>
          <w:highlight w:val="none"/>
        </w:rPr>
        <w:t>完灰</w:t>
      </w:r>
      <w:r>
        <w:rPr>
          <w:rFonts w:hint="eastAsia"/>
          <w:highlight w:val="none"/>
        </w:rPr>
        <w:t>坡度应不小于</w:t>
      </w:r>
      <w:r>
        <w:rPr>
          <w:highlight w:val="none"/>
        </w:rPr>
        <w:t>6</w:t>
      </w:r>
      <w:r>
        <w:rPr>
          <w:rFonts w:hint="eastAsia"/>
          <w:highlight w:val="none"/>
        </w:rPr>
        <w:t>%，以利于快速排水。</w:t>
      </w:r>
    </w:p>
    <w:p w14:paraId="4C5D1D46">
      <w:pPr>
        <w:ind w:firstLine="480"/>
        <w:rPr>
          <w:highlight w:val="none"/>
        </w:rPr>
      </w:pPr>
      <w:r>
        <w:rPr>
          <w:rFonts w:hint="eastAsia"/>
          <w:highlight w:val="none"/>
        </w:rPr>
        <w:t>现浇窗台压顶：若为砖砌体窗洞口，窗台应设计混凝土压顶，以确保窗台上的雨水不渗入下部墙体内。现浇混凝土压顶宽同墙厚，高度≥100mm，每边入墙内≥200mm（不足200mm通长设置）。</w:t>
      </w:r>
    </w:p>
    <w:p w14:paraId="1F15143C">
      <w:pPr>
        <w:ind w:firstLine="480"/>
        <w:rPr>
          <w:highlight w:val="none"/>
        </w:rPr>
      </w:pPr>
      <w:r>
        <w:rPr>
          <w:rFonts w:hint="eastAsia"/>
          <w:highlight w:val="none"/>
        </w:rPr>
        <w:t>窗边结构应设置外窗企口尺寸、固定片压槽尺寸及设置间距、窗上檐滴水线或鹰嘴、窗台排水坡度等构造，如为铝模项目应在铝模深化阶段考虑。</w:t>
      </w:r>
    </w:p>
    <w:p w14:paraId="2A78C0C8">
      <w:pPr>
        <w:pStyle w:val="5"/>
        <w:numPr>
          <w:ilvl w:val="2"/>
          <w:numId w:val="0"/>
        </w:numPr>
        <w:ind w:left="624" w:hanging="624"/>
        <w:rPr>
          <w:highlight w:val="none"/>
        </w:rPr>
      </w:pPr>
      <w:bookmarkStart w:id="841" w:name="_Toc10124"/>
      <w:r>
        <w:rPr>
          <w:rFonts w:hint="eastAsia"/>
          <w:highlight w:val="none"/>
        </w:rPr>
        <w:t>7.10.4楼地面防渗漏</w:t>
      </w:r>
      <w:bookmarkEnd w:id="841"/>
    </w:p>
    <w:p w14:paraId="50A8CE80">
      <w:pPr>
        <w:pStyle w:val="6"/>
        <w:numPr>
          <w:ilvl w:val="3"/>
          <w:numId w:val="0"/>
        </w:numPr>
        <w:ind w:left="864" w:leftChars="100" w:hanging="624"/>
        <w:rPr>
          <w:highlight w:val="none"/>
        </w:rPr>
      </w:pPr>
      <w:r>
        <w:rPr>
          <w:rFonts w:hint="eastAsia"/>
          <w:highlight w:val="none"/>
        </w:rPr>
        <w:t xml:space="preserve">7.10.4.1 </w:t>
      </w:r>
      <w:r>
        <w:rPr>
          <w:highlight w:val="none"/>
        </w:rPr>
        <w:t>卫生间</w:t>
      </w:r>
      <w:r>
        <w:rPr>
          <w:rFonts w:hint="eastAsia"/>
          <w:highlight w:val="none"/>
        </w:rPr>
        <w:t>防渗漏要求</w:t>
      </w:r>
    </w:p>
    <w:p w14:paraId="45F6F6D5">
      <w:pPr>
        <w:numPr>
          <w:ilvl w:val="1"/>
          <w:numId w:val="67"/>
        </w:numPr>
        <w:ind w:firstLine="480"/>
        <w:rPr>
          <w:highlight w:val="none"/>
        </w:rPr>
      </w:pPr>
      <w:r>
        <w:rPr>
          <w:rFonts w:hint="eastAsia"/>
          <w:highlight w:val="none"/>
        </w:rPr>
        <w:t>基层处理</w:t>
      </w:r>
      <w:r>
        <w:rPr>
          <w:highlight w:val="none"/>
        </w:rPr>
        <w:t>：</w:t>
      </w:r>
      <w:r>
        <w:rPr>
          <w:rFonts w:hint="eastAsia"/>
          <w:highlight w:val="none"/>
        </w:rPr>
        <w:t>总承包人负责完成管根</w:t>
      </w:r>
      <w:r>
        <w:rPr>
          <w:highlight w:val="none"/>
        </w:rPr>
        <w:t>周围预留</w:t>
      </w:r>
      <w:r>
        <w:rPr>
          <w:rFonts w:hint="eastAsia"/>
          <w:highlight w:val="none"/>
        </w:rPr>
        <w:t>20</w:t>
      </w:r>
      <w:r>
        <w:rPr>
          <w:highlight w:val="none"/>
        </w:rPr>
        <w:t>mm</w:t>
      </w:r>
      <w:r>
        <w:rPr>
          <w:rFonts w:hint="eastAsia"/>
          <w:highlight w:val="none"/>
        </w:rPr>
        <w:t>深凹</w:t>
      </w:r>
      <w:r>
        <w:rPr>
          <w:highlight w:val="none"/>
        </w:rPr>
        <w:t>槽</w:t>
      </w:r>
      <w:r>
        <w:rPr>
          <w:rFonts w:hint="eastAsia"/>
          <w:highlight w:val="none"/>
        </w:rPr>
        <w:t>、基层</w:t>
      </w:r>
      <w:r>
        <w:rPr>
          <w:highlight w:val="none"/>
        </w:rPr>
        <w:t>清</w:t>
      </w:r>
      <w:r>
        <w:rPr>
          <w:rFonts w:hint="eastAsia"/>
          <w:highlight w:val="none"/>
        </w:rPr>
        <w:t>理、缺陷修补、打磨平整，修补后基层应无空鼓、开裂情况发生（包括堵</w:t>
      </w:r>
      <w:r>
        <w:rPr>
          <w:highlight w:val="none"/>
        </w:rPr>
        <w:t>漏、注浆等</w:t>
      </w:r>
      <w:r>
        <w:rPr>
          <w:rFonts w:hint="eastAsia"/>
          <w:highlight w:val="none"/>
        </w:rPr>
        <w:t>）等</w:t>
      </w:r>
      <w:r>
        <w:rPr>
          <w:highlight w:val="none"/>
        </w:rPr>
        <w:t>工作</w:t>
      </w:r>
      <w:r>
        <w:rPr>
          <w:rFonts w:hint="eastAsia"/>
          <w:highlight w:val="none"/>
        </w:rPr>
        <w:t>，基层含水率应小于9%。</w:t>
      </w:r>
    </w:p>
    <w:p w14:paraId="15283EA9">
      <w:pPr>
        <w:numPr>
          <w:ilvl w:val="1"/>
          <w:numId w:val="67"/>
        </w:numPr>
        <w:ind w:firstLine="480"/>
        <w:rPr>
          <w:highlight w:val="none"/>
        </w:rPr>
      </w:pPr>
      <w:r>
        <w:rPr>
          <w:rFonts w:hint="eastAsia"/>
          <w:highlight w:val="none"/>
        </w:rPr>
        <w:t>防水施工</w:t>
      </w:r>
    </w:p>
    <w:p w14:paraId="5AAE1C35">
      <w:pPr>
        <w:numPr>
          <w:ilvl w:val="0"/>
          <w:numId w:val="68"/>
        </w:numPr>
        <w:ind w:firstLine="480"/>
        <w:rPr>
          <w:highlight w:val="none"/>
        </w:rPr>
      </w:pPr>
      <w:r>
        <w:rPr>
          <w:rFonts w:hint="eastAsia"/>
          <w:highlight w:val="none"/>
        </w:rPr>
        <w:t>阴角</w:t>
      </w:r>
      <w:r>
        <w:rPr>
          <w:highlight w:val="none"/>
        </w:rPr>
        <w:t>部位采用聚合物水泥砂</w:t>
      </w:r>
      <w:r>
        <w:rPr>
          <w:rFonts w:hint="eastAsia"/>
          <w:highlight w:val="none"/>
        </w:rPr>
        <w:t>浆</w:t>
      </w:r>
      <w:r>
        <w:rPr>
          <w:highlight w:val="none"/>
        </w:rPr>
        <w:t>抹成</w:t>
      </w:r>
      <w:r>
        <w:rPr>
          <w:rFonts w:hint="eastAsia"/>
          <w:highlight w:val="none"/>
        </w:rPr>
        <w:t>圆弧角</w:t>
      </w:r>
      <w:r>
        <w:rPr>
          <w:highlight w:val="none"/>
        </w:rPr>
        <w:t>。</w:t>
      </w:r>
    </w:p>
    <w:p w14:paraId="20EA4933">
      <w:pPr>
        <w:numPr>
          <w:ilvl w:val="0"/>
          <w:numId w:val="68"/>
        </w:numPr>
        <w:ind w:firstLine="480"/>
        <w:rPr>
          <w:highlight w:val="none"/>
        </w:rPr>
      </w:pPr>
      <w:r>
        <w:rPr>
          <w:rFonts w:hint="eastAsia"/>
          <w:highlight w:val="none"/>
        </w:rPr>
        <w:t>管周、管井、地漏、烟风道、墙角处采用金汤水不漏刚性封堵，管道周边直径300mm范围内涂刷一道1.5厚单组份聚氨酯防水层，内加玻璃纤维布；阴角部位：涂刷1.5厚的单组份聚氨酯涂膜，两边长各150mm，内加玻璃纤维布。</w:t>
      </w:r>
    </w:p>
    <w:p w14:paraId="69DB9B4D">
      <w:pPr>
        <w:numPr>
          <w:ilvl w:val="0"/>
          <w:numId w:val="68"/>
        </w:numPr>
        <w:ind w:firstLine="480"/>
        <w:rPr>
          <w:highlight w:val="none"/>
        </w:rPr>
      </w:pPr>
      <w:r>
        <w:rPr>
          <w:rFonts w:hint="eastAsia"/>
          <w:highlight w:val="none"/>
        </w:rPr>
        <w:t>防水层应与基层粘结牢固、涂刷均匀，无流淌、皱折、鼓泡等缺陷。</w:t>
      </w:r>
    </w:p>
    <w:p w14:paraId="79950705">
      <w:pPr>
        <w:numPr>
          <w:ilvl w:val="0"/>
          <w:numId w:val="68"/>
        </w:numPr>
        <w:ind w:firstLine="480"/>
        <w:rPr>
          <w:highlight w:val="none"/>
        </w:rPr>
      </w:pPr>
      <w:r>
        <w:rPr>
          <w:rFonts w:hint="eastAsia"/>
          <w:highlight w:val="none"/>
        </w:rPr>
        <w:t>防水层厚度、</w:t>
      </w:r>
      <w:r>
        <w:rPr>
          <w:highlight w:val="none"/>
        </w:rPr>
        <w:t>上返高度等</w:t>
      </w:r>
      <w:r>
        <w:rPr>
          <w:rFonts w:hint="eastAsia"/>
          <w:highlight w:val="none"/>
        </w:rPr>
        <w:t>应符合设计图纸要求。</w:t>
      </w:r>
    </w:p>
    <w:p w14:paraId="6EF9F38D">
      <w:pPr>
        <w:numPr>
          <w:ilvl w:val="1"/>
          <w:numId w:val="67"/>
        </w:numPr>
        <w:ind w:firstLine="480"/>
        <w:rPr>
          <w:highlight w:val="none"/>
        </w:rPr>
      </w:pPr>
      <w:r>
        <w:rPr>
          <w:rFonts w:hint="eastAsia"/>
          <w:highlight w:val="none"/>
        </w:rPr>
        <w:t>穿楼板管洞封堵</w:t>
      </w:r>
    </w:p>
    <w:p w14:paraId="3A32DA4B">
      <w:pPr>
        <w:numPr>
          <w:ilvl w:val="0"/>
          <w:numId w:val="69"/>
        </w:numPr>
        <w:ind w:firstLine="480"/>
        <w:rPr>
          <w:highlight w:val="none"/>
        </w:rPr>
      </w:pPr>
      <w:r>
        <w:rPr>
          <w:rFonts w:hint="eastAsia"/>
          <w:highlight w:val="none"/>
        </w:rPr>
        <w:t>浇筑混凝土前，洞口周边应凿毛，用清水冲洗干净并涂刷加胶水泥浆作粘结层，保证后浇混凝土密实。</w:t>
      </w:r>
    </w:p>
    <w:p w14:paraId="317F3F31">
      <w:pPr>
        <w:numPr>
          <w:ilvl w:val="0"/>
          <w:numId w:val="69"/>
        </w:numPr>
        <w:ind w:firstLine="480"/>
        <w:rPr>
          <w:highlight w:val="none"/>
        </w:rPr>
      </w:pPr>
      <w:r>
        <w:rPr>
          <w:rFonts w:hint="eastAsia"/>
          <w:highlight w:val="none"/>
        </w:rPr>
        <w:t>模板及支撑系统应牢固，宜采用底部顶撑方式，不得穿铁丝。</w:t>
      </w:r>
    </w:p>
    <w:p w14:paraId="288940F3">
      <w:pPr>
        <w:numPr>
          <w:ilvl w:val="1"/>
          <w:numId w:val="67"/>
        </w:numPr>
        <w:ind w:firstLine="480"/>
        <w:rPr>
          <w:highlight w:val="none"/>
        </w:rPr>
      </w:pPr>
      <w:r>
        <w:rPr>
          <w:rFonts w:hint="eastAsia"/>
          <w:highlight w:val="none"/>
        </w:rPr>
        <w:t>合理安排施工工序：机电管道和设备安装完成后，再进行防水层施工，防止施工工序倒置而造成防水层的破坏。</w:t>
      </w:r>
    </w:p>
    <w:p w14:paraId="3F88C890">
      <w:pPr>
        <w:numPr>
          <w:ilvl w:val="1"/>
          <w:numId w:val="67"/>
        </w:numPr>
        <w:ind w:firstLine="480"/>
        <w:rPr>
          <w:highlight w:val="none"/>
        </w:rPr>
      </w:pPr>
      <w:r>
        <w:rPr>
          <w:rFonts w:hint="eastAsia"/>
          <w:highlight w:val="none"/>
        </w:rPr>
        <w:t>排水坡度：施工完成后，饰面层排水坡度和坡向应满足设计要求，不得有倒泛水和积水现象。管道及地漏安装完成后，应及时封闭端部以免后期施工造成堵塞。</w:t>
      </w:r>
    </w:p>
    <w:p w14:paraId="7E6D53A2">
      <w:pPr>
        <w:numPr>
          <w:ilvl w:val="1"/>
          <w:numId w:val="67"/>
        </w:numPr>
        <w:ind w:firstLine="480"/>
        <w:rPr>
          <w:highlight w:val="none"/>
        </w:rPr>
      </w:pPr>
      <w:r>
        <w:rPr>
          <w:rFonts w:hint="eastAsia"/>
          <w:highlight w:val="none"/>
        </w:rPr>
        <w:t>蓄水试验：所有卫生间均应进行蓄水试验。结构洞口封堵完成后应做一次蓄水试验，蓄水时间不小于6小时；防水完成后，防水单位应再做一次蓄水试验，蓄水时间不小于24小时。蓄水面应比楼板与导墙相接处高出20mm以上。</w:t>
      </w:r>
    </w:p>
    <w:p w14:paraId="21AA6F25">
      <w:pPr>
        <w:pStyle w:val="6"/>
        <w:numPr>
          <w:ilvl w:val="3"/>
          <w:numId w:val="0"/>
        </w:numPr>
        <w:ind w:left="864" w:leftChars="100" w:hanging="624"/>
        <w:rPr>
          <w:highlight w:val="none"/>
        </w:rPr>
      </w:pPr>
      <w:bookmarkStart w:id="842" w:name="_Toc333252130"/>
      <w:r>
        <w:rPr>
          <w:rFonts w:hint="eastAsia"/>
          <w:highlight w:val="none"/>
        </w:rPr>
        <w:t xml:space="preserve">7.10.4.2 </w:t>
      </w:r>
      <w:r>
        <w:rPr>
          <w:highlight w:val="none"/>
        </w:rPr>
        <w:t>厨房</w:t>
      </w:r>
      <w:bookmarkEnd w:id="842"/>
      <w:r>
        <w:rPr>
          <w:rFonts w:hint="eastAsia"/>
          <w:highlight w:val="none"/>
        </w:rPr>
        <w:t>防渗漏要求</w:t>
      </w:r>
    </w:p>
    <w:p w14:paraId="32BC990A">
      <w:pPr>
        <w:numPr>
          <w:ilvl w:val="1"/>
          <w:numId w:val="70"/>
        </w:numPr>
        <w:ind w:firstLine="480"/>
        <w:rPr>
          <w:highlight w:val="none"/>
        </w:rPr>
      </w:pPr>
      <w:r>
        <w:rPr>
          <w:rFonts w:hint="eastAsia"/>
          <w:highlight w:val="none"/>
        </w:rPr>
        <w:t>导墙设置：厨房间周边应设置混凝土导墙，混凝土导墙上返高度不小于结构完成面300mm；</w:t>
      </w:r>
    </w:p>
    <w:p w14:paraId="1C228084">
      <w:pPr>
        <w:numPr>
          <w:ilvl w:val="1"/>
          <w:numId w:val="70"/>
        </w:numPr>
        <w:ind w:firstLine="480"/>
        <w:rPr>
          <w:highlight w:val="none"/>
        </w:rPr>
      </w:pPr>
      <w:r>
        <w:rPr>
          <w:rFonts w:hint="eastAsia"/>
          <w:highlight w:val="none"/>
        </w:rPr>
        <w:t>烟道：反坎设置应符合设计图纸要求。</w:t>
      </w:r>
    </w:p>
    <w:p w14:paraId="3CFF2588">
      <w:pPr>
        <w:pStyle w:val="6"/>
        <w:numPr>
          <w:ilvl w:val="3"/>
          <w:numId w:val="0"/>
        </w:numPr>
        <w:ind w:left="864" w:leftChars="100" w:hanging="624"/>
        <w:rPr>
          <w:highlight w:val="none"/>
        </w:rPr>
      </w:pPr>
      <w:bookmarkStart w:id="843" w:name="_Toc333252131"/>
      <w:r>
        <w:rPr>
          <w:rFonts w:hint="eastAsia"/>
          <w:highlight w:val="none"/>
        </w:rPr>
        <w:t xml:space="preserve">7.10.4.3 </w:t>
      </w:r>
      <w:r>
        <w:rPr>
          <w:highlight w:val="none"/>
        </w:rPr>
        <w:t>阳台及空中花园</w:t>
      </w:r>
      <w:bookmarkEnd w:id="843"/>
      <w:r>
        <w:rPr>
          <w:rFonts w:hint="eastAsia"/>
          <w:highlight w:val="none"/>
        </w:rPr>
        <w:t>防渗漏深化设计</w:t>
      </w:r>
    </w:p>
    <w:p w14:paraId="23B91C52">
      <w:pPr>
        <w:numPr>
          <w:ilvl w:val="1"/>
          <w:numId w:val="71"/>
        </w:numPr>
        <w:ind w:firstLine="480"/>
        <w:rPr>
          <w:highlight w:val="none"/>
        </w:rPr>
      </w:pPr>
      <w:r>
        <w:rPr>
          <w:rFonts w:hint="eastAsia"/>
          <w:highlight w:val="none"/>
        </w:rPr>
        <w:t>结构降板：阳台及空中花园应设置结构降板，结构降板高度应充分考虑</w:t>
      </w:r>
      <w:r>
        <w:rPr>
          <w:highlight w:val="none"/>
        </w:rPr>
        <w:t>阳台</w:t>
      </w:r>
      <w:r>
        <w:rPr>
          <w:rFonts w:hint="eastAsia"/>
          <w:highlight w:val="none"/>
        </w:rPr>
        <w:t>面积</w:t>
      </w:r>
      <w:r>
        <w:rPr>
          <w:highlight w:val="none"/>
        </w:rPr>
        <w:t>大小</w:t>
      </w:r>
      <w:r>
        <w:rPr>
          <w:rFonts w:hint="eastAsia"/>
          <w:highlight w:val="none"/>
        </w:rPr>
        <w:t>、装修面层厚度、</w:t>
      </w:r>
      <w:r>
        <w:rPr>
          <w:highlight w:val="none"/>
        </w:rPr>
        <w:t>阳台朝向等因素</w:t>
      </w:r>
      <w:r>
        <w:rPr>
          <w:rFonts w:hint="eastAsia"/>
          <w:highlight w:val="none"/>
        </w:rPr>
        <w:t>。</w:t>
      </w:r>
    </w:p>
    <w:p w14:paraId="3C00F82D">
      <w:pPr>
        <w:numPr>
          <w:ilvl w:val="1"/>
          <w:numId w:val="71"/>
        </w:numPr>
        <w:ind w:firstLine="480"/>
        <w:rPr>
          <w:highlight w:val="none"/>
        </w:rPr>
      </w:pPr>
      <w:r>
        <w:rPr>
          <w:rFonts w:hint="eastAsia"/>
          <w:highlight w:val="none"/>
        </w:rPr>
        <w:t>结构梁预留缺口：有水管、线管从地面出阳台时，应考虑在门口处结构梁上预留缺口，避免管线安装时打凿破坏防水层。</w:t>
      </w:r>
    </w:p>
    <w:p w14:paraId="564D52BC">
      <w:pPr>
        <w:numPr>
          <w:ilvl w:val="1"/>
          <w:numId w:val="71"/>
        </w:numPr>
        <w:ind w:firstLine="480"/>
        <w:rPr>
          <w:highlight w:val="none"/>
        </w:rPr>
      </w:pPr>
      <w:r>
        <w:rPr>
          <w:rFonts w:hint="eastAsia"/>
          <w:highlight w:val="none"/>
        </w:rPr>
        <w:t>混凝土导墙设置：与阳台相连的砌筑外墙下部应设置混凝土导墙，导墙高度不小于室内结构</w:t>
      </w:r>
      <w:r>
        <w:rPr>
          <w:highlight w:val="none"/>
        </w:rPr>
        <w:t>面</w:t>
      </w:r>
      <w:r>
        <w:rPr>
          <w:rFonts w:hint="eastAsia"/>
          <w:highlight w:val="none"/>
        </w:rPr>
        <w:t>300mm。</w:t>
      </w:r>
    </w:p>
    <w:p w14:paraId="1E652600">
      <w:pPr>
        <w:numPr>
          <w:ilvl w:val="1"/>
          <w:numId w:val="71"/>
        </w:numPr>
        <w:ind w:firstLine="480"/>
        <w:rPr>
          <w:highlight w:val="none"/>
        </w:rPr>
      </w:pPr>
      <w:r>
        <w:rPr>
          <w:rFonts w:hint="eastAsia"/>
          <w:highlight w:val="none"/>
        </w:rPr>
        <w:t>阳台挡坎：阳台栏杆（板）下部应设置高度不小于1</w:t>
      </w:r>
      <w:r>
        <w:rPr>
          <w:highlight w:val="none"/>
        </w:rPr>
        <w:t>5</w:t>
      </w:r>
      <w:r>
        <w:rPr>
          <w:rFonts w:hint="eastAsia"/>
          <w:highlight w:val="none"/>
        </w:rPr>
        <w:t>0mm（阳台结构</w:t>
      </w:r>
      <w:r>
        <w:rPr>
          <w:highlight w:val="none"/>
        </w:rPr>
        <w:t>面以上</w:t>
      </w:r>
      <w:r>
        <w:rPr>
          <w:rFonts w:hint="eastAsia"/>
          <w:highlight w:val="none"/>
        </w:rPr>
        <w:t>）的混凝土挡坎，而不应采用砌体后砌。</w:t>
      </w:r>
    </w:p>
    <w:p w14:paraId="36E32C5D">
      <w:pPr>
        <w:numPr>
          <w:ilvl w:val="1"/>
          <w:numId w:val="71"/>
        </w:numPr>
        <w:ind w:firstLine="480"/>
        <w:rPr>
          <w:highlight w:val="none"/>
        </w:rPr>
      </w:pPr>
      <w:r>
        <w:rPr>
          <w:rFonts w:hint="eastAsia"/>
          <w:highlight w:val="none"/>
        </w:rPr>
        <w:t>防水层设计：阳台及空中花园楼板面宜设计防水层。若阳台、空中花园不做整体防水层且为砌筑外墙，应在阳台、空中花园与外墙交接部位设置防水层，水平方向300mm宽，上返300mm高。</w:t>
      </w:r>
    </w:p>
    <w:p w14:paraId="410D12B5">
      <w:pPr>
        <w:numPr>
          <w:ilvl w:val="1"/>
          <w:numId w:val="71"/>
        </w:numPr>
        <w:ind w:firstLine="480"/>
        <w:rPr>
          <w:highlight w:val="none"/>
        </w:rPr>
      </w:pPr>
      <w:r>
        <w:rPr>
          <w:rFonts w:hint="eastAsia"/>
          <w:highlight w:val="none"/>
        </w:rPr>
        <w:t>找坡设计：阳台、空中花园地面应进行双向找坡设计，坡向地漏或排水口，坡度不小于</w:t>
      </w:r>
      <w:r>
        <w:rPr>
          <w:highlight w:val="none"/>
        </w:rPr>
        <w:t>1</w:t>
      </w:r>
      <w:r>
        <w:rPr>
          <w:rFonts w:hint="eastAsia"/>
          <w:highlight w:val="none"/>
        </w:rPr>
        <w:t>%。</w:t>
      </w:r>
    </w:p>
    <w:p w14:paraId="50024CF5">
      <w:pPr>
        <w:numPr>
          <w:ilvl w:val="1"/>
          <w:numId w:val="71"/>
        </w:numPr>
        <w:ind w:firstLine="480"/>
        <w:rPr>
          <w:highlight w:val="none"/>
        </w:rPr>
      </w:pPr>
      <w:r>
        <w:rPr>
          <w:rFonts w:hint="eastAsia"/>
          <w:highlight w:val="none"/>
        </w:rPr>
        <w:t>地漏设置：阳台地漏应设置在远离室内的一侧，且地漏尽量设置为外露，便于清理。地漏弯头如包在吊顶或幕墙内时，应预留检修口。</w:t>
      </w:r>
    </w:p>
    <w:p w14:paraId="65EB35CB">
      <w:pPr>
        <w:numPr>
          <w:ilvl w:val="1"/>
          <w:numId w:val="71"/>
        </w:numPr>
        <w:ind w:firstLine="480"/>
        <w:rPr>
          <w:highlight w:val="none"/>
        </w:rPr>
      </w:pPr>
      <w:r>
        <w:rPr>
          <w:rFonts w:hint="eastAsia"/>
          <w:highlight w:val="none"/>
        </w:rPr>
        <w:t>门框下口：阳台和空中花园的外门框下口无结构挡水坎设计时，门框下口应考虑采用干硬性防水砂浆塞缝，慎用防水铝片、防水胶皮等与混凝土结构贴合度不好的防水设计方案。</w:t>
      </w:r>
    </w:p>
    <w:p w14:paraId="4A6690A6">
      <w:pPr>
        <w:pStyle w:val="6"/>
        <w:numPr>
          <w:ilvl w:val="3"/>
          <w:numId w:val="0"/>
        </w:numPr>
        <w:ind w:left="864" w:leftChars="100" w:hanging="624"/>
        <w:rPr>
          <w:highlight w:val="none"/>
        </w:rPr>
      </w:pPr>
      <w:r>
        <w:rPr>
          <w:rFonts w:hint="eastAsia"/>
          <w:highlight w:val="none"/>
        </w:rPr>
        <w:t xml:space="preserve">7.10.4.4 </w:t>
      </w:r>
      <w:r>
        <w:rPr>
          <w:highlight w:val="none"/>
        </w:rPr>
        <w:t>阳台及空中花园</w:t>
      </w:r>
      <w:r>
        <w:rPr>
          <w:rFonts w:hint="eastAsia"/>
          <w:highlight w:val="none"/>
        </w:rPr>
        <w:t>防渗漏要求</w:t>
      </w:r>
    </w:p>
    <w:p w14:paraId="2EBBB282">
      <w:pPr>
        <w:numPr>
          <w:ilvl w:val="1"/>
          <w:numId w:val="72"/>
        </w:numPr>
        <w:ind w:firstLine="480"/>
        <w:rPr>
          <w:highlight w:val="none"/>
        </w:rPr>
      </w:pPr>
      <w:r>
        <w:rPr>
          <w:rFonts w:hint="eastAsia"/>
          <w:highlight w:val="none"/>
        </w:rPr>
        <w:t>阳台门塞缝：门框四周</w:t>
      </w:r>
      <w:r>
        <w:rPr>
          <w:highlight w:val="none"/>
        </w:rPr>
        <w:t>应</w:t>
      </w:r>
      <w:r>
        <w:rPr>
          <w:rFonts w:hint="eastAsia"/>
          <w:highlight w:val="none"/>
        </w:rPr>
        <w:t>用干硬</w:t>
      </w:r>
      <w:r>
        <w:rPr>
          <w:highlight w:val="none"/>
        </w:rPr>
        <w:t>性防水</w:t>
      </w:r>
      <w:r>
        <w:rPr>
          <w:rFonts w:hint="eastAsia"/>
          <w:highlight w:val="none"/>
        </w:rPr>
        <w:t>砂</w:t>
      </w:r>
      <w:r>
        <w:rPr>
          <w:highlight w:val="none"/>
        </w:rPr>
        <w:t>浆</w:t>
      </w:r>
      <w:r>
        <w:rPr>
          <w:rFonts w:hint="eastAsia"/>
          <w:highlight w:val="none"/>
        </w:rPr>
        <w:t>塞缝，再施工室内找平层。</w:t>
      </w:r>
    </w:p>
    <w:p w14:paraId="294157AA">
      <w:pPr>
        <w:numPr>
          <w:ilvl w:val="1"/>
          <w:numId w:val="72"/>
        </w:numPr>
        <w:ind w:firstLine="480"/>
        <w:rPr>
          <w:highlight w:val="none"/>
        </w:rPr>
      </w:pPr>
      <w:r>
        <w:rPr>
          <w:rFonts w:hint="eastAsia"/>
          <w:highlight w:val="none"/>
        </w:rPr>
        <w:t>蓄水试验：所有的阳台、空中花园均应在结构洞口封堵完成后做一次蓄水试验，蓄水时间不小于6小时。防水层施工完成后防水单位再做一次蓄水试验，蓄水时间不小于24小时。</w:t>
      </w:r>
    </w:p>
    <w:p w14:paraId="5FAD34AF">
      <w:pPr>
        <w:pStyle w:val="5"/>
        <w:numPr>
          <w:ilvl w:val="2"/>
          <w:numId w:val="0"/>
        </w:numPr>
        <w:ind w:left="624" w:hanging="624"/>
        <w:rPr>
          <w:highlight w:val="none"/>
        </w:rPr>
      </w:pPr>
      <w:bookmarkStart w:id="844" w:name="_Toc30030"/>
      <w:r>
        <w:rPr>
          <w:rFonts w:hint="eastAsia"/>
          <w:highlight w:val="none"/>
        </w:rPr>
        <w:t>7.10.5屋面防渗漏</w:t>
      </w:r>
      <w:bookmarkEnd w:id="844"/>
    </w:p>
    <w:p w14:paraId="3E070038">
      <w:pPr>
        <w:pStyle w:val="6"/>
        <w:numPr>
          <w:ilvl w:val="3"/>
          <w:numId w:val="0"/>
        </w:numPr>
        <w:ind w:left="864" w:leftChars="100" w:hanging="624"/>
        <w:rPr>
          <w:highlight w:val="none"/>
        </w:rPr>
      </w:pPr>
      <w:r>
        <w:rPr>
          <w:rFonts w:hint="eastAsia"/>
          <w:highlight w:val="none"/>
        </w:rPr>
        <w:t>7.10.5.1 屋面防水总体原则</w:t>
      </w:r>
    </w:p>
    <w:p w14:paraId="2B199CDB">
      <w:pPr>
        <w:ind w:firstLine="480"/>
        <w:rPr>
          <w:highlight w:val="none"/>
        </w:rPr>
      </w:pPr>
      <w:r>
        <w:rPr>
          <w:rFonts w:hint="eastAsia"/>
          <w:highlight w:val="none"/>
        </w:rPr>
        <w:t>屋面防水宜防排结合，坡屋面排重于防，平屋面防重于排。</w:t>
      </w:r>
    </w:p>
    <w:p w14:paraId="46FFC0DA">
      <w:pPr>
        <w:pStyle w:val="6"/>
        <w:numPr>
          <w:ilvl w:val="3"/>
          <w:numId w:val="0"/>
        </w:numPr>
        <w:ind w:left="864" w:leftChars="100" w:hanging="624"/>
        <w:rPr>
          <w:highlight w:val="none"/>
        </w:rPr>
      </w:pPr>
      <w:r>
        <w:rPr>
          <w:rFonts w:hint="eastAsia"/>
          <w:highlight w:val="none"/>
        </w:rPr>
        <w:t>7.10.5.2 设计要求</w:t>
      </w:r>
    </w:p>
    <w:p w14:paraId="1ADDD740">
      <w:pPr>
        <w:numPr>
          <w:ilvl w:val="1"/>
          <w:numId w:val="73"/>
        </w:numPr>
        <w:spacing w:before="120" w:beforeLines="50" w:after="120" w:afterLines="50"/>
        <w:ind w:left="425" w:leftChars="177" w:firstLine="480"/>
        <w:rPr>
          <w:bCs/>
          <w:highlight w:val="none"/>
        </w:rPr>
      </w:pPr>
      <w:r>
        <w:rPr>
          <w:rFonts w:hint="eastAsia"/>
          <w:bCs/>
          <w:highlight w:val="none"/>
        </w:rPr>
        <w:t>混凝土导墙：所有出屋面竖向结构（女儿墙、烟道、机房、梯间、风口等）位置砌筑墙体下须设置不低于建筑完成面（找坡后）300mm的混凝土导墙，且与平面结构（天窗、雨棚）交接处均应加混凝土泛水以便于防水卷材施工。</w:t>
      </w:r>
    </w:p>
    <w:p w14:paraId="237455B4">
      <w:pPr>
        <w:numPr>
          <w:ilvl w:val="1"/>
          <w:numId w:val="73"/>
        </w:numPr>
        <w:spacing w:before="120" w:beforeLines="50" w:after="120" w:afterLines="50"/>
        <w:ind w:left="425" w:leftChars="177" w:firstLine="480"/>
        <w:rPr>
          <w:bCs/>
          <w:highlight w:val="none"/>
        </w:rPr>
      </w:pPr>
      <w:r>
        <w:rPr>
          <w:rFonts w:hint="eastAsia"/>
          <w:bCs/>
          <w:highlight w:val="none"/>
        </w:rPr>
        <w:t>平屋面找坡：采用建筑找坡时，不宜采用珍珠岩或陶粒混凝土。找坡层应保证坡向正确，坡度及最薄处厚度满足</w:t>
      </w:r>
      <w:r>
        <w:rPr>
          <w:bCs/>
          <w:highlight w:val="none"/>
        </w:rPr>
        <w:t>设计要</w:t>
      </w:r>
      <w:r>
        <w:rPr>
          <w:rFonts w:hint="eastAsia"/>
          <w:bCs/>
          <w:highlight w:val="none"/>
        </w:rPr>
        <w:t>求。</w:t>
      </w:r>
    </w:p>
    <w:p w14:paraId="18F34370">
      <w:pPr>
        <w:numPr>
          <w:ilvl w:val="1"/>
          <w:numId w:val="73"/>
        </w:numPr>
        <w:spacing w:before="120" w:beforeLines="50" w:after="120" w:afterLines="50"/>
        <w:ind w:left="425" w:leftChars="177" w:firstLine="480"/>
        <w:rPr>
          <w:bCs/>
          <w:highlight w:val="none"/>
        </w:rPr>
      </w:pPr>
      <w:r>
        <w:rPr>
          <w:rFonts w:hint="eastAsia"/>
          <w:bCs/>
          <w:highlight w:val="none"/>
        </w:rPr>
        <w:t>防水层：女儿墙周边防水卷材上返高度应保证设计要求。</w:t>
      </w:r>
    </w:p>
    <w:p w14:paraId="4B5D5274">
      <w:pPr>
        <w:numPr>
          <w:ilvl w:val="1"/>
          <w:numId w:val="73"/>
        </w:numPr>
        <w:spacing w:before="120" w:beforeLines="50" w:after="120" w:afterLines="50"/>
        <w:ind w:left="425" w:leftChars="177" w:firstLine="480"/>
        <w:rPr>
          <w:bCs/>
          <w:highlight w:val="none"/>
        </w:rPr>
      </w:pPr>
      <w:r>
        <w:rPr>
          <w:rFonts w:hint="eastAsia"/>
          <w:bCs/>
          <w:highlight w:val="none"/>
        </w:rPr>
        <w:t>屋面建筑排水：合理确定排水坡度及排水方向，避免局部积水；应绘制屋面有组织排水深化设计图。</w:t>
      </w:r>
    </w:p>
    <w:p w14:paraId="10F7D718">
      <w:pPr>
        <w:pStyle w:val="6"/>
        <w:numPr>
          <w:ilvl w:val="3"/>
          <w:numId w:val="0"/>
        </w:numPr>
        <w:ind w:left="864" w:leftChars="100" w:hanging="624"/>
        <w:rPr>
          <w:highlight w:val="none"/>
        </w:rPr>
      </w:pPr>
      <w:r>
        <w:rPr>
          <w:rFonts w:hint="eastAsia"/>
          <w:highlight w:val="none"/>
        </w:rPr>
        <w:t>7.10.5.3 屋面防渗漏施工要求</w:t>
      </w:r>
    </w:p>
    <w:p w14:paraId="55EB7BB1">
      <w:pPr>
        <w:numPr>
          <w:ilvl w:val="1"/>
          <w:numId w:val="74"/>
        </w:numPr>
        <w:spacing w:before="120" w:beforeLines="50" w:after="120" w:afterLines="50"/>
        <w:ind w:left="425" w:leftChars="177" w:firstLine="480"/>
        <w:rPr>
          <w:highlight w:val="none"/>
        </w:rPr>
      </w:pPr>
      <w:r>
        <w:rPr>
          <w:rFonts w:hint="eastAsia"/>
          <w:highlight w:val="none"/>
        </w:rPr>
        <w:t>混凝土结构</w:t>
      </w:r>
    </w:p>
    <w:p w14:paraId="4C299B79">
      <w:pPr>
        <w:numPr>
          <w:ilvl w:val="0"/>
          <w:numId w:val="75"/>
        </w:numPr>
        <w:ind w:firstLine="480"/>
        <w:rPr>
          <w:highlight w:val="none"/>
        </w:rPr>
      </w:pPr>
      <w:r>
        <w:rPr>
          <w:rFonts w:hint="eastAsia"/>
          <w:highlight w:val="none"/>
        </w:rPr>
        <w:t>屋面混凝土结构应浇捣密实、压实收光，以保证结构自防水效果。</w:t>
      </w:r>
    </w:p>
    <w:p w14:paraId="2E12CFAF">
      <w:pPr>
        <w:numPr>
          <w:ilvl w:val="0"/>
          <w:numId w:val="75"/>
        </w:numPr>
        <w:ind w:firstLine="480"/>
        <w:rPr>
          <w:highlight w:val="none"/>
        </w:rPr>
      </w:pPr>
      <w:r>
        <w:rPr>
          <w:rFonts w:hint="eastAsia"/>
          <w:highlight w:val="none"/>
        </w:rPr>
        <w:t>混凝土导墙及混凝土结构女儿墙宜与屋面结构板一次性浇筑完成。</w:t>
      </w:r>
    </w:p>
    <w:p w14:paraId="5B88E74A">
      <w:pPr>
        <w:numPr>
          <w:ilvl w:val="0"/>
          <w:numId w:val="75"/>
        </w:numPr>
        <w:ind w:firstLine="480"/>
        <w:rPr>
          <w:highlight w:val="none"/>
        </w:rPr>
      </w:pPr>
      <w:r>
        <w:rPr>
          <w:rFonts w:hint="eastAsia"/>
          <w:highlight w:val="none"/>
        </w:rPr>
        <w:t>控制好混凝土结构找坡的坡向和坡度，保证最小找坡坡度不低于设计限值。</w:t>
      </w:r>
    </w:p>
    <w:p w14:paraId="54D583F8">
      <w:pPr>
        <w:numPr>
          <w:ilvl w:val="1"/>
          <w:numId w:val="74"/>
        </w:numPr>
        <w:spacing w:before="120" w:beforeLines="50" w:after="120" w:afterLines="50"/>
        <w:ind w:left="425" w:leftChars="177" w:firstLine="480"/>
        <w:rPr>
          <w:highlight w:val="none"/>
        </w:rPr>
      </w:pPr>
      <w:r>
        <w:rPr>
          <w:rFonts w:hint="eastAsia"/>
          <w:highlight w:val="none"/>
        </w:rPr>
        <w:t>基层处理</w:t>
      </w:r>
    </w:p>
    <w:p w14:paraId="3DDC17CB">
      <w:pPr>
        <w:numPr>
          <w:ilvl w:val="1"/>
          <w:numId w:val="74"/>
        </w:numPr>
        <w:spacing w:before="120" w:beforeLines="50" w:after="120" w:afterLines="50"/>
        <w:ind w:left="425" w:leftChars="177" w:firstLine="480"/>
        <w:rPr>
          <w:highlight w:val="none"/>
        </w:rPr>
      </w:pPr>
      <w:r>
        <w:rPr>
          <w:rFonts w:hint="eastAsia"/>
          <w:highlight w:val="none"/>
        </w:rPr>
        <w:t>在防水层施工前，对基层需进行处理，保证基层平整、无坑洼、无突出物。</w:t>
      </w:r>
    </w:p>
    <w:p w14:paraId="50103DA3">
      <w:pPr>
        <w:numPr>
          <w:ilvl w:val="1"/>
          <w:numId w:val="74"/>
        </w:numPr>
        <w:spacing w:before="120" w:beforeLines="50" w:after="120" w:afterLines="50"/>
        <w:ind w:left="425" w:leftChars="177" w:firstLine="480"/>
        <w:rPr>
          <w:highlight w:val="none"/>
        </w:rPr>
      </w:pPr>
      <w:r>
        <w:rPr>
          <w:rFonts w:hint="eastAsia"/>
          <w:highlight w:val="none"/>
        </w:rPr>
        <w:t>在管道根部、与平面交接的阴阳角部位应做成均匀一致、光滑平整的圆角，圆弧半径不小于50mm，并应在阴角部位设置防水附加层。</w:t>
      </w:r>
    </w:p>
    <w:p w14:paraId="54E6926F">
      <w:pPr>
        <w:numPr>
          <w:ilvl w:val="1"/>
          <w:numId w:val="74"/>
        </w:numPr>
        <w:spacing w:before="120" w:beforeLines="50" w:after="120" w:afterLines="50"/>
        <w:ind w:left="425" w:leftChars="177" w:firstLine="480"/>
        <w:rPr>
          <w:highlight w:val="none"/>
        </w:rPr>
      </w:pPr>
      <w:r>
        <w:rPr>
          <w:rFonts w:hint="eastAsia"/>
          <w:highlight w:val="none"/>
        </w:rPr>
        <w:t>防水施工</w:t>
      </w:r>
    </w:p>
    <w:p w14:paraId="0727EC92">
      <w:pPr>
        <w:numPr>
          <w:ilvl w:val="0"/>
          <w:numId w:val="76"/>
        </w:numPr>
        <w:ind w:firstLine="480"/>
        <w:rPr>
          <w:highlight w:val="none"/>
        </w:rPr>
      </w:pPr>
      <w:r>
        <w:rPr>
          <w:rFonts w:hint="eastAsia"/>
          <w:highlight w:val="none"/>
        </w:rPr>
        <w:t>屋面防水尽量整体施工，对搭设有外架的屋面尽量在外架拆除后进行防水施工，或将外架进行改造以保证防水施工的一体化。</w:t>
      </w:r>
    </w:p>
    <w:p w14:paraId="26F53DC7">
      <w:pPr>
        <w:numPr>
          <w:ilvl w:val="0"/>
          <w:numId w:val="76"/>
        </w:numPr>
        <w:ind w:firstLine="480"/>
        <w:rPr>
          <w:highlight w:val="none"/>
        </w:rPr>
      </w:pPr>
      <w:r>
        <w:rPr>
          <w:rFonts w:hint="eastAsia"/>
          <w:highlight w:val="none"/>
        </w:rPr>
        <w:t>应注重对防水层的成品保护。防水层验收合格后，应设专人负责成品保护工作。</w:t>
      </w:r>
    </w:p>
    <w:p w14:paraId="15DD14F1">
      <w:pPr>
        <w:numPr>
          <w:ilvl w:val="1"/>
          <w:numId w:val="74"/>
        </w:numPr>
        <w:spacing w:before="120" w:beforeLines="50" w:after="120" w:afterLines="50"/>
        <w:ind w:left="425" w:leftChars="177" w:firstLine="480"/>
        <w:rPr>
          <w:bCs/>
          <w:highlight w:val="none"/>
        </w:rPr>
      </w:pPr>
      <w:r>
        <w:rPr>
          <w:rFonts w:hint="eastAsia"/>
          <w:bCs/>
          <w:highlight w:val="none"/>
        </w:rPr>
        <w:t>刚性保护层</w:t>
      </w:r>
    </w:p>
    <w:p w14:paraId="0BBFF4B0">
      <w:pPr>
        <w:ind w:firstLine="480"/>
        <w:rPr>
          <w:highlight w:val="none"/>
        </w:rPr>
      </w:pPr>
      <w:r>
        <w:rPr>
          <w:rFonts w:hint="eastAsia"/>
          <w:highlight w:val="none"/>
        </w:rPr>
        <w:t>刚性保护层应在常温下养护不少于7天，不应有空鼓、松动、起砂、麻面、裂缝等缺陷。</w:t>
      </w:r>
    </w:p>
    <w:p w14:paraId="1979F702">
      <w:pPr>
        <w:pStyle w:val="6"/>
        <w:numPr>
          <w:ilvl w:val="3"/>
          <w:numId w:val="0"/>
        </w:numPr>
        <w:ind w:left="864" w:leftChars="100" w:hanging="624"/>
        <w:rPr>
          <w:highlight w:val="none"/>
        </w:rPr>
      </w:pPr>
      <w:r>
        <w:rPr>
          <w:rFonts w:hint="eastAsia"/>
          <w:highlight w:val="none"/>
        </w:rPr>
        <w:t>7.10.5.4 淋蓄水试验</w:t>
      </w:r>
    </w:p>
    <w:p w14:paraId="65486DAE">
      <w:pPr>
        <w:numPr>
          <w:ilvl w:val="1"/>
          <w:numId w:val="77"/>
        </w:numPr>
        <w:ind w:firstLine="480"/>
        <w:rPr>
          <w:highlight w:val="none"/>
        </w:rPr>
      </w:pPr>
      <w:r>
        <w:rPr>
          <w:rFonts w:hint="eastAsia"/>
          <w:highlight w:val="none"/>
        </w:rPr>
        <w:t>在施工屋面防水层前，平屋面应做结构闭水试验，斜屋面应做结构淋水试验，以检验屋面结构板及出屋面管道封堵处结构有无渗漏。结构板及管道封堵处有渗漏时应进行结构处理，确保结构无渗漏后方可进行防水层施工。</w:t>
      </w:r>
    </w:p>
    <w:p w14:paraId="68A604B6">
      <w:pPr>
        <w:numPr>
          <w:ilvl w:val="1"/>
          <w:numId w:val="77"/>
        </w:numPr>
        <w:ind w:firstLine="480"/>
        <w:rPr>
          <w:highlight w:val="none"/>
        </w:rPr>
      </w:pPr>
      <w:r>
        <w:rPr>
          <w:rFonts w:hint="eastAsia"/>
          <w:highlight w:val="none"/>
        </w:rPr>
        <w:t>屋面防水层施工完成后，平屋面应做24小时蓄水试验，斜屋面应做30分钟的淋水试验。</w:t>
      </w:r>
    </w:p>
    <w:p w14:paraId="5E6FC530">
      <w:pPr>
        <w:pStyle w:val="4"/>
        <w:numPr>
          <w:ilvl w:val="1"/>
          <w:numId w:val="0"/>
        </w:numPr>
        <w:ind w:left="624" w:hanging="624"/>
        <w:rPr>
          <w:highlight w:val="none"/>
        </w:rPr>
      </w:pPr>
      <w:bookmarkStart w:id="845" w:name="_Toc28754"/>
      <w:bookmarkStart w:id="846" w:name="_Toc19501"/>
      <w:bookmarkStart w:id="847" w:name="_Toc169722240"/>
      <w:bookmarkStart w:id="848" w:name="_Toc27353"/>
      <w:bookmarkStart w:id="849" w:name="_Toc32453"/>
      <w:bookmarkStart w:id="850" w:name="_Toc26474"/>
      <w:bookmarkStart w:id="851" w:name="_Toc179563011"/>
      <w:bookmarkStart w:id="852" w:name="_Toc10094"/>
      <w:r>
        <w:rPr>
          <w:rFonts w:hint="eastAsia"/>
          <w:highlight w:val="none"/>
        </w:rPr>
        <w:t>7.11高精砌块砌筑施工技术要求</w:t>
      </w:r>
      <w:bookmarkEnd w:id="845"/>
      <w:bookmarkEnd w:id="846"/>
      <w:bookmarkEnd w:id="847"/>
      <w:bookmarkEnd w:id="848"/>
      <w:r>
        <w:rPr>
          <w:rFonts w:hint="eastAsia"/>
          <w:highlight w:val="none"/>
        </w:rPr>
        <w:t>（如有）</w:t>
      </w:r>
      <w:bookmarkEnd w:id="849"/>
      <w:bookmarkEnd w:id="850"/>
      <w:bookmarkEnd w:id="851"/>
      <w:bookmarkEnd w:id="852"/>
    </w:p>
    <w:p w14:paraId="3E7121E4">
      <w:pPr>
        <w:pStyle w:val="5"/>
        <w:numPr>
          <w:ilvl w:val="2"/>
          <w:numId w:val="0"/>
        </w:numPr>
        <w:ind w:left="624" w:hanging="624"/>
        <w:rPr>
          <w:highlight w:val="none"/>
        </w:rPr>
      </w:pPr>
      <w:bookmarkStart w:id="853" w:name="_Toc14494"/>
      <w:r>
        <w:rPr>
          <w:rFonts w:hint="eastAsia"/>
          <w:highlight w:val="none"/>
        </w:rPr>
        <w:t>7.11.1</w:t>
      </w:r>
      <w:r>
        <w:rPr>
          <w:highlight w:val="none"/>
        </w:rPr>
        <w:t>专用粘结剂</w:t>
      </w:r>
      <w:bookmarkEnd w:id="853"/>
    </w:p>
    <w:p w14:paraId="11F6CAAA">
      <w:pPr>
        <w:pStyle w:val="6"/>
        <w:numPr>
          <w:ilvl w:val="3"/>
          <w:numId w:val="0"/>
        </w:numPr>
        <w:ind w:left="864" w:leftChars="100" w:hanging="624"/>
        <w:rPr>
          <w:highlight w:val="none"/>
        </w:rPr>
      </w:pPr>
      <w:r>
        <w:rPr>
          <w:rFonts w:hint="eastAsia"/>
          <w:highlight w:val="none"/>
        </w:rPr>
        <w:t>7.11.1.1</w:t>
      </w:r>
      <w:r>
        <w:rPr>
          <w:highlight w:val="none"/>
        </w:rPr>
        <w:t>砌筑砂浆采用专用粘结剂，对砌块进行干法施工,灰缝厚度3~5mm且饱满。粘结剂应使用电动工具搅拌均匀</w:t>
      </w:r>
      <w:r>
        <w:rPr>
          <w:rFonts w:hint="eastAsia"/>
          <w:highlight w:val="none"/>
        </w:rPr>
        <w:t>。</w:t>
      </w:r>
    </w:p>
    <w:p w14:paraId="2F9B7C77">
      <w:pPr>
        <w:pStyle w:val="6"/>
        <w:numPr>
          <w:ilvl w:val="3"/>
          <w:numId w:val="0"/>
        </w:numPr>
        <w:ind w:left="864" w:leftChars="100" w:hanging="624"/>
        <w:rPr>
          <w:highlight w:val="none"/>
        </w:rPr>
      </w:pPr>
      <w:r>
        <w:rPr>
          <w:rFonts w:hint="eastAsia"/>
          <w:highlight w:val="none"/>
        </w:rPr>
        <w:t>7.11.1.2</w:t>
      </w:r>
      <w:r>
        <w:rPr>
          <w:highlight w:val="none"/>
        </w:rPr>
        <w:t>随拌随用，拌合后宜在1</w:t>
      </w:r>
      <w:r>
        <w:rPr>
          <w:rFonts w:hint="eastAsia"/>
          <w:highlight w:val="none"/>
        </w:rPr>
        <w:t>小时</w:t>
      </w:r>
      <w:r>
        <w:rPr>
          <w:highlight w:val="none"/>
        </w:rPr>
        <w:t>内用完为限。使用粘结剂施工，不浇水湿润砌块</w:t>
      </w:r>
      <w:r>
        <w:rPr>
          <w:rFonts w:hint="eastAsia"/>
          <w:highlight w:val="none"/>
        </w:rPr>
        <w:t>。</w:t>
      </w:r>
    </w:p>
    <w:p w14:paraId="340E9142">
      <w:pPr>
        <w:pStyle w:val="5"/>
        <w:numPr>
          <w:ilvl w:val="2"/>
          <w:numId w:val="0"/>
        </w:numPr>
        <w:ind w:left="624" w:hanging="624"/>
        <w:rPr>
          <w:highlight w:val="none"/>
        </w:rPr>
      </w:pPr>
      <w:bookmarkStart w:id="854" w:name="_Toc24921"/>
      <w:r>
        <w:rPr>
          <w:rFonts w:hint="eastAsia"/>
          <w:highlight w:val="none"/>
        </w:rPr>
        <w:t>7.11.2</w:t>
      </w:r>
      <w:r>
        <w:rPr>
          <w:highlight w:val="none"/>
        </w:rPr>
        <w:t>专用砌块</w:t>
      </w:r>
      <w:bookmarkEnd w:id="854"/>
    </w:p>
    <w:p w14:paraId="46FE7143">
      <w:pPr>
        <w:pStyle w:val="6"/>
        <w:numPr>
          <w:ilvl w:val="3"/>
          <w:numId w:val="0"/>
        </w:numPr>
        <w:ind w:left="864" w:leftChars="100" w:hanging="624"/>
        <w:rPr>
          <w:highlight w:val="none"/>
        </w:rPr>
      </w:pPr>
      <w:r>
        <w:rPr>
          <w:rFonts w:hint="eastAsia"/>
          <w:highlight w:val="none"/>
        </w:rPr>
        <w:t>7.11.2.1</w:t>
      </w:r>
      <w:r>
        <w:rPr>
          <w:highlight w:val="none"/>
        </w:rPr>
        <w:t>砌块应集中堆放</w:t>
      </w:r>
      <w:r>
        <w:rPr>
          <w:rFonts w:hint="eastAsia"/>
          <w:highlight w:val="none"/>
        </w:rPr>
        <w:t>，</w:t>
      </w:r>
      <w:r>
        <w:rPr>
          <w:highlight w:val="none"/>
        </w:rPr>
        <w:t>上方采用搭棚的方式，棚的外檐超出砌块外边至少1m，有效防雨；下方采用方木+模板铺平台，平台高出周边至少10cm，并能有效排水。</w:t>
      </w:r>
    </w:p>
    <w:p w14:paraId="27BA8E5D">
      <w:pPr>
        <w:pStyle w:val="6"/>
        <w:numPr>
          <w:ilvl w:val="3"/>
          <w:numId w:val="0"/>
        </w:numPr>
        <w:ind w:left="864" w:leftChars="100" w:hanging="624"/>
        <w:rPr>
          <w:highlight w:val="none"/>
        </w:rPr>
      </w:pPr>
      <w:r>
        <w:rPr>
          <w:rFonts w:hint="eastAsia"/>
          <w:highlight w:val="none"/>
        </w:rPr>
        <w:t>7.11.2.2</w:t>
      </w:r>
      <w:r>
        <w:rPr>
          <w:highlight w:val="none"/>
        </w:rPr>
        <w:t>砌块集中切割</w:t>
      </w:r>
      <w:r>
        <w:rPr>
          <w:rFonts w:hint="eastAsia"/>
          <w:highlight w:val="none"/>
        </w:rPr>
        <w:t>加工</w:t>
      </w:r>
      <w:r>
        <w:rPr>
          <w:highlight w:val="none"/>
        </w:rPr>
        <w:t>，对砌块采用湿法切割</w:t>
      </w:r>
      <w:r>
        <w:rPr>
          <w:rFonts w:hint="eastAsia"/>
          <w:highlight w:val="none"/>
        </w:rPr>
        <w:t>。</w:t>
      </w:r>
    </w:p>
    <w:p w14:paraId="6CC02FDF">
      <w:pPr>
        <w:pStyle w:val="6"/>
        <w:numPr>
          <w:ilvl w:val="3"/>
          <w:numId w:val="0"/>
        </w:numPr>
        <w:ind w:left="864" w:leftChars="100" w:hanging="624"/>
        <w:rPr>
          <w:highlight w:val="none"/>
        </w:rPr>
      </w:pPr>
      <w:r>
        <w:rPr>
          <w:rFonts w:hint="eastAsia"/>
          <w:highlight w:val="none"/>
        </w:rPr>
        <w:t>7.11.2.3</w:t>
      </w:r>
      <w:r>
        <w:rPr>
          <w:highlight w:val="none"/>
        </w:rPr>
        <w:t>必须专门制作方正实用的运输小车或手动、电动小型叉车，以有效控制破损率，严禁采用翻斗车。</w:t>
      </w:r>
    </w:p>
    <w:p w14:paraId="172475D4">
      <w:pPr>
        <w:pStyle w:val="5"/>
        <w:numPr>
          <w:ilvl w:val="2"/>
          <w:numId w:val="0"/>
        </w:numPr>
        <w:ind w:left="624" w:hanging="624"/>
        <w:rPr>
          <w:highlight w:val="none"/>
        </w:rPr>
      </w:pPr>
      <w:bookmarkStart w:id="855" w:name="_Toc6479"/>
      <w:r>
        <w:rPr>
          <w:rFonts w:hint="eastAsia"/>
          <w:highlight w:val="none"/>
        </w:rPr>
        <w:t>7.11.3</w:t>
      </w:r>
      <w:r>
        <w:rPr>
          <w:highlight w:val="none"/>
        </w:rPr>
        <w:t>砌筑排版图</w:t>
      </w:r>
      <w:bookmarkEnd w:id="855"/>
    </w:p>
    <w:p w14:paraId="5B179BD1">
      <w:pPr>
        <w:pStyle w:val="6"/>
        <w:numPr>
          <w:ilvl w:val="3"/>
          <w:numId w:val="0"/>
        </w:numPr>
        <w:ind w:left="864" w:leftChars="100" w:hanging="624"/>
        <w:rPr>
          <w:highlight w:val="none"/>
        </w:rPr>
      </w:pPr>
      <w:r>
        <w:rPr>
          <w:rFonts w:hint="eastAsia"/>
          <w:highlight w:val="none"/>
        </w:rPr>
        <w:t>7.11.3.1</w:t>
      </w:r>
      <w:r>
        <w:rPr>
          <w:highlight w:val="none"/>
        </w:rPr>
        <w:t>排砖图应考虑底砖模数、砌块模数、窗台标高、顶砖位置。应在每片墙体的两端柱上标注皮数控制线、窗台标高</w:t>
      </w:r>
      <w:r>
        <w:rPr>
          <w:rFonts w:hint="eastAsia"/>
          <w:highlight w:val="none"/>
        </w:rPr>
        <w:t>。</w:t>
      </w:r>
    </w:p>
    <w:p w14:paraId="43C11889">
      <w:pPr>
        <w:pStyle w:val="6"/>
        <w:numPr>
          <w:ilvl w:val="3"/>
          <w:numId w:val="0"/>
        </w:numPr>
        <w:ind w:left="864" w:leftChars="100" w:hanging="624"/>
        <w:rPr>
          <w:highlight w:val="none"/>
        </w:rPr>
      </w:pPr>
      <w:r>
        <w:rPr>
          <w:rFonts w:hint="eastAsia"/>
          <w:highlight w:val="none"/>
        </w:rPr>
        <w:t>7.11.3.2</w:t>
      </w:r>
      <w:r>
        <w:rPr>
          <w:highlight w:val="none"/>
        </w:rPr>
        <w:t>绘制墙体水电定位控制图，须将电箱/电盒（图中可表示机电点位位置，要求、标准等）、水电管线的定位表达清楚</w:t>
      </w:r>
      <w:r>
        <w:rPr>
          <w:rFonts w:hint="eastAsia"/>
          <w:highlight w:val="none"/>
        </w:rPr>
        <w:t>。</w:t>
      </w:r>
    </w:p>
    <w:p w14:paraId="3ECD52FA">
      <w:pPr>
        <w:pStyle w:val="6"/>
        <w:numPr>
          <w:ilvl w:val="3"/>
          <w:numId w:val="0"/>
        </w:numPr>
        <w:ind w:left="864" w:leftChars="100" w:hanging="624"/>
        <w:rPr>
          <w:highlight w:val="none"/>
        </w:rPr>
      </w:pPr>
      <w:r>
        <w:rPr>
          <w:rFonts w:hint="eastAsia"/>
          <w:highlight w:val="none"/>
        </w:rPr>
        <w:t>7.11.3.3</w:t>
      </w:r>
      <w:r>
        <w:rPr>
          <w:highlight w:val="none"/>
        </w:rPr>
        <w:t>砌筑户型图、必须贴置于对应户型内，排砖图贴于砖墙端部。</w:t>
      </w:r>
    </w:p>
    <w:p w14:paraId="3E3199B2">
      <w:pPr>
        <w:pStyle w:val="5"/>
        <w:numPr>
          <w:ilvl w:val="2"/>
          <w:numId w:val="0"/>
        </w:numPr>
        <w:ind w:left="624" w:hanging="624"/>
        <w:rPr>
          <w:highlight w:val="none"/>
        </w:rPr>
      </w:pPr>
      <w:bookmarkStart w:id="856" w:name="_Toc1382"/>
      <w:r>
        <w:rPr>
          <w:rFonts w:hint="eastAsia"/>
          <w:highlight w:val="none"/>
        </w:rPr>
        <w:t>7.11.4</w:t>
      </w:r>
      <w:r>
        <w:rPr>
          <w:highlight w:val="none"/>
        </w:rPr>
        <w:t>砌筑控制线</w:t>
      </w:r>
      <w:bookmarkEnd w:id="856"/>
    </w:p>
    <w:p w14:paraId="1237714A">
      <w:pPr>
        <w:pStyle w:val="6"/>
        <w:numPr>
          <w:ilvl w:val="3"/>
          <w:numId w:val="0"/>
        </w:numPr>
        <w:ind w:left="864" w:leftChars="100" w:hanging="624"/>
        <w:rPr>
          <w:highlight w:val="none"/>
        </w:rPr>
      </w:pPr>
      <w:r>
        <w:rPr>
          <w:rFonts w:hint="eastAsia"/>
          <w:highlight w:val="none"/>
        </w:rPr>
        <w:t>7.11.4.1</w:t>
      </w:r>
      <w:r>
        <w:rPr>
          <w:highlight w:val="none"/>
        </w:rPr>
        <w:t>应弹砌筑双控制线</w:t>
      </w:r>
      <w:r>
        <w:rPr>
          <w:rFonts w:hint="eastAsia"/>
          <w:highlight w:val="none"/>
        </w:rPr>
        <w:t>。</w:t>
      </w:r>
    </w:p>
    <w:p w14:paraId="6AF5717F">
      <w:pPr>
        <w:pStyle w:val="6"/>
        <w:numPr>
          <w:ilvl w:val="3"/>
          <w:numId w:val="0"/>
        </w:numPr>
        <w:ind w:left="864" w:leftChars="100" w:hanging="624"/>
        <w:rPr>
          <w:highlight w:val="none"/>
        </w:rPr>
      </w:pPr>
      <w:r>
        <w:rPr>
          <w:rFonts w:hint="eastAsia"/>
          <w:highlight w:val="none"/>
        </w:rPr>
        <w:t>7.11.4.2</w:t>
      </w:r>
      <w:r>
        <w:rPr>
          <w:highlight w:val="none"/>
        </w:rPr>
        <w:t>管道井、烟道也须设置双控线。成品烟道和水电预留孔，在结构施工阶段，须放线定位</w:t>
      </w:r>
      <w:r>
        <w:rPr>
          <w:rFonts w:hint="eastAsia"/>
          <w:highlight w:val="none"/>
        </w:rPr>
        <w:t>。</w:t>
      </w:r>
    </w:p>
    <w:p w14:paraId="06EF0BCF">
      <w:pPr>
        <w:pStyle w:val="6"/>
        <w:numPr>
          <w:ilvl w:val="3"/>
          <w:numId w:val="0"/>
        </w:numPr>
        <w:ind w:left="864" w:leftChars="100" w:hanging="624"/>
        <w:rPr>
          <w:highlight w:val="none"/>
        </w:rPr>
      </w:pPr>
      <w:r>
        <w:rPr>
          <w:rFonts w:hint="eastAsia"/>
          <w:highlight w:val="none"/>
        </w:rPr>
        <w:t>7.11.4.3</w:t>
      </w:r>
      <w:r>
        <w:rPr>
          <w:highlight w:val="none"/>
        </w:rPr>
        <w:t>通过将控制线引到梁、墙、地面进行洞口定位</w:t>
      </w:r>
      <w:r>
        <w:rPr>
          <w:rFonts w:hint="eastAsia"/>
          <w:highlight w:val="none"/>
        </w:rPr>
        <w:t>。</w:t>
      </w:r>
    </w:p>
    <w:p w14:paraId="7A4E101E">
      <w:pPr>
        <w:pStyle w:val="6"/>
        <w:numPr>
          <w:ilvl w:val="3"/>
          <w:numId w:val="0"/>
        </w:numPr>
        <w:ind w:left="864" w:leftChars="100" w:hanging="624"/>
        <w:rPr>
          <w:highlight w:val="none"/>
        </w:rPr>
      </w:pPr>
      <w:r>
        <w:rPr>
          <w:rFonts w:hint="eastAsia"/>
          <w:highlight w:val="none"/>
        </w:rPr>
        <w:t>7.11.4.4</w:t>
      </w:r>
      <w:r>
        <w:rPr>
          <w:highlight w:val="none"/>
        </w:rPr>
        <w:t>砌筑施工过程中，必须双面挂天地线和水平控制线，以保证砌筑墙体的垂直、平整、方正性、灰缝的宽度及观感质量。</w:t>
      </w:r>
    </w:p>
    <w:p w14:paraId="26342466">
      <w:pPr>
        <w:pStyle w:val="5"/>
        <w:numPr>
          <w:ilvl w:val="2"/>
          <w:numId w:val="0"/>
        </w:numPr>
        <w:ind w:left="624" w:hanging="624"/>
        <w:rPr>
          <w:highlight w:val="none"/>
        </w:rPr>
      </w:pPr>
      <w:bookmarkStart w:id="857" w:name="_Toc17897"/>
      <w:r>
        <w:rPr>
          <w:rFonts w:hint="eastAsia"/>
          <w:highlight w:val="none"/>
        </w:rPr>
        <w:t>7.11.5</w:t>
      </w:r>
      <w:r>
        <w:rPr>
          <w:highlight w:val="none"/>
        </w:rPr>
        <w:t>砌筑</w:t>
      </w:r>
      <w:bookmarkEnd w:id="857"/>
    </w:p>
    <w:p w14:paraId="3091D296">
      <w:pPr>
        <w:pStyle w:val="6"/>
        <w:numPr>
          <w:ilvl w:val="3"/>
          <w:numId w:val="0"/>
        </w:numPr>
        <w:ind w:left="864" w:leftChars="100" w:hanging="624"/>
        <w:rPr>
          <w:highlight w:val="none"/>
        </w:rPr>
      </w:pPr>
      <w:r>
        <w:rPr>
          <w:rFonts w:hint="eastAsia"/>
          <w:highlight w:val="none"/>
        </w:rPr>
        <w:t>7.11.5.1</w:t>
      </w:r>
      <w:r>
        <w:rPr>
          <w:highlight w:val="none"/>
        </w:rPr>
        <w:t>施工前应设置皮数杆，皮数杆应垂直、牢固、标高一致</w:t>
      </w:r>
      <w:r>
        <w:rPr>
          <w:rFonts w:hint="eastAsia"/>
          <w:highlight w:val="none"/>
        </w:rPr>
        <w:t>。</w:t>
      </w:r>
    </w:p>
    <w:p w14:paraId="5E79F2EC">
      <w:pPr>
        <w:pStyle w:val="6"/>
        <w:numPr>
          <w:ilvl w:val="3"/>
          <w:numId w:val="0"/>
        </w:numPr>
        <w:ind w:left="864" w:leftChars="100" w:hanging="624"/>
        <w:rPr>
          <w:highlight w:val="none"/>
        </w:rPr>
      </w:pPr>
      <w:r>
        <w:rPr>
          <w:rFonts w:hint="eastAsia"/>
          <w:highlight w:val="none"/>
        </w:rPr>
        <w:t>7.11.5.2</w:t>
      </w:r>
      <w:r>
        <w:rPr>
          <w:highlight w:val="none"/>
        </w:rPr>
        <w:t>砌块施工应严格按施工规范的要求进行错缝搭砌，上墙的砌块不应任意移动或撞击</w:t>
      </w:r>
      <w:r>
        <w:rPr>
          <w:rFonts w:hint="eastAsia"/>
          <w:highlight w:val="none"/>
        </w:rPr>
        <w:t>。</w:t>
      </w:r>
    </w:p>
    <w:p w14:paraId="66D8481C">
      <w:pPr>
        <w:pStyle w:val="6"/>
        <w:numPr>
          <w:ilvl w:val="3"/>
          <w:numId w:val="0"/>
        </w:numPr>
        <w:ind w:left="864" w:leftChars="100" w:hanging="624"/>
        <w:rPr>
          <w:highlight w:val="none"/>
        </w:rPr>
      </w:pPr>
      <w:r>
        <w:rPr>
          <w:rFonts w:hint="eastAsia"/>
          <w:highlight w:val="none"/>
        </w:rPr>
        <w:t>7.11.5.3</w:t>
      </w:r>
      <w:r>
        <w:rPr>
          <w:highlight w:val="none"/>
        </w:rPr>
        <w:t>填充墙砌至接近梁底、板底时，应留</w:t>
      </w:r>
      <w:r>
        <w:rPr>
          <w:rFonts w:hint="eastAsia"/>
          <w:highlight w:val="none"/>
        </w:rPr>
        <w:t>小于5</w:t>
      </w:r>
      <w:r>
        <w:rPr>
          <w:highlight w:val="none"/>
        </w:rPr>
        <w:t>0mm的空隙，待填充墙砌筑完并至少间隔14天后，再嵌缝将其挤紧。</w:t>
      </w:r>
    </w:p>
    <w:p w14:paraId="526E2F35">
      <w:pPr>
        <w:pStyle w:val="5"/>
        <w:numPr>
          <w:ilvl w:val="2"/>
          <w:numId w:val="0"/>
        </w:numPr>
        <w:ind w:left="624" w:hanging="624"/>
        <w:rPr>
          <w:highlight w:val="none"/>
        </w:rPr>
      </w:pPr>
      <w:bookmarkStart w:id="858" w:name="_Toc29692"/>
      <w:r>
        <w:rPr>
          <w:rFonts w:hint="eastAsia"/>
          <w:highlight w:val="none"/>
        </w:rPr>
        <w:t>7.11.6</w:t>
      </w:r>
      <w:r>
        <w:rPr>
          <w:highlight w:val="none"/>
        </w:rPr>
        <w:t>导墙</w:t>
      </w:r>
      <w:bookmarkEnd w:id="858"/>
    </w:p>
    <w:p w14:paraId="4BA4FA2F">
      <w:pPr>
        <w:pStyle w:val="6"/>
        <w:numPr>
          <w:ilvl w:val="3"/>
          <w:numId w:val="0"/>
        </w:numPr>
        <w:ind w:left="864" w:leftChars="100" w:hanging="624"/>
        <w:rPr>
          <w:highlight w:val="none"/>
        </w:rPr>
      </w:pPr>
      <w:r>
        <w:rPr>
          <w:rFonts w:hint="eastAsia"/>
          <w:highlight w:val="none"/>
        </w:rPr>
        <w:t>7.11.6.1厨房、卫生间、阳台及其他用水的房间周边设置不小于</w:t>
      </w:r>
      <w:r>
        <w:rPr>
          <w:highlight w:val="none"/>
        </w:rPr>
        <w:t>200</w:t>
      </w:r>
      <w:r>
        <w:rPr>
          <w:rFonts w:hint="eastAsia"/>
          <w:highlight w:val="none"/>
        </w:rPr>
        <w:t>mm</w:t>
      </w:r>
      <w:r>
        <w:rPr>
          <w:highlight w:val="none"/>
        </w:rPr>
        <w:t>高的混凝土导墙，外墙外挑结构（雨棚、外墙腰线、空调板）上部上口处设置高度不小于200mm的反坎导墙</w:t>
      </w:r>
      <w:r>
        <w:rPr>
          <w:rFonts w:hint="eastAsia"/>
          <w:highlight w:val="none"/>
        </w:rPr>
        <w:t>。</w:t>
      </w:r>
    </w:p>
    <w:p w14:paraId="6ED895EF">
      <w:pPr>
        <w:pStyle w:val="5"/>
        <w:numPr>
          <w:ilvl w:val="2"/>
          <w:numId w:val="0"/>
        </w:numPr>
        <w:ind w:left="624" w:hanging="624"/>
        <w:rPr>
          <w:highlight w:val="none"/>
        </w:rPr>
      </w:pPr>
      <w:bookmarkStart w:id="859" w:name="_Toc24862"/>
      <w:r>
        <w:rPr>
          <w:rFonts w:hint="eastAsia"/>
          <w:highlight w:val="none"/>
        </w:rPr>
        <w:t>7.11.7</w:t>
      </w:r>
      <w:r>
        <w:rPr>
          <w:highlight w:val="none"/>
        </w:rPr>
        <w:t>拉结</w:t>
      </w:r>
      <w:bookmarkEnd w:id="859"/>
    </w:p>
    <w:p w14:paraId="4C47F8AC">
      <w:pPr>
        <w:pStyle w:val="6"/>
        <w:numPr>
          <w:ilvl w:val="3"/>
          <w:numId w:val="0"/>
        </w:numPr>
        <w:ind w:left="864" w:leftChars="100" w:hanging="624"/>
        <w:rPr>
          <w:highlight w:val="none"/>
        </w:rPr>
      </w:pPr>
      <w:r>
        <w:rPr>
          <w:rFonts w:hint="eastAsia"/>
          <w:highlight w:val="none"/>
        </w:rPr>
        <w:t>7.11.7.1</w:t>
      </w:r>
      <w:r>
        <w:rPr>
          <w:highlight w:val="none"/>
        </w:rPr>
        <w:t>加气混凝土砌块填充墙与柱墙之间以</w:t>
      </w:r>
      <w:r>
        <w:rPr>
          <w:rFonts w:hint="eastAsia"/>
          <w:highlight w:val="none"/>
        </w:rPr>
        <w:t>拉结片或</w:t>
      </w:r>
      <w:r>
        <w:rPr>
          <w:highlight w:val="none"/>
        </w:rPr>
        <w:t>φ6.5拉结筋连接，</w:t>
      </w:r>
      <w:r>
        <w:rPr>
          <w:rFonts w:hint="eastAsia"/>
          <w:highlight w:val="none"/>
        </w:rPr>
        <w:t>拉结片或</w:t>
      </w:r>
      <w:r>
        <w:rPr>
          <w:highlight w:val="none"/>
        </w:rPr>
        <w:t>拉结筋埋于砌体的水平灰缝中。</w:t>
      </w:r>
    </w:p>
    <w:p w14:paraId="0B25B9C7">
      <w:pPr>
        <w:pStyle w:val="6"/>
        <w:numPr>
          <w:ilvl w:val="3"/>
          <w:numId w:val="0"/>
        </w:numPr>
        <w:ind w:left="864" w:leftChars="100" w:hanging="624"/>
        <w:rPr>
          <w:highlight w:val="none"/>
        </w:rPr>
      </w:pPr>
      <w:r>
        <w:rPr>
          <w:rFonts w:hint="eastAsia"/>
          <w:highlight w:val="none"/>
        </w:rPr>
        <w:t>7.11.7.2</w:t>
      </w:r>
      <w:r>
        <w:rPr>
          <w:highlight w:val="none"/>
        </w:rPr>
        <w:t>埋设在墙体内的水平拉结筋应预先在砌块的水平灰缝面开设凹槽（槽宽、深度比钢筋大15～20mm），置入钢筋后，应用粘结剂填实至槽的上口平。</w:t>
      </w:r>
    </w:p>
    <w:p w14:paraId="0EC2CCAB">
      <w:pPr>
        <w:pStyle w:val="6"/>
        <w:numPr>
          <w:ilvl w:val="3"/>
          <w:numId w:val="0"/>
        </w:numPr>
        <w:ind w:left="864" w:leftChars="100" w:hanging="624"/>
        <w:rPr>
          <w:highlight w:val="none"/>
        </w:rPr>
      </w:pPr>
      <w:r>
        <w:rPr>
          <w:rFonts w:hint="eastAsia"/>
          <w:highlight w:val="none"/>
        </w:rPr>
        <w:t>7.11.7.3拉结片、</w:t>
      </w:r>
      <w:r>
        <w:rPr>
          <w:highlight w:val="none"/>
        </w:rPr>
        <w:t>拉结筋须按排砖图，进行确定位置</w:t>
      </w:r>
      <w:r>
        <w:rPr>
          <w:rFonts w:hint="eastAsia"/>
          <w:highlight w:val="none"/>
        </w:rPr>
        <w:t>。</w:t>
      </w:r>
    </w:p>
    <w:p w14:paraId="7B3EFDA5">
      <w:pPr>
        <w:pStyle w:val="4"/>
        <w:numPr>
          <w:ilvl w:val="1"/>
          <w:numId w:val="0"/>
        </w:numPr>
        <w:ind w:left="624" w:hanging="624"/>
        <w:rPr>
          <w:highlight w:val="none"/>
        </w:rPr>
      </w:pPr>
      <w:bookmarkStart w:id="860" w:name="_Toc422854863"/>
      <w:bookmarkStart w:id="861" w:name="_Toc169722245"/>
      <w:bookmarkStart w:id="862" w:name="_Toc18998"/>
      <w:bookmarkStart w:id="863" w:name="_Toc31759"/>
      <w:bookmarkStart w:id="864" w:name="_Toc6648"/>
      <w:bookmarkStart w:id="865" w:name="_Toc32620"/>
      <w:bookmarkStart w:id="866" w:name="_Toc179563013"/>
      <w:bookmarkStart w:id="867" w:name="_Toc30460"/>
      <w:bookmarkStart w:id="868" w:name="_Toc7664"/>
      <w:r>
        <w:rPr>
          <w:rFonts w:hint="eastAsia"/>
          <w:highlight w:val="none"/>
        </w:rPr>
        <w:t>7.1</w:t>
      </w:r>
      <w:r>
        <w:rPr>
          <w:rFonts w:hint="eastAsia"/>
          <w:highlight w:val="none"/>
          <w:lang w:val="en-US" w:eastAsia="zh-CN"/>
        </w:rPr>
        <w:t>2</w:t>
      </w:r>
      <w:r>
        <w:rPr>
          <w:rFonts w:hint="eastAsia"/>
          <w:highlight w:val="none"/>
        </w:rPr>
        <w:t>机电工程技术要求</w:t>
      </w:r>
      <w:bookmarkEnd w:id="860"/>
      <w:bookmarkEnd w:id="861"/>
      <w:bookmarkEnd w:id="862"/>
      <w:bookmarkEnd w:id="863"/>
      <w:bookmarkEnd w:id="864"/>
      <w:bookmarkEnd w:id="865"/>
      <w:bookmarkEnd w:id="866"/>
      <w:bookmarkEnd w:id="867"/>
      <w:bookmarkEnd w:id="868"/>
    </w:p>
    <w:p w14:paraId="4DA884F1">
      <w:pPr>
        <w:pStyle w:val="5"/>
        <w:numPr>
          <w:ilvl w:val="2"/>
          <w:numId w:val="0"/>
        </w:numPr>
        <w:ind w:left="624" w:hanging="624"/>
        <w:rPr>
          <w:highlight w:val="none"/>
        </w:rPr>
      </w:pPr>
      <w:bookmarkStart w:id="869" w:name="_Toc12394"/>
      <w:r>
        <w:rPr>
          <w:rFonts w:hint="eastAsia"/>
          <w:highlight w:val="none"/>
        </w:rPr>
        <w:t>7.1</w:t>
      </w:r>
      <w:r>
        <w:rPr>
          <w:rFonts w:hint="eastAsia"/>
          <w:highlight w:val="none"/>
          <w:lang w:val="en-US" w:eastAsia="zh-CN"/>
        </w:rPr>
        <w:t>2</w:t>
      </w:r>
      <w:r>
        <w:rPr>
          <w:rFonts w:hint="eastAsia"/>
          <w:highlight w:val="none"/>
        </w:rPr>
        <w:t>.1预留预埋工程</w:t>
      </w:r>
      <w:bookmarkEnd w:id="869"/>
    </w:p>
    <w:p w14:paraId="0B8D3988">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.1.1结构预留孔洞要求</w:t>
      </w:r>
    </w:p>
    <w:p w14:paraId="49855F71">
      <w:pPr>
        <w:numPr>
          <w:ilvl w:val="1"/>
          <w:numId w:val="78"/>
        </w:numPr>
        <w:ind w:firstLine="480"/>
        <w:rPr>
          <w:highlight w:val="none"/>
        </w:rPr>
      </w:pPr>
      <w:r>
        <w:rPr>
          <w:rFonts w:hint="eastAsia"/>
          <w:highlight w:val="none"/>
        </w:rPr>
        <w:t>总承包人需根据图纸要求绘制相应结构留洞及套管综合图以及洞口、套管检查表供施工和检查使用，洞口、套管检查表宜采用消项管理。</w:t>
      </w:r>
    </w:p>
    <w:p w14:paraId="70805CDA">
      <w:pPr>
        <w:numPr>
          <w:ilvl w:val="1"/>
          <w:numId w:val="78"/>
        </w:numPr>
        <w:ind w:firstLine="480"/>
        <w:rPr>
          <w:highlight w:val="none"/>
        </w:rPr>
      </w:pPr>
      <w:r>
        <w:rPr>
          <w:rFonts w:hint="eastAsia"/>
          <w:highlight w:val="none"/>
        </w:rPr>
        <w:t>总承包人应组织给排水、消防、暖通、电气等专业技术人员熟悉图纸，对本专业管路和金属线槽、桥架等的走向形成立体的认识；审核预留洞有无冲突，发现问题应及时通过监理人</w:t>
      </w:r>
      <w:r>
        <w:rPr>
          <w:highlight w:val="none"/>
        </w:rPr>
        <w:t>/发包人解决。</w:t>
      </w:r>
    </w:p>
    <w:p w14:paraId="15A1125E">
      <w:pPr>
        <w:numPr>
          <w:ilvl w:val="1"/>
          <w:numId w:val="78"/>
        </w:numPr>
        <w:ind w:firstLine="480"/>
        <w:rPr>
          <w:highlight w:val="none"/>
        </w:rPr>
      </w:pPr>
      <w:r>
        <w:rPr>
          <w:rFonts w:hint="eastAsia"/>
          <w:highlight w:val="none"/>
        </w:rPr>
        <w:t>结构预留孔、洞、槽和预埋件</w:t>
      </w:r>
    </w:p>
    <w:p w14:paraId="525E9104">
      <w:pPr>
        <w:numPr>
          <w:ilvl w:val="0"/>
          <w:numId w:val="79"/>
        </w:numPr>
        <w:ind w:firstLine="480"/>
        <w:rPr>
          <w:highlight w:val="none"/>
        </w:rPr>
      </w:pPr>
      <w:r>
        <w:rPr>
          <w:rFonts w:hint="eastAsia"/>
          <w:highlight w:val="none"/>
        </w:rPr>
        <w:t>当管道穿墙壁、楼板及嵌墙暗敷时，应与土建施工配合预留孔、槽。</w:t>
      </w:r>
    </w:p>
    <w:p w14:paraId="213982B8">
      <w:pPr>
        <w:numPr>
          <w:ilvl w:val="0"/>
          <w:numId w:val="79"/>
        </w:numPr>
        <w:ind w:firstLine="480"/>
        <w:rPr>
          <w:highlight w:val="none"/>
        </w:rPr>
      </w:pPr>
      <w:r>
        <w:rPr>
          <w:rFonts w:hint="eastAsia"/>
          <w:highlight w:val="none"/>
        </w:rPr>
        <w:t>在混凝土楼板、梁、墙上预留孔、洞、槽和预埋件时，应有专人按设计图纸将管道及设备的位置、标高尺寸测定，标好孔洞的部位，将预制好的模盒、预埋铁件在绑扎钢筋前按标记固定牢，盒内堵塞，并经监理人</w:t>
      </w:r>
      <w:r>
        <w:rPr>
          <w:highlight w:val="none"/>
        </w:rPr>
        <w:t>/发包人验收合格后才可浇注混凝土。在混凝土浇筑过程中应有专人配合校对，看管模盒、埋件，以免移位。</w:t>
      </w:r>
    </w:p>
    <w:p w14:paraId="6BDB34EA">
      <w:pPr>
        <w:numPr>
          <w:ilvl w:val="0"/>
          <w:numId w:val="79"/>
        </w:numPr>
        <w:ind w:firstLine="480"/>
        <w:rPr>
          <w:highlight w:val="none"/>
        </w:rPr>
      </w:pPr>
      <w:r>
        <w:rPr>
          <w:rFonts w:hint="eastAsia"/>
          <w:highlight w:val="none"/>
        </w:rPr>
        <w:t>预制墙（楼）板需要剔孔洞时，必须在装修或抹灰前剔凿，孔洞直径与管外径的间隙不得超过</w:t>
      </w:r>
      <w:r>
        <w:rPr>
          <w:highlight w:val="none"/>
        </w:rPr>
        <w:t>30mm。遇有剔混凝土空心楼板肋或断钢筋时，必须预先征得监理人/发包人的同意并采取相应的补救措施后，方可进行。</w:t>
      </w:r>
    </w:p>
    <w:p w14:paraId="00664AFE">
      <w:pPr>
        <w:numPr>
          <w:ilvl w:val="0"/>
          <w:numId w:val="79"/>
        </w:numPr>
        <w:ind w:firstLine="480"/>
        <w:rPr>
          <w:highlight w:val="none"/>
        </w:rPr>
      </w:pPr>
      <w:r>
        <w:rPr>
          <w:rFonts w:hint="eastAsia"/>
          <w:highlight w:val="none"/>
        </w:rPr>
        <w:t>在配合施工中，机电专业人员必须随工程进度密切配合土建专业作好预留预埋工作。</w:t>
      </w:r>
    </w:p>
    <w:p w14:paraId="5CA5B405">
      <w:pPr>
        <w:numPr>
          <w:ilvl w:val="0"/>
          <w:numId w:val="79"/>
        </w:numPr>
        <w:ind w:firstLine="480"/>
        <w:rPr>
          <w:highlight w:val="none"/>
        </w:rPr>
      </w:pPr>
      <w:r>
        <w:rPr>
          <w:rFonts w:hint="eastAsia"/>
          <w:highlight w:val="none"/>
        </w:rPr>
        <w:t>为了避免遗漏和错留，在核对间距、尺寸和位置无误后，报监理人验收。</w:t>
      </w:r>
    </w:p>
    <w:p w14:paraId="3F094B6F">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.1.2预留预埋套管的要求</w:t>
      </w:r>
    </w:p>
    <w:p w14:paraId="0388D78C">
      <w:pPr>
        <w:numPr>
          <w:ilvl w:val="1"/>
          <w:numId w:val="80"/>
        </w:numPr>
        <w:ind w:firstLine="480"/>
        <w:rPr>
          <w:highlight w:val="none"/>
        </w:rPr>
      </w:pPr>
      <w:r>
        <w:rPr>
          <w:rFonts w:hint="eastAsia"/>
          <w:highlight w:val="none"/>
        </w:rPr>
        <w:t>套管设置</w:t>
      </w:r>
    </w:p>
    <w:p w14:paraId="24CB8776">
      <w:pPr>
        <w:spacing w:before="120" w:beforeLines="50" w:after="120" w:afterLines="50"/>
        <w:ind w:left="850" w:leftChars="354" w:firstLine="480"/>
        <w:rPr>
          <w:bCs/>
          <w:highlight w:val="none"/>
        </w:rPr>
      </w:pPr>
      <w:r>
        <w:rPr>
          <w:rFonts w:hint="eastAsia"/>
          <w:bCs/>
          <w:highlight w:val="none"/>
        </w:rPr>
        <w:t>管道穿过楼板、梁、建筑外墙及隔墙、基础等处时，必须设置套管。安装在墙壁上的套管端头应与饰面相平，套管与管道之间填实。管道穿地下构筑物外墙、卫生间沉箱、屋面、外墙及其它管线穿越防水层时，应采用刚性防水套管。</w:t>
      </w:r>
    </w:p>
    <w:p w14:paraId="1DB5B272">
      <w:pPr>
        <w:numPr>
          <w:ilvl w:val="1"/>
          <w:numId w:val="80"/>
        </w:numPr>
        <w:ind w:firstLine="480"/>
        <w:rPr>
          <w:highlight w:val="none"/>
        </w:rPr>
      </w:pPr>
      <w:r>
        <w:rPr>
          <w:rFonts w:hint="eastAsia"/>
          <w:highlight w:val="none"/>
        </w:rPr>
        <w:t>套管安装</w:t>
      </w:r>
    </w:p>
    <w:p w14:paraId="26584F86">
      <w:pPr>
        <w:spacing w:before="120" w:beforeLines="50" w:after="120" w:afterLines="50"/>
        <w:ind w:left="850" w:leftChars="354" w:firstLine="480"/>
        <w:rPr>
          <w:bCs/>
          <w:highlight w:val="none"/>
        </w:rPr>
      </w:pPr>
      <w:r>
        <w:rPr>
          <w:rFonts w:hint="eastAsia"/>
          <w:bCs/>
          <w:highlight w:val="none"/>
        </w:rPr>
        <w:t>根据所穿构筑物的厚度及管径尺寸确定套管规格、长度，翼环及钢套管加工完成后刷防锈漆做防腐处理。套管安装时，必须随混凝土施工一次性浇固于墙（壁）内。楼板、隔墙和墙内的穿管孔隙在安完管道后进行堵塞封堵。预埋上下层套管时，中心线需垂直，套管不能直接和主筋焊接，应采取附加筋形式。</w:t>
      </w:r>
    </w:p>
    <w:p w14:paraId="2C19C52F">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.1.3电气导管、线盒预留预埋（包括剪力墙、现浇</w:t>
      </w:r>
      <w:r>
        <w:rPr>
          <w:rFonts w:hint="eastAsia"/>
          <w:highlight w:val="yellow"/>
        </w:rPr>
        <w:t>顶板</w:t>
      </w:r>
      <w:r>
        <w:rPr>
          <w:rFonts w:hint="eastAsia"/>
          <w:highlight w:val="none"/>
        </w:rPr>
        <w:t>、砌体）</w:t>
      </w:r>
    </w:p>
    <w:p w14:paraId="5E03289A">
      <w:pPr>
        <w:numPr>
          <w:ilvl w:val="1"/>
          <w:numId w:val="81"/>
        </w:numPr>
        <w:ind w:firstLine="480"/>
        <w:rPr>
          <w:highlight w:val="none"/>
        </w:rPr>
      </w:pPr>
      <w:r>
        <w:rPr>
          <w:rFonts w:hint="eastAsia"/>
          <w:highlight w:val="none"/>
        </w:rPr>
        <w:t>材料准备的要求</w:t>
      </w:r>
    </w:p>
    <w:p w14:paraId="50B860CF">
      <w:pPr>
        <w:numPr>
          <w:ilvl w:val="0"/>
          <w:numId w:val="82"/>
        </w:numPr>
        <w:ind w:firstLine="480"/>
        <w:rPr>
          <w:highlight w:val="none"/>
        </w:rPr>
      </w:pPr>
      <w:r>
        <w:rPr>
          <w:highlight w:val="none"/>
        </w:rPr>
        <w:t>PVC盒的表面一定要光滑，材质要好。钢制接线盒外观应干净，无脏污，无划伤，无毛刺锐边。</w:t>
      </w:r>
    </w:p>
    <w:p w14:paraId="6C25C364">
      <w:pPr>
        <w:numPr>
          <w:ilvl w:val="0"/>
          <w:numId w:val="82"/>
        </w:numPr>
        <w:ind w:firstLine="480"/>
        <w:rPr>
          <w:highlight w:val="none"/>
        </w:rPr>
      </w:pPr>
      <w:r>
        <w:rPr>
          <w:rFonts w:hint="eastAsia"/>
          <w:highlight w:val="none"/>
        </w:rPr>
        <w:t>管件表面内壁一定要光滑，不应有裂痕，毛刺。厚度符合规范要求。</w:t>
      </w:r>
    </w:p>
    <w:p w14:paraId="5A93EEDE">
      <w:pPr>
        <w:numPr>
          <w:ilvl w:val="0"/>
          <w:numId w:val="82"/>
        </w:numPr>
        <w:ind w:firstLine="480"/>
        <w:rPr>
          <w:highlight w:val="none"/>
        </w:rPr>
      </w:pPr>
      <w:r>
        <w:rPr>
          <w:rFonts w:hint="eastAsia"/>
          <w:highlight w:val="none"/>
        </w:rPr>
        <w:t>钢管直接头，厚度要符合验收质量标准，表面光滑，无毛刺，镀锌层完好。</w:t>
      </w:r>
    </w:p>
    <w:p w14:paraId="32F030ED">
      <w:pPr>
        <w:numPr>
          <w:ilvl w:val="0"/>
          <w:numId w:val="82"/>
        </w:numPr>
        <w:ind w:firstLine="480"/>
        <w:rPr>
          <w:highlight w:val="none"/>
        </w:rPr>
      </w:pPr>
      <w:r>
        <w:rPr>
          <w:rFonts w:hint="eastAsia"/>
          <w:highlight w:val="none"/>
        </w:rPr>
        <w:t>接地线为软芯铜导线，接地管卡配套。</w:t>
      </w:r>
    </w:p>
    <w:p w14:paraId="2AED8875">
      <w:pPr>
        <w:numPr>
          <w:ilvl w:val="1"/>
          <w:numId w:val="81"/>
        </w:numPr>
        <w:ind w:firstLine="480"/>
        <w:rPr>
          <w:highlight w:val="none"/>
        </w:rPr>
      </w:pPr>
      <w:r>
        <w:rPr>
          <w:rFonts w:hint="eastAsia"/>
          <w:highlight w:val="none"/>
        </w:rPr>
        <w:t>确定管、盒位置</w:t>
      </w:r>
    </w:p>
    <w:p w14:paraId="52C0306A">
      <w:pPr>
        <w:numPr>
          <w:ilvl w:val="0"/>
          <w:numId w:val="83"/>
        </w:numPr>
        <w:ind w:firstLine="480"/>
        <w:rPr>
          <w:highlight w:val="none"/>
        </w:rPr>
      </w:pPr>
      <w:r>
        <w:rPr>
          <w:rFonts w:hint="eastAsia"/>
          <w:highlight w:val="yellow"/>
        </w:rPr>
        <w:t>顶板</w:t>
      </w:r>
      <w:r>
        <w:rPr>
          <w:rFonts w:hint="eastAsia"/>
          <w:highlight w:val="none"/>
        </w:rPr>
        <w:t>类在模板上画出线盒位置线。</w:t>
      </w:r>
    </w:p>
    <w:p w14:paraId="4174B8D4">
      <w:pPr>
        <w:numPr>
          <w:ilvl w:val="0"/>
          <w:numId w:val="83"/>
        </w:numPr>
        <w:ind w:firstLine="480"/>
        <w:rPr>
          <w:highlight w:val="none"/>
        </w:rPr>
      </w:pPr>
      <w:r>
        <w:rPr>
          <w:rFonts w:hint="eastAsia"/>
          <w:highlight w:val="none"/>
        </w:rPr>
        <w:t>墙面类用盒尺和水平仪确定线盒位置并在钢筋上标记（定位时考虑保护层厚度和建筑做法）。</w:t>
      </w:r>
    </w:p>
    <w:p w14:paraId="64FC26D8">
      <w:pPr>
        <w:numPr>
          <w:ilvl w:val="1"/>
          <w:numId w:val="81"/>
        </w:numPr>
        <w:ind w:firstLine="480"/>
        <w:rPr>
          <w:highlight w:val="none"/>
        </w:rPr>
      </w:pPr>
      <w:r>
        <w:rPr>
          <w:rFonts w:hint="eastAsia"/>
          <w:highlight w:val="none"/>
        </w:rPr>
        <w:t>固定线盒</w:t>
      </w:r>
    </w:p>
    <w:p w14:paraId="12925E8D">
      <w:pPr>
        <w:numPr>
          <w:ilvl w:val="0"/>
          <w:numId w:val="84"/>
        </w:numPr>
        <w:ind w:firstLine="480"/>
        <w:rPr>
          <w:highlight w:val="none"/>
        </w:rPr>
      </w:pPr>
      <w:r>
        <w:rPr>
          <w:rFonts w:hint="eastAsia"/>
          <w:highlight w:val="none"/>
        </w:rPr>
        <w:t>固定线盒时须在堵盒前首先堵好管口。</w:t>
      </w:r>
    </w:p>
    <w:p w14:paraId="2C7E9F94">
      <w:pPr>
        <w:numPr>
          <w:ilvl w:val="0"/>
          <w:numId w:val="84"/>
        </w:numPr>
        <w:ind w:firstLine="480"/>
        <w:rPr>
          <w:highlight w:val="none"/>
        </w:rPr>
      </w:pPr>
      <w:r>
        <w:rPr>
          <w:rFonts w:hint="eastAsia"/>
          <w:highlight w:val="none"/>
        </w:rPr>
        <w:t>为防止混凝土浇筑时线盒偏位，底盒绑扎时应加背筋。</w:t>
      </w:r>
    </w:p>
    <w:p w14:paraId="3EBC5800">
      <w:pPr>
        <w:numPr>
          <w:ilvl w:val="0"/>
          <w:numId w:val="84"/>
        </w:numPr>
        <w:ind w:firstLine="480"/>
        <w:rPr>
          <w:highlight w:val="none"/>
        </w:rPr>
      </w:pPr>
      <w:r>
        <w:rPr>
          <w:rFonts w:hint="eastAsia"/>
          <w:highlight w:val="none"/>
        </w:rPr>
        <w:t>灯盒应该安装在房间或功能分区的中心。</w:t>
      </w:r>
    </w:p>
    <w:p w14:paraId="59B56507">
      <w:pPr>
        <w:numPr>
          <w:ilvl w:val="0"/>
          <w:numId w:val="84"/>
        </w:numPr>
        <w:ind w:firstLine="480"/>
        <w:rPr>
          <w:highlight w:val="none"/>
        </w:rPr>
      </w:pPr>
      <w:r>
        <w:rPr>
          <w:rFonts w:hint="eastAsia"/>
          <w:highlight w:val="none"/>
        </w:rPr>
        <w:t>同一室内的底盒标高差≤</w:t>
      </w:r>
      <w:r>
        <w:rPr>
          <w:highlight w:val="none"/>
        </w:rPr>
        <w:t>3mm</w:t>
      </w:r>
      <w:r>
        <w:rPr>
          <w:rFonts w:hint="eastAsia"/>
          <w:highlight w:val="none"/>
        </w:rPr>
        <w:t>，并排插座开关面板高度差≤</w:t>
      </w:r>
      <w:r>
        <w:rPr>
          <w:highlight w:val="none"/>
        </w:rPr>
        <w:t>1mm。</w:t>
      </w:r>
    </w:p>
    <w:p w14:paraId="411C5DC9">
      <w:pPr>
        <w:numPr>
          <w:ilvl w:val="0"/>
          <w:numId w:val="84"/>
        </w:numPr>
        <w:ind w:firstLine="480"/>
        <w:rPr>
          <w:highlight w:val="none"/>
        </w:rPr>
      </w:pPr>
      <w:r>
        <w:rPr>
          <w:rFonts w:hint="eastAsia"/>
          <w:highlight w:val="none"/>
        </w:rPr>
        <w:t>固定钢筋不小于</w:t>
      </w:r>
      <w:r>
        <w:rPr>
          <w:highlight w:val="none"/>
        </w:rPr>
        <w:t>ф8。</w:t>
      </w:r>
    </w:p>
    <w:p w14:paraId="415F713A">
      <w:pPr>
        <w:numPr>
          <w:ilvl w:val="1"/>
          <w:numId w:val="81"/>
        </w:numPr>
        <w:ind w:firstLine="480"/>
        <w:rPr>
          <w:highlight w:val="none"/>
        </w:rPr>
      </w:pPr>
      <w:r>
        <w:rPr>
          <w:rFonts w:hint="eastAsia"/>
          <w:highlight w:val="none"/>
        </w:rPr>
        <w:t>敷设管路</w:t>
      </w:r>
    </w:p>
    <w:p w14:paraId="4EBBAB3A">
      <w:pPr>
        <w:numPr>
          <w:ilvl w:val="0"/>
          <w:numId w:val="85"/>
        </w:numPr>
        <w:ind w:firstLine="480"/>
        <w:rPr>
          <w:highlight w:val="none"/>
        </w:rPr>
      </w:pPr>
      <w:r>
        <w:rPr>
          <w:rFonts w:hint="eastAsia"/>
          <w:highlight w:val="none"/>
        </w:rPr>
        <w:t>管路必须敷设在钢筋网内侧和上下层钢筋之间</w:t>
      </w:r>
      <w:r>
        <w:rPr>
          <w:highlight w:val="none"/>
        </w:rPr>
        <w:t>,与钢筋绑扎固定。管路宜沿最近的路线敷设并尽量减少弯曲和交叉。</w:t>
      </w:r>
    </w:p>
    <w:p w14:paraId="1B3C0F10">
      <w:pPr>
        <w:numPr>
          <w:ilvl w:val="0"/>
          <w:numId w:val="85"/>
        </w:numPr>
        <w:ind w:firstLine="480"/>
        <w:rPr>
          <w:highlight w:val="none"/>
        </w:rPr>
      </w:pPr>
      <w:r>
        <w:rPr>
          <w:rFonts w:hint="eastAsia"/>
          <w:highlight w:val="none"/>
        </w:rPr>
        <w:t>布管完成后，用扎丝绑扎在钢筋的</w:t>
      </w:r>
      <w:r>
        <w:rPr>
          <w:rFonts w:hint="eastAsia"/>
          <w:highlight w:val="yellow"/>
        </w:rPr>
        <w:t>底板</w:t>
      </w:r>
      <w:r>
        <w:rPr>
          <w:rFonts w:hint="eastAsia"/>
          <w:highlight w:val="none"/>
        </w:rPr>
        <w:t>筋上。</w:t>
      </w:r>
    </w:p>
    <w:p w14:paraId="405AE5FB">
      <w:pPr>
        <w:numPr>
          <w:ilvl w:val="0"/>
          <w:numId w:val="85"/>
        </w:numPr>
        <w:ind w:firstLine="480"/>
        <w:rPr>
          <w:highlight w:val="none"/>
        </w:rPr>
      </w:pPr>
      <w:r>
        <w:rPr>
          <w:rFonts w:hint="eastAsia"/>
          <w:highlight w:val="none"/>
        </w:rPr>
        <w:t>管口必须封堵严密。</w:t>
      </w:r>
    </w:p>
    <w:p w14:paraId="6BB28190">
      <w:pPr>
        <w:numPr>
          <w:ilvl w:val="0"/>
          <w:numId w:val="85"/>
        </w:numPr>
        <w:ind w:firstLine="480"/>
        <w:rPr>
          <w:highlight w:val="none"/>
        </w:rPr>
      </w:pPr>
      <w:r>
        <w:rPr>
          <w:rFonts w:hint="eastAsia"/>
          <w:highlight w:val="none"/>
        </w:rPr>
        <w:t>向上的管路在引出位置应用钢筋固定</w:t>
      </w:r>
      <w:r>
        <w:rPr>
          <w:highlight w:val="none"/>
        </w:rPr>
        <w:t>,用以固定位置和保护管路不受外力损伤折断。</w:t>
      </w:r>
    </w:p>
    <w:p w14:paraId="4B99484B">
      <w:pPr>
        <w:numPr>
          <w:ilvl w:val="0"/>
          <w:numId w:val="85"/>
        </w:numPr>
        <w:ind w:firstLine="480"/>
        <w:rPr>
          <w:highlight w:val="none"/>
        </w:rPr>
      </w:pPr>
      <w:r>
        <w:rPr>
          <w:rFonts w:hint="eastAsia"/>
          <w:highlight w:val="none"/>
        </w:rPr>
        <w:t>弯曲半径不小于管外径的六倍，且弯曲后无裂缝或显著的凹瘪现象。</w:t>
      </w:r>
    </w:p>
    <w:p w14:paraId="714F2839">
      <w:pPr>
        <w:numPr>
          <w:ilvl w:val="0"/>
          <w:numId w:val="85"/>
        </w:numPr>
        <w:ind w:firstLine="480"/>
        <w:rPr>
          <w:highlight w:val="none"/>
        </w:rPr>
      </w:pPr>
      <w:r>
        <w:rPr>
          <w:rFonts w:hint="eastAsia"/>
          <w:highlight w:val="none"/>
        </w:rPr>
        <w:t>离表面的净距不小于</w:t>
      </w:r>
      <w:r>
        <w:rPr>
          <w:highlight w:val="none"/>
        </w:rPr>
        <w:t>15mm，并列的管子间应留有间隙。</w:t>
      </w:r>
    </w:p>
    <w:p w14:paraId="71D908A0">
      <w:pPr>
        <w:numPr>
          <w:ilvl w:val="0"/>
          <w:numId w:val="85"/>
        </w:numPr>
        <w:ind w:firstLine="480"/>
        <w:rPr>
          <w:highlight w:val="none"/>
        </w:rPr>
      </w:pPr>
      <w:r>
        <w:rPr>
          <w:rFonts w:hint="eastAsia"/>
          <w:highlight w:val="none"/>
        </w:rPr>
        <w:t>混凝土结构内电管暗敷出梁、楼面偏差≤</w:t>
      </w:r>
      <w:r>
        <w:rPr>
          <w:highlight w:val="none"/>
        </w:rPr>
        <w:t>30mm。</w:t>
      </w:r>
    </w:p>
    <w:p w14:paraId="11DB9A54">
      <w:pPr>
        <w:numPr>
          <w:ilvl w:val="0"/>
          <w:numId w:val="85"/>
        </w:numPr>
        <w:ind w:firstLine="480"/>
        <w:rPr>
          <w:highlight w:val="none"/>
        </w:rPr>
      </w:pPr>
      <w:r>
        <w:rPr>
          <w:rFonts w:hint="eastAsia"/>
          <w:highlight w:val="none"/>
        </w:rPr>
        <w:t>绑扎点距离应≤</w:t>
      </w:r>
      <w:r>
        <w:rPr>
          <w:highlight w:val="none"/>
        </w:rPr>
        <w:t>500mm，管的直接处与绑扎点间距应≤15mm。管与盒的接头处与绑扎点间距应≤10mm。</w:t>
      </w:r>
    </w:p>
    <w:p w14:paraId="710E9D2D">
      <w:pPr>
        <w:numPr>
          <w:ilvl w:val="1"/>
          <w:numId w:val="81"/>
        </w:numPr>
        <w:ind w:firstLine="480"/>
        <w:rPr>
          <w:highlight w:val="none"/>
        </w:rPr>
      </w:pPr>
      <w:r>
        <w:rPr>
          <w:rFonts w:hint="eastAsia"/>
          <w:highlight w:val="none"/>
        </w:rPr>
        <w:t>管路连接、切断、弯曲</w:t>
      </w:r>
    </w:p>
    <w:p w14:paraId="5247A7C1">
      <w:pPr>
        <w:numPr>
          <w:ilvl w:val="0"/>
          <w:numId w:val="86"/>
        </w:numPr>
        <w:ind w:firstLine="480"/>
        <w:rPr>
          <w:highlight w:val="none"/>
        </w:rPr>
      </w:pPr>
      <w:r>
        <w:rPr>
          <w:rFonts w:hint="eastAsia"/>
          <w:highlight w:val="none"/>
        </w:rPr>
        <w:t>管路与管路的连接：使用与管路配套的套管和专用粘接剂。</w:t>
      </w:r>
    </w:p>
    <w:p w14:paraId="4EFB5E08">
      <w:pPr>
        <w:numPr>
          <w:ilvl w:val="0"/>
          <w:numId w:val="86"/>
        </w:numPr>
        <w:ind w:firstLine="480"/>
        <w:rPr>
          <w:highlight w:val="none"/>
        </w:rPr>
      </w:pPr>
      <w:r>
        <w:rPr>
          <w:rFonts w:hint="eastAsia"/>
          <w:highlight w:val="none"/>
        </w:rPr>
        <w:t>管路与箱盒的连接：使用配套的盒接头和胶粘剂，并用配套的锁母固定。</w:t>
      </w:r>
    </w:p>
    <w:p w14:paraId="5AA3EA94">
      <w:pPr>
        <w:numPr>
          <w:ilvl w:val="0"/>
          <w:numId w:val="86"/>
        </w:numPr>
        <w:ind w:firstLine="480"/>
        <w:rPr>
          <w:highlight w:val="none"/>
        </w:rPr>
      </w:pPr>
      <w:r>
        <w:rPr>
          <w:rFonts w:hint="eastAsia"/>
          <w:highlight w:val="none"/>
        </w:rPr>
        <w:t>管路切断的过程中不能使切断的管口发生变形，钢管则必须用钢锉把管口内外的毛刺修整平齐，不能出现斜口。</w:t>
      </w:r>
    </w:p>
    <w:p w14:paraId="534CD863">
      <w:pPr>
        <w:numPr>
          <w:ilvl w:val="0"/>
          <w:numId w:val="86"/>
        </w:numPr>
        <w:ind w:firstLine="480"/>
        <w:rPr>
          <w:highlight w:val="none"/>
        </w:rPr>
      </w:pPr>
      <w:r>
        <w:rPr>
          <w:rFonts w:hint="eastAsia"/>
          <w:highlight w:val="none"/>
        </w:rPr>
        <w:t>直径在</w:t>
      </w:r>
      <w:r>
        <w:rPr>
          <w:highlight w:val="none"/>
        </w:rPr>
        <w:t>32mm以下的管路，使用配套的弯管弹簧，直径在32mm以上的管路使用热煨法。</w:t>
      </w:r>
    </w:p>
    <w:p w14:paraId="7D94BF13">
      <w:pPr>
        <w:numPr>
          <w:ilvl w:val="0"/>
          <w:numId w:val="86"/>
        </w:numPr>
        <w:ind w:firstLine="480"/>
        <w:rPr>
          <w:highlight w:val="none"/>
        </w:rPr>
      </w:pPr>
      <w:r>
        <w:rPr>
          <w:rFonts w:hint="eastAsia"/>
          <w:highlight w:val="none"/>
        </w:rPr>
        <w:t>管口锉光滑、平整，接头应牢固紧密。</w:t>
      </w:r>
    </w:p>
    <w:p w14:paraId="0B3DBDF1">
      <w:pPr>
        <w:numPr>
          <w:ilvl w:val="0"/>
          <w:numId w:val="86"/>
        </w:numPr>
        <w:ind w:firstLine="480"/>
        <w:rPr>
          <w:highlight w:val="none"/>
        </w:rPr>
      </w:pPr>
      <w:r>
        <w:rPr>
          <w:rFonts w:hint="eastAsia"/>
          <w:highlight w:val="none"/>
        </w:rPr>
        <w:t>弯曲半径不小于管外径的</w:t>
      </w:r>
      <w:r>
        <w:rPr>
          <w:highlight w:val="none"/>
        </w:rPr>
        <w:t>6倍，且弯曲后无裂缝或显著的凹瘪现象。</w:t>
      </w:r>
    </w:p>
    <w:p w14:paraId="27B1D5C7">
      <w:pPr>
        <w:numPr>
          <w:ilvl w:val="0"/>
          <w:numId w:val="86"/>
        </w:numPr>
        <w:ind w:firstLine="480"/>
        <w:rPr>
          <w:highlight w:val="none"/>
        </w:rPr>
      </w:pPr>
      <w:r>
        <w:rPr>
          <w:rFonts w:hint="eastAsia"/>
          <w:highlight w:val="none"/>
        </w:rPr>
        <w:t>管路切断处切口平顺、无毛刺。</w:t>
      </w:r>
    </w:p>
    <w:p w14:paraId="76ABCA82">
      <w:pPr>
        <w:numPr>
          <w:ilvl w:val="0"/>
          <w:numId w:val="86"/>
        </w:numPr>
        <w:ind w:firstLine="480"/>
        <w:rPr>
          <w:highlight w:val="none"/>
        </w:rPr>
      </w:pPr>
      <w:r>
        <w:rPr>
          <w:rFonts w:hint="eastAsia"/>
          <w:highlight w:val="none"/>
        </w:rPr>
        <w:t>镀锌钢管连接处胶带缠绕圈数不少于</w:t>
      </w:r>
      <w:r>
        <w:rPr>
          <w:highlight w:val="none"/>
        </w:rPr>
        <w:t>4圈。</w:t>
      </w:r>
    </w:p>
    <w:p w14:paraId="2DB7B869">
      <w:pPr>
        <w:numPr>
          <w:ilvl w:val="1"/>
          <w:numId w:val="81"/>
        </w:numPr>
        <w:ind w:firstLine="480"/>
        <w:rPr>
          <w:highlight w:val="none"/>
        </w:rPr>
      </w:pPr>
      <w:r>
        <w:rPr>
          <w:rFonts w:hint="eastAsia"/>
          <w:highlight w:val="none"/>
        </w:rPr>
        <w:t>跨接地线</w:t>
      </w:r>
    </w:p>
    <w:p w14:paraId="6FA8B1AF">
      <w:pPr>
        <w:numPr>
          <w:ilvl w:val="0"/>
          <w:numId w:val="87"/>
        </w:numPr>
        <w:ind w:firstLine="480"/>
        <w:rPr>
          <w:highlight w:val="none"/>
        </w:rPr>
      </w:pPr>
      <w:r>
        <w:rPr>
          <w:rFonts w:hint="eastAsia"/>
          <w:highlight w:val="none"/>
        </w:rPr>
        <w:t>镀锌的钢导管、可挠性导管和金属线槽不得熔焊跨接接地线，以专用接地线卡跨接的两卡间连线为铜芯软导线。</w:t>
      </w:r>
    </w:p>
    <w:p w14:paraId="7EF0D05B">
      <w:pPr>
        <w:numPr>
          <w:ilvl w:val="0"/>
          <w:numId w:val="87"/>
        </w:numPr>
        <w:ind w:firstLine="480"/>
        <w:rPr>
          <w:highlight w:val="none"/>
        </w:rPr>
      </w:pPr>
      <w:r>
        <w:rPr>
          <w:rFonts w:hint="eastAsia"/>
          <w:highlight w:val="none"/>
        </w:rPr>
        <w:t>导线截面积不小于</w:t>
      </w:r>
      <w:r>
        <w:rPr>
          <w:highlight w:val="none"/>
        </w:rPr>
        <w:t>4mm</w:t>
      </w:r>
      <w:r>
        <w:rPr>
          <w:rFonts w:hint="eastAsia"/>
          <w:highlight w:val="none"/>
        </w:rPr>
        <w:t>²。</w:t>
      </w:r>
    </w:p>
    <w:p w14:paraId="452E870E">
      <w:pPr>
        <w:numPr>
          <w:ilvl w:val="0"/>
          <w:numId w:val="87"/>
        </w:numPr>
        <w:ind w:firstLine="480"/>
        <w:rPr>
          <w:highlight w:val="none"/>
        </w:rPr>
      </w:pPr>
      <w:r>
        <w:rPr>
          <w:rFonts w:hint="eastAsia"/>
          <w:highlight w:val="none"/>
        </w:rPr>
        <w:t>使用与镀锌钢管配套的专业接地线卡。</w:t>
      </w:r>
    </w:p>
    <w:p w14:paraId="022CB948">
      <w:pPr>
        <w:numPr>
          <w:ilvl w:val="1"/>
          <w:numId w:val="81"/>
        </w:numPr>
        <w:ind w:firstLine="480"/>
        <w:rPr>
          <w:highlight w:val="none"/>
        </w:rPr>
      </w:pPr>
      <w:r>
        <w:rPr>
          <w:rFonts w:hint="eastAsia"/>
          <w:highlight w:val="none"/>
        </w:rPr>
        <w:t>线管内应施工完成铝丝</w:t>
      </w:r>
      <w:r>
        <w:rPr>
          <w:highlight w:val="none"/>
        </w:rPr>
        <w:t>/</w:t>
      </w:r>
      <w:r>
        <w:rPr>
          <w:rFonts w:hint="eastAsia"/>
          <w:highlight w:val="none"/>
        </w:rPr>
        <w:t>钢丝</w:t>
      </w:r>
      <w:r>
        <w:rPr>
          <w:highlight w:val="none"/>
        </w:rPr>
        <w:t>/尼龙绳等导线穿线工作。</w:t>
      </w:r>
    </w:p>
    <w:p w14:paraId="11C8E87A">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.1.4多媒体箱、配电箱预制件</w:t>
      </w:r>
    </w:p>
    <w:p w14:paraId="5C26D5D4">
      <w:pPr>
        <w:numPr>
          <w:ilvl w:val="1"/>
          <w:numId w:val="88"/>
        </w:numPr>
        <w:spacing w:before="120" w:beforeLines="50" w:after="120" w:afterLines="50"/>
        <w:ind w:left="425" w:leftChars="177" w:firstLine="480"/>
        <w:rPr>
          <w:bCs/>
          <w:highlight w:val="none"/>
        </w:rPr>
      </w:pPr>
      <w:r>
        <w:rPr>
          <w:rFonts w:hint="eastAsia"/>
          <w:bCs/>
          <w:highlight w:val="none"/>
        </w:rPr>
        <w:t>制作模具：根据电箱箱体尺寸、安装标高以及安装墙面砌筑砖匹数排版设计开模；定型模具应固定牢固，拆卸方便，采用钢模或木模都可，建议使用钢模；预制块不应太重，以施工人员能顺利搬运为宜，过大过高应设置成2块组合（内部配筋加强）；预制块凹槽净宽度宜为箱体宽度＋50mm（每边留20-30mm塞缝），凹槽深度为箱体底盒＋10mm；预制块厚度与砌块同；预制块开口尺寸超过300mm或上部有斜顶砖处，其上部宜加2根钢筋带，托住上部砌块（钢筋位置需注意避开电线管开槽深度）。</w:t>
      </w:r>
    </w:p>
    <w:p w14:paraId="37583B58">
      <w:pPr>
        <w:numPr>
          <w:ilvl w:val="1"/>
          <w:numId w:val="88"/>
        </w:numPr>
        <w:spacing w:before="120" w:beforeLines="50" w:after="120" w:afterLines="50"/>
        <w:ind w:left="425" w:leftChars="177" w:firstLine="480"/>
        <w:rPr>
          <w:bCs/>
          <w:highlight w:val="none"/>
        </w:rPr>
      </w:pPr>
      <w:r>
        <w:rPr>
          <w:rFonts w:hint="eastAsia"/>
          <w:bCs/>
          <w:highlight w:val="none"/>
        </w:rPr>
        <w:t>墙体砌筑预制块安装：墙面砌筑时在电箱安装位将预制块预留墙体内。</w:t>
      </w:r>
    </w:p>
    <w:p w14:paraId="7D6D4578">
      <w:pPr>
        <w:numPr>
          <w:ilvl w:val="1"/>
          <w:numId w:val="88"/>
        </w:numPr>
        <w:spacing w:before="120" w:beforeLines="50" w:after="120" w:afterLines="50"/>
        <w:ind w:left="425" w:leftChars="177" w:firstLine="480"/>
        <w:rPr>
          <w:bCs/>
          <w:highlight w:val="none"/>
        </w:rPr>
      </w:pPr>
      <w:r>
        <w:rPr>
          <w:rFonts w:hint="eastAsia"/>
          <w:bCs/>
          <w:highlight w:val="none"/>
        </w:rPr>
        <w:t>安装电箱底盒：砌筑完成粉刷灰饼验收后，使用砂浆在预制块洞口处固定电箱底盒（电箱上下应将电线管洞预先开好）。</w:t>
      </w:r>
    </w:p>
    <w:p w14:paraId="18CD15E9">
      <w:pPr>
        <w:numPr>
          <w:ilvl w:val="1"/>
          <w:numId w:val="88"/>
        </w:numPr>
        <w:spacing w:before="120" w:beforeLines="50" w:after="120" w:afterLines="50"/>
        <w:ind w:left="425" w:leftChars="177" w:firstLine="480"/>
        <w:rPr>
          <w:bCs/>
          <w:highlight w:val="none"/>
        </w:rPr>
      </w:pPr>
      <w:r>
        <w:rPr>
          <w:rFonts w:hint="eastAsia"/>
          <w:bCs/>
          <w:highlight w:val="none"/>
        </w:rPr>
        <w:t>电箱底盒保护：线盒周边使用砂浆倒</w:t>
      </w:r>
      <w:r>
        <w:rPr>
          <w:bCs/>
          <w:highlight w:val="none"/>
        </w:rPr>
        <w:t>45°坡口，箱体配管穿引线，下方管口堵口，箱体洞口用硬纸板(或塑料板)封闭。</w:t>
      </w:r>
    </w:p>
    <w:p w14:paraId="51388DE2">
      <w:pPr>
        <w:spacing w:before="120" w:beforeLines="50" w:after="120"/>
        <w:ind w:left="420" w:firstLine="480"/>
        <w:rPr>
          <w:highlight w:val="none"/>
        </w:rPr>
      </w:pPr>
      <w:r>
        <w:rPr>
          <w:rFonts w:hint="eastAsia" w:ascii="Times New Roman" w:hAnsi="Times New Roman"/>
          <w:highlight w:val="none"/>
        </w:rPr>
        <w:t>7.</w:t>
      </w:r>
      <w:r>
        <w:rPr>
          <w:rFonts w:hint="eastAsia"/>
          <w:highlight w:val="none"/>
        </w:rPr>
        <w:t>1</w:t>
      </w:r>
      <w:r>
        <w:rPr>
          <w:rFonts w:hint="eastAsia"/>
          <w:highlight w:val="none"/>
          <w:lang w:val="en-US" w:eastAsia="zh-CN"/>
        </w:rPr>
        <w:t>2</w:t>
      </w:r>
      <w:r>
        <w:rPr>
          <w:rFonts w:hint="eastAsia" w:ascii="Times New Roman" w:hAnsi="Times New Roman"/>
          <w:highlight w:val="none"/>
        </w:rPr>
        <w:t>.1.5</w:t>
      </w:r>
      <w:r>
        <w:rPr>
          <w:rFonts w:hint="eastAsia"/>
          <w:highlight w:val="none"/>
        </w:rPr>
        <w:t>砌体墙面、混凝土</w:t>
      </w:r>
      <w:r>
        <w:rPr>
          <w:highlight w:val="none"/>
        </w:rPr>
        <w:t>墙面</w:t>
      </w:r>
      <w:r>
        <w:rPr>
          <w:rFonts w:hint="eastAsia"/>
          <w:highlight w:val="none"/>
        </w:rPr>
        <w:t>管线暗埋、后开槽与</w:t>
      </w:r>
      <w:r>
        <w:rPr>
          <w:highlight w:val="none"/>
        </w:rPr>
        <w:t>混凝土留洞技术措施及</w:t>
      </w:r>
      <w:r>
        <w:rPr>
          <w:rFonts w:hint="eastAsia"/>
          <w:highlight w:val="none"/>
        </w:rPr>
        <w:t>注意事项</w:t>
      </w:r>
    </w:p>
    <w:p w14:paraId="3D1C80D2">
      <w:pPr>
        <w:numPr>
          <w:ilvl w:val="1"/>
          <w:numId w:val="89"/>
        </w:numPr>
        <w:ind w:firstLine="480"/>
        <w:rPr>
          <w:highlight w:val="none"/>
        </w:rPr>
      </w:pPr>
      <w:r>
        <w:rPr>
          <w:rFonts w:hint="eastAsia"/>
          <w:highlight w:val="none"/>
        </w:rPr>
        <w:t>线管管槽定位：根据精装图纸，确定线盒及配管位置、放线、画线；</w:t>
      </w:r>
    </w:p>
    <w:p w14:paraId="3E49D7D0">
      <w:pPr>
        <w:numPr>
          <w:ilvl w:val="1"/>
          <w:numId w:val="89"/>
        </w:numPr>
        <w:ind w:firstLine="480"/>
        <w:rPr>
          <w:highlight w:val="none"/>
        </w:rPr>
      </w:pPr>
      <w:r>
        <w:rPr>
          <w:rFonts w:hint="eastAsia"/>
          <w:highlight w:val="none"/>
        </w:rPr>
        <w:t>切槽：使用多片切槽机切槽，用凿子剔出管槽里多余的砖渣</w:t>
      </w:r>
      <w:r>
        <w:rPr>
          <w:highlight w:val="none"/>
        </w:rPr>
        <w:t>,</w:t>
      </w:r>
      <w:r>
        <w:rPr>
          <w:rFonts w:hint="eastAsia"/>
          <w:highlight w:val="none"/>
        </w:rPr>
        <w:t>管槽宽度比管的外径大</w:t>
      </w:r>
      <w:r>
        <w:rPr>
          <w:highlight w:val="none"/>
        </w:rPr>
        <w:t>10mm，槽深为D+15mm。墙面水平开槽的长度不得大于50cm；</w:t>
      </w:r>
    </w:p>
    <w:p w14:paraId="12A7AB42">
      <w:pPr>
        <w:numPr>
          <w:ilvl w:val="1"/>
          <w:numId w:val="89"/>
        </w:numPr>
        <w:ind w:firstLine="480"/>
        <w:rPr>
          <w:highlight w:val="none"/>
        </w:rPr>
      </w:pPr>
      <w:r>
        <w:rPr>
          <w:rFonts w:hint="eastAsia"/>
          <w:highlight w:val="none"/>
        </w:rPr>
        <w:t>敷设线管及固定线管：放入槽后，每隔</w:t>
      </w:r>
      <w:r>
        <w:rPr>
          <w:highlight w:val="none"/>
        </w:rPr>
        <w:t>0.5m</w:t>
      </w:r>
      <w:r>
        <w:rPr>
          <w:rFonts w:hint="eastAsia"/>
          <w:highlight w:val="none"/>
        </w:rPr>
        <w:t>须用铁钉固定。首先用水浇湿管槽，再用高一标号水泥砂浆修补（砂浆强度等级不低于</w:t>
      </w:r>
      <w:r>
        <w:rPr>
          <w:highlight w:val="none"/>
        </w:rPr>
        <w:t>M10，两</w:t>
      </w:r>
      <w:r>
        <w:rPr>
          <w:rFonts w:hint="eastAsia"/>
          <w:highlight w:val="none"/>
        </w:rPr>
        <w:t>根管槽以下）；三根配管以上用细石混凝土补槽，并挂玻纤网（玻纤网宽度超过管道两边不小于</w:t>
      </w:r>
      <w:r>
        <w:rPr>
          <w:highlight w:val="none"/>
        </w:rPr>
        <w:t xml:space="preserve">10cm）；最后由土建统一面层抹灰,并排管间距h≥15mm，D为线管直径。 </w:t>
      </w:r>
    </w:p>
    <w:p w14:paraId="05F08B8C">
      <w:pPr>
        <w:spacing w:before="120" w:beforeLines="50" w:after="120" w:afterLines="50"/>
        <w:ind w:firstLine="480"/>
        <w:jc w:val="center"/>
        <w:rPr>
          <w:highlight w:val="none"/>
        </w:rPr>
      </w:pPr>
      <w:r>
        <w:rPr>
          <w:highlight w:val="none"/>
        </w:rPr>
        <w:drawing>
          <wp:inline distT="0" distB="0" distL="114300" distR="114300">
            <wp:extent cx="4033520" cy="1884680"/>
            <wp:effectExtent l="0" t="0" r="5080" b="1270"/>
            <wp:docPr id="13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3"/>
                    <pic:cNvPicPr>
                      <a:picLocks noChangeAspect="1"/>
                    </pic:cNvPicPr>
                  </pic:nvPicPr>
                  <pic:blipFill>
                    <a:blip r:embed="rId133"/>
                    <a:srcRect t="9039" b="8897"/>
                    <a:stretch>
                      <a:fillRect/>
                    </a:stretch>
                  </pic:blipFill>
                  <pic:spPr>
                    <a:xfrm>
                      <a:off x="0" y="0"/>
                      <a:ext cx="4033520" cy="1884680"/>
                    </a:xfrm>
                    <a:prstGeom prst="rect">
                      <a:avLst/>
                    </a:prstGeom>
                    <a:noFill/>
                    <a:ln>
                      <a:noFill/>
                    </a:ln>
                  </pic:spPr>
                </pic:pic>
              </a:graphicData>
            </a:graphic>
          </wp:inline>
        </w:drawing>
      </w:r>
    </w:p>
    <w:p w14:paraId="0F08EE61">
      <w:pPr>
        <w:numPr>
          <w:ilvl w:val="1"/>
          <w:numId w:val="89"/>
        </w:numPr>
        <w:ind w:firstLine="480"/>
        <w:rPr>
          <w:highlight w:val="none"/>
        </w:rPr>
      </w:pPr>
      <w:r>
        <w:rPr>
          <w:rFonts w:hint="eastAsia"/>
          <w:highlight w:val="none"/>
        </w:rPr>
        <w:t>注意事项</w:t>
      </w:r>
    </w:p>
    <w:p w14:paraId="4A8347A4">
      <w:pPr>
        <w:numPr>
          <w:ilvl w:val="0"/>
          <w:numId w:val="90"/>
        </w:numPr>
        <w:ind w:firstLine="480"/>
        <w:rPr>
          <w:highlight w:val="none"/>
        </w:rPr>
      </w:pPr>
      <w:r>
        <w:rPr>
          <w:rFonts w:hint="eastAsia"/>
          <w:highlight w:val="none"/>
        </w:rPr>
        <w:t>禁止现场抹灰墙面存在后开槽：在土建施工阶段加强与土建、精装修施工图纸复核，将精装修点位预留到位；</w:t>
      </w:r>
      <w:r>
        <w:rPr>
          <w:highlight w:val="none"/>
        </w:rPr>
        <w:t>加强现场施工工序的控制</w:t>
      </w:r>
      <w:r>
        <w:rPr>
          <w:rFonts w:hint="eastAsia"/>
          <w:highlight w:val="none"/>
        </w:rPr>
        <w:t>，</w:t>
      </w:r>
      <w:r>
        <w:rPr>
          <w:highlight w:val="none"/>
        </w:rPr>
        <w:t>管线开槽</w:t>
      </w:r>
      <w:r>
        <w:rPr>
          <w:rFonts w:hint="eastAsia"/>
          <w:highlight w:val="none"/>
        </w:rPr>
        <w:t>、</w:t>
      </w:r>
      <w:r>
        <w:rPr>
          <w:highlight w:val="none"/>
        </w:rPr>
        <w:t>封堵应在砌筑阶段施工完成</w:t>
      </w:r>
      <w:r>
        <w:rPr>
          <w:rFonts w:hint="eastAsia"/>
          <w:highlight w:val="none"/>
        </w:rPr>
        <w:t>。</w:t>
      </w:r>
    </w:p>
    <w:p w14:paraId="51283066">
      <w:pPr>
        <w:numPr>
          <w:ilvl w:val="0"/>
          <w:numId w:val="90"/>
        </w:numPr>
        <w:ind w:firstLine="480"/>
        <w:rPr>
          <w:highlight w:val="none"/>
        </w:rPr>
      </w:pPr>
      <w:r>
        <w:rPr>
          <w:rFonts w:hint="eastAsia"/>
          <w:highlight w:val="none"/>
        </w:rPr>
        <w:t>禁止混凝土墙面管线暗埋后开槽：</w:t>
      </w:r>
      <w:r>
        <w:rPr>
          <w:highlight w:val="none"/>
        </w:rPr>
        <w:t>在</w:t>
      </w:r>
      <w:r>
        <w:rPr>
          <w:rFonts w:hint="eastAsia"/>
          <w:highlight w:val="none"/>
        </w:rPr>
        <w:t>结构施工阶段</w:t>
      </w:r>
      <w:r>
        <w:rPr>
          <w:highlight w:val="none"/>
        </w:rPr>
        <w:t>，加强施工前的图纸会审</w:t>
      </w:r>
      <w:r>
        <w:rPr>
          <w:rFonts w:hint="eastAsia"/>
          <w:highlight w:val="none"/>
        </w:rPr>
        <w:t>，</w:t>
      </w:r>
      <w:r>
        <w:rPr>
          <w:highlight w:val="none"/>
        </w:rPr>
        <w:t>复核水电点位</w:t>
      </w:r>
      <w:r>
        <w:rPr>
          <w:rFonts w:hint="eastAsia"/>
          <w:highlight w:val="none"/>
        </w:rPr>
        <w:t>，将水电点位定位准确，合理布置管线，</w:t>
      </w:r>
      <w:r>
        <w:rPr>
          <w:highlight w:val="none"/>
        </w:rPr>
        <w:t>预留管槽</w:t>
      </w:r>
      <w:r>
        <w:rPr>
          <w:rFonts w:hint="eastAsia"/>
          <w:highlight w:val="none"/>
        </w:rPr>
        <w:t>，</w:t>
      </w:r>
      <w:r>
        <w:rPr>
          <w:highlight w:val="none"/>
        </w:rPr>
        <w:t>避免结构后开槽</w:t>
      </w:r>
      <w:r>
        <w:rPr>
          <w:rFonts w:hint="eastAsia"/>
          <w:highlight w:val="none"/>
        </w:rPr>
        <w:t>。</w:t>
      </w:r>
    </w:p>
    <w:p w14:paraId="2486AB33">
      <w:pPr>
        <w:numPr>
          <w:ilvl w:val="0"/>
          <w:numId w:val="90"/>
        </w:numPr>
        <w:ind w:firstLine="480"/>
        <w:rPr>
          <w:highlight w:val="none"/>
        </w:rPr>
      </w:pPr>
      <w:r>
        <w:rPr>
          <w:rFonts w:hint="eastAsia"/>
          <w:highlight w:val="none"/>
        </w:rPr>
        <w:t>混凝土留洞：加强施工前的图纸会审，</w:t>
      </w:r>
      <w:r>
        <w:rPr>
          <w:highlight w:val="none"/>
        </w:rPr>
        <w:t>复核机电施工点位</w:t>
      </w:r>
      <w:r>
        <w:rPr>
          <w:rFonts w:hint="eastAsia"/>
          <w:highlight w:val="none"/>
        </w:rPr>
        <w:t>，将预留孔洞定位准确，避免结构后开洞、扩孔破坏钢筋，保证结构安全。</w:t>
      </w:r>
    </w:p>
    <w:p w14:paraId="619A9B7F">
      <w:pPr>
        <w:pStyle w:val="5"/>
        <w:numPr>
          <w:ilvl w:val="2"/>
          <w:numId w:val="0"/>
        </w:numPr>
        <w:ind w:left="624" w:hanging="624"/>
        <w:rPr>
          <w:highlight w:val="none"/>
        </w:rPr>
      </w:pPr>
      <w:bookmarkStart w:id="870" w:name="_Toc23403"/>
      <w:r>
        <w:rPr>
          <w:rFonts w:hint="eastAsia"/>
          <w:highlight w:val="none"/>
        </w:rPr>
        <w:t>7.1</w:t>
      </w:r>
      <w:r>
        <w:rPr>
          <w:rFonts w:hint="eastAsia"/>
          <w:highlight w:val="none"/>
          <w:lang w:val="en-US" w:eastAsia="zh-CN"/>
        </w:rPr>
        <w:t>2</w:t>
      </w:r>
      <w:r>
        <w:rPr>
          <w:rFonts w:hint="eastAsia"/>
          <w:highlight w:val="none"/>
        </w:rPr>
        <w:t>.2给排水工程</w:t>
      </w:r>
      <w:bookmarkEnd w:id="870"/>
    </w:p>
    <w:p w14:paraId="675EE163">
      <w:pPr>
        <w:ind w:firstLine="480"/>
        <w:rPr>
          <w:highlight w:val="none"/>
        </w:rPr>
      </w:pPr>
      <w:r>
        <w:rPr>
          <w:highlight w:val="none"/>
        </w:rPr>
        <w:t>套管比立管大2个管号，套管间隙10～20mm为宜，套管高出装饰面层20～30mm，多水房间时应为50mm，穿屋面应为1000mm。套管安装前内外刷防锈漆。调整套管与管道的同心度，套管与板底平齐，管道安装就位后，用沥青油膏或膨胀水泥砂浆嵌缝。</w:t>
      </w:r>
    </w:p>
    <w:p w14:paraId="63898EB1">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.2.1给水系统</w:t>
      </w:r>
      <w:r>
        <w:rPr>
          <w:highlight w:val="none"/>
        </w:rPr>
        <w:t>–</w:t>
      </w:r>
      <w:r>
        <w:rPr>
          <w:rFonts w:hint="eastAsia"/>
          <w:highlight w:val="none"/>
        </w:rPr>
        <w:t>衬塑钢管安装</w:t>
      </w:r>
    </w:p>
    <w:p w14:paraId="6149C5AA">
      <w:pPr>
        <w:ind w:firstLine="480"/>
        <w:rPr>
          <w:highlight w:val="none"/>
        </w:rPr>
      </w:pPr>
      <w:r>
        <w:rPr>
          <w:rFonts w:hint="eastAsia"/>
          <w:highlight w:val="none"/>
        </w:rPr>
        <w:t>总承包人需审核施工图纸及其它技术文件是否齐全，图纸深度是否满足施工要求；管道布置空间与建筑物及其它专业管道是否有交叉和矛盾，与设备、阀件相连接的口径、方位、坐标、标高是否相符；检查土建施工预留槽洞、套管位置是否正确。</w:t>
      </w:r>
    </w:p>
    <w:p w14:paraId="523ED4B9">
      <w:pPr>
        <w:numPr>
          <w:ilvl w:val="1"/>
          <w:numId w:val="91"/>
        </w:numPr>
        <w:ind w:firstLine="480"/>
        <w:rPr>
          <w:highlight w:val="none"/>
        </w:rPr>
      </w:pPr>
      <w:r>
        <w:rPr>
          <w:rFonts w:hint="eastAsia"/>
          <w:highlight w:val="none"/>
        </w:rPr>
        <w:t>管材切割：应使用电动带锯、高速电动圆锯机等垂直切割，严防切管衬层变形、损坏。</w:t>
      </w:r>
    </w:p>
    <w:p w14:paraId="02BEC5A9">
      <w:pPr>
        <w:numPr>
          <w:ilvl w:val="1"/>
          <w:numId w:val="91"/>
        </w:numPr>
        <w:ind w:firstLine="480"/>
        <w:rPr>
          <w:highlight w:val="none"/>
        </w:rPr>
      </w:pPr>
      <w:r>
        <w:rPr>
          <w:rFonts w:hint="eastAsia"/>
          <w:highlight w:val="none"/>
        </w:rPr>
        <w:t>加工管螺纹：准备加工螺纹的管段，外圆必须正常（不椭圆、无损伤），使用套丝机或手工管子铰板加工螺纹。加工螺纹后，要用螺纹规鉴定是否标准。</w:t>
      </w:r>
    </w:p>
    <w:p w14:paraId="20ADC99D">
      <w:pPr>
        <w:numPr>
          <w:ilvl w:val="1"/>
          <w:numId w:val="91"/>
        </w:numPr>
        <w:ind w:firstLine="480"/>
        <w:rPr>
          <w:highlight w:val="none"/>
        </w:rPr>
      </w:pPr>
      <w:r>
        <w:rPr>
          <w:rFonts w:hint="eastAsia"/>
          <w:highlight w:val="none"/>
        </w:rPr>
        <w:t>里衬倒斜角：为了容易导入管件中的芯子夹层，用刮刀切去衬层厚度的一半；倒角处必须保留衬层厚度的</w:t>
      </w:r>
      <w:r>
        <w:rPr>
          <w:highlight w:val="none"/>
        </w:rPr>
        <w:t>1/2。</w:t>
      </w:r>
    </w:p>
    <w:p w14:paraId="257FD4FA">
      <w:pPr>
        <w:numPr>
          <w:ilvl w:val="1"/>
          <w:numId w:val="91"/>
        </w:numPr>
        <w:ind w:firstLine="480"/>
        <w:rPr>
          <w:highlight w:val="none"/>
        </w:rPr>
      </w:pPr>
      <w:r>
        <w:rPr>
          <w:rFonts w:hint="eastAsia"/>
          <w:highlight w:val="none"/>
        </w:rPr>
        <w:t>管道安装：用虎头钳子夹紧管子，装上管件，用手拧紧。</w:t>
      </w:r>
    </w:p>
    <w:p w14:paraId="410B10F9">
      <w:pPr>
        <w:numPr>
          <w:ilvl w:val="1"/>
          <w:numId w:val="91"/>
        </w:numPr>
        <w:ind w:firstLine="480"/>
        <w:rPr>
          <w:highlight w:val="none"/>
        </w:rPr>
      </w:pPr>
      <w:r>
        <w:rPr>
          <w:rFonts w:hint="eastAsia"/>
          <w:highlight w:val="none"/>
        </w:rPr>
        <w:t>管道支吊架安装：所有管道支吊架应为钢制，制作完成后进行防锈刷漆处理。在阀门及大口径管道上需支撑的配</w:t>
      </w:r>
      <w:r>
        <w:rPr>
          <w:highlight w:val="none"/>
        </w:rPr>
        <w:t>/附件位置均应增设支吊架，以防止管道受力过大。</w:t>
      </w:r>
    </w:p>
    <w:p w14:paraId="66A3B1A4">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.2.2给水系统</w:t>
      </w:r>
      <w:r>
        <w:rPr>
          <w:highlight w:val="none"/>
        </w:rPr>
        <w:t>–PPR管道安装</w:t>
      </w:r>
    </w:p>
    <w:p w14:paraId="6280E574">
      <w:pPr>
        <w:numPr>
          <w:ilvl w:val="1"/>
          <w:numId w:val="92"/>
        </w:numPr>
        <w:ind w:firstLine="480"/>
        <w:rPr>
          <w:highlight w:val="none"/>
        </w:rPr>
      </w:pPr>
      <w:r>
        <w:rPr>
          <w:rFonts w:hint="eastAsia"/>
          <w:highlight w:val="none"/>
        </w:rPr>
        <w:t>材料验收</w:t>
      </w:r>
    </w:p>
    <w:p w14:paraId="2D173ADB">
      <w:pPr>
        <w:numPr>
          <w:ilvl w:val="0"/>
          <w:numId w:val="93"/>
        </w:numPr>
        <w:ind w:firstLine="480"/>
        <w:rPr>
          <w:highlight w:val="none"/>
        </w:rPr>
      </w:pPr>
      <w:r>
        <w:rPr>
          <w:rFonts w:hint="eastAsia"/>
          <w:highlight w:val="none"/>
        </w:rPr>
        <w:t>压力等级、外径、壁厚符合设计文件及规范要求，合格证等质量证明文件齐全。</w:t>
      </w:r>
    </w:p>
    <w:p w14:paraId="4288ED09">
      <w:pPr>
        <w:numPr>
          <w:ilvl w:val="0"/>
          <w:numId w:val="93"/>
        </w:numPr>
        <w:ind w:firstLine="480"/>
        <w:rPr>
          <w:highlight w:val="none"/>
        </w:rPr>
      </w:pPr>
      <w:r>
        <w:rPr>
          <w:rFonts w:hint="eastAsia"/>
          <w:highlight w:val="none"/>
        </w:rPr>
        <w:t>管材和管件的内外壁应光滑平整，无气泡、裂纹、脱皮和明显的痕纹、凹陷，色泽应基本一致。</w:t>
      </w:r>
    </w:p>
    <w:p w14:paraId="3E13B83A">
      <w:pPr>
        <w:numPr>
          <w:ilvl w:val="0"/>
          <w:numId w:val="93"/>
        </w:numPr>
        <w:ind w:firstLine="480"/>
        <w:rPr>
          <w:highlight w:val="none"/>
        </w:rPr>
      </w:pPr>
      <w:r>
        <w:rPr>
          <w:rFonts w:hint="eastAsia"/>
          <w:highlight w:val="none"/>
        </w:rPr>
        <w:t>管材的断面应垂直于管材的轴线。管件应完整、无缺损、无变形。</w:t>
      </w:r>
    </w:p>
    <w:p w14:paraId="39EE8579">
      <w:pPr>
        <w:numPr>
          <w:ilvl w:val="0"/>
          <w:numId w:val="93"/>
        </w:numPr>
        <w:ind w:firstLine="480"/>
        <w:rPr>
          <w:highlight w:val="none"/>
        </w:rPr>
      </w:pPr>
      <w:r>
        <w:rPr>
          <w:rFonts w:hint="eastAsia"/>
          <w:highlight w:val="none"/>
        </w:rPr>
        <w:t>搬运管材和管件时，应小心轻放，避免油污，严禁剧烈撞击，与尖锐物触碰和抛、摔、拖。</w:t>
      </w:r>
    </w:p>
    <w:p w14:paraId="4D80EA26">
      <w:pPr>
        <w:numPr>
          <w:ilvl w:val="0"/>
          <w:numId w:val="93"/>
        </w:numPr>
        <w:ind w:firstLine="480"/>
        <w:rPr>
          <w:highlight w:val="none"/>
        </w:rPr>
      </w:pPr>
      <w:r>
        <w:rPr>
          <w:rFonts w:hint="eastAsia"/>
          <w:highlight w:val="none"/>
        </w:rPr>
        <w:t>现场设置材料架，具有遮阳措施，管件和管材按标签平整堆放，堆放高度不可高于</w:t>
      </w:r>
      <w:r>
        <w:rPr>
          <w:highlight w:val="none"/>
        </w:rPr>
        <w:t>1.5m。</w:t>
      </w:r>
    </w:p>
    <w:p w14:paraId="2399EC42">
      <w:pPr>
        <w:numPr>
          <w:ilvl w:val="0"/>
          <w:numId w:val="93"/>
        </w:numPr>
        <w:ind w:firstLine="480"/>
        <w:rPr>
          <w:highlight w:val="none"/>
        </w:rPr>
      </w:pPr>
      <w:r>
        <w:rPr>
          <w:rFonts w:hint="eastAsia"/>
          <w:highlight w:val="none"/>
        </w:rPr>
        <w:t>支吊架施工</w:t>
      </w:r>
    </w:p>
    <w:p w14:paraId="601A6DC1">
      <w:pPr>
        <w:numPr>
          <w:ilvl w:val="0"/>
          <w:numId w:val="93"/>
        </w:numPr>
        <w:ind w:firstLine="480"/>
        <w:rPr>
          <w:highlight w:val="none"/>
        </w:rPr>
      </w:pPr>
      <w:r>
        <w:rPr>
          <w:rFonts w:hint="eastAsia"/>
          <w:highlight w:val="none"/>
        </w:rPr>
        <w:t>支架间距、型材规格符合相关规范、图集要求。</w:t>
      </w:r>
    </w:p>
    <w:p w14:paraId="56D65C92">
      <w:pPr>
        <w:numPr>
          <w:ilvl w:val="0"/>
          <w:numId w:val="93"/>
        </w:numPr>
        <w:ind w:firstLine="480"/>
        <w:rPr>
          <w:highlight w:val="none"/>
        </w:rPr>
      </w:pPr>
      <w:r>
        <w:rPr>
          <w:rFonts w:hint="eastAsia"/>
          <w:highlight w:val="none"/>
        </w:rPr>
        <w:t>分支管采用专用管卡。</w:t>
      </w:r>
    </w:p>
    <w:p w14:paraId="43A3F78C">
      <w:pPr>
        <w:numPr>
          <w:ilvl w:val="0"/>
          <w:numId w:val="93"/>
        </w:numPr>
        <w:ind w:firstLine="480"/>
        <w:rPr>
          <w:highlight w:val="none"/>
        </w:rPr>
      </w:pPr>
      <w:r>
        <w:rPr>
          <w:rFonts w:hint="eastAsia"/>
          <w:highlight w:val="none"/>
        </w:rPr>
        <w:t>主干管（联合管道）采用型钢支架，支吊架除锈、刷漆；交付时支吊架漆面光洁、无锈蚀，型钢支吊架倒角。</w:t>
      </w:r>
    </w:p>
    <w:p w14:paraId="2D2C7846">
      <w:pPr>
        <w:numPr>
          <w:ilvl w:val="0"/>
          <w:numId w:val="93"/>
        </w:numPr>
        <w:ind w:firstLine="480"/>
        <w:rPr>
          <w:highlight w:val="none"/>
        </w:rPr>
      </w:pPr>
      <w:r>
        <w:rPr>
          <w:rFonts w:hint="eastAsia"/>
          <w:highlight w:val="none"/>
        </w:rPr>
        <w:t>采用金属管卡时，需加设橡胶垫片。</w:t>
      </w:r>
    </w:p>
    <w:p w14:paraId="65C99BF6">
      <w:pPr>
        <w:numPr>
          <w:ilvl w:val="1"/>
          <w:numId w:val="92"/>
        </w:numPr>
        <w:ind w:firstLine="480"/>
        <w:rPr>
          <w:highlight w:val="none"/>
        </w:rPr>
      </w:pPr>
      <w:r>
        <w:rPr>
          <w:rFonts w:hint="eastAsia"/>
          <w:highlight w:val="none"/>
        </w:rPr>
        <w:t>管道及管件安装</w:t>
      </w:r>
    </w:p>
    <w:p w14:paraId="3DB51401">
      <w:pPr>
        <w:numPr>
          <w:ilvl w:val="0"/>
          <w:numId w:val="94"/>
        </w:numPr>
        <w:ind w:firstLine="480"/>
        <w:rPr>
          <w:highlight w:val="none"/>
        </w:rPr>
      </w:pPr>
      <w:r>
        <w:rPr>
          <w:rFonts w:hint="eastAsia"/>
          <w:highlight w:val="none"/>
        </w:rPr>
        <w:t>管道不得穿越电气设备间、风道、排水设施。</w:t>
      </w:r>
    </w:p>
    <w:p w14:paraId="5E78AC24">
      <w:pPr>
        <w:numPr>
          <w:ilvl w:val="0"/>
          <w:numId w:val="94"/>
        </w:numPr>
        <w:ind w:firstLine="480"/>
        <w:rPr>
          <w:highlight w:val="none"/>
        </w:rPr>
      </w:pPr>
      <w:r>
        <w:rPr>
          <w:rFonts w:hint="eastAsia"/>
          <w:highlight w:val="none"/>
        </w:rPr>
        <w:t>横干管与墙、地沟净距≥</w:t>
      </w:r>
      <w:r>
        <w:rPr>
          <w:highlight w:val="none"/>
        </w:rPr>
        <w:t>100mm，与梁、柱≥50mm（无接头）。</w:t>
      </w:r>
    </w:p>
    <w:p w14:paraId="1BEF0D72">
      <w:pPr>
        <w:numPr>
          <w:ilvl w:val="0"/>
          <w:numId w:val="94"/>
        </w:numPr>
        <w:ind w:firstLine="480"/>
        <w:rPr>
          <w:highlight w:val="none"/>
        </w:rPr>
      </w:pPr>
      <w:r>
        <w:rPr>
          <w:rFonts w:hint="eastAsia"/>
          <w:highlight w:val="none"/>
        </w:rPr>
        <w:t>立管管中心距柱≥</w:t>
      </w:r>
      <w:r>
        <w:rPr>
          <w:highlight w:val="none"/>
        </w:rPr>
        <w:t>50mm，根据管径大小距墙面25mm～60mm。</w:t>
      </w:r>
    </w:p>
    <w:p w14:paraId="0FA2BB27">
      <w:pPr>
        <w:numPr>
          <w:ilvl w:val="0"/>
          <w:numId w:val="94"/>
        </w:numPr>
        <w:ind w:firstLine="480"/>
        <w:rPr>
          <w:highlight w:val="none"/>
        </w:rPr>
      </w:pPr>
      <w:r>
        <w:rPr>
          <w:rFonts w:hint="eastAsia"/>
          <w:highlight w:val="none"/>
        </w:rPr>
        <w:t>管道平行安装时，冷水管位于热水管下方，连接器具时，冷水管位于热水管右侧。</w:t>
      </w:r>
    </w:p>
    <w:p w14:paraId="274F55AB">
      <w:pPr>
        <w:numPr>
          <w:ilvl w:val="0"/>
          <w:numId w:val="94"/>
        </w:numPr>
        <w:ind w:firstLine="480"/>
        <w:rPr>
          <w:highlight w:val="none"/>
        </w:rPr>
      </w:pPr>
      <w:r>
        <w:rPr>
          <w:rFonts w:hint="eastAsia"/>
          <w:highlight w:val="none"/>
        </w:rPr>
        <w:t>管井内管道安装前，应深化图纸，保证安装及检修要求，合理排布。</w:t>
      </w:r>
    </w:p>
    <w:p w14:paraId="2685631A">
      <w:pPr>
        <w:numPr>
          <w:ilvl w:val="0"/>
          <w:numId w:val="94"/>
        </w:numPr>
        <w:ind w:firstLine="480"/>
        <w:rPr>
          <w:highlight w:val="none"/>
        </w:rPr>
      </w:pPr>
      <w:r>
        <w:rPr>
          <w:rFonts w:hint="eastAsia"/>
          <w:highlight w:val="none"/>
        </w:rPr>
        <w:t>与金属管连接时，采用丝扣或法兰连接。</w:t>
      </w:r>
    </w:p>
    <w:p w14:paraId="5BE4E528">
      <w:pPr>
        <w:numPr>
          <w:ilvl w:val="0"/>
          <w:numId w:val="94"/>
        </w:numPr>
        <w:ind w:firstLine="480"/>
        <w:rPr>
          <w:highlight w:val="none"/>
        </w:rPr>
      </w:pPr>
      <w:r>
        <w:rPr>
          <w:rFonts w:hint="eastAsia"/>
          <w:highlight w:val="none"/>
        </w:rPr>
        <w:t>给水引入管应有≥</w:t>
      </w:r>
      <w:r>
        <w:rPr>
          <w:highlight w:val="none"/>
        </w:rPr>
        <w:t>0.3%的坡度坡向室外。</w:t>
      </w:r>
    </w:p>
    <w:p w14:paraId="1C29495A">
      <w:pPr>
        <w:numPr>
          <w:ilvl w:val="0"/>
          <w:numId w:val="94"/>
        </w:numPr>
        <w:ind w:firstLine="480"/>
        <w:rPr>
          <w:highlight w:val="none"/>
        </w:rPr>
      </w:pPr>
      <w:r>
        <w:rPr>
          <w:rFonts w:hint="eastAsia"/>
          <w:highlight w:val="none"/>
        </w:rPr>
        <w:t>热熔时，量出热熔深度，并做好标记，环境温度＜</w:t>
      </w:r>
      <w:r>
        <w:rPr>
          <w:highlight w:val="none"/>
        </w:rPr>
        <w:t>5℃时，加热时间延长50%。</w:t>
      </w:r>
    </w:p>
    <w:p w14:paraId="6C0E3B8E">
      <w:pPr>
        <w:numPr>
          <w:ilvl w:val="0"/>
          <w:numId w:val="94"/>
        </w:numPr>
        <w:ind w:firstLine="480"/>
        <w:rPr>
          <w:highlight w:val="none"/>
        </w:rPr>
      </w:pPr>
      <w:r>
        <w:rPr>
          <w:rFonts w:hint="eastAsia"/>
          <w:highlight w:val="none"/>
        </w:rPr>
        <w:t>法兰盘压力等级相同，法兰垂直于管轴线，表面相互平行，橡胶垫无毒、抗老化；螺栓规格相同，方向一致，螺栓应露出螺母</w:t>
      </w:r>
      <w:r>
        <w:rPr>
          <w:highlight w:val="none"/>
        </w:rPr>
        <w:t>2～3扣丝。</w:t>
      </w:r>
    </w:p>
    <w:p w14:paraId="1353D916">
      <w:pPr>
        <w:numPr>
          <w:ilvl w:val="1"/>
          <w:numId w:val="92"/>
        </w:numPr>
        <w:ind w:firstLine="480"/>
        <w:rPr>
          <w:highlight w:val="none"/>
        </w:rPr>
      </w:pPr>
      <w:r>
        <w:rPr>
          <w:rFonts w:hint="eastAsia"/>
          <w:highlight w:val="none"/>
        </w:rPr>
        <w:t>管道试压及冲洗</w:t>
      </w:r>
    </w:p>
    <w:p w14:paraId="334C34DA">
      <w:pPr>
        <w:numPr>
          <w:ilvl w:val="0"/>
          <w:numId w:val="95"/>
        </w:numPr>
        <w:ind w:firstLine="480"/>
        <w:rPr>
          <w:highlight w:val="none"/>
        </w:rPr>
      </w:pPr>
      <w:r>
        <w:rPr>
          <w:rFonts w:hint="eastAsia"/>
          <w:highlight w:val="none"/>
        </w:rPr>
        <w:t>压力试压前，系统管道中阀门位于开启状态，水表采用短支管替代。</w:t>
      </w:r>
    </w:p>
    <w:p w14:paraId="412CDE41">
      <w:pPr>
        <w:numPr>
          <w:ilvl w:val="0"/>
          <w:numId w:val="95"/>
        </w:numPr>
        <w:ind w:firstLine="480"/>
        <w:rPr>
          <w:highlight w:val="none"/>
        </w:rPr>
      </w:pPr>
      <w:r>
        <w:rPr>
          <w:rFonts w:hint="eastAsia"/>
          <w:highlight w:val="none"/>
        </w:rPr>
        <w:t>热连接的管道，水压试验的时间应在连接完成</w:t>
      </w:r>
      <w:r>
        <w:rPr>
          <w:highlight w:val="none"/>
        </w:rPr>
        <w:t>24h后进行。</w:t>
      </w:r>
    </w:p>
    <w:p w14:paraId="60A9B516">
      <w:pPr>
        <w:numPr>
          <w:ilvl w:val="0"/>
          <w:numId w:val="95"/>
        </w:numPr>
        <w:ind w:firstLine="480"/>
        <w:rPr>
          <w:highlight w:val="none"/>
        </w:rPr>
      </w:pPr>
      <w:r>
        <w:rPr>
          <w:rFonts w:hint="eastAsia"/>
          <w:highlight w:val="none"/>
        </w:rPr>
        <w:t>水压试验前，试压管道应固定，但接头部位应明露。</w:t>
      </w:r>
    </w:p>
    <w:p w14:paraId="4E47A164">
      <w:pPr>
        <w:numPr>
          <w:ilvl w:val="0"/>
          <w:numId w:val="95"/>
        </w:numPr>
        <w:ind w:firstLine="480"/>
        <w:rPr>
          <w:highlight w:val="none"/>
        </w:rPr>
      </w:pPr>
      <w:r>
        <w:rPr>
          <w:rFonts w:hint="eastAsia"/>
          <w:highlight w:val="none"/>
        </w:rPr>
        <w:t>管道压力试验合格后，管道余水应采用有组织排放。</w:t>
      </w:r>
    </w:p>
    <w:p w14:paraId="1B07D47D">
      <w:pPr>
        <w:numPr>
          <w:ilvl w:val="0"/>
          <w:numId w:val="95"/>
        </w:numPr>
        <w:ind w:firstLine="480"/>
        <w:rPr>
          <w:highlight w:val="none"/>
        </w:rPr>
      </w:pPr>
      <w:r>
        <w:rPr>
          <w:rFonts w:hint="eastAsia"/>
          <w:highlight w:val="none"/>
        </w:rPr>
        <w:t>在竣工验收前进行冲洗、消毒，冲洗水采用生活饮用水，流速≥</w:t>
      </w:r>
      <w:r>
        <w:rPr>
          <w:highlight w:val="none"/>
        </w:rPr>
        <w:t>1.0m/s。</w:t>
      </w:r>
    </w:p>
    <w:p w14:paraId="1CB1674E">
      <w:pPr>
        <w:numPr>
          <w:ilvl w:val="0"/>
          <w:numId w:val="95"/>
        </w:numPr>
        <w:ind w:firstLine="480"/>
        <w:rPr>
          <w:highlight w:val="none"/>
        </w:rPr>
      </w:pPr>
      <w:r>
        <w:rPr>
          <w:rFonts w:hint="eastAsia"/>
          <w:highlight w:val="none"/>
        </w:rPr>
        <w:t>管道的各配水点、受力点以及穿墙支管节点处，使用专用墙装弯头及管卡固定。</w:t>
      </w:r>
    </w:p>
    <w:p w14:paraId="1237F1D7">
      <w:pPr>
        <w:numPr>
          <w:ilvl w:val="1"/>
          <w:numId w:val="92"/>
        </w:numPr>
        <w:ind w:firstLine="480"/>
        <w:rPr>
          <w:highlight w:val="none"/>
        </w:rPr>
      </w:pPr>
      <w:r>
        <w:rPr>
          <w:rFonts w:hint="eastAsia"/>
          <w:highlight w:val="none"/>
        </w:rPr>
        <w:t>给水</w:t>
      </w:r>
      <w:r>
        <w:rPr>
          <w:highlight w:val="none"/>
        </w:rPr>
        <w:t>PPR</w:t>
      </w:r>
      <w:r>
        <w:rPr>
          <w:rFonts w:hint="eastAsia"/>
          <w:highlight w:val="none"/>
        </w:rPr>
        <w:t>的补偿措施：</w:t>
      </w:r>
    </w:p>
    <w:p w14:paraId="20E906A4">
      <w:pPr>
        <w:ind w:firstLine="480"/>
        <w:rPr>
          <w:highlight w:val="none"/>
        </w:rPr>
      </w:pPr>
      <w:r>
        <w:rPr>
          <w:rFonts w:hint="eastAsia"/>
          <w:highlight w:val="none"/>
        </w:rPr>
        <w:t>当条件具备时，横管或立管充分利用建筑空间，以Ω形管道作变形补偿，条件不具备时应设置补偿器。</w:t>
      </w:r>
    </w:p>
    <w:p w14:paraId="3D7E36DA">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.2.3给水系统</w:t>
      </w:r>
      <w:r>
        <w:rPr>
          <w:highlight w:val="none"/>
        </w:rPr>
        <w:t>–不锈钢管安装</w:t>
      </w:r>
    </w:p>
    <w:p w14:paraId="69EF6083">
      <w:pPr>
        <w:numPr>
          <w:ilvl w:val="1"/>
          <w:numId w:val="96"/>
        </w:numPr>
        <w:ind w:firstLine="480"/>
        <w:rPr>
          <w:highlight w:val="none"/>
        </w:rPr>
      </w:pPr>
      <w:r>
        <w:rPr>
          <w:rFonts w:hint="eastAsia"/>
          <w:highlight w:val="none"/>
        </w:rPr>
        <w:t>管道不得浇注在钢筋混凝土结构层中。</w:t>
      </w:r>
    </w:p>
    <w:p w14:paraId="6F7E97EC">
      <w:pPr>
        <w:numPr>
          <w:ilvl w:val="1"/>
          <w:numId w:val="96"/>
        </w:numPr>
        <w:ind w:firstLine="480"/>
        <w:rPr>
          <w:highlight w:val="none"/>
        </w:rPr>
      </w:pPr>
      <w:r>
        <w:rPr>
          <w:rFonts w:hint="eastAsia"/>
          <w:highlight w:val="none"/>
        </w:rPr>
        <w:t>不锈钢管材和管件不宜与水泥、水泥砂浆、混凝土直接接触。为防止氯化物对管道腐蚀，可在管外套塑料膜或缠绕防腐胶带保护。</w:t>
      </w:r>
    </w:p>
    <w:p w14:paraId="76AA2F69">
      <w:pPr>
        <w:numPr>
          <w:ilvl w:val="1"/>
          <w:numId w:val="96"/>
        </w:numPr>
        <w:ind w:firstLine="480"/>
        <w:rPr>
          <w:highlight w:val="none"/>
        </w:rPr>
      </w:pPr>
      <w:r>
        <w:rPr>
          <w:rFonts w:hint="eastAsia"/>
          <w:highlight w:val="none"/>
        </w:rPr>
        <w:t>埋地宜选用覆塑不锈钢管，可避免土壤对管外壁的酸碱腐蚀和硬质杂物对管材表面的损伤。亦可采用其他包扎材料作防腐措施，如外缠两层聚乙烯带，包扎两层沥青漆（或环氧树脂）玻璃纤维塑胶布防腐。</w:t>
      </w:r>
    </w:p>
    <w:p w14:paraId="340E6D51">
      <w:pPr>
        <w:numPr>
          <w:ilvl w:val="1"/>
          <w:numId w:val="96"/>
        </w:numPr>
        <w:ind w:firstLine="480"/>
        <w:rPr>
          <w:highlight w:val="none"/>
        </w:rPr>
      </w:pPr>
      <w:r>
        <w:rPr>
          <w:rFonts w:hint="eastAsia"/>
          <w:highlight w:val="none"/>
        </w:rPr>
        <w:t>室内不锈钢管宜距楼底面、墙面净距离</w:t>
      </w:r>
      <w:r>
        <w:rPr>
          <w:highlight w:val="none"/>
        </w:rPr>
        <w:t>10～15mm明敷，结合装饰成暗敷，即敷设在顶棚内、吊顶内、装饰板内。</w:t>
      </w:r>
    </w:p>
    <w:p w14:paraId="5B444641">
      <w:pPr>
        <w:numPr>
          <w:ilvl w:val="1"/>
          <w:numId w:val="96"/>
        </w:numPr>
        <w:ind w:firstLine="480"/>
        <w:rPr>
          <w:highlight w:val="none"/>
        </w:rPr>
      </w:pPr>
      <w:r>
        <w:rPr>
          <w:rFonts w:hint="eastAsia"/>
          <w:highlight w:val="none"/>
        </w:rPr>
        <w:t>嵌墙敷设的不锈钢管，管线应水平或垂直布置在预留或开槽的凹槽内，槽内不锈钢管应采用管卡固定。在管线转折处，应预留</w:t>
      </w:r>
      <w:r>
        <w:rPr>
          <w:highlight w:val="none"/>
        </w:rPr>
        <w:t>5～10mm净空，补偿管路因热胀冷缩引起的伸缩变化值。</w:t>
      </w:r>
    </w:p>
    <w:p w14:paraId="54BA41E4">
      <w:pPr>
        <w:numPr>
          <w:ilvl w:val="1"/>
          <w:numId w:val="96"/>
        </w:numPr>
        <w:ind w:firstLine="480"/>
        <w:rPr>
          <w:highlight w:val="none"/>
        </w:rPr>
      </w:pPr>
      <w:r>
        <w:rPr>
          <w:rFonts w:hint="eastAsia"/>
          <w:highlight w:val="none"/>
        </w:rPr>
        <w:t>明装不锈钢管，其外壁距装饰墙面的距离：公称直径</w:t>
      </w:r>
      <w:r>
        <w:rPr>
          <w:highlight w:val="none"/>
        </w:rPr>
        <w:t>10～25mm时应小于30mm；公称直径32～50mm时宜小于40mm。明装立管应靠近用水器具的墙角、柱旁或管道井内。</w:t>
      </w:r>
    </w:p>
    <w:p w14:paraId="3778A743">
      <w:pPr>
        <w:numPr>
          <w:ilvl w:val="1"/>
          <w:numId w:val="96"/>
        </w:numPr>
        <w:ind w:firstLine="480"/>
        <w:rPr>
          <w:highlight w:val="none"/>
        </w:rPr>
      </w:pPr>
      <w:r>
        <w:rPr>
          <w:rFonts w:hint="eastAsia"/>
          <w:highlight w:val="none"/>
        </w:rPr>
        <w:t>不锈钢管不宜穿越建筑物的沉降缝、伸缩缝和变形缝。当不可避免时，应采取防止管道被破坏的技术措施。</w:t>
      </w:r>
    </w:p>
    <w:p w14:paraId="39829874">
      <w:pPr>
        <w:numPr>
          <w:ilvl w:val="1"/>
          <w:numId w:val="96"/>
        </w:numPr>
        <w:ind w:firstLine="480"/>
        <w:rPr>
          <w:highlight w:val="none"/>
        </w:rPr>
      </w:pPr>
      <w:r>
        <w:rPr>
          <w:rFonts w:hint="eastAsia"/>
          <w:highlight w:val="none"/>
        </w:rPr>
        <w:t>管道不得敷设在配电间、强弱电管道井、烟道、风道内和排水沟内，管道不宜穿越卧式、储藏室、橱窗、壁柜等处。</w:t>
      </w:r>
    </w:p>
    <w:p w14:paraId="7ED19243">
      <w:pPr>
        <w:numPr>
          <w:ilvl w:val="1"/>
          <w:numId w:val="96"/>
        </w:numPr>
        <w:ind w:firstLine="480"/>
        <w:rPr>
          <w:highlight w:val="none"/>
        </w:rPr>
      </w:pPr>
      <w:r>
        <w:rPr>
          <w:rFonts w:hint="eastAsia"/>
          <w:highlight w:val="none"/>
        </w:rPr>
        <w:t>敷设水平干管宜具有</w:t>
      </w:r>
      <w:r>
        <w:rPr>
          <w:highlight w:val="none"/>
        </w:rPr>
        <w:t>0</w:t>
      </w:r>
      <w:r>
        <w:rPr>
          <w:rFonts w:hint="eastAsia"/>
          <w:highlight w:val="none"/>
        </w:rPr>
        <w:t>.</w:t>
      </w:r>
      <w:r>
        <w:rPr>
          <w:highlight w:val="none"/>
        </w:rPr>
        <w:t>2</w:t>
      </w:r>
      <w:r>
        <w:rPr>
          <w:rFonts w:hint="eastAsia"/>
          <w:highlight w:val="none"/>
        </w:rPr>
        <w:t>%</w:t>
      </w:r>
      <w:r>
        <w:rPr>
          <w:highlight w:val="none"/>
        </w:rPr>
        <w:t>～0</w:t>
      </w:r>
      <w:r>
        <w:rPr>
          <w:rFonts w:hint="eastAsia"/>
          <w:highlight w:val="none"/>
        </w:rPr>
        <w:t>.</w:t>
      </w:r>
      <w:r>
        <w:rPr>
          <w:highlight w:val="none"/>
        </w:rPr>
        <w:t>3</w:t>
      </w:r>
      <w:r>
        <w:rPr>
          <w:rFonts w:hint="eastAsia"/>
          <w:highlight w:val="none"/>
        </w:rPr>
        <w:t>%</w:t>
      </w:r>
      <w:r>
        <w:rPr>
          <w:highlight w:val="none"/>
        </w:rPr>
        <w:t>的坡度，坡向泄水装置。在引入管、折角进户管件、支管接出和仪表接口处，应采用螺纹转换接头或法兰连接。</w:t>
      </w:r>
    </w:p>
    <w:p w14:paraId="6E51BBF7">
      <w:pPr>
        <w:numPr>
          <w:ilvl w:val="1"/>
          <w:numId w:val="96"/>
        </w:numPr>
        <w:ind w:firstLine="480"/>
        <w:rPr>
          <w:highlight w:val="none"/>
        </w:rPr>
      </w:pPr>
      <w:r>
        <w:rPr>
          <w:rFonts w:hint="eastAsia"/>
          <w:highlight w:val="none"/>
        </w:rPr>
        <w:t>不锈钢管</w:t>
      </w:r>
      <w:r>
        <w:rPr>
          <w:highlight w:val="none"/>
        </w:rPr>
        <w:t>应作防结露和保温处理。</w:t>
      </w:r>
    </w:p>
    <w:p w14:paraId="2DE4731A">
      <w:pPr>
        <w:numPr>
          <w:ilvl w:val="1"/>
          <w:numId w:val="96"/>
        </w:numPr>
        <w:ind w:firstLine="480"/>
        <w:rPr>
          <w:highlight w:val="none"/>
        </w:rPr>
      </w:pPr>
      <w:r>
        <w:rPr>
          <w:rFonts w:hint="eastAsia"/>
          <w:highlight w:val="none"/>
        </w:rPr>
        <w:t>薄壁不锈钢管安装注意事项</w:t>
      </w:r>
    </w:p>
    <w:p w14:paraId="6CF29AB5">
      <w:pPr>
        <w:numPr>
          <w:ilvl w:val="0"/>
          <w:numId w:val="97"/>
        </w:numPr>
        <w:ind w:firstLine="480"/>
        <w:rPr>
          <w:highlight w:val="none"/>
        </w:rPr>
      </w:pPr>
      <w:r>
        <w:rPr>
          <w:rFonts w:hint="eastAsia"/>
          <w:highlight w:val="none"/>
        </w:rPr>
        <w:t>不锈钢材料吊运，不能与其他金属直接接触，应加垫木板或橡胶板等非金属材料。</w:t>
      </w:r>
    </w:p>
    <w:p w14:paraId="29881F5C">
      <w:pPr>
        <w:numPr>
          <w:ilvl w:val="0"/>
          <w:numId w:val="97"/>
        </w:numPr>
        <w:ind w:firstLine="480"/>
        <w:rPr>
          <w:highlight w:val="none"/>
        </w:rPr>
      </w:pPr>
      <w:r>
        <w:rPr>
          <w:rFonts w:hint="eastAsia"/>
          <w:highlight w:val="none"/>
        </w:rPr>
        <w:t>管子切割不允许用普通砂轮片切割，应采用不锈钢专用砂轮片或等离子切割。</w:t>
      </w:r>
    </w:p>
    <w:p w14:paraId="5A079A75">
      <w:pPr>
        <w:numPr>
          <w:ilvl w:val="0"/>
          <w:numId w:val="97"/>
        </w:numPr>
        <w:ind w:firstLine="480"/>
        <w:rPr>
          <w:highlight w:val="none"/>
        </w:rPr>
      </w:pPr>
      <w:r>
        <w:rPr>
          <w:rFonts w:hint="eastAsia"/>
          <w:highlight w:val="none"/>
        </w:rPr>
        <w:t>不锈钢管材及管件定位焊时焊缝内侧应进行充氩保护。</w:t>
      </w:r>
    </w:p>
    <w:p w14:paraId="5DDF5773">
      <w:pPr>
        <w:numPr>
          <w:ilvl w:val="0"/>
          <w:numId w:val="97"/>
        </w:numPr>
        <w:ind w:firstLine="480"/>
        <w:rPr>
          <w:highlight w:val="none"/>
        </w:rPr>
      </w:pPr>
      <w:r>
        <w:rPr>
          <w:rFonts w:hint="eastAsia"/>
          <w:highlight w:val="none"/>
        </w:rPr>
        <w:t>起弧与收弧：起弧采用回焊法，收弧应填满弧坑，起弧必须在坡口内完成</w:t>
      </w:r>
      <w:r>
        <w:rPr>
          <w:highlight w:val="none"/>
        </w:rPr>
        <w:t>,禁止在管道、管件母材表面打弧与起弧。若起弧与收弧处发现气孔、裂纹应及时处理。</w:t>
      </w:r>
    </w:p>
    <w:p w14:paraId="59C7EBBF">
      <w:pPr>
        <w:numPr>
          <w:ilvl w:val="0"/>
          <w:numId w:val="97"/>
        </w:numPr>
        <w:ind w:firstLine="480"/>
        <w:rPr>
          <w:highlight w:val="none"/>
        </w:rPr>
      </w:pPr>
      <w:r>
        <w:rPr>
          <w:rFonts w:hint="eastAsia"/>
          <w:highlight w:val="none"/>
        </w:rPr>
        <w:t>不锈钢管道、管件以及不锈钢管道、管件与非不锈钢材质管道、管件的连接，焊接的对接接头打底焊接前管内及空腔内应充满氩气保护，才能进行钨极氩弧焊。</w:t>
      </w:r>
    </w:p>
    <w:p w14:paraId="42F1CA20">
      <w:pPr>
        <w:numPr>
          <w:ilvl w:val="0"/>
          <w:numId w:val="97"/>
        </w:numPr>
        <w:ind w:firstLine="480"/>
        <w:rPr>
          <w:highlight w:val="none"/>
        </w:rPr>
      </w:pPr>
      <w:r>
        <w:rPr>
          <w:rFonts w:hint="eastAsia"/>
          <w:highlight w:val="none"/>
        </w:rPr>
        <w:t>多道多层焊的起弧、收弧处应相互错开。</w:t>
      </w:r>
    </w:p>
    <w:p w14:paraId="7FDFBED6">
      <w:pPr>
        <w:numPr>
          <w:ilvl w:val="0"/>
          <w:numId w:val="97"/>
        </w:numPr>
        <w:ind w:firstLine="480"/>
        <w:rPr>
          <w:highlight w:val="none"/>
        </w:rPr>
      </w:pPr>
      <w:r>
        <w:rPr>
          <w:rFonts w:hint="eastAsia"/>
          <w:highlight w:val="none"/>
        </w:rPr>
        <w:t>不锈钢材料连续焊接时，其层间温度不超过</w:t>
      </w:r>
      <w:r>
        <w:rPr>
          <w:highlight w:val="none"/>
        </w:rPr>
        <w:t>60℃。</w:t>
      </w:r>
    </w:p>
    <w:p w14:paraId="30485DC5">
      <w:pPr>
        <w:numPr>
          <w:ilvl w:val="0"/>
          <w:numId w:val="97"/>
        </w:numPr>
        <w:ind w:firstLine="480"/>
        <w:rPr>
          <w:highlight w:val="none"/>
        </w:rPr>
      </w:pPr>
      <w:r>
        <w:rPr>
          <w:rFonts w:hint="eastAsia"/>
          <w:highlight w:val="none"/>
        </w:rPr>
        <w:t>管道连接的焊口焊接前后要进行酸洗和钝化处理。</w:t>
      </w:r>
    </w:p>
    <w:p w14:paraId="131A3860">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.2.4给水系统</w:t>
      </w:r>
      <w:r>
        <w:rPr>
          <w:highlight w:val="none"/>
        </w:rPr>
        <w:t>–</w:t>
      </w:r>
      <w:r>
        <w:rPr>
          <w:rFonts w:hint="eastAsia"/>
          <w:highlight w:val="none"/>
        </w:rPr>
        <w:t>铜管安装</w:t>
      </w:r>
    </w:p>
    <w:p w14:paraId="1C823DAC">
      <w:pPr>
        <w:numPr>
          <w:ilvl w:val="1"/>
          <w:numId w:val="98"/>
        </w:numPr>
        <w:ind w:firstLine="480"/>
        <w:rPr>
          <w:highlight w:val="none"/>
        </w:rPr>
      </w:pPr>
      <w:r>
        <w:rPr>
          <w:rFonts w:hint="eastAsia"/>
          <w:highlight w:val="none"/>
        </w:rPr>
        <w:t>给水系统使用的铜管，管材规格按设计</w:t>
      </w:r>
      <w:r>
        <w:rPr>
          <w:highlight w:val="none"/>
        </w:rPr>
        <w:t>要求</w:t>
      </w:r>
      <w:r>
        <w:rPr>
          <w:rFonts w:hint="eastAsia"/>
          <w:highlight w:val="none"/>
        </w:rPr>
        <w:t>确定。</w:t>
      </w:r>
    </w:p>
    <w:p w14:paraId="3E21C033">
      <w:pPr>
        <w:numPr>
          <w:ilvl w:val="1"/>
          <w:numId w:val="98"/>
        </w:numPr>
        <w:ind w:firstLine="480"/>
        <w:rPr>
          <w:highlight w:val="none"/>
        </w:rPr>
      </w:pPr>
      <w:r>
        <w:rPr>
          <w:rFonts w:hint="eastAsia"/>
          <w:highlight w:val="none"/>
        </w:rPr>
        <w:t>建筑给水铜管管系统宜采用铜制管件，铜管与钢制设备连接时，应采用铜合金配件。</w:t>
      </w:r>
    </w:p>
    <w:p w14:paraId="2E4B5727">
      <w:pPr>
        <w:numPr>
          <w:ilvl w:val="1"/>
          <w:numId w:val="98"/>
        </w:numPr>
        <w:ind w:firstLine="480"/>
        <w:rPr>
          <w:highlight w:val="none"/>
        </w:rPr>
      </w:pPr>
      <w:r>
        <w:rPr>
          <w:rFonts w:hint="eastAsia"/>
          <w:highlight w:val="none"/>
        </w:rPr>
        <w:t>铜管可敷设在管沟内。埋地铜管宜有防腐措施。</w:t>
      </w:r>
    </w:p>
    <w:p w14:paraId="20D48512">
      <w:pPr>
        <w:numPr>
          <w:ilvl w:val="1"/>
          <w:numId w:val="98"/>
        </w:numPr>
        <w:ind w:firstLine="480"/>
        <w:rPr>
          <w:highlight w:val="none"/>
        </w:rPr>
      </w:pPr>
      <w:r>
        <w:rPr>
          <w:rFonts w:hint="eastAsia"/>
          <w:highlight w:val="none"/>
        </w:rPr>
        <w:t>建筑给水支管宜敷设在吊顶、地面垫层或墙壁内。高层建筑给水立管宜敷设在管道井内。管道不得浇注在钢筋混凝土内。</w:t>
      </w:r>
    </w:p>
    <w:p w14:paraId="1D205D91">
      <w:pPr>
        <w:numPr>
          <w:ilvl w:val="1"/>
          <w:numId w:val="98"/>
        </w:numPr>
        <w:ind w:firstLine="480"/>
        <w:rPr>
          <w:highlight w:val="none"/>
        </w:rPr>
      </w:pPr>
      <w:r>
        <w:rPr>
          <w:rFonts w:hint="eastAsia"/>
          <w:highlight w:val="none"/>
        </w:rPr>
        <w:t>引入管穿过地下构筑物墙壁时，应预留孔洞或敷设套管，并应考虑建筑物沉降等不利因素。管道不得穿建筑物的沉降缝、伸缩缝。如必须穿越时，应设置管道伸缩和剪切变形的补偿装置。</w:t>
      </w:r>
    </w:p>
    <w:p w14:paraId="16031B41">
      <w:pPr>
        <w:numPr>
          <w:ilvl w:val="1"/>
          <w:numId w:val="98"/>
        </w:numPr>
        <w:ind w:firstLine="480"/>
        <w:rPr>
          <w:highlight w:val="none"/>
        </w:rPr>
      </w:pPr>
      <w:r>
        <w:rPr>
          <w:rFonts w:hint="eastAsia"/>
          <w:highlight w:val="none"/>
        </w:rPr>
        <w:t>管道穿越楼板、承重墙时，应设钢制套管。穿楼板套管上端应高出室内地坪</w:t>
      </w:r>
      <w:r>
        <w:rPr>
          <w:highlight w:val="none"/>
        </w:rPr>
        <w:t>50mm，下端应与楼板底齐平。穿越承重墙时套管应与两墙面平齐。管道穿越地下防水墙、</w:t>
      </w:r>
      <w:r>
        <w:rPr>
          <w:highlight w:val="yellow"/>
        </w:rPr>
        <w:t>顶板</w:t>
      </w:r>
      <w:r>
        <w:rPr>
          <w:highlight w:val="none"/>
        </w:rPr>
        <w:t>时，应设防水套管。</w:t>
      </w:r>
    </w:p>
    <w:p w14:paraId="052CA6EF">
      <w:pPr>
        <w:numPr>
          <w:ilvl w:val="1"/>
          <w:numId w:val="98"/>
        </w:numPr>
        <w:ind w:firstLine="480"/>
        <w:rPr>
          <w:highlight w:val="none"/>
        </w:rPr>
      </w:pPr>
      <w:r>
        <w:rPr>
          <w:rFonts w:hint="eastAsia"/>
          <w:highlight w:val="none"/>
        </w:rPr>
        <w:t>敷设在垫层或墙槽内的铜管可采用覆塑铜管，外径不宜大于</w:t>
      </w:r>
      <w:r>
        <w:rPr>
          <w:highlight w:val="none"/>
        </w:rPr>
        <w:t>28mm,管线宜水平或垂直布置在预留或开凿的凹槽内，槽内铜管应设置管卡固定。</w:t>
      </w:r>
    </w:p>
    <w:p w14:paraId="00145216">
      <w:pPr>
        <w:numPr>
          <w:ilvl w:val="1"/>
          <w:numId w:val="98"/>
        </w:numPr>
        <w:ind w:firstLine="480"/>
        <w:rPr>
          <w:highlight w:val="none"/>
        </w:rPr>
      </w:pPr>
      <w:r>
        <w:rPr>
          <w:rFonts w:hint="eastAsia"/>
          <w:highlight w:val="none"/>
        </w:rPr>
        <w:t>管道不得敷设在卧室，贮藏室及烟道和风道内。</w:t>
      </w:r>
    </w:p>
    <w:p w14:paraId="0A27CE6C">
      <w:pPr>
        <w:numPr>
          <w:ilvl w:val="1"/>
          <w:numId w:val="98"/>
        </w:numPr>
        <w:ind w:firstLine="480"/>
        <w:rPr>
          <w:highlight w:val="none"/>
        </w:rPr>
      </w:pPr>
      <w:r>
        <w:rPr>
          <w:rFonts w:hint="eastAsia"/>
          <w:highlight w:val="none"/>
        </w:rPr>
        <w:t>横管敷设宜不小于</w:t>
      </w:r>
      <w:r>
        <w:rPr>
          <w:highlight w:val="none"/>
        </w:rPr>
        <w:t>0</w:t>
      </w:r>
      <w:r>
        <w:rPr>
          <w:rFonts w:hint="eastAsia"/>
          <w:highlight w:val="none"/>
        </w:rPr>
        <w:t>.</w:t>
      </w:r>
      <w:r>
        <w:rPr>
          <w:highlight w:val="none"/>
        </w:rPr>
        <w:t>2</w:t>
      </w:r>
      <w:r>
        <w:rPr>
          <w:rFonts w:hint="eastAsia"/>
          <w:highlight w:val="none"/>
        </w:rPr>
        <w:t>%</w:t>
      </w:r>
      <w:r>
        <w:rPr>
          <w:highlight w:val="none"/>
        </w:rPr>
        <w:t>～0</w:t>
      </w:r>
      <w:r>
        <w:rPr>
          <w:rFonts w:hint="eastAsia"/>
          <w:highlight w:val="none"/>
        </w:rPr>
        <w:t>.</w:t>
      </w:r>
      <w:r>
        <w:rPr>
          <w:highlight w:val="none"/>
        </w:rPr>
        <w:t>5</w:t>
      </w:r>
      <w:r>
        <w:rPr>
          <w:rFonts w:hint="eastAsia"/>
          <w:highlight w:val="none"/>
        </w:rPr>
        <w:t>%</w:t>
      </w:r>
      <w:r>
        <w:rPr>
          <w:highlight w:val="none"/>
        </w:rPr>
        <w:t>的放空坡度。</w:t>
      </w:r>
    </w:p>
    <w:p w14:paraId="2FAA0BBC">
      <w:pPr>
        <w:numPr>
          <w:ilvl w:val="1"/>
          <w:numId w:val="98"/>
        </w:numPr>
        <w:ind w:firstLine="480"/>
        <w:rPr>
          <w:highlight w:val="none"/>
        </w:rPr>
      </w:pPr>
      <w:r>
        <w:rPr>
          <w:rFonts w:hint="eastAsia"/>
          <w:highlight w:val="none"/>
        </w:rPr>
        <w:t>铜管的连接方式应符合以下规定：</w:t>
      </w:r>
    </w:p>
    <w:p w14:paraId="2146F126">
      <w:pPr>
        <w:numPr>
          <w:ilvl w:val="0"/>
          <w:numId w:val="99"/>
        </w:numPr>
        <w:ind w:firstLine="480"/>
        <w:rPr>
          <w:highlight w:val="none"/>
        </w:rPr>
      </w:pPr>
      <w:r>
        <w:rPr>
          <w:rFonts w:hint="eastAsia"/>
          <w:highlight w:val="none"/>
        </w:rPr>
        <w:t>引入管、支管接出及水表接口处应采用便于检修拆卸的连接件。</w:t>
      </w:r>
    </w:p>
    <w:p w14:paraId="2443F33C">
      <w:pPr>
        <w:numPr>
          <w:ilvl w:val="0"/>
          <w:numId w:val="99"/>
        </w:numPr>
        <w:ind w:firstLine="480"/>
        <w:rPr>
          <w:highlight w:val="none"/>
        </w:rPr>
      </w:pPr>
      <w:r>
        <w:rPr>
          <w:rFonts w:hint="eastAsia"/>
          <w:highlight w:val="none"/>
        </w:rPr>
        <w:t>埋地、敷设在垫层或墙槽内的铜管采用硬钎焊接。</w:t>
      </w:r>
    </w:p>
    <w:p w14:paraId="03608F52">
      <w:pPr>
        <w:numPr>
          <w:ilvl w:val="0"/>
          <w:numId w:val="99"/>
        </w:numPr>
        <w:ind w:firstLine="480"/>
        <w:rPr>
          <w:highlight w:val="none"/>
        </w:rPr>
      </w:pPr>
      <w:r>
        <w:rPr>
          <w:rFonts w:hint="eastAsia"/>
          <w:highlight w:val="none"/>
        </w:rPr>
        <w:t>外径小于</w:t>
      </w:r>
      <w:r>
        <w:rPr>
          <w:highlight w:val="none"/>
        </w:rPr>
        <w:t>28mm的明支管可采用软钎焊接、机械式连接(卡套、冷压接)。</w:t>
      </w:r>
    </w:p>
    <w:p w14:paraId="4BF26071">
      <w:pPr>
        <w:numPr>
          <w:ilvl w:val="0"/>
          <w:numId w:val="99"/>
        </w:numPr>
        <w:ind w:firstLine="480"/>
        <w:rPr>
          <w:highlight w:val="none"/>
        </w:rPr>
      </w:pPr>
      <w:r>
        <w:rPr>
          <w:rFonts w:hint="eastAsia"/>
          <w:highlight w:val="none"/>
        </w:rPr>
        <w:t>铜管与供水设备连接时，宜采用带螺纹端口连接或法兰连接。</w:t>
      </w:r>
    </w:p>
    <w:p w14:paraId="458548B4">
      <w:pPr>
        <w:numPr>
          <w:ilvl w:val="0"/>
          <w:numId w:val="99"/>
        </w:numPr>
        <w:ind w:firstLine="480"/>
        <w:rPr>
          <w:highlight w:val="none"/>
        </w:rPr>
      </w:pPr>
      <w:r>
        <w:rPr>
          <w:rFonts w:hint="eastAsia"/>
          <w:highlight w:val="none"/>
        </w:rPr>
        <w:t>当热水铜管直线管段超过</w:t>
      </w:r>
      <w:r>
        <w:rPr>
          <w:highlight w:val="none"/>
        </w:rPr>
        <w:t>10m时，应有管道热伸长的措施。管道伸缩量宜根据实际温差进行计算。</w:t>
      </w:r>
    </w:p>
    <w:p w14:paraId="36EE27FB">
      <w:pPr>
        <w:numPr>
          <w:ilvl w:val="0"/>
          <w:numId w:val="99"/>
        </w:numPr>
        <w:ind w:firstLine="480"/>
        <w:rPr>
          <w:highlight w:val="none"/>
        </w:rPr>
      </w:pPr>
      <w:r>
        <w:rPr>
          <w:rFonts w:hint="eastAsia"/>
          <w:highlight w:val="none"/>
        </w:rPr>
        <w:t>连接水箱等设备进出口处的铜管，应做局部加强处理。</w:t>
      </w:r>
    </w:p>
    <w:p w14:paraId="37BC24CC">
      <w:pPr>
        <w:numPr>
          <w:ilvl w:val="0"/>
          <w:numId w:val="99"/>
        </w:numPr>
        <w:ind w:firstLine="480"/>
        <w:rPr>
          <w:highlight w:val="none"/>
        </w:rPr>
      </w:pPr>
      <w:r>
        <w:rPr>
          <w:rFonts w:hint="eastAsia"/>
          <w:highlight w:val="none"/>
        </w:rPr>
        <w:t>室内明装给水铜管应做防结露处理，热水铜管应做保温处理。</w:t>
      </w:r>
    </w:p>
    <w:p w14:paraId="59474417">
      <w:pPr>
        <w:numPr>
          <w:ilvl w:val="0"/>
          <w:numId w:val="99"/>
        </w:numPr>
        <w:ind w:firstLine="480"/>
        <w:rPr>
          <w:highlight w:val="none"/>
        </w:rPr>
      </w:pPr>
      <w:r>
        <w:rPr>
          <w:rFonts w:hint="eastAsia"/>
          <w:highlight w:val="none"/>
        </w:rPr>
        <w:t>铜管焊接不得使用含铅钎料、含氨焊剂。</w:t>
      </w:r>
    </w:p>
    <w:p w14:paraId="7E402E96">
      <w:pPr>
        <w:numPr>
          <w:ilvl w:val="1"/>
          <w:numId w:val="98"/>
        </w:numPr>
        <w:ind w:firstLine="480"/>
        <w:rPr>
          <w:highlight w:val="none"/>
        </w:rPr>
      </w:pPr>
      <w:r>
        <w:rPr>
          <w:rFonts w:hint="eastAsia"/>
          <w:highlight w:val="none"/>
        </w:rPr>
        <w:t>管道安装施工的注意事项</w:t>
      </w:r>
    </w:p>
    <w:p w14:paraId="360A3C0E">
      <w:pPr>
        <w:numPr>
          <w:ilvl w:val="0"/>
          <w:numId w:val="100"/>
        </w:numPr>
        <w:ind w:firstLine="480"/>
        <w:rPr>
          <w:highlight w:val="none"/>
        </w:rPr>
      </w:pPr>
      <w:r>
        <w:rPr>
          <w:rFonts w:hint="eastAsia"/>
          <w:highlight w:val="none"/>
        </w:rPr>
        <w:t>施工过程中应防止与酸、碱等对铜管有腐蚀按设计要求核对无误。</w:t>
      </w:r>
    </w:p>
    <w:p w14:paraId="1CCEFA64">
      <w:pPr>
        <w:numPr>
          <w:ilvl w:val="0"/>
          <w:numId w:val="100"/>
        </w:numPr>
        <w:ind w:firstLine="480"/>
        <w:rPr>
          <w:highlight w:val="none"/>
        </w:rPr>
      </w:pPr>
      <w:r>
        <w:rPr>
          <w:rFonts w:hint="eastAsia"/>
          <w:highlight w:val="none"/>
        </w:rPr>
        <w:t>管道在安装前应检查其外观和管口，有明显伤痕的管道不得使用，变形管口应用专用工具整圆。受污染的管材、管件内外污垢及杂物应清理干净。</w:t>
      </w:r>
    </w:p>
    <w:p w14:paraId="7E9302F3">
      <w:pPr>
        <w:numPr>
          <w:ilvl w:val="0"/>
          <w:numId w:val="100"/>
        </w:numPr>
        <w:ind w:firstLine="480"/>
        <w:rPr>
          <w:highlight w:val="none"/>
        </w:rPr>
      </w:pPr>
      <w:r>
        <w:rPr>
          <w:rFonts w:hint="eastAsia"/>
          <w:highlight w:val="none"/>
        </w:rPr>
        <w:t>弯曲的管道调直时，外径小于等于</w:t>
      </w:r>
      <w:r>
        <w:rPr>
          <w:highlight w:val="none"/>
        </w:rPr>
        <w:t>108mm管道可采用冷调法，外径大于108mm的管道可采用热调法。调直后不应有凹陷、破损现象。采用胀口或翻边连接的管子，施工前应每批抽1%</w:t>
      </w:r>
      <w:r>
        <w:rPr>
          <w:rFonts w:hint="eastAsia"/>
          <w:highlight w:val="none"/>
        </w:rPr>
        <w:t>且不少于两根进行胀口或翻边试验。如有裂纹，需要退火、试验处理，应重做试验。如仍有裂纹，则该批管子须逐根退火、试验，不合格的不得使用。</w:t>
      </w:r>
    </w:p>
    <w:p w14:paraId="2FF1B045">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.2.5排水系统</w:t>
      </w:r>
      <w:r>
        <w:rPr>
          <w:highlight w:val="none"/>
        </w:rPr>
        <w:t>–UPVC安装</w:t>
      </w:r>
    </w:p>
    <w:p w14:paraId="4B5F0F94">
      <w:pPr>
        <w:numPr>
          <w:ilvl w:val="1"/>
          <w:numId w:val="101"/>
        </w:numPr>
        <w:ind w:firstLine="480"/>
        <w:rPr>
          <w:highlight w:val="none"/>
        </w:rPr>
      </w:pPr>
      <w:r>
        <w:rPr>
          <w:rFonts w:hint="eastAsia"/>
          <w:highlight w:val="none"/>
        </w:rPr>
        <w:t>预留洞</w:t>
      </w:r>
    </w:p>
    <w:p w14:paraId="33C100E1">
      <w:pPr>
        <w:ind w:firstLine="480"/>
        <w:rPr>
          <w:highlight w:val="none"/>
        </w:rPr>
      </w:pPr>
      <w:r>
        <w:rPr>
          <w:rFonts w:hint="eastAsia"/>
          <w:highlight w:val="none"/>
        </w:rPr>
        <w:t>预留洞或套管尺寸比待安装的排水管管径大两号，标准层预留洞距墙尺寸统一，预留洞用的钢管应固定牢固。</w:t>
      </w:r>
    </w:p>
    <w:p w14:paraId="33EA783B">
      <w:pPr>
        <w:ind w:firstLine="480"/>
        <w:rPr>
          <w:highlight w:val="none"/>
        </w:rPr>
      </w:pPr>
      <w:r>
        <w:rPr>
          <w:rFonts w:hint="eastAsia"/>
          <w:highlight w:val="none"/>
        </w:rPr>
        <w:t>如</w:t>
      </w:r>
      <w:r>
        <w:rPr>
          <w:highlight w:val="none"/>
        </w:rPr>
        <w:t>采用积水处理器</w:t>
      </w:r>
      <w:r>
        <w:rPr>
          <w:rFonts w:hint="eastAsia"/>
          <w:highlight w:val="none"/>
        </w:rPr>
        <w:t>、</w:t>
      </w:r>
      <w:r>
        <w:rPr>
          <w:highlight w:val="none"/>
        </w:rPr>
        <w:t>止水节等成品预埋件，则应根据设计要求</w:t>
      </w:r>
      <w:r>
        <w:rPr>
          <w:rFonts w:hint="eastAsia"/>
          <w:highlight w:val="none"/>
        </w:rPr>
        <w:t>及</w:t>
      </w:r>
      <w:r>
        <w:rPr>
          <w:highlight w:val="none"/>
        </w:rPr>
        <w:t>产品安装要求预埋。</w:t>
      </w:r>
    </w:p>
    <w:p w14:paraId="2FA13ADD">
      <w:pPr>
        <w:numPr>
          <w:ilvl w:val="1"/>
          <w:numId w:val="101"/>
        </w:numPr>
        <w:ind w:firstLine="480"/>
        <w:rPr>
          <w:highlight w:val="none"/>
        </w:rPr>
      </w:pPr>
      <w:r>
        <w:rPr>
          <w:rFonts w:hint="eastAsia"/>
          <w:highlight w:val="none"/>
        </w:rPr>
        <w:t>立管安装</w:t>
      </w:r>
    </w:p>
    <w:p w14:paraId="0C9A03B4">
      <w:pPr>
        <w:ind w:firstLine="480"/>
        <w:rPr>
          <w:highlight w:val="none"/>
        </w:rPr>
      </w:pPr>
      <w:r>
        <w:rPr>
          <w:rFonts w:hint="eastAsia"/>
          <w:highlight w:val="none"/>
        </w:rPr>
        <w:t>立管垂直度允许偏差</w:t>
      </w:r>
      <w:r>
        <w:rPr>
          <w:highlight w:val="none"/>
        </w:rPr>
        <w:t>3mm/m，全长（5m以上）≤15mm。检查口距地高度统一，朝向便于检修。</w:t>
      </w:r>
    </w:p>
    <w:p w14:paraId="26E1659C">
      <w:pPr>
        <w:ind w:firstLine="480"/>
        <w:rPr>
          <w:highlight w:val="none"/>
        </w:rPr>
      </w:pPr>
      <w:r>
        <w:rPr>
          <w:rFonts w:hint="eastAsia"/>
          <w:highlight w:val="none"/>
        </w:rPr>
        <w:t>阻火圈：高层建筑内公称外径大于或等于</w:t>
      </w:r>
      <w:r>
        <w:rPr>
          <w:highlight w:val="none"/>
        </w:rPr>
        <w:t>110mm的明设排水立管，在穿越楼层处应采取设置阻火圈或防火套管等防止火灾贯穿的措施。</w:t>
      </w:r>
    </w:p>
    <w:p w14:paraId="5B5F88C6">
      <w:pPr>
        <w:ind w:firstLine="480"/>
        <w:rPr>
          <w:highlight w:val="none"/>
        </w:rPr>
      </w:pPr>
      <w:r>
        <w:rPr>
          <w:rFonts w:hint="eastAsia"/>
          <w:highlight w:val="none"/>
        </w:rPr>
        <w:t>立管伸缩节：当层高≤</w:t>
      </w:r>
      <w:r>
        <w:rPr>
          <w:highlight w:val="none"/>
        </w:rPr>
        <w:t>4m时，立管上应每层设置一个伸缩节；当层高&gt;4m时，根据设计计算设置伸缩节；楼层内有横管接入的，汇合管件设置在楼板上部靠近地坪时，应在汇合管件上方设伸缩节；汇合管件设置在楼板下部时，在汇合管件下部设伸缩节；伸缩节的承口方向应迎水流方向。</w:t>
      </w:r>
    </w:p>
    <w:p w14:paraId="700079E0">
      <w:pPr>
        <w:numPr>
          <w:ilvl w:val="1"/>
          <w:numId w:val="101"/>
        </w:numPr>
        <w:ind w:firstLine="480"/>
        <w:rPr>
          <w:highlight w:val="none"/>
        </w:rPr>
      </w:pPr>
      <w:r>
        <w:rPr>
          <w:rFonts w:hint="eastAsia"/>
          <w:highlight w:val="none"/>
        </w:rPr>
        <w:t>水平支管安装</w:t>
      </w:r>
    </w:p>
    <w:p w14:paraId="6640DA31">
      <w:pPr>
        <w:numPr>
          <w:ilvl w:val="0"/>
          <w:numId w:val="102"/>
        </w:numPr>
        <w:ind w:firstLine="480"/>
        <w:rPr>
          <w:highlight w:val="none"/>
        </w:rPr>
      </w:pPr>
      <w:r>
        <w:rPr>
          <w:rFonts w:hint="eastAsia"/>
          <w:highlight w:val="none"/>
        </w:rPr>
        <w:t>坡度和吊架间距满足规范要求。</w:t>
      </w:r>
    </w:p>
    <w:p w14:paraId="25CF6E8D">
      <w:pPr>
        <w:numPr>
          <w:ilvl w:val="0"/>
          <w:numId w:val="102"/>
        </w:numPr>
        <w:ind w:firstLine="480"/>
        <w:rPr>
          <w:highlight w:val="none"/>
        </w:rPr>
      </w:pPr>
      <w:r>
        <w:rPr>
          <w:highlight w:val="none"/>
        </w:rPr>
        <w:t>采用金属卡或吊架时，金属管卡与管道之间应采用塑料带或橡胶等软物隔垫</w:t>
      </w:r>
      <w:r>
        <w:rPr>
          <w:rFonts w:hint="eastAsia"/>
          <w:highlight w:val="none"/>
        </w:rPr>
        <w:t>。</w:t>
      </w:r>
    </w:p>
    <w:p w14:paraId="0B86FEA7">
      <w:pPr>
        <w:numPr>
          <w:ilvl w:val="0"/>
          <w:numId w:val="102"/>
        </w:numPr>
        <w:ind w:firstLine="480"/>
        <w:rPr>
          <w:highlight w:val="none"/>
        </w:rPr>
      </w:pPr>
      <w:r>
        <w:rPr>
          <w:rFonts w:hint="eastAsia"/>
          <w:highlight w:val="none"/>
        </w:rPr>
        <w:t>横管伸缩节：横支管、横干管无汇合管道接入，且与立管相连管段的长度大于</w:t>
      </w:r>
      <w:r>
        <w:rPr>
          <w:highlight w:val="none"/>
        </w:rPr>
        <w:t>2.2m时，在靠近汇合管件的横管侧设置伸缩节；横管上伸缩节间距不宜超过4m，超过4m时，应根据设计计算设置伸缩节；伸缩节的承口方向应迎水流方向。</w:t>
      </w:r>
    </w:p>
    <w:p w14:paraId="63F17DDA">
      <w:pPr>
        <w:numPr>
          <w:ilvl w:val="0"/>
          <w:numId w:val="102"/>
        </w:numPr>
        <w:ind w:firstLine="480"/>
        <w:rPr>
          <w:highlight w:val="none"/>
        </w:rPr>
      </w:pPr>
      <w:r>
        <w:rPr>
          <w:rFonts w:hint="eastAsia"/>
          <w:highlight w:val="none"/>
        </w:rPr>
        <w:t>管道变径：当水平支管由上游小管汇入下游大管时，应采用偏心补心，顶平连接。</w:t>
      </w:r>
    </w:p>
    <w:p w14:paraId="7A457251">
      <w:pPr>
        <w:numPr>
          <w:ilvl w:val="0"/>
          <w:numId w:val="102"/>
        </w:numPr>
        <w:ind w:firstLine="480"/>
        <w:rPr>
          <w:highlight w:val="none"/>
        </w:rPr>
      </w:pPr>
      <w:r>
        <w:rPr>
          <w:rFonts w:hint="eastAsia"/>
          <w:highlight w:val="none"/>
        </w:rPr>
        <w:t>水平管道末端转换：</w:t>
      </w:r>
      <w:r>
        <w:rPr>
          <w:highlight w:val="none"/>
        </w:rPr>
        <w:t>UPVC水平排水支管与柔性排水铸铁立管应采用卡箍橡胶圈接口</w:t>
      </w:r>
      <w:r>
        <w:rPr>
          <w:rFonts w:hint="eastAsia"/>
          <w:highlight w:val="none"/>
        </w:rPr>
        <w:t>。</w:t>
      </w:r>
    </w:p>
    <w:p w14:paraId="07FB83AF">
      <w:pPr>
        <w:numPr>
          <w:ilvl w:val="1"/>
          <w:numId w:val="101"/>
        </w:numPr>
        <w:ind w:firstLine="480"/>
        <w:rPr>
          <w:highlight w:val="none"/>
        </w:rPr>
      </w:pPr>
      <w:r>
        <w:rPr>
          <w:rFonts w:hint="eastAsia"/>
          <w:highlight w:val="none"/>
        </w:rPr>
        <w:t>成品保护</w:t>
      </w:r>
    </w:p>
    <w:p w14:paraId="0C6ED10A">
      <w:pPr>
        <w:ind w:firstLine="480"/>
        <w:rPr>
          <w:highlight w:val="none"/>
        </w:rPr>
      </w:pPr>
      <w:r>
        <w:rPr>
          <w:rFonts w:hint="eastAsia"/>
          <w:highlight w:val="none"/>
        </w:rPr>
        <w:t>对已施工完的</w:t>
      </w:r>
      <w:r>
        <w:rPr>
          <w:highlight w:val="none"/>
        </w:rPr>
        <w:t>UPVC排水管做有效的成品保护：所有预留管口封闭严密，管道应采用塑料布等材料包裹。对同层排水预埋件，在</w:t>
      </w:r>
      <w:r>
        <w:rPr>
          <w:rFonts w:hint="eastAsia"/>
          <w:highlight w:val="none"/>
        </w:rPr>
        <w:t>现浇楼板完成后须将产品保护盖上的多余水泥浆清理干净，保证盖中心排水孔洞的通畅。</w:t>
      </w:r>
    </w:p>
    <w:p w14:paraId="4A48E42E">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.2.6排水系统</w:t>
      </w:r>
      <w:r>
        <w:rPr>
          <w:highlight w:val="none"/>
        </w:rPr>
        <w:t>–铸铁管安装</w:t>
      </w:r>
    </w:p>
    <w:p w14:paraId="38A85DAE">
      <w:pPr>
        <w:numPr>
          <w:ilvl w:val="1"/>
          <w:numId w:val="103"/>
        </w:numPr>
        <w:ind w:firstLine="480"/>
        <w:rPr>
          <w:highlight w:val="none"/>
        </w:rPr>
      </w:pPr>
      <w:r>
        <w:rPr>
          <w:rFonts w:hint="eastAsia"/>
          <w:highlight w:val="none"/>
        </w:rPr>
        <w:t>柔性机制铸铁管承插连接：</w:t>
      </w:r>
    </w:p>
    <w:p w14:paraId="4502AD10">
      <w:pPr>
        <w:numPr>
          <w:ilvl w:val="0"/>
          <w:numId w:val="104"/>
        </w:numPr>
        <w:ind w:firstLine="480"/>
        <w:rPr>
          <w:highlight w:val="none"/>
        </w:rPr>
      </w:pPr>
      <w:r>
        <w:rPr>
          <w:rFonts w:hint="eastAsia"/>
          <w:highlight w:val="none"/>
        </w:rPr>
        <w:t>承口、插口及法兰压盖工作面上不得有泥沙及制作毛刺。</w:t>
      </w:r>
    </w:p>
    <w:p w14:paraId="08E033D1">
      <w:pPr>
        <w:numPr>
          <w:ilvl w:val="0"/>
          <w:numId w:val="104"/>
        </w:numPr>
        <w:ind w:firstLine="480"/>
        <w:rPr>
          <w:highlight w:val="none"/>
        </w:rPr>
      </w:pPr>
      <w:r>
        <w:rPr>
          <w:rFonts w:hint="eastAsia"/>
          <w:highlight w:val="none"/>
        </w:rPr>
        <w:t>安装所在的平面应与管的轴线垂直。</w:t>
      </w:r>
    </w:p>
    <w:p w14:paraId="70DD5E5A">
      <w:pPr>
        <w:numPr>
          <w:ilvl w:val="0"/>
          <w:numId w:val="104"/>
        </w:numPr>
        <w:ind w:firstLine="480"/>
        <w:rPr>
          <w:highlight w:val="none"/>
        </w:rPr>
      </w:pPr>
      <w:r>
        <w:rPr>
          <w:rFonts w:hint="eastAsia"/>
          <w:highlight w:val="none"/>
        </w:rPr>
        <w:t>胶圈边缘与上、下端对齐。</w:t>
      </w:r>
    </w:p>
    <w:p w14:paraId="09AE5011">
      <w:pPr>
        <w:numPr>
          <w:ilvl w:val="0"/>
          <w:numId w:val="104"/>
        </w:numPr>
        <w:ind w:firstLine="480"/>
        <w:rPr>
          <w:highlight w:val="none"/>
        </w:rPr>
      </w:pPr>
      <w:r>
        <w:rPr>
          <w:rFonts w:hint="eastAsia"/>
          <w:highlight w:val="none"/>
        </w:rPr>
        <w:t>插口端插入承口内，为保持橡胶圈在承口深度四周相同，在插进中要保证插入管的轴线与承口管的轴线在同一直线上。</w:t>
      </w:r>
    </w:p>
    <w:p w14:paraId="496DB04B">
      <w:pPr>
        <w:numPr>
          <w:ilvl w:val="0"/>
          <w:numId w:val="104"/>
        </w:numPr>
        <w:ind w:firstLine="480"/>
        <w:rPr>
          <w:highlight w:val="none"/>
        </w:rPr>
      </w:pPr>
      <w:r>
        <w:rPr>
          <w:rFonts w:hint="eastAsia"/>
          <w:highlight w:val="none"/>
        </w:rPr>
        <w:t>拧紧螺栓时，要使密封圈均匀受力，不得一次拧紧，应逐个逐次拧紧到位。</w:t>
      </w:r>
    </w:p>
    <w:p w14:paraId="31D9B43E">
      <w:pPr>
        <w:numPr>
          <w:ilvl w:val="0"/>
          <w:numId w:val="104"/>
        </w:numPr>
        <w:ind w:firstLine="480"/>
        <w:rPr>
          <w:highlight w:val="none"/>
        </w:rPr>
      </w:pPr>
      <w:r>
        <w:rPr>
          <w:rFonts w:hint="eastAsia"/>
          <w:highlight w:val="none"/>
        </w:rPr>
        <w:t>安装立管时，每个接口处，要用管箍固定在建筑物上。</w:t>
      </w:r>
    </w:p>
    <w:p w14:paraId="0A458203">
      <w:pPr>
        <w:numPr>
          <w:ilvl w:val="1"/>
          <w:numId w:val="103"/>
        </w:numPr>
        <w:ind w:firstLine="480"/>
        <w:rPr>
          <w:highlight w:val="none"/>
        </w:rPr>
      </w:pPr>
      <w:r>
        <w:rPr>
          <w:rFonts w:hint="eastAsia"/>
          <w:highlight w:val="none"/>
        </w:rPr>
        <w:t>卡箍连接</w:t>
      </w:r>
    </w:p>
    <w:p w14:paraId="5D91B8AD">
      <w:pPr>
        <w:numPr>
          <w:ilvl w:val="0"/>
          <w:numId w:val="105"/>
        </w:numPr>
        <w:ind w:firstLine="480"/>
        <w:rPr>
          <w:highlight w:val="none"/>
        </w:rPr>
      </w:pPr>
      <w:r>
        <w:rPr>
          <w:rFonts w:hint="eastAsia"/>
          <w:highlight w:val="none"/>
        </w:rPr>
        <w:t>沟槽式卡箍连接：管接头与管体相连，确保管体和管件之间不会轴向脱开，在密封圈的包裹下确保接头处无渗漏。</w:t>
      </w:r>
    </w:p>
    <w:p w14:paraId="7AF23A94">
      <w:pPr>
        <w:numPr>
          <w:ilvl w:val="0"/>
          <w:numId w:val="105"/>
        </w:numPr>
        <w:ind w:firstLine="480"/>
        <w:rPr>
          <w:highlight w:val="none"/>
        </w:rPr>
      </w:pPr>
      <w:r>
        <w:rPr>
          <w:rFonts w:hint="eastAsia"/>
          <w:highlight w:val="none"/>
        </w:rPr>
        <w:t>柔性机制铸铁管卡箍连接：排水坡度符合设计要求。管道断口平整、光滑、无毛刺、台阶、裂缝。橡胶密封圈应均匀平整地套在相连接的两管道上，相连接管道平直度应符合规范要求。</w:t>
      </w:r>
    </w:p>
    <w:p w14:paraId="03B46BB6">
      <w:pPr>
        <w:numPr>
          <w:ilvl w:val="0"/>
          <w:numId w:val="105"/>
        </w:numPr>
        <w:ind w:firstLine="480"/>
        <w:rPr>
          <w:highlight w:val="none"/>
        </w:rPr>
      </w:pPr>
      <w:r>
        <w:rPr>
          <w:rFonts w:hint="eastAsia"/>
          <w:highlight w:val="none"/>
        </w:rPr>
        <w:t>加强卡箍：柔性机制铸铁排水干管和立管使用加强卡箍连接。</w:t>
      </w:r>
    </w:p>
    <w:p w14:paraId="6CB20030">
      <w:pPr>
        <w:numPr>
          <w:ilvl w:val="1"/>
          <w:numId w:val="103"/>
        </w:numPr>
        <w:ind w:firstLine="480"/>
        <w:rPr>
          <w:highlight w:val="none"/>
        </w:rPr>
      </w:pPr>
      <w:r>
        <w:rPr>
          <w:rFonts w:hint="eastAsia"/>
          <w:highlight w:val="none"/>
        </w:rPr>
        <w:t>排水立管应每层设置支架固定，支架间距不宜大于</w:t>
      </w:r>
      <w:r>
        <w:rPr>
          <w:highlight w:val="none"/>
        </w:rPr>
        <w:t>1.5</w:t>
      </w:r>
      <w:r>
        <w:rPr>
          <w:rFonts w:hint="eastAsia"/>
          <w:highlight w:val="none"/>
        </w:rPr>
        <w:t>m，层高小于或等于</w:t>
      </w:r>
      <w:r>
        <w:rPr>
          <w:highlight w:val="none"/>
        </w:rPr>
        <w:t>3</w:t>
      </w:r>
      <w:r>
        <w:rPr>
          <w:rFonts w:hint="eastAsia"/>
          <w:highlight w:val="none"/>
        </w:rPr>
        <w:t>m时，可只设一个支架。</w:t>
      </w:r>
    </w:p>
    <w:p w14:paraId="090913D5">
      <w:pPr>
        <w:numPr>
          <w:ilvl w:val="1"/>
          <w:numId w:val="103"/>
        </w:numPr>
        <w:ind w:firstLine="480"/>
        <w:rPr>
          <w:highlight w:val="none"/>
        </w:rPr>
      </w:pPr>
      <w:r>
        <w:rPr>
          <w:rFonts w:hint="eastAsia"/>
          <w:highlight w:val="none"/>
        </w:rPr>
        <w:t>铸铁管水平管段按规范要求增加清扫口。</w:t>
      </w:r>
    </w:p>
    <w:p w14:paraId="37BB9B80">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.2.7排水系统</w:t>
      </w:r>
      <w:r>
        <w:rPr>
          <w:highlight w:val="none"/>
        </w:rPr>
        <w:t>–</w:t>
      </w:r>
      <w:r>
        <w:rPr>
          <w:rFonts w:hint="eastAsia"/>
          <w:highlight w:val="none"/>
        </w:rPr>
        <w:t>镀锌钢管</w:t>
      </w:r>
      <w:r>
        <w:rPr>
          <w:highlight w:val="none"/>
        </w:rPr>
        <w:t>安装</w:t>
      </w:r>
      <w:r>
        <w:rPr>
          <w:rFonts w:hint="eastAsia"/>
          <w:highlight w:val="none"/>
        </w:rPr>
        <w:t>（雨水系统</w:t>
      </w:r>
      <w:r>
        <w:rPr>
          <w:highlight w:val="none"/>
        </w:rPr>
        <w:t>）</w:t>
      </w:r>
    </w:p>
    <w:p w14:paraId="710AAC90">
      <w:pPr>
        <w:numPr>
          <w:ilvl w:val="1"/>
          <w:numId w:val="106"/>
        </w:numPr>
        <w:ind w:firstLine="480"/>
        <w:rPr>
          <w:highlight w:val="none"/>
        </w:rPr>
      </w:pPr>
      <w:r>
        <w:rPr>
          <w:rFonts w:hint="eastAsia"/>
          <w:highlight w:val="none"/>
        </w:rPr>
        <w:t>锌钢管应符合现行国家标准《低压流体输送用焊接钢管》（GB/T3091）的有关规定。</w:t>
      </w:r>
    </w:p>
    <w:p w14:paraId="4D83E4D3">
      <w:pPr>
        <w:numPr>
          <w:ilvl w:val="1"/>
          <w:numId w:val="106"/>
        </w:numPr>
        <w:ind w:firstLine="480"/>
        <w:rPr>
          <w:highlight w:val="none"/>
        </w:rPr>
      </w:pPr>
      <w:r>
        <w:rPr>
          <w:rFonts w:hint="eastAsia"/>
          <w:highlight w:val="none"/>
        </w:rPr>
        <w:t>管材、管件的材质、规格、管径应符合设计要求，并应有质量合格证明文件。</w:t>
      </w:r>
    </w:p>
    <w:p w14:paraId="57AB5C0F">
      <w:pPr>
        <w:numPr>
          <w:ilvl w:val="1"/>
          <w:numId w:val="106"/>
        </w:numPr>
        <w:ind w:firstLine="480"/>
        <w:rPr>
          <w:highlight w:val="none"/>
        </w:rPr>
      </w:pPr>
      <w:r>
        <w:rPr>
          <w:rFonts w:hint="eastAsia"/>
          <w:highlight w:val="none"/>
        </w:rPr>
        <w:t>管材、管件等材料的表面应完好无损，钢管和管件表面应无裂纹、夹渣、重皮等缺陷。</w:t>
      </w:r>
    </w:p>
    <w:p w14:paraId="511FEE6D">
      <w:pPr>
        <w:numPr>
          <w:ilvl w:val="1"/>
          <w:numId w:val="106"/>
        </w:numPr>
        <w:ind w:firstLine="480"/>
        <w:rPr>
          <w:highlight w:val="none"/>
        </w:rPr>
      </w:pPr>
      <w:r>
        <w:rPr>
          <w:rFonts w:hint="eastAsia"/>
          <w:highlight w:val="none"/>
        </w:rPr>
        <w:t>管道切割应采用机械切割，切口表面应平整，并应与管道中心线垂直。</w:t>
      </w:r>
    </w:p>
    <w:p w14:paraId="6793F50C">
      <w:pPr>
        <w:numPr>
          <w:ilvl w:val="1"/>
          <w:numId w:val="106"/>
        </w:numPr>
        <w:ind w:firstLine="480"/>
        <w:rPr>
          <w:highlight w:val="none"/>
        </w:rPr>
      </w:pPr>
      <w:r>
        <w:rPr>
          <w:rFonts w:hint="eastAsia"/>
          <w:highlight w:val="none"/>
        </w:rPr>
        <w:t>管道的连接应符合设计要求及国家现行有关标准规定，采用螺纹、法兰或沟槽连接件等方式。</w:t>
      </w:r>
    </w:p>
    <w:p w14:paraId="12CE7A61">
      <w:pPr>
        <w:numPr>
          <w:ilvl w:val="1"/>
          <w:numId w:val="106"/>
        </w:numPr>
        <w:ind w:firstLine="480"/>
        <w:rPr>
          <w:highlight w:val="none"/>
        </w:rPr>
      </w:pPr>
      <w:r>
        <w:rPr>
          <w:rFonts w:hint="eastAsia"/>
          <w:highlight w:val="none"/>
        </w:rPr>
        <w:t>当采用法兰连接时，法兰应垂直于管道中心线，两个法兰的表面应相互平行，紧固螺纹部分应做防腐处理。</w:t>
      </w:r>
    </w:p>
    <w:p w14:paraId="204EC576">
      <w:pPr>
        <w:numPr>
          <w:ilvl w:val="1"/>
          <w:numId w:val="106"/>
        </w:numPr>
        <w:ind w:firstLine="480"/>
        <w:rPr>
          <w:highlight w:val="none"/>
        </w:rPr>
      </w:pPr>
      <w:r>
        <w:rPr>
          <w:rFonts w:hint="eastAsia"/>
          <w:highlight w:val="none"/>
        </w:rPr>
        <w:t>管道支、吊架应固定在承重结构上，位置应正确，埋设应牢固。</w:t>
      </w:r>
    </w:p>
    <w:p w14:paraId="715FF8A7">
      <w:pPr>
        <w:numPr>
          <w:ilvl w:val="1"/>
          <w:numId w:val="106"/>
        </w:numPr>
        <w:ind w:firstLine="480"/>
        <w:rPr>
          <w:highlight w:val="none"/>
        </w:rPr>
      </w:pPr>
      <w:r>
        <w:rPr>
          <w:rFonts w:hint="eastAsia"/>
          <w:highlight w:val="none"/>
        </w:rPr>
        <w:t>管道金属固定件的内、外层应采取防腐处理措施。</w:t>
      </w:r>
    </w:p>
    <w:p w14:paraId="29FBD10E">
      <w:pPr>
        <w:numPr>
          <w:ilvl w:val="1"/>
          <w:numId w:val="106"/>
        </w:numPr>
        <w:ind w:firstLine="480"/>
        <w:rPr>
          <w:highlight w:val="none"/>
        </w:rPr>
      </w:pPr>
      <w:r>
        <w:rPr>
          <w:rFonts w:hint="eastAsia"/>
          <w:highlight w:val="none"/>
        </w:rPr>
        <w:t>管道穿过墙壁及楼板时，应设置套管。</w:t>
      </w:r>
    </w:p>
    <w:p w14:paraId="547A9624">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.2.8</w:t>
      </w:r>
      <w:r>
        <w:rPr>
          <w:highlight w:val="none"/>
        </w:rPr>
        <w:t>同层排水立管集水器安装</w:t>
      </w:r>
    </w:p>
    <w:p w14:paraId="278A60D5">
      <w:pPr>
        <w:numPr>
          <w:ilvl w:val="1"/>
          <w:numId w:val="107"/>
        </w:numPr>
        <w:ind w:firstLine="480"/>
        <w:rPr>
          <w:highlight w:val="none"/>
        </w:rPr>
      </w:pPr>
      <w:r>
        <w:rPr>
          <w:highlight w:val="none"/>
        </w:rPr>
        <w:t>用混凝土将沉降地面同集水器找平，以防水保护圈为最低点做泻水坡，确保集水器最低，以便渗水尽快流走。</w:t>
      </w:r>
    </w:p>
    <w:p w14:paraId="157EEEB3">
      <w:pPr>
        <w:numPr>
          <w:ilvl w:val="1"/>
          <w:numId w:val="107"/>
        </w:numPr>
        <w:ind w:firstLine="480"/>
        <w:rPr>
          <w:highlight w:val="none"/>
        </w:rPr>
      </w:pPr>
      <w:r>
        <w:rPr>
          <w:highlight w:val="none"/>
        </w:rPr>
        <w:t>防水工序符合建筑施工相关规范，防水材料应做到防水保护圈上，蓄水验收正常后，将防水保护圈除去。</w:t>
      </w:r>
    </w:p>
    <w:p w14:paraId="7F9B8EE2">
      <w:pPr>
        <w:numPr>
          <w:ilvl w:val="1"/>
          <w:numId w:val="107"/>
        </w:numPr>
        <w:ind w:firstLine="480"/>
        <w:rPr>
          <w:highlight w:val="none"/>
        </w:rPr>
      </w:pPr>
      <w:r>
        <w:rPr>
          <w:highlight w:val="none"/>
        </w:rPr>
        <w:t>在排水孔的周围堆放直径大于20mm的砾石覆盖(堆放高于50mm为宜），确定具有一定厚度再回填炉渣。</w:t>
      </w:r>
    </w:p>
    <w:p w14:paraId="7D73FCD1">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.2.9</w:t>
      </w:r>
      <w:r>
        <w:rPr>
          <w:highlight w:val="none"/>
        </w:rPr>
        <w:t>预埋式地漏安装</w:t>
      </w:r>
    </w:p>
    <w:p w14:paraId="256B12D8">
      <w:pPr>
        <w:numPr>
          <w:ilvl w:val="1"/>
          <w:numId w:val="108"/>
        </w:numPr>
        <w:ind w:firstLine="480"/>
        <w:rPr>
          <w:highlight w:val="none"/>
        </w:rPr>
      </w:pPr>
      <w:r>
        <w:rPr>
          <w:highlight w:val="none"/>
        </w:rPr>
        <w:t>按照图纸，确定排水管道离墙尺寸，确定预留PVC地漏的位置。根据位移情况适当调整地漏的位置，控制好上下层地漏的垂直度。</w:t>
      </w:r>
    </w:p>
    <w:p w14:paraId="3B7E1BCA">
      <w:pPr>
        <w:numPr>
          <w:ilvl w:val="1"/>
          <w:numId w:val="108"/>
        </w:numPr>
        <w:ind w:firstLine="480"/>
        <w:rPr>
          <w:highlight w:val="none"/>
        </w:rPr>
      </w:pPr>
      <w:r>
        <w:rPr>
          <w:highlight w:val="none"/>
        </w:rPr>
        <w:t>固定PVC地漏：用铁锤和钢钉将止水节固定在模板上。</w:t>
      </w:r>
    </w:p>
    <w:p w14:paraId="690FC934">
      <w:pPr>
        <w:numPr>
          <w:ilvl w:val="1"/>
          <w:numId w:val="108"/>
        </w:numPr>
        <w:ind w:firstLine="480"/>
        <w:rPr>
          <w:highlight w:val="none"/>
        </w:rPr>
      </w:pPr>
      <w:r>
        <w:rPr>
          <w:highlight w:val="none"/>
        </w:rPr>
        <w:t>排水管安装时将地漏内壁及承口清理干净，将立管及支管的插口外壁清理干净；将胶粘剂分别涂于承口内壁及插口外壁，胶粘剂涂刷应快速均匀。</w:t>
      </w:r>
    </w:p>
    <w:p w14:paraId="4C5ACE2F">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.2.10</w:t>
      </w:r>
      <w:r>
        <w:rPr>
          <w:highlight w:val="none"/>
        </w:rPr>
        <w:t>虹吸雨水斗安装</w:t>
      </w:r>
    </w:p>
    <w:p w14:paraId="6A3A16DC">
      <w:pPr>
        <w:numPr>
          <w:ilvl w:val="1"/>
          <w:numId w:val="109"/>
        </w:numPr>
        <w:ind w:firstLine="480"/>
        <w:rPr>
          <w:highlight w:val="none"/>
        </w:rPr>
      </w:pPr>
      <w:r>
        <w:rPr>
          <w:highlight w:val="none"/>
        </w:rPr>
        <w:t>雨水斗的进水口应水平安装，其高度应保证天沟内的雨水能通过雨水斗排净。</w:t>
      </w:r>
    </w:p>
    <w:p w14:paraId="318AB413">
      <w:pPr>
        <w:numPr>
          <w:ilvl w:val="1"/>
          <w:numId w:val="109"/>
        </w:numPr>
        <w:ind w:firstLine="480"/>
        <w:rPr>
          <w:highlight w:val="none"/>
        </w:rPr>
      </w:pPr>
      <w:r>
        <w:rPr>
          <w:highlight w:val="none"/>
        </w:rPr>
        <w:t>雨水斗安装时，应在屋面防水施工完成、确认雨水管道畅通、清除流入短管内的密封膏后，再安装整流器、导流罩等部件。</w:t>
      </w:r>
    </w:p>
    <w:p w14:paraId="1A63B90E">
      <w:pPr>
        <w:numPr>
          <w:ilvl w:val="1"/>
          <w:numId w:val="109"/>
        </w:numPr>
        <w:ind w:firstLine="480"/>
        <w:rPr>
          <w:highlight w:val="none"/>
        </w:rPr>
      </w:pPr>
      <w:r>
        <w:rPr>
          <w:highlight w:val="none"/>
        </w:rPr>
        <w:t>雨水斗安装后，其边缘与屋面相连处应严密不漏。</w:t>
      </w:r>
    </w:p>
    <w:p w14:paraId="2B4E7D97">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.2.11</w:t>
      </w:r>
      <w:r>
        <w:rPr>
          <w:highlight w:val="none"/>
        </w:rPr>
        <w:t>预埋止水节安装</w:t>
      </w:r>
    </w:p>
    <w:p w14:paraId="10E736F2">
      <w:pPr>
        <w:numPr>
          <w:ilvl w:val="1"/>
          <w:numId w:val="110"/>
        </w:numPr>
        <w:ind w:firstLine="480"/>
        <w:rPr>
          <w:highlight w:val="none"/>
        </w:rPr>
      </w:pPr>
      <w:r>
        <w:rPr>
          <w:highlight w:val="none"/>
        </w:rPr>
        <w:t>按照图纸，确定排水管道离墙尺寸，确定预留PVC止水节的位置。根据位移情况适当调整止水节的位置，控制好上下层止水节的垂直度。</w:t>
      </w:r>
    </w:p>
    <w:p w14:paraId="5FA0E856">
      <w:pPr>
        <w:numPr>
          <w:ilvl w:val="1"/>
          <w:numId w:val="110"/>
        </w:numPr>
        <w:ind w:firstLine="480"/>
        <w:rPr>
          <w:highlight w:val="none"/>
        </w:rPr>
      </w:pPr>
      <w:r>
        <w:rPr>
          <w:highlight w:val="none"/>
        </w:rPr>
        <w:t>固定PVC止水节：用铁锤和钢钉将止水节固定在模板上。</w:t>
      </w:r>
    </w:p>
    <w:p w14:paraId="0E8CBAD7">
      <w:pPr>
        <w:numPr>
          <w:ilvl w:val="1"/>
          <w:numId w:val="110"/>
        </w:numPr>
        <w:ind w:firstLine="480"/>
        <w:rPr>
          <w:highlight w:val="none"/>
        </w:rPr>
      </w:pPr>
      <w:r>
        <w:rPr>
          <w:highlight w:val="none"/>
        </w:rPr>
        <w:t>排水管安装时将止水节内壁及承口清理干净，将立管及支管的插口外壁清理干净；将胶粘剂分别涂于承口内壁及插口外壁，胶粘剂涂刷应快速均匀。</w:t>
      </w:r>
    </w:p>
    <w:p w14:paraId="0C5081BB">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.2.12</w:t>
      </w:r>
      <w:r>
        <w:rPr>
          <w:highlight w:val="none"/>
        </w:rPr>
        <w:t>水平管道支架安装</w:t>
      </w:r>
    </w:p>
    <w:p w14:paraId="06A9C5B0">
      <w:pPr>
        <w:numPr>
          <w:ilvl w:val="1"/>
          <w:numId w:val="111"/>
        </w:numPr>
        <w:ind w:firstLine="480"/>
        <w:rPr>
          <w:highlight w:val="none"/>
        </w:rPr>
      </w:pPr>
      <w:r>
        <w:rPr>
          <w:highlight w:val="none"/>
        </w:rPr>
        <w:t>支架安装应平整、牢固，与管子接触紧密。</w:t>
      </w:r>
    </w:p>
    <w:p w14:paraId="6398359C">
      <w:pPr>
        <w:numPr>
          <w:ilvl w:val="1"/>
          <w:numId w:val="111"/>
        </w:numPr>
        <w:ind w:firstLine="480"/>
        <w:rPr>
          <w:highlight w:val="none"/>
        </w:rPr>
      </w:pPr>
      <w:r>
        <w:rPr>
          <w:highlight w:val="none"/>
        </w:rPr>
        <w:t>支、托、吊架上不允许有管道焊缝、管件。</w:t>
      </w:r>
    </w:p>
    <w:p w14:paraId="0139CEEB">
      <w:pPr>
        <w:numPr>
          <w:ilvl w:val="1"/>
          <w:numId w:val="111"/>
        </w:numPr>
        <w:ind w:firstLine="480"/>
        <w:rPr>
          <w:highlight w:val="none"/>
        </w:rPr>
      </w:pPr>
      <w:r>
        <w:rPr>
          <w:highlight w:val="none"/>
        </w:rPr>
        <w:t>支架标高应正确，对有坡度要求的管道，支架的标高应满足坡度要求。</w:t>
      </w:r>
    </w:p>
    <w:p w14:paraId="6E603AEE">
      <w:pPr>
        <w:numPr>
          <w:ilvl w:val="1"/>
          <w:numId w:val="111"/>
        </w:numPr>
        <w:ind w:firstLine="480"/>
        <w:rPr>
          <w:highlight w:val="none"/>
        </w:rPr>
      </w:pPr>
      <w:r>
        <w:rPr>
          <w:highlight w:val="none"/>
        </w:rPr>
        <w:t>支架间距及材质必须符合相关规范要求。</w:t>
      </w:r>
    </w:p>
    <w:p w14:paraId="2391DC18">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.2.13</w:t>
      </w:r>
      <w:r>
        <w:rPr>
          <w:highlight w:val="none"/>
        </w:rPr>
        <w:t>垂直管道支架安装</w:t>
      </w:r>
    </w:p>
    <w:p w14:paraId="53515FCA">
      <w:pPr>
        <w:numPr>
          <w:ilvl w:val="1"/>
          <w:numId w:val="112"/>
        </w:numPr>
        <w:ind w:firstLine="480"/>
        <w:rPr>
          <w:highlight w:val="none"/>
        </w:rPr>
      </w:pPr>
      <w:r>
        <w:rPr>
          <w:highlight w:val="none"/>
        </w:rPr>
        <w:t>管道安装时必须按不同管径和要求设置管卡或吊架，位置应准确，管卡与管道接触应紧密，不得损伤管道表面。</w:t>
      </w:r>
    </w:p>
    <w:p w14:paraId="7A63B818">
      <w:pPr>
        <w:numPr>
          <w:ilvl w:val="1"/>
          <w:numId w:val="112"/>
        </w:numPr>
        <w:ind w:firstLine="480"/>
        <w:rPr>
          <w:highlight w:val="none"/>
        </w:rPr>
      </w:pPr>
      <w:r>
        <w:rPr>
          <w:highlight w:val="none"/>
        </w:rPr>
        <w:t>采用金属卡或吊架时，金属管卡与管道之间应采用塑料带或橡胶等软物隔垫。</w:t>
      </w:r>
    </w:p>
    <w:p w14:paraId="6FA737C5">
      <w:pPr>
        <w:numPr>
          <w:ilvl w:val="1"/>
          <w:numId w:val="112"/>
        </w:numPr>
        <w:ind w:firstLine="480"/>
        <w:rPr>
          <w:highlight w:val="none"/>
        </w:rPr>
      </w:pPr>
      <w:r>
        <w:rPr>
          <w:highlight w:val="none"/>
        </w:rPr>
        <w:t>支架间距及材质必须符合相关规范要求。</w:t>
      </w:r>
    </w:p>
    <w:p w14:paraId="4D95360D">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.2.14对总承包人</w:t>
      </w:r>
      <w:r>
        <w:rPr>
          <w:highlight w:val="none"/>
        </w:rPr>
        <w:t>综合支吊架的深化及安装要求</w:t>
      </w:r>
    </w:p>
    <w:p w14:paraId="5784217F">
      <w:pPr>
        <w:numPr>
          <w:ilvl w:val="1"/>
          <w:numId w:val="113"/>
        </w:numPr>
        <w:ind w:firstLine="480"/>
        <w:rPr>
          <w:highlight w:val="none"/>
        </w:rPr>
      </w:pPr>
      <w:r>
        <w:rPr>
          <w:rFonts w:hint="eastAsia"/>
          <w:highlight w:val="none"/>
        </w:rPr>
        <w:t>综合</w:t>
      </w:r>
      <w:r>
        <w:rPr>
          <w:highlight w:val="none"/>
        </w:rPr>
        <w:t>支吊架的</w:t>
      </w:r>
      <w:r>
        <w:rPr>
          <w:rFonts w:hint="eastAsia"/>
          <w:highlight w:val="none"/>
        </w:rPr>
        <w:t>设计</w:t>
      </w:r>
      <w:r>
        <w:rPr>
          <w:highlight w:val="none"/>
        </w:rPr>
        <w:t>范围为：</w:t>
      </w:r>
      <w:r>
        <w:rPr>
          <w:rFonts w:hint="eastAsia"/>
          <w:highlight w:val="none"/>
        </w:rPr>
        <w:t>机电管线集中区域（空调通风、给排水、消防、桥架等）由总承包人负责管线综合深化和联合支吊架的深化，并负责供应和安装施工。综合支吊架深化设计</w:t>
      </w:r>
      <w:r>
        <w:rPr>
          <w:highlight w:val="none"/>
        </w:rPr>
        <w:t>后需满足以下要求：</w:t>
      </w:r>
    </w:p>
    <w:p w14:paraId="3A4ECFEE">
      <w:pPr>
        <w:numPr>
          <w:ilvl w:val="0"/>
          <w:numId w:val="114"/>
        </w:numPr>
        <w:ind w:firstLine="480"/>
        <w:rPr>
          <w:highlight w:val="none"/>
        </w:rPr>
      </w:pPr>
      <w:r>
        <w:rPr>
          <w:rFonts w:hint="eastAsia"/>
          <w:highlight w:val="none"/>
        </w:rPr>
        <w:t>满足设计净高，检修要求。</w:t>
      </w:r>
    </w:p>
    <w:p w14:paraId="0FAAEE88">
      <w:pPr>
        <w:numPr>
          <w:ilvl w:val="0"/>
          <w:numId w:val="114"/>
        </w:numPr>
        <w:ind w:firstLine="480"/>
        <w:rPr>
          <w:highlight w:val="none"/>
        </w:rPr>
      </w:pPr>
      <w:r>
        <w:rPr>
          <w:rFonts w:hint="eastAsia"/>
          <w:highlight w:val="none"/>
        </w:rPr>
        <w:t>机电末端</w:t>
      </w:r>
      <w:r>
        <w:rPr>
          <w:highlight w:val="none"/>
        </w:rPr>
        <w:t>成排成线，满足美观要求。</w:t>
      </w:r>
    </w:p>
    <w:p w14:paraId="635EDF5D">
      <w:pPr>
        <w:numPr>
          <w:ilvl w:val="1"/>
          <w:numId w:val="113"/>
        </w:numPr>
        <w:ind w:firstLine="480"/>
        <w:rPr>
          <w:highlight w:val="none"/>
        </w:rPr>
      </w:pPr>
      <w:r>
        <w:rPr>
          <w:rFonts w:hint="eastAsia"/>
          <w:highlight w:val="none"/>
        </w:rPr>
        <w:t>抗震支吊架设计涉及多种复杂荷载形式的计算和配件的选用计算，必须由制造商的技术人员完成抗震支架的深化设计并指导安装。</w:t>
      </w:r>
    </w:p>
    <w:p w14:paraId="174D4FB7">
      <w:pPr>
        <w:numPr>
          <w:ilvl w:val="1"/>
          <w:numId w:val="113"/>
        </w:numPr>
        <w:ind w:firstLine="480"/>
        <w:rPr>
          <w:highlight w:val="none"/>
        </w:rPr>
      </w:pPr>
      <w:r>
        <w:rPr>
          <w:rFonts w:hint="eastAsia"/>
          <w:highlight w:val="none"/>
        </w:rPr>
        <w:t>抗震支吊架</w:t>
      </w:r>
      <w:r>
        <w:rPr>
          <w:highlight w:val="none"/>
        </w:rPr>
        <w:t>的设计必须满足《</w:t>
      </w:r>
      <w:r>
        <w:rPr>
          <w:rFonts w:hint="eastAsia"/>
          <w:highlight w:val="none"/>
        </w:rPr>
        <w:t>建筑</w:t>
      </w:r>
      <w:r>
        <w:rPr>
          <w:highlight w:val="none"/>
        </w:rPr>
        <w:t>机电抗震设计规范》</w:t>
      </w:r>
      <w:r>
        <w:rPr>
          <w:rFonts w:hint="eastAsia"/>
          <w:highlight w:val="none"/>
        </w:rPr>
        <w:t>（GB50981）的</w:t>
      </w:r>
      <w:r>
        <w:rPr>
          <w:highlight w:val="none"/>
        </w:rPr>
        <w:t>要求</w:t>
      </w:r>
      <w:r>
        <w:rPr>
          <w:rFonts w:hint="eastAsia"/>
          <w:highlight w:val="none"/>
        </w:rPr>
        <w:t>，</w:t>
      </w:r>
      <w:r>
        <w:rPr>
          <w:highlight w:val="none"/>
        </w:rPr>
        <w:t>选用的产品必须满足</w:t>
      </w:r>
      <w:r>
        <w:rPr>
          <w:rFonts w:hint="eastAsia"/>
          <w:highlight w:val="none"/>
        </w:rPr>
        <w:t>《建筑机电设备</w:t>
      </w:r>
      <w:r>
        <w:rPr>
          <w:highlight w:val="none"/>
        </w:rPr>
        <w:t>抗震</w:t>
      </w:r>
      <w:r>
        <w:rPr>
          <w:rFonts w:hint="eastAsia"/>
          <w:highlight w:val="none"/>
        </w:rPr>
        <w:t>支吊架通用技术条件》（</w:t>
      </w:r>
      <w:r>
        <w:rPr>
          <w:highlight w:val="none"/>
        </w:rPr>
        <w:t>CJ/T476</w:t>
      </w:r>
      <w:r>
        <w:rPr>
          <w:rFonts w:hint="eastAsia"/>
          <w:highlight w:val="none"/>
        </w:rPr>
        <w:t>）的</w:t>
      </w:r>
      <w:r>
        <w:rPr>
          <w:highlight w:val="none"/>
        </w:rPr>
        <w:t>要求</w:t>
      </w:r>
      <w:r>
        <w:rPr>
          <w:rFonts w:hint="eastAsia"/>
          <w:highlight w:val="none"/>
        </w:rPr>
        <w:t>；抗震</w:t>
      </w:r>
      <w:r>
        <w:rPr>
          <w:highlight w:val="none"/>
        </w:rPr>
        <w:t>支吊架的施工必须满足</w:t>
      </w:r>
      <w:r>
        <w:rPr>
          <w:rFonts w:hint="eastAsia"/>
          <w:highlight w:val="none"/>
        </w:rPr>
        <w:t>《抗震</w:t>
      </w:r>
      <w:r>
        <w:rPr>
          <w:highlight w:val="none"/>
        </w:rPr>
        <w:t>支吊架安装及验收规程</w:t>
      </w:r>
      <w:r>
        <w:rPr>
          <w:rFonts w:hint="eastAsia"/>
          <w:highlight w:val="none"/>
        </w:rPr>
        <w:t>》（CECS420）的</w:t>
      </w:r>
      <w:r>
        <w:rPr>
          <w:highlight w:val="none"/>
        </w:rPr>
        <w:t>要求</w:t>
      </w:r>
      <w:r>
        <w:rPr>
          <w:rFonts w:hint="eastAsia"/>
          <w:highlight w:val="none"/>
        </w:rPr>
        <w:t>。</w:t>
      </w:r>
    </w:p>
    <w:p w14:paraId="0DFC1F2F">
      <w:pPr>
        <w:numPr>
          <w:ilvl w:val="1"/>
          <w:numId w:val="113"/>
        </w:numPr>
        <w:ind w:firstLine="480"/>
        <w:rPr>
          <w:highlight w:val="none"/>
        </w:rPr>
      </w:pPr>
      <w:r>
        <w:rPr>
          <w:rFonts w:hint="eastAsia"/>
          <w:highlight w:val="none"/>
        </w:rPr>
        <w:t>综合支吊架的深化设计图应由总承包人联合有</w:t>
      </w:r>
      <w:r>
        <w:rPr>
          <w:highlight w:val="none"/>
        </w:rPr>
        <w:t>相应资质及能力的深化设计单位共同完成</w:t>
      </w:r>
      <w:r>
        <w:rPr>
          <w:rFonts w:hint="eastAsia"/>
          <w:highlight w:val="none"/>
        </w:rPr>
        <w:t>，深化</w:t>
      </w:r>
      <w:r>
        <w:rPr>
          <w:highlight w:val="none"/>
        </w:rPr>
        <w:t>设计成</w:t>
      </w:r>
      <w:r>
        <w:rPr>
          <w:rFonts w:hint="eastAsia"/>
          <w:highlight w:val="none"/>
        </w:rPr>
        <w:t>果报监理人</w:t>
      </w:r>
      <w:r>
        <w:rPr>
          <w:highlight w:val="none"/>
        </w:rPr>
        <w:t>/发包人批准后方可实施。</w:t>
      </w:r>
    </w:p>
    <w:p w14:paraId="0D47CBCB">
      <w:pPr>
        <w:numPr>
          <w:ilvl w:val="1"/>
          <w:numId w:val="113"/>
        </w:numPr>
        <w:ind w:firstLine="480"/>
        <w:rPr>
          <w:highlight w:val="none"/>
        </w:rPr>
      </w:pPr>
      <w:r>
        <w:rPr>
          <w:rFonts w:hint="eastAsia"/>
          <w:highlight w:val="none"/>
        </w:rPr>
        <w:t>选用</w:t>
      </w:r>
      <w:r>
        <w:rPr>
          <w:highlight w:val="none"/>
        </w:rPr>
        <w:t>的</w:t>
      </w:r>
      <w:r>
        <w:rPr>
          <w:rFonts w:hint="eastAsia"/>
          <w:highlight w:val="none"/>
        </w:rPr>
        <w:t>抗震</w:t>
      </w:r>
      <w:r>
        <w:rPr>
          <w:highlight w:val="none"/>
        </w:rPr>
        <w:t>支吊架</w:t>
      </w:r>
      <w:r>
        <w:rPr>
          <w:rFonts w:hint="eastAsia"/>
          <w:highlight w:val="none"/>
        </w:rPr>
        <w:t>产品</w:t>
      </w:r>
      <w:r>
        <w:rPr>
          <w:highlight w:val="none"/>
        </w:rPr>
        <w:t>必须满足以下要求：</w:t>
      </w:r>
    </w:p>
    <w:p w14:paraId="772DC94E">
      <w:pPr>
        <w:numPr>
          <w:ilvl w:val="0"/>
          <w:numId w:val="115"/>
        </w:numPr>
        <w:ind w:firstLine="480"/>
        <w:rPr>
          <w:highlight w:val="none"/>
        </w:rPr>
      </w:pPr>
      <w:r>
        <w:rPr>
          <w:rFonts w:hint="eastAsia"/>
          <w:highlight w:val="none"/>
        </w:rPr>
        <w:t>抗震支吊架系统应依据《建筑机电设备抗震支吊架通用技术条件》（</w:t>
      </w:r>
      <w:r>
        <w:rPr>
          <w:highlight w:val="none"/>
        </w:rPr>
        <w:t>CJ/T 476</w:t>
      </w:r>
      <w:r>
        <w:rPr>
          <w:rFonts w:hint="eastAsia"/>
          <w:highlight w:val="none"/>
        </w:rPr>
        <w:t>）进行测试，并提供国家级检测机构的检测报告。</w:t>
      </w:r>
    </w:p>
    <w:p w14:paraId="66D816EE">
      <w:pPr>
        <w:numPr>
          <w:ilvl w:val="0"/>
          <w:numId w:val="115"/>
        </w:numPr>
        <w:ind w:firstLine="480"/>
        <w:rPr>
          <w:highlight w:val="none"/>
        </w:rPr>
      </w:pPr>
      <w:r>
        <w:rPr>
          <w:rFonts w:hint="eastAsia"/>
          <w:highlight w:val="none"/>
        </w:rPr>
        <w:t>抗震支架系统的斜向支撑</w:t>
      </w:r>
      <w:r>
        <w:rPr>
          <w:highlight w:val="none"/>
        </w:rPr>
        <w:t>C</w:t>
      </w:r>
      <w:r>
        <w:rPr>
          <w:rFonts w:hint="eastAsia"/>
          <w:highlight w:val="none"/>
        </w:rPr>
        <w:t>型槽钢应使用冷弯薄壁成品支架槽钢</w:t>
      </w:r>
      <w:r>
        <w:rPr>
          <w:highlight w:val="none"/>
        </w:rPr>
        <w:t>,</w:t>
      </w:r>
      <w:r>
        <w:rPr>
          <w:rFonts w:hint="eastAsia"/>
          <w:highlight w:val="none"/>
        </w:rPr>
        <w:t>其壁厚不小于</w:t>
      </w:r>
      <w:r>
        <w:rPr>
          <w:highlight w:val="none"/>
        </w:rPr>
        <w:t>2.5mm</w:t>
      </w:r>
      <w:r>
        <w:rPr>
          <w:rFonts w:hint="eastAsia"/>
          <w:highlight w:val="none"/>
        </w:rPr>
        <w:t>。</w:t>
      </w:r>
    </w:p>
    <w:p w14:paraId="4530FD25">
      <w:pPr>
        <w:numPr>
          <w:ilvl w:val="0"/>
          <w:numId w:val="115"/>
        </w:numPr>
        <w:ind w:firstLine="480"/>
        <w:rPr>
          <w:highlight w:val="none"/>
        </w:rPr>
      </w:pPr>
      <w:r>
        <w:rPr>
          <w:rFonts w:hint="eastAsia"/>
          <w:highlight w:val="none"/>
        </w:rPr>
        <w:t>抗震支吊系统使用的</w:t>
      </w:r>
      <w:r>
        <w:rPr>
          <w:highlight w:val="none"/>
        </w:rPr>
        <w:t>C</w:t>
      </w:r>
      <w:r>
        <w:rPr>
          <w:rFonts w:hint="eastAsia"/>
          <w:highlight w:val="none"/>
        </w:rPr>
        <w:t>型槽钢采用热浸镀锌，其镀锌层厚度必须≥</w:t>
      </w:r>
      <w:r>
        <w:rPr>
          <w:highlight w:val="none"/>
        </w:rPr>
        <w:t>55</w:t>
      </w:r>
      <w:r>
        <w:rPr>
          <w:rFonts w:hint="eastAsia"/>
          <w:highlight w:val="none"/>
        </w:rPr>
        <w:t>微米，并提供相关镀锌层厚度测试报告。</w:t>
      </w:r>
    </w:p>
    <w:p w14:paraId="16798ED5">
      <w:pPr>
        <w:numPr>
          <w:ilvl w:val="0"/>
          <w:numId w:val="115"/>
        </w:numPr>
        <w:ind w:firstLine="480"/>
        <w:rPr>
          <w:highlight w:val="none"/>
        </w:rPr>
      </w:pPr>
      <w:r>
        <w:rPr>
          <w:rFonts w:hint="eastAsia"/>
          <w:highlight w:val="none"/>
        </w:rPr>
        <w:t>如果门型抗震支架系统由于受力计算要求需要使用双面拼接</w:t>
      </w:r>
      <w:r>
        <w:rPr>
          <w:highlight w:val="none"/>
        </w:rPr>
        <w:t>C</w:t>
      </w:r>
      <w:r>
        <w:rPr>
          <w:rFonts w:hint="eastAsia"/>
          <w:highlight w:val="none"/>
        </w:rPr>
        <w:t>型槽钢时，为确保双面槽钢的整体受力性能，要求其拼接工艺应采用背孔冲压连接及一体激光焊接工艺，不得使用点焊连接。</w:t>
      </w:r>
    </w:p>
    <w:p w14:paraId="6CAF5E91">
      <w:pPr>
        <w:numPr>
          <w:ilvl w:val="0"/>
          <w:numId w:val="115"/>
        </w:numPr>
        <w:ind w:firstLine="480"/>
        <w:rPr>
          <w:highlight w:val="none"/>
        </w:rPr>
      </w:pPr>
      <w:r>
        <w:rPr>
          <w:rFonts w:hint="eastAsia"/>
          <w:highlight w:val="none"/>
        </w:rPr>
        <w:t>抗震支架使用的</w:t>
      </w:r>
      <w:r>
        <w:rPr>
          <w:highlight w:val="none"/>
        </w:rPr>
        <w:t>C</w:t>
      </w:r>
      <w:r>
        <w:rPr>
          <w:rFonts w:hint="eastAsia"/>
          <w:highlight w:val="none"/>
        </w:rPr>
        <w:t>型槽钢其卷边内沿必须带有深度不小于</w:t>
      </w:r>
      <w:r>
        <w:rPr>
          <w:highlight w:val="none"/>
        </w:rPr>
        <w:t>1.0mm</w:t>
      </w:r>
      <w:r>
        <w:rPr>
          <w:rFonts w:hint="eastAsia"/>
          <w:highlight w:val="none"/>
        </w:rPr>
        <w:t>的齿牙，同时与之配合的连接扣件也应带有相同深度的齿坑，以保证咬合连接模式在遇到较大水平荷载的时，连接能实现延性破坏。</w:t>
      </w:r>
    </w:p>
    <w:p w14:paraId="2CF62D41">
      <w:pPr>
        <w:numPr>
          <w:ilvl w:val="0"/>
          <w:numId w:val="115"/>
        </w:numPr>
        <w:ind w:firstLine="480"/>
        <w:rPr>
          <w:highlight w:val="none"/>
        </w:rPr>
      </w:pPr>
      <w:r>
        <w:rPr>
          <w:rFonts w:hint="eastAsia"/>
          <w:highlight w:val="none"/>
        </w:rPr>
        <w:t>配套安装金属管道的管卡内需配惰性橡胶内衬垫，以达到绝缘，减振，降噪的效果。</w:t>
      </w:r>
    </w:p>
    <w:p w14:paraId="4C57020A">
      <w:pPr>
        <w:numPr>
          <w:ilvl w:val="0"/>
          <w:numId w:val="115"/>
        </w:numPr>
        <w:ind w:firstLine="480"/>
        <w:rPr>
          <w:highlight w:val="none"/>
        </w:rPr>
      </w:pPr>
      <w:r>
        <w:rPr>
          <w:rFonts w:hint="eastAsia"/>
          <w:highlight w:val="none"/>
        </w:rPr>
        <w:t>抗震支架系统采用应采用具有机械锁键效应的后扩底锚栓，必须符合国家标准《混凝土结构后锚固技术规程》（</w:t>
      </w:r>
      <w:r>
        <w:rPr>
          <w:highlight w:val="none"/>
        </w:rPr>
        <w:t>JGJ145</w:t>
      </w:r>
      <w:r>
        <w:rPr>
          <w:rFonts w:hint="eastAsia"/>
          <w:highlight w:val="none"/>
        </w:rPr>
        <w:t>），并提供国内权威机构的测试报告。</w:t>
      </w:r>
      <w:r>
        <w:rPr>
          <w:highlight w:val="none"/>
        </w:rPr>
        <w:t xml:space="preserve"> </w:t>
      </w:r>
    </w:p>
    <w:p w14:paraId="33444B7F">
      <w:pPr>
        <w:pStyle w:val="5"/>
        <w:numPr>
          <w:ilvl w:val="2"/>
          <w:numId w:val="0"/>
        </w:numPr>
        <w:ind w:left="624" w:hanging="624"/>
        <w:rPr>
          <w:highlight w:val="none"/>
        </w:rPr>
      </w:pPr>
      <w:bookmarkStart w:id="871" w:name="_Toc25577"/>
      <w:r>
        <w:rPr>
          <w:rFonts w:hint="eastAsia"/>
          <w:highlight w:val="none"/>
        </w:rPr>
        <w:t>7.1</w:t>
      </w:r>
      <w:r>
        <w:rPr>
          <w:rFonts w:hint="eastAsia"/>
          <w:highlight w:val="none"/>
          <w:lang w:val="en-US" w:eastAsia="zh-CN"/>
        </w:rPr>
        <w:t>2</w:t>
      </w:r>
      <w:r>
        <w:rPr>
          <w:rFonts w:hint="eastAsia"/>
          <w:highlight w:val="none"/>
        </w:rPr>
        <w:t>.3电气工程</w:t>
      </w:r>
      <w:bookmarkEnd w:id="871"/>
    </w:p>
    <w:p w14:paraId="1B89F325">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.3.1防雷与接地</w:t>
      </w:r>
    </w:p>
    <w:p w14:paraId="644F5E75">
      <w:pPr>
        <w:numPr>
          <w:ilvl w:val="1"/>
          <w:numId w:val="116"/>
        </w:numPr>
        <w:ind w:firstLine="480"/>
        <w:rPr>
          <w:highlight w:val="none"/>
        </w:rPr>
      </w:pPr>
      <w:r>
        <w:rPr>
          <w:rFonts w:hint="eastAsia"/>
          <w:highlight w:val="none"/>
        </w:rPr>
        <w:t>接地装置</w:t>
      </w:r>
    </w:p>
    <w:p w14:paraId="04D83846">
      <w:pPr>
        <w:numPr>
          <w:ilvl w:val="0"/>
          <w:numId w:val="117"/>
        </w:numPr>
        <w:ind w:firstLine="480"/>
        <w:rPr>
          <w:highlight w:val="none"/>
        </w:rPr>
      </w:pPr>
      <w:r>
        <w:rPr>
          <w:rFonts w:hint="eastAsia"/>
          <w:highlight w:val="none"/>
        </w:rPr>
        <w:t>人工接地体应选用角钢或圆钢，长度不小于</w:t>
      </w:r>
      <w:r>
        <w:rPr>
          <w:highlight w:val="none"/>
        </w:rPr>
        <w:t>2.5m</w:t>
      </w:r>
      <w:r>
        <w:rPr>
          <w:rFonts w:hint="eastAsia"/>
          <w:highlight w:val="none"/>
        </w:rPr>
        <w:t>，相互之间间距不应小于</w:t>
      </w:r>
      <w:r>
        <w:rPr>
          <w:highlight w:val="none"/>
        </w:rPr>
        <w:t xml:space="preserve"> 5m</w:t>
      </w:r>
      <w:r>
        <w:rPr>
          <w:rFonts w:hint="eastAsia"/>
          <w:highlight w:val="none"/>
        </w:rPr>
        <w:t>，其顶部应作成尖角；埋设时应挖深为</w:t>
      </w:r>
      <w:r>
        <w:rPr>
          <w:highlight w:val="none"/>
        </w:rPr>
        <w:t>0.8</w:t>
      </w:r>
      <w:r>
        <w:rPr>
          <w:rFonts w:hint="eastAsia"/>
          <w:highlight w:val="none"/>
        </w:rPr>
        <w:t>~</w:t>
      </w:r>
      <w:r>
        <w:rPr>
          <w:highlight w:val="none"/>
        </w:rPr>
        <w:t>1m</w:t>
      </w:r>
      <w:r>
        <w:rPr>
          <w:rFonts w:hint="eastAsia"/>
          <w:highlight w:val="none"/>
        </w:rPr>
        <w:t>，宽为</w:t>
      </w:r>
      <w:r>
        <w:rPr>
          <w:highlight w:val="none"/>
        </w:rPr>
        <w:t>0.5m</w:t>
      </w:r>
      <w:r>
        <w:rPr>
          <w:rFonts w:hint="eastAsia"/>
          <w:highlight w:val="none"/>
        </w:rPr>
        <w:t>的沟，沟上宽下窄，打桩时，应采取措施，防止接地角钢或圆钢打劈。接地体应垂直设置，避免打偏，其顶部离地高度为</w:t>
      </w:r>
      <w:r>
        <w:rPr>
          <w:highlight w:val="none"/>
        </w:rPr>
        <w:t>600mm</w:t>
      </w:r>
      <w:r>
        <w:rPr>
          <w:rFonts w:hint="eastAsia"/>
          <w:highlight w:val="none"/>
        </w:rPr>
        <w:t>；接地体之间用镀锌扁钢焊接连接，扁钢应侧放，与接地体连接的位置距接地体顶部</w:t>
      </w:r>
      <w:r>
        <w:rPr>
          <w:highlight w:val="none"/>
        </w:rPr>
        <w:t>100mm</w:t>
      </w:r>
      <w:r>
        <w:rPr>
          <w:rFonts w:hint="eastAsia"/>
          <w:highlight w:val="none"/>
        </w:rPr>
        <w:t>，焊接达到上条要求，并留有足够长的连接长度；接地体埋设位置距建筑物不宜小于</w:t>
      </w:r>
      <w:r>
        <w:rPr>
          <w:highlight w:val="none"/>
        </w:rPr>
        <w:t>1.5m</w:t>
      </w:r>
      <w:r>
        <w:rPr>
          <w:rFonts w:hint="eastAsia"/>
          <w:highlight w:val="none"/>
        </w:rPr>
        <w:t>，遇有垃圾灰渣等时，应换土并分层夯实；当接地装置必须埋设在建筑物出人口或人行道小于</w:t>
      </w:r>
      <w:r>
        <w:rPr>
          <w:highlight w:val="none"/>
        </w:rPr>
        <w:t>3m</w:t>
      </w:r>
      <w:r>
        <w:rPr>
          <w:rFonts w:hint="eastAsia"/>
          <w:highlight w:val="none"/>
        </w:rPr>
        <w:t>时，应采用均压带做法或接地装置上敷设</w:t>
      </w:r>
      <w:r>
        <w:rPr>
          <w:highlight w:val="none"/>
        </w:rPr>
        <w:t xml:space="preserve"> 50</w:t>
      </w:r>
      <w:r>
        <w:rPr>
          <w:rFonts w:hint="eastAsia"/>
          <w:highlight w:val="none"/>
        </w:rPr>
        <w:t>~</w:t>
      </w:r>
      <w:r>
        <w:rPr>
          <w:highlight w:val="none"/>
        </w:rPr>
        <w:t>90mm</w:t>
      </w:r>
      <w:r>
        <w:rPr>
          <w:rFonts w:hint="eastAsia"/>
          <w:highlight w:val="none"/>
        </w:rPr>
        <w:t>沥青层，其宽度应超过接地装置</w:t>
      </w:r>
      <w:r>
        <w:rPr>
          <w:highlight w:val="none"/>
        </w:rPr>
        <w:t>2</w:t>
      </w:r>
      <w:r>
        <w:rPr>
          <w:rFonts w:hint="eastAsia"/>
          <w:highlight w:val="none"/>
        </w:rPr>
        <w:t>m。</w:t>
      </w:r>
    </w:p>
    <w:p w14:paraId="47794B48">
      <w:pPr>
        <w:numPr>
          <w:ilvl w:val="0"/>
          <w:numId w:val="117"/>
        </w:numPr>
        <w:ind w:firstLine="480"/>
        <w:rPr>
          <w:highlight w:val="none"/>
        </w:rPr>
      </w:pPr>
      <w:r>
        <w:rPr>
          <w:rFonts w:hint="eastAsia"/>
          <w:highlight w:val="none"/>
        </w:rPr>
        <w:t>自然接地体利用无防水</w:t>
      </w:r>
      <w:r>
        <w:rPr>
          <w:rFonts w:hint="eastAsia"/>
          <w:highlight w:val="yellow"/>
        </w:rPr>
        <w:t>底板</w:t>
      </w:r>
      <w:r>
        <w:rPr>
          <w:rFonts w:hint="eastAsia"/>
          <w:highlight w:val="none"/>
        </w:rPr>
        <w:t>钢筋或深基础做接地体，应按设计要求，将</w:t>
      </w:r>
      <w:r>
        <w:rPr>
          <w:rFonts w:hint="eastAsia"/>
          <w:highlight w:val="yellow"/>
        </w:rPr>
        <w:t>底板</w:t>
      </w:r>
      <w:r>
        <w:rPr>
          <w:rFonts w:hint="eastAsia"/>
          <w:highlight w:val="none"/>
        </w:rPr>
        <w:t>钢筋搭接焊好；将柱内两根相临或对角的钢筋与</w:t>
      </w:r>
      <w:r>
        <w:rPr>
          <w:rFonts w:hint="eastAsia"/>
          <w:highlight w:val="yellow"/>
        </w:rPr>
        <w:t>底板</w:t>
      </w:r>
      <w:r>
        <w:rPr>
          <w:rFonts w:hint="eastAsia"/>
          <w:highlight w:val="none"/>
        </w:rPr>
        <w:t>钢筋绑扎或搭接焊好，并将柱内主筋用色标作好标记。</w:t>
      </w:r>
    </w:p>
    <w:p w14:paraId="19B98184">
      <w:pPr>
        <w:numPr>
          <w:ilvl w:val="1"/>
          <w:numId w:val="116"/>
        </w:numPr>
        <w:ind w:firstLine="480"/>
        <w:rPr>
          <w:highlight w:val="none"/>
        </w:rPr>
      </w:pPr>
      <w:r>
        <w:rPr>
          <w:rFonts w:hint="eastAsia"/>
          <w:highlight w:val="none"/>
        </w:rPr>
        <w:t>接地干线安装</w:t>
      </w:r>
    </w:p>
    <w:p w14:paraId="1A6ADD10">
      <w:pPr>
        <w:numPr>
          <w:ilvl w:val="0"/>
          <w:numId w:val="118"/>
        </w:numPr>
        <w:ind w:firstLine="480"/>
        <w:rPr>
          <w:highlight w:val="none"/>
        </w:rPr>
      </w:pPr>
      <w:r>
        <w:rPr>
          <w:rFonts w:hint="eastAsia"/>
          <w:highlight w:val="none"/>
        </w:rPr>
        <w:t>室外接地干线一般敷设在沟内，回填土应压实但不需打夯，末端露出地面</w:t>
      </w:r>
      <w:r>
        <w:rPr>
          <w:highlight w:val="none"/>
        </w:rPr>
        <w:t xml:space="preserve"> 500mm</w:t>
      </w:r>
      <w:r>
        <w:rPr>
          <w:rFonts w:hint="eastAsia"/>
          <w:highlight w:val="none"/>
        </w:rPr>
        <w:t>，以便接引线；</w:t>
      </w:r>
    </w:p>
    <w:p w14:paraId="20B52663">
      <w:pPr>
        <w:numPr>
          <w:ilvl w:val="0"/>
          <w:numId w:val="118"/>
        </w:numPr>
        <w:ind w:firstLine="480"/>
        <w:rPr>
          <w:highlight w:val="none"/>
        </w:rPr>
      </w:pPr>
      <w:r>
        <w:rPr>
          <w:rFonts w:hint="eastAsia"/>
          <w:highlight w:val="none"/>
        </w:rPr>
        <w:t>室内接地干线多为明敷设，但部分设备连接的支线需经地面也可埋在混凝土内；</w:t>
      </w:r>
    </w:p>
    <w:p w14:paraId="43B593AC">
      <w:pPr>
        <w:numPr>
          <w:ilvl w:val="0"/>
          <w:numId w:val="118"/>
        </w:numPr>
        <w:ind w:firstLine="480"/>
        <w:rPr>
          <w:highlight w:val="none"/>
        </w:rPr>
      </w:pPr>
      <w:r>
        <w:rPr>
          <w:rFonts w:hint="eastAsia"/>
          <w:highlight w:val="none"/>
        </w:rPr>
        <w:t>明敷设接地线不应妨碍设备的拆除与检修；</w:t>
      </w:r>
    </w:p>
    <w:p w14:paraId="62F78753">
      <w:pPr>
        <w:numPr>
          <w:ilvl w:val="0"/>
          <w:numId w:val="118"/>
        </w:numPr>
        <w:ind w:firstLine="480"/>
        <w:rPr>
          <w:highlight w:val="none"/>
        </w:rPr>
      </w:pPr>
      <w:r>
        <w:rPr>
          <w:rFonts w:hint="eastAsia"/>
          <w:highlight w:val="none"/>
        </w:rPr>
        <w:t>接地线应水平或垂直敷设，也可沿建筑物表面平行敷设，不应有高低起伏及弯曲情况；</w:t>
      </w:r>
    </w:p>
    <w:p w14:paraId="2D07B413">
      <w:pPr>
        <w:numPr>
          <w:ilvl w:val="0"/>
          <w:numId w:val="118"/>
        </w:numPr>
        <w:ind w:firstLine="480"/>
        <w:rPr>
          <w:highlight w:val="none"/>
        </w:rPr>
      </w:pPr>
      <w:r>
        <w:rPr>
          <w:rFonts w:hint="eastAsia"/>
          <w:highlight w:val="none"/>
        </w:rPr>
        <w:t>接地线沿建筑物墙壁敷设时，接地干线距地面应不小于</w:t>
      </w:r>
      <w:r>
        <w:rPr>
          <w:highlight w:val="none"/>
        </w:rPr>
        <w:t>200mm</w:t>
      </w:r>
      <w:r>
        <w:rPr>
          <w:rFonts w:hint="eastAsia"/>
          <w:highlight w:val="none"/>
        </w:rPr>
        <w:t>，距墙面不小于</w:t>
      </w:r>
      <w:r>
        <w:rPr>
          <w:highlight w:val="none"/>
        </w:rPr>
        <w:t>10m</w:t>
      </w:r>
      <w:r>
        <w:rPr>
          <w:rFonts w:hint="eastAsia"/>
          <w:highlight w:val="none"/>
        </w:rPr>
        <w:t>m，支持件间的水平直线距离一般为</w:t>
      </w:r>
      <w:r>
        <w:rPr>
          <w:highlight w:val="none"/>
        </w:rPr>
        <w:t>1m</w:t>
      </w:r>
      <w:r>
        <w:rPr>
          <w:rFonts w:hint="eastAsia"/>
          <w:highlight w:val="none"/>
        </w:rPr>
        <w:t>，垂直部分为</w:t>
      </w:r>
      <w:r>
        <w:rPr>
          <w:highlight w:val="none"/>
        </w:rPr>
        <w:t>1.5m</w:t>
      </w:r>
      <w:r>
        <w:rPr>
          <w:rFonts w:hint="eastAsia"/>
          <w:highlight w:val="none"/>
        </w:rPr>
        <w:t>，转弯部分为</w:t>
      </w:r>
      <w:r>
        <w:rPr>
          <w:highlight w:val="none"/>
        </w:rPr>
        <w:t>0.5m</w:t>
      </w:r>
      <w:r>
        <w:rPr>
          <w:rFonts w:hint="eastAsia"/>
          <w:highlight w:val="none"/>
        </w:rPr>
        <w:t>；</w:t>
      </w:r>
    </w:p>
    <w:p w14:paraId="7C483C4A">
      <w:pPr>
        <w:numPr>
          <w:ilvl w:val="0"/>
          <w:numId w:val="118"/>
        </w:numPr>
        <w:ind w:firstLine="480"/>
        <w:rPr>
          <w:highlight w:val="none"/>
        </w:rPr>
      </w:pPr>
      <w:r>
        <w:rPr>
          <w:rFonts w:hint="eastAsia"/>
          <w:highlight w:val="none"/>
        </w:rPr>
        <w:t>接地干线敷设应平直，水平度及垂直度允许偏差</w:t>
      </w:r>
      <w:r>
        <w:rPr>
          <w:highlight w:val="none"/>
        </w:rPr>
        <w:t>2/1000</w:t>
      </w:r>
      <w:r>
        <w:rPr>
          <w:rFonts w:hint="eastAsia"/>
          <w:highlight w:val="none"/>
        </w:rPr>
        <w:t>，但全长避免超过</w:t>
      </w:r>
      <w:r>
        <w:rPr>
          <w:highlight w:val="none"/>
        </w:rPr>
        <w:t xml:space="preserve"> 10m</w:t>
      </w:r>
      <w:r>
        <w:rPr>
          <w:rFonts w:hint="eastAsia"/>
          <w:highlight w:val="none"/>
        </w:rPr>
        <w:t>；转角处接地干线弯曲半径避免小于扁钢宽度的２倍；</w:t>
      </w:r>
    </w:p>
    <w:p w14:paraId="74E13161">
      <w:pPr>
        <w:numPr>
          <w:ilvl w:val="0"/>
          <w:numId w:val="118"/>
        </w:numPr>
        <w:ind w:firstLine="480"/>
        <w:rPr>
          <w:highlight w:val="none"/>
        </w:rPr>
      </w:pPr>
      <w:r>
        <w:rPr>
          <w:rFonts w:hint="eastAsia"/>
          <w:highlight w:val="none"/>
        </w:rPr>
        <w:t>明敷设的接地线应表面刷黑漆，油漆应均匀无遗漏，但接地卡子及接地端子等处避免刷油。如因建筑物设计刷其他颜色，则应在连接处及分支处刷以各宽为</w:t>
      </w:r>
      <w:r>
        <w:rPr>
          <w:highlight w:val="none"/>
        </w:rPr>
        <w:t>150mm</w:t>
      </w:r>
      <w:r>
        <w:rPr>
          <w:rFonts w:hint="eastAsia"/>
          <w:highlight w:val="none"/>
        </w:rPr>
        <w:t>的两条黑带，其间距</w:t>
      </w:r>
      <w:r>
        <w:rPr>
          <w:highlight w:val="none"/>
        </w:rPr>
        <w:t>150mm</w:t>
      </w:r>
      <w:r>
        <w:rPr>
          <w:rFonts w:hint="eastAsia"/>
          <w:highlight w:val="none"/>
        </w:rPr>
        <w:t>；</w:t>
      </w:r>
    </w:p>
    <w:p w14:paraId="78066D6B">
      <w:pPr>
        <w:numPr>
          <w:ilvl w:val="0"/>
          <w:numId w:val="118"/>
        </w:numPr>
        <w:ind w:firstLine="480"/>
        <w:rPr>
          <w:highlight w:val="none"/>
        </w:rPr>
      </w:pPr>
      <w:r>
        <w:rPr>
          <w:rFonts w:hint="eastAsia"/>
          <w:highlight w:val="none"/>
        </w:rPr>
        <w:t>穿墙时，应套管保护，跨越伸缩缝，应做偎管补偿；</w:t>
      </w:r>
    </w:p>
    <w:p w14:paraId="652079B9">
      <w:pPr>
        <w:numPr>
          <w:ilvl w:val="0"/>
          <w:numId w:val="118"/>
        </w:numPr>
        <w:ind w:firstLine="480"/>
        <w:rPr>
          <w:highlight w:val="none"/>
        </w:rPr>
      </w:pPr>
      <w:r>
        <w:rPr>
          <w:rFonts w:hint="eastAsia"/>
          <w:highlight w:val="none"/>
        </w:rPr>
        <w:t>接地线引向建筑物人口处，应标以黑色接地标志。</w:t>
      </w:r>
    </w:p>
    <w:p w14:paraId="18474303">
      <w:pPr>
        <w:numPr>
          <w:ilvl w:val="1"/>
          <w:numId w:val="116"/>
        </w:numPr>
        <w:ind w:firstLine="480"/>
        <w:rPr>
          <w:highlight w:val="none"/>
        </w:rPr>
      </w:pPr>
      <w:r>
        <w:rPr>
          <w:rFonts w:hint="eastAsia"/>
          <w:highlight w:val="none"/>
        </w:rPr>
        <w:t>引下线安装</w:t>
      </w:r>
    </w:p>
    <w:p w14:paraId="3630251C">
      <w:pPr>
        <w:numPr>
          <w:ilvl w:val="0"/>
          <w:numId w:val="119"/>
        </w:numPr>
        <w:ind w:firstLine="480"/>
        <w:rPr>
          <w:highlight w:val="none"/>
        </w:rPr>
      </w:pPr>
      <w:r>
        <w:rPr>
          <w:rFonts w:hint="eastAsia"/>
          <w:highlight w:val="none"/>
        </w:rPr>
        <w:t>当利用建筑物主筋做引下线时，主筋截面积避免小于</w:t>
      </w:r>
      <w:r>
        <w:rPr>
          <w:highlight w:val="none"/>
        </w:rPr>
        <w:t>90mm2</w:t>
      </w:r>
      <w:r>
        <w:rPr>
          <w:rFonts w:hint="eastAsia"/>
          <w:highlight w:val="none"/>
        </w:rPr>
        <w:t>，每条引下线避免少于２根主筋。</w:t>
      </w:r>
    </w:p>
    <w:p w14:paraId="41C5AE8B">
      <w:pPr>
        <w:numPr>
          <w:ilvl w:val="0"/>
          <w:numId w:val="119"/>
        </w:numPr>
        <w:ind w:firstLine="480"/>
        <w:rPr>
          <w:highlight w:val="none"/>
        </w:rPr>
      </w:pPr>
      <w:r>
        <w:rPr>
          <w:rFonts w:hint="eastAsia"/>
          <w:highlight w:val="none"/>
        </w:rPr>
        <w:t>主筋搭接处接接地线的要求焊接，当主筋采用压力埋弧焊、对焊、冷挤压时其接头处可不跨接。</w:t>
      </w:r>
    </w:p>
    <w:p w14:paraId="3780B70E">
      <w:pPr>
        <w:numPr>
          <w:ilvl w:val="0"/>
          <w:numId w:val="119"/>
        </w:numPr>
        <w:ind w:firstLine="480"/>
        <w:rPr>
          <w:highlight w:val="none"/>
        </w:rPr>
      </w:pPr>
      <w:r>
        <w:rPr>
          <w:rFonts w:hint="eastAsia"/>
          <w:highlight w:val="none"/>
        </w:rPr>
        <w:t>引下线扁钢避免小于</w:t>
      </w:r>
      <w:r>
        <w:rPr>
          <w:highlight w:val="none"/>
        </w:rPr>
        <w:t>25x4mm</w:t>
      </w:r>
      <w:r>
        <w:rPr>
          <w:rFonts w:hint="eastAsia"/>
          <w:highlight w:val="none"/>
        </w:rPr>
        <w:t>，圆钢直径避免小于</w:t>
      </w:r>
      <w:r>
        <w:rPr>
          <w:highlight w:val="none"/>
        </w:rPr>
        <w:t>12mm</w:t>
      </w:r>
      <w:r>
        <w:rPr>
          <w:rFonts w:hint="eastAsia"/>
          <w:highlight w:val="none"/>
        </w:rPr>
        <w:t>。</w:t>
      </w:r>
      <w:r>
        <w:rPr>
          <w:highlight w:val="none"/>
        </w:rPr>
        <w:t xml:space="preserve"> </w:t>
      </w:r>
    </w:p>
    <w:p w14:paraId="60C14C4F">
      <w:pPr>
        <w:numPr>
          <w:ilvl w:val="0"/>
          <w:numId w:val="119"/>
        </w:numPr>
        <w:ind w:firstLine="480"/>
        <w:rPr>
          <w:highlight w:val="none"/>
        </w:rPr>
      </w:pPr>
      <w:r>
        <w:rPr>
          <w:rFonts w:hint="eastAsia"/>
          <w:highlight w:val="none"/>
        </w:rPr>
        <w:t>现浇混凝土墙内暗敷引下线时不做防腐处理，焊接应满足规范要求。</w:t>
      </w:r>
    </w:p>
    <w:p w14:paraId="441D2405">
      <w:pPr>
        <w:numPr>
          <w:ilvl w:val="0"/>
          <w:numId w:val="119"/>
        </w:numPr>
        <w:ind w:firstLine="480"/>
        <w:rPr>
          <w:highlight w:val="none"/>
        </w:rPr>
      </w:pPr>
      <w:r>
        <w:rPr>
          <w:rFonts w:hint="eastAsia"/>
          <w:highlight w:val="none"/>
        </w:rPr>
        <w:t>明装引下线应躲开建筑物的人口和行人较易接触到的地点，以免发生危险。</w:t>
      </w:r>
    </w:p>
    <w:p w14:paraId="1A076EFC">
      <w:pPr>
        <w:numPr>
          <w:ilvl w:val="0"/>
          <w:numId w:val="119"/>
        </w:numPr>
        <w:ind w:firstLine="480"/>
        <w:rPr>
          <w:highlight w:val="none"/>
        </w:rPr>
      </w:pPr>
      <w:r>
        <w:rPr>
          <w:rFonts w:hint="eastAsia"/>
          <w:highlight w:val="none"/>
        </w:rPr>
        <w:t>每栋建筑物至少有２根引下线（投影小于</w:t>
      </w:r>
      <w:r>
        <w:rPr>
          <w:highlight w:val="none"/>
        </w:rPr>
        <w:t>50m2</w:t>
      </w:r>
      <w:r>
        <w:rPr>
          <w:rFonts w:hint="eastAsia"/>
          <w:highlight w:val="none"/>
        </w:rPr>
        <w:t>的建筑物例外），防雷引下线最好为对称位置，间距不应大于</w:t>
      </w:r>
      <w:r>
        <w:rPr>
          <w:highlight w:val="none"/>
        </w:rPr>
        <w:t>20m</w:t>
      </w:r>
      <w:r>
        <w:rPr>
          <w:rFonts w:hint="eastAsia"/>
          <w:highlight w:val="none"/>
        </w:rPr>
        <w:t>，当大于</w:t>
      </w:r>
      <w:r>
        <w:rPr>
          <w:highlight w:val="none"/>
        </w:rPr>
        <w:t>20m</w:t>
      </w:r>
      <w:r>
        <w:rPr>
          <w:rFonts w:hint="eastAsia"/>
          <w:highlight w:val="none"/>
        </w:rPr>
        <w:t>时应在中间多引一根引下线。</w:t>
      </w:r>
    </w:p>
    <w:p w14:paraId="1EBCB792">
      <w:pPr>
        <w:numPr>
          <w:ilvl w:val="0"/>
          <w:numId w:val="119"/>
        </w:numPr>
        <w:ind w:firstLine="480"/>
        <w:rPr>
          <w:highlight w:val="none"/>
        </w:rPr>
      </w:pPr>
      <w:r>
        <w:rPr>
          <w:rFonts w:hint="eastAsia"/>
          <w:highlight w:val="none"/>
        </w:rPr>
        <w:t>柱内主筋应用不小于Φ</w:t>
      </w:r>
      <w:r>
        <w:rPr>
          <w:highlight w:val="none"/>
        </w:rPr>
        <w:t>12</w:t>
      </w:r>
      <w:r>
        <w:rPr>
          <w:rFonts w:hint="eastAsia"/>
          <w:highlight w:val="none"/>
        </w:rPr>
        <w:t>镀锌圆钢与屋顶避雷网焊接。</w:t>
      </w:r>
    </w:p>
    <w:p w14:paraId="5984C871">
      <w:pPr>
        <w:numPr>
          <w:ilvl w:val="0"/>
          <w:numId w:val="119"/>
        </w:numPr>
        <w:ind w:firstLine="480"/>
        <w:rPr>
          <w:highlight w:val="none"/>
        </w:rPr>
      </w:pPr>
      <w:r>
        <w:rPr>
          <w:rFonts w:hint="eastAsia"/>
          <w:highlight w:val="none"/>
        </w:rPr>
        <w:t>引下线的垂直允许偏差为</w:t>
      </w:r>
      <w:r>
        <w:rPr>
          <w:highlight w:val="none"/>
        </w:rPr>
        <w:t xml:space="preserve"> 2/1000</w:t>
      </w:r>
      <w:r>
        <w:rPr>
          <w:rFonts w:hint="eastAsia"/>
          <w:highlight w:val="none"/>
        </w:rPr>
        <w:t>。引下线必须调直敷设，弯曲处不应小于</w:t>
      </w:r>
      <w:r>
        <w:rPr>
          <w:highlight w:val="none"/>
        </w:rPr>
        <w:t>90</w:t>
      </w:r>
      <w:r>
        <w:rPr>
          <w:rFonts w:hint="eastAsia"/>
          <w:highlight w:val="none"/>
        </w:rPr>
        <w:t>°，并避免弯成死角。引下线除设计要求，镀锌扁钢避免小于</w:t>
      </w:r>
      <w:r>
        <w:rPr>
          <w:highlight w:val="none"/>
        </w:rPr>
        <w:t>48mm2</w:t>
      </w:r>
      <w:r>
        <w:rPr>
          <w:rFonts w:hint="eastAsia"/>
          <w:highlight w:val="none"/>
        </w:rPr>
        <w:t>，镀锌圆钢直径不小于12</w:t>
      </w:r>
      <w:r>
        <w:rPr>
          <w:highlight w:val="none"/>
        </w:rPr>
        <w:t>mm</w:t>
      </w:r>
      <w:r>
        <w:rPr>
          <w:rFonts w:hint="eastAsia"/>
          <w:highlight w:val="none"/>
        </w:rPr>
        <w:t>。</w:t>
      </w:r>
    </w:p>
    <w:p w14:paraId="035372D7">
      <w:pPr>
        <w:numPr>
          <w:ilvl w:val="0"/>
          <w:numId w:val="119"/>
        </w:numPr>
        <w:ind w:firstLine="480"/>
        <w:rPr>
          <w:highlight w:val="none"/>
        </w:rPr>
      </w:pPr>
      <w:r>
        <w:rPr>
          <w:rFonts w:hint="eastAsia"/>
          <w:highlight w:val="none"/>
        </w:rPr>
        <w:t>将接地线地面以上</w:t>
      </w:r>
      <w:r>
        <w:rPr>
          <w:highlight w:val="none"/>
        </w:rPr>
        <w:t>2m</w:t>
      </w:r>
      <w:r>
        <w:rPr>
          <w:rFonts w:hint="eastAsia"/>
          <w:highlight w:val="none"/>
        </w:rPr>
        <w:t>段套上保护管，保护管避免用金属管，用镀锌角钢拼装，以免形成涡流，阻碍雷电流顺利通过。</w:t>
      </w:r>
    </w:p>
    <w:p w14:paraId="70CBF1C0">
      <w:pPr>
        <w:numPr>
          <w:ilvl w:val="0"/>
          <w:numId w:val="119"/>
        </w:numPr>
        <w:ind w:firstLine="480"/>
        <w:rPr>
          <w:highlight w:val="none"/>
        </w:rPr>
      </w:pPr>
      <w:r>
        <w:rPr>
          <w:rFonts w:hint="eastAsia"/>
          <w:highlight w:val="none"/>
        </w:rPr>
        <w:t>防雷引下线，接地体需要装设断接卡子或测试的部位、数量按图施工，无要求时按以下规定设置：建筑物、构筑物只有一组接地体时，可不做断接卡子，但要设置测试点；建筑物、构筑物采用多组接地体时，每组接地体均要设置断接卡子；断接卡子或接地点设置的部位应不影响建筑物外观，应便于测试，暗设时距地高度为</w:t>
      </w:r>
      <w:r>
        <w:rPr>
          <w:highlight w:val="none"/>
        </w:rPr>
        <w:t>0.5m</w:t>
      </w:r>
      <w:r>
        <w:rPr>
          <w:rFonts w:hint="eastAsia"/>
          <w:highlight w:val="none"/>
        </w:rPr>
        <w:t>，明设时距地高度为</w:t>
      </w:r>
      <w:r>
        <w:rPr>
          <w:highlight w:val="none"/>
        </w:rPr>
        <w:t>1.8m</w:t>
      </w:r>
      <w:r>
        <w:rPr>
          <w:rFonts w:hint="eastAsia"/>
          <w:highlight w:val="none"/>
        </w:rPr>
        <w:t>。</w:t>
      </w:r>
    </w:p>
    <w:p w14:paraId="1FC50174">
      <w:pPr>
        <w:numPr>
          <w:ilvl w:val="1"/>
          <w:numId w:val="116"/>
        </w:numPr>
        <w:ind w:firstLine="480"/>
        <w:rPr>
          <w:highlight w:val="none"/>
        </w:rPr>
      </w:pPr>
      <w:r>
        <w:rPr>
          <w:rFonts w:hint="eastAsia"/>
          <w:highlight w:val="none"/>
        </w:rPr>
        <w:t>避雷网安装</w:t>
      </w:r>
    </w:p>
    <w:p w14:paraId="484C8A3D">
      <w:pPr>
        <w:numPr>
          <w:ilvl w:val="1"/>
          <w:numId w:val="120"/>
        </w:numPr>
        <w:ind w:firstLine="480"/>
        <w:rPr>
          <w:highlight w:val="none"/>
        </w:rPr>
      </w:pPr>
      <w:r>
        <w:rPr>
          <w:rFonts w:hint="eastAsia"/>
          <w:highlight w:val="none"/>
        </w:rPr>
        <w:t>避雷网应平直牢固，不应有变形扭曲现象，距离建筑物表面距离应一致，平直度每</w:t>
      </w:r>
      <w:r>
        <w:rPr>
          <w:highlight w:val="none"/>
        </w:rPr>
        <w:t>2m</w:t>
      </w:r>
      <w:r>
        <w:rPr>
          <w:rFonts w:hint="eastAsia"/>
          <w:highlight w:val="none"/>
        </w:rPr>
        <w:t>检查允许偏差</w:t>
      </w:r>
      <w:r>
        <w:rPr>
          <w:highlight w:val="none"/>
        </w:rPr>
        <w:t>2/1000</w:t>
      </w:r>
      <w:r>
        <w:rPr>
          <w:rFonts w:hint="eastAsia"/>
          <w:highlight w:val="none"/>
        </w:rPr>
        <w:t>，但全长避免超过</w:t>
      </w:r>
      <w:r>
        <w:rPr>
          <w:highlight w:val="none"/>
        </w:rPr>
        <w:t>8mm</w:t>
      </w:r>
      <w:r>
        <w:rPr>
          <w:rFonts w:hint="eastAsia"/>
          <w:highlight w:val="none"/>
        </w:rPr>
        <w:t>；</w:t>
      </w:r>
    </w:p>
    <w:p w14:paraId="6BAFD624">
      <w:pPr>
        <w:numPr>
          <w:ilvl w:val="1"/>
          <w:numId w:val="120"/>
        </w:numPr>
        <w:ind w:firstLine="480"/>
        <w:rPr>
          <w:highlight w:val="none"/>
        </w:rPr>
      </w:pPr>
      <w:r>
        <w:rPr>
          <w:rFonts w:hint="eastAsia"/>
          <w:highlight w:val="none"/>
        </w:rPr>
        <w:t>避雷线弯曲处避免小于</w:t>
      </w:r>
      <w:r>
        <w:rPr>
          <w:highlight w:val="none"/>
        </w:rPr>
        <w:t>90</w:t>
      </w:r>
      <w:r>
        <w:rPr>
          <w:rFonts w:hint="eastAsia"/>
          <w:highlight w:val="none"/>
        </w:rPr>
        <w:t>°，弯曲半径避免小于圆钢直径</w:t>
      </w:r>
      <w:r>
        <w:rPr>
          <w:highlight w:val="none"/>
        </w:rPr>
        <w:t>10</w:t>
      </w:r>
      <w:r>
        <w:rPr>
          <w:rFonts w:hint="eastAsia"/>
          <w:highlight w:val="none"/>
        </w:rPr>
        <w:t>倍；</w:t>
      </w:r>
    </w:p>
    <w:p w14:paraId="2BD50A1D">
      <w:pPr>
        <w:numPr>
          <w:ilvl w:val="1"/>
          <w:numId w:val="120"/>
        </w:numPr>
        <w:ind w:firstLine="480"/>
        <w:rPr>
          <w:highlight w:val="none"/>
        </w:rPr>
      </w:pPr>
      <w:r>
        <w:rPr>
          <w:rFonts w:hint="eastAsia"/>
          <w:highlight w:val="none"/>
        </w:rPr>
        <w:t>主筋搭接处接接地线的要求焊接，当主筋采用压力埋弧焊、对焊、冷挤压时其接头处可不跨接；</w:t>
      </w:r>
    </w:p>
    <w:p w14:paraId="10D40209">
      <w:pPr>
        <w:numPr>
          <w:ilvl w:val="1"/>
          <w:numId w:val="120"/>
        </w:numPr>
        <w:ind w:firstLine="480"/>
        <w:rPr>
          <w:highlight w:val="none"/>
        </w:rPr>
      </w:pPr>
      <w:r>
        <w:rPr>
          <w:rFonts w:hint="eastAsia"/>
          <w:highlight w:val="none"/>
        </w:rPr>
        <w:t>现浇混凝土墙内暗敷引下线时不做防腐处理，焊接应满足规范要求；</w:t>
      </w:r>
    </w:p>
    <w:p w14:paraId="2C2A976E">
      <w:pPr>
        <w:numPr>
          <w:ilvl w:val="1"/>
          <w:numId w:val="120"/>
        </w:numPr>
        <w:ind w:firstLine="480"/>
        <w:rPr>
          <w:highlight w:val="none"/>
        </w:rPr>
      </w:pPr>
      <w:r>
        <w:rPr>
          <w:rFonts w:hint="eastAsia"/>
          <w:highlight w:val="none"/>
        </w:rPr>
        <w:t>柱内主筋应用不小于Φ</w:t>
      </w:r>
      <w:r>
        <w:rPr>
          <w:highlight w:val="none"/>
        </w:rPr>
        <w:t>12</w:t>
      </w:r>
      <w:r>
        <w:rPr>
          <w:rFonts w:hint="eastAsia"/>
          <w:highlight w:val="none"/>
        </w:rPr>
        <w:t>镀锌圆钢与屋顶避雷网焊接。</w:t>
      </w:r>
    </w:p>
    <w:p w14:paraId="6AFAAA97">
      <w:pPr>
        <w:numPr>
          <w:ilvl w:val="1"/>
          <w:numId w:val="116"/>
        </w:numPr>
        <w:ind w:firstLine="480"/>
        <w:rPr>
          <w:highlight w:val="none"/>
        </w:rPr>
      </w:pPr>
      <w:r>
        <w:rPr>
          <w:rFonts w:hint="eastAsia"/>
          <w:highlight w:val="none"/>
        </w:rPr>
        <w:t>接闪器</w:t>
      </w:r>
    </w:p>
    <w:p w14:paraId="1170DB33">
      <w:pPr>
        <w:numPr>
          <w:ilvl w:val="0"/>
          <w:numId w:val="121"/>
        </w:numPr>
        <w:ind w:firstLine="480"/>
        <w:rPr>
          <w:highlight w:val="none"/>
        </w:rPr>
      </w:pPr>
      <w:r>
        <w:rPr>
          <w:rFonts w:hint="eastAsia"/>
          <w:highlight w:val="none"/>
        </w:rPr>
        <w:t>避雷针、避雷带等必须与顶部外露的其它金属物体连成一个整体的电气通路，且与避雷引下线连接可靠，严禁串联连接，支持件安装位置正确。采用螺栓固定的应采取双螺帽等防松措施，利用结构圈梁里的主筋或腰筋与预先准备好的约</w:t>
      </w:r>
      <w:r>
        <w:rPr>
          <w:highlight w:val="none"/>
        </w:rPr>
        <w:t>20cm的连接钢筋头焊接成一体。</w:t>
      </w:r>
    </w:p>
    <w:p w14:paraId="2D48896A">
      <w:pPr>
        <w:numPr>
          <w:ilvl w:val="0"/>
          <w:numId w:val="121"/>
        </w:numPr>
        <w:ind w:firstLine="480"/>
        <w:rPr>
          <w:highlight w:val="none"/>
        </w:rPr>
      </w:pPr>
      <w:r>
        <w:rPr>
          <w:rFonts w:hint="eastAsia"/>
          <w:highlight w:val="none"/>
        </w:rPr>
        <w:t>避雷网和避雷带宜采用镀锌圆钢或扁钢，应优先选用圆钢，其直径不应小于</w:t>
      </w:r>
      <w:r>
        <w:rPr>
          <w:highlight w:val="none"/>
        </w:rPr>
        <w:t>10mm，扁钢宽度不应小12mm，厚度不应小于4mm。</w:t>
      </w:r>
    </w:p>
    <w:p w14:paraId="67655A9E">
      <w:pPr>
        <w:numPr>
          <w:ilvl w:val="0"/>
          <w:numId w:val="121"/>
        </w:numPr>
        <w:ind w:firstLine="480"/>
        <w:rPr>
          <w:highlight w:val="none"/>
        </w:rPr>
      </w:pPr>
      <w:r>
        <w:rPr>
          <w:rFonts w:hint="eastAsia"/>
          <w:highlight w:val="none"/>
        </w:rPr>
        <w:t>接闪器转角、建筑物变形缝处应做补偿机制。</w:t>
      </w:r>
    </w:p>
    <w:p w14:paraId="5B768BF8">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.3.2电缆桥架安装</w:t>
      </w:r>
    </w:p>
    <w:p w14:paraId="071E4EEC">
      <w:pPr>
        <w:numPr>
          <w:ilvl w:val="1"/>
          <w:numId w:val="122"/>
        </w:numPr>
        <w:ind w:firstLine="480"/>
        <w:rPr>
          <w:highlight w:val="none"/>
        </w:rPr>
      </w:pPr>
      <w:r>
        <w:rPr>
          <w:rFonts w:hint="eastAsia"/>
          <w:highlight w:val="none"/>
        </w:rPr>
        <w:t>材料要求</w:t>
      </w:r>
    </w:p>
    <w:p w14:paraId="5C4CF548">
      <w:pPr>
        <w:numPr>
          <w:ilvl w:val="1"/>
          <w:numId w:val="123"/>
        </w:numPr>
        <w:ind w:firstLine="480"/>
        <w:rPr>
          <w:highlight w:val="none"/>
        </w:rPr>
      </w:pPr>
      <w:r>
        <w:rPr>
          <w:rFonts w:hint="eastAsia"/>
          <w:highlight w:val="none"/>
        </w:rPr>
        <w:t>金属线槽分镀锌和不镀锌制品，其规格、型号应满足设计规范要求。线槽内外应光滑平整，无棱刺，不应有扭曲、翘边等变形现象。有产品质量认证和检测报告。</w:t>
      </w:r>
    </w:p>
    <w:p w14:paraId="0761EB97">
      <w:pPr>
        <w:numPr>
          <w:ilvl w:val="1"/>
          <w:numId w:val="123"/>
        </w:numPr>
        <w:ind w:firstLine="480"/>
        <w:rPr>
          <w:highlight w:val="none"/>
        </w:rPr>
      </w:pPr>
      <w:r>
        <w:rPr>
          <w:rFonts w:hint="eastAsia"/>
          <w:highlight w:val="none"/>
        </w:rPr>
        <w:t>对镀锌制品，要采用配套的镀锌配件，镀锌层表面应光滑均匀、致密、不起皮、无气泡、无局部未镀和局部锈蚀现象和划伤等缺陷，避免有影响安装的锌瘤。</w:t>
      </w:r>
    </w:p>
    <w:p w14:paraId="25BB7424">
      <w:pPr>
        <w:numPr>
          <w:ilvl w:val="1"/>
          <w:numId w:val="123"/>
        </w:numPr>
        <w:ind w:firstLine="480"/>
        <w:rPr>
          <w:highlight w:val="none"/>
        </w:rPr>
      </w:pPr>
      <w:r>
        <w:rPr>
          <w:rFonts w:hint="eastAsia"/>
          <w:highlight w:val="none"/>
        </w:rPr>
        <w:t>对非镀锌制品，漆层应坚固，无锈蚀现象，在每段上应焊接接地螺丝。</w:t>
      </w:r>
    </w:p>
    <w:p w14:paraId="17126351">
      <w:pPr>
        <w:numPr>
          <w:ilvl w:val="1"/>
          <w:numId w:val="123"/>
        </w:numPr>
        <w:ind w:firstLine="480"/>
        <w:rPr>
          <w:highlight w:val="none"/>
        </w:rPr>
      </w:pPr>
      <w:r>
        <w:rPr>
          <w:rFonts w:hint="eastAsia"/>
          <w:highlight w:val="none"/>
        </w:rPr>
        <w:t>支、吊架的结构应满足刚度、强度及稳定性的要求。</w:t>
      </w:r>
    </w:p>
    <w:p w14:paraId="4B2ECC6F">
      <w:pPr>
        <w:numPr>
          <w:ilvl w:val="1"/>
          <w:numId w:val="123"/>
        </w:numPr>
        <w:ind w:firstLine="480"/>
        <w:rPr>
          <w:highlight w:val="none"/>
        </w:rPr>
      </w:pPr>
      <w:r>
        <w:rPr>
          <w:rFonts w:hint="eastAsia"/>
          <w:highlight w:val="none"/>
        </w:rPr>
        <w:t>焊缝的机械性能避免低于本体材料的机械性能，焊缝表面均匀，避免有漏焊、裂纹、夹渣、烧穿等缺陷。</w:t>
      </w:r>
    </w:p>
    <w:p w14:paraId="60521379">
      <w:pPr>
        <w:numPr>
          <w:ilvl w:val="1"/>
          <w:numId w:val="123"/>
        </w:numPr>
        <w:ind w:firstLine="480"/>
        <w:rPr>
          <w:highlight w:val="none"/>
        </w:rPr>
      </w:pPr>
      <w:r>
        <w:rPr>
          <w:rFonts w:hint="eastAsia"/>
          <w:highlight w:val="none"/>
        </w:rPr>
        <w:t>热浸锌桥架在现场切割后，桥架切口需在现场做热浸锌处理后方可安装。</w:t>
      </w:r>
    </w:p>
    <w:p w14:paraId="5097647D">
      <w:pPr>
        <w:numPr>
          <w:ilvl w:val="1"/>
          <w:numId w:val="122"/>
        </w:numPr>
        <w:ind w:firstLine="480"/>
        <w:rPr>
          <w:highlight w:val="none"/>
        </w:rPr>
      </w:pPr>
      <w:r>
        <w:rPr>
          <w:rFonts w:hint="eastAsia"/>
          <w:highlight w:val="none"/>
        </w:rPr>
        <w:t>桥架敷设</w:t>
      </w:r>
    </w:p>
    <w:p w14:paraId="60CD7DA2">
      <w:pPr>
        <w:numPr>
          <w:ilvl w:val="1"/>
          <w:numId w:val="124"/>
        </w:numPr>
        <w:ind w:firstLine="480"/>
        <w:rPr>
          <w:highlight w:val="none"/>
        </w:rPr>
      </w:pPr>
      <w:r>
        <w:rPr>
          <w:rFonts w:hint="eastAsia"/>
          <w:highlight w:val="none"/>
        </w:rPr>
        <w:t>依据配电箱、柜、电气器具，空间管道等确定敷设的位置走向，弹线定位，并确定支吊架的固定位置；在竖井、机房内要考虑垂直干线与分支干线的连接方式。</w:t>
      </w:r>
    </w:p>
    <w:p w14:paraId="61079403">
      <w:pPr>
        <w:numPr>
          <w:ilvl w:val="1"/>
          <w:numId w:val="124"/>
        </w:numPr>
        <w:ind w:firstLine="480"/>
        <w:rPr>
          <w:highlight w:val="none"/>
        </w:rPr>
      </w:pPr>
      <w:r>
        <w:rPr>
          <w:rFonts w:hint="eastAsia"/>
          <w:highlight w:val="none"/>
        </w:rPr>
        <w:t>应保证桥架安装横平竖直，在有坡度的建筑物上应保证与建筑物表面相同的坡度。</w:t>
      </w:r>
    </w:p>
    <w:p w14:paraId="53B06E0C">
      <w:pPr>
        <w:numPr>
          <w:ilvl w:val="1"/>
          <w:numId w:val="124"/>
        </w:numPr>
        <w:ind w:firstLine="480"/>
        <w:rPr>
          <w:highlight w:val="none"/>
        </w:rPr>
      </w:pPr>
      <w:r>
        <w:rPr>
          <w:rFonts w:hint="eastAsia"/>
          <w:highlight w:val="none"/>
        </w:rPr>
        <w:t>桥架水平敷设时距地高度不宜低于</w:t>
      </w:r>
      <w:r>
        <w:rPr>
          <w:highlight w:val="none"/>
        </w:rPr>
        <w:t>2.5m</w:t>
      </w:r>
      <w:r>
        <w:rPr>
          <w:rFonts w:hint="eastAsia"/>
          <w:highlight w:val="none"/>
        </w:rPr>
        <w:t>，垂直敷设时不低于</w:t>
      </w:r>
      <w:r>
        <w:rPr>
          <w:highlight w:val="none"/>
        </w:rPr>
        <w:t>1.8m</w:t>
      </w:r>
      <w:r>
        <w:rPr>
          <w:rFonts w:hint="eastAsia"/>
          <w:highlight w:val="none"/>
        </w:rPr>
        <w:t>，低于上述高度时应加金属盖板保护，但敷设在电气专用房间（配电室、电气竖井、设备层等）内除外。</w:t>
      </w:r>
    </w:p>
    <w:p w14:paraId="3F982A09">
      <w:pPr>
        <w:numPr>
          <w:ilvl w:val="1"/>
          <w:numId w:val="124"/>
        </w:numPr>
        <w:ind w:firstLine="480"/>
        <w:rPr>
          <w:highlight w:val="none"/>
        </w:rPr>
      </w:pPr>
      <w:r>
        <w:rPr>
          <w:rFonts w:hint="eastAsia"/>
          <w:highlight w:val="none"/>
        </w:rPr>
        <w:t>电缆托盘、桥架多层敷设时其层间距离为：控制电缆间不应小于</w:t>
      </w:r>
      <w:r>
        <w:rPr>
          <w:highlight w:val="none"/>
        </w:rPr>
        <w:t>0.2m</w:t>
      </w:r>
      <w:r>
        <w:rPr>
          <w:rFonts w:hint="eastAsia"/>
          <w:highlight w:val="none"/>
        </w:rPr>
        <w:t>，电气电缆间不应小于</w:t>
      </w:r>
      <w:r>
        <w:rPr>
          <w:highlight w:val="none"/>
        </w:rPr>
        <w:t>0.3m</w:t>
      </w:r>
      <w:r>
        <w:rPr>
          <w:rFonts w:hint="eastAsia"/>
          <w:highlight w:val="none"/>
        </w:rPr>
        <w:t>，弱电电缆与电气电缆间不小于</w:t>
      </w:r>
      <w:r>
        <w:rPr>
          <w:highlight w:val="none"/>
        </w:rPr>
        <w:t>0.5m</w:t>
      </w:r>
      <w:r>
        <w:rPr>
          <w:rFonts w:hint="eastAsia"/>
          <w:highlight w:val="none"/>
        </w:rPr>
        <w:t>，如有屏蔽盖板可减少到</w:t>
      </w:r>
      <w:r>
        <w:rPr>
          <w:highlight w:val="none"/>
        </w:rPr>
        <w:t>0.3m</w:t>
      </w:r>
      <w:r>
        <w:rPr>
          <w:rFonts w:hint="eastAsia"/>
          <w:highlight w:val="none"/>
        </w:rPr>
        <w:t>，桥架上部距离顶棚或其他障碍物不应小于</w:t>
      </w:r>
      <w:r>
        <w:rPr>
          <w:highlight w:val="none"/>
        </w:rPr>
        <w:t>0.3m</w:t>
      </w:r>
      <w:r>
        <w:rPr>
          <w:rFonts w:hint="eastAsia"/>
          <w:highlight w:val="none"/>
        </w:rPr>
        <w:t>。</w:t>
      </w:r>
    </w:p>
    <w:p w14:paraId="7117B176">
      <w:pPr>
        <w:numPr>
          <w:ilvl w:val="1"/>
          <w:numId w:val="124"/>
        </w:numPr>
        <w:ind w:firstLine="480"/>
        <w:rPr>
          <w:highlight w:val="none"/>
        </w:rPr>
      </w:pPr>
      <w:r>
        <w:rPr>
          <w:rFonts w:hint="eastAsia"/>
          <w:highlight w:val="none"/>
        </w:rPr>
        <w:t>线槽和金属管道在同样标高安装，线槽要敷设于管道上方绕行，其做法要注意：线槽转角要平滑；转角处吊架要符合要求；和管道间距正确。</w:t>
      </w:r>
    </w:p>
    <w:p w14:paraId="0862B78F">
      <w:pPr>
        <w:numPr>
          <w:ilvl w:val="1"/>
          <w:numId w:val="124"/>
        </w:numPr>
        <w:ind w:firstLine="480"/>
        <w:rPr>
          <w:highlight w:val="none"/>
        </w:rPr>
      </w:pPr>
      <w:r>
        <w:rPr>
          <w:rFonts w:hint="eastAsia"/>
          <w:highlight w:val="none"/>
        </w:rPr>
        <w:t>尽量使用厂家配套的支吊架，在需要自制的场所，支吊架要统一预制，规格尺寸控制统一，焊接牢固，切口无卷边、毛刺，刷防锈漆；支吊架的规格不应小于扁铁</w:t>
      </w:r>
      <w:r>
        <w:rPr>
          <w:highlight w:val="none"/>
        </w:rPr>
        <w:t>30mmx30mm</w:t>
      </w:r>
      <w:r>
        <w:rPr>
          <w:rFonts w:hint="eastAsia"/>
          <w:highlight w:val="none"/>
        </w:rPr>
        <w:t>，支吊架强度应能达到桥架的承载能力要求。</w:t>
      </w:r>
    </w:p>
    <w:p w14:paraId="3AB6C1D0">
      <w:pPr>
        <w:numPr>
          <w:ilvl w:val="1"/>
          <w:numId w:val="124"/>
        </w:numPr>
        <w:ind w:firstLine="480"/>
        <w:rPr>
          <w:highlight w:val="none"/>
        </w:rPr>
      </w:pPr>
      <w:r>
        <w:rPr>
          <w:rFonts w:hint="eastAsia"/>
          <w:highlight w:val="none"/>
        </w:rPr>
        <w:t>支吊架预埋铁，自制加工尺寸应大于</w:t>
      </w:r>
      <w:r>
        <w:rPr>
          <w:highlight w:val="none"/>
        </w:rPr>
        <w:t>120mmx660mm</w:t>
      </w:r>
      <w:r>
        <w:rPr>
          <w:rFonts w:hint="eastAsia"/>
          <w:highlight w:val="none"/>
        </w:rPr>
        <w:t>，其锚固圆钢直径不应小于</w:t>
      </w:r>
      <w:r>
        <w:rPr>
          <w:highlight w:val="none"/>
        </w:rPr>
        <w:t>5mm，配合土建结构施工，拆模后，预埋铁的平面应明露或吃进2~3mm</w:t>
      </w:r>
      <w:r>
        <w:rPr>
          <w:rFonts w:hint="eastAsia"/>
          <w:highlight w:val="none"/>
        </w:rPr>
        <w:t>，再用肩钢或角钢焊接固定。</w:t>
      </w:r>
    </w:p>
    <w:p w14:paraId="0CE90A3F">
      <w:pPr>
        <w:numPr>
          <w:ilvl w:val="1"/>
          <w:numId w:val="124"/>
        </w:numPr>
        <w:ind w:firstLine="480"/>
        <w:rPr>
          <w:highlight w:val="none"/>
        </w:rPr>
      </w:pPr>
      <w:r>
        <w:rPr>
          <w:rFonts w:hint="eastAsia"/>
          <w:highlight w:val="none"/>
        </w:rPr>
        <w:t>钢结构上可将支吊架直接焊接在钢结构固定位置处，也可用万能吊具进行安装。</w:t>
      </w:r>
    </w:p>
    <w:p w14:paraId="3F47A2F3">
      <w:pPr>
        <w:numPr>
          <w:ilvl w:val="1"/>
          <w:numId w:val="124"/>
        </w:numPr>
        <w:ind w:firstLine="480"/>
        <w:rPr>
          <w:highlight w:val="none"/>
        </w:rPr>
      </w:pPr>
      <w:r>
        <w:rPr>
          <w:rFonts w:hint="eastAsia"/>
          <w:highlight w:val="none"/>
        </w:rPr>
        <w:t>用膨胀螺栓固定，应根据承载选择相应的螺栓及钻头，所选钻头应大于套管长度；适用于</w:t>
      </w:r>
      <w:r>
        <w:rPr>
          <w:highlight w:val="none"/>
        </w:rPr>
        <w:t>CS以上混凝土构件及实心砖墙上，不准在空心砖墙固定；打孔的深度应以将套管全部埋人后，表面平齐为宜；避免损伤螺栓的丝扣。</w:t>
      </w:r>
    </w:p>
    <w:p w14:paraId="15D8CE64">
      <w:pPr>
        <w:numPr>
          <w:ilvl w:val="1"/>
          <w:numId w:val="124"/>
        </w:numPr>
        <w:ind w:firstLine="480"/>
        <w:rPr>
          <w:highlight w:val="none"/>
        </w:rPr>
      </w:pPr>
      <w:r>
        <w:rPr>
          <w:rFonts w:hint="eastAsia"/>
          <w:highlight w:val="none"/>
        </w:rPr>
        <w:t>避免使用木楔子固定，桥架、线槽敷设完毕后应作好标识，并对于不同系统的桥架、线槽用不同颜色的油漆进行区分。</w:t>
      </w:r>
    </w:p>
    <w:p w14:paraId="7C1F4F85">
      <w:pPr>
        <w:numPr>
          <w:ilvl w:val="1"/>
          <w:numId w:val="124"/>
        </w:numPr>
        <w:ind w:firstLine="480"/>
        <w:rPr>
          <w:highlight w:val="none"/>
        </w:rPr>
      </w:pPr>
      <w:r>
        <w:rPr>
          <w:rFonts w:hint="eastAsia"/>
          <w:highlight w:val="none"/>
        </w:rPr>
        <w:t>桥架水平敷设时应按荷载曲线选取最佳跨距及进行支撑，跨距一般为</w:t>
      </w:r>
      <w:r>
        <w:rPr>
          <w:highlight w:val="none"/>
        </w:rPr>
        <w:t xml:space="preserve"> 1.5~3m</w:t>
      </w:r>
      <w:r>
        <w:rPr>
          <w:rFonts w:hint="eastAsia"/>
          <w:highlight w:val="none"/>
        </w:rPr>
        <w:t>，垂直敷设时，固定点间距不大于</w:t>
      </w:r>
      <w:r>
        <w:rPr>
          <w:highlight w:val="none"/>
        </w:rPr>
        <w:t>2m</w:t>
      </w:r>
      <w:r>
        <w:rPr>
          <w:rFonts w:hint="eastAsia"/>
          <w:highlight w:val="none"/>
        </w:rPr>
        <w:t>，支架与支架应安装牢固，朝向应一致，间距均匀，相同场所的支吊架位置应一致。</w:t>
      </w:r>
    </w:p>
    <w:p w14:paraId="75C7D6A0">
      <w:pPr>
        <w:numPr>
          <w:ilvl w:val="1"/>
          <w:numId w:val="124"/>
        </w:numPr>
        <w:ind w:firstLine="480"/>
        <w:rPr>
          <w:highlight w:val="none"/>
        </w:rPr>
      </w:pPr>
      <w:r>
        <w:rPr>
          <w:rFonts w:hint="eastAsia"/>
          <w:highlight w:val="none"/>
        </w:rPr>
        <w:t>在进出接线盒、箱、柜、拐角、转弯和变形缝及钉子接头的三端</w:t>
      </w:r>
      <w:r>
        <w:rPr>
          <w:highlight w:val="none"/>
        </w:rPr>
        <w:t>500mm</w:t>
      </w:r>
      <w:r>
        <w:rPr>
          <w:rFonts w:hint="eastAsia"/>
          <w:highlight w:val="none"/>
        </w:rPr>
        <w:t>内设固定支持点。</w:t>
      </w:r>
    </w:p>
    <w:p w14:paraId="7CFB0BD2">
      <w:pPr>
        <w:numPr>
          <w:ilvl w:val="1"/>
          <w:numId w:val="124"/>
        </w:numPr>
        <w:ind w:firstLine="480"/>
        <w:rPr>
          <w:highlight w:val="none"/>
        </w:rPr>
      </w:pPr>
      <w:r>
        <w:rPr>
          <w:rFonts w:hint="eastAsia"/>
          <w:highlight w:val="none"/>
        </w:rPr>
        <w:t>在水平敷设时，支吊架应与桥架底面贴平没有缝隙，无悬空现象，以保证各支吊架均匀受力，至少每隔一个支架与桥架本体固定一次。</w:t>
      </w:r>
    </w:p>
    <w:p w14:paraId="607DA5B7">
      <w:pPr>
        <w:numPr>
          <w:ilvl w:val="1"/>
          <w:numId w:val="124"/>
        </w:numPr>
        <w:ind w:firstLine="480"/>
        <w:rPr>
          <w:highlight w:val="none"/>
        </w:rPr>
      </w:pPr>
      <w:r>
        <w:rPr>
          <w:rFonts w:hint="eastAsia"/>
          <w:highlight w:val="none"/>
        </w:rPr>
        <w:t>在非直线段的支吊架当半径不大于</w:t>
      </w:r>
      <w:r>
        <w:rPr>
          <w:highlight w:val="none"/>
        </w:rPr>
        <w:t>300mm</w:t>
      </w:r>
      <w:r>
        <w:rPr>
          <w:rFonts w:hint="eastAsia"/>
          <w:highlight w:val="none"/>
        </w:rPr>
        <w:t>时，应在距非直线段与直线段结合处</w:t>
      </w:r>
      <w:r>
        <w:rPr>
          <w:highlight w:val="none"/>
        </w:rPr>
        <w:t>300~600mm</w:t>
      </w:r>
      <w:r>
        <w:rPr>
          <w:rFonts w:hint="eastAsia"/>
          <w:highlight w:val="none"/>
        </w:rPr>
        <w:t>的直线段侧设置一个支吊架；当半径大于</w:t>
      </w:r>
      <w:r>
        <w:rPr>
          <w:highlight w:val="none"/>
        </w:rPr>
        <w:t>300mm</w:t>
      </w:r>
      <w:r>
        <w:rPr>
          <w:rFonts w:hint="eastAsia"/>
          <w:highlight w:val="none"/>
        </w:rPr>
        <w:t>时，除应按上则要求外，在非直线段中部还应增设一个支、吊架。</w:t>
      </w:r>
    </w:p>
    <w:p w14:paraId="1070EC63">
      <w:pPr>
        <w:numPr>
          <w:ilvl w:val="1"/>
          <w:numId w:val="124"/>
        </w:numPr>
        <w:ind w:firstLine="480"/>
        <w:rPr>
          <w:highlight w:val="none"/>
        </w:rPr>
      </w:pPr>
      <w:r>
        <w:rPr>
          <w:rFonts w:hint="eastAsia"/>
          <w:highlight w:val="none"/>
        </w:rPr>
        <w:t>桥架的接口应平整，接缝处应紧密平直，槽板盖上后应平整，无翘角。</w:t>
      </w:r>
    </w:p>
    <w:p w14:paraId="1E386B72">
      <w:pPr>
        <w:numPr>
          <w:ilvl w:val="1"/>
          <w:numId w:val="124"/>
        </w:numPr>
        <w:ind w:firstLine="480"/>
        <w:rPr>
          <w:highlight w:val="none"/>
        </w:rPr>
      </w:pPr>
      <w:r>
        <w:rPr>
          <w:rFonts w:hint="eastAsia"/>
          <w:highlight w:val="none"/>
        </w:rPr>
        <w:t>桥架进箱、盒、柜时，进线和出线口等处应采取抱角连接，并用螺丝紧固。</w:t>
      </w:r>
    </w:p>
    <w:p w14:paraId="6D1127A1">
      <w:pPr>
        <w:numPr>
          <w:ilvl w:val="1"/>
          <w:numId w:val="124"/>
        </w:numPr>
        <w:ind w:firstLine="480"/>
        <w:rPr>
          <w:highlight w:val="none"/>
        </w:rPr>
      </w:pPr>
      <w:r>
        <w:rPr>
          <w:rFonts w:hint="eastAsia"/>
          <w:highlight w:val="none"/>
        </w:rPr>
        <w:t>线槽连接应采用连接板，用垫圈、弹簧垫、螺母紧固，螺母必须在线槽外侧。</w:t>
      </w:r>
    </w:p>
    <w:p w14:paraId="68AD24B5">
      <w:pPr>
        <w:numPr>
          <w:ilvl w:val="1"/>
          <w:numId w:val="124"/>
        </w:numPr>
        <w:ind w:firstLine="480"/>
        <w:rPr>
          <w:highlight w:val="none"/>
        </w:rPr>
      </w:pPr>
      <w:r>
        <w:rPr>
          <w:rFonts w:hint="eastAsia"/>
          <w:highlight w:val="none"/>
        </w:rPr>
        <w:t>桥架在交叉、转弯、丁字连接时，应尽量使用厂家配套生产单通、二通、三通、四通或平面二通、平面三通等进行变通连接。</w:t>
      </w:r>
    </w:p>
    <w:p w14:paraId="36C72D2C">
      <w:pPr>
        <w:numPr>
          <w:ilvl w:val="1"/>
          <w:numId w:val="124"/>
        </w:numPr>
        <w:ind w:firstLine="480"/>
        <w:rPr>
          <w:highlight w:val="none"/>
        </w:rPr>
      </w:pPr>
      <w:r>
        <w:rPr>
          <w:rFonts w:hint="eastAsia"/>
          <w:highlight w:val="none"/>
        </w:rPr>
        <w:t>金属线槽吊架安装：间距均匀合理；吊杆顺直无内（外）八字；镀锌或经过防腐处理；吊杆长度一致。</w:t>
      </w:r>
    </w:p>
    <w:p w14:paraId="5E44DBB7">
      <w:pPr>
        <w:numPr>
          <w:ilvl w:val="1"/>
          <w:numId w:val="124"/>
        </w:numPr>
        <w:ind w:firstLine="480"/>
        <w:rPr>
          <w:highlight w:val="none"/>
        </w:rPr>
      </w:pPr>
      <w:r>
        <w:rPr>
          <w:rFonts w:hint="eastAsia"/>
          <w:highlight w:val="none"/>
        </w:rPr>
        <w:t>如空间尺寸不允许，要自制弯通时要使用和桥架本体相同规格的材料；在拐角处要保留斜坡，以保护线缆；拼接的弯通、拐弯应保证连接平顺，空间布置合理；在采取焊接法连接时，要保证焊接面积，不能只是数点焊接，应保证整个焊口严密，焊完后，刷防锈漆和与桥架本体颜色一致的面漆；螺丝连接法只适于镀锌桥架，每段连接板间至少有两处螺丝做可靠连接。</w:t>
      </w:r>
    </w:p>
    <w:p w14:paraId="6A8DE215">
      <w:pPr>
        <w:numPr>
          <w:ilvl w:val="1"/>
          <w:numId w:val="124"/>
        </w:numPr>
        <w:ind w:firstLine="480"/>
        <w:rPr>
          <w:highlight w:val="none"/>
        </w:rPr>
      </w:pPr>
      <w:r>
        <w:rPr>
          <w:rFonts w:hint="eastAsia"/>
          <w:highlight w:val="none"/>
        </w:rPr>
        <w:t>从桥架上分支的线管不得用电气焊开孔，管子要套丝用锁母于桥架固定，在距开孔处</w:t>
      </w:r>
      <w:r>
        <w:rPr>
          <w:highlight w:val="none"/>
        </w:rPr>
        <w:t>300mm</w:t>
      </w:r>
      <w:r>
        <w:rPr>
          <w:rFonts w:hint="eastAsia"/>
          <w:highlight w:val="none"/>
        </w:rPr>
        <w:t>内管子应加一道支架固定。</w:t>
      </w:r>
    </w:p>
    <w:p w14:paraId="5EE3BFBE">
      <w:pPr>
        <w:numPr>
          <w:ilvl w:val="1"/>
          <w:numId w:val="124"/>
        </w:numPr>
        <w:ind w:firstLine="480"/>
        <w:rPr>
          <w:highlight w:val="none"/>
        </w:rPr>
      </w:pPr>
      <w:r>
        <w:rPr>
          <w:rFonts w:hint="eastAsia"/>
          <w:highlight w:val="none"/>
        </w:rPr>
        <w:t>桥架的连接处不得设置于过楼板、墙壁处，不得设置于支吊架支撑处，必须离支吊架</w:t>
      </w:r>
      <w:r>
        <w:rPr>
          <w:highlight w:val="none"/>
        </w:rPr>
        <w:t>100mm</w:t>
      </w:r>
      <w:r>
        <w:rPr>
          <w:rFonts w:hint="eastAsia"/>
          <w:highlight w:val="none"/>
        </w:rPr>
        <w:t>以上。</w:t>
      </w:r>
    </w:p>
    <w:p w14:paraId="180A83B9">
      <w:pPr>
        <w:numPr>
          <w:ilvl w:val="1"/>
          <w:numId w:val="124"/>
        </w:numPr>
        <w:ind w:firstLine="480"/>
        <w:rPr>
          <w:highlight w:val="none"/>
        </w:rPr>
      </w:pPr>
      <w:r>
        <w:rPr>
          <w:rFonts w:hint="eastAsia"/>
          <w:highlight w:val="none"/>
        </w:rPr>
        <w:t>桥架经过建筑物的变形缝</w:t>
      </w:r>
      <w:r>
        <w:rPr>
          <w:highlight w:val="none"/>
        </w:rPr>
        <w:t xml:space="preserve"> </w:t>
      </w:r>
      <w:r>
        <w:rPr>
          <w:rFonts w:hint="eastAsia"/>
          <w:highlight w:val="none"/>
        </w:rPr>
        <w:t>师缩缝、沉降缝）时，线槽本身应断开，断开距离以</w:t>
      </w:r>
      <w:r>
        <w:rPr>
          <w:highlight w:val="none"/>
        </w:rPr>
        <w:t>100mm</w:t>
      </w:r>
      <w:r>
        <w:rPr>
          <w:rFonts w:hint="eastAsia"/>
          <w:highlight w:val="none"/>
        </w:rPr>
        <w:t>为宜，槽内用连接板搭接，不需固定，保护地线和槽内导线应留有补偿余量，桥架直线段每段</w:t>
      </w:r>
      <w:r>
        <w:rPr>
          <w:highlight w:val="none"/>
        </w:rPr>
        <w:t>50mm</w:t>
      </w:r>
      <w:r>
        <w:rPr>
          <w:rFonts w:hint="eastAsia"/>
          <w:highlight w:val="none"/>
        </w:rPr>
        <w:t>应留伸缩缝</w:t>
      </w:r>
      <w:r>
        <w:rPr>
          <w:highlight w:val="none"/>
        </w:rPr>
        <w:t>20~30mm</w:t>
      </w:r>
      <w:r>
        <w:rPr>
          <w:rFonts w:hint="eastAsia"/>
          <w:highlight w:val="none"/>
        </w:rPr>
        <w:t>。</w:t>
      </w:r>
    </w:p>
    <w:p w14:paraId="245D8C5D">
      <w:pPr>
        <w:numPr>
          <w:ilvl w:val="1"/>
          <w:numId w:val="122"/>
        </w:numPr>
        <w:ind w:firstLine="480"/>
        <w:rPr>
          <w:highlight w:val="none"/>
        </w:rPr>
      </w:pPr>
      <w:r>
        <w:rPr>
          <w:rFonts w:hint="eastAsia"/>
          <w:highlight w:val="none"/>
        </w:rPr>
        <w:t>桥架的接地</w:t>
      </w:r>
    </w:p>
    <w:p w14:paraId="74667257">
      <w:pPr>
        <w:numPr>
          <w:ilvl w:val="1"/>
          <w:numId w:val="125"/>
        </w:numPr>
        <w:ind w:firstLine="480"/>
        <w:rPr>
          <w:highlight w:val="none"/>
        </w:rPr>
      </w:pPr>
      <w:r>
        <w:rPr>
          <w:rFonts w:hint="eastAsia"/>
          <w:highlight w:val="none"/>
        </w:rPr>
        <w:t>当利用桥架本体系统构成回路时，连接接头处的电阻不得大于</w:t>
      </w:r>
      <w:r>
        <w:rPr>
          <w:highlight w:val="none"/>
        </w:rPr>
        <w:t>0.00033</w:t>
      </w:r>
      <w:r>
        <w:rPr>
          <w:rFonts w:hint="eastAsia"/>
          <w:highlight w:val="none"/>
        </w:rPr>
        <w:t>Ω。</w:t>
      </w:r>
    </w:p>
    <w:p w14:paraId="4931C522">
      <w:pPr>
        <w:numPr>
          <w:ilvl w:val="1"/>
          <w:numId w:val="125"/>
        </w:numPr>
        <w:ind w:firstLine="480"/>
        <w:rPr>
          <w:highlight w:val="none"/>
        </w:rPr>
      </w:pPr>
      <w:r>
        <w:rPr>
          <w:rFonts w:hint="eastAsia"/>
          <w:highlight w:val="none"/>
        </w:rPr>
        <w:t>对镀锌、铝制的桥架，本体的连接片连接可作为接地连接，但必须保证连接牢固，配套的螺丝、平垫、弹簧垫齐全，连接处无锈蚀现象和砂浆、渣土等污染。</w:t>
      </w:r>
    </w:p>
    <w:p w14:paraId="25991217">
      <w:pPr>
        <w:numPr>
          <w:ilvl w:val="1"/>
          <w:numId w:val="125"/>
        </w:numPr>
        <w:ind w:firstLine="480"/>
        <w:rPr>
          <w:highlight w:val="none"/>
        </w:rPr>
      </w:pPr>
      <w:r>
        <w:rPr>
          <w:rFonts w:hint="eastAsia"/>
          <w:highlight w:val="none"/>
        </w:rPr>
        <w:t>对非镀锌制品，除本体连接外，应在其接地螺丝（螺丝必须在加工时就与桥架焊接成一体）上用编织软铜线或铜线连接，导线截面积选择应符合，此连接必须在每一段都连接。尤其在拼接处的非直线段Ｌ更必须做到位，接地线宜做在桥架的同一侧，以便于检查，避免遗漏。</w:t>
      </w:r>
    </w:p>
    <w:p w14:paraId="4FF61D07">
      <w:pPr>
        <w:numPr>
          <w:ilvl w:val="1"/>
          <w:numId w:val="125"/>
        </w:numPr>
        <w:ind w:firstLine="480"/>
        <w:rPr>
          <w:highlight w:val="none"/>
        </w:rPr>
      </w:pPr>
      <w:r>
        <w:rPr>
          <w:rFonts w:hint="eastAsia"/>
          <w:highlight w:val="none"/>
        </w:rPr>
        <w:t>沿桥架全长另敷设接地干线时，每段（包括非直线段）托盘、梯架应至少有一点与接地干线可靠连接。</w:t>
      </w:r>
    </w:p>
    <w:p w14:paraId="45564B78">
      <w:pPr>
        <w:numPr>
          <w:ilvl w:val="1"/>
          <w:numId w:val="125"/>
        </w:numPr>
        <w:ind w:firstLine="480"/>
        <w:rPr>
          <w:highlight w:val="none"/>
        </w:rPr>
      </w:pPr>
      <w:r>
        <w:rPr>
          <w:rFonts w:hint="eastAsia"/>
          <w:highlight w:val="none"/>
        </w:rPr>
        <w:t>桥架应与配电箱、柜，分支管线、用电气具、设备做好接地，以保证用电系统接地在此环节中的可靠性、连续性。</w:t>
      </w:r>
    </w:p>
    <w:p w14:paraId="2149C2A9">
      <w:pPr>
        <w:numPr>
          <w:ilvl w:val="1"/>
          <w:numId w:val="125"/>
        </w:numPr>
        <w:ind w:firstLine="480"/>
        <w:rPr>
          <w:highlight w:val="none"/>
        </w:rPr>
      </w:pPr>
      <w:r>
        <w:rPr>
          <w:rFonts w:hint="eastAsia"/>
          <w:highlight w:val="none"/>
        </w:rPr>
        <w:t>桥架过墙壁、楼板处、不应将空洞抹死，而应作如下处理：土建收口方正，在桥架四周留一定空间，往空间内填充防火枕或防火堵料，在墙壁两侧，各用加工方正、尺寸合适一致、油漆均匀的盖板封盖住。</w:t>
      </w:r>
    </w:p>
    <w:p w14:paraId="0863E1A0">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.3.3</w:t>
      </w:r>
      <w:r>
        <w:rPr>
          <w:highlight w:val="none"/>
        </w:rPr>
        <w:t>变压器安装</w:t>
      </w:r>
    </w:p>
    <w:p w14:paraId="7C838CE4">
      <w:pPr>
        <w:numPr>
          <w:ilvl w:val="1"/>
          <w:numId w:val="126"/>
        </w:numPr>
        <w:ind w:firstLine="480"/>
        <w:rPr>
          <w:highlight w:val="none"/>
        </w:rPr>
      </w:pPr>
      <w:r>
        <w:rPr>
          <w:highlight w:val="none"/>
        </w:rPr>
        <w:t>变压器箱体、干式变压器的支架、基础型钢及外壳应分别单独与保护导体可靠连接，紧固件及防松零件齐全</w:t>
      </w:r>
      <w:r>
        <w:rPr>
          <w:rFonts w:hint="eastAsia"/>
          <w:highlight w:val="none"/>
        </w:rPr>
        <w:t>。</w:t>
      </w:r>
    </w:p>
    <w:p w14:paraId="208B7F9E">
      <w:pPr>
        <w:numPr>
          <w:ilvl w:val="1"/>
          <w:numId w:val="126"/>
        </w:numPr>
        <w:ind w:firstLine="480"/>
        <w:rPr>
          <w:highlight w:val="none"/>
        </w:rPr>
      </w:pPr>
      <w:r>
        <w:rPr>
          <w:highlight w:val="none"/>
        </w:rPr>
        <w:t>配电间和静止补偿装置栅栏门应采用裸编织铜线与保护导体可靠连接，其截面积不应小于4mm2</w:t>
      </w:r>
      <w:r>
        <w:rPr>
          <w:rFonts w:hint="eastAsia"/>
          <w:highlight w:val="none"/>
        </w:rPr>
        <w:t>。</w:t>
      </w:r>
    </w:p>
    <w:p w14:paraId="3A1FF7DF">
      <w:pPr>
        <w:numPr>
          <w:ilvl w:val="1"/>
          <w:numId w:val="126"/>
        </w:numPr>
        <w:ind w:firstLine="480"/>
        <w:rPr>
          <w:highlight w:val="none"/>
        </w:rPr>
      </w:pPr>
      <w:r>
        <w:rPr>
          <w:highlight w:val="none"/>
        </w:rPr>
        <w:t>变压器外壳，距门不应小于1m，距墙不应小于0.8m。</w:t>
      </w:r>
    </w:p>
    <w:p w14:paraId="6B8F96AF">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.3.4灯具、开关、插座安装</w:t>
      </w:r>
    </w:p>
    <w:p w14:paraId="1EDC3195">
      <w:pPr>
        <w:numPr>
          <w:ilvl w:val="1"/>
          <w:numId w:val="127"/>
        </w:numPr>
        <w:ind w:firstLine="480"/>
        <w:rPr>
          <w:highlight w:val="none"/>
        </w:rPr>
      </w:pPr>
      <w:r>
        <w:rPr>
          <w:rFonts w:hint="eastAsia"/>
          <w:highlight w:val="none"/>
        </w:rPr>
        <w:t>灯具安装</w:t>
      </w:r>
    </w:p>
    <w:p w14:paraId="034ED80F">
      <w:pPr>
        <w:ind w:firstLine="480"/>
        <w:rPr>
          <w:bCs/>
          <w:highlight w:val="none"/>
        </w:rPr>
      </w:pPr>
      <w:r>
        <w:rPr>
          <w:rFonts w:hint="eastAsia"/>
          <w:highlight w:val="none"/>
        </w:rPr>
        <w:t>灯具安装前，必须检查灯具型号及外形有无破损，然后根据图纸上的尺寸对号安装。灯具安装必须牢固端正，位置正确，器具清洁干净，吊杆垂直。导线进入灯具的绝缘保护良好，留有适当余量，连接牢固、紧密，不伤线芯，灯具成排安装的中心线允许偏差</w:t>
      </w:r>
      <w:r>
        <w:rPr>
          <w:highlight w:val="none"/>
        </w:rPr>
        <w:t>5mm。灯具安装后不得再次喷浆，以防器具污染。</w:t>
      </w:r>
    </w:p>
    <w:p w14:paraId="79747C49">
      <w:pPr>
        <w:numPr>
          <w:ilvl w:val="1"/>
          <w:numId w:val="127"/>
        </w:numPr>
        <w:ind w:firstLine="480"/>
        <w:rPr>
          <w:highlight w:val="none"/>
        </w:rPr>
      </w:pPr>
      <w:r>
        <w:rPr>
          <w:rFonts w:hint="eastAsia"/>
          <w:highlight w:val="none"/>
        </w:rPr>
        <w:t>开关、插座安装</w:t>
      </w:r>
    </w:p>
    <w:p w14:paraId="07C51397">
      <w:pPr>
        <w:numPr>
          <w:ilvl w:val="0"/>
          <w:numId w:val="128"/>
        </w:numPr>
        <w:ind w:firstLine="480"/>
        <w:rPr>
          <w:highlight w:val="none"/>
        </w:rPr>
      </w:pPr>
      <w:r>
        <w:rPr>
          <w:rFonts w:hint="eastAsia"/>
          <w:highlight w:val="none"/>
        </w:rPr>
        <w:t>插座及开关等的安装须格外注意观感质量，标高位置要正确可靠，接线盒子内清洁、无杂物，表面清洁、不变形，开关盖板紧贴建筑物的表面。</w:t>
      </w:r>
    </w:p>
    <w:p w14:paraId="31D3B4C9">
      <w:pPr>
        <w:numPr>
          <w:ilvl w:val="0"/>
          <w:numId w:val="128"/>
        </w:numPr>
        <w:ind w:firstLine="480"/>
        <w:rPr>
          <w:highlight w:val="none"/>
        </w:rPr>
      </w:pPr>
      <w:r>
        <w:rPr>
          <w:rFonts w:hint="eastAsia"/>
          <w:highlight w:val="none"/>
        </w:rPr>
        <w:t>开关、插座的</w:t>
      </w:r>
      <w:r>
        <w:rPr>
          <w:rFonts w:hint="eastAsia"/>
          <w:highlight w:val="yellow"/>
        </w:rPr>
        <w:t>底板</w:t>
      </w:r>
      <w:r>
        <w:rPr>
          <w:rFonts w:hint="eastAsia"/>
          <w:highlight w:val="none"/>
        </w:rPr>
        <w:t>和暗装开关、插座的面板并列安装时，开关、插座的高度差应小于</w:t>
      </w:r>
      <w:r>
        <w:rPr>
          <w:highlight w:val="none"/>
        </w:rPr>
        <w:t>0.5mm，面板的垂直度小于0.5mm。同一场合的开关或插座高度差小于5mm。</w:t>
      </w:r>
    </w:p>
    <w:p w14:paraId="20323A51">
      <w:pPr>
        <w:numPr>
          <w:ilvl w:val="0"/>
          <w:numId w:val="128"/>
        </w:numPr>
        <w:ind w:firstLine="480"/>
        <w:rPr>
          <w:highlight w:val="none"/>
        </w:rPr>
      </w:pPr>
      <w:r>
        <w:rPr>
          <w:rFonts w:hint="eastAsia"/>
          <w:highlight w:val="none"/>
        </w:rPr>
        <w:t>接线时，应注意区分相线、零线及保护地线，不得混乱，</w:t>
      </w:r>
      <w:r>
        <w:rPr>
          <w:highlight w:val="none"/>
        </w:rPr>
        <w:t>注意的是零线与保护接地线切不可错接或接为一体</w:t>
      </w:r>
      <w:r>
        <w:rPr>
          <w:rFonts w:hint="eastAsia"/>
          <w:highlight w:val="none"/>
        </w:rPr>
        <w:t>，</w:t>
      </w:r>
      <w:r>
        <w:rPr>
          <w:highlight w:val="none"/>
        </w:rPr>
        <w:t>其中地线采用黄绿相间的双色线</w:t>
      </w:r>
      <w:r>
        <w:rPr>
          <w:rFonts w:hint="eastAsia"/>
          <w:highlight w:val="none"/>
        </w:rPr>
        <w:t>。相线经开关关断。</w:t>
      </w:r>
    </w:p>
    <w:p w14:paraId="3371D9A9">
      <w:pPr>
        <w:numPr>
          <w:ilvl w:val="0"/>
          <w:numId w:val="128"/>
        </w:numPr>
        <w:ind w:firstLine="480"/>
        <w:rPr>
          <w:highlight w:val="none"/>
        </w:rPr>
      </w:pPr>
      <w:r>
        <w:rPr>
          <w:rFonts w:hint="eastAsia"/>
          <w:highlight w:val="none"/>
        </w:rPr>
        <w:t>单相两孔插座接线应注意“左零右火、下零上火”。</w:t>
      </w:r>
      <w:r>
        <w:rPr>
          <w:highlight w:val="none"/>
        </w:rPr>
        <w:t>单相三</w:t>
      </w:r>
      <w:r>
        <w:rPr>
          <w:rFonts w:hint="eastAsia"/>
          <w:highlight w:val="none"/>
        </w:rPr>
        <w:t>孔</w:t>
      </w:r>
      <w:r>
        <w:rPr>
          <w:highlight w:val="none"/>
        </w:rPr>
        <w:t>插座的接线要求是：上端的接地孔眼一定要与接地线接牢、接实、接对，绝不能不接，余下的两孔眼按左零右火的规则接线</w:t>
      </w:r>
      <w:r>
        <w:rPr>
          <w:rFonts w:hint="eastAsia"/>
          <w:highlight w:val="none"/>
        </w:rPr>
        <w:t>。插座的接地端子不与零线端子连接。同一场所的三相插座，接线的相序应一致。</w:t>
      </w:r>
    </w:p>
    <w:p w14:paraId="356F7A49">
      <w:pPr>
        <w:numPr>
          <w:ilvl w:val="0"/>
          <w:numId w:val="128"/>
        </w:numPr>
        <w:ind w:firstLine="480"/>
        <w:rPr>
          <w:highlight w:val="none"/>
        </w:rPr>
      </w:pPr>
      <w:r>
        <w:rPr>
          <w:highlight w:val="none"/>
        </w:rPr>
        <w:t>接线时，要预留适当的余量电线在线盒内</w:t>
      </w:r>
      <w:r>
        <w:rPr>
          <w:rFonts w:hint="eastAsia"/>
          <w:highlight w:val="none"/>
        </w:rPr>
        <w:t>。</w:t>
      </w:r>
      <w:r>
        <w:rPr>
          <w:highlight w:val="none"/>
        </w:rPr>
        <w:t>三根及以上导线连接时，将连接导线绝缘层并齐合拢，在距绝缘层约15mm处用其中一根线芯，在其连接端缠绕不少于5圈后剪断，把余头并齐折回压在缠绕线上。两根导线连接时，将连接导线绝缘台并齐合拢，在距绝缘层约15mm处用两根线芯捻绞不少于5圈后，留余线适当长后剪断折回压紧</w:t>
      </w:r>
      <w:r>
        <w:rPr>
          <w:rFonts w:hint="eastAsia"/>
          <w:highlight w:val="none"/>
        </w:rPr>
        <w:t>。</w:t>
      </w:r>
    </w:p>
    <w:p w14:paraId="50729A75">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.3.5配电柜</w:t>
      </w:r>
      <w:r>
        <w:rPr>
          <w:highlight w:val="none"/>
        </w:rPr>
        <w:t>/箱安装</w:t>
      </w:r>
    </w:p>
    <w:p w14:paraId="42CFC4B7">
      <w:pPr>
        <w:numPr>
          <w:ilvl w:val="1"/>
          <w:numId w:val="129"/>
        </w:numPr>
        <w:ind w:firstLine="480"/>
        <w:rPr>
          <w:highlight w:val="none"/>
        </w:rPr>
      </w:pPr>
      <w:r>
        <w:rPr>
          <w:rFonts w:hint="eastAsia"/>
          <w:highlight w:val="none"/>
        </w:rPr>
        <w:t>在配电柜</w:t>
      </w:r>
      <w:r>
        <w:rPr>
          <w:highlight w:val="none"/>
        </w:rPr>
        <w:t>/箱安装前，应具备墙面、屋顶喷浆完，无漏水，门窗玻璃安装完，门上锁等条件。首先安装基础型钢，基础型钢安装后，顶部宜高出抹平地坪地面10mm，手车柜基础应与地坪相平，基础槽钢应与地线可靠连接。柜在找平找正后，柜体与基础型钢固定，然后柜体与柜体、柜体与侧档板均用镀锌螺丝连接，盘柜接地应用6mm2</w:t>
      </w:r>
      <w:r>
        <w:rPr>
          <w:rFonts w:hint="eastAsia"/>
          <w:highlight w:val="none"/>
        </w:rPr>
        <w:t>铜绞线与基础型钢可靠连接。</w:t>
      </w:r>
    </w:p>
    <w:p w14:paraId="3CFF6464">
      <w:pPr>
        <w:numPr>
          <w:ilvl w:val="1"/>
          <w:numId w:val="129"/>
        </w:numPr>
        <w:ind w:firstLine="480"/>
        <w:rPr>
          <w:highlight w:val="none"/>
        </w:rPr>
      </w:pPr>
      <w:r>
        <w:rPr>
          <w:rFonts w:hint="eastAsia"/>
          <w:highlight w:val="none"/>
        </w:rPr>
        <w:t>按照电气设备平面图，确定好配电箱的具体安装位置，要保证固定牢固可靠。配电箱安装的垂直偏差不应大于</w:t>
      </w:r>
      <w:r>
        <w:rPr>
          <w:highlight w:val="none"/>
        </w:rPr>
        <w:t>3mm。配电箱的箱体及电器的金属外壳，均应做接地保护。安装结束后，应保证箱体内外清洁、箱盖开启灵活、箱内接线整齐、回路编号齐全正确</w:t>
      </w:r>
      <w:r>
        <w:rPr>
          <w:rFonts w:hint="eastAsia"/>
          <w:highlight w:val="none"/>
        </w:rPr>
        <w:t>。</w:t>
      </w:r>
    </w:p>
    <w:p w14:paraId="64E83233">
      <w:pPr>
        <w:numPr>
          <w:ilvl w:val="1"/>
          <w:numId w:val="129"/>
        </w:numPr>
        <w:ind w:firstLine="480"/>
        <w:rPr>
          <w:highlight w:val="none"/>
        </w:rPr>
      </w:pPr>
      <w:r>
        <w:rPr>
          <w:highlight w:val="none"/>
        </w:rPr>
        <w:t>配电箱安装需横平竖直，配电柜与基础支座连接可靠</w:t>
      </w:r>
      <w:r>
        <w:rPr>
          <w:rFonts w:hint="eastAsia"/>
          <w:highlight w:val="none"/>
        </w:rPr>
        <w:t>。</w:t>
      </w:r>
    </w:p>
    <w:p w14:paraId="3C74C8BC">
      <w:pPr>
        <w:numPr>
          <w:ilvl w:val="1"/>
          <w:numId w:val="129"/>
        </w:numPr>
        <w:ind w:firstLine="480"/>
        <w:rPr>
          <w:highlight w:val="none"/>
        </w:rPr>
      </w:pPr>
      <w:r>
        <w:rPr>
          <w:highlight w:val="none"/>
        </w:rPr>
        <w:t>成列配电柜安装时，柜面应平齐，配电柜垂直度偏差不大于1.5mm，柜体之间用螺栓连接牢固，相邻配电柜体缝隙不大于2mm；</w:t>
      </w:r>
    </w:p>
    <w:p w14:paraId="0BD074C5">
      <w:pPr>
        <w:numPr>
          <w:ilvl w:val="1"/>
          <w:numId w:val="129"/>
        </w:numPr>
        <w:ind w:firstLine="480"/>
        <w:rPr>
          <w:highlight w:val="none"/>
        </w:rPr>
      </w:pPr>
      <w:r>
        <w:rPr>
          <w:rFonts w:hint="eastAsia"/>
          <w:highlight w:val="none"/>
        </w:rPr>
        <w:t>配电箱应安装在安全、干燥、易操作的场所，在同一建筑物内，同类箱的高度应一致，允许偏差为</w:t>
      </w:r>
      <w:r>
        <w:rPr>
          <w:highlight w:val="none"/>
        </w:rPr>
        <w:t>10mm。</w:t>
      </w:r>
    </w:p>
    <w:p w14:paraId="16E3FCD3">
      <w:pPr>
        <w:numPr>
          <w:ilvl w:val="1"/>
          <w:numId w:val="129"/>
        </w:numPr>
        <w:ind w:firstLine="480"/>
        <w:rPr>
          <w:highlight w:val="none"/>
        </w:rPr>
      </w:pPr>
      <w:r>
        <w:rPr>
          <w:rFonts w:hint="eastAsia"/>
          <w:highlight w:val="none"/>
        </w:rPr>
        <w:t>安装配电箱所需的木砖及铁件等均应预埋，挂式配电箱应采用金属膨胀螺栓固定。</w:t>
      </w:r>
    </w:p>
    <w:p w14:paraId="1B7C0D42">
      <w:pPr>
        <w:numPr>
          <w:ilvl w:val="1"/>
          <w:numId w:val="129"/>
        </w:numPr>
        <w:ind w:firstLine="480"/>
        <w:rPr>
          <w:highlight w:val="none"/>
        </w:rPr>
      </w:pPr>
      <w:r>
        <w:rPr>
          <w:rFonts w:hint="eastAsia"/>
          <w:highlight w:val="none"/>
        </w:rPr>
        <w:t>配电箱带有器具的铁制盘面和装有器具的门及电器的金属外壳均应有明显可靠的</w:t>
      </w:r>
      <w:r>
        <w:rPr>
          <w:highlight w:val="none"/>
        </w:rPr>
        <w:t xml:space="preserve">PE </w:t>
      </w:r>
      <w:r>
        <w:rPr>
          <w:rFonts w:hint="eastAsia"/>
          <w:highlight w:val="none"/>
        </w:rPr>
        <w:t>线接地。</w:t>
      </w:r>
      <w:r>
        <w:rPr>
          <w:highlight w:val="none"/>
        </w:rPr>
        <w:t xml:space="preserve">PE </w:t>
      </w:r>
      <w:r>
        <w:rPr>
          <w:rFonts w:hint="eastAsia"/>
          <w:highlight w:val="none"/>
        </w:rPr>
        <w:t>线不允许利用盒、箱体串接。</w:t>
      </w:r>
    </w:p>
    <w:p w14:paraId="2A793CCB">
      <w:pPr>
        <w:numPr>
          <w:ilvl w:val="1"/>
          <w:numId w:val="129"/>
        </w:numPr>
        <w:ind w:firstLine="480"/>
        <w:rPr>
          <w:highlight w:val="none"/>
        </w:rPr>
      </w:pPr>
      <w:r>
        <w:rPr>
          <w:rFonts w:hint="eastAsia"/>
          <w:highlight w:val="none"/>
        </w:rPr>
        <w:t>配电箱上配线需排列整齐，并绑扎成束，在活动部位应该两端固定。盘面引出及引进的导线应留有适当余量，以便于检修。</w:t>
      </w:r>
    </w:p>
    <w:p w14:paraId="79970201">
      <w:pPr>
        <w:numPr>
          <w:ilvl w:val="1"/>
          <w:numId w:val="129"/>
        </w:numPr>
        <w:ind w:firstLine="480"/>
        <w:rPr>
          <w:highlight w:val="none"/>
        </w:rPr>
      </w:pPr>
      <w:r>
        <w:rPr>
          <w:rFonts w:hint="eastAsia"/>
          <w:highlight w:val="none"/>
        </w:rPr>
        <w:t>配电箱上的电源指示灯，其电源应接至总开关的外侧，并应装单独熔断器（电源侧）。</w:t>
      </w:r>
    </w:p>
    <w:p w14:paraId="03308EB6">
      <w:pPr>
        <w:numPr>
          <w:ilvl w:val="1"/>
          <w:numId w:val="129"/>
        </w:numPr>
        <w:ind w:firstLine="480"/>
        <w:rPr>
          <w:highlight w:val="none"/>
        </w:rPr>
      </w:pPr>
      <w:r>
        <w:rPr>
          <w:rFonts w:hint="eastAsia"/>
          <w:highlight w:val="none"/>
        </w:rPr>
        <w:t>接零系统中的零线应在箱体引入线处或末端做好重复接地。</w:t>
      </w:r>
    </w:p>
    <w:p w14:paraId="594712B2">
      <w:pPr>
        <w:numPr>
          <w:ilvl w:val="1"/>
          <w:numId w:val="129"/>
        </w:numPr>
        <w:ind w:firstLine="480"/>
        <w:rPr>
          <w:highlight w:val="none"/>
        </w:rPr>
      </w:pPr>
      <w:r>
        <w:rPr>
          <w:rFonts w:hint="eastAsia"/>
          <w:highlight w:val="none"/>
        </w:rPr>
        <w:t>零母线在配电箱上应用端子板分路，零线端子板分支路排列位置，应与熔断器相对应。配电箱上的母线应套上有黄（</w:t>
      </w:r>
      <w:r>
        <w:rPr>
          <w:highlight w:val="none"/>
        </w:rPr>
        <w:t xml:space="preserve">A </w:t>
      </w:r>
      <w:r>
        <w:rPr>
          <w:rFonts w:hint="eastAsia"/>
          <w:highlight w:val="none"/>
        </w:rPr>
        <w:t>相），绿（</w:t>
      </w:r>
      <w:r>
        <w:rPr>
          <w:highlight w:val="none"/>
        </w:rPr>
        <w:t xml:space="preserve">B </w:t>
      </w:r>
      <w:r>
        <w:rPr>
          <w:rFonts w:hint="eastAsia"/>
          <w:highlight w:val="none"/>
        </w:rPr>
        <w:t>相），红（</w:t>
      </w:r>
      <w:r>
        <w:rPr>
          <w:highlight w:val="none"/>
        </w:rPr>
        <w:t xml:space="preserve">C </w:t>
      </w:r>
      <w:r>
        <w:rPr>
          <w:rFonts w:hint="eastAsia"/>
          <w:highlight w:val="none"/>
        </w:rPr>
        <w:t>相），黑（</w:t>
      </w:r>
      <w:r>
        <w:rPr>
          <w:highlight w:val="none"/>
        </w:rPr>
        <w:t xml:space="preserve">D </w:t>
      </w:r>
      <w:r>
        <w:rPr>
          <w:rFonts w:hint="eastAsia"/>
          <w:highlight w:val="none"/>
        </w:rPr>
        <w:t>相）等颜色色带，双色线为保护地线（黄绿，也称</w:t>
      </w:r>
      <w:r>
        <w:rPr>
          <w:highlight w:val="none"/>
        </w:rPr>
        <w:t xml:space="preserve">PE </w:t>
      </w:r>
      <w:r>
        <w:rPr>
          <w:rFonts w:hint="eastAsia"/>
          <w:highlight w:val="none"/>
        </w:rPr>
        <w:t>线）。</w:t>
      </w:r>
    </w:p>
    <w:p w14:paraId="5BA690B2">
      <w:pPr>
        <w:numPr>
          <w:ilvl w:val="1"/>
          <w:numId w:val="129"/>
        </w:numPr>
        <w:ind w:firstLine="480"/>
        <w:rPr>
          <w:highlight w:val="none"/>
        </w:rPr>
      </w:pPr>
      <w:r>
        <w:rPr>
          <w:rFonts w:hint="eastAsia"/>
          <w:highlight w:val="none"/>
        </w:rPr>
        <w:t>配电箱上电具、仪表应牢固、平正、整洁，间距均匀，铜端子无松动，启闭灵活，零部件齐全。</w:t>
      </w:r>
    </w:p>
    <w:p w14:paraId="60007CA9">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.3.6母线槽</w:t>
      </w:r>
      <w:r>
        <w:rPr>
          <w:highlight w:val="none"/>
        </w:rPr>
        <w:t>安装</w:t>
      </w:r>
    </w:p>
    <w:p w14:paraId="56B5BAE7">
      <w:pPr>
        <w:numPr>
          <w:ilvl w:val="1"/>
          <w:numId w:val="130"/>
        </w:numPr>
        <w:ind w:firstLine="480"/>
        <w:rPr>
          <w:highlight w:val="none"/>
        </w:rPr>
      </w:pPr>
      <w:r>
        <w:rPr>
          <w:rFonts w:hint="eastAsia"/>
          <w:highlight w:val="none"/>
        </w:rPr>
        <w:t>储存</w:t>
      </w:r>
    </w:p>
    <w:p w14:paraId="01392CF8">
      <w:pPr>
        <w:numPr>
          <w:ilvl w:val="0"/>
          <w:numId w:val="131"/>
        </w:numPr>
        <w:ind w:firstLine="480"/>
        <w:rPr>
          <w:highlight w:val="none"/>
        </w:rPr>
      </w:pPr>
      <w:r>
        <w:rPr>
          <w:rFonts w:hint="eastAsia"/>
          <w:highlight w:val="none"/>
        </w:rPr>
        <w:t>母线槽应放置在干燥的地方，不能受到水，水蒸气及泥土的侵蚀，不能直接放在地上，需在地上垫上木板。</w:t>
      </w:r>
    </w:p>
    <w:p w14:paraId="7EC96E1C">
      <w:pPr>
        <w:numPr>
          <w:ilvl w:val="0"/>
          <w:numId w:val="131"/>
        </w:numPr>
        <w:ind w:firstLine="480"/>
        <w:rPr>
          <w:highlight w:val="none"/>
        </w:rPr>
      </w:pPr>
      <w:r>
        <w:rPr>
          <w:rFonts w:hint="eastAsia"/>
          <w:highlight w:val="none"/>
        </w:rPr>
        <w:t>不要直立放置。</w:t>
      </w:r>
    </w:p>
    <w:p w14:paraId="19A99C68">
      <w:pPr>
        <w:numPr>
          <w:ilvl w:val="0"/>
          <w:numId w:val="131"/>
        </w:numPr>
        <w:ind w:firstLine="480"/>
        <w:rPr>
          <w:highlight w:val="none"/>
        </w:rPr>
      </w:pPr>
      <w:r>
        <w:rPr>
          <w:rFonts w:hint="eastAsia"/>
          <w:highlight w:val="none"/>
        </w:rPr>
        <w:t>母线槽外壳防护膜在送电前才能拆除，确保母线槽在送电前不会弄污或受到破坏。</w:t>
      </w:r>
    </w:p>
    <w:p w14:paraId="06B7A2C9">
      <w:pPr>
        <w:numPr>
          <w:ilvl w:val="1"/>
          <w:numId w:val="130"/>
        </w:numPr>
        <w:ind w:firstLine="480"/>
        <w:rPr>
          <w:highlight w:val="none"/>
        </w:rPr>
      </w:pPr>
      <w:r>
        <w:rPr>
          <w:rFonts w:hint="eastAsia"/>
          <w:highlight w:val="none"/>
        </w:rPr>
        <w:t>安装前检查</w:t>
      </w:r>
    </w:p>
    <w:p w14:paraId="02814171">
      <w:pPr>
        <w:numPr>
          <w:ilvl w:val="0"/>
          <w:numId w:val="132"/>
        </w:numPr>
        <w:ind w:firstLine="480"/>
        <w:rPr>
          <w:highlight w:val="none"/>
        </w:rPr>
      </w:pPr>
      <w:r>
        <w:rPr>
          <w:rFonts w:hint="eastAsia"/>
          <w:highlight w:val="none"/>
        </w:rPr>
        <w:t>检查安装线路中是否有障碍、热源、漏水等情况。检查安装设备是否齐全。检查安装线路是否与设计相同。</w:t>
      </w:r>
    </w:p>
    <w:p w14:paraId="780609ED">
      <w:pPr>
        <w:numPr>
          <w:ilvl w:val="0"/>
          <w:numId w:val="132"/>
        </w:numPr>
        <w:ind w:firstLine="480"/>
        <w:rPr>
          <w:highlight w:val="none"/>
        </w:rPr>
      </w:pPr>
      <w:r>
        <w:rPr>
          <w:rFonts w:hint="eastAsia"/>
          <w:highlight w:val="none"/>
        </w:rPr>
        <w:t>安装吊架螺栓和支撑架。</w:t>
      </w:r>
    </w:p>
    <w:p w14:paraId="7DAA5BBD">
      <w:pPr>
        <w:numPr>
          <w:ilvl w:val="0"/>
          <w:numId w:val="132"/>
        </w:numPr>
        <w:ind w:firstLine="480"/>
        <w:rPr>
          <w:highlight w:val="none"/>
        </w:rPr>
      </w:pPr>
      <w:r>
        <w:rPr>
          <w:rFonts w:hint="eastAsia"/>
          <w:highlight w:val="none"/>
        </w:rPr>
        <w:t>安装前对每个单元母线槽进行绝缘电阻测试。</w:t>
      </w:r>
    </w:p>
    <w:p w14:paraId="12918A96">
      <w:pPr>
        <w:numPr>
          <w:ilvl w:val="0"/>
          <w:numId w:val="132"/>
        </w:numPr>
        <w:ind w:firstLine="480"/>
        <w:rPr>
          <w:highlight w:val="none"/>
        </w:rPr>
      </w:pPr>
      <w:r>
        <w:rPr>
          <w:rFonts w:hint="eastAsia"/>
          <w:highlight w:val="none"/>
        </w:rPr>
        <w:t>检查接头处有无泥土，灰尘及其它异物。</w:t>
      </w:r>
    </w:p>
    <w:p w14:paraId="697F109D">
      <w:pPr>
        <w:numPr>
          <w:ilvl w:val="1"/>
          <w:numId w:val="130"/>
        </w:numPr>
        <w:ind w:firstLine="480"/>
        <w:rPr>
          <w:highlight w:val="none"/>
        </w:rPr>
      </w:pPr>
      <w:r>
        <w:rPr>
          <w:rFonts w:hint="eastAsia"/>
          <w:highlight w:val="none"/>
        </w:rPr>
        <w:t>安装注意事项</w:t>
      </w:r>
    </w:p>
    <w:p w14:paraId="5C5263CD">
      <w:pPr>
        <w:numPr>
          <w:ilvl w:val="0"/>
          <w:numId w:val="133"/>
        </w:numPr>
        <w:ind w:firstLine="480"/>
        <w:rPr>
          <w:highlight w:val="none"/>
        </w:rPr>
      </w:pPr>
      <w:r>
        <w:rPr>
          <w:rFonts w:hint="eastAsia"/>
          <w:highlight w:val="none"/>
        </w:rPr>
        <w:t>必须对照图纸，按序号顺序进行连接。</w:t>
      </w:r>
    </w:p>
    <w:p w14:paraId="55F5E613">
      <w:pPr>
        <w:numPr>
          <w:ilvl w:val="0"/>
          <w:numId w:val="133"/>
        </w:numPr>
        <w:ind w:firstLine="480"/>
        <w:rPr>
          <w:highlight w:val="none"/>
        </w:rPr>
      </w:pPr>
      <w:r>
        <w:rPr>
          <w:rFonts w:hint="eastAsia"/>
          <w:highlight w:val="none"/>
        </w:rPr>
        <w:t>在吊装时要垫硬纸或木板，以防母线槽表面被破坏或变形。</w:t>
      </w:r>
    </w:p>
    <w:p w14:paraId="54D29C65">
      <w:pPr>
        <w:numPr>
          <w:ilvl w:val="0"/>
          <w:numId w:val="133"/>
        </w:numPr>
        <w:ind w:firstLine="480"/>
        <w:rPr>
          <w:highlight w:val="none"/>
        </w:rPr>
      </w:pPr>
      <w:r>
        <w:rPr>
          <w:rFonts w:hint="eastAsia"/>
          <w:highlight w:val="none"/>
        </w:rPr>
        <w:t>边安装边测试绝缘电阻，以免出现不正常时整段线路的检查的拆卸。</w:t>
      </w:r>
    </w:p>
    <w:p w14:paraId="55CACDD1">
      <w:pPr>
        <w:numPr>
          <w:ilvl w:val="0"/>
          <w:numId w:val="133"/>
        </w:numPr>
        <w:ind w:firstLine="480"/>
        <w:rPr>
          <w:highlight w:val="none"/>
        </w:rPr>
      </w:pPr>
      <w:r>
        <w:rPr>
          <w:rFonts w:hint="eastAsia"/>
          <w:highlight w:val="none"/>
        </w:rPr>
        <w:t>安装未完成前，连接终端应有防水，防尘措施。</w:t>
      </w:r>
    </w:p>
    <w:p w14:paraId="575B42BE">
      <w:pPr>
        <w:numPr>
          <w:ilvl w:val="0"/>
          <w:numId w:val="133"/>
        </w:numPr>
        <w:ind w:firstLine="480"/>
        <w:rPr>
          <w:highlight w:val="none"/>
        </w:rPr>
      </w:pPr>
      <w:r>
        <w:rPr>
          <w:rFonts w:hint="eastAsia"/>
          <w:highlight w:val="none"/>
        </w:rPr>
        <w:t>接头处安装后必须将螺栓拧紧。</w:t>
      </w:r>
    </w:p>
    <w:p w14:paraId="5438B3EB">
      <w:pPr>
        <w:numPr>
          <w:ilvl w:val="0"/>
          <w:numId w:val="133"/>
        </w:numPr>
        <w:ind w:firstLine="480"/>
        <w:rPr>
          <w:highlight w:val="none"/>
        </w:rPr>
      </w:pPr>
      <w:r>
        <w:rPr>
          <w:rFonts w:hint="eastAsia"/>
          <w:highlight w:val="none"/>
        </w:rPr>
        <w:t>对防护等级为</w:t>
      </w:r>
      <w:r>
        <w:rPr>
          <w:highlight w:val="none"/>
        </w:rPr>
        <w:t>IP54的母线槽在接头安装时，必须在铝盖两边、螺栓孔周围、密封垫圈底部、侧面铝盖上沿周边处涂上硅胶。</w:t>
      </w:r>
    </w:p>
    <w:p w14:paraId="379304C1">
      <w:pPr>
        <w:numPr>
          <w:ilvl w:val="0"/>
          <w:numId w:val="133"/>
        </w:numPr>
        <w:ind w:firstLine="480"/>
        <w:rPr>
          <w:highlight w:val="none"/>
        </w:rPr>
      </w:pPr>
      <w:r>
        <w:rPr>
          <w:rFonts w:hint="eastAsia"/>
          <w:highlight w:val="none"/>
        </w:rPr>
        <w:t>母线槽数排并安装时，为确保散热和方便安装，其间最小间距</w:t>
      </w:r>
      <w:r>
        <w:rPr>
          <w:highlight w:val="none"/>
        </w:rPr>
        <w:t>150mm，如其上有插接箱时应保证插接箱之间有50mm间距。母线槽安装穿过墙壁或楼层板时其接头中心距墙或楼层板间距至少为300mm。</w:t>
      </w:r>
    </w:p>
    <w:p w14:paraId="46A43CE7">
      <w:pPr>
        <w:numPr>
          <w:ilvl w:val="0"/>
          <w:numId w:val="133"/>
        </w:numPr>
        <w:ind w:firstLine="480"/>
        <w:rPr>
          <w:highlight w:val="none"/>
        </w:rPr>
      </w:pPr>
      <w:r>
        <w:rPr>
          <w:rFonts w:hint="eastAsia"/>
          <w:highlight w:val="none"/>
        </w:rPr>
        <w:t>母线槽穿过防火墙及防火板时，应采取防火隔离措施。</w:t>
      </w:r>
    </w:p>
    <w:p w14:paraId="6CD4BCBC">
      <w:pPr>
        <w:numPr>
          <w:ilvl w:val="0"/>
          <w:numId w:val="133"/>
        </w:numPr>
        <w:ind w:firstLine="480"/>
        <w:rPr>
          <w:highlight w:val="none"/>
        </w:rPr>
      </w:pPr>
      <w:r>
        <w:rPr>
          <w:rFonts w:hint="eastAsia"/>
          <w:highlight w:val="none"/>
        </w:rPr>
        <w:t>吊架之间距离为</w:t>
      </w:r>
      <w:r>
        <w:rPr>
          <w:highlight w:val="none"/>
        </w:rPr>
        <w:t>2</w:t>
      </w:r>
      <w:r>
        <w:rPr>
          <w:rFonts w:hint="eastAsia"/>
          <w:highlight w:val="none"/>
        </w:rPr>
        <w:t>m，大跨度母线槽为</w:t>
      </w:r>
      <w:r>
        <w:rPr>
          <w:highlight w:val="none"/>
        </w:rPr>
        <w:t>6</w:t>
      </w:r>
      <w:r>
        <w:rPr>
          <w:rFonts w:hint="eastAsia"/>
          <w:highlight w:val="none"/>
        </w:rPr>
        <w:t>m。</w:t>
      </w:r>
    </w:p>
    <w:p w14:paraId="0D6D279C">
      <w:pPr>
        <w:numPr>
          <w:ilvl w:val="0"/>
          <w:numId w:val="133"/>
        </w:numPr>
        <w:ind w:firstLine="480"/>
        <w:rPr>
          <w:highlight w:val="none"/>
        </w:rPr>
      </w:pPr>
      <w:r>
        <w:rPr>
          <w:rFonts w:hint="eastAsia"/>
          <w:highlight w:val="none"/>
        </w:rPr>
        <w:t>水平安装时，距离地面高度不应小于</w:t>
      </w:r>
      <w:r>
        <w:rPr>
          <w:highlight w:val="none"/>
        </w:rPr>
        <w:t>2.2</w:t>
      </w:r>
      <w:r>
        <w:rPr>
          <w:rFonts w:hint="eastAsia"/>
          <w:highlight w:val="none"/>
        </w:rPr>
        <w:t>m</w:t>
      </w:r>
      <w:r>
        <w:rPr>
          <w:highlight w:val="none"/>
        </w:rPr>
        <w:t>；垂直安装时，距地面1.8m以下部分应采用防止机械损伤措施（竖井内除外）</w:t>
      </w:r>
    </w:p>
    <w:p w14:paraId="3F99048F">
      <w:pPr>
        <w:numPr>
          <w:ilvl w:val="0"/>
          <w:numId w:val="133"/>
        </w:numPr>
        <w:ind w:firstLine="480"/>
        <w:rPr>
          <w:highlight w:val="none"/>
        </w:rPr>
      </w:pPr>
      <w:r>
        <w:rPr>
          <w:rFonts w:hint="eastAsia"/>
          <w:highlight w:val="none"/>
        </w:rPr>
        <w:t>垂直安装的母线槽在楼板处用弹簧支架固定并调节弹簧，使之保证垂直度。末端悬空时应采用支架固定；楼层高于</w:t>
      </w:r>
      <w:r>
        <w:rPr>
          <w:highlight w:val="none"/>
        </w:rPr>
        <w:t>4m时，中间也应采用支架固定。</w:t>
      </w:r>
    </w:p>
    <w:p w14:paraId="6F559FB3">
      <w:pPr>
        <w:numPr>
          <w:ilvl w:val="0"/>
          <w:numId w:val="133"/>
        </w:numPr>
        <w:ind w:firstLine="480"/>
        <w:rPr>
          <w:highlight w:val="none"/>
        </w:rPr>
      </w:pPr>
      <w:r>
        <w:rPr>
          <w:rFonts w:hint="eastAsia"/>
          <w:highlight w:val="none"/>
        </w:rPr>
        <w:t>垂直安装时，长度不超过40m应安装伸缩节，如每层都有插接箱，长度超过90m时应安装伸缩节。</w:t>
      </w:r>
    </w:p>
    <w:p w14:paraId="351DDE2A">
      <w:pPr>
        <w:numPr>
          <w:ilvl w:val="1"/>
          <w:numId w:val="130"/>
        </w:numPr>
        <w:ind w:firstLine="480"/>
        <w:rPr>
          <w:highlight w:val="none"/>
        </w:rPr>
      </w:pPr>
      <w:r>
        <w:rPr>
          <w:rFonts w:hint="eastAsia"/>
          <w:highlight w:val="none"/>
        </w:rPr>
        <w:t>接头的安装顺序</w:t>
      </w:r>
    </w:p>
    <w:p w14:paraId="4E494099">
      <w:pPr>
        <w:numPr>
          <w:ilvl w:val="0"/>
          <w:numId w:val="134"/>
        </w:numPr>
        <w:ind w:firstLine="480"/>
        <w:rPr>
          <w:highlight w:val="none"/>
        </w:rPr>
      </w:pPr>
      <w:r>
        <w:rPr>
          <w:rFonts w:hint="eastAsia"/>
          <w:highlight w:val="none"/>
        </w:rPr>
        <w:t>打开接头安装盒，检查接头部件数量及质量。</w:t>
      </w:r>
    </w:p>
    <w:p w14:paraId="728B5A9E">
      <w:pPr>
        <w:numPr>
          <w:ilvl w:val="0"/>
          <w:numId w:val="134"/>
        </w:numPr>
        <w:ind w:firstLine="480"/>
        <w:rPr>
          <w:highlight w:val="none"/>
        </w:rPr>
      </w:pPr>
      <w:r>
        <w:rPr>
          <w:rFonts w:hint="eastAsia"/>
          <w:highlight w:val="none"/>
        </w:rPr>
        <w:t>把两端需连接的母线槽侧板上下对齐，端头紧靠。</w:t>
      </w:r>
    </w:p>
    <w:p w14:paraId="3067CB62">
      <w:pPr>
        <w:numPr>
          <w:ilvl w:val="0"/>
          <w:numId w:val="134"/>
        </w:numPr>
        <w:ind w:firstLine="480"/>
        <w:rPr>
          <w:highlight w:val="none"/>
        </w:rPr>
      </w:pPr>
      <w:r>
        <w:rPr>
          <w:rFonts w:hint="eastAsia"/>
          <w:highlight w:val="none"/>
        </w:rPr>
        <w:t>揭去侧板端头上的薄膜，将电板贴在侧板内侧，用</w:t>
      </w:r>
      <w:r>
        <w:rPr>
          <w:highlight w:val="none"/>
        </w:rPr>
        <w:t>M8螺栓紧固。</w:t>
      </w:r>
    </w:p>
    <w:p w14:paraId="6F118D37">
      <w:pPr>
        <w:numPr>
          <w:ilvl w:val="0"/>
          <w:numId w:val="134"/>
        </w:numPr>
        <w:ind w:firstLine="480"/>
        <w:rPr>
          <w:highlight w:val="none"/>
        </w:rPr>
      </w:pPr>
      <w:r>
        <w:rPr>
          <w:rFonts w:hint="eastAsia"/>
          <w:highlight w:val="none"/>
        </w:rPr>
        <w:t>将隔板</w:t>
      </w:r>
      <w:r>
        <w:rPr>
          <w:highlight w:val="none"/>
        </w:rPr>
        <w:t>1、隔板2按序号插入各相搭界母线之间，上下位置由隔板上两个小圆柱定位，两边缘与母线排头对齐。</w:t>
      </w:r>
    </w:p>
    <w:p w14:paraId="13007AB6">
      <w:pPr>
        <w:numPr>
          <w:ilvl w:val="0"/>
          <w:numId w:val="134"/>
        </w:numPr>
        <w:ind w:firstLine="480"/>
        <w:rPr>
          <w:highlight w:val="none"/>
        </w:rPr>
      </w:pPr>
      <w:r>
        <w:rPr>
          <w:rFonts w:hint="eastAsia"/>
          <w:highlight w:val="none"/>
        </w:rPr>
        <w:t>依次将垫板、弹簧、平垫套在螺栓上，两边用螺母紧固，拧紧力矩为</w:t>
      </w:r>
      <w:r>
        <w:rPr>
          <w:highlight w:val="none"/>
        </w:rPr>
        <w:t>M12螺栓为40N·M</w:t>
      </w:r>
      <w:r>
        <w:rPr>
          <w:rFonts w:hint="eastAsia"/>
          <w:highlight w:val="none"/>
        </w:rPr>
        <w:t>、</w:t>
      </w:r>
      <w:r>
        <w:rPr>
          <w:highlight w:val="none"/>
        </w:rPr>
        <w:t>M16连接螺栓为80-100N·M</w:t>
      </w:r>
      <w:r>
        <w:rPr>
          <w:rFonts w:hint="eastAsia"/>
          <w:highlight w:val="none"/>
        </w:rPr>
        <w:t>。</w:t>
      </w:r>
    </w:p>
    <w:p w14:paraId="671B63CB">
      <w:pPr>
        <w:numPr>
          <w:ilvl w:val="0"/>
          <w:numId w:val="134"/>
        </w:numPr>
        <w:ind w:firstLine="480"/>
        <w:rPr>
          <w:highlight w:val="none"/>
        </w:rPr>
      </w:pPr>
      <w:r>
        <w:rPr>
          <w:highlight w:val="none"/>
        </w:rPr>
        <w:t>相邻的母线槽如安装有插接箱，插接箱间距保证大于50mm</w:t>
      </w:r>
      <w:r>
        <w:rPr>
          <w:rFonts w:hint="eastAsia"/>
          <w:highlight w:val="none"/>
        </w:rPr>
        <w:t>。</w:t>
      </w:r>
    </w:p>
    <w:p w14:paraId="13E9BD03">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.3.7电缆导管安装</w:t>
      </w:r>
    </w:p>
    <w:p w14:paraId="72483239">
      <w:pPr>
        <w:numPr>
          <w:ilvl w:val="1"/>
          <w:numId w:val="135"/>
        </w:numPr>
        <w:ind w:firstLine="480"/>
        <w:rPr>
          <w:highlight w:val="none"/>
        </w:rPr>
      </w:pPr>
      <w:r>
        <w:rPr>
          <w:rFonts w:hint="eastAsia"/>
          <w:highlight w:val="none"/>
        </w:rPr>
        <w:t>材料要求</w:t>
      </w:r>
    </w:p>
    <w:p w14:paraId="16697265">
      <w:pPr>
        <w:numPr>
          <w:ilvl w:val="0"/>
          <w:numId w:val="136"/>
        </w:numPr>
        <w:ind w:firstLine="480"/>
        <w:rPr>
          <w:highlight w:val="none"/>
        </w:rPr>
      </w:pPr>
      <w:r>
        <w:rPr>
          <w:rFonts w:hint="eastAsia"/>
          <w:highlight w:val="none"/>
        </w:rPr>
        <w:t>钢管：内外表面热镀锌处理，镀层完整，内焊缝应平滑、圆顺，钢管无压扁。</w:t>
      </w:r>
    </w:p>
    <w:p w14:paraId="71212140">
      <w:pPr>
        <w:numPr>
          <w:ilvl w:val="0"/>
          <w:numId w:val="136"/>
        </w:numPr>
        <w:ind w:firstLine="480"/>
        <w:rPr>
          <w:highlight w:val="none"/>
        </w:rPr>
      </w:pPr>
      <w:r>
        <w:rPr>
          <w:rFonts w:hint="eastAsia"/>
          <w:highlight w:val="none"/>
        </w:rPr>
        <w:t>管箍：使用通丝管箍，丝扣清晰，不乱扣，镀锌层完整无脱落、无劈裂。</w:t>
      </w:r>
    </w:p>
    <w:p w14:paraId="2D2205DD">
      <w:pPr>
        <w:numPr>
          <w:ilvl w:val="0"/>
          <w:numId w:val="136"/>
        </w:numPr>
        <w:ind w:firstLine="480"/>
        <w:rPr>
          <w:highlight w:val="none"/>
        </w:rPr>
      </w:pPr>
      <w:r>
        <w:rPr>
          <w:rFonts w:hint="eastAsia"/>
          <w:highlight w:val="none"/>
        </w:rPr>
        <w:t>锁紧螺母：外形完好无损，丝扣清晰。</w:t>
      </w:r>
    </w:p>
    <w:p w14:paraId="0C166556">
      <w:pPr>
        <w:numPr>
          <w:ilvl w:val="0"/>
          <w:numId w:val="136"/>
        </w:numPr>
        <w:ind w:firstLine="480"/>
        <w:rPr>
          <w:highlight w:val="none"/>
        </w:rPr>
      </w:pPr>
      <w:r>
        <w:rPr>
          <w:rFonts w:hint="eastAsia"/>
          <w:highlight w:val="none"/>
        </w:rPr>
        <w:t>护口：使用专用护口，护口要完整无损。</w:t>
      </w:r>
    </w:p>
    <w:p w14:paraId="5AFBF9F9">
      <w:pPr>
        <w:numPr>
          <w:ilvl w:val="0"/>
          <w:numId w:val="136"/>
        </w:numPr>
        <w:ind w:firstLine="480"/>
        <w:rPr>
          <w:highlight w:val="none"/>
        </w:rPr>
      </w:pPr>
      <w:r>
        <w:rPr>
          <w:rFonts w:hint="eastAsia"/>
          <w:highlight w:val="none"/>
        </w:rPr>
        <w:t>接线盒：盒板厚度符合规范要求，接线盒底部有接地螺丝及接地标志。</w:t>
      </w:r>
    </w:p>
    <w:p w14:paraId="1FEDB854">
      <w:pPr>
        <w:numPr>
          <w:ilvl w:val="1"/>
          <w:numId w:val="135"/>
        </w:numPr>
        <w:ind w:firstLine="480"/>
        <w:rPr>
          <w:highlight w:val="none"/>
        </w:rPr>
      </w:pPr>
      <w:r>
        <w:rPr>
          <w:rFonts w:hint="eastAsia"/>
          <w:highlight w:val="none"/>
        </w:rPr>
        <w:t>管材及支吊架加工要求</w:t>
      </w:r>
    </w:p>
    <w:p w14:paraId="23FC73DC">
      <w:pPr>
        <w:numPr>
          <w:ilvl w:val="0"/>
          <w:numId w:val="137"/>
        </w:numPr>
        <w:ind w:firstLine="480"/>
        <w:rPr>
          <w:highlight w:val="none"/>
        </w:rPr>
      </w:pPr>
      <w:r>
        <w:rPr>
          <w:rFonts w:hint="eastAsia"/>
          <w:highlight w:val="none"/>
        </w:rPr>
        <w:t>管道切割：应选用钢锯或砂轮切割机切管，切管的长度要测量准确。</w:t>
      </w:r>
    </w:p>
    <w:p w14:paraId="3869A34A">
      <w:pPr>
        <w:numPr>
          <w:ilvl w:val="0"/>
          <w:numId w:val="137"/>
        </w:numPr>
        <w:ind w:firstLine="480"/>
        <w:rPr>
          <w:highlight w:val="none"/>
        </w:rPr>
      </w:pPr>
      <w:r>
        <w:rPr>
          <w:rFonts w:hint="eastAsia"/>
          <w:highlight w:val="none"/>
        </w:rPr>
        <w:t>管道套丝：采用套丝板、套管机，根据管外径选择相应的板牙，将管子用台虎钳或压力钳固定，再把绞板套在管端，先慢慢用力，套上扣后再均匀用力。套丝时应及时用毛刷涂抹机油，保证丝扣完整不断扣、乱扣，用套管机套丝时，应注意随套随浇冷却液。</w:t>
      </w:r>
    </w:p>
    <w:p w14:paraId="067DCA50">
      <w:pPr>
        <w:numPr>
          <w:ilvl w:val="0"/>
          <w:numId w:val="137"/>
        </w:numPr>
        <w:ind w:firstLine="480"/>
        <w:rPr>
          <w:highlight w:val="none"/>
        </w:rPr>
      </w:pPr>
      <w:r>
        <w:rPr>
          <w:rFonts w:hint="eastAsia"/>
          <w:highlight w:val="none"/>
        </w:rPr>
        <w:t>管道弯曲：管径大于</w:t>
      </w:r>
      <w:r>
        <w:rPr>
          <w:highlight w:val="none"/>
        </w:rPr>
        <w:t>32mm的钢管须采用液压煨管机弯制，管径25mm以下的钢管采用手动煨管机弯制。钢管弯曲处不能出现凹凸和裂缝。</w:t>
      </w:r>
    </w:p>
    <w:p w14:paraId="3342EB75">
      <w:pPr>
        <w:numPr>
          <w:ilvl w:val="0"/>
          <w:numId w:val="137"/>
        </w:numPr>
        <w:ind w:firstLine="480"/>
        <w:rPr>
          <w:highlight w:val="none"/>
        </w:rPr>
      </w:pPr>
      <w:r>
        <w:rPr>
          <w:rFonts w:hint="eastAsia"/>
          <w:highlight w:val="none"/>
        </w:rPr>
        <w:t>支吊架固定：固定点的间距应均匀，固定点与终端、转弯中点、电气器具或接线盒边缘的距离为</w:t>
      </w:r>
      <w:r>
        <w:rPr>
          <w:highlight w:val="none"/>
        </w:rPr>
        <w:t>300mm，固定点之间的最大距离应满足规范要求。</w:t>
      </w:r>
    </w:p>
    <w:p w14:paraId="767D82D1">
      <w:pPr>
        <w:numPr>
          <w:ilvl w:val="0"/>
          <w:numId w:val="137"/>
        </w:numPr>
        <w:ind w:firstLine="480"/>
        <w:rPr>
          <w:highlight w:val="none"/>
        </w:rPr>
      </w:pPr>
      <w:r>
        <w:rPr>
          <w:rFonts w:hint="eastAsia"/>
          <w:highlight w:val="none"/>
        </w:rPr>
        <w:t>管路敷设：钢管采用丝扣连接，套丝后要对管口进行打磨、清扫，施工过程中要尽量减少弯头。电气管路敷设时有下列情况时须加装接线盒：直线段超过</w:t>
      </w:r>
      <w:r>
        <w:rPr>
          <w:highlight w:val="none"/>
        </w:rPr>
        <w:t>30m；有一个转弯且超过20m；有两个转弯且超过15m；有3</w:t>
      </w:r>
      <w:r>
        <w:rPr>
          <w:rFonts w:hint="eastAsia"/>
          <w:highlight w:val="none"/>
        </w:rPr>
        <w:t>个转弯且超过</w:t>
      </w:r>
      <w:r>
        <w:rPr>
          <w:highlight w:val="none"/>
        </w:rPr>
        <w:t>8m。钢管进出线盒处，用锁紧螺母固定牢固。管子进入箱盒螺纹应外露2</w:t>
      </w:r>
      <w:r>
        <w:rPr>
          <w:rFonts w:hint="eastAsia"/>
          <w:highlight w:val="none"/>
        </w:rPr>
        <w:t>~</w:t>
      </w:r>
      <w:r>
        <w:rPr>
          <w:highlight w:val="none"/>
        </w:rPr>
        <w:t>3扣，并且一孔一管，严禁将其它敲落孔敲掉。多根管子进入配电箱时，应排列整齐，进入箱内的管口高度一致。管路经金属软管引入设备时，金属软管的长度不得超过0.8m。</w:t>
      </w:r>
    </w:p>
    <w:p w14:paraId="7556B594">
      <w:pPr>
        <w:numPr>
          <w:ilvl w:val="0"/>
          <w:numId w:val="137"/>
        </w:numPr>
        <w:ind w:firstLine="480"/>
        <w:rPr>
          <w:highlight w:val="none"/>
        </w:rPr>
      </w:pPr>
      <w:r>
        <w:rPr>
          <w:rFonts w:hint="eastAsia"/>
          <w:highlight w:val="none"/>
        </w:rPr>
        <w:t>管路接地：管路的接地采用接地卡与专用接地线。</w:t>
      </w:r>
    </w:p>
    <w:p w14:paraId="7EC61739">
      <w:pPr>
        <w:numPr>
          <w:ilvl w:val="0"/>
          <w:numId w:val="137"/>
        </w:numPr>
        <w:ind w:firstLine="480"/>
        <w:rPr>
          <w:highlight w:val="none"/>
        </w:rPr>
      </w:pPr>
      <w:r>
        <w:rPr>
          <w:rFonts w:hint="eastAsia"/>
          <w:highlight w:val="none"/>
        </w:rPr>
        <w:t>管路敷设方式：要求水平和垂直方向整齐排列，并以</w:t>
      </w:r>
      <w:r>
        <w:rPr>
          <w:highlight w:val="none"/>
        </w:rPr>
        <w:t xml:space="preserve">U </w:t>
      </w:r>
      <w:r>
        <w:rPr>
          <w:rFonts w:hint="eastAsia"/>
          <w:highlight w:val="none"/>
        </w:rPr>
        <w:t>型卡、鞍型夹予以牢固。固定间距不得超</w:t>
      </w:r>
      <w:r>
        <w:rPr>
          <w:highlight w:val="none"/>
        </w:rPr>
        <w:t>1.2m。</w:t>
      </w:r>
    </w:p>
    <w:p w14:paraId="4A36E464">
      <w:pPr>
        <w:numPr>
          <w:ilvl w:val="1"/>
          <w:numId w:val="135"/>
        </w:numPr>
        <w:ind w:firstLine="480"/>
        <w:rPr>
          <w:highlight w:val="none"/>
        </w:rPr>
      </w:pPr>
      <w:r>
        <w:rPr>
          <w:rFonts w:hint="eastAsia"/>
          <w:highlight w:val="none"/>
        </w:rPr>
        <w:t>管路施工关键部位技术要求</w:t>
      </w:r>
    </w:p>
    <w:p w14:paraId="415CA25B">
      <w:pPr>
        <w:numPr>
          <w:ilvl w:val="0"/>
          <w:numId w:val="138"/>
        </w:numPr>
        <w:ind w:firstLine="480"/>
        <w:rPr>
          <w:highlight w:val="none"/>
        </w:rPr>
      </w:pPr>
      <w:r>
        <w:rPr>
          <w:rFonts w:hint="eastAsia"/>
          <w:highlight w:val="none"/>
        </w:rPr>
        <w:t>钢管与设备的连接：钢管与设备连接时，电线、电缆与设备的连接采用普利卡保护管。对室外或室内潮湿场所，则采用防水型普利卡保护管及防水型连接器。普利卡保护管与钢制电线管、各类箱盒的连接时，均应采用其配套的专用附件。</w:t>
      </w:r>
    </w:p>
    <w:p w14:paraId="7F270691">
      <w:pPr>
        <w:numPr>
          <w:ilvl w:val="0"/>
          <w:numId w:val="138"/>
        </w:numPr>
        <w:ind w:firstLine="480"/>
        <w:rPr>
          <w:highlight w:val="none"/>
        </w:rPr>
      </w:pPr>
      <w:r>
        <w:rPr>
          <w:rFonts w:hint="eastAsia"/>
          <w:highlight w:val="none"/>
        </w:rPr>
        <w:t>管道穿防火墙：电线管穿过防火墙时要采用防火封堵，管径大于</w:t>
      </w:r>
      <w:r>
        <w:rPr>
          <w:highlight w:val="none"/>
        </w:rPr>
        <w:t>80时，距墙1m内的钢管应外涂防火涂料。</w:t>
      </w:r>
    </w:p>
    <w:p w14:paraId="645CD509">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.3.8管内穿线</w:t>
      </w:r>
    </w:p>
    <w:p w14:paraId="0A1BC4AB">
      <w:pPr>
        <w:numPr>
          <w:ilvl w:val="1"/>
          <w:numId w:val="139"/>
        </w:numPr>
        <w:ind w:firstLine="480"/>
        <w:rPr>
          <w:highlight w:val="none"/>
        </w:rPr>
      </w:pPr>
      <w:r>
        <w:rPr>
          <w:rFonts w:hint="eastAsia"/>
          <w:highlight w:val="none"/>
        </w:rPr>
        <w:t>材料要求</w:t>
      </w:r>
    </w:p>
    <w:p w14:paraId="4A69A54F">
      <w:pPr>
        <w:numPr>
          <w:ilvl w:val="0"/>
          <w:numId w:val="140"/>
        </w:numPr>
        <w:ind w:firstLine="480"/>
        <w:rPr>
          <w:highlight w:val="none"/>
        </w:rPr>
      </w:pPr>
      <w:r>
        <w:rPr>
          <w:rFonts w:hint="eastAsia"/>
          <w:highlight w:val="none"/>
        </w:rPr>
        <w:t>绝缘导线：导线的型号、规格必须符合设计要求，并有产品出厂合格证。</w:t>
      </w:r>
    </w:p>
    <w:p w14:paraId="3CAD0CF8">
      <w:pPr>
        <w:numPr>
          <w:ilvl w:val="0"/>
          <w:numId w:val="140"/>
        </w:numPr>
        <w:ind w:firstLine="480"/>
        <w:rPr>
          <w:highlight w:val="none"/>
        </w:rPr>
      </w:pPr>
      <w:r>
        <w:rPr>
          <w:rFonts w:hint="eastAsia"/>
          <w:highlight w:val="none"/>
        </w:rPr>
        <w:t>镀锌铁丝或钢丝：应顺直无死弯、扭结等现象，并具有相应的机械拉力。</w:t>
      </w:r>
    </w:p>
    <w:p w14:paraId="11F04B0A">
      <w:pPr>
        <w:numPr>
          <w:ilvl w:val="1"/>
          <w:numId w:val="139"/>
        </w:numPr>
        <w:ind w:firstLine="480"/>
        <w:rPr>
          <w:highlight w:val="none"/>
        </w:rPr>
      </w:pPr>
      <w:r>
        <w:rPr>
          <w:rFonts w:hint="eastAsia"/>
          <w:highlight w:val="none"/>
        </w:rPr>
        <w:t>管内穿线及连接要求</w:t>
      </w:r>
    </w:p>
    <w:p w14:paraId="2B37774F">
      <w:pPr>
        <w:ind w:firstLine="480"/>
        <w:rPr>
          <w:highlight w:val="none"/>
        </w:rPr>
      </w:pPr>
      <w:r>
        <w:rPr>
          <w:rFonts w:hint="eastAsia"/>
          <w:highlight w:val="none"/>
        </w:rPr>
        <w:t>电线管在穿线前，应首先检查各个管口的护口，保证护口齐全完整。当管路较长或转弯较多时，在穿线前向管内吹入适量的滑石粉。穿线时，两端的工人应配合协调一致。导线连接接头不能增加电阻值，不能降低原机械强度及原绝缘强度。用接线钮连接线时</w:t>
      </w:r>
      <w:r>
        <w:rPr>
          <w:highlight w:val="none"/>
        </w:rPr>
        <w:t>, 6mm</w:t>
      </w:r>
      <w:r>
        <w:rPr>
          <w:rFonts w:hint="eastAsia"/>
          <w:highlight w:val="none"/>
        </w:rPr>
        <w:t>²及以下的导线把外露的线芯对齐按顺时针方向拧绞，在线芯的</w:t>
      </w:r>
      <w:r>
        <w:rPr>
          <w:highlight w:val="none"/>
        </w:rPr>
        <w:t>12mm处剪去前端，然后选择相应的接线钮按顺时针方向拧紧。要把导线的绝缘部分拧入接线钮的上端护套内。</w:t>
      </w:r>
    </w:p>
    <w:p w14:paraId="4A07AA6D">
      <w:pPr>
        <w:numPr>
          <w:ilvl w:val="1"/>
          <w:numId w:val="139"/>
        </w:numPr>
        <w:ind w:firstLine="480"/>
        <w:rPr>
          <w:highlight w:val="none"/>
        </w:rPr>
      </w:pPr>
      <w:r>
        <w:rPr>
          <w:rFonts w:hint="eastAsia"/>
          <w:highlight w:val="none"/>
        </w:rPr>
        <w:t>线路检查及绝缘测试要求</w:t>
      </w:r>
    </w:p>
    <w:p w14:paraId="3A876B9B">
      <w:pPr>
        <w:ind w:firstLine="480"/>
        <w:rPr>
          <w:highlight w:val="none"/>
        </w:rPr>
      </w:pPr>
      <w:r>
        <w:rPr>
          <w:rFonts w:hint="eastAsia"/>
          <w:highlight w:val="none"/>
        </w:rPr>
        <w:t>穿线后，应按规范及质量验评标准进行自检互检，不符合规定时应立即纠正，检查导线的规格和根数，检查无误后再进行绝缘测试。设备未安装进行线路绝缘测试时，应将干线和支线分开，测试时应及时进行记录。设备全部安装送电前进行测试时，应先将线路的开关、仪表、设备等全部置于断开位置，绝缘测试无误后再进行送电试运行。绝缘电阻值应符合规范和设计的要求。</w:t>
      </w:r>
    </w:p>
    <w:p w14:paraId="001E8173">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.3.9矿物绝缘电缆（</w:t>
      </w:r>
      <w:r>
        <w:rPr>
          <w:highlight w:val="none"/>
        </w:rPr>
        <w:t>BTTZ）敷设</w:t>
      </w:r>
    </w:p>
    <w:p w14:paraId="72AE2F18">
      <w:pPr>
        <w:numPr>
          <w:ilvl w:val="1"/>
          <w:numId w:val="141"/>
        </w:numPr>
        <w:ind w:firstLine="480"/>
        <w:rPr>
          <w:highlight w:val="none"/>
        </w:rPr>
      </w:pPr>
      <w:r>
        <w:rPr>
          <w:rFonts w:hint="eastAsia"/>
          <w:highlight w:val="none"/>
        </w:rPr>
        <w:t>按照《国家建筑标准设计图集</w:t>
      </w:r>
      <w:r>
        <w:rPr>
          <w:highlight w:val="none"/>
        </w:rPr>
        <w:t xml:space="preserve"> 09D101-6》规范要求敷设；</w:t>
      </w:r>
    </w:p>
    <w:p w14:paraId="18969A33">
      <w:pPr>
        <w:numPr>
          <w:ilvl w:val="1"/>
          <w:numId w:val="141"/>
        </w:numPr>
        <w:ind w:firstLine="480"/>
        <w:rPr>
          <w:highlight w:val="none"/>
        </w:rPr>
      </w:pPr>
      <w:r>
        <w:rPr>
          <w:highlight w:val="none"/>
        </w:rPr>
        <w:t>电缆敷设时，其固定点之间的间距应满足下表要求：</w:t>
      </w:r>
    </w:p>
    <w:p w14:paraId="53947772">
      <w:pPr>
        <w:spacing w:before="120" w:beforeLines="50" w:after="120" w:afterLines="50"/>
        <w:ind w:firstLine="480"/>
        <w:jc w:val="right"/>
        <w:rPr>
          <w:highlight w:val="none"/>
        </w:rPr>
      </w:pPr>
      <w:r>
        <w:rPr>
          <w:rFonts w:ascii="等线" w:hAnsi="等线"/>
          <w:highlight w:val="none"/>
        </w:rPr>
        <w:drawing>
          <wp:inline distT="0" distB="0" distL="114300" distR="114300">
            <wp:extent cx="4777740" cy="770890"/>
            <wp:effectExtent l="0" t="0" r="3810" b="10160"/>
            <wp:docPr id="132" name="图片 135" descr="矿物绝缘电缆敷设固定点之间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5" descr="矿物绝缘电缆敷设固定点之间距离"/>
                    <pic:cNvPicPr>
                      <a:picLocks noChangeAspect="1"/>
                    </pic:cNvPicPr>
                  </pic:nvPicPr>
                  <pic:blipFill>
                    <a:blip r:embed="rId134"/>
                    <a:stretch>
                      <a:fillRect/>
                    </a:stretch>
                  </pic:blipFill>
                  <pic:spPr>
                    <a:xfrm>
                      <a:off x="0" y="0"/>
                      <a:ext cx="4777740" cy="770890"/>
                    </a:xfrm>
                    <a:prstGeom prst="rect">
                      <a:avLst/>
                    </a:prstGeom>
                    <a:solidFill>
                      <a:srgbClr val="FFFF00"/>
                    </a:solidFill>
                    <a:ln>
                      <a:noFill/>
                    </a:ln>
                  </pic:spPr>
                </pic:pic>
              </a:graphicData>
            </a:graphic>
          </wp:inline>
        </w:drawing>
      </w:r>
    </w:p>
    <w:p w14:paraId="21681AC8">
      <w:pPr>
        <w:numPr>
          <w:ilvl w:val="1"/>
          <w:numId w:val="141"/>
        </w:numPr>
        <w:ind w:firstLine="480"/>
        <w:rPr>
          <w:highlight w:val="none"/>
        </w:rPr>
      </w:pPr>
      <w:r>
        <w:rPr>
          <w:highlight w:val="none"/>
        </w:rPr>
        <w:t>在明敷部位，如果相同走向的电缆大、中、小规格都有，从整齐、美观方面考虑，可按最小规格电缆标准要求固定，也可分档距固定。当电缆倾斜敷设时，电缆与垂直方向成30°及以下时，按垂直间距固定；大于30°时，按水平间距固定。</w:t>
      </w:r>
    </w:p>
    <w:p w14:paraId="1EA6461F">
      <w:pPr>
        <w:numPr>
          <w:ilvl w:val="1"/>
          <w:numId w:val="141"/>
        </w:numPr>
        <w:ind w:firstLine="480"/>
        <w:rPr>
          <w:highlight w:val="none"/>
        </w:rPr>
      </w:pPr>
      <w:r>
        <w:rPr>
          <w:highlight w:val="none"/>
        </w:rPr>
        <w:t>计算敷设电缆所需长度时，应考虑留有不少于1%的余量</w:t>
      </w:r>
      <w:r>
        <w:rPr>
          <w:rFonts w:hint="eastAsia"/>
          <w:highlight w:val="none"/>
        </w:rPr>
        <w:t>，</w:t>
      </w:r>
      <w:r>
        <w:rPr>
          <w:highlight w:val="none"/>
        </w:rPr>
        <w:t>各种敷设方式也可按每米一个固定点固定。</w:t>
      </w:r>
    </w:p>
    <w:p w14:paraId="48AD5A00">
      <w:pPr>
        <w:numPr>
          <w:ilvl w:val="1"/>
          <w:numId w:val="141"/>
        </w:numPr>
        <w:ind w:firstLine="480"/>
        <w:rPr>
          <w:highlight w:val="none"/>
        </w:rPr>
      </w:pPr>
      <w:r>
        <w:rPr>
          <w:highlight w:val="none"/>
        </w:rPr>
        <w:t>电缆敷设时，在转弯处、中间联接器两侧，有条件固定的应加以固定。</w:t>
      </w:r>
    </w:p>
    <w:p w14:paraId="13E38FCD">
      <w:pPr>
        <w:numPr>
          <w:ilvl w:val="1"/>
          <w:numId w:val="141"/>
        </w:numPr>
        <w:ind w:firstLine="480"/>
        <w:rPr>
          <w:highlight w:val="none"/>
        </w:rPr>
      </w:pPr>
      <w:r>
        <w:rPr>
          <w:highlight w:val="none"/>
        </w:rPr>
        <w:t>单芯电缆敷设时，每路电缆之间留有不少于电缆外径的2倍间隙，如不留间隙，则应考虑载流量减少系数。</w:t>
      </w:r>
    </w:p>
    <w:p w14:paraId="782CF505">
      <w:pPr>
        <w:numPr>
          <w:ilvl w:val="1"/>
          <w:numId w:val="141"/>
        </w:numPr>
        <w:ind w:firstLine="480"/>
        <w:rPr>
          <w:highlight w:val="none"/>
        </w:rPr>
      </w:pPr>
      <w:r>
        <w:rPr>
          <w:highlight w:val="none"/>
        </w:rPr>
        <w:t>对电缆在运行中可能遭受机械损伤的部位，应采取适当的保护措施。</w:t>
      </w:r>
    </w:p>
    <w:p w14:paraId="517B9A46">
      <w:pPr>
        <w:numPr>
          <w:ilvl w:val="1"/>
          <w:numId w:val="141"/>
        </w:numPr>
        <w:ind w:firstLine="480"/>
        <w:rPr>
          <w:highlight w:val="none"/>
        </w:rPr>
      </w:pPr>
      <w:r>
        <w:rPr>
          <w:highlight w:val="none"/>
        </w:rPr>
        <w:t>单芯电缆敷设时，应逐根敷设，待每组布齐并矫直后，再做排列绑扎，绑扎间距以1~1.5m为宜。</w:t>
      </w:r>
    </w:p>
    <w:p w14:paraId="692F7FE7">
      <w:pPr>
        <w:numPr>
          <w:ilvl w:val="1"/>
          <w:numId w:val="141"/>
        </w:numPr>
        <w:ind w:firstLine="480"/>
        <w:rPr>
          <w:highlight w:val="none"/>
        </w:rPr>
      </w:pPr>
      <w:r>
        <w:rPr>
          <w:highlight w:val="none"/>
        </w:rPr>
        <w:t>当电缆在对铜护套有腐蚀作用的环境中敷设时，或在部分埋地或穿管敷设时，应采用有聚氯乙烯外护套的电缆。</w:t>
      </w:r>
    </w:p>
    <w:p w14:paraId="4B0ECFAB">
      <w:pPr>
        <w:numPr>
          <w:ilvl w:val="1"/>
          <w:numId w:val="141"/>
        </w:numPr>
        <w:ind w:firstLine="480"/>
        <w:rPr>
          <w:highlight w:val="none"/>
        </w:rPr>
      </w:pPr>
      <w:r>
        <w:rPr>
          <w:highlight w:val="none"/>
        </w:rPr>
        <w:t>单芯电缆不允许单独穿金属管道敷设。</w:t>
      </w:r>
    </w:p>
    <w:p w14:paraId="5E1C27A4">
      <w:pPr>
        <w:numPr>
          <w:ilvl w:val="1"/>
          <w:numId w:val="141"/>
        </w:numPr>
        <w:ind w:firstLine="480"/>
        <w:rPr>
          <w:highlight w:val="none"/>
        </w:rPr>
      </w:pPr>
      <w:r>
        <w:rPr>
          <w:highlight w:val="none"/>
        </w:rPr>
        <w:t>在布线过程中，电缆锯断后应立即对其端部进行临时性封端。</w:t>
      </w:r>
    </w:p>
    <w:p w14:paraId="63A676C5">
      <w:pPr>
        <w:numPr>
          <w:ilvl w:val="1"/>
          <w:numId w:val="141"/>
        </w:numPr>
        <w:ind w:firstLine="480"/>
        <w:rPr>
          <w:highlight w:val="none"/>
        </w:rPr>
      </w:pPr>
      <w:r>
        <w:rPr>
          <w:highlight w:val="none"/>
        </w:rPr>
        <w:t>电缆终端、中间联接器、敷设配件及施工专用工具应由电缆生产厂家配套供应。</w:t>
      </w:r>
    </w:p>
    <w:p w14:paraId="366B3331">
      <w:pPr>
        <w:numPr>
          <w:ilvl w:val="1"/>
          <w:numId w:val="141"/>
        </w:numPr>
        <w:ind w:firstLine="480"/>
        <w:rPr>
          <w:highlight w:val="none"/>
        </w:rPr>
      </w:pPr>
      <w:r>
        <w:rPr>
          <w:highlight w:val="none"/>
        </w:rPr>
        <w:t>电缆终端、中间联接器的安装，应严格按照电缆生产厂家推荐的安装工艺、规格和规范施工。</w:t>
      </w:r>
    </w:p>
    <w:p w14:paraId="57298BDF">
      <w:pPr>
        <w:numPr>
          <w:ilvl w:val="1"/>
          <w:numId w:val="141"/>
        </w:numPr>
        <w:ind w:firstLine="480"/>
        <w:rPr>
          <w:highlight w:val="none"/>
        </w:rPr>
      </w:pPr>
      <w:r>
        <w:rPr>
          <w:highlight w:val="none"/>
        </w:rPr>
        <w:t>由于电缆的绝缘材料（氧化镁）在空气中易吸潮，施工时应做好防潮措施。当发现有潮气侵入电缆端部，可剪去受潮段；也可以用喷灯火焰直接对电缆受潮段进行加热驱潮，必须将火焰移向电缆终端，直到用1000V兆欧表检测电缆的绝缘电阻达到200MΩ以上，才能进行安装终端和中间联接器。</w:t>
      </w:r>
    </w:p>
    <w:p w14:paraId="02346AAB">
      <w:pPr>
        <w:numPr>
          <w:ilvl w:val="1"/>
          <w:numId w:val="141"/>
        </w:numPr>
        <w:ind w:firstLine="480"/>
        <w:rPr>
          <w:highlight w:val="none"/>
        </w:rPr>
      </w:pPr>
      <w:r>
        <w:rPr>
          <w:highlight w:val="none"/>
        </w:rPr>
        <w:t>在终端、中间联接器的安装过程中，要多次及时的测量电缆的绝缘电阻值，因安装时电缆受潮，或金属碎屑未清除干净，均可能造成绝缘不合格。</w:t>
      </w:r>
    </w:p>
    <w:p w14:paraId="3486A74E">
      <w:pPr>
        <w:numPr>
          <w:ilvl w:val="1"/>
          <w:numId w:val="141"/>
        </w:numPr>
        <w:ind w:firstLine="480"/>
        <w:rPr>
          <w:highlight w:val="none"/>
        </w:rPr>
      </w:pPr>
      <w:r>
        <w:rPr>
          <w:highlight w:val="none"/>
        </w:rPr>
        <w:t>电缆终端、中间联接器的导线连接，可选用围压、点压、螺母压装、螺丝压接、压板压接等多种连接方式。</w:t>
      </w:r>
    </w:p>
    <w:p w14:paraId="7A74D442">
      <w:pPr>
        <w:numPr>
          <w:ilvl w:val="1"/>
          <w:numId w:val="141"/>
        </w:numPr>
        <w:ind w:firstLine="480"/>
        <w:rPr>
          <w:highlight w:val="none"/>
        </w:rPr>
      </w:pPr>
      <w:r>
        <w:rPr>
          <w:highlight w:val="none"/>
        </w:rPr>
        <w:t>电缆的终端应牢固可靠地固定在电气设备上。</w:t>
      </w:r>
    </w:p>
    <w:p w14:paraId="6701CB98">
      <w:pPr>
        <w:numPr>
          <w:ilvl w:val="1"/>
          <w:numId w:val="141"/>
        </w:numPr>
        <w:ind w:firstLine="480"/>
        <w:rPr>
          <w:highlight w:val="none"/>
        </w:rPr>
      </w:pPr>
      <w:r>
        <w:rPr>
          <w:highlight w:val="none"/>
        </w:rPr>
        <w:t>电缆平行敷设时，如有多支中间联接器，其位置应相互错开。</w:t>
      </w:r>
    </w:p>
    <w:p w14:paraId="3793754D">
      <w:pPr>
        <w:numPr>
          <w:ilvl w:val="1"/>
          <w:numId w:val="141"/>
        </w:numPr>
        <w:ind w:firstLine="480"/>
        <w:rPr>
          <w:highlight w:val="none"/>
        </w:rPr>
      </w:pPr>
      <w:r>
        <w:rPr>
          <w:highlight w:val="none"/>
        </w:rPr>
        <w:t>终端的芯线相序应连接正确，色标明显。</w:t>
      </w:r>
    </w:p>
    <w:p w14:paraId="5DD79D95">
      <w:pPr>
        <w:numPr>
          <w:ilvl w:val="1"/>
          <w:numId w:val="141"/>
        </w:numPr>
        <w:ind w:firstLine="480"/>
        <w:rPr>
          <w:highlight w:val="none"/>
        </w:rPr>
      </w:pPr>
      <w:r>
        <w:rPr>
          <w:highlight w:val="none"/>
        </w:rPr>
        <w:t>每路电缆的终端、中间联接器安装施工完后，应经绝缘电阻测试达100MΩ以上才能交付使用。</w:t>
      </w:r>
    </w:p>
    <w:p w14:paraId="484755C8">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.3.10电缆敷设</w:t>
      </w:r>
    </w:p>
    <w:p w14:paraId="2E055D55">
      <w:pPr>
        <w:numPr>
          <w:ilvl w:val="1"/>
          <w:numId w:val="142"/>
        </w:numPr>
        <w:ind w:firstLine="480"/>
        <w:rPr>
          <w:highlight w:val="none"/>
        </w:rPr>
      </w:pPr>
      <w:r>
        <w:rPr>
          <w:rFonts w:hint="eastAsia"/>
          <w:highlight w:val="none"/>
        </w:rPr>
        <w:t>对敷设距离较长，难度较大，宜采用机械敷设。电缆敷设线路较短，可采用人力敷设。</w:t>
      </w:r>
    </w:p>
    <w:p w14:paraId="4A2612DE">
      <w:pPr>
        <w:numPr>
          <w:ilvl w:val="1"/>
          <w:numId w:val="142"/>
        </w:numPr>
        <w:ind w:firstLine="480"/>
        <w:rPr>
          <w:highlight w:val="none"/>
        </w:rPr>
      </w:pPr>
      <w:r>
        <w:rPr>
          <w:rFonts w:hint="eastAsia"/>
          <w:highlight w:val="none"/>
        </w:rPr>
        <w:t>桥架内电缆应排列整齐，固定点一致。在水平方向以尼龙带扣将电缆束牢。</w:t>
      </w:r>
      <w:r>
        <w:rPr>
          <w:highlight w:val="none"/>
        </w:rPr>
        <w:t xml:space="preserve"> </w:t>
      </w:r>
      <w:r>
        <w:rPr>
          <w:rFonts w:hint="eastAsia"/>
          <w:highlight w:val="none"/>
        </w:rPr>
        <w:t>在垂直方向敷设的电缆上以批准的电缆夹或鞍型夹固定。不得将一个以上的单芯电缆回路或一回以上多芯电缆敷设在一起。单芯电缆回路或多芯电缆间至少相隔等于相邻电缆群中最大电缆直径之两倍。电缆穿过楼板和墙壁处须以批准的防火材料将电缆孔封闭，以保持与所穿过的楼板和墙壁相同的耐火等级。</w:t>
      </w:r>
    </w:p>
    <w:p w14:paraId="4CA50530">
      <w:pPr>
        <w:numPr>
          <w:ilvl w:val="1"/>
          <w:numId w:val="142"/>
        </w:numPr>
        <w:ind w:firstLine="480"/>
        <w:rPr>
          <w:highlight w:val="none"/>
        </w:rPr>
      </w:pPr>
      <w:r>
        <w:rPr>
          <w:rFonts w:hint="eastAsia"/>
          <w:highlight w:val="none"/>
        </w:rPr>
        <w:t>电缆头制作：所有接线端子均采用紧压铜端子，端子与电缆线芯截面相匹配，铜端子的压接采用手动式液压压接钳，采用热缩头、热缩管作为电缆头绝缘保护。电缆终端制作好，与配电柜连接前要进行绝缘测试，以确认绝缘强度符合要求。同时电缆要作好回路标注和相色标记。电缆的裁减长度要合适，保证电缆与配电柜母线或接线端连接后不产生过大的机械应力。连接前，对搭接面进行清洁处理，同时涂抹适量的电力复合脂，确保连接和导电性能可靠。</w:t>
      </w:r>
    </w:p>
    <w:p w14:paraId="08A7B40E">
      <w:pPr>
        <w:numPr>
          <w:ilvl w:val="1"/>
          <w:numId w:val="142"/>
        </w:numPr>
        <w:ind w:firstLine="480"/>
        <w:rPr>
          <w:highlight w:val="none"/>
        </w:rPr>
      </w:pPr>
      <w:r>
        <w:rPr>
          <w:rFonts w:hint="eastAsia"/>
          <w:highlight w:val="none"/>
        </w:rPr>
        <w:t>电缆的标识：沿电缆桥架敷设的电缆在其两端、拐弯处、交叉处应挂标志牌，直线段每间隔</w:t>
      </w:r>
      <w:r>
        <w:rPr>
          <w:highlight w:val="none"/>
        </w:rPr>
        <w:t>20m增设标志牌。电缆标识须由椭圆形的PVC标记，穿标记带及尼龙扎带组成。整个标志须能耐70℃的温度。挂设应牢固。标志牌上应注明电缆编号、规格、型号、电压等级及起始位置。</w:t>
      </w:r>
    </w:p>
    <w:p w14:paraId="429E738E">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.3.11设备接线</w:t>
      </w:r>
    </w:p>
    <w:p w14:paraId="55C55759">
      <w:pPr>
        <w:numPr>
          <w:ilvl w:val="1"/>
          <w:numId w:val="143"/>
        </w:numPr>
        <w:ind w:firstLine="480"/>
        <w:rPr>
          <w:highlight w:val="none"/>
        </w:rPr>
      </w:pPr>
      <w:r>
        <w:rPr>
          <w:rFonts w:hint="eastAsia"/>
          <w:highlight w:val="none"/>
        </w:rPr>
        <w:t>配电系统接线应按图施工，接线正确；导线与电器元件间的连接应牢固可靠；箱、柜内的导线不应有接头，导线芯线应无损伤。</w:t>
      </w:r>
    </w:p>
    <w:p w14:paraId="78F20A7F">
      <w:pPr>
        <w:numPr>
          <w:ilvl w:val="1"/>
          <w:numId w:val="143"/>
        </w:numPr>
        <w:ind w:firstLine="480"/>
        <w:rPr>
          <w:highlight w:val="none"/>
        </w:rPr>
      </w:pPr>
      <w:r>
        <w:rPr>
          <w:rFonts w:hint="eastAsia"/>
          <w:highlight w:val="none"/>
        </w:rPr>
        <w:t>电缆芯线和所配导线的端部均应标明其回路编号，编号应正确，字迹清晰且不宜脱色；配线应整齐、清晰、美观，导线绝缘应良好，无损伤；每个接线端子的每侧接线宜为</w:t>
      </w:r>
      <w:r>
        <w:rPr>
          <w:highlight w:val="none"/>
        </w:rPr>
        <w:t>1根，不得超过2根；接线应设专用螺栓。</w:t>
      </w:r>
    </w:p>
    <w:p w14:paraId="0717BF7D">
      <w:pPr>
        <w:numPr>
          <w:ilvl w:val="1"/>
          <w:numId w:val="143"/>
        </w:numPr>
        <w:ind w:firstLine="480"/>
        <w:rPr>
          <w:highlight w:val="none"/>
        </w:rPr>
      </w:pPr>
      <w:r>
        <w:rPr>
          <w:rFonts w:hint="eastAsia"/>
          <w:highlight w:val="none"/>
        </w:rPr>
        <w:t>引入箱、柜内的电缆及其芯线符合下列要求：引入箱、柜的电缆应排列整齐，编号清晰，避免交叉，并固定牢固，不得使所接的端子排受到机械应力；箱、柜内的电缆芯线，应按垂直或水平有规律地配置，不得任意歪斜交叉连接。备用芯线长度应留有适当余量。</w:t>
      </w:r>
    </w:p>
    <w:p w14:paraId="1C5817BB">
      <w:pPr>
        <w:numPr>
          <w:ilvl w:val="1"/>
          <w:numId w:val="143"/>
        </w:numPr>
        <w:ind w:firstLine="480"/>
        <w:rPr>
          <w:highlight w:val="none"/>
        </w:rPr>
      </w:pPr>
      <w:r>
        <w:rPr>
          <w:rFonts w:hint="eastAsia"/>
          <w:highlight w:val="none"/>
        </w:rPr>
        <w:t>现场电气接线：灯具、插座、开关等的现场接线应严格按照施工规范要求进行，接线牢固、连接可靠。</w:t>
      </w:r>
    </w:p>
    <w:p w14:paraId="4D2B5E84">
      <w:pPr>
        <w:numPr>
          <w:ilvl w:val="1"/>
          <w:numId w:val="143"/>
        </w:numPr>
        <w:ind w:firstLine="480"/>
        <w:rPr>
          <w:highlight w:val="none"/>
        </w:rPr>
      </w:pPr>
      <w:r>
        <w:rPr>
          <w:highlight w:val="none"/>
        </w:rPr>
        <w:t>控制电缆进出配电箱柜需设置橡胶防护胶套，防止划伤电缆、电线外径；</w:t>
      </w:r>
    </w:p>
    <w:p w14:paraId="05181059">
      <w:pPr>
        <w:numPr>
          <w:ilvl w:val="1"/>
          <w:numId w:val="143"/>
        </w:numPr>
        <w:ind w:firstLine="480"/>
        <w:rPr>
          <w:highlight w:val="none"/>
        </w:rPr>
      </w:pPr>
      <w:r>
        <w:rPr>
          <w:highlight w:val="none"/>
        </w:rPr>
        <w:t>控制电缆在配电箱内配线整齐，绑扎成束，无绞接现象，回路编号、标识清晰。</w:t>
      </w:r>
    </w:p>
    <w:p w14:paraId="5FFBF221">
      <w:pPr>
        <w:pStyle w:val="5"/>
        <w:numPr>
          <w:ilvl w:val="2"/>
          <w:numId w:val="0"/>
        </w:numPr>
        <w:ind w:left="624" w:hanging="624"/>
        <w:rPr>
          <w:highlight w:val="none"/>
        </w:rPr>
      </w:pPr>
      <w:bookmarkStart w:id="872" w:name="_Toc9114"/>
      <w:r>
        <w:rPr>
          <w:rFonts w:hint="eastAsia"/>
          <w:highlight w:val="none"/>
        </w:rPr>
        <w:t>7.1</w:t>
      </w:r>
      <w:r>
        <w:rPr>
          <w:rFonts w:hint="eastAsia"/>
          <w:highlight w:val="none"/>
          <w:lang w:val="en-US" w:eastAsia="zh-CN"/>
        </w:rPr>
        <w:t>2</w:t>
      </w:r>
      <w:r>
        <w:rPr>
          <w:rFonts w:hint="eastAsia"/>
          <w:highlight w:val="none"/>
        </w:rPr>
        <w:t>.4机电工程的调试、试运行</w:t>
      </w:r>
      <w:bookmarkEnd w:id="872"/>
    </w:p>
    <w:p w14:paraId="30593DDC">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.4.1动力系统安装调试</w:t>
      </w:r>
    </w:p>
    <w:p w14:paraId="5CBE65FF">
      <w:pPr>
        <w:numPr>
          <w:ilvl w:val="1"/>
          <w:numId w:val="144"/>
        </w:numPr>
        <w:ind w:firstLine="480"/>
        <w:rPr>
          <w:highlight w:val="none"/>
        </w:rPr>
      </w:pPr>
      <w:r>
        <w:rPr>
          <w:rFonts w:hint="eastAsia"/>
          <w:highlight w:val="none"/>
        </w:rPr>
        <w:t>在封闭母线安装完毕，应进行下列检查：绝缘子的绝缘电阻测量和套管的绝缘电阻测量。</w:t>
      </w:r>
    </w:p>
    <w:p w14:paraId="57D23FD5">
      <w:pPr>
        <w:numPr>
          <w:ilvl w:val="1"/>
          <w:numId w:val="144"/>
        </w:numPr>
        <w:ind w:firstLine="480"/>
        <w:rPr>
          <w:highlight w:val="none"/>
        </w:rPr>
      </w:pPr>
      <w:r>
        <w:rPr>
          <w:rFonts w:hint="eastAsia"/>
          <w:highlight w:val="none"/>
        </w:rPr>
        <w:t>动力电缆：测量电缆线芯对地或对金属屏蔽层间和各线芯间的绝缘电阻，电缆直流耐压试验和直流泄露试验。电缆相位检查、电缆头制作应符合规范要求。</w:t>
      </w:r>
    </w:p>
    <w:p w14:paraId="225C4556">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.4.2电机</w:t>
      </w:r>
    </w:p>
    <w:p w14:paraId="5441E0C9">
      <w:pPr>
        <w:ind w:firstLine="480"/>
        <w:rPr>
          <w:highlight w:val="none"/>
        </w:rPr>
      </w:pPr>
      <w:r>
        <w:rPr>
          <w:rFonts w:hint="eastAsia"/>
          <w:highlight w:val="none"/>
        </w:rPr>
        <w:t>电机试运行前应测试其线圈阻值符合说明书之要求。检查电刷与换向器或滑环接触是否良好，转子是否灵活，引出线相位是否正确，连接是否牢固。电机每次启动应为空载运行，运行时间为</w:t>
      </w:r>
      <w:r>
        <w:rPr>
          <w:highlight w:val="none"/>
        </w:rPr>
        <w:t>2小时。试运时，如发现旋向不对，换向器、滑环及电刷工作不正常，电机温升过高，电机振动过大，应立即停机检修。电机空载运行正常，无异常现象，才能投入负载运行。</w:t>
      </w:r>
    </w:p>
    <w:p w14:paraId="630FF9BD">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.4.3通电试运行</w:t>
      </w:r>
    </w:p>
    <w:p w14:paraId="48CF285E">
      <w:pPr>
        <w:ind w:firstLine="480"/>
        <w:rPr>
          <w:highlight w:val="none"/>
        </w:rPr>
      </w:pPr>
      <w:r>
        <w:rPr>
          <w:rFonts w:hint="eastAsia"/>
          <w:highlight w:val="none"/>
        </w:rPr>
        <w:t>变压器通电试运行前应做好全面检查，确认符合试运行条件时，方可投入运行。</w:t>
      </w:r>
    </w:p>
    <w:p w14:paraId="2CDBD3D8">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.4.4给水系统调试</w:t>
      </w:r>
    </w:p>
    <w:p w14:paraId="2C47DE9F">
      <w:pPr>
        <w:spacing w:before="120" w:beforeLines="50" w:after="120" w:afterLines="50"/>
        <w:ind w:firstLine="849" w:firstLineChars="354"/>
        <w:rPr>
          <w:highlight w:val="none"/>
        </w:rPr>
      </w:pPr>
      <w:r>
        <w:rPr>
          <w:rFonts w:hint="eastAsia"/>
          <w:highlight w:val="none"/>
        </w:rPr>
        <w:t>给水系统调试主要内容是管道系统试压、冲洗、消毒试验，通水能力检查。</w:t>
      </w:r>
    </w:p>
    <w:p w14:paraId="036A3A4F">
      <w:pPr>
        <w:numPr>
          <w:ilvl w:val="1"/>
          <w:numId w:val="145"/>
        </w:numPr>
        <w:spacing w:before="120" w:beforeLines="50" w:after="120" w:afterLines="50"/>
        <w:ind w:left="425" w:leftChars="177" w:firstLine="480"/>
        <w:rPr>
          <w:bCs/>
          <w:highlight w:val="none"/>
        </w:rPr>
      </w:pPr>
      <w:r>
        <w:rPr>
          <w:rFonts w:hint="eastAsia"/>
          <w:bCs/>
          <w:highlight w:val="none"/>
        </w:rPr>
        <w:t>系统试压</w:t>
      </w:r>
    </w:p>
    <w:p w14:paraId="5A5348A9">
      <w:pPr>
        <w:numPr>
          <w:ilvl w:val="0"/>
          <w:numId w:val="146"/>
        </w:numPr>
        <w:ind w:firstLine="480"/>
        <w:rPr>
          <w:highlight w:val="none"/>
        </w:rPr>
      </w:pPr>
      <w:r>
        <w:rPr>
          <w:rFonts w:hint="eastAsia"/>
          <w:highlight w:val="none"/>
        </w:rPr>
        <w:t>灌水前的检查工作：检查全系统管路、设备、阀件、支架等必修安装无误。各连接处均无遗漏；检查全系统试压的实际情况，检查系统上各类阀门的开、关状态，不得漏检，保证各用水点的阀门全部关闭严密；检查试压用的压力表灵敏度；水压试验系统中的阀门都处于全关闭状态，待试压中需要开启时再打开，控制阀门打开后，派专人巡视。</w:t>
      </w:r>
    </w:p>
    <w:p w14:paraId="2EA5FD60">
      <w:pPr>
        <w:numPr>
          <w:ilvl w:val="0"/>
          <w:numId w:val="146"/>
        </w:numPr>
        <w:ind w:firstLine="480"/>
        <w:rPr>
          <w:highlight w:val="none"/>
        </w:rPr>
      </w:pPr>
      <w:r>
        <w:rPr>
          <w:rFonts w:hint="eastAsia"/>
          <w:highlight w:val="none"/>
        </w:rPr>
        <w:t>向管道系统注水：用生活水泵从下往上向系统送水，注水时，应该将楼内给水系统最高点的阀门打开，并安排专人进行看守；待管道系统内的空气全部排净见水后，才可将阀门关闭，此时表明管道系统注水已满（应反复关闭数次进行验证）。</w:t>
      </w:r>
    </w:p>
    <w:p w14:paraId="6E929F8C">
      <w:pPr>
        <w:numPr>
          <w:ilvl w:val="0"/>
          <w:numId w:val="146"/>
        </w:numPr>
        <w:ind w:firstLine="480"/>
        <w:rPr>
          <w:highlight w:val="none"/>
        </w:rPr>
      </w:pPr>
      <w:r>
        <w:rPr>
          <w:rFonts w:hint="eastAsia"/>
          <w:highlight w:val="none"/>
        </w:rPr>
        <w:t>向管道系统加压：管道系统注满水后，启动加压泵使系统水压逐渐升高，先升至工作压力，停泵检查，观察各部位无破裂、无渗漏时，再将压力升至试验压力</w:t>
      </w:r>
      <w:r>
        <w:rPr>
          <w:highlight w:val="none"/>
        </w:rPr>
        <w:t xml:space="preserve"> (工作压力的1.5倍)，并稳压10</w:t>
      </w:r>
      <w:r>
        <w:rPr>
          <w:rFonts w:hint="eastAsia"/>
          <w:highlight w:val="none"/>
        </w:rPr>
        <w:t>分钟</w:t>
      </w:r>
      <w:r>
        <w:rPr>
          <w:highlight w:val="none"/>
        </w:rPr>
        <w:t>，压力降不大于0.02</w:t>
      </w:r>
      <w:r>
        <w:rPr>
          <w:rFonts w:hint="eastAsia"/>
          <w:highlight w:val="none"/>
        </w:rPr>
        <w:t xml:space="preserve"> </w:t>
      </w:r>
      <w:r>
        <w:rPr>
          <w:highlight w:val="none"/>
        </w:rPr>
        <w:t>MPa，表明系统强度试验合格。然后再将试验压力缓慢降至工作压力，保持压力不小于2小时，压力不下降并且管道各连接处无渗漏现象，试压合格。</w:t>
      </w:r>
    </w:p>
    <w:p w14:paraId="62F93A46">
      <w:pPr>
        <w:numPr>
          <w:ilvl w:val="0"/>
          <w:numId w:val="146"/>
        </w:numPr>
        <w:ind w:firstLine="480"/>
        <w:rPr>
          <w:highlight w:val="none"/>
        </w:rPr>
      </w:pPr>
      <w:r>
        <w:rPr>
          <w:rFonts w:hint="eastAsia"/>
          <w:highlight w:val="none"/>
        </w:rPr>
        <w:t>泄水：系统试压合格后，放掉管道内的全部存水，特别注意将系统低处的存水泄掉。</w:t>
      </w:r>
    </w:p>
    <w:p w14:paraId="322667AB">
      <w:pPr>
        <w:numPr>
          <w:ilvl w:val="1"/>
          <w:numId w:val="145"/>
        </w:numPr>
        <w:ind w:firstLine="480"/>
        <w:rPr>
          <w:highlight w:val="none"/>
        </w:rPr>
      </w:pPr>
      <w:r>
        <w:rPr>
          <w:rFonts w:hint="eastAsia"/>
          <w:highlight w:val="none"/>
        </w:rPr>
        <w:t>冲洗、消毒</w:t>
      </w:r>
    </w:p>
    <w:p w14:paraId="401741D8">
      <w:pPr>
        <w:numPr>
          <w:ilvl w:val="0"/>
          <w:numId w:val="147"/>
        </w:numPr>
        <w:ind w:firstLine="480"/>
        <w:rPr>
          <w:highlight w:val="none"/>
        </w:rPr>
      </w:pPr>
      <w:r>
        <w:rPr>
          <w:rFonts w:hint="eastAsia"/>
          <w:highlight w:val="none"/>
        </w:rPr>
        <w:t>给水系统冲洗应该先冲洗底部干管，后冲洗各环路支管。冲洗前，将管道系统内的止回阀阀芯等拆除，待冲洗合格后重新安上。</w:t>
      </w:r>
    </w:p>
    <w:p w14:paraId="4EBE41EB">
      <w:pPr>
        <w:numPr>
          <w:ilvl w:val="0"/>
          <w:numId w:val="147"/>
        </w:numPr>
        <w:ind w:firstLine="480"/>
        <w:rPr>
          <w:highlight w:val="none"/>
        </w:rPr>
      </w:pPr>
      <w:r>
        <w:rPr>
          <w:rFonts w:hint="eastAsia"/>
          <w:highlight w:val="none"/>
        </w:rPr>
        <w:t>将临时自来水接至供水水平主管向系统供水。关闭其他支管控制阀门，只开启干管末端支管最底层的阀门，由底层放水并引至排水系统内。观察出水口处水质的变化。底层干管冲洗后再依次冲洗各分支。直至全系统管路冲洗完毕为止。</w:t>
      </w:r>
    </w:p>
    <w:p w14:paraId="2E665D22">
      <w:pPr>
        <w:numPr>
          <w:ilvl w:val="0"/>
          <w:numId w:val="147"/>
        </w:numPr>
        <w:ind w:firstLine="480"/>
        <w:rPr>
          <w:highlight w:val="none"/>
        </w:rPr>
      </w:pPr>
      <w:r>
        <w:rPr>
          <w:rFonts w:hint="eastAsia"/>
          <w:highlight w:val="none"/>
        </w:rPr>
        <w:t>冲洗时水压应该大于系统供水工作压力，保证出水口的排水流速</w:t>
      </w:r>
      <w:r>
        <w:rPr>
          <w:highlight w:val="none"/>
        </w:rPr>
        <w:t>υ</w:t>
      </w:r>
      <w:r>
        <w:rPr>
          <w:rFonts w:hint="eastAsia"/>
          <w:highlight w:val="none"/>
        </w:rPr>
        <w:t>≮</w:t>
      </w:r>
      <w:r>
        <w:rPr>
          <w:highlight w:val="none"/>
        </w:rPr>
        <w:t>1.5m/s。</w:t>
      </w:r>
    </w:p>
    <w:p w14:paraId="6F045EF0">
      <w:pPr>
        <w:numPr>
          <w:ilvl w:val="0"/>
          <w:numId w:val="147"/>
        </w:numPr>
        <w:ind w:firstLine="480"/>
        <w:rPr>
          <w:highlight w:val="none"/>
        </w:rPr>
      </w:pPr>
      <w:r>
        <w:rPr>
          <w:rFonts w:hint="eastAsia"/>
          <w:highlight w:val="none"/>
        </w:rPr>
        <w:t>出水口处的管径截面不小于被冲洗管径截面的</w:t>
      </w:r>
      <w:r>
        <w:rPr>
          <w:highlight w:val="none"/>
        </w:rPr>
        <w:t>3/5。</w:t>
      </w:r>
    </w:p>
    <w:p w14:paraId="70B357B2">
      <w:pPr>
        <w:numPr>
          <w:ilvl w:val="0"/>
          <w:numId w:val="147"/>
        </w:numPr>
        <w:ind w:firstLine="480"/>
        <w:rPr>
          <w:highlight w:val="none"/>
        </w:rPr>
      </w:pPr>
      <w:r>
        <w:rPr>
          <w:rFonts w:hint="eastAsia"/>
          <w:highlight w:val="none"/>
        </w:rPr>
        <w:t>冲洗前，结合生活饮用水消毒规定，先进行处理，即用每升水中含</w:t>
      </w:r>
      <w:r>
        <w:rPr>
          <w:highlight w:val="none"/>
        </w:rPr>
        <w:t>20~30mg游离氯的水灌满管道，并在管中留置24</w:t>
      </w:r>
      <w:r>
        <w:rPr>
          <w:rFonts w:hint="eastAsia"/>
          <w:highlight w:val="none"/>
        </w:rPr>
        <w:t>小时</w:t>
      </w:r>
      <w:r>
        <w:rPr>
          <w:highlight w:val="none"/>
        </w:rPr>
        <w:t>以上，然后再进行冲洗。</w:t>
      </w:r>
    </w:p>
    <w:p w14:paraId="3C54C0E8">
      <w:pPr>
        <w:numPr>
          <w:ilvl w:val="1"/>
          <w:numId w:val="145"/>
        </w:numPr>
        <w:ind w:firstLine="480"/>
        <w:rPr>
          <w:highlight w:val="none"/>
        </w:rPr>
      </w:pPr>
      <w:r>
        <w:rPr>
          <w:rFonts w:hint="eastAsia"/>
          <w:highlight w:val="none"/>
        </w:rPr>
        <w:t>系统通水能力：室内生活通水能力检查，按设计要求同时开放最大数量配水点是否全部达到额定流量。</w:t>
      </w:r>
    </w:p>
    <w:p w14:paraId="3006CD50">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.4.5排水系统调试</w:t>
      </w:r>
    </w:p>
    <w:p w14:paraId="54599B2E">
      <w:pPr>
        <w:spacing w:before="120" w:beforeLines="50" w:after="120" w:afterLines="50"/>
        <w:ind w:left="851" w:firstLine="0" w:firstLineChars="0"/>
        <w:rPr>
          <w:highlight w:val="none"/>
        </w:rPr>
      </w:pPr>
      <w:r>
        <w:rPr>
          <w:rFonts w:hint="eastAsia"/>
          <w:highlight w:val="none"/>
        </w:rPr>
        <w:t>排水系统调试主要内容为排水管道系统的灌水、通球、通水试验。</w:t>
      </w:r>
    </w:p>
    <w:p w14:paraId="7DBF4507">
      <w:pPr>
        <w:numPr>
          <w:ilvl w:val="1"/>
          <w:numId w:val="148"/>
        </w:numPr>
        <w:ind w:firstLine="480"/>
        <w:rPr>
          <w:highlight w:val="none"/>
        </w:rPr>
      </w:pPr>
      <w:r>
        <w:rPr>
          <w:rFonts w:hint="eastAsia"/>
          <w:highlight w:val="none"/>
        </w:rPr>
        <w:t>排水管道的灌水试验在施工过程中需按照规范要求进行。</w:t>
      </w:r>
    </w:p>
    <w:p w14:paraId="7EF38F7F">
      <w:pPr>
        <w:numPr>
          <w:ilvl w:val="1"/>
          <w:numId w:val="148"/>
        </w:numPr>
        <w:ind w:firstLine="480"/>
        <w:rPr>
          <w:highlight w:val="none"/>
        </w:rPr>
      </w:pPr>
      <w:r>
        <w:rPr>
          <w:rFonts w:hint="eastAsia"/>
          <w:highlight w:val="none"/>
        </w:rPr>
        <w:t>通球试验：通球的直径不小于排水管道管径的</w:t>
      </w:r>
      <w:r>
        <w:rPr>
          <w:highlight w:val="none"/>
        </w:rPr>
        <w:t>2/3，通球率必须达到100%。</w:t>
      </w:r>
    </w:p>
    <w:p w14:paraId="43DF23A5">
      <w:pPr>
        <w:numPr>
          <w:ilvl w:val="1"/>
          <w:numId w:val="148"/>
        </w:numPr>
        <w:ind w:firstLine="480"/>
        <w:rPr>
          <w:highlight w:val="none"/>
        </w:rPr>
      </w:pPr>
      <w:r>
        <w:rPr>
          <w:rFonts w:hint="eastAsia"/>
          <w:highlight w:val="none"/>
        </w:rPr>
        <w:t>通水试验步骤：</w:t>
      </w:r>
    </w:p>
    <w:p w14:paraId="049885B8">
      <w:pPr>
        <w:numPr>
          <w:ilvl w:val="0"/>
          <w:numId w:val="149"/>
        </w:numPr>
        <w:ind w:firstLine="480"/>
        <w:rPr>
          <w:highlight w:val="none"/>
        </w:rPr>
      </w:pPr>
      <w:r>
        <w:rPr>
          <w:rFonts w:hint="eastAsia"/>
          <w:highlight w:val="none"/>
        </w:rPr>
        <w:t>检查各排水系统，均应与室外排水系统接通，并可以向室外排水。</w:t>
      </w:r>
    </w:p>
    <w:p w14:paraId="5F2AF486">
      <w:pPr>
        <w:numPr>
          <w:ilvl w:val="0"/>
          <w:numId w:val="149"/>
        </w:numPr>
        <w:ind w:firstLine="480"/>
        <w:rPr>
          <w:highlight w:val="none"/>
        </w:rPr>
      </w:pPr>
      <w:r>
        <w:rPr>
          <w:rFonts w:hint="eastAsia"/>
          <w:highlight w:val="none"/>
        </w:rPr>
        <w:t>将排水立管进行编号，逐步开启各路排水立管顶层各配水阀件至最大水量，使其处于向对应的排水点排水状态。</w:t>
      </w:r>
    </w:p>
    <w:p w14:paraId="4C4BFB06">
      <w:pPr>
        <w:numPr>
          <w:ilvl w:val="0"/>
          <w:numId w:val="149"/>
        </w:numPr>
        <w:ind w:firstLine="480"/>
        <w:rPr>
          <w:highlight w:val="none"/>
        </w:rPr>
      </w:pPr>
      <w:r>
        <w:rPr>
          <w:rFonts w:hint="eastAsia"/>
          <w:highlight w:val="none"/>
        </w:rPr>
        <w:t>检查排水立管从顶层到第一排水检查井各管段及排水点，对渗漏和排水不畅处，进行及时处理，再次通水检查。</w:t>
      </w:r>
    </w:p>
    <w:p w14:paraId="233D3E53">
      <w:pPr>
        <w:numPr>
          <w:ilvl w:val="0"/>
          <w:numId w:val="149"/>
        </w:numPr>
        <w:ind w:firstLine="480"/>
        <w:rPr>
          <w:highlight w:val="none"/>
        </w:rPr>
      </w:pPr>
      <w:r>
        <w:rPr>
          <w:rFonts w:hint="eastAsia"/>
          <w:highlight w:val="none"/>
        </w:rPr>
        <w:t>检查室内排水系统，设计要求同时开放的最大的数量配水点是否达到额定流量。</w:t>
      </w:r>
    </w:p>
    <w:p w14:paraId="434AD14B">
      <w:pPr>
        <w:numPr>
          <w:ilvl w:val="0"/>
          <w:numId w:val="149"/>
        </w:numPr>
        <w:ind w:firstLine="480"/>
        <w:rPr>
          <w:highlight w:val="none"/>
        </w:rPr>
      </w:pPr>
      <w:r>
        <w:rPr>
          <w:rFonts w:hint="eastAsia"/>
          <w:highlight w:val="none"/>
        </w:rPr>
        <w:t>将室内排水系统，按给水系统的</w:t>
      </w:r>
      <w:r>
        <w:rPr>
          <w:highlight w:val="none"/>
        </w:rPr>
        <w:t>1/3配水点同时开放，检查各排水点是否畅通，接口处有无渗漏。</w:t>
      </w:r>
    </w:p>
    <w:p w14:paraId="3CA71CEB">
      <w:pPr>
        <w:pStyle w:val="6"/>
        <w:numPr>
          <w:ilvl w:val="3"/>
          <w:numId w:val="0"/>
        </w:numPr>
        <w:ind w:left="864" w:leftChars="100" w:hanging="624"/>
        <w:rPr>
          <w:highlight w:val="none"/>
        </w:rPr>
      </w:pPr>
      <w:r>
        <w:rPr>
          <w:rFonts w:hint="eastAsia"/>
          <w:highlight w:val="none"/>
        </w:rPr>
        <w:t>7.1</w:t>
      </w:r>
      <w:r>
        <w:rPr>
          <w:rFonts w:hint="eastAsia"/>
          <w:highlight w:val="none"/>
          <w:lang w:val="en-US" w:eastAsia="zh-CN"/>
        </w:rPr>
        <w:t>2</w:t>
      </w:r>
      <w:r>
        <w:rPr>
          <w:rFonts w:hint="eastAsia"/>
          <w:highlight w:val="none"/>
        </w:rPr>
        <w:t>.4.6水泵等设备调试</w:t>
      </w:r>
    </w:p>
    <w:p w14:paraId="05134E68">
      <w:pPr>
        <w:numPr>
          <w:ilvl w:val="1"/>
          <w:numId w:val="150"/>
        </w:numPr>
        <w:ind w:firstLine="480"/>
        <w:rPr>
          <w:highlight w:val="none"/>
        </w:rPr>
      </w:pPr>
      <w:r>
        <w:rPr>
          <w:rFonts w:hint="eastAsia"/>
          <w:highlight w:val="none"/>
        </w:rPr>
        <w:t>试运转前检查</w:t>
      </w:r>
    </w:p>
    <w:p w14:paraId="2746D627">
      <w:pPr>
        <w:numPr>
          <w:ilvl w:val="0"/>
          <w:numId w:val="151"/>
        </w:numPr>
        <w:ind w:firstLine="480"/>
        <w:rPr>
          <w:highlight w:val="none"/>
        </w:rPr>
      </w:pPr>
      <w:r>
        <w:rPr>
          <w:rFonts w:hint="eastAsia"/>
          <w:highlight w:val="none"/>
        </w:rPr>
        <w:t>清洗泵外表，检查泵体有无杂物。</w:t>
      </w:r>
    </w:p>
    <w:p w14:paraId="48211893">
      <w:pPr>
        <w:numPr>
          <w:ilvl w:val="0"/>
          <w:numId w:val="151"/>
        </w:numPr>
        <w:ind w:firstLine="480"/>
        <w:rPr>
          <w:highlight w:val="none"/>
        </w:rPr>
      </w:pPr>
      <w:r>
        <w:rPr>
          <w:rFonts w:hint="eastAsia"/>
          <w:highlight w:val="none"/>
        </w:rPr>
        <w:t>各紧固件连接部位、地脚螺栓的紧固情况，不得有松动情况。</w:t>
      </w:r>
    </w:p>
    <w:p w14:paraId="4338B5EF">
      <w:pPr>
        <w:numPr>
          <w:ilvl w:val="0"/>
          <w:numId w:val="151"/>
        </w:numPr>
        <w:ind w:firstLine="480"/>
        <w:rPr>
          <w:highlight w:val="none"/>
        </w:rPr>
      </w:pPr>
      <w:r>
        <w:rPr>
          <w:rFonts w:hint="eastAsia"/>
          <w:highlight w:val="none"/>
        </w:rPr>
        <w:t>润滑状况良好，润滑油已按规定加入。</w:t>
      </w:r>
    </w:p>
    <w:p w14:paraId="4F8C168C">
      <w:pPr>
        <w:numPr>
          <w:ilvl w:val="0"/>
          <w:numId w:val="151"/>
        </w:numPr>
        <w:ind w:firstLine="480"/>
        <w:rPr>
          <w:highlight w:val="none"/>
        </w:rPr>
      </w:pPr>
      <w:r>
        <w:rPr>
          <w:rFonts w:hint="eastAsia"/>
          <w:highlight w:val="none"/>
        </w:rPr>
        <w:t>附属设备及管路是否冲洗干净，管路是否保持畅通，吸入口有无杂物。</w:t>
      </w:r>
    </w:p>
    <w:p w14:paraId="21E5FF5D">
      <w:pPr>
        <w:numPr>
          <w:ilvl w:val="0"/>
          <w:numId w:val="151"/>
        </w:numPr>
        <w:ind w:firstLine="480"/>
        <w:rPr>
          <w:highlight w:val="none"/>
        </w:rPr>
      </w:pPr>
      <w:r>
        <w:rPr>
          <w:rFonts w:hint="eastAsia"/>
          <w:highlight w:val="none"/>
        </w:rPr>
        <w:t>盘车灵活，声音正常。</w:t>
      </w:r>
    </w:p>
    <w:p w14:paraId="3C2E62D6">
      <w:pPr>
        <w:numPr>
          <w:ilvl w:val="0"/>
          <w:numId w:val="151"/>
        </w:numPr>
        <w:ind w:firstLine="480"/>
        <w:rPr>
          <w:highlight w:val="none"/>
        </w:rPr>
      </w:pPr>
      <w:r>
        <w:rPr>
          <w:rFonts w:hint="eastAsia"/>
          <w:highlight w:val="none"/>
        </w:rPr>
        <w:t>各指示仪表、安全保护装置及电控装置应灵活、准确、可靠。</w:t>
      </w:r>
    </w:p>
    <w:p w14:paraId="5F578730">
      <w:pPr>
        <w:numPr>
          <w:ilvl w:val="0"/>
          <w:numId w:val="151"/>
        </w:numPr>
        <w:ind w:firstLine="480"/>
        <w:rPr>
          <w:highlight w:val="none"/>
        </w:rPr>
      </w:pPr>
      <w:r>
        <w:rPr>
          <w:rFonts w:hint="eastAsia"/>
          <w:highlight w:val="none"/>
        </w:rPr>
        <w:t>检查所有接地装置；水泵试运转前必须进行绝缘测试。</w:t>
      </w:r>
    </w:p>
    <w:p w14:paraId="5209FBB9">
      <w:pPr>
        <w:numPr>
          <w:ilvl w:val="0"/>
          <w:numId w:val="151"/>
        </w:numPr>
        <w:ind w:firstLine="480"/>
        <w:rPr>
          <w:highlight w:val="none"/>
        </w:rPr>
      </w:pPr>
      <w:r>
        <w:rPr>
          <w:rFonts w:hint="eastAsia"/>
          <w:highlight w:val="none"/>
        </w:rPr>
        <w:t>查电源供应及电压是否正常。</w:t>
      </w:r>
    </w:p>
    <w:p w14:paraId="50DB01F8">
      <w:pPr>
        <w:numPr>
          <w:ilvl w:val="0"/>
          <w:numId w:val="151"/>
        </w:numPr>
        <w:ind w:firstLine="480"/>
        <w:rPr>
          <w:highlight w:val="none"/>
        </w:rPr>
      </w:pPr>
      <w:r>
        <w:rPr>
          <w:rFonts w:hint="eastAsia"/>
          <w:highlight w:val="none"/>
        </w:rPr>
        <w:t>水泵、阀门、泵送排水管道等的安装是否符合要求。</w:t>
      </w:r>
    </w:p>
    <w:p w14:paraId="611FFF0E">
      <w:pPr>
        <w:numPr>
          <w:ilvl w:val="0"/>
          <w:numId w:val="151"/>
        </w:numPr>
        <w:ind w:firstLine="480"/>
        <w:rPr>
          <w:highlight w:val="none"/>
        </w:rPr>
      </w:pPr>
      <w:r>
        <w:rPr>
          <w:rFonts w:hint="eastAsia"/>
          <w:highlight w:val="none"/>
        </w:rPr>
        <w:t>检查水位控制器的安装是否符检合要求。</w:t>
      </w:r>
    </w:p>
    <w:p w14:paraId="618C3D54">
      <w:pPr>
        <w:numPr>
          <w:ilvl w:val="0"/>
          <w:numId w:val="151"/>
        </w:numPr>
        <w:ind w:firstLine="480"/>
        <w:rPr>
          <w:highlight w:val="none"/>
        </w:rPr>
      </w:pPr>
      <w:r>
        <w:rPr>
          <w:rFonts w:hint="eastAsia"/>
          <w:highlight w:val="none"/>
        </w:rPr>
        <w:t>检查水泵轴封是否有泄漏。</w:t>
      </w:r>
    </w:p>
    <w:p w14:paraId="6857B542">
      <w:pPr>
        <w:numPr>
          <w:ilvl w:val="1"/>
          <w:numId w:val="150"/>
        </w:numPr>
        <w:ind w:firstLine="480"/>
        <w:rPr>
          <w:highlight w:val="none"/>
        </w:rPr>
      </w:pPr>
      <w:r>
        <w:rPr>
          <w:rFonts w:hint="eastAsia"/>
          <w:highlight w:val="none"/>
        </w:rPr>
        <w:t>无负荷试运转</w:t>
      </w:r>
    </w:p>
    <w:p w14:paraId="6AD33059">
      <w:pPr>
        <w:numPr>
          <w:ilvl w:val="0"/>
          <w:numId w:val="152"/>
        </w:numPr>
        <w:ind w:firstLine="480"/>
        <w:rPr>
          <w:highlight w:val="none"/>
        </w:rPr>
      </w:pPr>
      <w:r>
        <w:rPr>
          <w:rFonts w:hint="eastAsia"/>
          <w:highlight w:val="none"/>
        </w:rPr>
        <w:t>全开启入口阀门，全关闭出口阀门，防止水泵启动电流过大。</w:t>
      </w:r>
    </w:p>
    <w:p w14:paraId="00461BD2">
      <w:pPr>
        <w:numPr>
          <w:ilvl w:val="0"/>
          <w:numId w:val="152"/>
        </w:numPr>
        <w:ind w:firstLine="480"/>
        <w:rPr>
          <w:highlight w:val="none"/>
        </w:rPr>
      </w:pPr>
      <w:r>
        <w:rPr>
          <w:rFonts w:hint="eastAsia"/>
          <w:highlight w:val="none"/>
        </w:rPr>
        <w:t>启动泵，运转</w:t>
      </w:r>
      <w:r>
        <w:rPr>
          <w:highlight w:val="none"/>
        </w:rPr>
        <w:t>1~3</w:t>
      </w:r>
      <w:r>
        <w:rPr>
          <w:rFonts w:hint="eastAsia"/>
          <w:highlight w:val="none"/>
        </w:rPr>
        <w:t>分钟</w:t>
      </w:r>
      <w:r>
        <w:rPr>
          <w:highlight w:val="none"/>
        </w:rPr>
        <w:t>后停车。</w:t>
      </w:r>
    </w:p>
    <w:p w14:paraId="00D26707">
      <w:pPr>
        <w:numPr>
          <w:ilvl w:val="0"/>
          <w:numId w:val="152"/>
        </w:numPr>
        <w:ind w:firstLine="480"/>
        <w:rPr>
          <w:highlight w:val="none"/>
        </w:rPr>
      </w:pPr>
      <w:r>
        <w:rPr>
          <w:rFonts w:hint="eastAsia"/>
          <w:highlight w:val="none"/>
        </w:rPr>
        <w:t>运转中有无不正常声响，各紧固部分无松动现象，轴承无明显的温升。</w:t>
      </w:r>
    </w:p>
    <w:p w14:paraId="300E0845">
      <w:pPr>
        <w:numPr>
          <w:ilvl w:val="1"/>
          <w:numId w:val="150"/>
        </w:numPr>
        <w:ind w:firstLine="480"/>
        <w:rPr>
          <w:highlight w:val="none"/>
        </w:rPr>
      </w:pPr>
      <w:r>
        <w:rPr>
          <w:rFonts w:hint="eastAsia"/>
          <w:highlight w:val="none"/>
        </w:rPr>
        <w:t>负荷试运转</w:t>
      </w:r>
    </w:p>
    <w:p w14:paraId="5343FFA3">
      <w:pPr>
        <w:numPr>
          <w:ilvl w:val="0"/>
          <w:numId w:val="153"/>
        </w:numPr>
        <w:ind w:firstLine="480"/>
        <w:rPr>
          <w:highlight w:val="none"/>
        </w:rPr>
      </w:pPr>
      <w:r>
        <w:rPr>
          <w:rFonts w:hint="eastAsia"/>
          <w:highlight w:val="none"/>
        </w:rPr>
        <w:t>系统运行正常，其压力、温度、流量等符合设计要求。</w:t>
      </w:r>
    </w:p>
    <w:p w14:paraId="57388C47">
      <w:pPr>
        <w:numPr>
          <w:ilvl w:val="0"/>
          <w:numId w:val="153"/>
        </w:numPr>
        <w:ind w:firstLine="480"/>
        <w:rPr>
          <w:highlight w:val="none"/>
        </w:rPr>
      </w:pPr>
      <w:r>
        <w:rPr>
          <w:rFonts w:hint="eastAsia"/>
          <w:highlight w:val="none"/>
        </w:rPr>
        <w:t>泵运转无杂声，泵体无泄漏。</w:t>
      </w:r>
    </w:p>
    <w:p w14:paraId="1B1ED394">
      <w:pPr>
        <w:numPr>
          <w:ilvl w:val="0"/>
          <w:numId w:val="153"/>
        </w:numPr>
        <w:ind w:firstLine="480"/>
        <w:rPr>
          <w:highlight w:val="none"/>
        </w:rPr>
      </w:pPr>
      <w:r>
        <w:rPr>
          <w:rFonts w:hint="eastAsia"/>
          <w:highlight w:val="none"/>
        </w:rPr>
        <w:t>各紧固部位无松动。</w:t>
      </w:r>
    </w:p>
    <w:p w14:paraId="78C359F9">
      <w:pPr>
        <w:numPr>
          <w:ilvl w:val="0"/>
          <w:numId w:val="153"/>
        </w:numPr>
        <w:ind w:firstLine="480"/>
        <w:rPr>
          <w:highlight w:val="none"/>
        </w:rPr>
      </w:pPr>
      <w:r>
        <w:rPr>
          <w:rFonts w:hint="eastAsia"/>
          <w:highlight w:val="none"/>
        </w:rPr>
        <w:t>电动机起动电流和负荷运转电流符合要求。</w:t>
      </w:r>
    </w:p>
    <w:p w14:paraId="04BF9FC3">
      <w:pPr>
        <w:numPr>
          <w:ilvl w:val="1"/>
          <w:numId w:val="150"/>
        </w:numPr>
        <w:ind w:firstLine="480"/>
        <w:rPr>
          <w:highlight w:val="none"/>
        </w:rPr>
      </w:pPr>
      <w:r>
        <w:rPr>
          <w:rFonts w:hint="eastAsia"/>
          <w:highlight w:val="none"/>
        </w:rPr>
        <w:t>给水减压阀调试要求</w:t>
      </w:r>
    </w:p>
    <w:p w14:paraId="28194FC4">
      <w:pPr>
        <w:numPr>
          <w:ilvl w:val="0"/>
          <w:numId w:val="154"/>
        </w:numPr>
        <w:ind w:firstLine="480"/>
        <w:rPr>
          <w:highlight w:val="none"/>
        </w:rPr>
      </w:pPr>
      <w:r>
        <w:rPr>
          <w:rFonts w:hint="eastAsia"/>
          <w:highlight w:val="none"/>
        </w:rPr>
        <w:t>给水减压阀组正式交付使用前应进行现场调试和安装检验。</w:t>
      </w:r>
    </w:p>
    <w:p w14:paraId="53DA4DD9">
      <w:pPr>
        <w:numPr>
          <w:ilvl w:val="0"/>
          <w:numId w:val="154"/>
        </w:numPr>
        <w:ind w:firstLine="480"/>
        <w:rPr>
          <w:highlight w:val="none"/>
        </w:rPr>
      </w:pPr>
      <w:r>
        <w:rPr>
          <w:rFonts w:hint="eastAsia"/>
          <w:highlight w:val="none"/>
        </w:rPr>
        <w:t>给水减压阀组的安装检验应包括以下内容：</w:t>
      </w:r>
    </w:p>
    <w:p w14:paraId="4792CFC9">
      <w:pPr>
        <w:numPr>
          <w:ilvl w:val="0"/>
          <w:numId w:val="154"/>
        </w:numPr>
        <w:ind w:firstLine="480"/>
        <w:rPr>
          <w:highlight w:val="none"/>
        </w:rPr>
      </w:pPr>
      <w:r>
        <w:rPr>
          <w:rFonts w:hint="eastAsia"/>
          <w:highlight w:val="none"/>
        </w:rPr>
        <w:t>检查阀组安装的完整性，不应漏装，确认阀组水流方向正确；检查阀组设置场所排水设施的可靠性；检查阀组及其连接部位的密封性能；检查正常供水情况下减压阀组的减压功能和可调节性能；检查给水减压阀出口压力的动静压力是否符合要求；检查采用并联减压阀组的出口压力应一致；现场评估减压阀失效后的安全措施是否可靠。</w:t>
      </w:r>
    </w:p>
    <w:p w14:paraId="71E7B74D">
      <w:pPr>
        <w:numPr>
          <w:ilvl w:val="0"/>
          <w:numId w:val="154"/>
        </w:numPr>
        <w:ind w:firstLine="480"/>
        <w:rPr>
          <w:highlight w:val="none"/>
        </w:rPr>
      </w:pPr>
      <w:r>
        <w:rPr>
          <w:rFonts w:hint="eastAsia"/>
          <w:highlight w:val="none"/>
        </w:rPr>
        <w:t>给水减压阀组的现场调试应包括以下内容：</w:t>
      </w:r>
    </w:p>
    <w:p w14:paraId="1BE57B3E">
      <w:pPr>
        <w:numPr>
          <w:ilvl w:val="0"/>
          <w:numId w:val="154"/>
        </w:numPr>
        <w:ind w:firstLine="480"/>
        <w:rPr>
          <w:highlight w:val="none"/>
        </w:rPr>
      </w:pPr>
      <w:r>
        <w:rPr>
          <w:rFonts w:hint="eastAsia"/>
          <w:highlight w:val="none"/>
        </w:rPr>
        <w:t>调试前，应确认阀组上游管道已冲洗干净，阀组前、后检修阀处于关闭状态；按设计要求调定减压阀出口压力；检查减压分区内最不利点的供水压力和底层供水压力，并符合设计要求；对阀组超压报警装置和泄压保护装置进行调试和试验，确认其有效性。</w:t>
      </w:r>
    </w:p>
    <w:p w14:paraId="42CA5727">
      <w:pPr>
        <w:numPr>
          <w:ilvl w:val="0"/>
          <w:numId w:val="154"/>
        </w:numPr>
        <w:ind w:firstLine="480"/>
        <w:rPr>
          <w:highlight w:val="none"/>
        </w:rPr>
      </w:pPr>
      <w:r>
        <w:rPr>
          <w:rFonts w:hint="eastAsia"/>
          <w:highlight w:val="none"/>
        </w:rPr>
        <w:t>各类型给水减压阀出口压力的调定方式按现行国家有关标准的规定执行。</w:t>
      </w:r>
    </w:p>
    <w:p w14:paraId="696F10FC">
      <w:pPr>
        <w:numPr>
          <w:ilvl w:val="1"/>
          <w:numId w:val="150"/>
        </w:numPr>
        <w:ind w:firstLine="480"/>
        <w:rPr>
          <w:highlight w:val="none"/>
        </w:rPr>
      </w:pPr>
      <w:r>
        <w:rPr>
          <w:rFonts w:hint="eastAsia"/>
          <w:highlight w:val="none"/>
        </w:rPr>
        <w:t>排水泵的调试</w:t>
      </w:r>
    </w:p>
    <w:p w14:paraId="6B759AA0">
      <w:pPr>
        <w:numPr>
          <w:ilvl w:val="0"/>
          <w:numId w:val="155"/>
        </w:numPr>
        <w:ind w:firstLine="480"/>
        <w:rPr>
          <w:highlight w:val="none"/>
        </w:rPr>
      </w:pPr>
      <w:r>
        <w:rPr>
          <w:rFonts w:hint="eastAsia"/>
          <w:highlight w:val="none"/>
        </w:rPr>
        <w:t>启动排水泵，检查转向是否正常；记录空载启动电流、空载运行电流、负载启动电流、运行电流。</w:t>
      </w:r>
    </w:p>
    <w:p w14:paraId="6918D6E9">
      <w:pPr>
        <w:numPr>
          <w:ilvl w:val="0"/>
          <w:numId w:val="155"/>
        </w:numPr>
        <w:ind w:firstLine="480"/>
        <w:rPr>
          <w:highlight w:val="none"/>
        </w:rPr>
      </w:pPr>
      <w:r>
        <w:rPr>
          <w:rFonts w:hint="eastAsia"/>
          <w:highlight w:val="none"/>
        </w:rPr>
        <w:t>测试集水井的高水位报警，并调校过载保护设定值。</w:t>
      </w:r>
    </w:p>
    <w:p w14:paraId="7EC4D70E">
      <w:pPr>
        <w:pStyle w:val="4"/>
        <w:numPr>
          <w:ilvl w:val="1"/>
          <w:numId w:val="0"/>
        </w:numPr>
        <w:ind w:left="624" w:hanging="624"/>
        <w:rPr>
          <w:highlight w:val="none"/>
        </w:rPr>
      </w:pPr>
      <w:bookmarkStart w:id="873" w:name="_Toc8431"/>
      <w:bookmarkStart w:id="874" w:name="_Toc179563014"/>
      <w:bookmarkStart w:id="875" w:name="_Toc27957"/>
      <w:bookmarkStart w:id="876" w:name="_Toc14326"/>
      <w:r>
        <w:rPr>
          <w:rFonts w:hint="eastAsia"/>
          <w:highlight w:val="none"/>
        </w:rPr>
        <w:t>7.1</w:t>
      </w:r>
      <w:r>
        <w:rPr>
          <w:rFonts w:hint="eastAsia"/>
          <w:highlight w:val="none"/>
          <w:lang w:val="en-US" w:eastAsia="zh-CN"/>
        </w:rPr>
        <w:t xml:space="preserve">3 </w:t>
      </w:r>
      <w:r>
        <w:rPr>
          <w:highlight w:val="none"/>
        </w:rPr>
        <w:t>BIM技术运用要求</w:t>
      </w:r>
      <w:bookmarkEnd w:id="873"/>
      <w:bookmarkEnd w:id="874"/>
      <w:bookmarkEnd w:id="875"/>
      <w:bookmarkEnd w:id="876"/>
    </w:p>
    <w:p w14:paraId="61A747DA">
      <w:pPr>
        <w:ind w:firstLine="480"/>
        <w:rPr>
          <w:highlight w:val="none"/>
        </w:rPr>
      </w:pPr>
      <w:r>
        <w:rPr>
          <w:highlight w:val="none"/>
        </w:rPr>
        <w:t>本项目要求充分运用 BIM 技术，利用 BIM 技术实现施工全过程的精细化管理。为保证 BIM 模型的延续使用原则，施工阶段的 BIM 模型必须建立在设计阶段 BIM 模型基础进行深化，直至形成竣工模型。施工过程 BIM 应用包括但不限于施工虚拟建造、施工安全模拟、进度控制、现场巡检、施工风险预案模拟、场地布局规划等。</w:t>
      </w:r>
    </w:p>
    <w:p w14:paraId="49AB8AB0">
      <w:pPr>
        <w:ind w:firstLine="480"/>
        <w:rPr>
          <w:highlight w:val="none"/>
        </w:rPr>
      </w:pPr>
      <w:r>
        <w:rPr>
          <w:highlight w:val="none"/>
        </w:rPr>
        <w:t>承包人必须按照本招标文件、项目合同的要求</w:t>
      </w:r>
      <w:r>
        <w:rPr>
          <w:rFonts w:hint="eastAsia"/>
          <w:highlight w:val="none"/>
        </w:rPr>
        <w:t>分阶段</w:t>
      </w:r>
      <w:r>
        <w:rPr>
          <w:highlight w:val="none"/>
        </w:rPr>
        <w:t>提交完整的项目 BIM 成果，包含但不限于最终完整的与竣工建筑实物一致的 BIM 竣工模型、施工场布模型、碰撞检查报告、施工深化模型（建筑、结构</w:t>
      </w:r>
      <w:r>
        <w:rPr>
          <w:rFonts w:hint="eastAsia"/>
          <w:highlight w:val="none"/>
        </w:rPr>
        <w:t>、外立面</w:t>
      </w:r>
      <w:r>
        <w:rPr>
          <w:highlight w:val="none"/>
        </w:rPr>
        <w:t>、机电、智能化、消防、设备机房、场地）及图纸（平面图、立面图、剖面图、大样图、材料表等）、施工方案模拟动画及优化报告、4D 进度模拟动画及优化报告、工程量清单等。竣工验收模型需按照广州市三维数字化竣工验收模型交付标准的相关要求完成竣工图三维数字化备案。</w:t>
      </w:r>
    </w:p>
    <w:p w14:paraId="03DE815D">
      <w:pPr>
        <w:pStyle w:val="4"/>
        <w:numPr>
          <w:ilvl w:val="1"/>
          <w:numId w:val="0"/>
        </w:numPr>
        <w:ind w:left="624" w:hanging="624"/>
        <w:rPr>
          <w:highlight w:val="none"/>
        </w:rPr>
      </w:pPr>
      <w:bookmarkStart w:id="877" w:name="_Toc179563015"/>
      <w:bookmarkStart w:id="878" w:name="_Toc9158"/>
      <w:bookmarkStart w:id="879" w:name="_Toc26161"/>
      <w:bookmarkStart w:id="880" w:name="_Toc17984"/>
      <w:r>
        <w:rPr>
          <w:rFonts w:hint="eastAsia"/>
          <w:highlight w:val="none"/>
        </w:rPr>
        <w:t>7.1</w:t>
      </w:r>
      <w:r>
        <w:rPr>
          <w:rFonts w:hint="eastAsia"/>
          <w:highlight w:val="none"/>
          <w:lang w:val="en-US" w:eastAsia="zh-CN"/>
        </w:rPr>
        <w:t>4</w:t>
      </w:r>
      <w:r>
        <w:rPr>
          <w:rFonts w:hint="eastAsia"/>
          <w:highlight w:val="none"/>
        </w:rPr>
        <w:t>脚手架工程技术要求</w:t>
      </w:r>
      <w:bookmarkEnd w:id="877"/>
      <w:bookmarkEnd w:id="878"/>
      <w:bookmarkEnd w:id="879"/>
      <w:bookmarkEnd w:id="880"/>
    </w:p>
    <w:p w14:paraId="72C773B8">
      <w:pPr>
        <w:pStyle w:val="5"/>
        <w:numPr>
          <w:ilvl w:val="2"/>
          <w:numId w:val="0"/>
        </w:numPr>
        <w:ind w:left="624" w:hanging="624"/>
        <w:rPr>
          <w:highlight w:val="none"/>
        </w:rPr>
      </w:pPr>
      <w:bookmarkStart w:id="881" w:name="_Toc15390"/>
      <w:r>
        <w:rPr>
          <w:rFonts w:hint="eastAsia"/>
          <w:highlight w:val="none"/>
        </w:rPr>
        <w:t>7.1</w:t>
      </w:r>
      <w:r>
        <w:rPr>
          <w:rFonts w:hint="eastAsia"/>
          <w:highlight w:val="none"/>
          <w:lang w:val="en-US" w:eastAsia="zh-CN"/>
        </w:rPr>
        <w:t>4</w:t>
      </w:r>
      <w:r>
        <w:rPr>
          <w:rFonts w:hint="eastAsia"/>
          <w:highlight w:val="none"/>
        </w:rPr>
        <w:t>.1承包人需根据本项目建筑特征编制外脚手架专项施工方案，涉及超一定规模危大工程应组织专家论证，经论证及监理人审批合格后方可实施；</w:t>
      </w:r>
      <w:bookmarkEnd w:id="881"/>
    </w:p>
    <w:p w14:paraId="58E4A5F9">
      <w:pPr>
        <w:pStyle w:val="5"/>
        <w:numPr>
          <w:ilvl w:val="2"/>
          <w:numId w:val="0"/>
        </w:numPr>
        <w:ind w:left="624" w:hanging="624"/>
        <w:rPr>
          <w:highlight w:val="none"/>
        </w:rPr>
      </w:pPr>
      <w:bookmarkStart w:id="882" w:name="_Toc7278"/>
      <w:r>
        <w:rPr>
          <w:rFonts w:hint="eastAsia"/>
          <w:highlight w:val="none"/>
        </w:rPr>
        <w:t>7.1</w:t>
      </w:r>
      <w:r>
        <w:rPr>
          <w:rFonts w:hint="eastAsia"/>
          <w:highlight w:val="none"/>
          <w:lang w:val="en-US" w:eastAsia="zh-CN"/>
        </w:rPr>
        <w:t>4</w:t>
      </w:r>
      <w:r>
        <w:rPr>
          <w:rFonts w:hint="eastAsia"/>
          <w:highlight w:val="none"/>
        </w:rPr>
        <w:t>.2总承包人应选用全钢/全铝附着式升降脚手架或承插型盘扣式脚手架（含模板支撑架）作为作业脚手架和支撑脚手架的架体形式，相关费用请在投标时一并考虑。附着式升降脚手架在入场时的使用年限不得超过1年，年限计算以设备铭牌和出厂合格证载明的日期为准；</w:t>
      </w:r>
      <w:bookmarkEnd w:id="882"/>
    </w:p>
    <w:p w14:paraId="7A7075FB">
      <w:pPr>
        <w:pStyle w:val="5"/>
        <w:numPr>
          <w:ilvl w:val="2"/>
          <w:numId w:val="0"/>
        </w:numPr>
        <w:ind w:left="624" w:hanging="624"/>
        <w:rPr>
          <w:highlight w:val="none"/>
        </w:rPr>
      </w:pPr>
      <w:bookmarkStart w:id="883" w:name="_Toc2402"/>
      <w:r>
        <w:rPr>
          <w:rFonts w:hint="eastAsia"/>
          <w:highlight w:val="none"/>
        </w:rPr>
        <w:t>7.1</w:t>
      </w:r>
      <w:r>
        <w:rPr>
          <w:rFonts w:hint="eastAsia"/>
          <w:highlight w:val="none"/>
          <w:lang w:val="en-US" w:eastAsia="zh-CN"/>
        </w:rPr>
        <w:t>4</w:t>
      </w:r>
      <w:r>
        <w:rPr>
          <w:rFonts w:hint="eastAsia"/>
          <w:highlight w:val="none"/>
        </w:rPr>
        <w:t>.3外脚手架（包含落地式和悬挑式脚手架）优先选用盘扣式脚手架进行搭设，并优先使用定型化网片作为防护网。临边防护措施随架体同步搭设，并在架体内部挂设兜网，并严格执行《承插型盘扣式钢管支架构件JG/T503-2016》的相关规定。临边防护措施随架体同步搭设，并在架体内部挂设兜网。</w:t>
      </w:r>
      <w:bookmarkEnd w:id="883"/>
    </w:p>
    <w:p w14:paraId="3040BF7D">
      <w:pPr>
        <w:pStyle w:val="5"/>
        <w:numPr>
          <w:ilvl w:val="2"/>
          <w:numId w:val="0"/>
        </w:numPr>
        <w:ind w:left="624" w:hanging="624"/>
        <w:rPr>
          <w:highlight w:val="none"/>
        </w:rPr>
      </w:pPr>
      <w:bookmarkStart w:id="884" w:name="_Toc15118"/>
      <w:r>
        <w:rPr>
          <w:rFonts w:hint="eastAsia"/>
          <w:highlight w:val="none"/>
        </w:rPr>
        <w:t>7.1</w:t>
      </w:r>
      <w:r>
        <w:rPr>
          <w:rFonts w:hint="eastAsia"/>
          <w:highlight w:val="none"/>
          <w:lang w:val="en-US" w:eastAsia="zh-CN"/>
        </w:rPr>
        <w:t>4</w:t>
      </w:r>
      <w:r>
        <w:rPr>
          <w:rFonts w:hint="eastAsia"/>
          <w:highlight w:val="none"/>
        </w:rPr>
        <w:t>.4外架若为悬挑架优先采用花篮式脚手架，要求脚手架材料选用盘扣式钢管脚手架，外立面防护优先选用定型化网片防护，若承包人使用悬挑脚手架，要求首层悬挑不得高于三层，以便于小市政及景观提前插入施工；</w:t>
      </w:r>
      <w:bookmarkEnd w:id="884"/>
    </w:p>
    <w:p w14:paraId="73154D6D">
      <w:pPr>
        <w:pStyle w:val="5"/>
        <w:numPr>
          <w:ilvl w:val="2"/>
          <w:numId w:val="0"/>
        </w:numPr>
        <w:ind w:left="624" w:hanging="624"/>
        <w:rPr>
          <w:highlight w:val="none"/>
        </w:rPr>
      </w:pPr>
      <w:bookmarkStart w:id="885" w:name="_Toc5603"/>
      <w:r>
        <w:rPr>
          <w:rFonts w:hint="eastAsia"/>
          <w:highlight w:val="none"/>
        </w:rPr>
        <w:t>7.1</w:t>
      </w:r>
      <w:r>
        <w:rPr>
          <w:rFonts w:hint="eastAsia"/>
          <w:highlight w:val="none"/>
          <w:lang w:val="en-US" w:eastAsia="zh-CN"/>
        </w:rPr>
        <w:t>4</w:t>
      </w:r>
      <w:r>
        <w:rPr>
          <w:rFonts w:hint="eastAsia"/>
          <w:highlight w:val="none"/>
        </w:rPr>
        <w:t>.5施工现场严禁采用木质登高设施以及自制非标登高设备；</w:t>
      </w:r>
      <w:bookmarkEnd w:id="885"/>
    </w:p>
    <w:p w14:paraId="111CC288">
      <w:pPr>
        <w:pStyle w:val="5"/>
        <w:numPr>
          <w:ilvl w:val="2"/>
          <w:numId w:val="0"/>
        </w:numPr>
        <w:ind w:left="624" w:hanging="624"/>
        <w:rPr>
          <w:rFonts w:hint="eastAsia"/>
          <w:highlight w:val="none"/>
        </w:rPr>
      </w:pPr>
      <w:bookmarkStart w:id="886" w:name="_Toc27016"/>
      <w:r>
        <w:rPr>
          <w:rFonts w:hint="eastAsia"/>
          <w:highlight w:val="none"/>
        </w:rPr>
        <w:t>7.1</w:t>
      </w:r>
      <w:r>
        <w:rPr>
          <w:rFonts w:hint="eastAsia"/>
          <w:highlight w:val="none"/>
          <w:lang w:val="en-US" w:eastAsia="zh-CN"/>
        </w:rPr>
        <w:t>4</w:t>
      </w:r>
      <w:r>
        <w:rPr>
          <w:rFonts w:hint="eastAsia"/>
          <w:highlight w:val="none"/>
        </w:rPr>
        <w:t>.6粗装及装饰装修、机电安装等使用的门式脚手架应编制专项安全施工方案报监理人审批通过后按方案实施。</w:t>
      </w:r>
      <w:bookmarkEnd w:id="886"/>
    </w:p>
    <w:p w14:paraId="2236B58D">
      <w:pPr>
        <w:pStyle w:val="2"/>
        <w:ind w:firstLine="420"/>
        <w:rPr>
          <w:highlight w:val="yellow"/>
        </w:rPr>
      </w:pPr>
    </w:p>
    <w:p w14:paraId="44F28F4B">
      <w:pPr>
        <w:ind w:firstLine="480"/>
        <w:rPr>
          <w:highlight w:val="none"/>
        </w:rPr>
      </w:pPr>
      <w:r>
        <w:rPr>
          <w:highlight w:val="none"/>
        </w:rPr>
        <w:br w:type="page"/>
      </w:r>
    </w:p>
    <w:p w14:paraId="79A6A1FE">
      <w:pPr>
        <w:pStyle w:val="3"/>
        <w:numPr>
          <w:ilvl w:val="0"/>
          <w:numId w:val="0"/>
        </w:numPr>
        <w:ind w:left="432"/>
        <w:rPr>
          <w:highlight w:val="none"/>
        </w:rPr>
      </w:pPr>
      <w:bookmarkStart w:id="887" w:name="_Toc13837"/>
      <w:bookmarkStart w:id="888" w:name="_Toc11872"/>
      <w:bookmarkStart w:id="889" w:name="_Toc219"/>
      <w:bookmarkStart w:id="890" w:name="_Toc4786"/>
      <w:bookmarkStart w:id="891" w:name="_Toc19602"/>
      <w:bookmarkStart w:id="892" w:name="_Toc169722246"/>
      <w:bookmarkStart w:id="893" w:name="_Toc179563016"/>
      <w:bookmarkStart w:id="894" w:name="_Toc14069"/>
      <w:r>
        <w:rPr>
          <w:highlight w:val="none"/>
        </w:rPr>
        <w:t xml:space="preserve">第8章 </w:t>
      </w:r>
      <w:r>
        <w:rPr>
          <w:rFonts w:hint="eastAsia"/>
          <w:highlight w:val="none"/>
        </w:rPr>
        <w:t>EHS管理规定</w:t>
      </w:r>
      <w:bookmarkEnd w:id="887"/>
      <w:bookmarkEnd w:id="888"/>
      <w:bookmarkEnd w:id="889"/>
      <w:bookmarkEnd w:id="890"/>
      <w:bookmarkEnd w:id="891"/>
      <w:bookmarkEnd w:id="892"/>
      <w:bookmarkEnd w:id="893"/>
      <w:bookmarkEnd w:id="894"/>
    </w:p>
    <w:p w14:paraId="5ABF2601">
      <w:pPr>
        <w:pStyle w:val="4"/>
        <w:numPr>
          <w:ilvl w:val="1"/>
          <w:numId w:val="0"/>
        </w:numPr>
        <w:ind w:left="624" w:hanging="624"/>
        <w:rPr>
          <w:highlight w:val="none"/>
        </w:rPr>
      </w:pPr>
      <w:bookmarkStart w:id="895" w:name="_Toc2559"/>
      <w:bookmarkStart w:id="896" w:name="_Toc179563017"/>
      <w:bookmarkStart w:id="897" w:name="_Toc9848"/>
      <w:bookmarkStart w:id="898" w:name="_Toc32676"/>
      <w:bookmarkStart w:id="899" w:name="_Toc169722247"/>
      <w:bookmarkStart w:id="900" w:name="_Toc8264"/>
      <w:bookmarkStart w:id="901" w:name="_Toc4926"/>
      <w:bookmarkStart w:id="902" w:name="_Toc11761"/>
      <w:bookmarkStart w:id="903" w:name="_Toc488312939"/>
      <w:r>
        <w:rPr>
          <w:rFonts w:hint="eastAsia"/>
          <w:highlight w:val="none"/>
        </w:rPr>
        <w:t>8.1E</w:t>
      </w:r>
      <w:r>
        <w:rPr>
          <w:highlight w:val="none"/>
        </w:rPr>
        <w:t>HS</w:t>
      </w:r>
      <w:r>
        <w:rPr>
          <w:rFonts w:hint="eastAsia"/>
          <w:highlight w:val="none"/>
        </w:rPr>
        <w:t>管理理念、原则</w:t>
      </w:r>
      <w:bookmarkEnd w:id="895"/>
      <w:bookmarkEnd w:id="896"/>
      <w:bookmarkEnd w:id="897"/>
      <w:bookmarkEnd w:id="898"/>
      <w:bookmarkEnd w:id="899"/>
      <w:bookmarkEnd w:id="900"/>
      <w:bookmarkEnd w:id="901"/>
      <w:bookmarkEnd w:id="902"/>
    </w:p>
    <w:p w14:paraId="386BA4BD">
      <w:pPr>
        <w:pStyle w:val="5"/>
        <w:numPr>
          <w:ilvl w:val="2"/>
          <w:numId w:val="0"/>
        </w:numPr>
        <w:ind w:left="624" w:hanging="624"/>
        <w:rPr>
          <w:highlight w:val="none"/>
        </w:rPr>
      </w:pPr>
      <w:bookmarkStart w:id="904" w:name="_Toc26093"/>
      <w:r>
        <w:rPr>
          <w:rFonts w:hint="eastAsia"/>
          <w:highlight w:val="none"/>
        </w:rPr>
        <w:t>8.1.1EHS的定义为：安全生产、职业健康、环境保护。发包人EHS管理理念为“责任驱动进步，绿色改变生活”。总承包人应不以牺牲环境为代价进行生产，不以牺牲环境的长远利益换取生产的暂时利益；工程施工过程中，落实生态环境保护责任，采取必要的绿色施工及节能措施，减少能源消耗、环境污染。</w:t>
      </w:r>
      <w:bookmarkEnd w:id="904"/>
    </w:p>
    <w:p w14:paraId="1D7D0959">
      <w:pPr>
        <w:pStyle w:val="5"/>
        <w:numPr>
          <w:ilvl w:val="2"/>
          <w:numId w:val="0"/>
        </w:numPr>
        <w:ind w:left="624" w:hanging="624"/>
        <w:rPr>
          <w:highlight w:val="none"/>
        </w:rPr>
      </w:pPr>
      <w:bookmarkStart w:id="905" w:name="_Toc17747"/>
      <w:r>
        <w:rPr>
          <w:rFonts w:hint="eastAsia"/>
          <w:highlight w:val="none"/>
        </w:rPr>
        <w:t>8.1.2发包人E</w:t>
      </w:r>
      <w:r>
        <w:rPr>
          <w:highlight w:val="none"/>
        </w:rPr>
        <w:t>HS</w:t>
      </w:r>
      <w:r>
        <w:rPr>
          <w:rFonts w:hint="eastAsia"/>
          <w:highlight w:val="none"/>
        </w:rPr>
        <w:t>管理原则包括以下内容，总承包人应遵照执行。</w:t>
      </w:r>
      <w:bookmarkEnd w:id="905"/>
    </w:p>
    <w:p w14:paraId="5EF97718">
      <w:pPr>
        <w:numPr>
          <w:ilvl w:val="0"/>
          <w:numId w:val="156"/>
        </w:numPr>
        <w:ind w:firstLine="480"/>
        <w:rPr>
          <w:highlight w:val="none"/>
        </w:rPr>
      </w:pPr>
      <w:r>
        <w:rPr>
          <w:highlight w:val="none"/>
        </w:rPr>
        <w:t>EHS</w:t>
      </w:r>
      <w:r>
        <w:rPr>
          <w:rFonts w:hint="eastAsia"/>
          <w:highlight w:val="none"/>
        </w:rPr>
        <w:t>工作必须坚持一岗双责，全员参与。</w:t>
      </w:r>
    </w:p>
    <w:p w14:paraId="3D1BBEDF">
      <w:pPr>
        <w:numPr>
          <w:ilvl w:val="0"/>
          <w:numId w:val="156"/>
        </w:numPr>
        <w:ind w:firstLine="480"/>
        <w:rPr>
          <w:highlight w:val="none"/>
        </w:rPr>
      </w:pPr>
      <w:r>
        <w:rPr>
          <w:rFonts w:hint="eastAsia"/>
          <w:highlight w:val="none"/>
        </w:rPr>
        <w:t>项目开工前，必须开展EHS评估。</w:t>
      </w:r>
    </w:p>
    <w:p w14:paraId="45A82BD6">
      <w:pPr>
        <w:numPr>
          <w:ilvl w:val="0"/>
          <w:numId w:val="156"/>
        </w:numPr>
        <w:ind w:firstLine="480"/>
        <w:rPr>
          <w:highlight w:val="none"/>
        </w:rPr>
      </w:pPr>
      <w:r>
        <w:rPr>
          <w:rFonts w:hint="eastAsia"/>
          <w:highlight w:val="none"/>
        </w:rPr>
        <w:t>所有EHS隐患必须及时整改关闭。</w:t>
      </w:r>
    </w:p>
    <w:p w14:paraId="73463FC7">
      <w:pPr>
        <w:numPr>
          <w:ilvl w:val="0"/>
          <w:numId w:val="156"/>
        </w:numPr>
        <w:ind w:firstLine="480"/>
        <w:rPr>
          <w:highlight w:val="none"/>
        </w:rPr>
      </w:pPr>
      <w:r>
        <w:rPr>
          <w:rFonts w:hint="eastAsia"/>
          <w:highlight w:val="none"/>
        </w:rPr>
        <w:t>所有EHS事故事件必须及时报告、分析和处置。</w:t>
      </w:r>
    </w:p>
    <w:p w14:paraId="2E8F7307">
      <w:pPr>
        <w:numPr>
          <w:ilvl w:val="0"/>
          <w:numId w:val="156"/>
        </w:numPr>
        <w:ind w:firstLine="480"/>
        <w:rPr>
          <w:highlight w:val="none"/>
        </w:rPr>
      </w:pPr>
      <w:r>
        <w:rPr>
          <w:rFonts w:hint="eastAsia"/>
          <w:highlight w:val="none"/>
        </w:rPr>
        <w:t>必须对所有员工进行EHS培训。</w:t>
      </w:r>
    </w:p>
    <w:p w14:paraId="1B1B0059">
      <w:pPr>
        <w:numPr>
          <w:ilvl w:val="0"/>
          <w:numId w:val="156"/>
        </w:numPr>
        <w:ind w:firstLine="480"/>
        <w:rPr>
          <w:highlight w:val="none"/>
        </w:rPr>
      </w:pPr>
      <w:r>
        <w:rPr>
          <w:rFonts w:hint="eastAsia"/>
          <w:highlight w:val="none"/>
        </w:rPr>
        <w:t>各级管理层必须重视EHS工作，并参与EHS活动。</w:t>
      </w:r>
    </w:p>
    <w:p w14:paraId="6A1B3128">
      <w:pPr>
        <w:numPr>
          <w:ilvl w:val="0"/>
          <w:numId w:val="156"/>
        </w:numPr>
        <w:ind w:firstLine="480"/>
        <w:rPr>
          <w:highlight w:val="none"/>
        </w:rPr>
      </w:pPr>
      <w:r>
        <w:rPr>
          <w:rFonts w:hint="eastAsia"/>
          <w:highlight w:val="none"/>
        </w:rPr>
        <w:t>必须关注员工的工作环境和身心健康。</w:t>
      </w:r>
    </w:p>
    <w:p w14:paraId="63C539DF">
      <w:pPr>
        <w:numPr>
          <w:ilvl w:val="0"/>
          <w:numId w:val="156"/>
        </w:numPr>
        <w:ind w:firstLine="480"/>
        <w:rPr>
          <w:highlight w:val="none"/>
        </w:rPr>
      </w:pPr>
      <w:r>
        <w:rPr>
          <w:rFonts w:hint="eastAsia"/>
          <w:highlight w:val="none"/>
        </w:rPr>
        <w:t>将相关方视同我方，纳入公司EHS管理范畴。</w:t>
      </w:r>
    </w:p>
    <w:p w14:paraId="74B51591">
      <w:pPr>
        <w:pStyle w:val="4"/>
        <w:numPr>
          <w:ilvl w:val="1"/>
          <w:numId w:val="0"/>
        </w:numPr>
        <w:ind w:left="624" w:hanging="624"/>
        <w:rPr>
          <w:highlight w:val="none"/>
        </w:rPr>
      </w:pPr>
      <w:bookmarkStart w:id="906" w:name="_Toc23603"/>
      <w:bookmarkStart w:id="907" w:name="_Toc169722248"/>
      <w:bookmarkStart w:id="908" w:name="_Toc15617"/>
      <w:bookmarkStart w:id="909" w:name="_Toc10656"/>
      <w:bookmarkStart w:id="910" w:name="_Toc20174"/>
      <w:bookmarkStart w:id="911" w:name="_Toc23463"/>
      <w:bookmarkStart w:id="912" w:name="_Toc179563018"/>
      <w:bookmarkStart w:id="913" w:name="_Toc29679"/>
      <w:r>
        <w:rPr>
          <w:rFonts w:hint="eastAsia"/>
          <w:highlight w:val="none"/>
        </w:rPr>
        <w:t>8.2</w:t>
      </w:r>
      <w:r>
        <w:rPr>
          <w:highlight w:val="none"/>
        </w:rPr>
        <w:t>EHS管理责任</w:t>
      </w:r>
      <w:r>
        <w:rPr>
          <w:rFonts w:hint="eastAsia"/>
          <w:highlight w:val="none"/>
        </w:rPr>
        <w:t>界面</w:t>
      </w:r>
      <w:bookmarkEnd w:id="906"/>
      <w:bookmarkEnd w:id="907"/>
      <w:bookmarkEnd w:id="908"/>
      <w:bookmarkEnd w:id="909"/>
      <w:bookmarkEnd w:id="910"/>
      <w:bookmarkEnd w:id="911"/>
      <w:bookmarkEnd w:id="912"/>
      <w:bookmarkEnd w:id="913"/>
    </w:p>
    <w:p w14:paraId="0A366154">
      <w:pPr>
        <w:pStyle w:val="5"/>
        <w:numPr>
          <w:ilvl w:val="2"/>
          <w:numId w:val="0"/>
        </w:numPr>
        <w:ind w:left="624" w:hanging="624"/>
        <w:rPr>
          <w:highlight w:val="none"/>
        </w:rPr>
      </w:pPr>
      <w:bookmarkStart w:id="914" w:name="_Toc20809"/>
      <w:r>
        <w:rPr>
          <w:rFonts w:hint="eastAsia"/>
          <w:highlight w:val="none"/>
        </w:rPr>
        <w:t>8.2.1发包人责任</w:t>
      </w:r>
      <w:bookmarkEnd w:id="914"/>
    </w:p>
    <w:p w14:paraId="4DF62B48">
      <w:pPr>
        <w:pStyle w:val="5"/>
        <w:numPr>
          <w:ilvl w:val="2"/>
          <w:numId w:val="0"/>
        </w:numPr>
        <w:ind w:left="624" w:hanging="624"/>
        <w:rPr>
          <w:highlight w:val="none"/>
        </w:rPr>
      </w:pPr>
      <w:bookmarkStart w:id="915" w:name="_Toc27466"/>
      <w:r>
        <w:rPr>
          <w:rFonts w:hint="eastAsia"/>
          <w:highlight w:val="none"/>
        </w:rPr>
        <w:t>8.2.2发包人有权对EHS工作实施监督管理，对总承包人的EHS工作进行监督检查、评价、考核与实施奖惩。</w:t>
      </w:r>
      <w:bookmarkEnd w:id="915"/>
    </w:p>
    <w:p w14:paraId="7A57AF23">
      <w:pPr>
        <w:pStyle w:val="5"/>
        <w:numPr>
          <w:ilvl w:val="2"/>
          <w:numId w:val="0"/>
        </w:numPr>
        <w:ind w:left="624" w:hanging="624"/>
        <w:rPr>
          <w:highlight w:val="none"/>
        </w:rPr>
      </w:pPr>
      <w:bookmarkStart w:id="916" w:name="_Toc32350"/>
      <w:r>
        <w:rPr>
          <w:rFonts w:hint="eastAsia"/>
          <w:highlight w:val="none"/>
        </w:rPr>
        <w:t>8.2.3总承包人责任</w:t>
      </w:r>
      <w:bookmarkEnd w:id="916"/>
    </w:p>
    <w:p w14:paraId="56E649E0">
      <w:pPr>
        <w:pStyle w:val="6"/>
        <w:numPr>
          <w:ilvl w:val="3"/>
          <w:numId w:val="0"/>
        </w:numPr>
        <w:ind w:left="864" w:leftChars="100" w:hanging="624"/>
        <w:rPr>
          <w:highlight w:val="none"/>
        </w:rPr>
      </w:pPr>
      <w:r>
        <w:rPr>
          <w:rFonts w:hint="eastAsia"/>
          <w:highlight w:val="none"/>
        </w:rPr>
        <w:t>8.2.3.1总承包人对本工程安全生产工作负总责，对所有专业承包、独立承包单位实行统一指挥、协调、管理和监督，对施工现场所有人员（包括供应商、技术服务人员、参观学习等临时入场人员）、材料、设备等物资的安全、保卫工作实施统一管理。</w:t>
      </w:r>
    </w:p>
    <w:p w14:paraId="704EEC53">
      <w:pPr>
        <w:pStyle w:val="6"/>
        <w:numPr>
          <w:ilvl w:val="3"/>
          <w:numId w:val="0"/>
        </w:numPr>
        <w:ind w:left="864" w:leftChars="100" w:hanging="624"/>
        <w:rPr>
          <w:highlight w:val="none"/>
        </w:rPr>
      </w:pPr>
      <w:r>
        <w:rPr>
          <w:rFonts w:hint="eastAsia"/>
          <w:highlight w:val="none"/>
        </w:rPr>
        <w:t>8.2.3.2总承包人执行的EHS标准应以不低于</w:t>
      </w:r>
      <w:bookmarkStart w:id="917" w:name="_Hlk166189627"/>
      <w:r>
        <w:rPr>
          <w:rFonts w:hint="eastAsia"/>
          <w:highlight w:val="none"/>
        </w:rPr>
        <w:t>国家现行有关法律法规、标准规范</w:t>
      </w:r>
      <w:bookmarkEnd w:id="917"/>
      <w:r>
        <w:rPr>
          <w:rFonts w:hint="eastAsia"/>
          <w:highlight w:val="none"/>
        </w:rPr>
        <w:t>（包括行业标准、地方标准）为基本原则，如总承包人在本工程采用了低于本工料规范，国家、行业法规、标准或未予描述的做法，造成相关损失，由总承包人承担相应责任。</w:t>
      </w:r>
    </w:p>
    <w:p w14:paraId="4308EA24">
      <w:pPr>
        <w:pStyle w:val="6"/>
        <w:numPr>
          <w:ilvl w:val="3"/>
          <w:numId w:val="0"/>
        </w:numPr>
        <w:ind w:left="864" w:leftChars="100" w:hanging="624"/>
        <w:rPr>
          <w:highlight w:val="none"/>
        </w:rPr>
      </w:pPr>
      <w:r>
        <w:rPr>
          <w:rFonts w:hint="eastAsia"/>
          <w:highlight w:val="none"/>
        </w:rPr>
        <w:t>8.2.3.3总承包人与专业承包人对专业承包工程的安全生产承担连带责任。</w:t>
      </w:r>
    </w:p>
    <w:p w14:paraId="5A685502">
      <w:pPr>
        <w:pStyle w:val="6"/>
        <w:numPr>
          <w:ilvl w:val="3"/>
          <w:numId w:val="0"/>
        </w:numPr>
        <w:ind w:left="864" w:leftChars="100" w:hanging="624"/>
        <w:rPr>
          <w:highlight w:val="none"/>
        </w:rPr>
      </w:pPr>
      <w:r>
        <w:rPr>
          <w:rFonts w:hint="eastAsia"/>
          <w:highlight w:val="none"/>
        </w:rPr>
        <w:t>8.2.3.4发包人与总承包人签署安全生产协议作为本规定的细化、补充与延伸，具备与合同条款同等的法律效力，总承包人必须无条件执行。</w:t>
      </w:r>
    </w:p>
    <w:p w14:paraId="06C1F99C">
      <w:pPr>
        <w:pStyle w:val="6"/>
        <w:numPr>
          <w:ilvl w:val="3"/>
          <w:numId w:val="0"/>
        </w:numPr>
        <w:ind w:left="864" w:leftChars="100" w:hanging="624"/>
        <w:rPr>
          <w:highlight w:val="none"/>
        </w:rPr>
      </w:pPr>
      <w:r>
        <w:rPr>
          <w:rFonts w:hint="eastAsia"/>
          <w:highlight w:val="none"/>
        </w:rPr>
        <w:t>8.2.3.5法律法规或合同约定的总承包人应承担的其他义务与责任。</w:t>
      </w:r>
    </w:p>
    <w:p w14:paraId="18E37D3F">
      <w:pPr>
        <w:pStyle w:val="4"/>
        <w:numPr>
          <w:ilvl w:val="1"/>
          <w:numId w:val="0"/>
        </w:numPr>
        <w:ind w:left="624" w:hanging="624"/>
        <w:rPr>
          <w:highlight w:val="none"/>
        </w:rPr>
      </w:pPr>
      <w:bookmarkStart w:id="918" w:name="_Toc27510"/>
      <w:bookmarkStart w:id="919" w:name="_Toc4488"/>
      <w:bookmarkStart w:id="920" w:name="_Toc31016"/>
      <w:bookmarkStart w:id="921" w:name="_Toc16548"/>
      <w:bookmarkStart w:id="922" w:name="_Toc14608"/>
      <w:bookmarkStart w:id="923" w:name="_Toc169722249"/>
      <w:bookmarkStart w:id="924" w:name="_Toc26193"/>
      <w:bookmarkStart w:id="925" w:name="_Toc179563019"/>
      <w:r>
        <w:rPr>
          <w:rFonts w:hint="eastAsia"/>
          <w:highlight w:val="none"/>
        </w:rPr>
        <w:t>8.3EHS目标与责任管理</w:t>
      </w:r>
      <w:bookmarkEnd w:id="918"/>
      <w:bookmarkEnd w:id="919"/>
      <w:bookmarkEnd w:id="920"/>
      <w:bookmarkEnd w:id="921"/>
      <w:bookmarkEnd w:id="922"/>
      <w:bookmarkEnd w:id="923"/>
      <w:bookmarkEnd w:id="924"/>
      <w:bookmarkEnd w:id="925"/>
    </w:p>
    <w:p w14:paraId="3A9452F5">
      <w:pPr>
        <w:pStyle w:val="5"/>
        <w:numPr>
          <w:ilvl w:val="2"/>
          <w:numId w:val="0"/>
        </w:numPr>
        <w:ind w:left="624" w:hanging="624"/>
        <w:rPr>
          <w:highlight w:val="none"/>
        </w:rPr>
      </w:pPr>
      <w:bookmarkStart w:id="926" w:name="_Toc25541"/>
      <w:r>
        <w:rPr>
          <w:rFonts w:hint="eastAsia"/>
          <w:highlight w:val="none"/>
        </w:rPr>
        <w:t>8.3.1总承包人应建立全员EHS责任制，明确各级岗位、人员责任清单，落实“管业务必须管安全、管生产经营必须管安全”要求。</w:t>
      </w:r>
      <w:bookmarkEnd w:id="926"/>
    </w:p>
    <w:p w14:paraId="6078232F">
      <w:pPr>
        <w:pStyle w:val="5"/>
        <w:numPr>
          <w:ilvl w:val="2"/>
          <w:numId w:val="0"/>
        </w:numPr>
        <w:ind w:left="624" w:hanging="624"/>
        <w:rPr>
          <w:highlight w:val="none"/>
        </w:rPr>
      </w:pPr>
      <w:bookmarkStart w:id="927" w:name="_Toc14098"/>
      <w:r>
        <w:rPr>
          <w:rFonts w:hint="eastAsia"/>
          <w:highlight w:val="none"/>
        </w:rPr>
        <w:t>8.3.2总承包人应建立清晰、明确的E</w:t>
      </w:r>
      <w:r>
        <w:rPr>
          <w:highlight w:val="none"/>
        </w:rPr>
        <w:t>HS</w:t>
      </w:r>
      <w:r>
        <w:rPr>
          <w:rFonts w:hint="eastAsia"/>
          <w:highlight w:val="none"/>
        </w:rPr>
        <w:t>目标，并分解到各级关键岗位、人员。</w:t>
      </w:r>
      <w:bookmarkEnd w:id="927"/>
    </w:p>
    <w:p w14:paraId="7DCDA4B2">
      <w:pPr>
        <w:pStyle w:val="5"/>
        <w:numPr>
          <w:ilvl w:val="2"/>
          <w:numId w:val="0"/>
        </w:numPr>
        <w:ind w:left="624" w:hanging="624"/>
        <w:rPr>
          <w:highlight w:val="none"/>
        </w:rPr>
      </w:pPr>
      <w:bookmarkStart w:id="928" w:name="_Toc22415"/>
      <w:r>
        <w:rPr>
          <w:rFonts w:hint="eastAsia"/>
          <w:highlight w:val="none"/>
        </w:rPr>
        <w:t>8.3.3总承包人应建立目标、责任考核制度，全员签订E</w:t>
      </w:r>
      <w:r>
        <w:rPr>
          <w:highlight w:val="none"/>
        </w:rPr>
        <w:t>HS</w:t>
      </w:r>
      <w:r>
        <w:rPr>
          <w:rFonts w:hint="eastAsia"/>
          <w:highlight w:val="none"/>
        </w:rPr>
        <w:t>责任书，并将E</w:t>
      </w:r>
      <w:r>
        <w:rPr>
          <w:highlight w:val="none"/>
        </w:rPr>
        <w:t>HS</w:t>
      </w:r>
      <w:r>
        <w:rPr>
          <w:rFonts w:hint="eastAsia"/>
          <w:highlight w:val="none"/>
        </w:rPr>
        <w:t>责任、目标纳入业绩考核。</w:t>
      </w:r>
      <w:bookmarkEnd w:id="928"/>
    </w:p>
    <w:p w14:paraId="750FFF0C">
      <w:pPr>
        <w:pStyle w:val="4"/>
        <w:numPr>
          <w:ilvl w:val="1"/>
          <w:numId w:val="0"/>
        </w:numPr>
        <w:ind w:left="624" w:hanging="624"/>
        <w:rPr>
          <w:highlight w:val="none"/>
        </w:rPr>
      </w:pPr>
      <w:bookmarkStart w:id="929" w:name="_Toc32151"/>
      <w:bookmarkStart w:id="930" w:name="_Toc7123"/>
      <w:bookmarkStart w:id="931" w:name="_Toc179563020"/>
      <w:bookmarkStart w:id="932" w:name="_Toc9697"/>
      <w:bookmarkStart w:id="933" w:name="_Toc169722250"/>
      <w:bookmarkStart w:id="934" w:name="_Toc22210"/>
      <w:bookmarkStart w:id="935" w:name="_Toc4863"/>
      <w:bookmarkStart w:id="936" w:name="_Toc18020"/>
      <w:r>
        <w:rPr>
          <w:rFonts w:hint="eastAsia"/>
          <w:highlight w:val="none"/>
        </w:rPr>
        <w:t>8.4</w:t>
      </w:r>
      <w:r>
        <w:rPr>
          <w:highlight w:val="none"/>
        </w:rPr>
        <w:t>EHS组织</w:t>
      </w:r>
      <w:r>
        <w:rPr>
          <w:rFonts w:hint="eastAsia"/>
          <w:highlight w:val="none"/>
        </w:rPr>
        <w:t>建设</w:t>
      </w:r>
      <w:r>
        <w:rPr>
          <w:highlight w:val="none"/>
        </w:rPr>
        <w:t>及人员</w:t>
      </w:r>
      <w:r>
        <w:rPr>
          <w:rFonts w:hint="eastAsia"/>
          <w:highlight w:val="none"/>
        </w:rPr>
        <w:t>配置</w:t>
      </w:r>
      <w:bookmarkEnd w:id="929"/>
      <w:bookmarkEnd w:id="930"/>
      <w:bookmarkEnd w:id="931"/>
      <w:bookmarkEnd w:id="932"/>
      <w:bookmarkEnd w:id="933"/>
      <w:bookmarkEnd w:id="934"/>
      <w:bookmarkEnd w:id="935"/>
      <w:bookmarkEnd w:id="936"/>
    </w:p>
    <w:p w14:paraId="1DB89825">
      <w:pPr>
        <w:pStyle w:val="5"/>
        <w:numPr>
          <w:ilvl w:val="2"/>
          <w:numId w:val="0"/>
        </w:numPr>
        <w:ind w:left="624" w:hanging="624"/>
        <w:rPr>
          <w:highlight w:val="none"/>
        </w:rPr>
      </w:pPr>
      <w:bookmarkStart w:id="937" w:name="_Toc12534"/>
      <w:r>
        <w:rPr>
          <w:rFonts w:hint="eastAsia"/>
          <w:highlight w:val="none"/>
        </w:rPr>
        <w:t>8.4.1E</w:t>
      </w:r>
      <w:r>
        <w:rPr>
          <w:highlight w:val="none"/>
        </w:rPr>
        <w:t>HS</w:t>
      </w:r>
      <w:r>
        <w:rPr>
          <w:rFonts w:hint="eastAsia"/>
          <w:highlight w:val="none"/>
        </w:rPr>
        <w:t>组织建设</w:t>
      </w:r>
      <w:bookmarkEnd w:id="937"/>
    </w:p>
    <w:p w14:paraId="0465E7A5">
      <w:pPr>
        <w:pStyle w:val="6"/>
        <w:numPr>
          <w:ilvl w:val="3"/>
          <w:numId w:val="0"/>
        </w:numPr>
        <w:ind w:left="864" w:leftChars="100" w:hanging="624"/>
        <w:rPr>
          <w:highlight w:val="none"/>
        </w:rPr>
      </w:pPr>
      <w:r>
        <w:rPr>
          <w:rFonts w:hint="eastAsia"/>
          <w:highlight w:val="none"/>
        </w:rPr>
        <w:t>8.4.1.1总承包人应成立企业专职安全监督管理部门，设立安全负责人，</w:t>
      </w:r>
      <w:bookmarkStart w:id="938" w:name="_Hlk166182551"/>
      <w:r>
        <w:rPr>
          <w:rFonts w:hint="eastAsia"/>
          <w:highlight w:val="none"/>
        </w:rPr>
        <w:t>按照法律法规、行业主管部门规定和地方政府部门规定配备足够数量的专职安全管理人员。</w:t>
      </w:r>
      <w:bookmarkEnd w:id="938"/>
    </w:p>
    <w:p w14:paraId="4D0C13CD">
      <w:pPr>
        <w:pStyle w:val="6"/>
        <w:numPr>
          <w:ilvl w:val="3"/>
          <w:numId w:val="0"/>
        </w:numPr>
        <w:ind w:left="864" w:leftChars="100" w:hanging="624"/>
        <w:rPr>
          <w:highlight w:val="none"/>
        </w:rPr>
      </w:pPr>
      <w:r>
        <w:rPr>
          <w:rFonts w:hint="eastAsia"/>
          <w:highlight w:val="none"/>
        </w:rPr>
        <w:t>8.4.1.2总承包人应建立以项目负责人为组长的项目EHS领导机构，明确</w:t>
      </w:r>
      <w:bookmarkStart w:id="939" w:name="_Hlk166182137"/>
      <w:r>
        <w:rPr>
          <w:rFonts w:hint="eastAsia"/>
          <w:highlight w:val="none"/>
        </w:rPr>
        <w:t>会议、检查、培训等</w:t>
      </w:r>
      <w:bookmarkEnd w:id="939"/>
      <w:r>
        <w:rPr>
          <w:rFonts w:hint="eastAsia"/>
          <w:highlight w:val="none"/>
        </w:rPr>
        <w:t>工作机制，在正式进场后1</w:t>
      </w:r>
      <w:r>
        <w:rPr>
          <w:highlight w:val="none"/>
        </w:rPr>
        <w:t>0</w:t>
      </w:r>
      <w:r>
        <w:rPr>
          <w:rFonts w:hint="eastAsia"/>
          <w:highlight w:val="none"/>
        </w:rPr>
        <w:t>个工作日内书面上报监理人、发包人备案。</w:t>
      </w:r>
    </w:p>
    <w:p w14:paraId="03A114FD">
      <w:pPr>
        <w:pStyle w:val="5"/>
        <w:numPr>
          <w:ilvl w:val="2"/>
          <w:numId w:val="0"/>
        </w:numPr>
        <w:ind w:left="624" w:hanging="624"/>
        <w:rPr>
          <w:highlight w:val="none"/>
        </w:rPr>
      </w:pPr>
      <w:bookmarkStart w:id="940" w:name="_Hlk166182583"/>
      <w:bookmarkStart w:id="941" w:name="_Toc12969"/>
      <w:r>
        <w:rPr>
          <w:rFonts w:hint="eastAsia"/>
          <w:highlight w:val="none"/>
        </w:rPr>
        <w:t>8.4.2项目专职安全管理人员配置</w:t>
      </w:r>
      <w:bookmarkEnd w:id="940"/>
      <w:bookmarkEnd w:id="941"/>
    </w:p>
    <w:p w14:paraId="57A2756A">
      <w:pPr>
        <w:pStyle w:val="6"/>
        <w:numPr>
          <w:ilvl w:val="3"/>
          <w:numId w:val="0"/>
        </w:numPr>
        <w:ind w:left="864" w:leftChars="100" w:hanging="624"/>
        <w:rPr>
          <w:highlight w:val="none"/>
        </w:rPr>
      </w:pPr>
      <w:bookmarkStart w:id="942" w:name="_Hlk166182713"/>
      <w:r>
        <w:rPr>
          <w:rFonts w:hint="eastAsia"/>
          <w:highlight w:val="none"/>
        </w:rPr>
        <w:t>8.4.2.1总承包人配备项目专职安全生产管理人员在满足下列要求的同时，还应当满足第</w:t>
      </w:r>
      <w:r>
        <w:rPr>
          <w:highlight w:val="none"/>
        </w:rPr>
        <w:t>5</w:t>
      </w:r>
      <w:r>
        <w:rPr>
          <w:rFonts w:hint="eastAsia"/>
          <w:highlight w:val="none"/>
        </w:rPr>
        <w:t>章第5</w:t>
      </w:r>
      <w:r>
        <w:rPr>
          <w:highlight w:val="none"/>
        </w:rPr>
        <w:t>.1.4</w:t>
      </w:r>
      <w:r>
        <w:rPr>
          <w:rFonts w:hint="eastAsia"/>
          <w:highlight w:val="none"/>
        </w:rPr>
        <w:t>节的相关约定：</w:t>
      </w:r>
      <w:bookmarkEnd w:id="942"/>
    </w:p>
    <w:p w14:paraId="2254EC25">
      <w:pPr>
        <w:numPr>
          <w:ilvl w:val="0"/>
          <w:numId w:val="157"/>
        </w:numPr>
        <w:ind w:firstLine="480"/>
        <w:rPr>
          <w:highlight w:val="none"/>
        </w:rPr>
      </w:pPr>
      <w:r>
        <w:rPr>
          <w:rFonts w:hint="eastAsia"/>
          <w:highlight w:val="none"/>
        </w:rPr>
        <w:t>建筑工程、装修工程按照建筑面积配备：</w:t>
      </w:r>
    </w:p>
    <w:p w14:paraId="7C0A7075">
      <w:pPr>
        <w:ind w:left="480" w:leftChars="200" w:firstLine="480"/>
        <w:rPr>
          <w:highlight w:val="none"/>
        </w:rPr>
      </w:pPr>
      <w:r>
        <w:rPr>
          <w:rFonts w:hint="eastAsia"/>
          <w:highlight w:val="none"/>
        </w:rPr>
        <w:t>1）1万平方米以下的工程不少于1人；</w:t>
      </w:r>
    </w:p>
    <w:p w14:paraId="30A624B6">
      <w:pPr>
        <w:ind w:left="480" w:leftChars="200" w:firstLine="480"/>
        <w:rPr>
          <w:highlight w:val="none"/>
        </w:rPr>
      </w:pPr>
      <w:r>
        <w:rPr>
          <w:rFonts w:hint="eastAsia"/>
          <w:highlight w:val="none"/>
        </w:rPr>
        <w:t>2）1万～5万平方米的工程不少于2人；</w:t>
      </w:r>
    </w:p>
    <w:p w14:paraId="7018A755">
      <w:pPr>
        <w:ind w:left="480" w:leftChars="200" w:firstLine="480"/>
        <w:rPr>
          <w:highlight w:val="none"/>
        </w:rPr>
      </w:pPr>
      <w:r>
        <w:rPr>
          <w:rFonts w:hint="eastAsia"/>
          <w:highlight w:val="none"/>
        </w:rPr>
        <w:t>3）5万平方米及以上的工程不少于3人，且按专业配备专职安全生产管理人员。</w:t>
      </w:r>
    </w:p>
    <w:p w14:paraId="64E97013">
      <w:pPr>
        <w:numPr>
          <w:ilvl w:val="0"/>
          <w:numId w:val="157"/>
        </w:numPr>
        <w:ind w:firstLine="480"/>
        <w:rPr>
          <w:highlight w:val="none"/>
        </w:rPr>
      </w:pPr>
      <w:r>
        <w:rPr>
          <w:rFonts w:hint="eastAsia"/>
          <w:highlight w:val="none"/>
        </w:rPr>
        <w:t>土木工程、线路管道、设备安装工程按照工程合同价配备：</w:t>
      </w:r>
    </w:p>
    <w:p w14:paraId="60AA7F68">
      <w:pPr>
        <w:ind w:left="480" w:leftChars="200" w:firstLine="480"/>
        <w:rPr>
          <w:highlight w:val="none"/>
        </w:rPr>
      </w:pPr>
      <w:r>
        <w:rPr>
          <w:rFonts w:hint="eastAsia"/>
          <w:highlight w:val="none"/>
        </w:rPr>
        <w:t>1）5000万元以下的工程不少于1人；</w:t>
      </w:r>
    </w:p>
    <w:p w14:paraId="40A02348">
      <w:pPr>
        <w:ind w:left="480" w:leftChars="200" w:firstLine="480"/>
        <w:rPr>
          <w:highlight w:val="none"/>
        </w:rPr>
      </w:pPr>
      <w:r>
        <w:rPr>
          <w:rFonts w:hint="eastAsia"/>
          <w:highlight w:val="none"/>
        </w:rPr>
        <w:t>2）5000万～1亿元的工程不少于2人；</w:t>
      </w:r>
    </w:p>
    <w:p w14:paraId="568CC620">
      <w:pPr>
        <w:ind w:left="480" w:leftChars="200" w:firstLine="480"/>
        <w:rPr>
          <w:highlight w:val="none"/>
        </w:rPr>
      </w:pPr>
      <w:r>
        <w:rPr>
          <w:rFonts w:hint="eastAsia"/>
          <w:highlight w:val="none"/>
        </w:rPr>
        <w:t>3）1亿元及以上的工程不少于3人，且按专业配备专职安全生产管理人员。</w:t>
      </w:r>
    </w:p>
    <w:p w14:paraId="1DC87DE9">
      <w:pPr>
        <w:pStyle w:val="6"/>
        <w:numPr>
          <w:ilvl w:val="3"/>
          <w:numId w:val="0"/>
        </w:numPr>
        <w:ind w:left="864" w:leftChars="100" w:hanging="624"/>
        <w:rPr>
          <w:highlight w:val="none"/>
        </w:rPr>
      </w:pPr>
      <w:bookmarkStart w:id="943" w:name="_Hlk166183135"/>
      <w:r>
        <w:rPr>
          <w:rFonts w:hint="eastAsia"/>
          <w:highlight w:val="none"/>
        </w:rPr>
        <w:t>8.4.2.2劳务分包人、专业承包人配备项目专职安全生产管理人员需满足下列要求：</w:t>
      </w:r>
    </w:p>
    <w:p w14:paraId="429B299D">
      <w:pPr>
        <w:numPr>
          <w:ilvl w:val="0"/>
          <w:numId w:val="158"/>
        </w:numPr>
        <w:ind w:firstLine="480"/>
        <w:rPr>
          <w:highlight w:val="none"/>
        </w:rPr>
      </w:pPr>
      <w:r>
        <w:rPr>
          <w:rFonts w:hint="eastAsia"/>
          <w:highlight w:val="none"/>
        </w:rPr>
        <w:t>专业承包单位应当配置至少1人，并根据所承担的分部分项工程的工程量和施工危险程度增加。</w:t>
      </w:r>
    </w:p>
    <w:p w14:paraId="26683919">
      <w:pPr>
        <w:numPr>
          <w:ilvl w:val="0"/>
          <w:numId w:val="158"/>
        </w:numPr>
        <w:ind w:firstLine="480"/>
        <w:rPr>
          <w:highlight w:val="none"/>
        </w:rPr>
      </w:pPr>
      <w:r>
        <w:rPr>
          <w:rFonts w:hint="eastAsia"/>
          <w:highlight w:val="none"/>
        </w:rPr>
        <w:t>劳务分包单位施工人员在50人以下的，应当配备1名专职安全生产管理人员；50人-200人的，应当配备2名专职安全生产管理人员；200人及以上的，应当配备3名及以上专职安全生产管理人员，并根据所承担的分部分项工程施工危险实际情况增加，不得少于工程施工人员总人数的5‰。</w:t>
      </w:r>
    </w:p>
    <w:p w14:paraId="4EA3A7FF">
      <w:pPr>
        <w:pStyle w:val="6"/>
        <w:numPr>
          <w:ilvl w:val="3"/>
          <w:numId w:val="0"/>
        </w:numPr>
        <w:ind w:left="864" w:leftChars="100" w:hanging="624"/>
        <w:rPr>
          <w:highlight w:val="none"/>
        </w:rPr>
      </w:pPr>
      <w:r>
        <w:rPr>
          <w:rFonts w:hint="eastAsia"/>
          <w:highlight w:val="none"/>
        </w:rPr>
        <w:t>8.4.2.3承包人必须严格按照省市相关规定和发包人要求，足额投入安全生产管理人员，其中：项目负责人应持有有效的注册在中标单位的安全B证（省级建设主管部门核发、认可的），专职安全员必须持有注册在中标单位的安全C证（省级建设主管部门核发、认可的），涉及的所有特种作业人员必须持有有效的省级建设主管部门核发、认可的特种作业人员证书。</w:t>
      </w:r>
    </w:p>
    <w:p w14:paraId="6A2722A9">
      <w:pPr>
        <w:pStyle w:val="6"/>
        <w:numPr>
          <w:ilvl w:val="3"/>
          <w:numId w:val="0"/>
        </w:numPr>
        <w:ind w:left="864" w:leftChars="100" w:hanging="624"/>
        <w:rPr>
          <w:highlight w:val="none"/>
        </w:rPr>
      </w:pPr>
      <w:r>
        <w:rPr>
          <w:rFonts w:hint="eastAsia"/>
          <w:highlight w:val="none"/>
        </w:rPr>
        <w:t>8.4.2.4承包人必须明确划分各人员的责任，使其在施工过程中履行自己的责任和义务。项目负责人是安全第一责任人，负责安全生产的直接责任。</w:t>
      </w:r>
    </w:p>
    <w:p w14:paraId="4BF97321">
      <w:pPr>
        <w:pStyle w:val="6"/>
        <w:numPr>
          <w:ilvl w:val="3"/>
          <w:numId w:val="0"/>
        </w:numPr>
        <w:ind w:left="864" w:leftChars="100" w:hanging="624"/>
        <w:rPr>
          <w:highlight w:val="none"/>
        </w:rPr>
      </w:pPr>
      <w:r>
        <w:rPr>
          <w:rFonts w:hint="eastAsia"/>
          <w:highlight w:val="none"/>
        </w:rPr>
        <w:t>8.4.2.5承包人必须制定严格的安全技术操作规程，并定期对安全生产管理人员进行考核。进场前发包人对安全管理人员进行面试，并定期考核，合格者方能入职上岗，发包人有权更换不合格安全生产管理人员。</w:t>
      </w:r>
    </w:p>
    <w:bookmarkEnd w:id="943"/>
    <w:p w14:paraId="28042B95">
      <w:pPr>
        <w:pStyle w:val="5"/>
        <w:numPr>
          <w:ilvl w:val="2"/>
          <w:numId w:val="0"/>
        </w:numPr>
        <w:ind w:left="624" w:hanging="624"/>
        <w:rPr>
          <w:highlight w:val="none"/>
        </w:rPr>
      </w:pPr>
      <w:bookmarkStart w:id="944" w:name="_Toc30096"/>
      <w:r>
        <w:rPr>
          <w:rFonts w:hint="eastAsia"/>
          <w:highlight w:val="none"/>
        </w:rPr>
        <w:t>8.4.3总承包人</w:t>
      </w:r>
      <w:bookmarkStart w:id="945" w:name="_Hlk166183324"/>
      <w:r>
        <w:rPr>
          <w:rFonts w:hint="eastAsia"/>
          <w:highlight w:val="none"/>
        </w:rPr>
        <w:t>按照上述标准配备的专职安全管理人员</w:t>
      </w:r>
      <w:bookmarkEnd w:id="945"/>
      <w:r>
        <w:rPr>
          <w:rFonts w:hint="eastAsia"/>
          <w:highlight w:val="none"/>
        </w:rPr>
        <w:t>EHS管理绩效无法满足发包人安全要求时，发包人有权要求总承包人更换或者增加专职安全管理人员，总承包人必须执行。增加人员产生的费用由总承包人承担。</w:t>
      </w:r>
      <w:bookmarkEnd w:id="944"/>
    </w:p>
    <w:p w14:paraId="43811AD2">
      <w:pPr>
        <w:pStyle w:val="5"/>
        <w:numPr>
          <w:ilvl w:val="2"/>
          <w:numId w:val="0"/>
        </w:numPr>
        <w:ind w:left="624" w:hanging="624"/>
        <w:rPr>
          <w:highlight w:val="none"/>
        </w:rPr>
      </w:pPr>
      <w:bookmarkStart w:id="946" w:name="_Toc17035"/>
      <w:r>
        <w:rPr>
          <w:rFonts w:hint="eastAsia"/>
          <w:highlight w:val="none"/>
        </w:rPr>
        <w:t>8.4.4总承包人</w:t>
      </w:r>
      <w:bookmarkStart w:id="947" w:name="_Hlk166183364"/>
      <w:r>
        <w:rPr>
          <w:rFonts w:hint="eastAsia"/>
          <w:highlight w:val="none"/>
        </w:rPr>
        <w:t>必须为专职安全管理人员配备标准化的通讯器材、检测（查）工具与仪器、影像记录器材等装备</w:t>
      </w:r>
      <w:bookmarkEnd w:id="947"/>
      <w:r>
        <w:rPr>
          <w:rFonts w:hint="eastAsia"/>
          <w:highlight w:val="none"/>
        </w:rPr>
        <w:t>。</w:t>
      </w:r>
      <w:bookmarkEnd w:id="946"/>
    </w:p>
    <w:p w14:paraId="531C1557">
      <w:pPr>
        <w:pStyle w:val="5"/>
        <w:numPr>
          <w:ilvl w:val="2"/>
          <w:numId w:val="0"/>
        </w:numPr>
        <w:ind w:left="624" w:hanging="624"/>
        <w:rPr>
          <w:highlight w:val="none"/>
        </w:rPr>
      </w:pPr>
      <w:bookmarkStart w:id="948" w:name="_Toc4471"/>
      <w:r>
        <w:rPr>
          <w:rFonts w:hint="eastAsia"/>
          <w:highlight w:val="none"/>
        </w:rPr>
        <w:t>8.4.5总承包人项目团队关键成员（</w:t>
      </w:r>
      <w:r>
        <w:rPr>
          <w:highlight w:val="none"/>
        </w:rPr>
        <w:t>项目负责人</w:t>
      </w:r>
      <w:r>
        <w:rPr>
          <w:rFonts w:hint="eastAsia"/>
          <w:highlight w:val="none"/>
        </w:rPr>
        <w:t>、</w:t>
      </w:r>
      <w:r>
        <w:rPr>
          <w:highlight w:val="none"/>
        </w:rPr>
        <w:t>生产经理</w:t>
      </w:r>
      <w:r>
        <w:rPr>
          <w:rFonts w:hint="eastAsia"/>
          <w:highlight w:val="none"/>
        </w:rPr>
        <w:t>、技术负责人、造价负责人、安全负责人等）</w:t>
      </w:r>
      <w:bookmarkStart w:id="949" w:name="_Hlk166183401"/>
      <w:r>
        <w:rPr>
          <w:rFonts w:hint="eastAsia"/>
          <w:highlight w:val="none"/>
        </w:rPr>
        <w:t>必须从开工至交付全过程参与项目实施，</w:t>
      </w:r>
      <w:bookmarkEnd w:id="949"/>
      <w:r>
        <w:rPr>
          <w:rFonts w:hint="eastAsia"/>
          <w:highlight w:val="none"/>
        </w:rPr>
        <w:t>保证专职专岗并常驻项目，严禁挂职、挂证、挂名、</w:t>
      </w:r>
      <w:bookmarkStart w:id="950" w:name="_Hlk166183451"/>
      <w:r>
        <w:rPr>
          <w:rFonts w:hint="eastAsia"/>
          <w:highlight w:val="none"/>
        </w:rPr>
        <w:t>不在岗履职</w:t>
      </w:r>
      <w:bookmarkEnd w:id="950"/>
      <w:r>
        <w:rPr>
          <w:rFonts w:hint="eastAsia"/>
          <w:highlight w:val="none"/>
        </w:rPr>
        <w:t>行为。</w:t>
      </w:r>
      <w:bookmarkEnd w:id="948"/>
    </w:p>
    <w:p w14:paraId="15C14485">
      <w:pPr>
        <w:pStyle w:val="5"/>
        <w:numPr>
          <w:ilvl w:val="2"/>
          <w:numId w:val="0"/>
        </w:numPr>
        <w:ind w:left="624" w:hanging="624"/>
        <w:rPr>
          <w:highlight w:val="none"/>
        </w:rPr>
      </w:pPr>
      <w:bookmarkStart w:id="951" w:name="_Toc24139"/>
      <w:r>
        <w:rPr>
          <w:rFonts w:hint="eastAsia"/>
          <w:highlight w:val="none"/>
        </w:rPr>
        <w:t>8.4.6总承包人应保证管理人员及一线作业人员身体健康，精神状态无异常，不得安排有职业禁忌的劳动者从事其所禁忌的作业，不得安排孕期、哺乳期女职工从事对本人和胎儿、婴儿有危害的作业。</w:t>
      </w:r>
      <w:bookmarkStart w:id="952" w:name="_Hlk166183486"/>
      <w:r>
        <w:rPr>
          <w:rFonts w:hint="eastAsia"/>
          <w:highlight w:val="none"/>
        </w:rPr>
        <w:t>针对一线作业人员需向监理人提供进场健康体检报告（一月内报告），体检费用由总承包人自行承担。针对特种作业人员，还应提供行业主管部门颁发的有效特种作业证书，报监理人审查备案。普通作业人员年龄18-60周岁，特种作业人员年龄18-55周岁。</w:t>
      </w:r>
      <w:bookmarkEnd w:id="951"/>
      <w:bookmarkEnd w:id="952"/>
    </w:p>
    <w:p w14:paraId="24122922">
      <w:pPr>
        <w:pStyle w:val="5"/>
        <w:numPr>
          <w:ilvl w:val="2"/>
          <w:numId w:val="0"/>
        </w:numPr>
        <w:ind w:left="624" w:hanging="624"/>
        <w:rPr>
          <w:highlight w:val="none"/>
        </w:rPr>
      </w:pPr>
      <w:bookmarkStart w:id="953" w:name="_Toc31094"/>
      <w:r>
        <w:rPr>
          <w:rFonts w:hint="eastAsia"/>
          <w:highlight w:val="none"/>
        </w:rPr>
        <w:t>8.4.7总承包人应监管专业承包人专职安全管理人员配备情况，确保配备人员数量符合建质〔2008〕91号《建筑施工企业安全生产管理机构设置及专职安全生产管理人员配备办法》的相关规定，同时必须满足现场管理需要。</w:t>
      </w:r>
      <w:bookmarkEnd w:id="953"/>
    </w:p>
    <w:p w14:paraId="46A3DCA7">
      <w:pPr>
        <w:pStyle w:val="5"/>
        <w:numPr>
          <w:ilvl w:val="2"/>
          <w:numId w:val="0"/>
        </w:numPr>
        <w:ind w:left="624" w:hanging="624"/>
        <w:rPr>
          <w:highlight w:val="none"/>
        </w:rPr>
      </w:pPr>
      <w:bookmarkStart w:id="954" w:name="_Toc22452"/>
      <w:r>
        <w:rPr>
          <w:rFonts w:hint="eastAsia"/>
          <w:highlight w:val="none"/>
        </w:rPr>
        <w:t>8.4.8发包人评估认定专业承包人安全管理人员数量、工作质量无法满足EHS管理需要时，总承包人应当督促专业承包人增加或更换安全管理人员。</w:t>
      </w:r>
      <w:bookmarkEnd w:id="954"/>
    </w:p>
    <w:p w14:paraId="26EEEC61">
      <w:pPr>
        <w:pStyle w:val="5"/>
        <w:numPr>
          <w:ilvl w:val="2"/>
          <w:numId w:val="0"/>
        </w:numPr>
        <w:ind w:left="624" w:hanging="624"/>
        <w:rPr>
          <w:highlight w:val="none"/>
        </w:rPr>
      </w:pPr>
      <w:bookmarkStart w:id="955" w:name="_Toc2535"/>
      <w:r>
        <w:rPr>
          <w:rFonts w:hint="eastAsia"/>
          <w:highlight w:val="none"/>
        </w:rPr>
        <w:t>8.4.9总承包人按法规要求足额配置专职安全管理人员，还应满足以下要求：</w:t>
      </w:r>
      <w:bookmarkEnd w:id="955"/>
    </w:p>
    <w:p w14:paraId="4A2A69EB">
      <w:pPr>
        <w:ind w:firstLine="480"/>
        <w:rPr>
          <w:highlight w:val="none"/>
        </w:rPr>
      </w:pPr>
      <w:r>
        <w:rPr>
          <w:rFonts w:hint="eastAsia"/>
          <w:highlight w:val="none"/>
        </w:rPr>
        <w:t>（1）总包单位进场15日内，应至少到位1名专职安全人员；进场1月内，足额配齐。</w:t>
      </w:r>
    </w:p>
    <w:p w14:paraId="08B2EE0B">
      <w:pPr>
        <w:ind w:firstLine="480"/>
        <w:rPr>
          <w:highlight w:val="none"/>
        </w:rPr>
      </w:pPr>
      <w:r>
        <w:rPr>
          <w:rFonts w:hint="eastAsia"/>
          <w:highlight w:val="none"/>
        </w:rPr>
        <w:t>（2）正式交付前，现场在岗的专职安全管理人员不得低于法规最低配置要求。</w:t>
      </w:r>
    </w:p>
    <w:p w14:paraId="4C588261">
      <w:pPr>
        <w:ind w:firstLine="480"/>
        <w:rPr>
          <w:highlight w:val="none"/>
        </w:rPr>
      </w:pPr>
      <w:r>
        <w:rPr>
          <w:rFonts w:hint="eastAsia"/>
          <w:highlight w:val="none"/>
        </w:rPr>
        <w:t>（3）项目安全负责人需经发包人安全管理部面试后方可入场，面试通过即锁定未经批准不得擅自更换，其余专职安全管理人员需由项目部进行面试。</w:t>
      </w:r>
    </w:p>
    <w:p w14:paraId="0B1139FA">
      <w:pPr>
        <w:pStyle w:val="5"/>
        <w:numPr>
          <w:ilvl w:val="2"/>
          <w:numId w:val="0"/>
        </w:numPr>
        <w:ind w:left="624" w:hanging="624"/>
        <w:rPr>
          <w:highlight w:val="none"/>
        </w:rPr>
      </w:pPr>
      <w:bookmarkStart w:id="956" w:name="_Toc9797"/>
      <w:r>
        <w:rPr>
          <w:rFonts w:hint="eastAsia"/>
          <w:highlight w:val="none"/>
        </w:rPr>
        <w:t>8.4.10总承包人需至少配备1名专职大型设备管理人员，同类型工作年限不少于3年，在大型设备安装前配备到位，设备未完全拆除前不得退场。</w:t>
      </w:r>
      <w:bookmarkEnd w:id="956"/>
    </w:p>
    <w:p w14:paraId="79273D6D">
      <w:pPr>
        <w:pStyle w:val="5"/>
        <w:numPr>
          <w:ilvl w:val="2"/>
          <w:numId w:val="0"/>
        </w:numPr>
        <w:ind w:left="624" w:hanging="624"/>
        <w:rPr>
          <w:highlight w:val="none"/>
        </w:rPr>
      </w:pPr>
      <w:bookmarkStart w:id="957" w:name="_Toc7061"/>
      <w:r>
        <w:rPr>
          <w:rFonts w:hint="eastAsia"/>
          <w:highlight w:val="none"/>
        </w:rPr>
        <w:t>8.4.11专职安全管理人员、专职机械管理员经发包方面试合格后方可进场，上述管理人员更换或者退场时必须事先征得发包人同意后方可实施。</w:t>
      </w:r>
      <w:bookmarkEnd w:id="957"/>
    </w:p>
    <w:p w14:paraId="71BEF86D">
      <w:pPr>
        <w:pStyle w:val="5"/>
        <w:numPr>
          <w:ilvl w:val="2"/>
          <w:numId w:val="0"/>
        </w:numPr>
        <w:ind w:left="624" w:hanging="624"/>
        <w:rPr>
          <w:highlight w:val="none"/>
        </w:rPr>
      </w:pPr>
      <w:bookmarkStart w:id="958" w:name="_Toc6487"/>
      <w:r>
        <w:rPr>
          <w:rFonts w:hint="eastAsia"/>
          <w:highlight w:val="none"/>
        </w:rPr>
        <w:t>8.4.12总承包人应聘用专业保安公司负责现场治安保卫工作对项目实施24小时封闭式管理，驻场安保人员应为男性年龄不得大于45岁，初中以上文化水平，并按照每个门岗不少于两人进行配置，另需配置1人现场流动巡逻。</w:t>
      </w:r>
      <w:bookmarkEnd w:id="958"/>
    </w:p>
    <w:p w14:paraId="623360CC">
      <w:pPr>
        <w:pStyle w:val="5"/>
        <w:numPr>
          <w:ilvl w:val="2"/>
          <w:numId w:val="0"/>
        </w:numPr>
        <w:ind w:left="624" w:hanging="624"/>
        <w:rPr>
          <w:highlight w:val="none"/>
        </w:rPr>
      </w:pPr>
      <w:bookmarkStart w:id="959" w:name="_Toc32695"/>
      <w:r>
        <w:rPr>
          <w:rFonts w:hint="eastAsia"/>
          <w:highlight w:val="none"/>
        </w:rPr>
        <w:t>8.4.1</w:t>
      </w:r>
      <w:r>
        <w:rPr>
          <w:rFonts w:hint="eastAsia"/>
          <w:highlight w:val="none"/>
          <w:lang w:val="en-US" w:eastAsia="zh-CN"/>
        </w:rPr>
        <w:t>3</w:t>
      </w:r>
      <w:r>
        <w:rPr>
          <w:rFonts w:hint="eastAsia"/>
          <w:highlight w:val="none"/>
        </w:rPr>
        <w:t>需要配合上级、政府检查或者发包人认为现场人员不满足要求时，发包人有权要求总承包人增配人员，总承包人应当无条件配合。</w:t>
      </w:r>
      <w:bookmarkEnd w:id="959"/>
    </w:p>
    <w:p w14:paraId="14449DB1">
      <w:pPr>
        <w:pStyle w:val="4"/>
        <w:numPr>
          <w:ilvl w:val="1"/>
          <w:numId w:val="0"/>
        </w:numPr>
        <w:ind w:left="624" w:hanging="624"/>
        <w:rPr>
          <w:highlight w:val="none"/>
        </w:rPr>
      </w:pPr>
      <w:bookmarkStart w:id="960" w:name="_Toc179563021"/>
      <w:bookmarkStart w:id="961" w:name="_Toc32078"/>
      <w:bookmarkStart w:id="962" w:name="_Toc4424"/>
      <w:bookmarkStart w:id="963" w:name="_Toc30639"/>
      <w:bookmarkStart w:id="964" w:name="_Toc27259"/>
      <w:bookmarkStart w:id="965" w:name="_Toc24508"/>
      <w:bookmarkStart w:id="966" w:name="_Toc1942"/>
      <w:r>
        <w:rPr>
          <w:rFonts w:hint="eastAsia"/>
          <w:highlight w:val="none"/>
        </w:rPr>
        <w:t>8.5安全管理一般要求</w:t>
      </w:r>
      <w:bookmarkEnd w:id="960"/>
      <w:bookmarkEnd w:id="961"/>
      <w:bookmarkEnd w:id="962"/>
      <w:bookmarkEnd w:id="963"/>
      <w:bookmarkEnd w:id="964"/>
      <w:bookmarkEnd w:id="965"/>
      <w:bookmarkEnd w:id="966"/>
    </w:p>
    <w:p w14:paraId="7FEB7946">
      <w:pPr>
        <w:pStyle w:val="5"/>
        <w:numPr>
          <w:ilvl w:val="2"/>
          <w:numId w:val="0"/>
        </w:numPr>
        <w:ind w:left="624" w:hanging="624"/>
        <w:rPr>
          <w:highlight w:val="none"/>
        </w:rPr>
      </w:pPr>
      <w:bookmarkStart w:id="967" w:name="_Toc13461"/>
      <w:bookmarkStart w:id="968" w:name="_Toc27790"/>
      <w:r>
        <w:rPr>
          <w:rFonts w:hint="eastAsia"/>
          <w:highlight w:val="none"/>
        </w:rPr>
        <w:t>8.5.1安全文明施工一般规定</w:t>
      </w:r>
      <w:bookmarkEnd w:id="967"/>
      <w:bookmarkEnd w:id="968"/>
    </w:p>
    <w:p w14:paraId="29C02016">
      <w:pPr>
        <w:pStyle w:val="6"/>
        <w:numPr>
          <w:ilvl w:val="3"/>
          <w:numId w:val="0"/>
        </w:numPr>
        <w:ind w:left="864" w:leftChars="100" w:hanging="624"/>
        <w:rPr>
          <w:highlight w:val="none"/>
        </w:rPr>
      </w:pPr>
      <w:r>
        <w:rPr>
          <w:rFonts w:hint="eastAsia"/>
          <w:highlight w:val="none"/>
        </w:rPr>
        <w:t>8.5.1.1根据广州市城乡建委《广州市住房和城乡建设委员会关于全市建设工地纳入视频监管的通知》（穗建质〔2017〕1166号）要求，建立并完善工地的视频监控系统。</w:t>
      </w:r>
    </w:p>
    <w:p w14:paraId="4041CDF8">
      <w:pPr>
        <w:pStyle w:val="6"/>
        <w:numPr>
          <w:ilvl w:val="3"/>
          <w:numId w:val="0"/>
        </w:numPr>
        <w:ind w:left="864" w:leftChars="100" w:hanging="624"/>
        <w:rPr>
          <w:highlight w:val="none"/>
        </w:rPr>
      </w:pPr>
      <w:r>
        <w:rPr>
          <w:rFonts w:hint="eastAsia"/>
          <w:highlight w:val="none"/>
        </w:rPr>
        <w:t>8.5.1.2承包人应按《广州市住房和城乡建设局等9部门关于印发广州市建设工程绿色施工围蔽指导图集（V2.0版）的通知》（穗建质〔2020〕1号）实施。</w:t>
      </w:r>
    </w:p>
    <w:p w14:paraId="7A03080E">
      <w:pPr>
        <w:pStyle w:val="6"/>
        <w:numPr>
          <w:ilvl w:val="3"/>
          <w:numId w:val="0"/>
        </w:numPr>
        <w:ind w:left="864" w:leftChars="100" w:hanging="624"/>
        <w:rPr>
          <w:highlight w:val="none"/>
        </w:rPr>
      </w:pPr>
      <w:r>
        <w:rPr>
          <w:rFonts w:hint="eastAsia"/>
          <w:highlight w:val="none"/>
        </w:rPr>
        <w:t>8.5.1.3严格按照《广州市城乡建设委员会关于印发广州市建设工程绿色施工工作技术指引的通知》（穗建质〔2014〕914号）要求，对建设工程全过程实施绿色施工。</w:t>
      </w:r>
    </w:p>
    <w:p w14:paraId="3617FD80">
      <w:pPr>
        <w:pStyle w:val="6"/>
        <w:numPr>
          <w:ilvl w:val="3"/>
          <w:numId w:val="0"/>
        </w:numPr>
        <w:ind w:left="864" w:leftChars="100" w:hanging="624"/>
        <w:rPr>
          <w:highlight w:val="none"/>
        </w:rPr>
      </w:pPr>
      <w:r>
        <w:rPr>
          <w:rFonts w:hint="eastAsia"/>
          <w:highlight w:val="none"/>
        </w:rPr>
        <w:t>8.5.1.4严格按照《广州市住房和城乡建设局等8部门关于印发广州市建设工程扬尘防治“6个100%”管理标准图集（V2.0版）的通知》的要求，对建设工程全过程实施扬尘防治。</w:t>
      </w:r>
    </w:p>
    <w:p w14:paraId="4195E9B7">
      <w:pPr>
        <w:pStyle w:val="6"/>
        <w:numPr>
          <w:ilvl w:val="3"/>
          <w:numId w:val="0"/>
        </w:numPr>
        <w:ind w:left="864" w:leftChars="100" w:hanging="624"/>
        <w:rPr>
          <w:highlight w:val="none"/>
        </w:rPr>
      </w:pPr>
      <w:r>
        <w:rPr>
          <w:rFonts w:hint="eastAsia"/>
          <w:highlight w:val="none"/>
        </w:rPr>
        <w:t>8.5.1.5严格执行《广州安居集团建设工程文明施工规程》，符合发包人关于安全文明施工管理的相关规定。</w:t>
      </w:r>
    </w:p>
    <w:p w14:paraId="136CAD30">
      <w:pPr>
        <w:pStyle w:val="5"/>
        <w:numPr>
          <w:ilvl w:val="2"/>
          <w:numId w:val="0"/>
        </w:numPr>
        <w:ind w:left="624" w:hanging="624"/>
        <w:rPr>
          <w:highlight w:val="none"/>
        </w:rPr>
      </w:pPr>
      <w:bookmarkStart w:id="969" w:name="_Toc18419"/>
      <w:bookmarkStart w:id="970" w:name="_Toc11135"/>
      <w:r>
        <w:rPr>
          <w:rFonts w:hint="eastAsia"/>
          <w:highlight w:val="none"/>
        </w:rPr>
        <w:t>8.5.2环境保护一般规定</w:t>
      </w:r>
      <w:bookmarkEnd w:id="969"/>
      <w:bookmarkEnd w:id="970"/>
    </w:p>
    <w:p w14:paraId="226C21A0">
      <w:pPr>
        <w:ind w:firstLine="480"/>
        <w:rPr>
          <w:highlight w:val="none"/>
        </w:rPr>
      </w:pPr>
      <w:r>
        <w:rPr>
          <w:rFonts w:hint="eastAsia"/>
          <w:highlight w:val="none"/>
        </w:rPr>
        <w:t>承包人应在进入现场前向监理单位提交施工期间的环境保护方案，经监理工程师批准后实施。在实施过程中所采用的材料、设备等经监理工程师和发包人同意后使用。</w:t>
      </w:r>
    </w:p>
    <w:p w14:paraId="3DD06856">
      <w:pPr>
        <w:pStyle w:val="5"/>
        <w:numPr>
          <w:ilvl w:val="2"/>
          <w:numId w:val="0"/>
        </w:numPr>
        <w:ind w:left="624" w:hanging="624"/>
        <w:rPr>
          <w:highlight w:val="none"/>
        </w:rPr>
      </w:pPr>
      <w:bookmarkStart w:id="971" w:name="_Toc17977"/>
      <w:bookmarkStart w:id="972" w:name="_Toc10782"/>
      <w:r>
        <w:rPr>
          <w:rFonts w:hint="eastAsia"/>
          <w:highlight w:val="none"/>
        </w:rPr>
        <w:t>8.5.3职业健康一般规定</w:t>
      </w:r>
      <w:bookmarkEnd w:id="971"/>
      <w:bookmarkEnd w:id="972"/>
    </w:p>
    <w:p w14:paraId="13FF038B">
      <w:pPr>
        <w:ind w:firstLine="480"/>
        <w:rPr>
          <w:highlight w:val="none"/>
        </w:rPr>
      </w:pPr>
      <w:r>
        <w:rPr>
          <w:rFonts w:hint="eastAsia"/>
          <w:highlight w:val="none"/>
        </w:rPr>
        <w:t>承包人应依法为其履行合同所雇用的人员办理必要的证件、许可、保险和注册等按照法律规定保障现场施工人员的劳动安全，提供劳动保护,采取有效的防止粉尘、降低噪声、控制有害气体和保障高温、高寒、高空作业安全等劳动保护措施。承包人雇佣人员在施工中受到伤害的，承包人应立即采取有效措施进行抢救和治疗。承包人应为其履行合同所雇用的人员提供必要的膳宿条件和生活环境，采取有效措施预防传染病，保证施工人员的健康。</w:t>
      </w:r>
    </w:p>
    <w:p w14:paraId="0ACAF466">
      <w:pPr>
        <w:pStyle w:val="4"/>
        <w:numPr>
          <w:ilvl w:val="1"/>
          <w:numId w:val="0"/>
        </w:numPr>
        <w:ind w:left="624" w:hanging="624"/>
        <w:rPr>
          <w:highlight w:val="none"/>
        </w:rPr>
      </w:pPr>
      <w:bookmarkStart w:id="973" w:name="_Toc13967"/>
      <w:bookmarkStart w:id="974" w:name="_Toc169722251"/>
      <w:bookmarkStart w:id="975" w:name="_Toc6041"/>
      <w:bookmarkStart w:id="976" w:name="_Toc12666"/>
      <w:bookmarkStart w:id="977" w:name="_Toc19449"/>
      <w:bookmarkStart w:id="978" w:name="_Toc14589"/>
      <w:bookmarkStart w:id="979" w:name="_Toc179563022"/>
      <w:bookmarkStart w:id="980" w:name="_Toc29529"/>
      <w:r>
        <w:rPr>
          <w:rFonts w:hint="eastAsia"/>
          <w:highlight w:val="none"/>
        </w:rPr>
        <w:t>8.6安全</w:t>
      </w:r>
      <w:r>
        <w:rPr>
          <w:highlight w:val="none"/>
        </w:rPr>
        <w:t>生产管理协议</w:t>
      </w:r>
      <w:bookmarkEnd w:id="973"/>
      <w:bookmarkEnd w:id="974"/>
      <w:bookmarkEnd w:id="975"/>
      <w:bookmarkEnd w:id="976"/>
      <w:bookmarkEnd w:id="977"/>
      <w:bookmarkEnd w:id="978"/>
      <w:bookmarkEnd w:id="979"/>
      <w:bookmarkEnd w:id="980"/>
    </w:p>
    <w:p w14:paraId="30944B1F">
      <w:pPr>
        <w:pStyle w:val="5"/>
        <w:numPr>
          <w:ilvl w:val="2"/>
          <w:numId w:val="0"/>
        </w:numPr>
        <w:ind w:left="624" w:hanging="624"/>
        <w:rPr>
          <w:highlight w:val="none"/>
        </w:rPr>
      </w:pPr>
      <w:bookmarkStart w:id="981" w:name="_Toc31726"/>
      <w:r>
        <w:rPr>
          <w:rFonts w:hint="eastAsia"/>
          <w:highlight w:val="none"/>
        </w:rPr>
        <w:t>8.6.1总承包人</w:t>
      </w:r>
      <w:r>
        <w:rPr>
          <w:highlight w:val="none"/>
        </w:rPr>
        <w:t>与</w:t>
      </w:r>
      <w:r>
        <w:rPr>
          <w:rFonts w:hint="eastAsia"/>
          <w:highlight w:val="none"/>
        </w:rPr>
        <w:t>专业承包人</w:t>
      </w:r>
      <w:r>
        <w:rPr>
          <w:highlight w:val="none"/>
        </w:rPr>
        <w:t>的协议</w:t>
      </w:r>
      <w:bookmarkEnd w:id="981"/>
    </w:p>
    <w:p w14:paraId="5F70ECBE">
      <w:pPr>
        <w:pStyle w:val="6"/>
        <w:numPr>
          <w:ilvl w:val="3"/>
          <w:numId w:val="0"/>
        </w:numPr>
        <w:ind w:left="864" w:leftChars="100" w:hanging="624"/>
        <w:rPr>
          <w:highlight w:val="none"/>
        </w:rPr>
      </w:pPr>
      <w:r>
        <w:rPr>
          <w:rFonts w:hint="eastAsia"/>
          <w:highlight w:val="none"/>
        </w:rPr>
        <w:t>8.6.1.1总承包人必须在专业承包人进场时与其签订《安全生产管理协议》，明确双方EHS管理责任与义务等内容。</w:t>
      </w:r>
    </w:p>
    <w:p w14:paraId="7299F48B">
      <w:pPr>
        <w:pStyle w:val="6"/>
        <w:numPr>
          <w:ilvl w:val="3"/>
          <w:numId w:val="0"/>
        </w:numPr>
        <w:ind w:left="864" w:leftChars="100" w:hanging="624"/>
        <w:rPr>
          <w:highlight w:val="none"/>
        </w:rPr>
      </w:pPr>
      <w:r>
        <w:rPr>
          <w:rFonts w:hint="eastAsia"/>
          <w:highlight w:val="none"/>
        </w:rPr>
        <w:t>8.6.1.2总承包人与专业承包人签订《安全生产管理协议》等协议时，必须将发包人的安全管理要求向专业承包人书面交底，并监督其认真遵守与执行。</w:t>
      </w:r>
    </w:p>
    <w:p w14:paraId="5B52EA9A">
      <w:pPr>
        <w:pStyle w:val="5"/>
        <w:numPr>
          <w:ilvl w:val="2"/>
          <w:numId w:val="0"/>
        </w:numPr>
        <w:ind w:left="624" w:hanging="624"/>
        <w:rPr>
          <w:highlight w:val="none"/>
        </w:rPr>
      </w:pPr>
      <w:bookmarkStart w:id="982" w:name="_Toc8099"/>
      <w:r>
        <w:rPr>
          <w:rFonts w:hint="eastAsia"/>
          <w:highlight w:val="none"/>
        </w:rPr>
        <w:t>8.6.2其他</w:t>
      </w:r>
      <w:r>
        <w:rPr>
          <w:highlight w:val="none"/>
        </w:rPr>
        <w:t>协议</w:t>
      </w:r>
      <w:bookmarkEnd w:id="982"/>
    </w:p>
    <w:p w14:paraId="759DF89A">
      <w:pPr>
        <w:pStyle w:val="6"/>
        <w:numPr>
          <w:ilvl w:val="3"/>
          <w:numId w:val="0"/>
        </w:numPr>
        <w:ind w:left="864" w:leftChars="100" w:hanging="624"/>
        <w:rPr>
          <w:highlight w:val="none"/>
        </w:rPr>
      </w:pPr>
      <w:r>
        <w:rPr>
          <w:rFonts w:hint="eastAsia"/>
          <w:highlight w:val="none"/>
        </w:rPr>
        <w:t>8.6.2.1总承包人与其他单位存在作业交叉时，总承包人必须与其他单位签订《安全生产管理协议》，并履行自身安全生产管理责任。上述其他单位包括但不限于下列单位：毗邻本工程的本项目其他标段的施工单位，毗邻本工程的道路等红线外施工单位，毗邻本工程的其他房屋市政工程施工单位。</w:t>
      </w:r>
    </w:p>
    <w:p w14:paraId="6FFC17CF">
      <w:pPr>
        <w:pStyle w:val="4"/>
        <w:numPr>
          <w:ilvl w:val="1"/>
          <w:numId w:val="0"/>
        </w:numPr>
        <w:ind w:left="624" w:hanging="624"/>
        <w:rPr>
          <w:highlight w:val="none"/>
        </w:rPr>
      </w:pPr>
      <w:bookmarkStart w:id="983" w:name="_Toc179563023"/>
      <w:bookmarkStart w:id="984" w:name="_Toc32461"/>
      <w:bookmarkStart w:id="985" w:name="_Toc4757"/>
      <w:bookmarkStart w:id="986" w:name="_Toc11596"/>
      <w:bookmarkStart w:id="987" w:name="_Toc3112"/>
      <w:bookmarkStart w:id="988" w:name="_Toc10745"/>
      <w:bookmarkStart w:id="989" w:name="_Toc169722252"/>
      <w:bookmarkStart w:id="990" w:name="_Toc29751"/>
      <w:r>
        <w:rPr>
          <w:rFonts w:hint="eastAsia"/>
          <w:highlight w:val="none"/>
        </w:rPr>
        <w:t>8.7安全</w:t>
      </w:r>
      <w:r>
        <w:rPr>
          <w:highlight w:val="none"/>
        </w:rPr>
        <w:t>生产费用</w:t>
      </w:r>
      <w:r>
        <w:rPr>
          <w:rFonts w:hint="eastAsia"/>
          <w:highlight w:val="none"/>
        </w:rPr>
        <w:t>管理</w:t>
      </w:r>
      <w:bookmarkEnd w:id="983"/>
      <w:bookmarkEnd w:id="984"/>
      <w:bookmarkEnd w:id="985"/>
      <w:bookmarkEnd w:id="986"/>
      <w:bookmarkEnd w:id="987"/>
      <w:bookmarkEnd w:id="988"/>
      <w:bookmarkEnd w:id="989"/>
      <w:bookmarkEnd w:id="990"/>
    </w:p>
    <w:p w14:paraId="50A5B9DE">
      <w:pPr>
        <w:pStyle w:val="5"/>
        <w:numPr>
          <w:ilvl w:val="2"/>
          <w:numId w:val="0"/>
        </w:numPr>
        <w:ind w:left="624" w:hanging="624"/>
        <w:rPr>
          <w:highlight w:val="none"/>
        </w:rPr>
      </w:pPr>
      <w:bookmarkStart w:id="991" w:name="_Toc26639"/>
      <w:r>
        <w:rPr>
          <w:rFonts w:hint="eastAsia"/>
          <w:highlight w:val="none"/>
        </w:rPr>
        <w:t>8.7.1费用报价与组成</w:t>
      </w:r>
      <w:bookmarkEnd w:id="991"/>
    </w:p>
    <w:p w14:paraId="79E03A86">
      <w:pPr>
        <w:pStyle w:val="6"/>
        <w:numPr>
          <w:ilvl w:val="3"/>
          <w:numId w:val="0"/>
        </w:numPr>
        <w:ind w:left="864" w:leftChars="100" w:hanging="624"/>
        <w:rPr>
          <w:highlight w:val="none"/>
        </w:rPr>
      </w:pPr>
      <w:r>
        <w:rPr>
          <w:rFonts w:hint="eastAsia"/>
          <w:highlight w:val="none"/>
        </w:rPr>
        <w:t>8.7.1.1总承包人必须按照国家及当地有关安全文明施工措施费的规定。</w:t>
      </w:r>
    </w:p>
    <w:p w14:paraId="12F14B33">
      <w:pPr>
        <w:pStyle w:val="6"/>
        <w:numPr>
          <w:ilvl w:val="3"/>
          <w:numId w:val="0"/>
        </w:numPr>
        <w:ind w:left="864" w:leftChars="100" w:hanging="624"/>
        <w:rPr>
          <w:highlight w:val="none"/>
        </w:rPr>
      </w:pPr>
      <w:r>
        <w:rPr>
          <w:rFonts w:hint="eastAsia"/>
          <w:highlight w:val="none"/>
        </w:rPr>
        <w:t>8.7.1.2总承包人项目安全生产费用应当用于以下支出：</w:t>
      </w:r>
    </w:p>
    <w:p w14:paraId="085B1E04">
      <w:pPr>
        <w:numPr>
          <w:ilvl w:val="0"/>
          <w:numId w:val="159"/>
        </w:numPr>
        <w:ind w:firstLine="480"/>
        <w:rPr>
          <w:highlight w:val="none"/>
        </w:rPr>
      </w:pPr>
      <w:r>
        <w:rPr>
          <w:rFonts w:hint="eastAsia"/>
          <w:highlight w:val="none"/>
        </w:rPr>
        <w:t>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14:paraId="2DF6A203">
      <w:pPr>
        <w:numPr>
          <w:ilvl w:val="0"/>
          <w:numId w:val="159"/>
        </w:numPr>
        <w:ind w:firstLine="480"/>
        <w:rPr>
          <w:highlight w:val="none"/>
        </w:rPr>
      </w:pPr>
      <w:r>
        <w:rPr>
          <w:rFonts w:hint="eastAsia"/>
          <w:highlight w:val="none"/>
        </w:rPr>
        <w:t>应急救援技术装备、设施配置及维护保养支出，事故逃生和紧急避难设施设备的配置和应急救援队伍建设、应急预案制修订与应急演练支出；</w:t>
      </w:r>
    </w:p>
    <w:p w14:paraId="3C4E0124">
      <w:pPr>
        <w:numPr>
          <w:ilvl w:val="0"/>
          <w:numId w:val="159"/>
        </w:numPr>
        <w:ind w:firstLine="480"/>
        <w:rPr>
          <w:highlight w:val="none"/>
        </w:rPr>
      </w:pPr>
      <w:r>
        <w:rPr>
          <w:rFonts w:hint="eastAsia"/>
          <w:highlight w:val="none"/>
        </w:rPr>
        <w:t>开展施工现场重大危险源检测、评估、监控支出，安全风险分级管控和事故隐患排查整改支出，工程项目安全生产信息化建设、运维和网络安全支出；</w:t>
      </w:r>
    </w:p>
    <w:p w14:paraId="51A63D8A">
      <w:pPr>
        <w:numPr>
          <w:ilvl w:val="0"/>
          <w:numId w:val="159"/>
        </w:numPr>
        <w:ind w:firstLine="480"/>
        <w:rPr>
          <w:highlight w:val="none"/>
        </w:rPr>
      </w:pPr>
      <w:r>
        <w:rPr>
          <w:rFonts w:hint="eastAsia"/>
          <w:highlight w:val="none"/>
        </w:rPr>
        <w:t>安全生产检查、评估评价、咨询和标准化建设支出；</w:t>
      </w:r>
    </w:p>
    <w:p w14:paraId="776D850B">
      <w:pPr>
        <w:numPr>
          <w:ilvl w:val="0"/>
          <w:numId w:val="159"/>
        </w:numPr>
        <w:ind w:firstLine="480"/>
        <w:rPr>
          <w:highlight w:val="none"/>
        </w:rPr>
      </w:pPr>
      <w:r>
        <w:rPr>
          <w:rFonts w:hint="eastAsia"/>
          <w:highlight w:val="none"/>
        </w:rPr>
        <w:t>配备和更新现场作业人员安全防护用品支出；</w:t>
      </w:r>
    </w:p>
    <w:p w14:paraId="1FEA58F0">
      <w:pPr>
        <w:numPr>
          <w:ilvl w:val="0"/>
          <w:numId w:val="159"/>
        </w:numPr>
        <w:ind w:firstLine="480"/>
        <w:rPr>
          <w:highlight w:val="none"/>
        </w:rPr>
      </w:pPr>
      <w:r>
        <w:rPr>
          <w:rFonts w:hint="eastAsia"/>
          <w:highlight w:val="none"/>
        </w:rPr>
        <w:t>安全生产宣传、教育、培训和从业人员发现并报告事故隐患的奖励支出；</w:t>
      </w:r>
    </w:p>
    <w:p w14:paraId="69940BF9">
      <w:pPr>
        <w:numPr>
          <w:ilvl w:val="0"/>
          <w:numId w:val="159"/>
        </w:numPr>
        <w:ind w:firstLine="480"/>
        <w:rPr>
          <w:highlight w:val="none"/>
        </w:rPr>
      </w:pPr>
      <w:r>
        <w:rPr>
          <w:rFonts w:hint="eastAsia"/>
          <w:highlight w:val="none"/>
        </w:rPr>
        <w:t>安全生产适用的新技术、新标准、新工艺、新装备的推广应用支出；</w:t>
      </w:r>
    </w:p>
    <w:p w14:paraId="3E03295D">
      <w:pPr>
        <w:numPr>
          <w:ilvl w:val="0"/>
          <w:numId w:val="159"/>
        </w:numPr>
        <w:ind w:firstLine="480"/>
        <w:rPr>
          <w:highlight w:val="none"/>
        </w:rPr>
      </w:pPr>
      <w:r>
        <w:rPr>
          <w:rFonts w:hint="eastAsia"/>
          <w:highlight w:val="none"/>
        </w:rPr>
        <w:t>安全设施及特种设备检测检验、检定校准支出；</w:t>
      </w:r>
    </w:p>
    <w:p w14:paraId="75144129">
      <w:pPr>
        <w:numPr>
          <w:ilvl w:val="0"/>
          <w:numId w:val="159"/>
        </w:numPr>
        <w:ind w:firstLine="480"/>
        <w:rPr>
          <w:highlight w:val="none"/>
        </w:rPr>
      </w:pPr>
      <w:r>
        <w:rPr>
          <w:rFonts w:hint="eastAsia"/>
          <w:highlight w:val="none"/>
        </w:rPr>
        <w:t>安全生产责任保险支出；</w:t>
      </w:r>
    </w:p>
    <w:p w14:paraId="6935EC2B">
      <w:pPr>
        <w:numPr>
          <w:ilvl w:val="0"/>
          <w:numId w:val="159"/>
        </w:numPr>
        <w:ind w:left="0" w:firstLine="480"/>
        <w:rPr>
          <w:highlight w:val="none"/>
        </w:rPr>
      </w:pPr>
      <w:r>
        <w:rPr>
          <w:rFonts w:hint="eastAsia"/>
          <w:highlight w:val="none"/>
        </w:rPr>
        <w:t>与安全生产直接相关的其他支出。</w:t>
      </w:r>
    </w:p>
    <w:p w14:paraId="2C09601C">
      <w:pPr>
        <w:pStyle w:val="5"/>
        <w:numPr>
          <w:ilvl w:val="2"/>
          <w:numId w:val="0"/>
        </w:numPr>
        <w:ind w:left="624" w:hanging="624"/>
        <w:rPr>
          <w:highlight w:val="none"/>
        </w:rPr>
      </w:pPr>
      <w:bookmarkStart w:id="992" w:name="_Toc26046"/>
      <w:r>
        <w:rPr>
          <w:rFonts w:hint="eastAsia"/>
          <w:highlight w:val="none"/>
        </w:rPr>
        <w:t>8.7.2费用</w:t>
      </w:r>
      <w:r>
        <w:rPr>
          <w:highlight w:val="none"/>
        </w:rPr>
        <w:t>管理</w:t>
      </w:r>
      <w:bookmarkEnd w:id="992"/>
    </w:p>
    <w:p w14:paraId="619ABB22">
      <w:pPr>
        <w:pStyle w:val="6"/>
        <w:numPr>
          <w:ilvl w:val="3"/>
          <w:numId w:val="0"/>
        </w:numPr>
        <w:ind w:left="864" w:leftChars="100" w:hanging="624"/>
        <w:rPr>
          <w:highlight w:val="none"/>
        </w:rPr>
      </w:pPr>
      <w:r>
        <w:rPr>
          <w:rFonts w:hint="eastAsia"/>
          <w:highlight w:val="none"/>
        </w:rPr>
        <w:t>8.7.2.1开工前，承包人应制定安全文明施工方案及年度安全文明措施费投入计划，安全文明措施费必须按照工程进度及合同条款要求足额投入，监理单位和发包人定期组织现场验收。承包人须定期上报安全文明措施费使用情况，并提供有效证明材料，上报监理单位及发包人审核。承包人在施工过程中必须严格执行安全文明施工方案，安全防护、文明施工的内容按承包人向发包人提交且经发包人批准的详细的施工组织设计实施，包括且不限于施工的安全设施、机具以及围网、护栏、高压线防护、管线防护、临边防护、涉铁涉路防护、施工通道等，全部按发包人或产权单位的要求统一标准、统一标识。所需安全防护、文明施工措施费必须专款专用，严禁挪用，一经发现，根据合同约定处理。</w:t>
      </w:r>
    </w:p>
    <w:p w14:paraId="155510EB">
      <w:pPr>
        <w:pStyle w:val="6"/>
        <w:numPr>
          <w:ilvl w:val="3"/>
          <w:numId w:val="0"/>
        </w:numPr>
        <w:ind w:left="864" w:leftChars="100" w:hanging="624"/>
        <w:rPr>
          <w:highlight w:val="none"/>
        </w:rPr>
      </w:pPr>
      <w:r>
        <w:rPr>
          <w:rFonts w:hint="eastAsia"/>
          <w:highlight w:val="none"/>
        </w:rPr>
        <w:t>8.7.2.2总承包人必须建立健全安全生产费用管理制度，建立专项安全生产费用使用台账，每月报监理人审查。</w:t>
      </w:r>
    </w:p>
    <w:p w14:paraId="4627BE87">
      <w:pPr>
        <w:pStyle w:val="6"/>
        <w:numPr>
          <w:ilvl w:val="3"/>
          <w:numId w:val="0"/>
        </w:numPr>
        <w:ind w:left="864" w:leftChars="100" w:hanging="624"/>
        <w:rPr>
          <w:highlight w:val="none"/>
        </w:rPr>
      </w:pPr>
      <w:r>
        <w:rPr>
          <w:rFonts w:hint="eastAsia"/>
          <w:highlight w:val="none"/>
        </w:rPr>
        <w:t>8.7.2.3总承包人未按规范要求、合同约定及发包人安全规定落实安全文明施工措施的，发包人有权对该部分安全生产费用予以追缴，并责令总承包人限期整改。</w:t>
      </w:r>
    </w:p>
    <w:p w14:paraId="63F9F5C0">
      <w:pPr>
        <w:pStyle w:val="6"/>
        <w:numPr>
          <w:ilvl w:val="3"/>
          <w:numId w:val="0"/>
        </w:numPr>
        <w:ind w:left="864" w:leftChars="100" w:hanging="624"/>
        <w:rPr>
          <w:highlight w:val="none"/>
        </w:rPr>
      </w:pPr>
      <w:r>
        <w:rPr>
          <w:rFonts w:hint="eastAsia"/>
          <w:highlight w:val="none"/>
        </w:rPr>
        <w:t>8.7.2.4总承包人在安全生产费用使用管理中存在挪用、克扣、滥用或虚报等违规行为时，发包人将对总承包人进行相应处罚。因总承包人安全生产费用管理不善导致的任何不良后果，承包人承担全部责任。</w:t>
      </w:r>
    </w:p>
    <w:p w14:paraId="70C06F8D">
      <w:pPr>
        <w:pStyle w:val="6"/>
        <w:numPr>
          <w:ilvl w:val="3"/>
          <w:numId w:val="0"/>
        </w:numPr>
        <w:ind w:left="864" w:leftChars="100" w:hanging="624"/>
        <w:rPr>
          <w:highlight w:val="none"/>
        </w:rPr>
      </w:pPr>
      <w:r>
        <w:rPr>
          <w:rFonts w:hint="eastAsia"/>
          <w:highlight w:val="none"/>
        </w:rPr>
        <w:t>8.7.2.5总承包人必须按合同约定及有关规定及时向专业承包人支付安全生产费用，并监督、核查专业承包人安全文明施工措施落实情况，保障安全生产费用足额使用。</w:t>
      </w:r>
    </w:p>
    <w:p w14:paraId="488B1E08">
      <w:pPr>
        <w:pStyle w:val="4"/>
        <w:numPr>
          <w:ilvl w:val="1"/>
          <w:numId w:val="0"/>
        </w:numPr>
        <w:ind w:left="624" w:hanging="624"/>
        <w:rPr>
          <w:highlight w:val="none"/>
        </w:rPr>
      </w:pPr>
      <w:bookmarkStart w:id="993" w:name="_Toc6380"/>
      <w:bookmarkStart w:id="994" w:name="_Toc3454"/>
      <w:bookmarkStart w:id="995" w:name="_Toc15953"/>
      <w:bookmarkStart w:id="996" w:name="_Toc21692"/>
      <w:bookmarkStart w:id="997" w:name="_Toc179563024"/>
      <w:bookmarkStart w:id="998" w:name="_Toc5947"/>
      <w:bookmarkStart w:id="999" w:name="_Toc10522"/>
      <w:bookmarkStart w:id="1000" w:name="_Toc12038"/>
      <w:bookmarkStart w:id="1001" w:name="_Toc169722253"/>
      <w:r>
        <w:rPr>
          <w:rFonts w:hint="eastAsia"/>
          <w:highlight w:val="none"/>
        </w:rPr>
        <w:t>8.8危险性较大工程的安全管理</w:t>
      </w:r>
      <w:bookmarkEnd w:id="993"/>
      <w:bookmarkEnd w:id="994"/>
      <w:bookmarkEnd w:id="995"/>
      <w:bookmarkEnd w:id="996"/>
      <w:bookmarkEnd w:id="997"/>
      <w:bookmarkEnd w:id="998"/>
      <w:bookmarkEnd w:id="999"/>
      <w:bookmarkEnd w:id="1000"/>
    </w:p>
    <w:p w14:paraId="0A3841A6">
      <w:pPr>
        <w:ind w:firstLine="480"/>
        <w:rPr>
          <w:highlight w:val="none"/>
        </w:rPr>
      </w:pPr>
      <w:r>
        <w:rPr>
          <w:rFonts w:hint="eastAsia"/>
          <w:highlight w:val="none"/>
        </w:rPr>
        <w:t>危险性较大的分部分项工程《危险性较大的分部分项工程安全管理规定》(中华人民共和国住房和城乡建设部令第37号)等文规定执行。本工程可能涉及的危大工程包括但不限于下表所列内容，承包人应根据现场实际和国家及广东省要求及时完善补充。</w:t>
      </w:r>
    </w:p>
    <w:p w14:paraId="680B0FEF">
      <w:pPr>
        <w:ind w:firstLine="424"/>
        <w:rPr>
          <w:rFonts w:cs="宋体"/>
          <w:spacing w:val="-4"/>
          <w:sz w:val="22"/>
          <w:szCs w:val="22"/>
          <w:highlight w:val="none"/>
          <w:lang w:bidi="ar"/>
        </w:r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6146"/>
        <w:gridCol w:w="1945"/>
      </w:tblGrid>
      <w:tr w14:paraId="073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pct"/>
            <w:tcBorders>
              <w:top w:val="single" w:color="auto" w:sz="4" w:space="0"/>
              <w:left w:val="single" w:color="auto" w:sz="4" w:space="0"/>
              <w:bottom w:val="single" w:color="auto" w:sz="4" w:space="0"/>
              <w:right w:val="single" w:color="auto" w:sz="4" w:space="0"/>
            </w:tcBorders>
            <w:noWrap w:val="0"/>
            <w:vAlign w:val="center"/>
          </w:tcPr>
          <w:p w14:paraId="6B67E238">
            <w:pPr>
              <w:pStyle w:val="13"/>
              <w:rPr>
                <w:b/>
                <w:bCs/>
                <w:highlight w:val="none"/>
              </w:rPr>
            </w:pPr>
            <w:r>
              <w:rPr>
                <w:rFonts w:hint="eastAsia"/>
                <w:b/>
                <w:bCs/>
                <w:highlight w:val="none"/>
              </w:rPr>
              <w:t>序号</w:t>
            </w:r>
          </w:p>
        </w:tc>
        <w:tc>
          <w:tcPr>
            <w:tcW w:w="3391" w:type="pct"/>
            <w:tcBorders>
              <w:top w:val="single" w:color="auto" w:sz="4" w:space="0"/>
              <w:left w:val="single" w:color="auto" w:sz="4" w:space="0"/>
              <w:bottom w:val="single" w:color="auto" w:sz="4" w:space="0"/>
              <w:right w:val="single" w:color="auto" w:sz="4" w:space="0"/>
            </w:tcBorders>
            <w:noWrap w:val="0"/>
            <w:vAlign w:val="center"/>
          </w:tcPr>
          <w:p w14:paraId="68DD72A2">
            <w:pPr>
              <w:pStyle w:val="13"/>
              <w:rPr>
                <w:b/>
                <w:bCs/>
                <w:highlight w:val="none"/>
              </w:rPr>
            </w:pPr>
            <w:r>
              <w:rPr>
                <w:rFonts w:hint="eastAsia"/>
                <w:b/>
                <w:bCs/>
                <w:highlight w:val="none"/>
              </w:rPr>
              <w:t>危险性较大的分部分项工程名称</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C613C24">
            <w:pPr>
              <w:pStyle w:val="13"/>
              <w:rPr>
                <w:b/>
                <w:bCs/>
                <w:highlight w:val="none"/>
              </w:rPr>
            </w:pPr>
            <w:r>
              <w:rPr>
                <w:rFonts w:hint="eastAsia"/>
                <w:b/>
                <w:bCs/>
                <w:highlight w:val="none"/>
              </w:rPr>
              <w:t>备注</w:t>
            </w:r>
          </w:p>
        </w:tc>
      </w:tr>
      <w:tr w14:paraId="4362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pct"/>
            <w:tcBorders>
              <w:top w:val="single" w:color="auto" w:sz="4" w:space="0"/>
              <w:left w:val="single" w:color="auto" w:sz="4" w:space="0"/>
              <w:bottom w:val="single" w:color="auto" w:sz="4" w:space="0"/>
              <w:right w:val="single" w:color="auto" w:sz="4" w:space="0"/>
            </w:tcBorders>
            <w:noWrap w:val="0"/>
            <w:vAlign w:val="center"/>
          </w:tcPr>
          <w:p w14:paraId="7CD85B1A">
            <w:pPr>
              <w:pStyle w:val="13"/>
              <w:rPr>
                <w:highlight w:val="none"/>
              </w:rPr>
            </w:pPr>
            <w:r>
              <w:rPr>
                <w:rFonts w:hint="eastAsia"/>
                <w:highlight w:val="none"/>
              </w:rPr>
              <w:t>1</w:t>
            </w:r>
          </w:p>
        </w:tc>
        <w:tc>
          <w:tcPr>
            <w:tcW w:w="3391" w:type="pct"/>
            <w:tcBorders>
              <w:top w:val="single" w:color="auto" w:sz="4" w:space="0"/>
              <w:left w:val="single" w:color="auto" w:sz="4" w:space="0"/>
              <w:bottom w:val="single" w:color="auto" w:sz="4" w:space="0"/>
              <w:right w:val="single" w:color="auto" w:sz="4" w:space="0"/>
            </w:tcBorders>
            <w:noWrap w:val="0"/>
            <w:vAlign w:val="center"/>
          </w:tcPr>
          <w:p w14:paraId="466A1A82">
            <w:pPr>
              <w:pStyle w:val="13"/>
              <w:rPr>
                <w:highlight w:val="none"/>
              </w:rPr>
            </w:pPr>
            <w:r>
              <w:rPr>
                <w:rFonts w:hint="eastAsia" w:ascii="宋体" w:hAnsi="宋体"/>
                <w:sz w:val="24"/>
                <w:szCs w:val="24"/>
              </w:rPr>
              <w:t>可能影响行人、交通、电力设施、通讯设施或其它建、构筑物安全的拆除工程。</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A2A6737">
            <w:pPr>
              <w:pStyle w:val="13"/>
              <w:rPr>
                <w:highlight w:val="none"/>
              </w:rPr>
            </w:pPr>
          </w:p>
        </w:tc>
      </w:tr>
    </w:tbl>
    <w:p w14:paraId="6B9C4EB6">
      <w:pPr>
        <w:ind w:firstLine="480"/>
        <w:rPr>
          <w:highlight w:val="none"/>
        </w:rPr>
      </w:pPr>
      <w:r>
        <w:rPr>
          <w:rFonts w:hint="eastAsia"/>
          <w:highlight w:val="none"/>
        </w:rPr>
        <w:t>危险性较大的分部分项工程施工前必须按照规定编制专项施工方案，对于超过一定规模的危险性较大的分部分项工程，除编制专项施工方案外承包人还应按照规定及时组织专家论证，相关专家应选用自政府、行业协会或发包人的专家库。承包人在动力设备、输电线路、地下管道、密封防震车间、易燃易爆地段以及临街交通要道附近施工时，施工开始前应向发包人和监理人提出安全防护措施，经发包人认可后实施。</w:t>
      </w:r>
    </w:p>
    <w:p w14:paraId="4384FE7D">
      <w:pPr>
        <w:ind w:firstLine="480"/>
        <w:rPr>
          <w:highlight w:val="none"/>
        </w:rPr>
      </w:pPr>
      <w:r>
        <w:rPr>
          <w:rFonts w:hint="eastAsia"/>
          <w:highlight w:val="none"/>
        </w:rPr>
        <w:t>实施爆破作业，在放射、毒害性环境中施工（含储存、运输、使用）及使用毒害性、腐蚀性物品施工时，承包人应在施工前7天以书面通知发包人和监理人，并报送相应的安全防护措施，经发包人认可后实施。</w:t>
      </w:r>
    </w:p>
    <w:bookmarkEnd w:id="1001"/>
    <w:p w14:paraId="1B0D550A">
      <w:pPr>
        <w:pStyle w:val="4"/>
        <w:numPr>
          <w:ilvl w:val="1"/>
          <w:numId w:val="0"/>
        </w:numPr>
        <w:ind w:left="624" w:hanging="624"/>
        <w:rPr>
          <w:highlight w:val="none"/>
        </w:rPr>
      </w:pPr>
      <w:bookmarkStart w:id="1002" w:name="_Toc22450"/>
      <w:bookmarkStart w:id="1003" w:name="_Toc7676"/>
      <w:bookmarkStart w:id="1004" w:name="_Toc16783"/>
      <w:bookmarkStart w:id="1005" w:name="_Toc169722254"/>
      <w:bookmarkStart w:id="1006" w:name="_Toc179563025"/>
      <w:bookmarkStart w:id="1007" w:name="_Toc8710"/>
      <w:bookmarkStart w:id="1008" w:name="_Toc8345"/>
      <w:bookmarkStart w:id="1009" w:name="_Toc3196"/>
      <w:r>
        <w:rPr>
          <w:rFonts w:hint="eastAsia"/>
          <w:highlight w:val="none"/>
        </w:rPr>
        <w:t>8.9E</w:t>
      </w:r>
      <w:r>
        <w:rPr>
          <w:highlight w:val="none"/>
        </w:rPr>
        <w:t>HS</w:t>
      </w:r>
      <w:r>
        <w:rPr>
          <w:rFonts w:hint="eastAsia"/>
          <w:highlight w:val="none"/>
        </w:rPr>
        <w:t>教育培训管理</w:t>
      </w:r>
      <w:bookmarkEnd w:id="1002"/>
      <w:bookmarkEnd w:id="1003"/>
      <w:bookmarkEnd w:id="1004"/>
      <w:bookmarkEnd w:id="1005"/>
      <w:bookmarkEnd w:id="1006"/>
      <w:bookmarkEnd w:id="1007"/>
      <w:bookmarkEnd w:id="1008"/>
      <w:bookmarkEnd w:id="1009"/>
    </w:p>
    <w:p w14:paraId="2472FB91">
      <w:pPr>
        <w:pStyle w:val="5"/>
        <w:numPr>
          <w:ilvl w:val="2"/>
          <w:numId w:val="0"/>
        </w:numPr>
        <w:ind w:left="624" w:hanging="624"/>
        <w:rPr>
          <w:highlight w:val="none"/>
        </w:rPr>
      </w:pPr>
      <w:bookmarkStart w:id="1010" w:name="_Toc4780"/>
      <w:r>
        <w:rPr>
          <w:rFonts w:hint="eastAsia"/>
          <w:highlight w:val="none"/>
        </w:rPr>
        <w:t>8.9.1总承包人应建立年度E</w:t>
      </w:r>
      <w:r>
        <w:rPr>
          <w:highlight w:val="none"/>
        </w:rPr>
        <w:t>HS</w:t>
      </w:r>
      <w:r>
        <w:rPr>
          <w:rFonts w:hint="eastAsia"/>
          <w:highlight w:val="none"/>
        </w:rPr>
        <w:t>培训教育计划，并报监理审查。</w:t>
      </w:r>
      <w:bookmarkEnd w:id="1010"/>
    </w:p>
    <w:p w14:paraId="39064645">
      <w:pPr>
        <w:pStyle w:val="5"/>
        <w:numPr>
          <w:ilvl w:val="2"/>
          <w:numId w:val="0"/>
        </w:numPr>
        <w:ind w:left="624" w:hanging="624"/>
        <w:rPr>
          <w:highlight w:val="none"/>
        </w:rPr>
      </w:pPr>
      <w:bookmarkStart w:id="1011" w:name="_Toc6876"/>
      <w:r>
        <w:rPr>
          <w:rFonts w:hint="eastAsia"/>
          <w:highlight w:val="none"/>
        </w:rPr>
        <w:t>8.9.2总承包人应对本单位及专业承包人的施工</w:t>
      </w:r>
      <w:bookmarkStart w:id="1012" w:name="_Hlk166187395"/>
      <w:r>
        <w:rPr>
          <w:rFonts w:hint="eastAsia"/>
          <w:highlight w:val="none"/>
        </w:rPr>
        <w:t>现场管理人员，转岗、复岗人员，新入场人员，特种作业人员，一线工人等开展E</w:t>
      </w:r>
      <w:r>
        <w:rPr>
          <w:highlight w:val="none"/>
        </w:rPr>
        <w:t>HS</w:t>
      </w:r>
      <w:r>
        <w:rPr>
          <w:rFonts w:hint="eastAsia"/>
          <w:highlight w:val="none"/>
        </w:rPr>
        <w:t>培训教育或交底，</w:t>
      </w:r>
      <w:bookmarkEnd w:id="1012"/>
      <w:bookmarkStart w:id="1013" w:name="_Hlk166187448"/>
      <w:r>
        <w:rPr>
          <w:rFonts w:hint="eastAsia"/>
          <w:highlight w:val="none"/>
        </w:rPr>
        <w:t>并确保培训教育效果，使从业人员安全意识、安全知识和技能与所从事的岗位、工作内容相适应。</w:t>
      </w:r>
      <w:bookmarkEnd w:id="1011"/>
      <w:bookmarkEnd w:id="1013"/>
    </w:p>
    <w:p w14:paraId="64320882">
      <w:pPr>
        <w:pStyle w:val="5"/>
        <w:numPr>
          <w:ilvl w:val="2"/>
          <w:numId w:val="0"/>
        </w:numPr>
        <w:ind w:left="624" w:hanging="624"/>
        <w:rPr>
          <w:highlight w:val="none"/>
        </w:rPr>
      </w:pPr>
      <w:bookmarkStart w:id="1014" w:name="_Toc27278"/>
      <w:r>
        <w:rPr>
          <w:rFonts w:hint="eastAsia"/>
          <w:highlight w:val="none"/>
        </w:rPr>
        <w:t>8.9.3总承包人E</w:t>
      </w:r>
      <w:r>
        <w:rPr>
          <w:highlight w:val="none"/>
        </w:rPr>
        <w:t>HS</w:t>
      </w:r>
      <w:r>
        <w:rPr>
          <w:rFonts w:hint="eastAsia"/>
          <w:highlight w:val="none"/>
        </w:rPr>
        <w:t>教育培训的内容、学时等应满足国家有关规定，并做好档案记录。</w:t>
      </w:r>
      <w:bookmarkStart w:id="1015" w:name="_Hlk166187512"/>
      <w:r>
        <w:rPr>
          <w:rFonts w:hint="eastAsia"/>
          <w:highlight w:val="none"/>
        </w:rPr>
        <w:t>培训内容应包括环保、健康、安全生产管理与技术知识、安全常识、应急响应与处置措施等。培训形式包括但不限于：三级安全教育、专项安全培训教育（消防、用电、特种作业等）、转岗、复岗安全培训教育、早班会、自检操和反省屋等。</w:t>
      </w:r>
      <w:bookmarkEnd w:id="1014"/>
      <w:bookmarkEnd w:id="1015"/>
    </w:p>
    <w:p w14:paraId="697AED9C">
      <w:pPr>
        <w:pStyle w:val="4"/>
        <w:numPr>
          <w:ilvl w:val="1"/>
          <w:numId w:val="0"/>
        </w:numPr>
        <w:ind w:left="624" w:hanging="624"/>
        <w:rPr>
          <w:highlight w:val="none"/>
        </w:rPr>
      </w:pPr>
      <w:bookmarkStart w:id="1016" w:name="_Toc19672"/>
      <w:bookmarkStart w:id="1017" w:name="_Toc752"/>
      <w:bookmarkStart w:id="1018" w:name="_Toc14362"/>
      <w:bookmarkStart w:id="1019" w:name="_Toc169722255"/>
      <w:bookmarkStart w:id="1020" w:name="_Toc1752"/>
      <w:bookmarkStart w:id="1021" w:name="_Toc15688"/>
      <w:bookmarkStart w:id="1022" w:name="_Toc179563026"/>
      <w:bookmarkStart w:id="1023" w:name="_Toc9796"/>
      <w:r>
        <w:rPr>
          <w:rFonts w:hint="eastAsia"/>
          <w:highlight w:val="none"/>
        </w:rPr>
        <w:t>8.10安全生产标准化与双重预防机制建设</w:t>
      </w:r>
      <w:bookmarkEnd w:id="1016"/>
      <w:bookmarkEnd w:id="1017"/>
      <w:bookmarkEnd w:id="1018"/>
      <w:bookmarkEnd w:id="1019"/>
      <w:bookmarkEnd w:id="1020"/>
      <w:bookmarkEnd w:id="1021"/>
      <w:bookmarkEnd w:id="1022"/>
      <w:bookmarkEnd w:id="1023"/>
    </w:p>
    <w:p w14:paraId="2FEB570B">
      <w:pPr>
        <w:pStyle w:val="5"/>
        <w:numPr>
          <w:ilvl w:val="2"/>
          <w:numId w:val="0"/>
        </w:numPr>
        <w:ind w:left="624" w:hanging="624"/>
        <w:rPr>
          <w:highlight w:val="none"/>
        </w:rPr>
      </w:pPr>
      <w:bookmarkStart w:id="1024" w:name="_Toc24700"/>
      <w:r>
        <w:rPr>
          <w:rFonts w:hint="eastAsia"/>
          <w:highlight w:val="none"/>
        </w:rPr>
        <w:t>8.10.1按照国家《安全生产法》要求，总承包人应</w:t>
      </w:r>
      <w:bookmarkStart w:id="1025" w:name="_Hlk166187732"/>
      <w:r>
        <w:rPr>
          <w:rFonts w:hint="eastAsia"/>
          <w:highlight w:val="none"/>
        </w:rPr>
        <w:t>加强安全生产标准化、信息化建设，</w:t>
      </w:r>
      <w:bookmarkEnd w:id="1025"/>
      <w:r>
        <w:rPr>
          <w:rFonts w:hint="eastAsia"/>
          <w:highlight w:val="none"/>
        </w:rPr>
        <w:t>构建安全风险分级管控和隐患排查治理双重预防机制，提高安全生产水平，确保安全生产。</w:t>
      </w:r>
      <w:bookmarkEnd w:id="1024"/>
    </w:p>
    <w:p w14:paraId="4E398568">
      <w:pPr>
        <w:pStyle w:val="5"/>
        <w:numPr>
          <w:ilvl w:val="2"/>
          <w:numId w:val="0"/>
        </w:numPr>
        <w:ind w:left="624" w:hanging="624"/>
        <w:rPr>
          <w:highlight w:val="none"/>
        </w:rPr>
      </w:pPr>
      <w:bookmarkStart w:id="1026" w:name="_Toc3125"/>
      <w:r>
        <w:rPr>
          <w:rFonts w:hint="eastAsia"/>
          <w:highlight w:val="none"/>
        </w:rPr>
        <w:t>8.10.2总承包人</w:t>
      </w:r>
      <w:bookmarkStart w:id="1027" w:name="_Hlk166187762"/>
      <w:r>
        <w:rPr>
          <w:rFonts w:hint="eastAsia"/>
          <w:highlight w:val="none"/>
        </w:rPr>
        <w:t>开展安全标准化建设，应贯彻执行建筑施工安全法律法规和标准规范、，建立企业和项目安全生产责任制，制定安全管理制度和操作规程，监控危险性较大分部分项工程，排查治理安全生产隐患，使人、机、物、环始终处于安全状态，形成过程控制、持续改进的安全管理机制。</w:t>
      </w:r>
      <w:bookmarkEnd w:id="1026"/>
      <w:bookmarkEnd w:id="1027"/>
    </w:p>
    <w:p w14:paraId="58B04BEE">
      <w:pPr>
        <w:pStyle w:val="5"/>
        <w:numPr>
          <w:ilvl w:val="2"/>
          <w:numId w:val="0"/>
        </w:numPr>
        <w:ind w:left="624" w:hanging="624"/>
        <w:rPr>
          <w:highlight w:val="none"/>
        </w:rPr>
      </w:pPr>
      <w:bookmarkStart w:id="1028" w:name="_Toc21128"/>
      <w:r>
        <w:rPr>
          <w:rFonts w:hint="eastAsia"/>
          <w:highlight w:val="none"/>
        </w:rPr>
        <w:t>8.10.3总承包人</w:t>
      </w:r>
      <w:bookmarkStart w:id="1029" w:name="_Hlk166187798"/>
      <w:r>
        <w:rPr>
          <w:rFonts w:hint="eastAsia"/>
          <w:highlight w:val="none"/>
        </w:rPr>
        <w:t>应制定科学的安全风险辨识程序和方法，组织专家和技术人员，全方位、全过程辨识施工工艺、设备设施、作业环境、人员行为和管理体系等方面存在的安全风险。科学评定安全风险等级，绘制项目“红橙黄蓝”四色安全风险空间分布图。根据评估结果，从组织、制度、技术、应急等方面对安全风险进行有效管控，确保安全风险始终处于受控范围内，并建立完善安全风险公告制度，加强风险教育和技能培训，在重点区域设置安全风险公告栏，制作岗位安全风险告知卡。</w:t>
      </w:r>
      <w:bookmarkEnd w:id="1028"/>
      <w:bookmarkEnd w:id="1029"/>
    </w:p>
    <w:p w14:paraId="03EB2B65">
      <w:pPr>
        <w:pStyle w:val="5"/>
        <w:numPr>
          <w:ilvl w:val="2"/>
          <w:numId w:val="0"/>
        </w:numPr>
        <w:ind w:left="624" w:hanging="624"/>
        <w:rPr>
          <w:highlight w:val="none"/>
        </w:rPr>
      </w:pPr>
      <w:bookmarkStart w:id="1030" w:name="_Toc2247"/>
      <w:r>
        <w:rPr>
          <w:rFonts w:hint="eastAsia"/>
          <w:highlight w:val="none"/>
        </w:rPr>
        <w:t>8.10.4总承包人</w:t>
      </w:r>
      <w:bookmarkStart w:id="1031" w:name="_Hlk166187813"/>
      <w:r>
        <w:rPr>
          <w:rFonts w:hint="eastAsia"/>
          <w:highlight w:val="none"/>
        </w:rPr>
        <w:t>应建立完善隐患排查治理制度，制定符合项目实际的隐患排查治理清单，明确和细化隐患排查的事项、内容和频次，并将责任逐一分解落实，重点强化对存在重大风险的场所、环节、部位的隐患排查整改，实现隐患排查治理的闭环管理。</w:t>
      </w:r>
      <w:bookmarkEnd w:id="1030"/>
      <w:bookmarkEnd w:id="1031"/>
    </w:p>
    <w:p w14:paraId="1D1C24B3">
      <w:pPr>
        <w:pStyle w:val="4"/>
        <w:numPr>
          <w:ilvl w:val="1"/>
          <w:numId w:val="0"/>
        </w:numPr>
        <w:ind w:left="624" w:hanging="624"/>
        <w:rPr>
          <w:highlight w:val="none"/>
        </w:rPr>
      </w:pPr>
      <w:bookmarkStart w:id="1032" w:name="_Toc22868"/>
      <w:bookmarkStart w:id="1033" w:name="_Toc27443"/>
      <w:bookmarkStart w:id="1034" w:name="_Toc179563027"/>
      <w:bookmarkStart w:id="1035" w:name="_Toc169722256"/>
      <w:bookmarkStart w:id="1036" w:name="_Toc26288"/>
      <w:bookmarkStart w:id="1037" w:name="_Toc20929"/>
      <w:bookmarkStart w:id="1038" w:name="_Toc13043"/>
      <w:bookmarkStart w:id="1039" w:name="_Toc14418"/>
      <w:r>
        <w:rPr>
          <w:rFonts w:hint="eastAsia"/>
          <w:highlight w:val="none"/>
        </w:rPr>
        <w:t>8.11应急</w:t>
      </w:r>
      <w:r>
        <w:rPr>
          <w:highlight w:val="none"/>
        </w:rPr>
        <w:t>与事故管理</w:t>
      </w:r>
      <w:bookmarkEnd w:id="1032"/>
      <w:bookmarkEnd w:id="1033"/>
      <w:bookmarkEnd w:id="1034"/>
      <w:bookmarkEnd w:id="1035"/>
      <w:bookmarkEnd w:id="1036"/>
      <w:bookmarkEnd w:id="1037"/>
      <w:bookmarkEnd w:id="1038"/>
      <w:bookmarkEnd w:id="1039"/>
    </w:p>
    <w:p w14:paraId="5566CEC1">
      <w:pPr>
        <w:pStyle w:val="5"/>
        <w:numPr>
          <w:ilvl w:val="2"/>
          <w:numId w:val="0"/>
        </w:numPr>
        <w:ind w:left="624" w:hanging="624"/>
        <w:rPr>
          <w:highlight w:val="none"/>
        </w:rPr>
      </w:pPr>
      <w:bookmarkStart w:id="1040" w:name="_Toc8444"/>
      <w:r>
        <w:rPr>
          <w:rFonts w:hint="eastAsia"/>
          <w:highlight w:val="none"/>
        </w:rPr>
        <w:t>8.11.1应急</w:t>
      </w:r>
      <w:r>
        <w:rPr>
          <w:highlight w:val="none"/>
        </w:rPr>
        <w:t>管理</w:t>
      </w:r>
      <w:bookmarkEnd w:id="1040"/>
    </w:p>
    <w:p w14:paraId="7DF02A03">
      <w:pPr>
        <w:pStyle w:val="6"/>
        <w:numPr>
          <w:ilvl w:val="3"/>
          <w:numId w:val="0"/>
        </w:numPr>
        <w:ind w:left="864" w:leftChars="100" w:hanging="624"/>
        <w:rPr>
          <w:highlight w:val="none"/>
        </w:rPr>
      </w:pPr>
      <w:r>
        <w:rPr>
          <w:rFonts w:hint="eastAsia"/>
          <w:highlight w:val="none"/>
        </w:rPr>
        <w:t>8.11.1.1总承包人应建立完善综合应急预案、专项应急预案及现场处置方案，明确应急响应组织、流程及应急处置内容，与发包人应急预案体系相衔接，确保迅速处理突发事件。总承包人应按法律法规有关规定组织应急预案评审或论证，并将应急预案提交发包人、监理人备案。</w:t>
      </w:r>
    </w:p>
    <w:p w14:paraId="0216C1F7">
      <w:pPr>
        <w:pStyle w:val="6"/>
        <w:numPr>
          <w:ilvl w:val="3"/>
          <w:numId w:val="0"/>
        </w:numPr>
        <w:ind w:left="864" w:leftChars="100" w:hanging="624"/>
        <w:rPr>
          <w:highlight w:val="none"/>
        </w:rPr>
      </w:pPr>
      <w:r>
        <w:rPr>
          <w:rFonts w:hint="eastAsia"/>
          <w:highlight w:val="none"/>
        </w:rPr>
        <w:t>8.11.1.2总承包人必须保证配备充足的应急物资、设施设备、器材工具、医疗用品等，并做好维护管理以确保其良好可用。</w:t>
      </w:r>
    </w:p>
    <w:p w14:paraId="352AE510">
      <w:pPr>
        <w:pStyle w:val="6"/>
        <w:numPr>
          <w:ilvl w:val="3"/>
          <w:numId w:val="0"/>
        </w:numPr>
        <w:ind w:left="864" w:leftChars="100" w:hanging="624"/>
        <w:rPr>
          <w:highlight w:val="none"/>
        </w:rPr>
      </w:pPr>
      <w:r>
        <w:rPr>
          <w:rFonts w:hint="eastAsia"/>
          <w:highlight w:val="none"/>
        </w:rPr>
        <w:t>8.11.1.3总承包人应当制定项目应急预案演练计划，根据本项目的事故风险特点，积极开展消防、坍塌、机械伤害、高坠等各类应急救援演练，提高应急处置能力。总承包人每年年初将应急演练计划报监理人审查。</w:t>
      </w:r>
    </w:p>
    <w:p w14:paraId="14CC7905">
      <w:pPr>
        <w:pStyle w:val="6"/>
        <w:numPr>
          <w:ilvl w:val="3"/>
          <w:numId w:val="0"/>
        </w:numPr>
        <w:ind w:left="864" w:leftChars="100" w:hanging="624"/>
        <w:rPr>
          <w:highlight w:val="none"/>
        </w:rPr>
      </w:pPr>
      <w:r>
        <w:rPr>
          <w:rFonts w:hint="eastAsia"/>
          <w:highlight w:val="none"/>
        </w:rPr>
        <w:t>8.11.1.4总承包人应当配置1辆专用应急车辆，并配备担架、绷带、医疗箱等临时急救药品、工具。应急车辆须停放在施工现场便于进出的位置，非应急抢险情况不得挪作他用。</w:t>
      </w:r>
    </w:p>
    <w:p w14:paraId="6D4AE69A">
      <w:pPr>
        <w:pStyle w:val="6"/>
        <w:numPr>
          <w:ilvl w:val="3"/>
          <w:numId w:val="0"/>
        </w:numPr>
        <w:ind w:left="864" w:leftChars="100" w:hanging="624"/>
        <w:rPr>
          <w:highlight w:val="none"/>
        </w:rPr>
      </w:pPr>
      <w:r>
        <w:rPr>
          <w:rFonts w:hint="eastAsia"/>
          <w:highlight w:val="none"/>
        </w:rPr>
        <w:t>8.11.1.5总承包人应当在施工现场配置不低于2万元人民币的应急保障资金，用于从业人员发生职业伤害事件、生产安全事故的应急救援支出。</w:t>
      </w:r>
    </w:p>
    <w:p w14:paraId="2D26AD7F">
      <w:pPr>
        <w:pStyle w:val="5"/>
        <w:numPr>
          <w:ilvl w:val="2"/>
          <w:numId w:val="0"/>
        </w:numPr>
        <w:ind w:left="624" w:hanging="624"/>
        <w:rPr>
          <w:highlight w:val="none"/>
        </w:rPr>
      </w:pPr>
      <w:bookmarkStart w:id="1041" w:name="_Toc9352"/>
      <w:r>
        <w:rPr>
          <w:rFonts w:hint="eastAsia"/>
          <w:highlight w:val="none"/>
        </w:rPr>
        <w:t>8.11.2事故</w:t>
      </w:r>
      <w:r>
        <w:rPr>
          <w:highlight w:val="none"/>
        </w:rPr>
        <w:t>管理</w:t>
      </w:r>
      <w:bookmarkEnd w:id="1041"/>
    </w:p>
    <w:p w14:paraId="4DB6E167">
      <w:pPr>
        <w:pStyle w:val="6"/>
        <w:numPr>
          <w:ilvl w:val="3"/>
          <w:numId w:val="0"/>
        </w:numPr>
        <w:ind w:left="864" w:leftChars="100" w:hanging="624"/>
        <w:rPr>
          <w:highlight w:val="none"/>
        </w:rPr>
      </w:pPr>
      <w:bookmarkStart w:id="1042" w:name="_Hlk166188209"/>
      <w:r>
        <w:rPr>
          <w:rFonts w:hint="eastAsia"/>
          <w:highlight w:val="none"/>
        </w:rPr>
        <w:t>8.11.2.1</w:t>
      </w:r>
      <w:r>
        <w:rPr>
          <w:rFonts w:hint="eastAsia" w:cs="Arial"/>
          <w:highlight w:val="none"/>
        </w:rPr>
        <w:t>发生E</w:t>
      </w:r>
      <w:r>
        <w:rPr>
          <w:rFonts w:cs="Arial"/>
          <w:highlight w:val="none"/>
        </w:rPr>
        <w:t>HS</w:t>
      </w:r>
      <w:r>
        <w:rPr>
          <w:rFonts w:hint="eastAsia" w:cs="Arial"/>
          <w:highlight w:val="none"/>
        </w:rPr>
        <w:t>事故事件，总承包人应在事发后15分钟以内如实报告</w:t>
      </w:r>
      <w:r>
        <w:rPr>
          <w:rFonts w:hint="eastAsia"/>
          <w:highlight w:val="none"/>
        </w:rPr>
        <w:t>给发包人，严禁迟报、瞒报、谎报、漏报。报告应说明事故涉及单位、时间地点、简要经过、后果影响等。</w:t>
      </w:r>
      <w:bookmarkEnd w:id="1042"/>
    </w:p>
    <w:p w14:paraId="405128EB">
      <w:pPr>
        <w:pStyle w:val="6"/>
        <w:numPr>
          <w:ilvl w:val="3"/>
          <w:numId w:val="0"/>
        </w:numPr>
        <w:ind w:left="864" w:leftChars="100" w:hanging="624"/>
        <w:rPr>
          <w:highlight w:val="none"/>
        </w:rPr>
      </w:pPr>
      <w:r>
        <w:rPr>
          <w:rFonts w:hint="eastAsia"/>
          <w:highlight w:val="none"/>
        </w:rPr>
        <w:t>8.11.2.2总承包人应按照发包人要求</w:t>
      </w:r>
      <w:bookmarkStart w:id="1043" w:name="_Hlk166188265"/>
      <w:r>
        <w:rPr>
          <w:rFonts w:hint="eastAsia"/>
          <w:highlight w:val="none"/>
        </w:rPr>
        <w:t>提交事故初报、进展报告、调查结果报告</w:t>
      </w:r>
      <w:bookmarkEnd w:id="1043"/>
      <w:r>
        <w:rPr>
          <w:rFonts w:hint="eastAsia"/>
          <w:highlight w:val="none"/>
        </w:rPr>
        <w:t>。</w:t>
      </w:r>
    </w:p>
    <w:p w14:paraId="63607BF8">
      <w:pPr>
        <w:pStyle w:val="6"/>
        <w:numPr>
          <w:ilvl w:val="3"/>
          <w:numId w:val="0"/>
        </w:numPr>
        <w:ind w:left="864" w:leftChars="100" w:hanging="624"/>
        <w:rPr>
          <w:highlight w:val="none"/>
        </w:rPr>
      </w:pPr>
      <w:r>
        <w:rPr>
          <w:rFonts w:hint="eastAsia"/>
          <w:highlight w:val="none"/>
        </w:rPr>
        <w:t>8.11.2.3总承包人应建立事故事件统计制度，对发生的事故事件进行详细记录，并将统计信息报监理人、发包人备案。</w:t>
      </w:r>
    </w:p>
    <w:p w14:paraId="254D4690">
      <w:pPr>
        <w:pStyle w:val="6"/>
        <w:numPr>
          <w:ilvl w:val="3"/>
          <w:numId w:val="0"/>
        </w:numPr>
        <w:ind w:left="864" w:leftChars="100" w:hanging="624"/>
        <w:rPr>
          <w:highlight w:val="none"/>
        </w:rPr>
      </w:pPr>
      <w:bookmarkStart w:id="1044" w:name="_Hlk166188378"/>
      <w:r>
        <w:rPr>
          <w:rFonts w:hint="eastAsia"/>
          <w:highlight w:val="none"/>
        </w:rPr>
        <w:t>8.11.2.4总承包人应对项目发生的事故事件牵头协调处理，杜绝事故后果严重性与不良社会影响的持续扩大。专业承包人发生生产安全事故时，需要总承包人提供支持的，总承包人必须无条件配合、支持事故抢险。</w:t>
      </w:r>
      <w:bookmarkEnd w:id="1044"/>
    </w:p>
    <w:p w14:paraId="7D514239">
      <w:pPr>
        <w:pStyle w:val="6"/>
        <w:numPr>
          <w:ilvl w:val="3"/>
          <w:numId w:val="0"/>
        </w:numPr>
        <w:ind w:left="864" w:leftChars="100" w:hanging="624"/>
        <w:rPr>
          <w:highlight w:val="none"/>
        </w:rPr>
      </w:pPr>
      <w:r>
        <w:rPr>
          <w:rFonts w:hint="eastAsia"/>
          <w:highlight w:val="none"/>
        </w:rPr>
        <w:t>8.11.2.5总承包人对专业承包人及其用工行为管理不善，</w:t>
      </w:r>
      <w:bookmarkStart w:id="1045" w:name="_Hlk166188479"/>
      <w:r>
        <w:rPr>
          <w:rFonts w:hint="eastAsia"/>
          <w:highlight w:val="none"/>
        </w:rPr>
        <w:t>导致出现的安全隐患或事故事件，</w:t>
      </w:r>
      <w:bookmarkEnd w:id="1045"/>
      <w:r>
        <w:rPr>
          <w:rFonts w:hint="eastAsia"/>
          <w:highlight w:val="none"/>
        </w:rPr>
        <w:t>发包人将</w:t>
      </w:r>
      <w:bookmarkStart w:id="1046" w:name="_Hlk166188497"/>
      <w:r>
        <w:rPr>
          <w:rFonts w:hint="eastAsia"/>
          <w:highlight w:val="none"/>
        </w:rPr>
        <w:t>通过处罚、索赔等形式追究总承包人责任。</w:t>
      </w:r>
      <w:bookmarkEnd w:id="1046"/>
    </w:p>
    <w:p w14:paraId="516619D2">
      <w:pPr>
        <w:pStyle w:val="6"/>
        <w:numPr>
          <w:ilvl w:val="3"/>
          <w:numId w:val="0"/>
        </w:numPr>
        <w:ind w:left="864" w:leftChars="100" w:hanging="624"/>
        <w:rPr>
          <w:highlight w:val="none"/>
        </w:rPr>
      </w:pPr>
      <w:r>
        <w:rPr>
          <w:rFonts w:hint="eastAsia"/>
          <w:highlight w:val="none"/>
        </w:rPr>
        <w:t>8.11.2.6当项目发生以下类型的事故事件时，总承包人作为工程总承包人，应主责进行应急与善后处理。若发包人评估总承包人存在处理不力时，发包人将有权扣除总承包人工程款用于处理事故事件，以尽快消除事故事件的不良影响：</w:t>
      </w:r>
    </w:p>
    <w:p w14:paraId="1EAFFE4D">
      <w:pPr>
        <w:numPr>
          <w:ilvl w:val="0"/>
          <w:numId w:val="160"/>
        </w:numPr>
        <w:ind w:firstLine="480"/>
        <w:rPr>
          <w:highlight w:val="none"/>
        </w:rPr>
      </w:pPr>
      <w:r>
        <w:rPr>
          <w:rFonts w:hint="eastAsia"/>
          <w:highlight w:val="none"/>
        </w:rPr>
        <w:t>重伤及以上等级的人身伤害事故的应急与善后处理；</w:t>
      </w:r>
    </w:p>
    <w:p w14:paraId="3983E043">
      <w:pPr>
        <w:numPr>
          <w:ilvl w:val="0"/>
          <w:numId w:val="160"/>
        </w:numPr>
        <w:ind w:firstLine="480"/>
        <w:rPr>
          <w:highlight w:val="none"/>
        </w:rPr>
      </w:pPr>
      <w:r>
        <w:rPr>
          <w:rFonts w:hint="eastAsia"/>
          <w:highlight w:val="none"/>
        </w:rPr>
        <w:t>火灾、坍塌等恶劣社会影响或重大财产损失事故的应急与恢复处理；</w:t>
      </w:r>
    </w:p>
    <w:p w14:paraId="3A1D10D7">
      <w:pPr>
        <w:numPr>
          <w:ilvl w:val="0"/>
          <w:numId w:val="160"/>
        </w:numPr>
        <w:ind w:firstLine="480"/>
        <w:rPr>
          <w:highlight w:val="none"/>
        </w:rPr>
      </w:pPr>
      <w:r>
        <w:rPr>
          <w:rFonts w:hint="eastAsia"/>
          <w:highlight w:val="none"/>
        </w:rPr>
        <w:t>群体性劳资纠纷、卫生防疫及治安保卫事件的应急与善后处理；</w:t>
      </w:r>
    </w:p>
    <w:p w14:paraId="65B6A946">
      <w:pPr>
        <w:numPr>
          <w:ilvl w:val="0"/>
          <w:numId w:val="160"/>
        </w:numPr>
        <w:ind w:firstLine="480"/>
        <w:rPr>
          <w:highlight w:val="none"/>
        </w:rPr>
      </w:pPr>
      <w:r>
        <w:rPr>
          <w:rFonts w:hint="eastAsia"/>
          <w:highlight w:val="none"/>
        </w:rPr>
        <w:t>重大设施设备损毁或处于高危状态事故事件的应急与恢复处理；</w:t>
      </w:r>
    </w:p>
    <w:p w14:paraId="271073B3">
      <w:pPr>
        <w:numPr>
          <w:ilvl w:val="0"/>
          <w:numId w:val="160"/>
        </w:numPr>
        <w:ind w:firstLine="480"/>
        <w:rPr>
          <w:highlight w:val="none"/>
        </w:rPr>
      </w:pPr>
      <w:r>
        <w:rPr>
          <w:rFonts w:hint="eastAsia"/>
          <w:highlight w:val="none"/>
        </w:rPr>
        <w:t>严重环境污染事故事件的应急与善后处理（水、光、粉尘、噪声污染等）；</w:t>
      </w:r>
    </w:p>
    <w:p w14:paraId="5900A755">
      <w:pPr>
        <w:numPr>
          <w:ilvl w:val="0"/>
          <w:numId w:val="160"/>
        </w:numPr>
        <w:ind w:firstLine="480"/>
        <w:rPr>
          <w:highlight w:val="none"/>
        </w:rPr>
      </w:pPr>
      <w:r>
        <w:rPr>
          <w:rFonts w:hint="eastAsia"/>
          <w:highlight w:val="none"/>
        </w:rPr>
        <w:t>严重的交通安全事故或自然灾害事故事件；</w:t>
      </w:r>
    </w:p>
    <w:p w14:paraId="064EC1E3">
      <w:pPr>
        <w:numPr>
          <w:ilvl w:val="0"/>
          <w:numId w:val="160"/>
        </w:numPr>
        <w:ind w:firstLine="480"/>
        <w:rPr>
          <w:highlight w:val="none"/>
        </w:rPr>
      </w:pPr>
      <w:r>
        <w:rPr>
          <w:rFonts w:hint="eastAsia"/>
          <w:highlight w:val="none"/>
        </w:rPr>
        <w:t>对项目正常生产秩序造成严重影响的政府性处罚事件；</w:t>
      </w:r>
    </w:p>
    <w:p w14:paraId="71005AB8">
      <w:pPr>
        <w:numPr>
          <w:ilvl w:val="0"/>
          <w:numId w:val="160"/>
        </w:numPr>
        <w:ind w:firstLine="480"/>
        <w:rPr>
          <w:highlight w:val="none"/>
        </w:rPr>
      </w:pPr>
      <w:r>
        <w:rPr>
          <w:rFonts w:hint="eastAsia"/>
          <w:highlight w:val="none"/>
        </w:rPr>
        <w:t>其它对项目正常生产秩序或发包人及其上级单位经营、社会形象造成重大负面影响的事故事件。</w:t>
      </w:r>
    </w:p>
    <w:p w14:paraId="40726E44">
      <w:pPr>
        <w:pStyle w:val="6"/>
        <w:numPr>
          <w:ilvl w:val="3"/>
          <w:numId w:val="0"/>
        </w:numPr>
        <w:ind w:left="864" w:leftChars="100" w:hanging="624"/>
        <w:rPr>
          <w:highlight w:val="none"/>
        </w:rPr>
      </w:pPr>
      <w:r>
        <w:rPr>
          <w:rFonts w:hint="eastAsia"/>
          <w:highlight w:val="none"/>
        </w:rPr>
        <w:t>8.11.2.7发包人对项目发生的EHS事故事件实行内部调查制度，总承包人应当无条件落实发包人在内部EHS事故事件调查报告对总承包人、专业承包人提出的责任追究、整改措施建议等管理要求。</w:t>
      </w:r>
    </w:p>
    <w:p w14:paraId="19E878A0">
      <w:pPr>
        <w:pStyle w:val="4"/>
        <w:numPr>
          <w:ilvl w:val="1"/>
          <w:numId w:val="0"/>
        </w:numPr>
        <w:ind w:left="624" w:hanging="624"/>
        <w:rPr>
          <w:highlight w:val="none"/>
        </w:rPr>
      </w:pPr>
      <w:bookmarkStart w:id="1047" w:name="_Toc21086"/>
      <w:bookmarkStart w:id="1048" w:name="_Toc7731"/>
      <w:bookmarkStart w:id="1049" w:name="_Toc169722257"/>
      <w:bookmarkStart w:id="1050" w:name="_Toc3667"/>
      <w:bookmarkStart w:id="1051" w:name="_Toc179563028"/>
      <w:bookmarkStart w:id="1052" w:name="_Toc5051"/>
      <w:bookmarkStart w:id="1053" w:name="_Toc5873"/>
      <w:bookmarkStart w:id="1054" w:name="_Toc14092"/>
      <w:r>
        <w:rPr>
          <w:rFonts w:hint="eastAsia"/>
          <w:highlight w:val="none"/>
        </w:rPr>
        <w:t>8.12安全照管要求</w:t>
      </w:r>
      <w:bookmarkEnd w:id="1047"/>
      <w:bookmarkEnd w:id="1048"/>
      <w:bookmarkEnd w:id="1049"/>
      <w:bookmarkEnd w:id="1050"/>
      <w:bookmarkEnd w:id="1051"/>
      <w:bookmarkEnd w:id="1052"/>
      <w:bookmarkEnd w:id="1053"/>
      <w:bookmarkEnd w:id="1054"/>
    </w:p>
    <w:p w14:paraId="2EBB7965">
      <w:pPr>
        <w:pStyle w:val="5"/>
        <w:numPr>
          <w:ilvl w:val="2"/>
          <w:numId w:val="0"/>
        </w:numPr>
        <w:ind w:left="624" w:hanging="624"/>
        <w:rPr>
          <w:highlight w:val="none"/>
        </w:rPr>
      </w:pPr>
      <w:bookmarkStart w:id="1055" w:name="_Toc25086"/>
      <w:r>
        <w:rPr>
          <w:rFonts w:hint="eastAsia"/>
          <w:highlight w:val="none"/>
        </w:rPr>
        <w:t>8.12.1</w:t>
      </w:r>
      <w:r>
        <w:rPr>
          <w:rFonts w:hint="eastAsia" w:cs="Arial"/>
          <w:bCs/>
          <w:highlight w:val="none"/>
        </w:rPr>
        <w:t>总承包人应当对施工现场实施封闭管理，聘用专业保安公司负责现场</w:t>
      </w:r>
      <w:r>
        <w:rPr>
          <w:rFonts w:hint="eastAsia"/>
          <w:highlight w:val="none"/>
        </w:rPr>
        <w:t>治安保卫工作，为全场的各项工作及材料提供安保，24小时保安、巡逻、秩序维护。施工现场主出入口和临时出入口均应设置保安岗亭，并配备保安24小时值班。在上述要求之上，另需配置至少1名专职保安现场流动巡逻。根据现场施工的需要临时设置的围挡开口、材料进出口等其他临时出入口，总承包人应设置保安岗亭，并在临时出入口开放时配备保安值班。</w:t>
      </w:r>
      <w:bookmarkEnd w:id="1055"/>
    </w:p>
    <w:p w14:paraId="55AA7443">
      <w:pPr>
        <w:pStyle w:val="5"/>
        <w:numPr>
          <w:ilvl w:val="2"/>
          <w:numId w:val="0"/>
        </w:numPr>
        <w:ind w:left="624" w:hanging="624"/>
        <w:rPr>
          <w:highlight w:val="none"/>
        </w:rPr>
      </w:pPr>
      <w:bookmarkStart w:id="1056" w:name="_Toc19418"/>
      <w:r>
        <w:rPr>
          <w:rFonts w:hint="eastAsia"/>
          <w:highlight w:val="none"/>
        </w:rPr>
        <w:t>8.12.2总承包人</w:t>
      </w:r>
      <w:bookmarkStart w:id="1057" w:name="_Hlk166188683"/>
      <w:r>
        <w:rPr>
          <w:rFonts w:hint="eastAsia"/>
          <w:highlight w:val="none"/>
        </w:rPr>
        <w:t>应当对工人生活区实施封闭管理，并在工人生活区主出入口设置门禁系统和岗亭，并配备保安24小时值班。</w:t>
      </w:r>
      <w:bookmarkEnd w:id="1057"/>
      <w:r>
        <w:rPr>
          <w:rFonts w:hint="eastAsia"/>
          <w:highlight w:val="none"/>
        </w:rPr>
        <w:t>总承包人、</w:t>
      </w:r>
      <w:bookmarkStart w:id="1058" w:name="_Hlk166188661"/>
      <w:r>
        <w:rPr>
          <w:rFonts w:hint="eastAsia"/>
          <w:highlight w:val="none"/>
        </w:rPr>
        <w:t>专业承包人禁止在红线范围内设置可供人员住宿的设施、场所。</w:t>
      </w:r>
      <w:bookmarkEnd w:id="1056"/>
      <w:bookmarkEnd w:id="1058"/>
    </w:p>
    <w:p w14:paraId="06577978">
      <w:pPr>
        <w:pStyle w:val="5"/>
        <w:numPr>
          <w:ilvl w:val="2"/>
          <w:numId w:val="0"/>
        </w:numPr>
        <w:ind w:left="624" w:hanging="624"/>
        <w:rPr>
          <w:highlight w:val="none"/>
        </w:rPr>
      </w:pPr>
      <w:bookmarkStart w:id="1059" w:name="_Toc22427"/>
      <w:r>
        <w:rPr>
          <w:rFonts w:hint="eastAsia"/>
          <w:highlight w:val="none"/>
        </w:rPr>
        <w:t>8.12.3总承包人应当在在现场各主要出入口、设置视频监控系统，确保其正常运行，监控记录的保存时间应当不低于90天。总承包人应当配合发包人、监理人对相关监控记录的查阅要求。</w:t>
      </w:r>
      <w:bookmarkEnd w:id="1059"/>
    </w:p>
    <w:p w14:paraId="768A2FEF">
      <w:pPr>
        <w:pStyle w:val="5"/>
        <w:numPr>
          <w:ilvl w:val="2"/>
          <w:numId w:val="0"/>
        </w:numPr>
        <w:ind w:left="624" w:hanging="624"/>
        <w:rPr>
          <w:highlight w:val="none"/>
        </w:rPr>
      </w:pPr>
      <w:bookmarkStart w:id="1060" w:name="_Toc31753"/>
      <w:r>
        <w:rPr>
          <w:rFonts w:hint="eastAsia"/>
          <w:highlight w:val="none"/>
        </w:rPr>
        <w:t>8.12.4总承包人应当在施工现场设置封闭式建筑垃圾集中堆放点，并督促</w:t>
      </w:r>
      <w:bookmarkStart w:id="1061" w:name="_Hlk166188729"/>
      <w:r>
        <w:rPr>
          <w:rFonts w:hint="eastAsia"/>
          <w:highlight w:val="none"/>
        </w:rPr>
        <w:t>专业承包人定期将建筑垃圾清运至在集中堆放点，由总承包人统一清运出场。</w:t>
      </w:r>
      <w:bookmarkEnd w:id="1061"/>
      <w:r>
        <w:rPr>
          <w:rFonts w:hint="eastAsia"/>
          <w:highlight w:val="none"/>
        </w:rPr>
        <w:t>其中，可燃垃圾、其他垃圾应分别设置堆放点，并有专人进行垃圾分类。</w:t>
      </w:r>
      <w:bookmarkEnd w:id="1060"/>
    </w:p>
    <w:p w14:paraId="18228285">
      <w:pPr>
        <w:pStyle w:val="5"/>
        <w:numPr>
          <w:ilvl w:val="2"/>
          <w:numId w:val="0"/>
        </w:numPr>
        <w:ind w:left="624" w:hanging="624"/>
        <w:rPr>
          <w:highlight w:val="none"/>
        </w:rPr>
      </w:pPr>
      <w:bookmarkStart w:id="1062" w:name="_Toc3230"/>
      <w:r>
        <w:rPr>
          <w:rFonts w:hint="eastAsia"/>
          <w:highlight w:val="none"/>
        </w:rPr>
        <w:t>8.12.5总承包人应当对专业承包人实施安全照管，</w:t>
      </w:r>
      <w:bookmarkStart w:id="1063" w:name="_Hlk166188822"/>
      <w:r>
        <w:rPr>
          <w:rFonts w:hint="eastAsia"/>
          <w:highlight w:val="none"/>
        </w:rPr>
        <w:t>符合《建设工程安全生产管理条例》、《建筑施工企业主要负责人、项目负责人和专职安全生产管理人员安全生产管理规定》、《危险性较大的分部分项工程安全管理规定》（住建部建办质〔2018〕31号文）、《建筑施工安全检查标准》（JGJ59）等国家、行业相关法律法规等文件要求。</w:t>
      </w:r>
      <w:bookmarkEnd w:id="1062"/>
      <w:bookmarkEnd w:id="1063"/>
    </w:p>
    <w:p w14:paraId="50711EC2">
      <w:pPr>
        <w:pStyle w:val="5"/>
        <w:numPr>
          <w:ilvl w:val="2"/>
          <w:numId w:val="0"/>
        </w:numPr>
        <w:ind w:left="624" w:hanging="624"/>
        <w:rPr>
          <w:highlight w:val="none"/>
        </w:rPr>
      </w:pPr>
      <w:bookmarkStart w:id="1064" w:name="_Toc8820"/>
      <w:r>
        <w:rPr>
          <w:rFonts w:hint="eastAsia"/>
          <w:highlight w:val="none"/>
        </w:rPr>
        <w:t>8.12.6总承包人对专业承包人安全照管责任分为行为资料照管和现场状态照管两个方面。对专业承包人行为资料履行合规管理、危大工程、安全培训、应急及事故照管4个方面10项照管职责，对专业承包人现场状态履行安全检查、安全验收、危险作业照管3个方面5项照管职责，具体照管职责、照管内容、照管要点和管理输出应当符合发包人的相关规定。</w:t>
      </w:r>
      <w:bookmarkEnd w:id="1064"/>
    </w:p>
    <w:p w14:paraId="6356D551">
      <w:pPr>
        <w:pStyle w:val="4"/>
        <w:numPr>
          <w:ilvl w:val="1"/>
          <w:numId w:val="0"/>
        </w:numPr>
        <w:ind w:left="624" w:hanging="624"/>
        <w:rPr>
          <w:highlight w:val="none"/>
        </w:rPr>
      </w:pPr>
      <w:bookmarkStart w:id="1065" w:name="_Toc25394"/>
      <w:bookmarkStart w:id="1066" w:name="_Toc169722258"/>
      <w:bookmarkStart w:id="1067" w:name="_Toc179563029"/>
      <w:bookmarkStart w:id="1068" w:name="_Toc23930"/>
      <w:bookmarkStart w:id="1069" w:name="_Toc3117"/>
      <w:bookmarkStart w:id="1070" w:name="_Toc1700"/>
      <w:bookmarkStart w:id="1071" w:name="_Toc28483"/>
      <w:bookmarkStart w:id="1072" w:name="_Toc26154"/>
      <w:r>
        <w:rPr>
          <w:rFonts w:hint="eastAsia"/>
          <w:highlight w:val="none"/>
        </w:rPr>
        <w:t>8.13EHS信息传递与沟通</w:t>
      </w:r>
      <w:bookmarkEnd w:id="1065"/>
      <w:bookmarkEnd w:id="1066"/>
      <w:bookmarkEnd w:id="1067"/>
      <w:bookmarkEnd w:id="1068"/>
      <w:bookmarkEnd w:id="1069"/>
      <w:bookmarkEnd w:id="1070"/>
      <w:bookmarkEnd w:id="1071"/>
      <w:bookmarkEnd w:id="1072"/>
    </w:p>
    <w:p w14:paraId="53DC528F">
      <w:pPr>
        <w:pStyle w:val="5"/>
        <w:numPr>
          <w:ilvl w:val="2"/>
          <w:numId w:val="0"/>
        </w:numPr>
        <w:ind w:left="624" w:hanging="624"/>
        <w:rPr>
          <w:highlight w:val="none"/>
        </w:rPr>
      </w:pPr>
      <w:bookmarkStart w:id="1073" w:name="_Toc13226"/>
      <w:r>
        <w:rPr>
          <w:rFonts w:hint="eastAsia"/>
          <w:highlight w:val="none"/>
        </w:rPr>
        <w:t>8.13.1</w:t>
      </w:r>
      <w:r>
        <w:rPr>
          <w:rFonts w:hint="eastAsia" w:cs="Arial"/>
          <w:bCs/>
          <w:highlight w:val="none"/>
        </w:rPr>
        <w:t>总承包人</w:t>
      </w:r>
      <w:bookmarkStart w:id="1074" w:name="_Hlk166188951"/>
      <w:r>
        <w:rPr>
          <w:rFonts w:hint="eastAsia" w:cs="Arial"/>
          <w:bCs/>
          <w:highlight w:val="none"/>
        </w:rPr>
        <w:t>应当遵守并配合发包人、监理人的EHS信息传递要求，建立</w:t>
      </w:r>
      <w:r>
        <w:rPr>
          <w:rFonts w:hint="eastAsia"/>
          <w:highlight w:val="none"/>
        </w:rPr>
        <w:t>健全与专业承包人的EHS信息传递机制，保障EHS信息的良好获取与传达。</w:t>
      </w:r>
      <w:bookmarkEnd w:id="1073"/>
      <w:bookmarkEnd w:id="1074"/>
    </w:p>
    <w:p w14:paraId="12456CC1">
      <w:pPr>
        <w:pStyle w:val="5"/>
        <w:numPr>
          <w:ilvl w:val="2"/>
          <w:numId w:val="0"/>
        </w:numPr>
        <w:ind w:left="624" w:hanging="624"/>
        <w:rPr>
          <w:highlight w:val="none"/>
        </w:rPr>
      </w:pPr>
      <w:bookmarkStart w:id="1075" w:name="_Toc32708"/>
      <w:r>
        <w:rPr>
          <w:rFonts w:hint="eastAsia"/>
          <w:highlight w:val="none"/>
        </w:rPr>
        <w:t>8.13.2总承包人应当严格按照发包人、监理人的有关要求，及时、如实的上报有关EHS信息文件，并对文件的质量负责，包括但不限于安全隐患整改回复、安全事故事件报告、安全工作总结、安全工作计划、EHS管理月报、安全方案与措施、特种设备有关资料、特种作业人员资质证件等。</w:t>
      </w:r>
      <w:bookmarkEnd w:id="1075"/>
    </w:p>
    <w:p w14:paraId="5B79A1DC">
      <w:pPr>
        <w:pStyle w:val="4"/>
        <w:numPr>
          <w:ilvl w:val="1"/>
          <w:numId w:val="0"/>
        </w:numPr>
        <w:ind w:left="624" w:hanging="624"/>
        <w:rPr>
          <w:highlight w:val="none"/>
        </w:rPr>
      </w:pPr>
      <w:bookmarkStart w:id="1076" w:name="_Toc30613"/>
      <w:bookmarkStart w:id="1077" w:name="_Toc16934"/>
      <w:bookmarkStart w:id="1078" w:name="_Toc7395"/>
      <w:bookmarkStart w:id="1079" w:name="_Toc1184"/>
      <w:bookmarkStart w:id="1080" w:name="_Toc169722259"/>
      <w:bookmarkStart w:id="1081" w:name="_Toc179563030"/>
      <w:bookmarkStart w:id="1082" w:name="_Toc11049"/>
      <w:bookmarkStart w:id="1083" w:name="_Toc20996"/>
      <w:r>
        <w:rPr>
          <w:rFonts w:hint="eastAsia"/>
          <w:highlight w:val="none"/>
        </w:rPr>
        <w:t>8.14生态环境保护</w:t>
      </w:r>
      <w:bookmarkEnd w:id="1076"/>
      <w:bookmarkEnd w:id="1077"/>
      <w:bookmarkEnd w:id="1078"/>
      <w:bookmarkEnd w:id="1079"/>
      <w:bookmarkEnd w:id="1080"/>
      <w:bookmarkEnd w:id="1081"/>
      <w:bookmarkEnd w:id="1082"/>
      <w:bookmarkEnd w:id="1083"/>
    </w:p>
    <w:p w14:paraId="4792917E">
      <w:pPr>
        <w:pStyle w:val="5"/>
        <w:numPr>
          <w:ilvl w:val="2"/>
          <w:numId w:val="0"/>
        </w:numPr>
        <w:ind w:left="624" w:hanging="624"/>
        <w:rPr>
          <w:highlight w:val="none"/>
        </w:rPr>
      </w:pPr>
      <w:bookmarkStart w:id="1084" w:name="_Toc26205"/>
      <w:r>
        <w:rPr>
          <w:rFonts w:hint="eastAsia"/>
          <w:highlight w:val="none"/>
        </w:rPr>
        <w:t>8.14.1总承包人是生态环境保护工作的第一责任单位，对生态环境保护工作负总责。</w:t>
      </w:r>
      <w:bookmarkEnd w:id="1084"/>
    </w:p>
    <w:p w14:paraId="69BFB307">
      <w:pPr>
        <w:pStyle w:val="5"/>
        <w:numPr>
          <w:ilvl w:val="2"/>
          <w:numId w:val="0"/>
        </w:numPr>
        <w:ind w:left="624" w:hanging="624"/>
        <w:rPr>
          <w:highlight w:val="none"/>
        </w:rPr>
      </w:pPr>
      <w:bookmarkStart w:id="1085" w:name="_Toc22867"/>
      <w:r>
        <w:rPr>
          <w:rFonts w:hint="eastAsia"/>
          <w:highlight w:val="none"/>
        </w:rPr>
        <w:t>8.14.2总承包人应当及时按照法律法规要求办理有关环保的许可、证照。涉及由发包人办理的有关环保许可、证照，发包人可以要求总承包人代办或者提供其他协助，总承包人应当无条件配合。</w:t>
      </w:r>
      <w:bookmarkEnd w:id="1085"/>
    </w:p>
    <w:p w14:paraId="520A19DB">
      <w:pPr>
        <w:pStyle w:val="5"/>
        <w:numPr>
          <w:ilvl w:val="2"/>
          <w:numId w:val="0"/>
        </w:numPr>
        <w:ind w:left="624" w:hanging="624"/>
        <w:rPr>
          <w:highlight w:val="none"/>
        </w:rPr>
      </w:pPr>
      <w:bookmarkStart w:id="1086" w:name="_Toc15508"/>
      <w:r>
        <w:rPr>
          <w:rFonts w:hint="eastAsia"/>
          <w:highlight w:val="none"/>
        </w:rPr>
        <w:t>8.14.3总承包人</w:t>
      </w:r>
      <w:bookmarkStart w:id="1087" w:name="_Hlk166189090"/>
      <w:r>
        <w:rPr>
          <w:rFonts w:hint="eastAsia"/>
          <w:highlight w:val="none"/>
        </w:rPr>
        <w:t>应当严格落实施工现场“工地周边围挡 100%、物料堆放覆盖（包括裸土）100%、出入车辆清洗100%、路面硬化100%、渣土车辆密闭运输100%、土方开挖及拆除湿法作业100%”六个百分之百要求和属地政府相关规定。</w:t>
      </w:r>
      <w:bookmarkEnd w:id="1086"/>
      <w:bookmarkEnd w:id="1087"/>
    </w:p>
    <w:p w14:paraId="33C0E479">
      <w:pPr>
        <w:pStyle w:val="5"/>
        <w:numPr>
          <w:ilvl w:val="2"/>
          <w:numId w:val="0"/>
        </w:numPr>
        <w:ind w:left="624" w:hanging="624"/>
        <w:rPr>
          <w:highlight w:val="none"/>
        </w:rPr>
      </w:pPr>
      <w:bookmarkStart w:id="1088" w:name="_Hlk166189139"/>
      <w:bookmarkStart w:id="1089" w:name="_Toc3482"/>
      <w:r>
        <w:rPr>
          <w:rFonts w:hint="eastAsia"/>
          <w:highlight w:val="none"/>
        </w:rPr>
        <w:t>8.14.4施工现场的机械设备、车辆的尾气排放应当同时符合国家和属地政府的环保排放标准。</w:t>
      </w:r>
      <w:bookmarkEnd w:id="1088"/>
      <w:bookmarkEnd w:id="1089"/>
    </w:p>
    <w:p w14:paraId="30491046">
      <w:pPr>
        <w:pStyle w:val="5"/>
        <w:numPr>
          <w:ilvl w:val="2"/>
          <w:numId w:val="0"/>
        </w:numPr>
        <w:ind w:left="624" w:hanging="624"/>
        <w:rPr>
          <w:highlight w:val="none"/>
        </w:rPr>
      </w:pPr>
      <w:bookmarkStart w:id="1090" w:name="_Toc23705"/>
      <w:r>
        <w:rPr>
          <w:rFonts w:hint="eastAsia"/>
          <w:highlight w:val="none"/>
        </w:rPr>
        <w:t>8.14.5总承包人</w:t>
      </w:r>
      <w:bookmarkStart w:id="1091" w:name="_Hlk166189224"/>
      <w:r>
        <w:rPr>
          <w:rFonts w:hint="eastAsia"/>
          <w:highlight w:val="none"/>
        </w:rPr>
        <w:t>应当落实属地政府重污染天气预警的有关要求。</w:t>
      </w:r>
      <w:bookmarkEnd w:id="1090"/>
      <w:bookmarkEnd w:id="1091"/>
    </w:p>
    <w:p w14:paraId="60011F38">
      <w:pPr>
        <w:pStyle w:val="5"/>
        <w:numPr>
          <w:ilvl w:val="2"/>
          <w:numId w:val="0"/>
        </w:numPr>
        <w:ind w:left="624" w:hanging="624"/>
        <w:rPr>
          <w:highlight w:val="none"/>
        </w:rPr>
      </w:pPr>
      <w:bookmarkStart w:id="1092" w:name="_Toc21014"/>
      <w:r>
        <w:rPr>
          <w:rFonts w:hint="eastAsia"/>
          <w:highlight w:val="none"/>
        </w:rPr>
        <w:t>8.14.6建筑施工昼间噪音不得超过70db，夜间噪音不得超过55db，超过建筑施工现场噪音限值时，总承包人应按规定向建设行政主管部门和环保部门申报，经核准后方能作业。</w:t>
      </w:r>
      <w:bookmarkEnd w:id="1092"/>
    </w:p>
    <w:p w14:paraId="4F02E249">
      <w:pPr>
        <w:pStyle w:val="5"/>
        <w:numPr>
          <w:ilvl w:val="2"/>
          <w:numId w:val="0"/>
        </w:numPr>
        <w:ind w:left="624" w:hanging="624"/>
        <w:rPr>
          <w:highlight w:val="none"/>
        </w:rPr>
      </w:pPr>
      <w:bookmarkStart w:id="1093" w:name="_Toc4132"/>
      <w:r>
        <w:rPr>
          <w:rFonts w:hint="eastAsia"/>
          <w:highlight w:val="none"/>
        </w:rPr>
        <w:t>8.14.7总承包人应当严格执行《中华人民共和国环境噪声污染防治法》相关要求，禁止夜间（当日 22 时至次日 6 时）在城市噪声敏感建筑物集中区域内开展产生环境噪声污染的施工作业，但抢修、抢险作业和因生产工艺上要求或者特殊需要必须连续作业的除外。因混凝土浇筑等施工工艺需要或其他特殊要求必须连续作业时，及时办理夜间施工许可证，提前公告附近居民，并落实增加噪声隔离设施，优化施工工序等降噪措施。</w:t>
      </w:r>
      <w:bookmarkEnd w:id="1093"/>
    </w:p>
    <w:p w14:paraId="3AD79B63">
      <w:pPr>
        <w:pStyle w:val="5"/>
        <w:numPr>
          <w:ilvl w:val="2"/>
          <w:numId w:val="0"/>
        </w:numPr>
        <w:ind w:left="624" w:hanging="624"/>
        <w:rPr>
          <w:highlight w:val="none"/>
        </w:rPr>
      </w:pPr>
      <w:bookmarkStart w:id="1094" w:name="_Toc26778"/>
      <w:r>
        <w:rPr>
          <w:rFonts w:hint="eastAsia"/>
          <w:highlight w:val="none"/>
        </w:rPr>
        <w:t>8.14.8总承包人</w:t>
      </w:r>
      <w:bookmarkStart w:id="1095" w:name="_Hlk166189280"/>
      <w:r>
        <w:rPr>
          <w:rFonts w:hint="eastAsia"/>
          <w:highlight w:val="none"/>
        </w:rPr>
        <w:t>应严格落实属地政府在重要节假日、会议、特殊时期（中考、高考、重要赛事等）等作出的停工管控等相关要求。</w:t>
      </w:r>
      <w:bookmarkEnd w:id="1094"/>
      <w:bookmarkEnd w:id="1095"/>
    </w:p>
    <w:p w14:paraId="033E4B0D">
      <w:pPr>
        <w:pStyle w:val="4"/>
        <w:numPr>
          <w:ilvl w:val="1"/>
          <w:numId w:val="0"/>
        </w:numPr>
        <w:ind w:left="624" w:hanging="624"/>
        <w:rPr>
          <w:highlight w:val="none"/>
        </w:rPr>
      </w:pPr>
      <w:bookmarkStart w:id="1096" w:name="_Toc169722260"/>
      <w:bookmarkStart w:id="1097" w:name="_Toc10480"/>
      <w:bookmarkStart w:id="1098" w:name="_Toc15262"/>
      <w:bookmarkStart w:id="1099" w:name="_Toc179563031"/>
      <w:bookmarkStart w:id="1100" w:name="_Toc30405"/>
      <w:bookmarkStart w:id="1101" w:name="_Toc7372"/>
      <w:bookmarkStart w:id="1102" w:name="_Toc31978"/>
      <w:bookmarkStart w:id="1103" w:name="_Toc24350"/>
      <w:r>
        <w:rPr>
          <w:rFonts w:hint="eastAsia"/>
          <w:highlight w:val="none"/>
        </w:rPr>
        <w:t>8.15工伤保险及安全生产责任保险</w:t>
      </w:r>
      <w:bookmarkEnd w:id="1096"/>
      <w:bookmarkEnd w:id="1097"/>
      <w:bookmarkEnd w:id="1098"/>
      <w:bookmarkEnd w:id="1099"/>
      <w:bookmarkEnd w:id="1100"/>
      <w:bookmarkEnd w:id="1101"/>
      <w:bookmarkEnd w:id="1102"/>
      <w:bookmarkEnd w:id="1103"/>
    </w:p>
    <w:p w14:paraId="54662D64">
      <w:pPr>
        <w:pStyle w:val="5"/>
        <w:numPr>
          <w:ilvl w:val="2"/>
          <w:numId w:val="0"/>
        </w:numPr>
        <w:ind w:left="624" w:hanging="624"/>
        <w:rPr>
          <w:highlight w:val="none"/>
        </w:rPr>
      </w:pPr>
      <w:bookmarkStart w:id="1104" w:name="_Toc10026"/>
      <w:r>
        <w:rPr>
          <w:rFonts w:hint="eastAsia"/>
          <w:highlight w:val="none"/>
        </w:rPr>
        <w:t>8.15.1总承包人必须依法为本项目总承包人及专业承包人的</w:t>
      </w:r>
      <w:bookmarkStart w:id="1105" w:name="_Hlk166189358"/>
      <w:r>
        <w:rPr>
          <w:rFonts w:hint="eastAsia"/>
          <w:highlight w:val="none"/>
        </w:rPr>
        <w:t>项目管理人员、建筑工人等</w:t>
      </w:r>
      <w:bookmarkEnd w:id="1105"/>
      <w:r>
        <w:rPr>
          <w:rFonts w:hint="eastAsia"/>
          <w:highlight w:val="none"/>
        </w:rPr>
        <w:t>从业人员购买工伤保险</w:t>
      </w:r>
      <w:bookmarkStart w:id="1106" w:name="_Hlk166189373"/>
      <w:r>
        <w:rPr>
          <w:rFonts w:hint="eastAsia"/>
          <w:highlight w:val="none"/>
        </w:rPr>
        <w:t>，为从业人员缴纳保险费</w:t>
      </w:r>
      <w:bookmarkEnd w:id="1106"/>
      <w:r>
        <w:rPr>
          <w:rFonts w:hint="eastAsia"/>
          <w:highlight w:val="none"/>
        </w:rPr>
        <w:t>。从业人员可以按用人单位参加工伤保险，也可以按项目参加所在地的工伤保险。其中，相对固定的职工，应按用人单位参加工伤保险。对不能按用人单位参保、流动性大的职工特别是农民工，应按项目参加所在地的工伤保险。总承包人应当在本项目取得施工许可证之前完成工伤保险参保。</w:t>
      </w:r>
      <w:bookmarkEnd w:id="1104"/>
    </w:p>
    <w:p w14:paraId="2D56002E">
      <w:pPr>
        <w:pStyle w:val="5"/>
        <w:numPr>
          <w:ilvl w:val="2"/>
          <w:numId w:val="0"/>
        </w:numPr>
        <w:ind w:left="624" w:hanging="624"/>
        <w:rPr>
          <w:highlight w:val="none"/>
        </w:rPr>
      </w:pPr>
      <w:bookmarkStart w:id="1107" w:name="_Toc13349"/>
      <w:r>
        <w:rPr>
          <w:rFonts w:hint="eastAsia"/>
          <w:highlight w:val="none"/>
        </w:rPr>
        <w:t>8.15.2总承包人应当按照国家规定为本项目投保安全生产责任保险，并在本项目取得施工许可证1个月以内完成安全生产责任保险投保。</w:t>
      </w:r>
      <w:bookmarkEnd w:id="1107"/>
    </w:p>
    <w:p w14:paraId="5C6A791E">
      <w:pPr>
        <w:pStyle w:val="5"/>
        <w:numPr>
          <w:ilvl w:val="2"/>
          <w:numId w:val="0"/>
        </w:numPr>
        <w:ind w:left="624" w:hanging="624"/>
        <w:rPr>
          <w:highlight w:val="none"/>
        </w:rPr>
      </w:pPr>
      <w:bookmarkStart w:id="1108" w:name="_Toc26146"/>
      <w:r>
        <w:rPr>
          <w:rFonts w:hint="eastAsia"/>
          <w:highlight w:val="none"/>
        </w:rPr>
        <w:t>8.15.3从业人员遭受职业伤害</w:t>
      </w:r>
      <w:bookmarkStart w:id="1109" w:name="_Hlk166189392"/>
      <w:r>
        <w:rPr>
          <w:rFonts w:hint="eastAsia"/>
          <w:highlight w:val="none"/>
        </w:rPr>
        <w:t>、生产安全事故</w:t>
      </w:r>
      <w:bookmarkEnd w:id="1109"/>
      <w:r>
        <w:rPr>
          <w:rFonts w:hint="eastAsia"/>
          <w:highlight w:val="none"/>
        </w:rPr>
        <w:t>时，总承包人应当牵头办理保险理赔工作，保障其合法权益。</w:t>
      </w:r>
      <w:bookmarkEnd w:id="1108"/>
    </w:p>
    <w:bookmarkEnd w:id="903"/>
    <w:p w14:paraId="41C4DD31">
      <w:pPr>
        <w:pStyle w:val="5"/>
        <w:numPr>
          <w:ilvl w:val="2"/>
          <w:numId w:val="0"/>
        </w:numPr>
        <w:outlineLvl w:val="1"/>
        <w:rPr>
          <w:b/>
          <w:bCs/>
          <w:highlight w:val="none"/>
        </w:rPr>
      </w:pPr>
      <w:bookmarkStart w:id="1110" w:name="_Toc28108"/>
      <w:r>
        <w:rPr>
          <w:rFonts w:hint="eastAsia"/>
          <w:b/>
          <w:bCs/>
          <w:highlight w:val="none"/>
        </w:rPr>
        <w:t>8.1</w:t>
      </w:r>
      <w:r>
        <w:rPr>
          <w:rFonts w:hint="eastAsia"/>
          <w:b/>
          <w:bCs/>
          <w:highlight w:val="none"/>
          <w:lang w:val="en-US" w:eastAsia="zh-CN"/>
        </w:rPr>
        <w:t>6</w:t>
      </w:r>
      <w:r>
        <w:rPr>
          <w:rFonts w:hint="eastAsia"/>
          <w:b/>
          <w:bCs/>
          <w:highlight w:val="none"/>
        </w:rPr>
        <w:t xml:space="preserve"> 临时用电管理要求：</w:t>
      </w:r>
      <w:bookmarkEnd w:id="1110"/>
    </w:p>
    <w:p w14:paraId="2EAFF7C6">
      <w:pPr>
        <w:ind w:firstLine="480"/>
        <w:rPr>
          <w:highlight w:val="none"/>
        </w:rPr>
      </w:pPr>
      <w:r>
        <w:rPr>
          <w:rFonts w:hint="eastAsia"/>
          <w:highlight w:val="none"/>
        </w:rPr>
        <w:t>（1）总承包人应对临时用电设施设备进行集中采购，避免劳务队伍、施工班组、作业人员自购、自带临时用电设施设备入场使用；所有配电箱包括开关箱以及电缆等临时配电箱应当是全新或者经过翻新整备的产品，配电箱、电缆及其他附件进场前需报监理验收，合格后方可进场；二级箱及以下电箱应使用工业插座，所有分配电箱至末端箱，末端箱至用电设备的电缆应架空或者穿管（材质不低于PVC软管）投标时费用一并考虑；总承包人应按照每40000㎡配备1名专职持证电工，对本项目临时用电进行日常维护管理。临时配电箱应使用工业插座取电，电缆线应穿管保护。</w:t>
      </w:r>
    </w:p>
    <w:p w14:paraId="74404BA7">
      <w:pPr>
        <w:ind w:firstLine="480"/>
        <w:rPr>
          <w:highlight w:val="none"/>
        </w:rPr>
      </w:pPr>
      <w:r>
        <w:rPr>
          <w:rFonts w:hint="eastAsia"/>
          <w:highlight w:val="none"/>
        </w:rPr>
        <w:t>（2）总承包人应编制临时用电组织设计，对临时用电安全实施统一管理，对临时用电设施设备执行验收机制，验收合格的统一张贴或悬挂验收合格牌，未经验收合格的禁止使用。</w:t>
      </w:r>
    </w:p>
    <w:p w14:paraId="65F30389">
      <w:pPr>
        <w:ind w:firstLine="480"/>
        <w:rPr>
          <w:highlight w:val="none"/>
        </w:rPr>
      </w:pPr>
      <w:r>
        <w:rPr>
          <w:rFonts w:hint="eastAsia"/>
          <w:highlight w:val="none"/>
        </w:rPr>
        <w:t>（3）总承包人应制定临时用电安全标准化做法并实施样板管理，应在入场后15个工作日上报发包人备案。标准化做法至少包括以下内容：</w:t>
      </w:r>
    </w:p>
    <w:p w14:paraId="40BD16F5">
      <w:pPr>
        <w:ind w:firstLine="480"/>
        <w:rPr>
          <w:highlight w:val="none"/>
        </w:rPr>
      </w:pPr>
      <w:r>
        <w:rPr>
          <w:rFonts w:hint="eastAsia"/>
          <w:highlight w:val="none"/>
        </w:rPr>
        <w:t>——临时用电配电箱配置标准及电器元件选用原则；</w:t>
      </w:r>
    </w:p>
    <w:p w14:paraId="15C0C33C">
      <w:pPr>
        <w:ind w:firstLine="480"/>
        <w:rPr>
          <w:highlight w:val="none"/>
        </w:rPr>
      </w:pPr>
      <w:r>
        <w:rPr>
          <w:rFonts w:hint="eastAsia"/>
          <w:highlight w:val="none"/>
        </w:rPr>
        <w:t>——临时用电配电箱颜色、安全警示标识设置标准；</w:t>
      </w:r>
    </w:p>
    <w:p w14:paraId="57A6CD46">
      <w:pPr>
        <w:ind w:firstLine="480"/>
        <w:rPr>
          <w:highlight w:val="none"/>
        </w:rPr>
      </w:pPr>
      <w:r>
        <w:rPr>
          <w:rFonts w:hint="eastAsia"/>
          <w:highlight w:val="none"/>
        </w:rPr>
        <w:t>——临时用电配电箱支架高度、防护做法；</w:t>
      </w:r>
    </w:p>
    <w:p w14:paraId="7D3BE8C3">
      <w:pPr>
        <w:ind w:firstLine="480"/>
        <w:rPr>
          <w:highlight w:val="none"/>
        </w:rPr>
      </w:pPr>
      <w:r>
        <w:rPr>
          <w:rFonts w:hint="eastAsia"/>
          <w:highlight w:val="none"/>
        </w:rPr>
        <w:t>——临时用电电缆敷设（包括埋设、架空及垂直敷设）标准做法。</w:t>
      </w:r>
    </w:p>
    <w:p w14:paraId="09EE503C">
      <w:pPr>
        <w:ind w:firstLine="480"/>
        <w:rPr>
          <w:highlight w:val="none"/>
        </w:rPr>
      </w:pPr>
      <w:r>
        <w:rPr>
          <w:rFonts w:hint="eastAsia"/>
          <w:highlight w:val="none"/>
        </w:rPr>
        <w:t>（4）临时用电系统进行安拆、维修、改造时，总承包人应保证各项安全警戒、断电上锁、专人监护等安全措施落实到位。</w:t>
      </w:r>
    </w:p>
    <w:p w14:paraId="5A42ACC8">
      <w:pPr>
        <w:pStyle w:val="4"/>
        <w:numPr>
          <w:ilvl w:val="1"/>
          <w:numId w:val="0"/>
        </w:numPr>
        <w:ind w:left="624" w:hanging="624"/>
        <w:rPr>
          <w:highlight w:val="none"/>
        </w:rPr>
      </w:pPr>
      <w:bookmarkStart w:id="1111" w:name="_Toc32727"/>
      <w:bookmarkStart w:id="1112" w:name="_Toc179563032"/>
      <w:bookmarkStart w:id="1113" w:name="_Toc17560"/>
      <w:bookmarkStart w:id="1114" w:name="_Toc4795"/>
      <w:r>
        <w:rPr>
          <w:rFonts w:hint="eastAsia"/>
          <w:highlight w:val="none"/>
        </w:rPr>
        <w:t>8.1</w:t>
      </w:r>
      <w:r>
        <w:rPr>
          <w:rFonts w:hint="eastAsia"/>
          <w:highlight w:val="none"/>
          <w:lang w:val="en-US" w:eastAsia="zh-CN"/>
        </w:rPr>
        <w:t>7</w:t>
      </w:r>
      <w:r>
        <w:rPr>
          <w:rFonts w:hint="eastAsia"/>
          <w:highlight w:val="none"/>
        </w:rPr>
        <w:t>高处作业管理要求：</w:t>
      </w:r>
      <w:bookmarkEnd w:id="1111"/>
      <w:bookmarkEnd w:id="1112"/>
      <w:bookmarkEnd w:id="1113"/>
      <w:bookmarkEnd w:id="1114"/>
    </w:p>
    <w:p w14:paraId="1493AFBB">
      <w:pPr>
        <w:ind w:firstLine="480"/>
        <w:rPr>
          <w:highlight w:val="none"/>
        </w:rPr>
      </w:pPr>
      <w:r>
        <w:rPr>
          <w:rFonts w:hint="eastAsia"/>
          <w:highlight w:val="none"/>
        </w:rPr>
        <w:t>（1）为保证劳动防护用品的质量，总承包人应对劳动防护用品进行“集中采购、统一管理”。对于批量采购的劳动防护用品，承包人应报监理验收，并按照不低于2%的比例进行现场性能试验，并做好验收及试验记录。</w:t>
      </w:r>
    </w:p>
    <w:p w14:paraId="75047908">
      <w:pPr>
        <w:ind w:firstLine="480"/>
        <w:rPr>
          <w:highlight w:val="none"/>
        </w:rPr>
      </w:pPr>
      <w:r>
        <w:rPr>
          <w:rFonts w:hint="eastAsia"/>
          <w:highlight w:val="none"/>
        </w:rPr>
        <w:t>（2）现场所有登高作业平台含人字梯经验收挂牌后方可投入使用，禁止使用自制单边木制梯、马凳等，总承包人应采用市场上成熟的定型化登高作业平台或工具。操作平台须采用成品铝合金操作平台、定型化登高操作平台、定型化人字梯等。</w:t>
      </w:r>
    </w:p>
    <w:p w14:paraId="42B598AF">
      <w:pPr>
        <w:ind w:firstLine="480"/>
        <w:rPr>
          <w:highlight w:val="none"/>
        </w:rPr>
      </w:pPr>
      <w:r>
        <w:rPr>
          <w:rFonts w:hint="eastAsia"/>
          <w:highlight w:val="none"/>
        </w:rPr>
        <w:t>（3）高处作业人员应配备符合相关国家标准的五点式双大钩安全带。</w:t>
      </w:r>
    </w:p>
    <w:p w14:paraId="07FC6060">
      <w:pPr>
        <w:pStyle w:val="4"/>
        <w:numPr>
          <w:ilvl w:val="1"/>
          <w:numId w:val="0"/>
        </w:numPr>
        <w:ind w:left="624" w:hanging="624"/>
        <w:rPr>
          <w:highlight w:val="none"/>
        </w:rPr>
      </w:pPr>
      <w:bookmarkStart w:id="1115" w:name="_Toc4020"/>
      <w:bookmarkStart w:id="1116" w:name="_Toc179563033"/>
      <w:bookmarkStart w:id="1117" w:name="_Toc25286"/>
      <w:bookmarkStart w:id="1118" w:name="_Toc21667"/>
      <w:r>
        <w:rPr>
          <w:rFonts w:hint="eastAsia"/>
          <w:highlight w:val="none"/>
        </w:rPr>
        <w:t>8.1</w:t>
      </w:r>
      <w:r>
        <w:rPr>
          <w:rFonts w:hint="eastAsia"/>
          <w:highlight w:val="none"/>
          <w:lang w:val="en-US" w:eastAsia="zh-CN"/>
        </w:rPr>
        <w:t>8</w:t>
      </w:r>
      <w:r>
        <w:rPr>
          <w:rFonts w:hint="eastAsia"/>
          <w:highlight w:val="none"/>
        </w:rPr>
        <w:t>脚手架工程管理要求：</w:t>
      </w:r>
      <w:bookmarkEnd w:id="1115"/>
      <w:bookmarkEnd w:id="1116"/>
      <w:bookmarkEnd w:id="1117"/>
      <w:bookmarkEnd w:id="1118"/>
    </w:p>
    <w:p w14:paraId="00059819">
      <w:pPr>
        <w:ind w:firstLine="480"/>
        <w:rPr>
          <w:highlight w:val="none"/>
        </w:rPr>
      </w:pPr>
      <w:r>
        <w:rPr>
          <w:rFonts w:hint="eastAsia"/>
          <w:highlight w:val="none"/>
        </w:rPr>
        <w:t>（1）在搭设模板支持体系时应同步搭设结构临边、预留洞口、吊料口、流水断面等临边防护措施并作为架体验收前置条件，高支模体系应在内部至少设置一道水平兜网；涉及到后浇带的应独立搭设并在模板支撑方案中予以明确。</w:t>
      </w:r>
    </w:p>
    <w:p w14:paraId="41FED1BF">
      <w:pPr>
        <w:ind w:firstLine="480"/>
        <w:rPr>
          <w:highlight w:val="none"/>
        </w:rPr>
      </w:pPr>
      <w:r>
        <w:rPr>
          <w:rFonts w:hint="eastAsia"/>
          <w:highlight w:val="none"/>
        </w:rPr>
        <w:t>（2）吊篮安拆工应按要求持证上岗，吊篮内作业人员应经过关于吊篮使用的专业培训，并经考核合格后由吊篮租赁单位颁发吊篮作业操作证件。</w:t>
      </w:r>
    </w:p>
    <w:p w14:paraId="26E25A83">
      <w:pPr>
        <w:ind w:firstLine="480"/>
        <w:rPr>
          <w:highlight w:val="none"/>
        </w:rPr>
      </w:pPr>
      <w:r>
        <w:rPr>
          <w:rFonts w:hint="eastAsia"/>
          <w:highlight w:val="none"/>
        </w:rPr>
        <w:t>（3）安拆工应按要求持证上岗，除投入使用前需做第三方检测外，检测报告报监理核查备案。</w:t>
      </w:r>
    </w:p>
    <w:p w14:paraId="5283EA0F">
      <w:pPr>
        <w:pStyle w:val="4"/>
        <w:numPr>
          <w:ilvl w:val="1"/>
          <w:numId w:val="0"/>
        </w:numPr>
        <w:ind w:left="624" w:hanging="624"/>
        <w:rPr>
          <w:highlight w:val="none"/>
        </w:rPr>
      </w:pPr>
      <w:bookmarkStart w:id="1119" w:name="_Toc179563034"/>
      <w:bookmarkStart w:id="1120" w:name="_Toc7354"/>
      <w:bookmarkStart w:id="1121" w:name="_Toc17464"/>
      <w:bookmarkStart w:id="1122" w:name="_Toc3559"/>
      <w:r>
        <w:rPr>
          <w:rFonts w:hint="eastAsia"/>
          <w:highlight w:val="none"/>
        </w:rPr>
        <w:t>8.1</w:t>
      </w:r>
      <w:r>
        <w:rPr>
          <w:rFonts w:hint="eastAsia"/>
          <w:highlight w:val="none"/>
          <w:lang w:val="en-US" w:eastAsia="zh-CN"/>
        </w:rPr>
        <w:t>9</w:t>
      </w:r>
      <w:r>
        <w:rPr>
          <w:rFonts w:hint="eastAsia"/>
          <w:highlight w:val="none"/>
        </w:rPr>
        <w:t>办公生活区管理</w:t>
      </w:r>
      <w:bookmarkEnd w:id="1119"/>
      <w:bookmarkEnd w:id="1120"/>
      <w:bookmarkEnd w:id="1121"/>
      <w:bookmarkEnd w:id="1122"/>
    </w:p>
    <w:p w14:paraId="7F01F5EF">
      <w:pPr>
        <w:ind w:firstLine="480"/>
        <w:rPr>
          <w:highlight w:val="none"/>
        </w:rPr>
      </w:pPr>
      <w:r>
        <w:rPr>
          <w:rFonts w:hint="eastAsia"/>
          <w:highlight w:val="none"/>
        </w:rPr>
        <w:t>禁止在红线内设置生活区，在办公生活区搭设前需上报施工方案至监理人审批，生活区要求除应严格遵守《建设工程施工现场安全技术规范（GB50720-2011）》和《施工现场临时建筑物技术规范（JGJ/T188-2009）》外，另须在电气安全、消防安全和治安保卫方面落实以下要求：</w:t>
      </w:r>
    </w:p>
    <w:p w14:paraId="364C467E">
      <w:pPr>
        <w:ind w:firstLine="480"/>
        <w:rPr>
          <w:highlight w:val="none"/>
        </w:rPr>
      </w:pPr>
      <w:r>
        <w:rPr>
          <w:rFonts w:hint="eastAsia"/>
          <w:highlight w:val="none"/>
        </w:rPr>
        <w:t>（1）所有工人宿舍内按床位配置USB接口，宿舍内采用安全电压照明；</w:t>
      </w:r>
    </w:p>
    <w:p w14:paraId="0F3CBCAF">
      <w:pPr>
        <w:ind w:firstLine="480"/>
        <w:rPr>
          <w:highlight w:val="none"/>
        </w:rPr>
      </w:pPr>
      <w:r>
        <w:rPr>
          <w:rFonts w:hint="eastAsia"/>
          <w:highlight w:val="none"/>
        </w:rPr>
        <w:t>（2）工人生活区除食堂和空调用电外一律采用安全低压供电系统，其中空调应采用专用线路取电和空调专用插座；</w:t>
      </w:r>
    </w:p>
    <w:p w14:paraId="06B2E7D9">
      <w:pPr>
        <w:ind w:firstLine="480"/>
        <w:rPr>
          <w:highlight w:val="none"/>
        </w:rPr>
      </w:pPr>
      <w:r>
        <w:rPr>
          <w:rFonts w:hint="eastAsia"/>
          <w:highlight w:val="none"/>
        </w:rPr>
        <w:t>（3）如有需要工人生活区内可设置集中取电区域（220V/380V）用于手持电动工具充电和使用电吹风等以满足必要的生活和工作用电，但必须配备好消防设施。电动车集中停放、充电区域应与宿舍、厨房等区域保持足够的安全距离，严禁随意停放和私拉电源充电；</w:t>
      </w:r>
    </w:p>
    <w:p w14:paraId="3581966E">
      <w:pPr>
        <w:ind w:firstLine="480"/>
        <w:rPr>
          <w:highlight w:val="none"/>
        </w:rPr>
      </w:pPr>
      <w:r>
        <w:rPr>
          <w:rFonts w:hint="eastAsia"/>
          <w:highlight w:val="none"/>
        </w:rPr>
        <w:t>（4）食堂使用的各类厨具均应为电厨具，例如电热灶具、电蒸箱等。食堂不得使用采用可产生明火的厨具，包括使用液化气、生物油、醇基液体燃料等作为热源的厨具。</w:t>
      </w:r>
    </w:p>
    <w:p w14:paraId="15C8C9DD">
      <w:pPr>
        <w:ind w:firstLine="480"/>
        <w:rPr>
          <w:highlight w:val="none"/>
        </w:rPr>
      </w:pPr>
      <w:r>
        <w:rPr>
          <w:rFonts w:hint="eastAsia"/>
          <w:highlight w:val="none"/>
        </w:rPr>
        <w:t>（5）总承包人单位必须指派专人负责生活区的管理，每天进行巡查并形成记录。</w:t>
      </w:r>
    </w:p>
    <w:p w14:paraId="3FE3CEC0">
      <w:pPr>
        <w:ind w:firstLine="480"/>
        <w:rPr>
          <w:highlight w:val="none"/>
        </w:rPr>
      </w:pPr>
      <w:r>
        <w:rPr>
          <w:rFonts w:hint="eastAsia"/>
          <w:highlight w:val="none"/>
        </w:rPr>
        <w:t>（6）现场搭设库房前须编制方案报监理审批后方可实施，后续专业承包单位进场需要搭设库房时，总承包人应结合项目施工需求划定专门的区域供专业承包单位搭设库房，库房应至少满足以下要求：</w:t>
      </w:r>
    </w:p>
    <w:p w14:paraId="70F2867E">
      <w:pPr>
        <w:ind w:firstLine="480"/>
        <w:rPr>
          <w:highlight w:val="none"/>
        </w:rPr>
      </w:pPr>
      <w:r>
        <w:rPr>
          <w:rFonts w:hint="eastAsia"/>
          <w:highlight w:val="none"/>
        </w:rPr>
        <w:t>（7）实行库房样板管理，搭设完成后组织验收，验收通过后方可投入使用，并作为后期库房搭设的样板。</w:t>
      </w:r>
    </w:p>
    <w:p w14:paraId="6EC84AD3">
      <w:pPr>
        <w:ind w:firstLine="480"/>
        <w:rPr>
          <w:highlight w:val="none"/>
        </w:rPr>
      </w:pPr>
      <w:r>
        <w:rPr>
          <w:rFonts w:hint="eastAsia"/>
          <w:highlight w:val="none"/>
        </w:rPr>
        <w:t>美观坚固、安全环保，满足国家及地方有关标准要求，消防防火、通风排烟、应急照明、卫生防疫、防盗保卫等安全措施完善</w:t>
      </w:r>
    </w:p>
    <w:p w14:paraId="318F7E87">
      <w:pPr>
        <w:ind w:firstLine="480"/>
        <w:rPr>
          <w:highlight w:val="none"/>
        </w:rPr>
      </w:pPr>
      <w:r>
        <w:rPr>
          <w:rFonts w:hint="eastAsia"/>
          <w:highlight w:val="none"/>
        </w:rPr>
        <w:t>（8）工人生活区主出入口应设置门禁系统和岗亭，保安24小时值守。</w:t>
      </w:r>
      <w:bookmarkStart w:id="1123" w:name="_Toc520245204"/>
      <w:bookmarkEnd w:id="1123"/>
      <w:bookmarkStart w:id="1124" w:name="_Toc520245831"/>
      <w:bookmarkEnd w:id="1124"/>
    </w:p>
    <w:sectPr>
      <w:headerReference r:id="rId16" w:type="default"/>
      <w:footerReference r:id="rId17" w:type="default"/>
      <w:pgSz w:w="11905" w:h="16838"/>
      <w:pgMar w:top="2098" w:right="1474" w:bottom="1984" w:left="1587" w:header="0" w:footer="1145"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83865AE-1C66-4928-9AB2-231F9B22BBAF}"/>
  </w:font>
  <w:font w:name="Arial">
    <w:panose1 w:val="020B0604020202020204"/>
    <w:charset w:val="01"/>
    <w:family w:val="swiss"/>
    <w:pitch w:val="default"/>
    <w:sig w:usb0="E0002EFF" w:usb1="C000785B" w:usb2="00000009" w:usb3="00000000" w:csb0="400001FF" w:csb1="FFFF0000"/>
    <w:embedRegular r:id="rId2" w:fontKey="{25F0127A-8969-41B2-A418-DC36C91FDD08}"/>
  </w:font>
  <w:font w:name="黑体">
    <w:panose1 w:val="02010609060101010101"/>
    <w:charset w:val="86"/>
    <w:family w:val="auto"/>
    <w:pitch w:val="default"/>
    <w:sig w:usb0="800002BF" w:usb1="38CF7CFA" w:usb2="00000016" w:usb3="00000000" w:csb0="00040001" w:csb1="00000000"/>
    <w:embedRegular r:id="rId3" w:fontKey="{605B3F9A-C93B-42A3-BECE-305A92ABFC5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4" w:fontKey="{5FA93A2D-D8CD-4756-B0EC-4438AA8FDE2E}"/>
  </w:font>
  <w:font w:name="方正小标宋简体">
    <w:panose1 w:val="03000509000000000000"/>
    <w:charset w:val="86"/>
    <w:family w:val="auto"/>
    <w:pitch w:val="default"/>
    <w:sig w:usb0="00000001" w:usb1="080E0000" w:usb2="00000000" w:usb3="00000000" w:csb0="00040000" w:csb1="00000000"/>
    <w:embedRegular r:id="rId5" w:fontKey="{77F09FEA-82AE-4642-97D3-1ED4AFFD92E4}"/>
  </w:font>
  <w:font w:name="楷体">
    <w:panose1 w:val="02010609060101010101"/>
    <w:charset w:val="86"/>
    <w:family w:val="auto"/>
    <w:pitch w:val="default"/>
    <w:sig w:usb0="800002BF" w:usb1="38CF7CFA" w:usb2="00000016" w:usb3="00000000" w:csb0="00040001" w:csb1="00000000"/>
    <w:embedRegular r:id="rId6" w:fontKey="{5CF62A86-2E49-443F-AA0F-E13E0E1C2621}"/>
  </w:font>
  <w:font w:name="仿宋_GB2312">
    <w:panose1 w:val="02010609030101010101"/>
    <w:charset w:val="86"/>
    <w:family w:val="auto"/>
    <w:pitch w:val="default"/>
    <w:sig w:usb0="00000001" w:usb1="080E0000" w:usb2="00000000" w:usb3="00000000" w:csb0="00040000" w:csb1="00000000"/>
    <w:embedRegular r:id="rId7" w:fontKey="{51ADB474-1E9A-4DCB-92A6-AB1CD793415A}"/>
  </w:font>
  <w:font w:name="仿宋">
    <w:panose1 w:val="02010609060101010101"/>
    <w:charset w:val="86"/>
    <w:family w:val="auto"/>
    <w:pitch w:val="default"/>
    <w:sig w:usb0="800002BF" w:usb1="38CF7CFA" w:usb2="00000016" w:usb3="00000000" w:csb0="00040001" w:csb1="00000000"/>
    <w:embedRegular r:id="rId8" w:fontKey="{0C54AB12-03E6-4E2C-BE88-0D46246BA8D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F5B83">
    <w:pPr>
      <w:tabs>
        <w:tab w:val="center" w:pos="4153"/>
        <w:tab w:val="right" w:pos="8306"/>
      </w:tabs>
      <w:ind w:firstLine="480"/>
      <w:jc w:val="both"/>
    </w:pPr>
  </w:p>
  <w:p w14:paraId="5D2DA2ED">
    <w:pPr>
      <w:spacing w:line="180" w:lineRule="auto"/>
      <w:ind w:firstLine="3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2258E">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1916">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D3657">
    <w:pPr>
      <w:tabs>
        <w:tab w:val="center" w:pos="4153"/>
        <w:tab w:val="right" w:pos="8306"/>
      </w:tabs>
      <w:ind w:firstLine="480"/>
      <w:jc w:val="cente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906031">
                          <w:pPr>
                            <w:pStyle w:val="15"/>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RWkjzt8BAADBAwAADgAAAAAA&#10;AAABACAAAAAeAQAAZHJzL2Uyb0RvYy54bWxQSwUGAAAAAAYABgBZAQAAbwUAAAAA&#10;">
              <v:fill on="f" focussize="0,0"/>
              <v:stroke on="f"/>
              <v:imagedata o:title=""/>
              <o:lock v:ext="edit" aspectratio="f"/>
              <v:textbox inset="0mm,0mm,0mm,0mm" style="mso-fit-shape-to-text:t;">
                <w:txbxContent>
                  <w:p w14:paraId="69906031">
                    <w:pPr>
                      <w:pStyle w:val="15"/>
                    </w:pPr>
                    <w:r>
                      <w:fldChar w:fldCharType="begin"/>
                    </w:r>
                    <w:r>
                      <w:instrText xml:space="preserve"> PAGE  \* MERGEFORMAT </w:instrText>
                    </w:r>
                    <w:r>
                      <w:fldChar w:fldCharType="separate"/>
                    </w:r>
                    <w:r>
                      <w:t>2</w:t>
                    </w:r>
                    <w:r>
                      <w:fldChar w:fldCharType="end"/>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73B565"/>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bdCSdN8BAADAAwAADgAAAAAA&#10;AAABACAAAAAeAQAAZHJzL2Uyb0RvYy54bWxQSwUGAAAAAAYABgBZAQAAbwUAAAAA&#10;">
              <v:fill on="f" focussize="0,0"/>
              <v:stroke on="f"/>
              <v:imagedata o:title=""/>
              <o:lock v:ext="edit" aspectratio="f"/>
              <v:textbox inset="0mm,0mm,0mm,0mm" style="mso-fit-shape-to-text:t;">
                <w:txbxContent>
                  <w:p w14:paraId="3C73B565"/>
                </w:txbxContent>
              </v:textbox>
            </v:shape>
          </w:pict>
        </mc:Fallback>
      </mc:AlternateContent>
    </w:r>
  </w:p>
  <w:p w14:paraId="229B7C30">
    <w:pPr>
      <w:spacing w:line="180" w:lineRule="auto"/>
      <w:ind w:firstLine="360"/>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DCAFC">
    <w:pPr>
      <w:tabs>
        <w:tab w:val="center" w:pos="4153"/>
        <w:tab w:val="right" w:pos="8306"/>
      </w:tabs>
      <w:ind w:firstLine="480"/>
      <w:jc w:val="cente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544C6E">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jb57+ABAADBAwAADgAAAGRycy9lMm9Eb2MueG1srVPBjtMwEL0j8Q+W&#10;7zRpE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a9qEl684c8LSyM+/fp5//z3/&#10;+cHm86RQ5+OKEm88pWL/FnrKnvyRnIl43wSb/kSJUZz0PV30VT0ymS4tF8tlSSFJselA+MXddR8i&#10;vldgWTIqHmiAWVdx/BhxSJ1SUjUH19qYPETj/nMQZvIUqfehx2Rhv+tHQjuoT8SHXgLVaSF856yj&#10;Pai4o7XnzHxwJHNamckIk7GbDOEkXaw4cjaY73BYrYMPet/mZUtNRf/mgNRpJpDaGGqP3dFkswTj&#10;FqbV+fecs+5e3uY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I2+e/gAQAAwQMAAA4AAAAA&#10;AAAAAQAgAAAAHgEAAGRycy9lMm9Eb2MueG1sUEsFBgAAAAAGAAYAWQEAAHAFAAAAAA==&#10;">
              <v:fill on="f" focussize="0,0"/>
              <v:stroke on="f"/>
              <v:imagedata o:title=""/>
              <o:lock v:ext="edit" aspectratio="f"/>
              <v:textbox inset="0mm,0mm,0mm,0mm" style="mso-fit-shape-to-text:t;">
                <w:txbxContent>
                  <w:p w14:paraId="28544C6E">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137FE04A">
    <w:pPr>
      <w:spacing w:line="180" w:lineRule="auto"/>
      <w:ind w:firstLine="360"/>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FAAD">
    <w:pPr>
      <w:tabs>
        <w:tab w:val="center" w:pos="4153"/>
        <w:tab w:val="right" w:pos="8306"/>
      </w:tabs>
      <w:spacing w:before="120" w:after="120"/>
      <w:ind w:firstLine="48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076912">
                          <w:pPr>
                            <w:pStyle w:val="15"/>
                          </w:pPr>
                          <w:r>
                            <w:fldChar w:fldCharType="begin"/>
                          </w:r>
                          <w:r>
                            <w:instrText xml:space="preserve"> PAGE  \* MERGEFORMAT </w:instrText>
                          </w:r>
                          <w:r>
                            <w:fldChar w:fldCharType="separate"/>
                          </w:r>
                          <w:r>
                            <w:t>53</w:t>
                          </w:r>
                          <w:r>
                            <w:fldChar w:fldCharType="end"/>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vXl43gAQAAwQMAAA4AAAAA&#10;AAAAAQAgAAAAHgEAAGRycy9lMm9Eb2MueG1sUEsFBgAAAAAGAAYAWQEAAHAFAAAAAA==&#10;">
              <v:fill on="f" focussize="0,0"/>
              <v:stroke on="f"/>
              <v:imagedata o:title=""/>
              <o:lock v:ext="edit" aspectratio="f"/>
              <v:textbox inset="0mm,0mm,0mm,0mm" style="mso-fit-shape-to-text:t;">
                <w:txbxContent>
                  <w:p w14:paraId="38076912">
                    <w:pPr>
                      <w:pStyle w:val="1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0AE71">
    <w:pPr>
      <w:tabs>
        <w:tab w:val="center" w:pos="4153"/>
        <w:tab w:val="right" w:pos="8306"/>
      </w:tabs>
      <w:ind w:firstLine="480"/>
      <w:jc w:val="cente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B6339A">
                          <w:pPr>
                            <w:pStyle w:val="15"/>
                          </w:pPr>
                          <w:r>
                            <w:fldChar w:fldCharType="begin"/>
                          </w:r>
                          <w:r>
                            <w:instrText xml:space="preserve"> PAGE  \* MERGEFORMAT </w:instrText>
                          </w:r>
                          <w:r>
                            <w:fldChar w:fldCharType="separate"/>
                          </w:r>
                          <w:r>
                            <w:t>98</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yITazgAQAAwQMAAA4AAAAA&#10;AAAAAQAgAAAAHgEAAGRycy9lMm9Eb2MueG1sUEsFBgAAAAAGAAYAWQEAAHAFAAAAAA==&#10;">
              <v:fill on="f" focussize="0,0"/>
              <v:stroke on="f"/>
              <v:imagedata o:title=""/>
              <o:lock v:ext="edit" aspectratio="f"/>
              <v:textbox inset="0mm,0mm,0mm,0mm" style="mso-fit-shape-to-text:t;">
                <w:txbxContent>
                  <w:p w14:paraId="6DB6339A">
                    <w:pPr>
                      <w:pStyle w:val="15"/>
                    </w:pPr>
                    <w:r>
                      <w:fldChar w:fldCharType="begin"/>
                    </w:r>
                    <w:r>
                      <w:instrText xml:space="preserve"> PAGE  \* MERGEFORMAT </w:instrText>
                    </w:r>
                    <w:r>
                      <w:fldChar w:fldCharType="separate"/>
                    </w:r>
                    <w:r>
                      <w:t>98</w:t>
                    </w:r>
                    <w:r>
                      <w:fldChar w:fldCharType="end"/>
                    </w:r>
                  </w:p>
                </w:txbxContent>
              </v:textbox>
            </v:shape>
          </w:pict>
        </mc:Fallback>
      </mc:AlternateContent>
    </w:r>
  </w:p>
  <w:p w14:paraId="23CD3224">
    <w:pPr>
      <w:tabs>
        <w:tab w:val="center" w:pos="4153"/>
        <w:tab w:val="right" w:pos="8306"/>
      </w:tabs>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ind w:firstLine="480"/>
      </w:pPr>
      <w:r>
        <w:separator/>
      </w:r>
    </w:p>
  </w:footnote>
  <w:footnote w:type="continuationSeparator" w:id="1">
    <w:p>
      <w:pPr>
        <w:spacing w:line="264"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C5DF9">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CCA04">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94D3E">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AF5EE">
    <w:pPr>
      <w:pStyle w:val="16"/>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84AF">
    <w:pPr>
      <w:tabs>
        <w:tab w:val="center" w:pos="4153"/>
        <w:tab w:val="right" w:pos="8306"/>
      </w:tabs>
      <w:spacing w:before="120" w:after="120"/>
      <w:ind w:firstLine="480"/>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0573E">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B230F"/>
    <w:multiLevelType w:val="multilevel"/>
    <w:tmpl w:val="87BB230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9783C766"/>
    <w:multiLevelType w:val="multilevel"/>
    <w:tmpl w:val="9783C766"/>
    <w:lvl w:ilvl="0" w:tentative="0">
      <w:start w:val="1"/>
      <w:numFmt w:val="decimal"/>
      <w:pStyle w:val="3"/>
      <w:suff w:val="space"/>
      <w:lvlText w:val="第%1章 "/>
      <w:lvlJc w:val="left"/>
      <w:pPr>
        <w:tabs>
          <w:tab w:val="left" w:pos="420"/>
        </w:tabs>
        <w:ind w:left="432" w:hanging="432"/>
      </w:pPr>
      <w:rPr>
        <w:rFonts w:hint="default"/>
      </w:rPr>
    </w:lvl>
    <w:lvl w:ilvl="1" w:tentative="0">
      <w:start w:val="1"/>
      <w:numFmt w:val="decimal"/>
      <w:pStyle w:val="4"/>
      <w:isLgl/>
      <w:suff w:val="space"/>
      <w:lvlText w:val="%1.%2"/>
      <w:lvlJc w:val="left"/>
      <w:pPr>
        <w:tabs>
          <w:tab w:val="left" w:pos="420"/>
        </w:tabs>
        <w:ind w:left="575" w:hanging="575"/>
      </w:pPr>
      <w:rPr>
        <w:rFonts w:hint="eastAsia"/>
      </w:rPr>
    </w:lvl>
    <w:lvl w:ilvl="2" w:tentative="0">
      <w:start w:val="1"/>
      <w:numFmt w:val="decimal"/>
      <w:pStyle w:val="5"/>
      <w:isLgl/>
      <w:suff w:val="space"/>
      <w:lvlText w:val="%1.%2.%3"/>
      <w:lvlJc w:val="left"/>
      <w:pPr>
        <w:tabs>
          <w:tab w:val="left" w:pos="420"/>
        </w:tabs>
        <w:ind w:left="720" w:hanging="720"/>
      </w:pPr>
      <w:rPr>
        <w:rFonts w:hint="eastAsia"/>
      </w:rPr>
    </w:lvl>
    <w:lvl w:ilvl="3" w:tentative="0">
      <w:start w:val="1"/>
      <w:numFmt w:val="decimal"/>
      <w:pStyle w:val="6"/>
      <w:isLgl/>
      <w:suff w:val="space"/>
      <w:lvlText w:val="%1.%2.%3.%4"/>
      <w:lvlJc w:val="left"/>
      <w:pPr>
        <w:tabs>
          <w:tab w:val="left" w:pos="420"/>
        </w:tabs>
        <w:ind w:left="1117" w:hanging="864"/>
      </w:pPr>
      <w:rPr>
        <w:rFonts w:hint="eastAsia"/>
      </w:rPr>
    </w:lvl>
    <w:lvl w:ilvl="4" w:tentative="0">
      <w:start w:val="1"/>
      <w:numFmt w:val="decimal"/>
      <w:pStyle w:val="7"/>
      <w:isLgl/>
      <w:suff w:val="space"/>
      <w:lvlText w:val="%1.%2.%3.%4.%5"/>
      <w:lvlJc w:val="left"/>
      <w:pPr>
        <w:tabs>
          <w:tab w:val="left" w:pos="420"/>
        </w:tabs>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2">
    <w:nsid w:val="9D281490"/>
    <w:multiLevelType w:val="multilevel"/>
    <w:tmpl w:val="9D281490"/>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A56F51C6"/>
    <w:multiLevelType w:val="multilevel"/>
    <w:tmpl w:val="A56F51C6"/>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AF8F39B0"/>
    <w:multiLevelType w:val="multilevel"/>
    <w:tmpl w:val="AF8F39B0"/>
    <w:lvl w:ilvl="0" w:tentative="0">
      <w:start w:val="1"/>
      <w:numFmt w:val="decimal"/>
      <w:lvlText w:val="%1)"/>
      <w:lvlJc w:val="left"/>
      <w:pPr>
        <w:tabs>
          <w:tab w:val="left" w:pos="-420"/>
        </w:tabs>
        <w:ind w:left="284" w:hanging="420"/>
      </w:pPr>
      <w:rPr>
        <w:rFonts w:hint="default"/>
      </w:rPr>
    </w:lvl>
    <w:lvl w:ilvl="1" w:tentative="0">
      <w:start w:val="1"/>
      <w:numFmt w:val="lowerLetter"/>
      <w:lvlText w:val="%2)"/>
      <w:lvlJc w:val="left"/>
      <w:pPr>
        <w:tabs>
          <w:tab w:val="left" w:pos="-420"/>
        </w:tabs>
        <w:ind w:left="704" w:hanging="420"/>
      </w:pPr>
    </w:lvl>
    <w:lvl w:ilvl="2" w:tentative="0">
      <w:start w:val="1"/>
      <w:numFmt w:val="lowerRoman"/>
      <w:lvlText w:val="%3."/>
      <w:lvlJc w:val="right"/>
      <w:pPr>
        <w:tabs>
          <w:tab w:val="left" w:pos="-420"/>
        </w:tabs>
        <w:ind w:left="1124" w:hanging="420"/>
      </w:pPr>
    </w:lvl>
    <w:lvl w:ilvl="3" w:tentative="0">
      <w:start w:val="1"/>
      <w:numFmt w:val="decimal"/>
      <w:lvlText w:val="%4."/>
      <w:lvlJc w:val="left"/>
      <w:pPr>
        <w:tabs>
          <w:tab w:val="left" w:pos="-420"/>
        </w:tabs>
        <w:ind w:left="1544" w:hanging="420"/>
      </w:pPr>
    </w:lvl>
    <w:lvl w:ilvl="4" w:tentative="0">
      <w:start w:val="1"/>
      <w:numFmt w:val="lowerLetter"/>
      <w:lvlText w:val="%5)"/>
      <w:lvlJc w:val="left"/>
      <w:pPr>
        <w:tabs>
          <w:tab w:val="left" w:pos="-420"/>
        </w:tabs>
        <w:ind w:left="1964" w:hanging="420"/>
      </w:pPr>
    </w:lvl>
    <w:lvl w:ilvl="5" w:tentative="0">
      <w:start w:val="1"/>
      <w:numFmt w:val="lowerRoman"/>
      <w:lvlText w:val="%6."/>
      <w:lvlJc w:val="right"/>
      <w:pPr>
        <w:tabs>
          <w:tab w:val="left" w:pos="-420"/>
        </w:tabs>
        <w:ind w:left="2384" w:hanging="420"/>
      </w:pPr>
    </w:lvl>
    <w:lvl w:ilvl="6" w:tentative="0">
      <w:start w:val="1"/>
      <w:numFmt w:val="decimal"/>
      <w:lvlText w:val="%7."/>
      <w:lvlJc w:val="left"/>
      <w:pPr>
        <w:tabs>
          <w:tab w:val="left" w:pos="-420"/>
        </w:tabs>
        <w:ind w:left="2804" w:hanging="420"/>
      </w:pPr>
    </w:lvl>
    <w:lvl w:ilvl="7" w:tentative="0">
      <w:start w:val="1"/>
      <w:numFmt w:val="lowerLetter"/>
      <w:lvlText w:val="%8)"/>
      <w:lvlJc w:val="left"/>
      <w:pPr>
        <w:tabs>
          <w:tab w:val="left" w:pos="-420"/>
        </w:tabs>
        <w:ind w:left="3224" w:hanging="420"/>
      </w:pPr>
    </w:lvl>
    <w:lvl w:ilvl="8" w:tentative="0">
      <w:start w:val="1"/>
      <w:numFmt w:val="lowerRoman"/>
      <w:lvlText w:val="%9."/>
      <w:lvlJc w:val="right"/>
      <w:pPr>
        <w:tabs>
          <w:tab w:val="left" w:pos="-420"/>
        </w:tabs>
        <w:ind w:left="3644" w:hanging="420"/>
      </w:pPr>
    </w:lvl>
  </w:abstractNum>
  <w:abstractNum w:abstractNumId="5">
    <w:nsid w:val="B00C55F7"/>
    <w:multiLevelType w:val="multilevel"/>
    <w:tmpl w:val="B00C55F7"/>
    <w:lvl w:ilvl="0" w:tentative="0">
      <w:start w:val="1"/>
      <w:numFmt w:val="decimal"/>
      <w:lvlText w:val="%1)"/>
      <w:lvlJc w:val="left"/>
      <w:pPr>
        <w:tabs>
          <w:tab w:val="left" w:pos="-420"/>
        </w:tabs>
        <w:ind w:left="284" w:hanging="420"/>
      </w:pPr>
      <w:rPr>
        <w:rFonts w:hint="default"/>
      </w:rPr>
    </w:lvl>
    <w:lvl w:ilvl="1" w:tentative="0">
      <w:start w:val="1"/>
      <w:numFmt w:val="lowerLetter"/>
      <w:lvlText w:val="%2)"/>
      <w:lvlJc w:val="left"/>
      <w:pPr>
        <w:tabs>
          <w:tab w:val="left" w:pos="-420"/>
        </w:tabs>
        <w:ind w:left="704" w:hanging="420"/>
      </w:pPr>
    </w:lvl>
    <w:lvl w:ilvl="2" w:tentative="0">
      <w:start w:val="1"/>
      <w:numFmt w:val="lowerRoman"/>
      <w:lvlText w:val="%3."/>
      <w:lvlJc w:val="right"/>
      <w:pPr>
        <w:tabs>
          <w:tab w:val="left" w:pos="-420"/>
        </w:tabs>
        <w:ind w:left="1124" w:hanging="420"/>
      </w:pPr>
    </w:lvl>
    <w:lvl w:ilvl="3" w:tentative="0">
      <w:start w:val="1"/>
      <w:numFmt w:val="decimal"/>
      <w:lvlText w:val="%4."/>
      <w:lvlJc w:val="left"/>
      <w:pPr>
        <w:tabs>
          <w:tab w:val="left" w:pos="-420"/>
        </w:tabs>
        <w:ind w:left="1544" w:hanging="420"/>
      </w:pPr>
    </w:lvl>
    <w:lvl w:ilvl="4" w:tentative="0">
      <w:start w:val="1"/>
      <w:numFmt w:val="lowerLetter"/>
      <w:lvlText w:val="%5)"/>
      <w:lvlJc w:val="left"/>
      <w:pPr>
        <w:tabs>
          <w:tab w:val="left" w:pos="-420"/>
        </w:tabs>
        <w:ind w:left="1964" w:hanging="420"/>
      </w:pPr>
    </w:lvl>
    <w:lvl w:ilvl="5" w:tentative="0">
      <w:start w:val="1"/>
      <w:numFmt w:val="lowerRoman"/>
      <w:lvlText w:val="%6."/>
      <w:lvlJc w:val="right"/>
      <w:pPr>
        <w:tabs>
          <w:tab w:val="left" w:pos="-420"/>
        </w:tabs>
        <w:ind w:left="2384" w:hanging="420"/>
      </w:pPr>
    </w:lvl>
    <w:lvl w:ilvl="6" w:tentative="0">
      <w:start w:val="1"/>
      <w:numFmt w:val="decimal"/>
      <w:lvlText w:val="%7."/>
      <w:lvlJc w:val="left"/>
      <w:pPr>
        <w:tabs>
          <w:tab w:val="left" w:pos="-420"/>
        </w:tabs>
        <w:ind w:left="2804" w:hanging="420"/>
      </w:pPr>
    </w:lvl>
    <w:lvl w:ilvl="7" w:tentative="0">
      <w:start w:val="1"/>
      <w:numFmt w:val="lowerLetter"/>
      <w:lvlText w:val="%8)"/>
      <w:lvlJc w:val="left"/>
      <w:pPr>
        <w:tabs>
          <w:tab w:val="left" w:pos="-420"/>
        </w:tabs>
        <w:ind w:left="3224" w:hanging="420"/>
      </w:pPr>
    </w:lvl>
    <w:lvl w:ilvl="8" w:tentative="0">
      <w:start w:val="1"/>
      <w:numFmt w:val="lowerRoman"/>
      <w:lvlText w:val="%9."/>
      <w:lvlJc w:val="right"/>
      <w:pPr>
        <w:tabs>
          <w:tab w:val="left" w:pos="-420"/>
        </w:tabs>
        <w:ind w:left="3644" w:hanging="420"/>
      </w:pPr>
    </w:lvl>
  </w:abstractNum>
  <w:abstractNum w:abstractNumId="6">
    <w:nsid w:val="C7661832"/>
    <w:multiLevelType w:val="multilevel"/>
    <w:tmpl w:val="C7661832"/>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CB879E5A"/>
    <w:multiLevelType w:val="multilevel"/>
    <w:tmpl w:val="CB879E5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
    <w:nsid w:val="CC9C17C1"/>
    <w:multiLevelType w:val="multilevel"/>
    <w:tmpl w:val="CC9C17C1"/>
    <w:lvl w:ilvl="0" w:tentative="0">
      <w:start w:val="1"/>
      <w:numFmt w:val="decimal"/>
      <w:lvlText w:val="%1)"/>
      <w:lvlJc w:val="left"/>
      <w:pPr>
        <w:tabs>
          <w:tab w:val="left" w:pos="-2520"/>
        </w:tabs>
        <w:ind w:left="310" w:hanging="420"/>
      </w:pPr>
    </w:lvl>
    <w:lvl w:ilvl="1" w:tentative="0">
      <w:start w:val="1"/>
      <w:numFmt w:val="lowerLetter"/>
      <w:lvlText w:val="%2)"/>
      <w:lvlJc w:val="left"/>
      <w:pPr>
        <w:tabs>
          <w:tab w:val="left" w:pos="-2520"/>
        </w:tabs>
        <w:ind w:left="730" w:hanging="420"/>
      </w:pPr>
    </w:lvl>
    <w:lvl w:ilvl="2" w:tentative="0">
      <w:start w:val="1"/>
      <w:numFmt w:val="lowerRoman"/>
      <w:lvlText w:val="%3."/>
      <w:lvlJc w:val="right"/>
      <w:pPr>
        <w:tabs>
          <w:tab w:val="left" w:pos="-2520"/>
        </w:tabs>
        <w:ind w:left="1150" w:hanging="420"/>
      </w:pPr>
    </w:lvl>
    <w:lvl w:ilvl="3" w:tentative="0">
      <w:start w:val="1"/>
      <w:numFmt w:val="decimal"/>
      <w:lvlText w:val="%4."/>
      <w:lvlJc w:val="left"/>
      <w:pPr>
        <w:tabs>
          <w:tab w:val="left" w:pos="-2520"/>
        </w:tabs>
        <w:ind w:left="1570" w:hanging="420"/>
      </w:pPr>
    </w:lvl>
    <w:lvl w:ilvl="4" w:tentative="0">
      <w:start w:val="1"/>
      <w:numFmt w:val="lowerLetter"/>
      <w:lvlText w:val="%5)"/>
      <w:lvlJc w:val="left"/>
      <w:pPr>
        <w:tabs>
          <w:tab w:val="left" w:pos="-2520"/>
        </w:tabs>
        <w:ind w:left="1990" w:hanging="420"/>
      </w:pPr>
    </w:lvl>
    <w:lvl w:ilvl="5" w:tentative="0">
      <w:start w:val="1"/>
      <w:numFmt w:val="lowerRoman"/>
      <w:lvlText w:val="%6."/>
      <w:lvlJc w:val="right"/>
      <w:pPr>
        <w:tabs>
          <w:tab w:val="left" w:pos="-2520"/>
        </w:tabs>
        <w:ind w:left="2410" w:hanging="420"/>
      </w:pPr>
    </w:lvl>
    <w:lvl w:ilvl="6" w:tentative="0">
      <w:start w:val="1"/>
      <w:numFmt w:val="decimal"/>
      <w:lvlText w:val="%7."/>
      <w:lvlJc w:val="left"/>
      <w:pPr>
        <w:tabs>
          <w:tab w:val="left" w:pos="-2520"/>
        </w:tabs>
        <w:ind w:left="2830" w:hanging="420"/>
      </w:pPr>
    </w:lvl>
    <w:lvl w:ilvl="7" w:tentative="0">
      <w:start w:val="1"/>
      <w:numFmt w:val="lowerLetter"/>
      <w:lvlText w:val="%8)"/>
      <w:lvlJc w:val="left"/>
      <w:pPr>
        <w:tabs>
          <w:tab w:val="left" w:pos="-2520"/>
        </w:tabs>
        <w:ind w:left="3250" w:hanging="420"/>
      </w:pPr>
    </w:lvl>
    <w:lvl w:ilvl="8" w:tentative="0">
      <w:start w:val="1"/>
      <w:numFmt w:val="lowerRoman"/>
      <w:lvlText w:val="%9."/>
      <w:lvlJc w:val="right"/>
      <w:pPr>
        <w:tabs>
          <w:tab w:val="left" w:pos="-2520"/>
        </w:tabs>
        <w:ind w:left="3670" w:hanging="420"/>
      </w:pPr>
    </w:lvl>
  </w:abstractNum>
  <w:abstractNum w:abstractNumId="9">
    <w:nsid w:val="CCE4A346"/>
    <w:multiLevelType w:val="singleLevel"/>
    <w:tmpl w:val="CCE4A346"/>
    <w:lvl w:ilvl="0" w:tentative="0">
      <w:start w:val="1"/>
      <w:numFmt w:val="decimal"/>
      <w:lvlText w:val="%1)"/>
      <w:lvlJc w:val="left"/>
      <w:pPr>
        <w:tabs>
          <w:tab w:val="left" w:pos="840"/>
        </w:tabs>
        <w:ind w:left="1265" w:hanging="425"/>
      </w:pPr>
      <w:rPr>
        <w:rFonts w:hint="default"/>
      </w:rPr>
    </w:lvl>
  </w:abstractNum>
  <w:abstractNum w:abstractNumId="10">
    <w:nsid w:val="D09244C0"/>
    <w:multiLevelType w:val="multilevel"/>
    <w:tmpl w:val="D09244C0"/>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D1A42E09"/>
    <w:multiLevelType w:val="multilevel"/>
    <w:tmpl w:val="D1A42E09"/>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D320FD27"/>
    <w:multiLevelType w:val="multilevel"/>
    <w:tmpl w:val="D320FD27"/>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D6311D0B"/>
    <w:multiLevelType w:val="multilevel"/>
    <w:tmpl w:val="D6311D0B"/>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DA85E536"/>
    <w:multiLevelType w:val="multilevel"/>
    <w:tmpl w:val="DA85E536"/>
    <w:lvl w:ilvl="0" w:tentative="0">
      <w:start w:val="1"/>
      <w:numFmt w:val="decimal"/>
      <w:lvlText w:val="%1)"/>
      <w:lvlJc w:val="left"/>
      <w:pPr>
        <w:tabs>
          <w:tab w:val="left" w:pos="-420"/>
        </w:tabs>
        <w:ind w:left="284" w:hanging="420"/>
      </w:pPr>
      <w:rPr>
        <w:rFonts w:hint="default"/>
      </w:rPr>
    </w:lvl>
    <w:lvl w:ilvl="1" w:tentative="0">
      <w:start w:val="1"/>
      <w:numFmt w:val="lowerLetter"/>
      <w:lvlText w:val="%2)"/>
      <w:lvlJc w:val="left"/>
      <w:pPr>
        <w:tabs>
          <w:tab w:val="left" w:pos="-420"/>
        </w:tabs>
        <w:ind w:left="704" w:hanging="420"/>
      </w:pPr>
    </w:lvl>
    <w:lvl w:ilvl="2" w:tentative="0">
      <w:start w:val="1"/>
      <w:numFmt w:val="lowerRoman"/>
      <w:lvlText w:val="%3."/>
      <w:lvlJc w:val="right"/>
      <w:pPr>
        <w:tabs>
          <w:tab w:val="left" w:pos="-420"/>
        </w:tabs>
        <w:ind w:left="1124" w:hanging="420"/>
      </w:pPr>
    </w:lvl>
    <w:lvl w:ilvl="3" w:tentative="0">
      <w:start w:val="1"/>
      <w:numFmt w:val="decimal"/>
      <w:lvlText w:val="%4."/>
      <w:lvlJc w:val="left"/>
      <w:pPr>
        <w:tabs>
          <w:tab w:val="left" w:pos="-420"/>
        </w:tabs>
        <w:ind w:left="1544" w:hanging="420"/>
      </w:pPr>
    </w:lvl>
    <w:lvl w:ilvl="4" w:tentative="0">
      <w:start w:val="1"/>
      <w:numFmt w:val="lowerLetter"/>
      <w:lvlText w:val="%5)"/>
      <w:lvlJc w:val="left"/>
      <w:pPr>
        <w:tabs>
          <w:tab w:val="left" w:pos="-420"/>
        </w:tabs>
        <w:ind w:left="1964" w:hanging="420"/>
      </w:pPr>
    </w:lvl>
    <w:lvl w:ilvl="5" w:tentative="0">
      <w:start w:val="1"/>
      <w:numFmt w:val="lowerRoman"/>
      <w:lvlText w:val="%6."/>
      <w:lvlJc w:val="right"/>
      <w:pPr>
        <w:tabs>
          <w:tab w:val="left" w:pos="-420"/>
        </w:tabs>
        <w:ind w:left="2384" w:hanging="420"/>
      </w:pPr>
    </w:lvl>
    <w:lvl w:ilvl="6" w:tentative="0">
      <w:start w:val="1"/>
      <w:numFmt w:val="decimal"/>
      <w:lvlText w:val="%7."/>
      <w:lvlJc w:val="left"/>
      <w:pPr>
        <w:tabs>
          <w:tab w:val="left" w:pos="-420"/>
        </w:tabs>
        <w:ind w:left="2804" w:hanging="420"/>
      </w:pPr>
    </w:lvl>
    <w:lvl w:ilvl="7" w:tentative="0">
      <w:start w:val="1"/>
      <w:numFmt w:val="lowerLetter"/>
      <w:lvlText w:val="%8)"/>
      <w:lvlJc w:val="left"/>
      <w:pPr>
        <w:tabs>
          <w:tab w:val="left" w:pos="-420"/>
        </w:tabs>
        <w:ind w:left="3224" w:hanging="420"/>
      </w:pPr>
    </w:lvl>
    <w:lvl w:ilvl="8" w:tentative="0">
      <w:start w:val="1"/>
      <w:numFmt w:val="lowerRoman"/>
      <w:lvlText w:val="%9."/>
      <w:lvlJc w:val="right"/>
      <w:pPr>
        <w:tabs>
          <w:tab w:val="left" w:pos="-420"/>
        </w:tabs>
        <w:ind w:left="3644" w:hanging="420"/>
      </w:pPr>
    </w:lvl>
  </w:abstractNum>
  <w:abstractNum w:abstractNumId="15">
    <w:nsid w:val="DD9B97C5"/>
    <w:multiLevelType w:val="multilevel"/>
    <w:tmpl w:val="DD9B97C5"/>
    <w:lvl w:ilvl="0" w:tentative="0">
      <w:start w:val="1"/>
      <w:numFmt w:val="decimal"/>
      <w:lvlText w:val="%1)"/>
      <w:lvlJc w:val="left"/>
      <w:pPr>
        <w:tabs>
          <w:tab w:val="left" w:pos="-420"/>
        </w:tabs>
        <w:ind w:left="284" w:hanging="420"/>
      </w:pPr>
      <w:rPr>
        <w:rFonts w:hint="default"/>
      </w:rPr>
    </w:lvl>
    <w:lvl w:ilvl="1" w:tentative="0">
      <w:start w:val="1"/>
      <w:numFmt w:val="lowerLetter"/>
      <w:lvlText w:val="%2)"/>
      <w:lvlJc w:val="left"/>
      <w:pPr>
        <w:tabs>
          <w:tab w:val="left" w:pos="-420"/>
        </w:tabs>
        <w:ind w:left="704" w:hanging="420"/>
      </w:pPr>
    </w:lvl>
    <w:lvl w:ilvl="2" w:tentative="0">
      <w:start w:val="1"/>
      <w:numFmt w:val="lowerRoman"/>
      <w:lvlText w:val="%3."/>
      <w:lvlJc w:val="right"/>
      <w:pPr>
        <w:tabs>
          <w:tab w:val="left" w:pos="-420"/>
        </w:tabs>
        <w:ind w:left="1124" w:hanging="420"/>
      </w:pPr>
    </w:lvl>
    <w:lvl w:ilvl="3" w:tentative="0">
      <w:start w:val="1"/>
      <w:numFmt w:val="decimal"/>
      <w:lvlText w:val="%4."/>
      <w:lvlJc w:val="left"/>
      <w:pPr>
        <w:tabs>
          <w:tab w:val="left" w:pos="-420"/>
        </w:tabs>
        <w:ind w:left="1544" w:hanging="420"/>
      </w:pPr>
    </w:lvl>
    <w:lvl w:ilvl="4" w:tentative="0">
      <w:start w:val="1"/>
      <w:numFmt w:val="lowerLetter"/>
      <w:lvlText w:val="%5)"/>
      <w:lvlJc w:val="left"/>
      <w:pPr>
        <w:tabs>
          <w:tab w:val="left" w:pos="-420"/>
        </w:tabs>
        <w:ind w:left="1964" w:hanging="420"/>
      </w:pPr>
    </w:lvl>
    <w:lvl w:ilvl="5" w:tentative="0">
      <w:start w:val="1"/>
      <w:numFmt w:val="lowerRoman"/>
      <w:lvlText w:val="%6."/>
      <w:lvlJc w:val="right"/>
      <w:pPr>
        <w:tabs>
          <w:tab w:val="left" w:pos="-420"/>
        </w:tabs>
        <w:ind w:left="2384" w:hanging="420"/>
      </w:pPr>
    </w:lvl>
    <w:lvl w:ilvl="6" w:tentative="0">
      <w:start w:val="1"/>
      <w:numFmt w:val="decimal"/>
      <w:lvlText w:val="%7."/>
      <w:lvlJc w:val="left"/>
      <w:pPr>
        <w:tabs>
          <w:tab w:val="left" w:pos="-420"/>
        </w:tabs>
        <w:ind w:left="2804" w:hanging="420"/>
      </w:pPr>
    </w:lvl>
    <w:lvl w:ilvl="7" w:tentative="0">
      <w:start w:val="1"/>
      <w:numFmt w:val="lowerLetter"/>
      <w:lvlText w:val="%8)"/>
      <w:lvlJc w:val="left"/>
      <w:pPr>
        <w:tabs>
          <w:tab w:val="left" w:pos="-420"/>
        </w:tabs>
        <w:ind w:left="3224" w:hanging="420"/>
      </w:pPr>
    </w:lvl>
    <w:lvl w:ilvl="8" w:tentative="0">
      <w:start w:val="1"/>
      <w:numFmt w:val="lowerRoman"/>
      <w:lvlText w:val="%9."/>
      <w:lvlJc w:val="right"/>
      <w:pPr>
        <w:tabs>
          <w:tab w:val="left" w:pos="-420"/>
        </w:tabs>
        <w:ind w:left="3644" w:hanging="420"/>
      </w:pPr>
    </w:lvl>
  </w:abstractNum>
  <w:abstractNum w:abstractNumId="16">
    <w:nsid w:val="E0C23BFD"/>
    <w:multiLevelType w:val="multilevel"/>
    <w:tmpl w:val="E0C23BFD"/>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F71CF7F8"/>
    <w:multiLevelType w:val="multilevel"/>
    <w:tmpl w:val="F71CF7F8"/>
    <w:lvl w:ilvl="0" w:tentative="0">
      <w:start w:val="1"/>
      <w:numFmt w:val="decimal"/>
      <w:lvlText w:val="%1)"/>
      <w:lvlJc w:val="left"/>
      <w:pPr>
        <w:tabs>
          <w:tab w:val="left" w:pos="-2520"/>
        </w:tabs>
        <w:ind w:left="310" w:hanging="420"/>
      </w:pPr>
    </w:lvl>
    <w:lvl w:ilvl="1" w:tentative="0">
      <w:start w:val="1"/>
      <w:numFmt w:val="lowerLetter"/>
      <w:lvlText w:val="%2)"/>
      <w:lvlJc w:val="left"/>
      <w:pPr>
        <w:tabs>
          <w:tab w:val="left" w:pos="-2520"/>
        </w:tabs>
        <w:ind w:left="730" w:hanging="420"/>
      </w:pPr>
    </w:lvl>
    <w:lvl w:ilvl="2" w:tentative="0">
      <w:start w:val="1"/>
      <w:numFmt w:val="lowerRoman"/>
      <w:lvlText w:val="%3."/>
      <w:lvlJc w:val="right"/>
      <w:pPr>
        <w:tabs>
          <w:tab w:val="left" w:pos="-2520"/>
        </w:tabs>
        <w:ind w:left="1150" w:hanging="420"/>
      </w:pPr>
    </w:lvl>
    <w:lvl w:ilvl="3" w:tentative="0">
      <w:start w:val="1"/>
      <w:numFmt w:val="decimal"/>
      <w:lvlText w:val="%4."/>
      <w:lvlJc w:val="left"/>
      <w:pPr>
        <w:tabs>
          <w:tab w:val="left" w:pos="-2520"/>
        </w:tabs>
        <w:ind w:left="1570" w:hanging="420"/>
      </w:pPr>
    </w:lvl>
    <w:lvl w:ilvl="4" w:tentative="0">
      <w:start w:val="1"/>
      <w:numFmt w:val="lowerLetter"/>
      <w:lvlText w:val="%5)"/>
      <w:lvlJc w:val="left"/>
      <w:pPr>
        <w:tabs>
          <w:tab w:val="left" w:pos="-2520"/>
        </w:tabs>
        <w:ind w:left="1990" w:hanging="420"/>
      </w:pPr>
    </w:lvl>
    <w:lvl w:ilvl="5" w:tentative="0">
      <w:start w:val="1"/>
      <w:numFmt w:val="lowerRoman"/>
      <w:lvlText w:val="%6."/>
      <w:lvlJc w:val="right"/>
      <w:pPr>
        <w:tabs>
          <w:tab w:val="left" w:pos="-2520"/>
        </w:tabs>
        <w:ind w:left="2410" w:hanging="420"/>
      </w:pPr>
    </w:lvl>
    <w:lvl w:ilvl="6" w:tentative="0">
      <w:start w:val="1"/>
      <w:numFmt w:val="decimal"/>
      <w:lvlText w:val="%7."/>
      <w:lvlJc w:val="left"/>
      <w:pPr>
        <w:tabs>
          <w:tab w:val="left" w:pos="-2520"/>
        </w:tabs>
        <w:ind w:left="2830" w:hanging="420"/>
      </w:pPr>
    </w:lvl>
    <w:lvl w:ilvl="7" w:tentative="0">
      <w:start w:val="1"/>
      <w:numFmt w:val="lowerLetter"/>
      <w:lvlText w:val="%8)"/>
      <w:lvlJc w:val="left"/>
      <w:pPr>
        <w:tabs>
          <w:tab w:val="left" w:pos="-2520"/>
        </w:tabs>
        <w:ind w:left="3250" w:hanging="420"/>
      </w:pPr>
    </w:lvl>
    <w:lvl w:ilvl="8" w:tentative="0">
      <w:start w:val="1"/>
      <w:numFmt w:val="lowerRoman"/>
      <w:lvlText w:val="%9."/>
      <w:lvlJc w:val="right"/>
      <w:pPr>
        <w:tabs>
          <w:tab w:val="left" w:pos="-2520"/>
        </w:tabs>
        <w:ind w:left="3670" w:hanging="420"/>
      </w:pPr>
    </w:lvl>
  </w:abstractNum>
  <w:abstractNum w:abstractNumId="18">
    <w:nsid w:val="F80AC57F"/>
    <w:multiLevelType w:val="multilevel"/>
    <w:tmpl w:val="F80AC57F"/>
    <w:lvl w:ilvl="0" w:tentative="0">
      <w:start w:val="1"/>
      <w:numFmt w:val="decimal"/>
      <w:lvlText w:val="%1)"/>
      <w:lvlJc w:val="left"/>
      <w:pPr>
        <w:tabs>
          <w:tab w:val="left" w:pos="-2520"/>
        </w:tabs>
        <w:ind w:left="310" w:hanging="420"/>
      </w:pPr>
    </w:lvl>
    <w:lvl w:ilvl="1" w:tentative="0">
      <w:start w:val="1"/>
      <w:numFmt w:val="lowerLetter"/>
      <w:lvlText w:val="%2)"/>
      <w:lvlJc w:val="left"/>
      <w:pPr>
        <w:tabs>
          <w:tab w:val="left" w:pos="-2520"/>
        </w:tabs>
        <w:ind w:left="730" w:hanging="420"/>
      </w:pPr>
    </w:lvl>
    <w:lvl w:ilvl="2" w:tentative="0">
      <w:start w:val="1"/>
      <w:numFmt w:val="lowerRoman"/>
      <w:lvlText w:val="%3."/>
      <w:lvlJc w:val="right"/>
      <w:pPr>
        <w:tabs>
          <w:tab w:val="left" w:pos="-2520"/>
        </w:tabs>
        <w:ind w:left="1150" w:hanging="420"/>
      </w:pPr>
    </w:lvl>
    <w:lvl w:ilvl="3" w:tentative="0">
      <w:start w:val="1"/>
      <w:numFmt w:val="decimal"/>
      <w:lvlText w:val="%4."/>
      <w:lvlJc w:val="left"/>
      <w:pPr>
        <w:tabs>
          <w:tab w:val="left" w:pos="-2520"/>
        </w:tabs>
        <w:ind w:left="1570" w:hanging="420"/>
      </w:pPr>
    </w:lvl>
    <w:lvl w:ilvl="4" w:tentative="0">
      <w:start w:val="1"/>
      <w:numFmt w:val="lowerLetter"/>
      <w:lvlText w:val="%5)"/>
      <w:lvlJc w:val="left"/>
      <w:pPr>
        <w:tabs>
          <w:tab w:val="left" w:pos="-2520"/>
        </w:tabs>
        <w:ind w:left="1990" w:hanging="420"/>
      </w:pPr>
    </w:lvl>
    <w:lvl w:ilvl="5" w:tentative="0">
      <w:start w:val="1"/>
      <w:numFmt w:val="lowerRoman"/>
      <w:lvlText w:val="%6."/>
      <w:lvlJc w:val="right"/>
      <w:pPr>
        <w:tabs>
          <w:tab w:val="left" w:pos="-2520"/>
        </w:tabs>
        <w:ind w:left="2410" w:hanging="420"/>
      </w:pPr>
    </w:lvl>
    <w:lvl w:ilvl="6" w:tentative="0">
      <w:start w:val="1"/>
      <w:numFmt w:val="decimal"/>
      <w:lvlText w:val="%7."/>
      <w:lvlJc w:val="left"/>
      <w:pPr>
        <w:tabs>
          <w:tab w:val="left" w:pos="-2520"/>
        </w:tabs>
        <w:ind w:left="2830" w:hanging="420"/>
      </w:pPr>
    </w:lvl>
    <w:lvl w:ilvl="7" w:tentative="0">
      <w:start w:val="1"/>
      <w:numFmt w:val="lowerLetter"/>
      <w:lvlText w:val="%8)"/>
      <w:lvlJc w:val="left"/>
      <w:pPr>
        <w:tabs>
          <w:tab w:val="left" w:pos="-2520"/>
        </w:tabs>
        <w:ind w:left="3250" w:hanging="420"/>
      </w:pPr>
    </w:lvl>
    <w:lvl w:ilvl="8" w:tentative="0">
      <w:start w:val="1"/>
      <w:numFmt w:val="lowerRoman"/>
      <w:lvlText w:val="%9."/>
      <w:lvlJc w:val="right"/>
      <w:pPr>
        <w:tabs>
          <w:tab w:val="left" w:pos="-2520"/>
        </w:tabs>
        <w:ind w:left="3670" w:hanging="420"/>
      </w:pPr>
    </w:lvl>
  </w:abstractNum>
  <w:abstractNum w:abstractNumId="19">
    <w:nsid w:val="000032B3"/>
    <w:multiLevelType w:val="multilevel"/>
    <w:tmpl w:val="000032B3"/>
    <w:lvl w:ilvl="0" w:tentative="0">
      <w:start w:val="1"/>
      <w:numFmt w:val="lowerLetter"/>
      <w:lvlText w:val="%1)"/>
      <w:lvlJc w:val="left"/>
      <w:pPr>
        <w:ind w:left="1320" w:hanging="420"/>
      </w:pPr>
      <w:rPr>
        <w:rFonts w:hint="eastAsia" w:cs="Times New Roman"/>
      </w:rPr>
    </w:lvl>
    <w:lvl w:ilvl="1" w:tentative="0">
      <w:start w:val="1"/>
      <w:numFmt w:val="lowerLetter"/>
      <w:lvlText w:val="%2)"/>
      <w:lvlJc w:val="left"/>
      <w:pPr>
        <w:ind w:left="-506" w:hanging="420"/>
      </w:pPr>
    </w:lvl>
    <w:lvl w:ilvl="2" w:tentative="0">
      <w:start w:val="1"/>
      <w:numFmt w:val="lowerRoman"/>
      <w:lvlText w:val="%3."/>
      <w:lvlJc w:val="right"/>
      <w:pPr>
        <w:ind w:left="-86" w:hanging="420"/>
      </w:pPr>
    </w:lvl>
    <w:lvl w:ilvl="3" w:tentative="0">
      <w:start w:val="1"/>
      <w:numFmt w:val="decimal"/>
      <w:lvlText w:val="%4."/>
      <w:lvlJc w:val="left"/>
      <w:pPr>
        <w:ind w:left="334" w:hanging="420"/>
      </w:pPr>
    </w:lvl>
    <w:lvl w:ilvl="4" w:tentative="0">
      <w:start w:val="1"/>
      <w:numFmt w:val="lowerLetter"/>
      <w:lvlText w:val="%5)"/>
      <w:lvlJc w:val="left"/>
      <w:pPr>
        <w:ind w:left="754" w:hanging="420"/>
      </w:pPr>
    </w:lvl>
    <w:lvl w:ilvl="5" w:tentative="0">
      <w:start w:val="1"/>
      <w:numFmt w:val="lowerRoman"/>
      <w:lvlText w:val="%6."/>
      <w:lvlJc w:val="right"/>
      <w:pPr>
        <w:ind w:left="1174" w:hanging="420"/>
      </w:pPr>
    </w:lvl>
    <w:lvl w:ilvl="6" w:tentative="0">
      <w:start w:val="1"/>
      <w:numFmt w:val="decimal"/>
      <w:lvlText w:val="%7."/>
      <w:lvlJc w:val="left"/>
      <w:pPr>
        <w:ind w:left="1594" w:hanging="420"/>
      </w:pPr>
    </w:lvl>
    <w:lvl w:ilvl="7" w:tentative="0">
      <w:start w:val="1"/>
      <w:numFmt w:val="lowerLetter"/>
      <w:lvlText w:val="%8)"/>
      <w:lvlJc w:val="left"/>
      <w:pPr>
        <w:ind w:left="2014" w:hanging="420"/>
      </w:pPr>
    </w:lvl>
    <w:lvl w:ilvl="8" w:tentative="0">
      <w:start w:val="1"/>
      <w:numFmt w:val="lowerRoman"/>
      <w:lvlText w:val="%9."/>
      <w:lvlJc w:val="right"/>
      <w:pPr>
        <w:ind w:left="2434" w:hanging="420"/>
      </w:pPr>
    </w:lvl>
  </w:abstractNum>
  <w:abstractNum w:abstractNumId="20">
    <w:nsid w:val="01734D39"/>
    <w:multiLevelType w:val="multilevel"/>
    <w:tmpl w:val="01734D39"/>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color w:val="auto"/>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1">
    <w:nsid w:val="02465FA9"/>
    <w:multiLevelType w:val="multilevel"/>
    <w:tmpl w:val="02465FA9"/>
    <w:lvl w:ilvl="0" w:tentative="0">
      <w:start w:val="1"/>
      <w:numFmt w:val="decimal"/>
      <w:suff w:val="space"/>
      <w:lvlText w:val="%1）"/>
      <w:lvlJc w:val="right"/>
      <w:pPr>
        <w:ind w:left="420"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02EF583A"/>
    <w:multiLevelType w:val="multilevel"/>
    <w:tmpl w:val="02EF583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3">
    <w:nsid w:val="03383B7A"/>
    <w:multiLevelType w:val="multilevel"/>
    <w:tmpl w:val="03383B7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4">
    <w:nsid w:val="03C83196"/>
    <w:multiLevelType w:val="multilevel"/>
    <w:tmpl w:val="03C83196"/>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25">
    <w:nsid w:val="04915521"/>
    <w:multiLevelType w:val="multilevel"/>
    <w:tmpl w:val="04915521"/>
    <w:lvl w:ilvl="0" w:tentative="0">
      <w:start w:val="1"/>
      <w:numFmt w:val="decimal"/>
      <w:lvlText w:val="%1）"/>
      <w:lvlJc w:val="right"/>
      <w:pPr>
        <w:tabs>
          <w:tab w:val="left" w:pos="-420"/>
        </w:tabs>
        <w:ind w:left="480" w:hanging="420"/>
      </w:pPr>
      <w:rPr>
        <w:rFonts w:hint="eastAsia"/>
      </w:rPr>
    </w:lvl>
    <w:lvl w:ilvl="1" w:tentative="0">
      <w:start w:val="1"/>
      <w:numFmt w:val="lowerLetter"/>
      <w:lvlText w:val="%2)"/>
      <w:lvlJc w:val="left"/>
      <w:pPr>
        <w:tabs>
          <w:tab w:val="left" w:pos="-420"/>
        </w:tabs>
        <w:ind w:left="900" w:hanging="420"/>
      </w:pPr>
    </w:lvl>
    <w:lvl w:ilvl="2" w:tentative="0">
      <w:start w:val="1"/>
      <w:numFmt w:val="lowerRoman"/>
      <w:lvlText w:val="%3."/>
      <w:lvlJc w:val="right"/>
      <w:pPr>
        <w:tabs>
          <w:tab w:val="left" w:pos="-420"/>
        </w:tabs>
        <w:ind w:left="1320" w:hanging="420"/>
      </w:pPr>
    </w:lvl>
    <w:lvl w:ilvl="3" w:tentative="0">
      <w:start w:val="1"/>
      <w:numFmt w:val="decimal"/>
      <w:lvlText w:val="%4."/>
      <w:lvlJc w:val="left"/>
      <w:pPr>
        <w:tabs>
          <w:tab w:val="left" w:pos="-420"/>
        </w:tabs>
        <w:ind w:left="1740" w:hanging="420"/>
      </w:pPr>
    </w:lvl>
    <w:lvl w:ilvl="4" w:tentative="0">
      <w:start w:val="1"/>
      <w:numFmt w:val="lowerLetter"/>
      <w:lvlText w:val="%5)"/>
      <w:lvlJc w:val="left"/>
      <w:pPr>
        <w:tabs>
          <w:tab w:val="left" w:pos="-420"/>
        </w:tabs>
        <w:ind w:left="2160" w:hanging="420"/>
      </w:pPr>
    </w:lvl>
    <w:lvl w:ilvl="5" w:tentative="0">
      <w:start w:val="1"/>
      <w:numFmt w:val="lowerRoman"/>
      <w:lvlText w:val="%6."/>
      <w:lvlJc w:val="right"/>
      <w:pPr>
        <w:tabs>
          <w:tab w:val="left" w:pos="-420"/>
        </w:tabs>
        <w:ind w:left="2580" w:hanging="420"/>
      </w:pPr>
    </w:lvl>
    <w:lvl w:ilvl="6" w:tentative="0">
      <w:start w:val="1"/>
      <w:numFmt w:val="decimal"/>
      <w:lvlText w:val="%7."/>
      <w:lvlJc w:val="left"/>
      <w:pPr>
        <w:tabs>
          <w:tab w:val="left" w:pos="-420"/>
        </w:tabs>
        <w:ind w:left="3000" w:hanging="420"/>
      </w:pPr>
    </w:lvl>
    <w:lvl w:ilvl="7" w:tentative="0">
      <w:start w:val="1"/>
      <w:numFmt w:val="lowerLetter"/>
      <w:lvlText w:val="%8)"/>
      <w:lvlJc w:val="left"/>
      <w:pPr>
        <w:tabs>
          <w:tab w:val="left" w:pos="-420"/>
        </w:tabs>
        <w:ind w:left="3420" w:hanging="420"/>
      </w:pPr>
    </w:lvl>
    <w:lvl w:ilvl="8" w:tentative="0">
      <w:start w:val="1"/>
      <w:numFmt w:val="lowerRoman"/>
      <w:lvlText w:val="%9."/>
      <w:lvlJc w:val="right"/>
      <w:pPr>
        <w:tabs>
          <w:tab w:val="left" w:pos="-420"/>
        </w:tabs>
        <w:ind w:left="3840" w:hanging="420"/>
      </w:pPr>
    </w:lvl>
  </w:abstractNum>
  <w:abstractNum w:abstractNumId="26">
    <w:nsid w:val="055A76E0"/>
    <w:multiLevelType w:val="multilevel"/>
    <w:tmpl w:val="055A76E0"/>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27">
    <w:nsid w:val="05B110B7"/>
    <w:multiLevelType w:val="multilevel"/>
    <w:tmpl w:val="05B110B7"/>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28">
    <w:nsid w:val="064E7F88"/>
    <w:multiLevelType w:val="multilevel"/>
    <w:tmpl w:val="064E7F8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06ED6C8C"/>
    <w:multiLevelType w:val="multilevel"/>
    <w:tmpl w:val="06ED6C8C"/>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0">
    <w:nsid w:val="07799D05"/>
    <w:multiLevelType w:val="multilevel"/>
    <w:tmpl w:val="07799D05"/>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1">
    <w:nsid w:val="07AD1DA4"/>
    <w:multiLevelType w:val="multilevel"/>
    <w:tmpl w:val="07AD1DA4"/>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32">
    <w:nsid w:val="08D15C5F"/>
    <w:multiLevelType w:val="multilevel"/>
    <w:tmpl w:val="08D15C5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3">
    <w:nsid w:val="08DE636E"/>
    <w:multiLevelType w:val="multilevel"/>
    <w:tmpl w:val="08DE636E"/>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34">
    <w:nsid w:val="09CA2CE1"/>
    <w:multiLevelType w:val="multilevel"/>
    <w:tmpl w:val="09CA2CE1"/>
    <w:lvl w:ilvl="0" w:tentative="0">
      <w:start w:val="1"/>
      <w:numFmt w:val="decimal"/>
      <w:lvlText w:val="（%1）"/>
      <w:lvlJc w:val="left"/>
      <w:pPr>
        <w:tabs>
          <w:tab w:val="left" w:pos="-840"/>
        </w:tabs>
        <w:ind w:left="80" w:hanging="440"/>
      </w:pPr>
      <w:rPr>
        <w:rFonts w:hint="eastAsia"/>
      </w:rPr>
    </w:lvl>
    <w:lvl w:ilvl="1" w:tentative="0">
      <w:start w:val="1"/>
      <w:numFmt w:val="lowerLetter"/>
      <w:lvlText w:val="%2)"/>
      <w:lvlJc w:val="left"/>
      <w:pPr>
        <w:tabs>
          <w:tab w:val="left" w:pos="-840"/>
        </w:tabs>
        <w:ind w:left="520" w:hanging="440"/>
      </w:pPr>
    </w:lvl>
    <w:lvl w:ilvl="2" w:tentative="0">
      <w:start w:val="1"/>
      <w:numFmt w:val="lowerRoman"/>
      <w:lvlText w:val="%3."/>
      <w:lvlJc w:val="right"/>
      <w:pPr>
        <w:tabs>
          <w:tab w:val="left" w:pos="-840"/>
        </w:tabs>
        <w:ind w:left="960" w:hanging="440"/>
      </w:pPr>
    </w:lvl>
    <w:lvl w:ilvl="3" w:tentative="0">
      <w:start w:val="1"/>
      <w:numFmt w:val="decimal"/>
      <w:lvlText w:val="%4."/>
      <w:lvlJc w:val="left"/>
      <w:pPr>
        <w:tabs>
          <w:tab w:val="left" w:pos="-840"/>
        </w:tabs>
        <w:ind w:left="1400" w:hanging="440"/>
      </w:pPr>
    </w:lvl>
    <w:lvl w:ilvl="4" w:tentative="0">
      <w:start w:val="1"/>
      <w:numFmt w:val="lowerLetter"/>
      <w:lvlText w:val="%5)"/>
      <w:lvlJc w:val="left"/>
      <w:pPr>
        <w:tabs>
          <w:tab w:val="left" w:pos="-840"/>
        </w:tabs>
        <w:ind w:left="1840" w:hanging="440"/>
      </w:pPr>
    </w:lvl>
    <w:lvl w:ilvl="5" w:tentative="0">
      <w:start w:val="1"/>
      <w:numFmt w:val="lowerRoman"/>
      <w:lvlText w:val="%6."/>
      <w:lvlJc w:val="right"/>
      <w:pPr>
        <w:tabs>
          <w:tab w:val="left" w:pos="-840"/>
        </w:tabs>
        <w:ind w:left="2280" w:hanging="440"/>
      </w:pPr>
    </w:lvl>
    <w:lvl w:ilvl="6" w:tentative="0">
      <w:start w:val="1"/>
      <w:numFmt w:val="decimal"/>
      <w:lvlText w:val="%7."/>
      <w:lvlJc w:val="left"/>
      <w:pPr>
        <w:tabs>
          <w:tab w:val="left" w:pos="-840"/>
        </w:tabs>
        <w:ind w:left="2720" w:hanging="440"/>
      </w:pPr>
    </w:lvl>
    <w:lvl w:ilvl="7" w:tentative="0">
      <w:start w:val="1"/>
      <w:numFmt w:val="lowerLetter"/>
      <w:lvlText w:val="%8)"/>
      <w:lvlJc w:val="left"/>
      <w:pPr>
        <w:tabs>
          <w:tab w:val="left" w:pos="-840"/>
        </w:tabs>
        <w:ind w:left="3160" w:hanging="440"/>
      </w:pPr>
    </w:lvl>
    <w:lvl w:ilvl="8" w:tentative="0">
      <w:start w:val="1"/>
      <w:numFmt w:val="lowerRoman"/>
      <w:lvlText w:val="%9."/>
      <w:lvlJc w:val="right"/>
      <w:pPr>
        <w:tabs>
          <w:tab w:val="left" w:pos="-840"/>
        </w:tabs>
        <w:ind w:left="3600" w:hanging="440"/>
      </w:pPr>
    </w:lvl>
  </w:abstractNum>
  <w:abstractNum w:abstractNumId="35">
    <w:nsid w:val="09D019E1"/>
    <w:multiLevelType w:val="multilevel"/>
    <w:tmpl w:val="09D019E1"/>
    <w:lvl w:ilvl="0" w:tentative="0">
      <w:start w:val="1"/>
      <w:numFmt w:val="lowerLetter"/>
      <w:lvlText w:val="%1)"/>
      <w:lvlJc w:val="left"/>
      <w:pPr>
        <w:tabs>
          <w:tab w:val="left" w:pos="-420"/>
        </w:tabs>
        <w:ind w:left="710" w:hanging="420"/>
      </w:pPr>
      <w:rPr>
        <w:rFonts w:hint="eastAsia" w:cs="Times New Roman"/>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36">
    <w:nsid w:val="09D44159"/>
    <w:multiLevelType w:val="multilevel"/>
    <w:tmpl w:val="09D44159"/>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37">
    <w:nsid w:val="0B5C09D2"/>
    <w:multiLevelType w:val="multilevel"/>
    <w:tmpl w:val="0B5C09D2"/>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8">
    <w:nsid w:val="0B7D6F62"/>
    <w:multiLevelType w:val="multilevel"/>
    <w:tmpl w:val="0B7D6F62"/>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39">
    <w:nsid w:val="0D912FB8"/>
    <w:multiLevelType w:val="multilevel"/>
    <w:tmpl w:val="0D912FB8"/>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40">
    <w:nsid w:val="0DFF87E3"/>
    <w:multiLevelType w:val="multilevel"/>
    <w:tmpl w:val="0DFF87E3"/>
    <w:lvl w:ilvl="0" w:tentative="0">
      <w:start w:val="1"/>
      <w:numFmt w:val="decimal"/>
      <w:lvlText w:val="%1）"/>
      <w:lvlJc w:val="right"/>
      <w:pPr>
        <w:tabs>
          <w:tab w:val="left" w:pos="-420"/>
        </w:tabs>
        <w:ind w:left="480" w:hanging="420"/>
      </w:pPr>
      <w:rPr>
        <w:rFonts w:hint="eastAsia"/>
      </w:rPr>
    </w:lvl>
    <w:lvl w:ilvl="1" w:tentative="0">
      <w:start w:val="1"/>
      <w:numFmt w:val="lowerLetter"/>
      <w:lvlText w:val="%2)"/>
      <w:lvlJc w:val="left"/>
      <w:pPr>
        <w:tabs>
          <w:tab w:val="left" w:pos="-420"/>
        </w:tabs>
        <w:ind w:left="900" w:hanging="420"/>
      </w:pPr>
    </w:lvl>
    <w:lvl w:ilvl="2" w:tentative="0">
      <w:start w:val="1"/>
      <w:numFmt w:val="lowerRoman"/>
      <w:lvlText w:val="%3."/>
      <w:lvlJc w:val="right"/>
      <w:pPr>
        <w:tabs>
          <w:tab w:val="left" w:pos="-420"/>
        </w:tabs>
        <w:ind w:left="1320" w:hanging="420"/>
      </w:pPr>
    </w:lvl>
    <w:lvl w:ilvl="3" w:tentative="0">
      <w:start w:val="1"/>
      <w:numFmt w:val="decimal"/>
      <w:lvlText w:val="%4."/>
      <w:lvlJc w:val="left"/>
      <w:pPr>
        <w:tabs>
          <w:tab w:val="left" w:pos="-420"/>
        </w:tabs>
        <w:ind w:left="1740" w:hanging="420"/>
      </w:pPr>
    </w:lvl>
    <w:lvl w:ilvl="4" w:tentative="0">
      <w:start w:val="1"/>
      <w:numFmt w:val="lowerLetter"/>
      <w:lvlText w:val="%5)"/>
      <w:lvlJc w:val="left"/>
      <w:pPr>
        <w:tabs>
          <w:tab w:val="left" w:pos="-420"/>
        </w:tabs>
        <w:ind w:left="2160" w:hanging="420"/>
      </w:pPr>
    </w:lvl>
    <w:lvl w:ilvl="5" w:tentative="0">
      <w:start w:val="1"/>
      <w:numFmt w:val="lowerRoman"/>
      <w:lvlText w:val="%6."/>
      <w:lvlJc w:val="right"/>
      <w:pPr>
        <w:tabs>
          <w:tab w:val="left" w:pos="-420"/>
        </w:tabs>
        <w:ind w:left="2580" w:hanging="420"/>
      </w:pPr>
    </w:lvl>
    <w:lvl w:ilvl="6" w:tentative="0">
      <w:start w:val="1"/>
      <w:numFmt w:val="decimal"/>
      <w:lvlText w:val="%7."/>
      <w:lvlJc w:val="left"/>
      <w:pPr>
        <w:tabs>
          <w:tab w:val="left" w:pos="-420"/>
        </w:tabs>
        <w:ind w:left="3000" w:hanging="420"/>
      </w:pPr>
    </w:lvl>
    <w:lvl w:ilvl="7" w:tentative="0">
      <w:start w:val="1"/>
      <w:numFmt w:val="lowerLetter"/>
      <w:lvlText w:val="%8)"/>
      <w:lvlJc w:val="left"/>
      <w:pPr>
        <w:tabs>
          <w:tab w:val="left" w:pos="-420"/>
        </w:tabs>
        <w:ind w:left="3420" w:hanging="420"/>
      </w:pPr>
    </w:lvl>
    <w:lvl w:ilvl="8" w:tentative="0">
      <w:start w:val="1"/>
      <w:numFmt w:val="lowerRoman"/>
      <w:lvlText w:val="%9."/>
      <w:lvlJc w:val="right"/>
      <w:pPr>
        <w:tabs>
          <w:tab w:val="left" w:pos="-420"/>
        </w:tabs>
        <w:ind w:left="3840" w:hanging="420"/>
      </w:pPr>
    </w:lvl>
  </w:abstractNum>
  <w:abstractNum w:abstractNumId="41">
    <w:nsid w:val="0E5C7D47"/>
    <w:multiLevelType w:val="multilevel"/>
    <w:tmpl w:val="0E5C7D47"/>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2">
    <w:nsid w:val="0F8B7406"/>
    <w:multiLevelType w:val="multilevel"/>
    <w:tmpl w:val="0F8B7406"/>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3">
    <w:nsid w:val="0F975423"/>
    <w:multiLevelType w:val="multilevel"/>
    <w:tmpl w:val="0F975423"/>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44">
    <w:nsid w:val="113004A7"/>
    <w:multiLevelType w:val="multilevel"/>
    <w:tmpl w:val="113004A7"/>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5">
    <w:nsid w:val="11B873E9"/>
    <w:multiLevelType w:val="multilevel"/>
    <w:tmpl w:val="11B873E9"/>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6">
    <w:nsid w:val="12876704"/>
    <w:multiLevelType w:val="multilevel"/>
    <w:tmpl w:val="12876704"/>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47">
    <w:nsid w:val="12FA26D2"/>
    <w:multiLevelType w:val="multilevel"/>
    <w:tmpl w:val="12FA26D2"/>
    <w:lvl w:ilvl="0" w:tentative="0">
      <w:start w:val="1"/>
      <w:numFmt w:val="decimal"/>
      <w:lvlText w:val="(%1)"/>
      <w:lvlJc w:val="left"/>
      <w:pPr>
        <w:ind w:left="846" w:hanging="420"/>
      </w:pPr>
      <w:rPr>
        <w:rFonts w:hint="default" w:ascii="宋体" w:hAnsi="宋体" w:eastAsia="宋体"/>
        <w:b w:val="0"/>
        <w:color w:val="auto"/>
        <w:sz w:val="21"/>
        <w:szCs w:val="21"/>
      </w:rPr>
    </w:lvl>
    <w:lvl w:ilvl="1" w:tentative="0">
      <w:start w:val="1"/>
      <w:numFmt w:val="lowerLetter"/>
      <w:lvlText w:val="%2)"/>
      <w:lvlJc w:val="left"/>
      <w:pPr>
        <w:ind w:left="1260" w:hanging="420"/>
      </w:pPr>
      <w:rPr>
        <w:rFonts w:hint="eastAsia"/>
        <w:color w:val="auto"/>
      </w:rPr>
    </w:lvl>
    <w:lvl w:ilvl="2" w:tentative="0">
      <w:start w:val="1"/>
      <w:numFmt w:val="lowerLetter"/>
      <w:lvlText w:val="%3."/>
      <w:lvlJc w:val="left"/>
      <w:pPr>
        <w:ind w:left="1620" w:hanging="360"/>
      </w:pPr>
      <w:rPr>
        <w:rFonts w:hint="default"/>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8">
    <w:nsid w:val="14844C95"/>
    <w:multiLevelType w:val="multilevel"/>
    <w:tmpl w:val="14844C95"/>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9">
    <w:nsid w:val="14B75BCA"/>
    <w:multiLevelType w:val="multilevel"/>
    <w:tmpl w:val="14B75BCA"/>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50">
    <w:nsid w:val="14DD1AE2"/>
    <w:multiLevelType w:val="multilevel"/>
    <w:tmpl w:val="14DD1AE2"/>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1">
    <w:nsid w:val="15325720"/>
    <w:multiLevelType w:val="multilevel"/>
    <w:tmpl w:val="15325720"/>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52">
    <w:nsid w:val="155B67F5"/>
    <w:multiLevelType w:val="multilevel"/>
    <w:tmpl w:val="155B67F5"/>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53">
    <w:nsid w:val="15E82AC0"/>
    <w:multiLevelType w:val="multilevel"/>
    <w:tmpl w:val="15E82AC0"/>
    <w:lvl w:ilvl="0" w:tentative="0">
      <w:start w:val="1"/>
      <w:numFmt w:val="lowerLetter"/>
      <w:lvlText w:val="%1)"/>
      <w:lvlJc w:val="left"/>
      <w:pPr>
        <w:ind w:left="1320" w:hanging="420"/>
      </w:pPr>
      <w:rPr>
        <w:rFonts w:hint="eastAsia" w:cs="Times New Roman"/>
      </w:rPr>
    </w:lvl>
    <w:lvl w:ilvl="1" w:tentative="0">
      <w:start w:val="1"/>
      <w:numFmt w:val="lowerLetter"/>
      <w:lvlText w:val="%2)"/>
      <w:lvlJc w:val="left"/>
      <w:pPr>
        <w:ind w:left="-506" w:hanging="420"/>
      </w:pPr>
    </w:lvl>
    <w:lvl w:ilvl="2" w:tentative="0">
      <w:start w:val="1"/>
      <w:numFmt w:val="lowerRoman"/>
      <w:lvlText w:val="%3."/>
      <w:lvlJc w:val="right"/>
      <w:pPr>
        <w:ind w:left="-86" w:hanging="420"/>
      </w:pPr>
    </w:lvl>
    <w:lvl w:ilvl="3" w:tentative="0">
      <w:start w:val="1"/>
      <w:numFmt w:val="decimal"/>
      <w:lvlText w:val="%4."/>
      <w:lvlJc w:val="left"/>
      <w:pPr>
        <w:ind w:left="334" w:hanging="420"/>
      </w:pPr>
    </w:lvl>
    <w:lvl w:ilvl="4" w:tentative="0">
      <w:start w:val="1"/>
      <w:numFmt w:val="lowerLetter"/>
      <w:lvlText w:val="%5)"/>
      <w:lvlJc w:val="left"/>
      <w:pPr>
        <w:ind w:left="754" w:hanging="420"/>
      </w:pPr>
    </w:lvl>
    <w:lvl w:ilvl="5" w:tentative="0">
      <w:start w:val="1"/>
      <w:numFmt w:val="lowerRoman"/>
      <w:lvlText w:val="%6."/>
      <w:lvlJc w:val="right"/>
      <w:pPr>
        <w:ind w:left="1174" w:hanging="420"/>
      </w:pPr>
    </w:lvl>
    <w:lvl w:ilvl="6" w:tentative="0">
      <w:start w:val="1"/>
      <w:numFmt w:val="decimal"/>
      <w:lvlText w:val="%7."/>
      <w:lvlJc w:val="left"/>
      <w:pPr>
        <w:ind w:left="1594" w:hanging="420"/>
      </w:pPr>
    </w:lvl>
    <w:lvl w:ilvl="7" w:tentative="0">
      <w:start w:val="1"/>
      <w:numFmt w:val="lowerLetter"/>
      <w:lvlText w:val="%8)"/>
      <w:lvlJc w:val="left"/>
      <w:pPr>
        <w:ind w:left="2014" w:hanging="420"/>
      </w:pPr>
    </w:lvl>
    <w:lvl w:ilvl="8" w:tentative="0">
      <w:start w:val="1"/>
      <w:numFmt w:val="lowerRoman"/>
      <w:lvlText w:val="%9."/>
      <w:lvlJc w:val="right"/>
      <w:pPr>
        <w:ind w:left="2434" w:hanging="420"/>
      </w:pPr>
    </w:lvl>
  </w:abstractNum>
  <w:abstractNum w:abstractNumId="54">
    <w:nsid w:val="16167409"/>
    <w:multiLevelType w:val="multilevel"/>
    <w:tmpl w:val="16167409"/>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55">
    <w:nsid w:val="168D5B0C"/>
    <w:multiLevelType w:val="multilevel"/>
    <w:tmpl w:val="168D5B0C"/>
    <w:lvl w:ilvl="0" w:tentative="0">
      <w:start w:val="1"/>
      <w:numFmt w:val="lowerLetter"/>
      <w:lvlText w:val="%1)"/>
      <w:lvlJc w:val="left"/>
      <w:pPr>
        <w:tabs>
          <w:tab w:val="left" w:pos="-420"/>
        </w:tabs>
        <w:ind w:left="71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56">
    <w:nsid w:val="16D512CB"/>
    <w:multiLevelType w:val="multilevel"/>
    <w:tmpl w:val="16D512CB"/>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7">
    <w:nsid w:val="17EE4304"/>
    <w:multiLevelType w:val="multilevel"/>
    <w:tmpl w:val="17EE4304"/>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58">
    <w:nsid w:val="180643FA"/>
    <w:multiLevelType w:val="multilevel"/>
    <w:tmpl w:val="180643FA"/>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59">
    <w:nsid w:val="1808286B"/>
    <w:multiLevelType w:val="multilevel"/>
    <w:tmpl w:val="1808286B"/>
    <w:lvl w:ilvl="0" w:tentative="0">
      <w:start w:val="1"/>
      <w:numFmt w:val="decimal"/>
      <w:lvlText w:val="%1）"/>
      <w:lvlJc w:val="right"/>
      <w:pPr>
        <w:tabs>
          <w:tab w:val="left" w:pos="-420"/>
        </w:tabs>
        <w:ind w:left="480" w:hanging="420"/>
      </w:pPr>
      <w:rPr>
        <w:rFonts w:hint="eastAsia"/>
      </w:rPr>
    </w:lvl>
    <w:lvl w:ilvl="1" w:tentative="0">
      <w:start w:val="1"/>
      <w:numFmt w:val="lowerLetter"/>
      <w:lvlText w:val="%2)"/>
      <w:lvlJc w:val="left"/>
      <w:pPr>
        <w:tabs>
          <w:tab w:val="left" w:pos="-420"/>
        </w:tabs>
        <w:ind w:left="900" w:hanging="420"/>
      </w:pPr>
    </w:lvl>
    <w:lvl w:ilvl="2" w:tentative="0">
      <w:start w:val="1"/>
      <w:numFmt w:val="lowerRoman"/>
      <w:lvlText w:val="%3."/>
      <w:lvlJc w:val="right"/>
      <w:pPr>
        <w:tabs>
          <w:tab w:val="left" w:pos="-420"/>
        </w:tabs>
        <w:ind w:left="1320" w:hanging="420"/>
      </w:pPr>
    </w:lvl>
    <w:lvl w:ilvl="3" w:tentative="0">
      <w:start w:val="1"/>
      <w:numFmt w:val="decimal"/>
      <w:lvlText w:val="%4."/>
      <w:lvlJc w:val="left"/>
      <w:pPr>
        <w:tabs>
          <w:tab w:val="left" w:pos="-420"/>
        </w:tabs>
        <w:ind w:left="1740" w:hanging="420"/>
      </w:pPr>
    </w:lvl>
    <w:lvl w:ilvl="4" w:tentative="0">
      <w:start w:val="1"/>
      <w:numFmt w:val="lowerLetter"/>
      <w:lvlText w:val="%5)"/>
      <w:lvlJc w:val="left"/>
      <w:pPr>
        <w:tabs>
          <w:tab w:val="left" w:pos="-420"/>
        </w:tabs>
        <w:ind w:left="2160" w:hanging="420"/>
      </w:pPr>
    </w:lvl>
    <w:lvl w:ilvl="5" w:tentative="0">
      <w:start w:val="1"/>
      <w:numFmt w:val="lowerRoman"/>
      <w:lvlText w:val="%6."/>
      <w:lvlJc w:val="right"/>
      <w:pPr>
        <w:tabs>
          <w:tab w:val="left" w:pos="-420"/>
        </w:tabs>
        <w:ind w:left="2580" w:hanging="420"/>
      </w:pPr>
    </w:lvl>
    <w:lvl w:ilvl="6" w:tentative="0">
      <w:start w:val="1"/>
      <w:numFmt w:val="decimal"/>
      <w:lvlText w:val="%7."/>
      <w:lvlJc w:val="left"/>
      <w:pPr>
        <w:tabs>
          <w:tab w:val="left" w:pos="-420"/>
        </w:tabs>
        <w:ind w:left="3000" w:hanging="420"/>
      </w:pPr>
    </w:lvl>
    <w:lvl w:ilvl="7" w:tentative="0">
      <w:start w:val="1"/>
      <w:numFmt w:val="lowerLetter"/>
      <w:lvlText w:val="%8)"/>
      <w:lvlJc w:val="left"/>
      <w:pPr>
        <w:tabs>
          <w:tab w:val="left" w:pos="-420"/>
        </w:tabs>
        <w:ind w:left="3420" w:hanging="420"/>
      </w:pPr>
    </w:lvl>
    <w:lvl w:ilvl="8" w:tentative="0">
      <w:start w:val="1"/>
      <w:numFmt w:val="lowerRoman"/>
      <w:lvlText w:val="%9."/>
      <w:lvlJc w:val="right"/>
      <w:pPr>
        <w:tabs>
          <w:tab w:val="left" w:pos="-420"/>
        </w:tabs>
        <w:ind w:left="3840" w:hanging="420"/>
      </w:pPr>
    </w:lvl>
  </w:abstractNum>
  <w:abstractNum w:abstractNumId="60">
    <w:nsid w:val="18244A1F"/>
    <w:multiLevelType w:val="multilevel"/>
    <w:tmpl w:val="18244A1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1">
    <w:nsid w:val="18261C56"/>
    <w:multiLevelType w:val="multilevel"/>
    <w:tmpl w:val="18261C56"/>
    <w:lvl w:ilvl="0" w:tentative="0">
      <w:start w:val="1"/>
      <w:numFmt w:val="decimal"/>
      <w:lvlText w:val="%1）"/>
      <w:lvlJc w:val="right"/>
      <w:pPr>
        <w:tabs>
          <w:tab w:val="left" w:pos="-420"/>
        </w:tabs>
        <w:ind w:left="480" w:hanging="420"/>
      </w:pPr>
      <w:rPr>
        <w:rFonts w:hint="eastAsia"/>
      </w:rPr>
    </w:lvl>
    <w:lvl w:ilvl="1" w:tentative="0">
      <w:start w:val="1"/>
      <w:numFmt w:val="lowerLetter"/>
      <w:lvlText w:val="%2)"/>
      <w:lvlJc w:val="left"/>
      <w:pPr>
        <w:tabs>
          <w:tab w:val="left" w:pos="-420"/>
        </w:tabs>
        <w:ind w:left="900" w:hanging="420"/>
      </w:pPr>
    </w:lvl>
    <w:lvl w:ilvl="2" w:tentative="0">
      <w:start w:val="1"/>
      <w:numFmt w:val="lowerRoman"/>
      <w:lvlText w:val="%3."/>
      <w:lvlJc w:val="right"/>
      <w:pPr>
        <w:tabs>
          <w:tab w:val="left" w:pos="-420"/>
        </w:tabs>
        <w:ind w:left="1320" w:hanging="420"/>
      </w:pPr>
    </w:lvl>
    <w:lvl w:ilvl="3" w:tentative="0">
      <w:start w:val="1"/>
      <w:numFmt w:val="decimal"/>
      <w:lvlText w:val="%4."/>
      <w:lvlJc w:val="left"/>
      <w:pPr>
        <w:tabs>
          <w:tab w:val="left" w:pos="-420"/>
        </w:tabs>
        <w:ind w:left="1740" w:hanging="420"/>
      </w:pPr>
    </w:lvl>
    <w:lvl w:ilvl="4" w:tentative="0">
      <w:start w:val="1"/>
      <w:numFmt w:val="lowerLetter"/>
      <w:lvlText w:val="%5)"/>
      <w:lvlJc w:val="left"/>
      <w:pPr>
        <w:tabs>
          <w:tab w:val="left" w:pos="-420"/>
        </w:tabs>
        <w:ind w:left="2160" w:hanging="420"/>
      </w:pPr>
    </w:lvl>
    <w:lvl w:ilvl="5" w:tentative="0">
      <w:start w:val="1"/>
      <w:numFmt w:val="lowerRoman"/>
      <w:lvlText w:val="%6."/>
      <w:lvlJc w:val="right"/>
      <w:pPr>
        <w:tabs>
          <w:tab w:val="left" w:pos="-420"/>
        </w:tabs>
        <w:ind w:left="2580" w:hanging="420"/>
      </w:pPr>
    </w:lvl>
    <w:lvl w:ilvl="6" w:tentative="0">
      <w:start w:val="1"/>
      <w:numFmt w:val="decimal"/>
      <w:lvlText w:val="%7."/>
      <w:lvlJc w:val="left"/>
      <w:pPr>
        <w:tabs>
          <w:tab w:val="left" w:pos="-420"/>
        </w:tabs>
        <w:ind w:left="3000" w:hanging="420"/>
      </w:pPr>
    </w:lvl>
    <w:lvl w:ilvl="7" w:tentative="0">
      <w:start w:val="1"/>
      <w:numFmt w:val="lowerLetter"/>
      <w:lvlText w:val="%8)"/>
      <w:lvlJc w:val="left"/>
      <w:pPr>
        <w:tabs>
          <w:tab w:val="left" w:pos="-420"/>
        </w:tabs>
        <w:ind w:left="3420" w:hanging="420"/>
      </w:pPr>
    </w:lvl>
    <w:lvl w:ilvl="8" w:tentative="0">
      <w:start w:val="1"/>
      <w:numFmt w:val="lowerRoman"/>
      <w:lvlText w:val="%9."/>
      <w:lvlJc w:val="right"/>
      <w:pPr>
        <w:tabs>
          <w:tab w:val="left" w:pos="-420"/>
        </w:tabs>
        <w:ind w:left="3840" w:hanging="420"/>
      </w:pPr>
    </w:lvl>
  </w:abstractNum>
  <w:abstractNum w:abstractNumId="62">
    <w:nsid w:val="184951A9"/>
    <w:multiLevelType w:val="multilevel"/>
    <w:tmpl w:val="184951A9"/>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3">
    <w:nsid w:val="184C43DD"/>
    <w:multiLevelType w:val="multilevel"/>
    <w:tmpl w:val="184C43DD"/>
    <w:lvl w:ilvl="0" w:tentative="0">
      <w:start w:val="1"/>
      <w:numFmt w:val="decimal"/>
      <w:lvlText w:val="%1)"/>
      <w:lvlJc w:val="left"/>
      <w:pPr>
        <w:tabs>
          <w:tab w:val="left" w:pos="-420"/>
        </w:tabs>
        <w:ind w:left="0" w:hanging="420"/>
      </w:p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64">
    <w:nsid w:val="1D667CD9"/>
    <w:multiLevelType w:val="multilevel"/>
    <w:tmpl w:val="1D667CD9"/>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5">
    <w:nsid w:val="1EA6757A"/>
    <w:multiLevelType w:val="multilevel"/>
    <w:tmpl w:val="1EA6757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6">
    <w:nsid w:val="1F390958"/>
    <w:multiLevelType w:val="multilevel"/>
    <w:tmpl w:val="1F390958"/>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67">
    <w:nsid w:val="1F663EE9"/>
    <w:multiLevelType w:val="multilevel"/>
    <w:tmpl w:val="1F663EE9"/>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abstractNum w:abstractNumId="68">
    <w:nsid w:val="1FF77A10"/>
    <w:multiLevelType w:val="multilevel"/>
    <w:tmpl w:val="1FF77A10"/>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9">
    <w:nsid w:val="21F32FC6"/>
    <w:multiLevelType w:val="multilevel"/>
    <w:tmpl w:val="21F32FC6"/>
    <w:lvl w:ilvl="0" w:tentative="0">
      <w:start w:val="1"/>
      <w:numFmt w:val="decimal"/>
      <w:lvlText w:val="%1)"/>
      <w:lvlJc w:val="left"/>
      <w:pPr>
        <w:tabs>
          <w:tab w:val="left" w:pos="-420"/>
        </w:tabs>
        <w:ind w:left="0" w:hanging="420"/>
      </w:p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70">
    <w:nsid w:val="2253554F"/>
    <w:multiLevelType w:val="singleLevel"/>
    <w:tmpl w:val="2253554F"/>
    <w:lvl w:ilvl="0" w:tentative="0">
      <w:start w:val="1"/>
      <w:numFmt w:val="decimal"/>
      <w:suff w:val="nothing"/>
      <w:lvlText w:val="（%1）"/>
      <w:lvlJc w:val="left"/>
    </w:lvl>
  </w:abstractNum>
  <w:abstractNum w:abstractNumId="71">
    <w:nsid w:val="22961705"/>
    <w:multiLevelType w:val="multilevel"/>
    <w:tmpl w:val="22961705"/>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2">
    <w:nsid w:val="242A074D"/>
    <w:multiLevelType w:val="multilevel"/>
    <w:tmpl w:val="242A074D"/>
    <w:lvl w:ilvl="0" w:tentative="0">
      <w:start w:val="1"/>
      <w:numFmt w:val="decimal"/>
      <w:lvlText w:val="（%1）"/>
      <w:lvlJc w:val="left"/>
      <w:pPr>
        <w:tabs>
          <w:tab w:val="left" w:pos="-840"/>
        </w:tabs>
        <w:ind w:left="80" w:hanging="440"/>
      </w:pPr>
      <w:rPr>
        <w:rFonts w:hint="eastAsia"/>
      </w:rPr>
    </w:lvl>
    <w:lvl w:ilvl="1" w:tentative="0">
      <w:start w:val="1"/>
      <w:numFmt w:val="lowerLetter"/>
      <w:lvlText w:val="%2)"/>
      <w:lvlJc w:val="left"/>
      <w:pPr>
        <w:tabs>
          <w:tab w:val="left" w:pos="-840"/>
        </w:tabs>
        <w:ind w:left="520" w:hanging="440"/>
      </w:pPr>
    </w:lvl>
    <w:lvl w:ilvl="2" w:tentative="0">
      <w:start w:val="1"/>
      <w:numFmt w:val="lowerRoman"/>
      <w:lvlText w:val="%3."/>
      <w:lvlJc w:val="right"/>
      <w:pPr>
        <w:tabs>
          <w:tab w:val="left" w:pos="-840"/>
        </w:tabs>
        <w:ind w:left="960" w:hanging="440"/>
      </w:pPr>
    </w:lvl>
    <w:lvl w:ilvl="3" w:tentative="0">
      <w:start w:val="1"/>
      <w:numFmt w:val="decimal"/>
      <w:lvlText w:val="%4."/>
      <w:lvlJc w:val="left"/>
      <w:pPr>
        <w:tabs>
          <w:tab w:val="left" w:pos="-840"/>
        </w:tabs>
        <w:ind w:left="1400" w:hanging="440"/>
      </w:pPr>
    </w:lvl>
    <w:lvl w:ilvl="4" w:tentative="0">
      <w:start w:val="1"/>
      <w:numFmt w:val="lowerLetter"/>
      <w:lvlText w:val="%5)"/>
      <w:lvlJc w:val="left"/>
      <w:pPr>
        <w:tabs>
          <w:tab w:val="left" w:pos="-840"/>
        </w:tabs>
        <w:ind w:left="1840" w:hanging="440"/>
      </w:pPr>
    </w:lvl>
    <w:lvl w:ilvl="5" w:tentative="0">
      <w:start w:val="1"/>
      <w:numFmt w:val="lowerRoman"/>
      <w:lvlText w:val="%6."/>
      <w:lvlJc w:val="right"/>
      <w:pPr>
        <w:tabs>
          <w:tab w:val="left" w:pos="-840"/>
        </w:tabs>
        <w:ind w:left="2280" w:hanging="440"/>
      </w:pPr>
    </w:lvl>
    <w:lvl w:ilvl="6" w:tentative="0">
      <w:start w:val="1"/>
      <w:numFmt w:val="decimal"/>
      <w:lvlText w:val="%7."/>
      <w:lvlJc w:val="left"/>
      <w:pPr>
        <w:tabs>
          <w:tab w:val="left" w:pos="-840"/>
        </w:tabs>
        <w:ind w:left="2720" w:hanging="440"/>
      </w:pPr>
    </w:lvl>
    <w:lvl w:ilvl="7" w:tentative="0">
      <w:start w:val="1"/>
      <w:numFmt w:val="lowerLetter"/>
      <w:lvlText w:val="%8)"/>
      <w:lvlJc w:val="left"/>
      <w:pPr>
        <w:tabs>
          <w:tab w:val="left" w:pos="-840"/>
        </w:tabs>
        <w:ind w:left="3160" w:hanging="440"/>
      </w:pPr>
    </w:lvl>
    <w:lvl w:ilvl="8" w:tentative="0">
      <w:start w:val="1"/>
      <w:numFmt w:val="lowerRoman"/>
      <w:lvlText w:val="%9."/>
      <w:lvlJc w:val="right"/>
      <w:pPr>
        <w:tabs>
          <w:tab w:val="left" w:pos="-840"/>
        </w:tabs>
        <w:ind w:left="3600" w:hanging="440"/>
      </w:pPr>
    </w:lvl>
  </w:abstractNum>
  <w:abstractNum w:abstractNumId="73">
    <w:nsid w:val="244808EB"/>
    <w:multiLevelType w:val="multilevel"/>
    <w:tmpl w:val="244808EB"/>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4">
    <w:nsid w:val="244F3635"/>
    <w:multiLevelType w:val="multilevel"/>
    <w:tmpl w:val="244F3635"/>
    <w:lvl w:ilvl="0" w:tentative="0">
      <w:start w:val="1"/>
      <w:numFmt w:val="decimal"/>
      <w:lvlText w:val="%1）"/>
      <w:lvlJc w:val="right"/>
      <w:pPr>
        <w:tabs>
          <w:tab w:val="left" w:pos="-4200"/>
        </w:tabs>
        <w:ind w:left="473" w:hanging="420"/>
      </w:pPr>
      <w:rPr>
        <w:rFonts w:hint="eastAsia"/>
      </w:rPr>
    </w:lvl>
    <w:lvl w:ilvl="1" w:tentative="0">
      <w:start w:val="1"/>
      <w:numFmt w:val="lowerLetter"/>
      <w:lvlText w:val="%2)"/>
      <w:lvlJc w:val="left"/>
      <w:pPr>
        <w:tabs>
          <w:tab w:val="left" w:pos="-4200"/>
        </w:tabs>
        <w:ind w:left="893" w:hanging="420"/>
      </w:pPr>
    </w:lvl>
    <w:lvl w:ilvl="2" w:tentative="0">
      <w:start w:val="1"/>
      <w:numFmt w:val="lowerRoman"/>
      <w:lvlText w:val="%3."/>
      <w:lvlJc w:val="right"/>
      <w:pPr>
        <w:tabs>
          <w:tab w:val="left" w:pos="-4200"/>
        </w:tabs>
        <w:ind w:left="1313" w:hanging="420"/>
      </w:pPr>
    </w:lvl>
    <w:lvl w:ilvl="3" w:tentative="0">
      <w:start w:val="1"/>
      <w:numFmt w:val="decimal"/>
      <w:lvlText w:val="%4."/>
      <w:lvlJc w:val="left"/>
      <w:pPr>
        <w:tabs>
          <w:tab w:val="left" w:pos="-4200"/>
        </w:tabs>
        <w:ind w:left="1733" w:hanging="420"/>
      </w:pPr>
    </w:lvl>
    <w:lvl w:ilvl="4" w:tentative="0">
      <w:start w:val="1"/>
      <w:numFmt w:val="lowerLetter"/>
      <w:lvlText w:val="%5)"/>
      <w:lvlJc w:val="left"/>
      <w:pPr>
        <w:tabs>
          <w:tab w:val="left" w:pos="-4200"/>
        </w:tabs>
        <w:ind w:left="2153" w:hanging="420"/>
      </w:pPr>
    </w:lvl>
    <w:lvl w:ilvl="5" w:tentative="0">
      <w:start w:val="1"/>
      <w:numFmt w:val="lowerRoman"/>
      <w:lvlText w:val="%6."/>
      <w:lvlJc w:val="right"/>
      <w:pPr>
        <w:tabs>
          <w:tab w:val="left" w:pos="-4200"/>
        </w:tabs>
        <w:ind w:left="2573" w:hanging="420"/>
      </w:pPr>
    </w:lvl>
    <w:lvl w:ilvl="6" w:tentative="0">
      <w:start w:val="1"/>
      <w:numFmt w:val="decimal"/>
      <w:lvlText w:val="%7."/>
      <w:lvlJc w:val="left"/>
      <w:pPr>
        <w:tabs>
          <w:tab w:val="left" w:pos="-4200"/>
        </w:tabs>
        <w:ind w:left="2993" w:hanging="420"/>
      </w:pPr>
    </w:lvl>
    <w:lvl w:ilvl="7" w:tentative="0">
      <w:start w:val="1"/>
      <w:numFmt w:val="lowerLetter"/>
      <w:lvlText w:val="%8)"/>
      <w:lvlJc w:val="left"/>
      <w:pPr>
        <w:tabs>
          <w:tab w:val="left" w:pos="-4200"/>
        </w:tabs>
        <w:ind w:left="3413" w:hanging="420"/>
      </w:pPr>
    </w:lvl>
    <w:lvl w:ilvl="8" w:tentative="0">
      <w:start w:val="1"/>
      <w:numFmt w:val="lowerRoman"/>
      <w:lvlText w:val="%9."/>
      <w:lvlJc w:val="right"/>
      <w:pPr>
        <w:tabs>
          <w:tab w:val="left" w:pos="-4200"/>
        </w:tabs>
        <w:ind w:left="3833" w:hanging="420"/>
      </w:pPr>
    </w:lvl>
  </w:abstractNum>
  <w:abstractNum w:abstractNumId="75">
    <w:nsid w:val="252D794F"/>
    <w:multiLevelType w:val="multilevel"/>
    <w:tmpl w:val="252D794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6">
    <w:nsid w:val="256E263B"/>
    <w:multiLevelType w:val="multilevel"/>
    <w:tmpl w:val="256E263B"/>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77">
    <w:nsid w:val="262D52AD"/>
    <w:multiLevelType w:val="multilevel"/>
    <w:tmpl w:val="262D52AD"/>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78">
    <w:nsid w:val="28E3408A"/>
    <w:multiLevelType w:val="multilevel"/>
    <w:tmpl w:val="28E3408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9">
    <w:nsid w:val="2A1A53DD"/>
    <w:multiLevelType w:val="multilevel"/>
    <w:tmpl w:val="2A1A53DD"/>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80">
    <w:nsid w:val="2B504688"/>
    <w:multiLevelType w:val="multilevel"/>
    <w:tmpl w:val="2B504688"/>
    <w:lvl w:ilvl="0" w:tentative="0">
      <w:start w:val="1"/>
      <w:numFmt w:val="decimal"/>
      <w:lvlText w:val="%1）"/>
      <w:lvlJc w:val="righ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2C491CD9"/>
    <w:multiLevelType w:val="multilevel"/>
    <w:tmpl w:val="2C491CD9"/>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82">
    <w:nsid w:val="2D443BCA"/>
    <w:multiLevelType w:val="multilevel"/>
    <w:tmpl w:val="2D443BCA"/>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83">
    <w:nsid w:val="2EE95C9D"/>
    <w:multiLevelType w:val="multilevel"/>
    <w:tmpl w:val="2EE95C9D"/>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4">
    <w:nsid w:val="2F32D9BE"/>
    <w:multiLevelType w:val="multilevel"/>
    <w:tmpl w:val="2F32D9BE"/>
    <w:lvl w:ilvl="0" w:tentative="0">
      <w:start w:val="1"/>
      <w:numFmt w:val="decimal"/>
      <w:lvlText w:val="%1)"/>
      <w:lvlJc w:val="left"/>
      <w:pPr>
        <w:tabs>
          <w:tab w:val="left" w:pos="-420"/>
        </w:tabs>
        <w:ind w:left="284" w:hanging="420"/>
      </w:pPr>
      <w:rPr>
        <w:rFonts w:hint="default"/>
      </w:rPr>
    </w:lvl>
    <w:lvl w:ilvl="1" w:tentative="0">
      <w:start w:val="1"/>
      <w:numFmt w:val="lowerLetter"/>
      <w:lvlText w:val="%2)"/>
      <w:lvlJc w:val="left"/>
      <w:pPr>
        <w:tabs>
          <w:tab w:val="left" w:pos="-420"/>
        </w:tabs>
        <w:ind w:left="704" w:hanging="420"/>
      </w:pPr>
    </w:lvl>
    <w:lvl w:ilvl="2" w:tentative="0">
      <w:start w:val="1"/>
      <w:numFmt w:val="lowerRoman"/>
      <w:lvlText w:val="%3."/>
      <w:lvlJc w:val="right"/>
      <w:pPr>
        <w:tabs>
          <w:tab w:val="left" w:pos="-420"/>
        </w:tabs>
        <w:ind w:left="1124" w:hanging="420"/>
      </w:pPr>
    </w:lvl>
    <w:lvl w:ilvl="3" w:tentative="0">
      <w:start w:val="1"/>
      <w:numFmt w:val="decimal"/>
      <w:lvlText w:val="%4."/>
      <w:lvlJc w:val="left"/>
      <w:pPr>
        <w:tabs>
          <w:tab w:val="left" w:pos="-420"/>
        </w:tabs>
        <w:ind w:left="1544" w:hanging="420"/>
      </w:pPr>
    </w:lvl>
    <w:lvl w:ilvl="4" w:tentative="0">
      <w:start w:val="1"/>
      <w:numFmt w:val="lowerLetter"/>
      <w:lvlText w:val="%5)"/>
      <w:lvlJc w:val="left"/>
      <w:pPr>
        <w:tabs>
          <w:tab w:val="left" w:pos="-420"/>
        </w:tabs>
        <w:ind w:left="1964" w:hanging="420"/>
      </w:pPr>
    </w:lvl>
    <w:lvl w:ilvl="5" w:tentative="0">
      <w:start w:val="1"/>
      <w:numFmt w:val="lowerRoman"/>
      <w:lvlText w:val="%6."/>
      <w:lvlJc w:val="right"/>
      <w:pPr>
        <w:tabs>
          <w:tab w:val="left" w:pos="-420"/>
        </w:tabs>
        <w:ind w:left="2384" w:hanging="420"/>
      </w:pPr>
    </w:lvl>
    <w:lvl w:ilvl="6" w:tentative="0">
      <w:start w:val="1"/>
      <w:numFmt w:val="decimal"/>
      <w:lvlText w:val="%7."/>
      <w:lvlJc w:val="left"/>
      <w:pPr>
        <w:tabs>
          <w:tab w:val="left" w:pos="-420"/>
        </w:tabs>
        <w:ind w:left="2804" w:hanging="420"/>
      </w:pPr>
    </w:lvl>
    <w:lvl w:ilvl="7" w:tentative="0">
      <w:start w:val="1"/>
      <w:numFmt w:val="lowerLetter"/>
      <w:lvlText w:val="%8)"/>
      <w:lvlJc w:val="left"/>
      <w:pPr>
        <w:tabs>
          <w:tab w:val="left" w:pos="-420"/>
        </w:tabs>
        <w:ind w:left="3224" w:hanging="420"/>
      </w:pPr>
    </w:lvl>
    <w:lvl w:ilvl="8" w:tentative="0">
      <w:start w:val="1"/>
      <w:numFmt w:val="lowerRoman"/>
      <w:lvlText w:val="%9."/>
      <w:lvlJc w:val="right"/>
      <w:pPr>
        <w:tabs>
          <w:tab w:val="left" w:pos="-420"/>
        </w:tabs>
        <w:ind w:left="3644" w:hanging="420"/>
      </w:pPr>
    </w:lvl>
  </w:abstractNum>
  <w:abstractNum w:abstractNumId="85">
    <w:nsid w:val="2F8E4FF1"/>
    <w:multiLevelType w:val="multilevel"/>
    <w:tmpl w:val="2F8E4FF1"/>
    <w:lvl w:ilvl="0" w:tentative="0">
      <w:start w:val="1"/>
      <w:numFmt w:val="lowerLetter"/>
      <w:lvlText w:val="%1)"/>
      <w:lvlJc w:val="left"/>
      <w:pPr>
        <w:tabs>
          <w:tab w:val="left" w:pos="-420"/>
        </w:tabs>
        <w:ind w:left="710" w:hanging="420"/>
      </w:pPr>
      <w:rPr>
        <w:rFonts w:hint="eastAsia" w:cs="Times New Roman"/>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86">
    <w:nsid w:val="30EC77BA"/>
    <w:multiLevelType w:val="multilevel"/>
    <w:tmpl w:val="30EC77B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7">
    <w:nsid w:val="30FA2D5D"/>
    <w:multiLevelType w:val="multilevel"/>
    <w:tmpl w:val="30FA2D5D"/>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88">
    <w:nsid w:val="31F9507A"/>
    <w:multiLevelType w:val="multilevel"/>
    <w:tmpl w:val="31F9507A"/>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89">
    <w:nsid w:val="322E5445"/>
    <w:multiLevelType w:val="multilevel"/>
    <w:tmpl w:val="322E5445"/>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90">
    <w:nsid w:val="37A323D6"/>
    <w:multiLevelType w:val="multilevel"/>
    <w:tmpl w:val="37A323D6"/>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91">
    <w:nsid w:val="384B602F"/>
    <w:multiLevelType w:val="multilevel"/>
    <w:tmpl w:val="384B602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2">
    <w:nsid w:val="387B7FF3"/>
    <w:multiLevelType w:val="multilevel"/>
    <w:tmpl w:val="387B7FF3"/>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3">
    <w:nsid w:val="38804CA1"/>
    <w:multiLevelType w:val="multilevel"/>
    <w:tmpl w:val="38804CA1"/>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4">
    <w:nsid w:val="391C2F80"/>
    <w:multiLevelType w:val="multilevel"/>
    <w:tmpl w:val="391C2F80"/>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95">
    <w:nsid w:val="3A557BEC"/>
    <w:multiLevelType w:val="multilevel"/>
    <w:tmpl w:val="3A557BEC"/>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96">
    <w:nsid w:val="3B5612FA"/>
    <w:multiLevelType w:val="multilevel"/>
    <w:tmpl w:val="3B5612FA"/>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abstractNum w:abstractNumId="97">
    <w:nsid w:val="3BDA2C55"/>
    <w:multiLevelType w:val="multilevel"/>
    <w:tmpl w:val="3BDA2C55"/>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8">
    <w:nsid w:val="3C7805CB"/>
    <w:multiLevelType w:val="multilevel"/>
    <w:tmpl w:val="3C7805CB"/>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9">
    <w:nsid w:val="3D7D3386"/>
    <w:multiLevelType w:val="multilevel"/>
    <w:tmpl w:val="3D7D3386"/>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abstractNum w:abstractNumId="100">
    <w:nsid w:val="3EE943DF"/>
    <w:multiLevelType w:val="multilevel"/>
    <w:tmpl w:val="3EE943D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1">
    <w:nsid w:val="40524E71"/>
    <w:multiLevelType w:val="multilevel"/>
    <w:tmpl w:val="40524E71"/>
    <w:lvl w:ilvl="0" w:tentative="0">
      <w:start w:val="1"/>
      <w:numFmt w:val="decimal"/>
      <w:lvlText w:val="%1）"/>
      <w:lvlJc w:val="right"/>
      <w:pPr>
        <w:tabs>
          <w:tab w:val="left" w:pos="-420"/>
        </w:tabs>
        <w:ind w:left="480" w:hanging="420"/>
      </w:pPr>
      <w:rPr>
        <w:rFonts w:hint="eastAsia"/>
      </w:rPr>
    </w:lvl>
    <w:lvl w:ilvl="1" w:tentative="0">
      <w:start w:val="1"/>
      <w:numFmt w:val="lowerLetter"/>
      <w:lvlText w:val="%2)"/>
      <w:lvlJc w:val="left"/>
      <w:pPr>
        <w:tabs>
          <w:tab w:val="left" w:pos="-420"/>
        </w:tabs>
        <w:ind w:left="900" w:hanging="420"/>
      </w:pPr>
    </w:lvl>
    <w:lvl w:ilvl="2" w:tentative="0">
      <w:start w:val="1"/>
      <w:numFmt w:val="lowerRoman"/>
      <w:lvlText w:val="%3."/>
      <w:lvlJc w:val="right"/>
      <w:pPr>
        <w:tabs>
          <w:tab w:val="left" w:pos="-420"/>
        </w:tabs>
        <w:ind w:left="1320" w:hanging="420"/>
      </w:pPr>
    </w:lvl>
    <w:lvl w:ilvl="3" w:tentative="0">
      <w:start w:val="1"/>
      <w:numFmt w:val="decimal"/>
      <w:lvlText w:val="%4."/>
      <w:lvlJc w:val="left"/>
      <w:pPr>
        <w:tabs>
          <w:tab w:val="left" w:pos="-420"/>
        </w:tabs>
        <w:ind w:left="1740" w:hanging="420"/>
      </w:pPr>
    </w:lvl>
    <w:lvl w:ilvl="4" w:tentative="0">
      <w:start w:val="1"/>
      <w:numFmt w:val="lowerLetter"/>
      <w:lvlText w:val="%5)"/>
      <w:lvlJc w:val="left"/>
      <w:pPr>
        <w:tabs>
          <w:tab w:val="left" w:pos="-420"/>
        </w:tabs>
        <w:ind w:left="2160" w:hanging="420"/>
      </w:pPr>
    </w:lvl>
    <w:lvl w:ilvl="5" w:tentative="0">
      <w:start w:val="1"/>
      <w:numFmt w:val="lowerRoman"/>
      <w:lvlText w:val="%6."/>
      <w:lvlJc w:val="right"/>
      <w:pPr>
        <w:tabs>
          <w:tab w:val="left" w:pos="-420"/>
        </w:tabs>
        <w:ind w:left="2580" w:hanging="420"/>
      </w:pPr>
    </w:lvl>
    <w:lvl w:ilvl="6" w:tentative="0">
      <w:start w:val="1"/>
      <w:numFmt w:val="decimal"/>
      <w:lvlText w:val="%7."/>
      <w:lvlJc w:val="left"/>
      <w:pPr>
        <w:tabs>
          <w:tab w:val="left" w:pos="-420"/>
        </w:tabs>
        <w:ind w:left="3000" w:hanging="420"/>
      </w:pPr>
    </w:lvl>
    <w:lvl w:ilvl="7" w:tentative="0">
      <w:start w:val="1"/>
      <w:numFmt w:val="lowerLetter"/>
      <w:lvlText w:val="%8)"/>
      <w:lvlJc w:val="left"/>
      <w:pPr>
        <w:tabs>
          <w:tab w:val="left" w:pos="-420"/>
        </w:tabs>
        <w:ind w:left="3420" w:hanging="420"/>
      </w:pPr>
    </w:lvl>
    <w:lvl w:ilvl="8" w:tentative="0">
      <w:start w:val="1"/>
      <w:numFmt w:val="lowerRoman"/>
      <w:lvlText w:val="%9."/>
      <w:lvlJc w:val="right"/>
      <w:pPr>
        <w:tabs>
          <w:tab w:val="left" w:pos="-420"/>
        </w:tabs>
        <w:ind w:left="3840" w:hanging="420"/>
      </w:pPr>
    </w:lvl>
  </w:abstractNum>
  <w:abstractNum w:abstractNumId="102">
    <w:nsid w:val="45005EAA"/>
    <w:multiLevelType w:val="multilevel"/>
    <w:tmpl w:val="45005EA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3">
    <w:nsid w:val="459E0D5A"/>
    <w:multiLevelType w:val="multilevel"/>
    <w:tmpl w:val="459E0D5A"/>
    <w:lvl w:ilvl="0" w:tentative="0">
      <w:start w:val="1"/>
      <w:numFmt w:val="decimal"/>
      <w:lvlText w:val="(%1)"/>
      <w:lvlJc w:val="left"/>
      <w:pPr>
        <w:ind w:left="846" w:hanging="420"/>
      </w:pPr>
      <w:rPr>
        <w:rFonts w:hint="default" w:ascii="宋体" w:hAnsi="宋体" w:eastAsia="宋体"/>
        <w:b w:val="0"/>
        <w:color w:val="auto"/>
        <w:sz w:val="21"/>
        <w:szCs w:val="21"/>
      </w:rPr>
    </w:lvl>
    <w:lvl w:ilvl="1" w:tentative="0">
      <w:start w:val="1"/>
      <w:numFmt w:val="lowerLetter"/>
      <w:lvlText w:val="%2)"/>
      <w:lvlJc w:val="left"/>
      <w:pPr>
        <w:ind w:left="1260" w:hanging="420"/>
      </w:pPr>
      <w:rPr>
        <w:rFonts w:hint="eastAsia"/>
        <w:color w:val="auto"/>
      </w:rPr>
    </w:lvl>
    <w:lvl w:ilvl="2" w:tentative="0">
      <w:start w:val="1"/>
      <w:numFmt w:val="lowerLetter"/>
      <w:lvlText w:val="%3."/>
      <w:lvlJc w:val="left"/>
      <w:pPr>
        <w:ind w:left="1620" w:hanging="360"/>
      </w:pPr>
      <w:rPr>
        <w:rFonts w:hint="default"/>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4">
    <w:nsid w:val="46894739"/>
    <w:multiLevelType w:val="multilevel"/>
    <w:tmpl w:val="46894739"/>
    <w:lvl w:ilvl="0" w:tentative="0">
      <w:start w:val="1"/>
      <w:numFmt w:val="decimal"/>
      <w:lvlText w:val="%1)"/>
      <w:lvlJc w:val="left"/>
      <w:pPr>
        <w:tabs>
          <w:tab w:val="left" w:pos="-420"/>
        </w:tabs>
        <w:ind w:left="300" w:hanging="7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105">
    <w:nsid w:val="46C66CB4"/>
    <w:multiLevelType w:val="multilevel"/>
    <w:tmpl w:val="46C66CB4"/>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106">
    <w:nsid w:val="4717015F"/>
    <w:multiLevelType w:val="multilevel"/>
    <w:tmpl w:val="4717015F"/>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107">
    <w:nsid w:val="473A3DE6"/>
    <w:multiLevelType w:val="multilevel"/>
    <w:tmpl w:val="473A3DE6"/>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8">
    <w:nsid w:val="47722751"/>
    <w:multiLevelType w:val="multilevel"/>
    <w:tmpl w:val="47722751"/>
    <w:lvl w:ilvl="0" w:tentative="0">
      <w:start w:val="1"/>
      <w:numFmt w:val="decimal"/>
      <w:lvlText w:val="%1)"/>
      <w:lvlJc w:val="left"/>
      <w:pPr>
        <w:tabs>
          <w:tab w:val="left" w:pos="-420"/>
        </w:tabs>
        <w:ind w:left="284" w:hanging="420"/>
      </w:pPr>
      <w:rPr>
        <w:rFonts w:hint="default"/>
      </w:rPr>
    </w:lvl>
    <w:lvl w:ilvl="1" w:tentative="0">
      <w:start w:val="1"/>
      <w:numFmt w:val="lowerLetter"/>
      <w:lvlText w:val="%2)"/>
      <w:lvlJc w:val="left"/>
      <w:pPr>
        <w:tabs>
          <w:tab w:val="left" w:pos="-420"/>
        </w:tabs>
        <w:ind w:left="704" w:hanging="420"/>
      </w:pPr>
    </w:lvl>
    <w:lvl w:ilvl="2" w:tentative="0">
      <w:start w:val="1"/>
      <w:numFmt w:val="lowerRoman"/>
      <w:lvlText w:val="%3."/>
      <w:lvlJc w:val="right"/>
      <w:pPr>
        <w:tabs>
          <w:tab w:val="left" w:pos="-420"/>
        </w:tabs>
        <w:ind w:left="1124" w:hanging="420"/>
      </w:pPr>
    </w:lvl>
    <w:lvl w:ilvl="3" w:tentative="0">
      <w:start w:val="1"/>
      <w:numFmt w:val="decimal"/>
      <w:lvlText w:val="%4."/>
      <w:lvlJc w:val="left"/>
      <w:pPr>
        <w:tabs>
          <w:tab w:val="left" w:pos="-420"/>
        </w:tabs>
        <w:ind w:left="1544" w:hanging="420"/>
      </w:pPr>
    </w:lvl>
    <w:lvl w:ilvl="4" w:tentative="0">
      <w:start w:val="1"/>
      <w:numFmt w:val="lowerLetter"/>
      <w:lvlText w:val="%5)"/>
      <w:lvlJc w:val="left"/>
      <w:pPr>
        <w:tabs>
          <w:tab w:val="left" w:pos="-420"/>
        </w:tabs>
        <w:ind w:left="1964" w:hanging="420"/>
      </w:pPr>
    </w:lvl>
    <w:lvl w:ilvl="5" w:tentative="0">
      <w:start w:val="1"/>
      <w:numFmt w:val="lowerRoman"/>
      <w:lvlText w:val="%6."/>
      <w:lvlJc w:val="right"/>
      <w:pPr>
        <w:tabs>
          <w:tab w:val="left" w:pos="-420"/>
        </w:tabs>
        <w:ind w:left="2384" w:hanging="420"/>
      </w:pPr>
    </w:lvl>
    <w:lvl w:ilvl="6" w:tentative="0">
      <w:start w:val="1"/>
      <w:numFmt w:val="decimal"/>
      <w:lvlText w:val="%7."/>
      <w:lvlJc w:val="left"/>
      <w:pPr>
        <w:tabs>
          <w:tab w:val="left" w:pos="-420"/>
        </w:tabs>
        <w:ind w:left="2804" w:hanging="420"/>
      </w:pPr>
    </w:lvl>
    <w:lvl w:ilvl="7" w:tentative="0">
      <w:start w:val="1"/>
      <w:numFmt w:val="lowerLetter"/>
      <w:lvlText w:val="%8)"/>
      <w:lvlJc w:val="left"/>
      <w:pPr>
        <w:tabs>
          <w:tab w:val="left" w:pos="-420"/>
        </w:tabs>
        <w:ind w:left="3224" w:hanging="420"/>
      </w:pPr>
    </w:lvl>
    <w:lvl w:ilvl="8" w:tentative="0">
      <w:start w:val="1"/>
      <w:numFmt w:val="lowerRoman"/>
      <w:lvlText w:val="%9."/>
      <w:lvlJc w:val="right"/>
      <w:pPr>
        <w:tabs>
          <w:tab w:val="left" w:pos="-420"/>
        </w:tabs>
        <w:ind w:left="3644" w:hanging="420"/>
      </w:pPr>
    </w:lvl>
  </w:abstractNum>
  <w:abstractNum w:abstractNumId="109">
    <w:nsid w:val="4AAC61A3"/>
    <w:multiLevelType w:val="multilevel"/>
    <w:tmpl w:val="4AAC61A3"/>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0">
    <w:nsid w:val="4C39644D"/>
    <w:multiLevelType w:val="multilevel"/>
    <w:tmpl w:val="4C39644D"/>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1">
    <w:nsid w:val="4CF2265C"/>
    <w:multiLevelType w:val="multilevel"/>
    <w:tmpl w:val="4CF2265C"/>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abstractNum w:abstractNumId="112">
    <w:nsid w:val="4DD82564"/>
    <w:multiLevelType w:val="multilevel"/>
    <w:tmpl w:val="4DD82564"/>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abstractNum w:abstractNumId="113">
    <w:nsid w:val="4FAD57F1"/>
    <w:multiLevelType w:val="multilevel"/>
    <w:tmpl w:val="4FAD57F1"/>
    <w:lvl w:ilvl="0" w:tentative="0">
      <w:start w:val="1"/>
      <w:numFmt w:val="decimal"/>
      <w:pStyle w:val="33"/>
      <w:lvlText w:val="8.1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4FD278F7"/>
    <w:multiLevelType w:val="multilevel"/>
    <w:tmpl w:val="4FD278F7"/>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abstractNum w:abstractNumId="115">
    <w:nsid w:val="520D07FF"/>
    <w:multiLevelType w:val="multilevel"/>
    <w:tmpl w:val="520D07F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6">
    <w:nsid w:val="540629EB"/>
    <w:multiLevelType w:val="multilevel"/>
    <w:tmpl w:val="540629EB"/>
    <w:lvl w:ilvl="0" w:tentative="0">
      <w:start w:val="1"/>
      <w:numFmt w:val="decimal"/>
      <w:lvlText w:val="%1."/>
      <w:lvlJc w:val="left"/>
      <w:pPr>
        <w:ind w:left="425" w:hanging="425"/>
      </w:pPr>
      <w:rPr>
        <w:rFonts w:hint="eastAsia"/>
      </w:r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7">
    <w:nsid w:val="54D41EE5"/>
    <w:multiLevelType w:val="multilevel"/>
    <w:tmpl w:val="54D41EE5"/>
    <w:lvl w:ilvl="0" w:tentative="0">
      <w:start w:val="1"/>
      <w:numFmt w:val="decimal"/>
      <w:lvlText w:val="(%1)"/>
      <w:lvlJc w:val="left"/>
      <w:pPr>
        <w:ind w:left="846" w:hanging="420"/>
      </w:pPr>
      <w:rPr>
        <w:rFonts w:hint="default" w:ascii="宋体" w:hAnsi="宋体" w:eastAsia="宋体"/>
        <w:b w:val="0"/>
        <w:color w:val="auto"/>
        <w:sz w:val="21"/>
        <w:szCs w:val="21"/>
      </w:rPr>
    </w:lvl>
    <w:lvl w:ilvl="1" w:tentative="0">
      <w:start w:val="1"/>
      <w:numFmt w:val="lowerLetter"/>
      <w:lvlText w:val="%2)"/>
      <w:lvlJc w:val="left"/>
      <w:pPr>
        <w:ind w:left="1260" w:hanging="420"/>
      </w:pPr>
      <w:rPr>
        <w:rFonts w:hint="eastAsia"/>
        <w:color w:val="auto"/>
      </w:rPr>
    </w:lvl>
    <w:lvl w:ilvl="2" w:tentative="0">
      <w:start w:val="1"/>
      <w:numFmt w:val="lowerLetter"/>
      <w:lvlText w:val="%3."/>
      <w:lvlJc w:val="left"/>
      <w:pPr>
        <w:ind w:left="1620" w:hanging="360"/>
      </w:pPr>
      <w:rPr>
        <w:rFonts w:hint="default"/>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8">
    <w:nsid w:val="55B301A9"/>
    <w:multiLevelType w:val="multilevel"/>
    <w:tmpl w:val="55B301A9"/>
    <w:lvl w:ilvl="0" w:tentative="0">
      <w:start w:val="1"/>
      <w:numFmt w:val="decimal"/>
      <w:lvlText w:val="%1)"/>
      <w:lvlJc w:val="left"/>
      <w:pPr>
        <w:tabs>
          <w:tab w:val="left" w:pos="-420"/>
        </w:tabs>
        <w:ind w:left="284" w:hanging="420"/>
      </w:pPr>
      <w:rPr>
        <w:rFonts w:hint="default"/>
      </w:rPr>
    </w:lvl>
    <w:lvl w:ilvl="1" w:tentative="0">
      <w:start w:val="1"/>
      <w:numFmt w:val="lowerLetter"/>
      <w:lvlText w:val="%2)"/>
      <w:lvlJc w:val="left"/>
      <w:pPr>
        <w:tabs>
          <w:tab w:val="left" w:pos="-420"/>
        </w:tabs>
        <w:ind w:left="704" w:hanging="420"/>
      </w:pPr>
    </w:lvl>
    <w:lvl w:ilvl="2" w:tentative="0">
      <w:start w:val="1"/>
      <w:numFmt w:val="lowerRoman"/>
      <w:lvlText w:val="%3."/>
      <w:lvlJc w:val="right"/>
      <w:pPr>
        <w:tabs>
          <w:tab w:val="left" w:pos="-420"/>
        </w:tabs>
        <w:ind w:left="1124" w:hanging="420"/>
      </w:pPr>
    </w:lvl>
    <w:lvl w:ilvl="3" w:tentative="0">
      <w:start w:val="1"/>
      <w:numFmt w:val="decimal"/>
      <w:lvlText w:val="%4."/>
      <w:lvlJc w:val="left"/>
      <w:pPr>
        <w:tabs>
          <w:tab w:val="left" w:pos="-420"/>
        </w:tabs>
        <w:ind w:left="1544" w:hanging="420"/>
      </w:pPr>
    </w:lvl>
    <w:lvl w:ilvl="4" w:tentative="0">
      <w:start w:val="1"/>
      <w:numFmt w:val="lowerLetter"/>
      <w:lvlText w:val="%5)"/>
      <w:lvlJc w:val="left"/>
      <w:pPr>
        <w:tabs>
          <w:tab w:val="left" w:pos="-420"/>
        </w:tabs>
        <w:ind w:left="1964" w:hanging="420"/>
      </w:pPr>
    </w:lvl>
    <w:lvl w:ilvl="5" w:tentative="0">
      <w:start w:val="1"/>
      <w:numFmt w:val="lowerRoman"/>
      <w:lvlText w:val="%6."/>
      <w:lvlJc w:val="right"/>
      <w:pPr>
        <w:tabs>
          <w:tab w:val="left" w:pos="-420"/>
        </w:tabs>
        <w:ind w:left="2384" w:hanging="420"/>
      </w:pPr>
    </w:lvl>
    <w:lvl w:ilvl="6" w:tentative="0">
      <w:start w:val="1"/>
      <w:numFmt w:val="decimal"/>
      <w:lvlText w:val="%7."/>
      <w:lvlJc w:val="left"/>
      <w:pPr>
        <w:tabs>
          <w:tab w:val="left" w:pos="-420"/>
        </w:tabs>
        <w:ind w:left="2804" w:hanging="420"/>
      </w:pPr>
    </w:lvl>
    <w:lvl w:ilvl="7" w:tentative="0">
      <w:start w:val="1"/>
      <w:numFmt w:val="lowerLetter"/>
      <w:lvlText w:val="%8)"/>
      <w:lvlJc w:val="left"/>
      <w:pPr>
        <w:tabs>
          <w:tab w:val="left" w:pos="-420"/>
        </w:tabs>
        <w:ind w:left="3224" w:hanging="420"/>
      </w:pPr>
    </w:lvl>
    <w:lvl w:ilvl="8" w:tentative="0">
      <w:start w:val="1"/>
      <w:numFmt w:val="lowerRoman"/>
      <w:lvlText w:val="%9."/>
      <w:lvlJc w:val="right"/>
      <w:pPr>
        <w:tabs>
          <w:tab w:val="left" w:pos="-420"/>
        </w:tabs>
        <w:ind w:left="3644" w:hanging="420"/>
      </w:pPr>
    </w:lvl>
  </w:abstractNum>
  <w:abstractNum w:abstractNumId="119">
    <w:nsid w:val="560071F3"/>
    <w:multiLevelType w:val="multilevel"/>
    <w:tmpl w:val="560071F3"/>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0">
    <w:nsid w:val="56BE10A8"/>
    <w:multiLevelType w:val="multilevel"/>
    <w:tmpl w:val="56BE10A8"/>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121">
    <w:nsid w:val="57F64988"/>
    <w:multiLevelType w:val="multilevel"/>
    <w:tmpl w:val="57F64988"/>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122">
    <w:nsid w:val="585F02A2"/>
    <w:multiLevelType w:val="multilevel"/>
    <w:tmpl w:val="585F02A2"/>
    <w:lvl w:ilvl="0" w:tentative="0">
      <w:start w:val="1"/>
      <w:numFmt w:val="decimal"/>
      <w:lvlText w:val="(%1)"/>
      <w:lvlJc w:val="left"/>
      <w:pPr>
        <w:ind w:left="846" w:hanging="420"/>
      </w:pPr>
      <w:rPr>
        <w:rFonts w:hint="default" w:ascii="宋体" w:hAnsi="宋体" w:eastAsia="宋体"/>
        <w:b w:val="0"/>
        <w:color w:val="auto"/>
        <w:sz w:val="21"/>
        <w:szCs w:val="21"/>
      </w:rPr>
    </w:lvl>
    <w:lvl w:ilvl="1" w:tentative="0">
      <w:start w:val="1"/>
      <w:numFmt w:val="lowerLetter"/>
      <w:lvlText w:val="%2)"/>
      <w:lvlJc w:val="left"/>
      <w:pPr>
        <w:ind w:left="1260" w:hanging="420"/>
      </w:pPr>
      <w:rPr>
        <w:rFonts w:hint="eastAsia"/>
        <w:color w:val="auto"/>
      </w:rPr>
    </w:lvl>
    <w:lvl w:ilvl="2" w:tentative="0">
      <w:start w:val="1"/>
      <w:numFmt w:val="lowerLetter"/>
      <w:lvlText w:val="%3."/>
      <w:lvlJc w:val="left"/>
      <w:pPr>
        <w:ind w:left="1620" w:hanging="360"/>
      </w:pPr>
      <w:rPr>
        <w:rFonts w:hint="default"/>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3">
    <w:nsid w:val="59462184"/>
    <w:multiLevelType w:val="multilevel"/>
    <w:tmpl w:val="59462184"/>
    <w:lvl w:ilvl="0" w:tentative="0">
      <w:start w:val="1"/>
      <w:numFmt w:val="decimal"/>
      <w:lvlText w:val="%1）"/>
      <w:lvlJc w:val="right"/>
      <w:pPr>
        <w:tabs>
          <w:tab w:val="left" w:pos="-420"/>
        </w:tabs>
        <w:ind w:left="480" w:hanging="420"/>
      </w:pPr>
      <w:rPr>
        <w:rFonts w:hint="eastAsia"/>
      </w:rPr>
    </w:lvl>
    <w:lvl w:ilvl="1" w:tentative="0">
      <w:start w:val="1"/>
      <w:numFmt w:val="lowerLetter"/>
      <w:lvlText w:val="%2)"/>
      <w:lvlJc w:val="left"/>
      <w:pPr>
        <w:tabs>
          <w:tab w:val="left" w:pos="-420"/>
        </w:tabs>
        <w:ind w:left="900" w:hanging="420"/>
      </w:pPr>
    </w:lvl>
    <w:lvl w:ilvl="2" w:tentative="0">
      <w:start w:val="1"/>
      <w:numFmt w:val="lowerRoman"/>
      <w:lvlText w:val="%3."/>
      <w:lvlJc w:val="right"/>
      <w:pPr>
        <w:tabs>
          <w:tab w:val="left" w:pos="-420"/>
        </w:tabs>
        <w:ind w:left="1320" w:hanging="420"/>
      </w:pPr>
    </w:lvl>
    <w:lvl w:ilvl="3" w:tentative="0">
      <w:start w:val="1"/>
      <w:numFmt w:val="decimal"/>
      <w:lvlText w:val="%4."/>
      <w:lvlJc w:val="left"/>
      <w:pPr>
        <w:tabs>
          <w:tab w:val="left" w:pos="-420"/>
        </w:tabs>
        <w:ind w:left="1740" w:hanging="420"/>
      </w:pPr>
    </w:lvl>
    <w:lvl w:ilvl="4" w:tentative="0">
      <w:start w:val="1"/>
      <w:numFmt w:val="lowerLetter"/>
      <w:lvlText w:val="%5)"/>
      <w:lvlJc w:val="left"/>
      <w:pPr>
        <w:tabs>
          <w:tab w:val="left" w:pos="-420"/>
        </w:tabs>
        <w:ind w:left="2160" w:hanging="420"/>
      </w:pPr>
    </w:lvl>
    <w:lvl w:ilvl="5" w:tentative="0">
      <w:start w:val="1"/>
      <w:numFmt w:val="lowerRoman"/>
      <w:lvlText w:val="%6."/>
      <w:lvlJc w:val="right"/>
      <w:pPr>
        <w:tabs>
          <w:tab w:val="left" w:pos="-420"/>
        </w:tabs>
        <w:ind w:left="2580" w:hanging="420"/>
      </w:pPr>
    </w:lvl>
    <w:lvl w:ilvl="6" w:tentative="0">
      <w:start w:val="1"/>
      <w:numFmt w:val="decimal"/>
      <w:lvlText w:val="%7."/>
      <w:lvlJc w:val="left"/>
      <w:pPr>
        <w:tabs>
          <w:tab w:val="left" w:pos="-420"/>
        </w:tabs>
        <w:ind w:left="3000" w:hanging="420"/>
      </w:pPr>
    </w:lvl>
    <w:lvl w:ilvl="7" w:tentative="0">
      <w:start w:val="1"/>
      <w:numFmt w:val="lowerLetter"/>
      <w:lvlText w:val="%8)"/>
      <w:lvlJc w:val="left"/>
      <w:pPr>
        <w:tabs>
          <w:tab w:val="left" w:pos="-420"/>
        </w:tabs>
        <w:ind w:left="3420" w:hanging="420"/>
      </w:pPr>
    </w:lvl>
    <w:lvl w:ilvl="8" w:tentative="0">
      <w:start w:val="1"/>
      <w:numFmt w:val="lowerRoman"/>
      <w:lvlText w:val="%9."/>
      <w:lvlJc w:val="right"/>
      <w:pPr>
        <w:tabs>
          <w:tab w:val="left" w:pos="-420"/>
        </w:tabs>
        <w:ind w:left="3840" w:hanging="420"/>
      </w:pPr>
    </w:lvl>
  </w:abstractNum>
  <w:abstractNum w:abstractNumId="124">
    <w:nsid w:val="59F8497D"/>
    <w:multiLevelType w:val="multilevel"/>
    <w:tmpl w:val="59F8497D"/>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25">
    <w:nsid w:val="5A535D02"/>
    <w:multiLevelType w:val="multilevel"/>
    <w:tmpl w:val="5A535D02"/>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126">
    <w:nsid w:val="5B033BA9"/>
    <w:multiLevelType w:val="multilevel"/>
    <w:tmpl w:val="5B033BA9"/>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127">
    <w:nsid w:val="5BA05EB1"/>
    <w:multiLevelType w:val="multilevel"/>
    <w:tmpl w:val="5BA05EB1"/>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128">
    <w:nsid w:val="5D777194"/>
    <w:multiLevelType w:val="multilevel"/>
    <w:tmpl w:val="5D777194"/>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abstractNum w:abstractNumId="129">
    <w:nsid w:val="5E9C322F"/>
    <w:multiLevelType w:val="multilevel"/>
    <w:tmpl w:val="5E9C322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0">
    <w:nsid w:val="5EA11BFB"/>
    <w:multiLevelType w:val="multilevel"/>
    <w:tmpl w:val="5EA11BFB"/>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31">
    <w:nsid w:val="62424C7C"/>
    <w:multiLevelType w:val="multilevel"/>
    <w:tmpl w:val="62424C7C"/>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32">
    <w:nsid w:val="65222679"/>
    <w:multiLevelType w:val="multilevel"/>
    <w:tmpl w:val="65222679"/>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33">
    <w:nsid w:val="65787BE9"/>
    <w:multiLevelType w:val="multilevel"/>
    <w:tmpl w:val="65787BE9"/>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4">
    <w:nsid w:val="66371DF7"/>
    <w:multiLevelType w:val="multilevel"/>
    <w:tmpl w:val="66371DF7"/>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35">
    <w:nsid w:val="665943D5"/>
    <w:multiLevelType w:val="multilevel"/>
    <w:tmpl w:val="665943D5"/>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136">
    <w:nsid w:val="668130A3"/>
    <w:multiLevelType w:val="multilevel"/>
    <w:tmpl w:val="668130A3"/>
    <w:lvl w:ilvl="0" w:tentative="0">
      <w:start w:val="1"/>
      <w:numFmt w:val="decimal"/>
      <w:lvlText w:val="%1)"/>
      <w:lvlJc w:val="left"/>
      <w:pPr>
        <w:tabs>
          <w:tab w:val="left" w:pos="-420"/>
        </w:tabs>
        <w:ind w:left="300" w:hanging="7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137">
    <w:nsid w:val="66F62E81"/>
    <w:multiLevelType w:val="multilevel"/>
    <w:tmpl w:val="66F62E81"/>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8">
    <w:nsid w:val="67A4523E"/>
    <w:multiLevelType w:val="multilevel"/>
    <w:tmpl w:val="67A4523E"/>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139">
    <w:nsid w:val="68CE058C"/>
    <w:multiLevelType w:val="multilevel"/>
    <w:tmpl w:val="68CE058C"/>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0">
    <w:nsid w:val="69DE2BCA"/>
    <w:multiLevelType w:val="multilevel"/>
    <w:tmpl w:val="69DE2BCA"/>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1">
    <w:nsid w:val="6A0222EE"/>
    <w:multiLevelType w:val="multilevel"/>
    <w:tmpl w:val="6A0222EE"/>
    <w:lvl w:ilvl="0" w:tentative="0">
      <w:start w:val="1"/>
      <w:numFmt w:val="decimal"/>
      <w:lvlText w:val="%1)"/>
      <w:lvlJc w:val="left"/>
      <w:pPr>
        <w:tabs>
          <w:tab w:val="left" w:pos="-420"/>
        </w:tabs>
        <w:ind w:left="300" w:hanging="7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142">
    <w:nsid w:val="6E505377"/>
    <w:multiLevelType w:val="multilevel"/>
    <w:tmpl w:val="6E505377"/>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3">
    <w:nsid w:val="6F086014"/>
    <w:multiLevelType w:val="multilevel"/>
    <w:tmpl w:val="6F086014"/>
    <w:lvl w:ilvl="0" w:tentative="0">
      <w:start w:val="1"/>
      <w:numFmt w:val="decimal"/>
      <w:lvlText w:val="（%1）"/>
      <w:lvlJc w:val="left"/>
      <w:pPr>
        <w:tabs>
          <w:tab w:val="left" w:pos="-840"/>
        </w:tabs>
        <w:ind w:left="80" w:hanging="440"/>
      </w:pPr>
      <w:rPr>
        <w:rFonts w:hint="eastAsia"/>
      </w:rPr>
    </w:lvl>
    <w:lvl w:ilvl="1" w:tentative="0">
      <w:start w:val="1"/>
      <w:numFmt w:val="lowerLetter"/>
      <w:lvlText w:val="%2)"/>
      <w:lvlJc w:val="left"/>
      <w:pPr>
        <w:tabs>
          <w:tab w:val="left" w:pos="-840"/>
        </w:tabs>
        <w:ind w:left="520" w:hanging="440"/>
      </w:pPr>
    </w:lvl>
    <w:lvl w:ilvl="2" w:tentative="0">
      <w:start w:val="1"/>
      <w:numFmt w:val="lowerRoman"/>
      <w:lvlText w:val="%3."/>
      <w:lvlJc w:val="right"/>
      <w:pPr>
        <w:tabs>
          <w:tab w:val="left" w:pos="-840"/>
        </w:tabs>
        <w:ind w:left="960" w:hanging="440"/>
      </w:pPr>
    </w:lvl>
    <w:lvl w:ilvl="3" w:tentative="0">
      <w:start w:val="1"/>
      <w:numFmt w:val="decimal"/>
      <w:lvlText w:val="%4."/>
      <w:lvlJc w:val="left"/>
      <w:pPr>
        <w:tabs>
          <w:tab w:val="left" w:pos="-840"/>
        </w:tabs>
        <w:ind w:left="1400" w:hanging="440"/>
      </w:pPr>
    </w:lvl>
    <w:lvl w:ilvl="4" w:tentative="0">
      <w:start w:val="1"/>
      <w:numFmt w:val="lowerLetter"/>
      <w:lvlText w:val="%5)"/>
      <w:lvlJc w:val="left"/>
      <w:pPr>
        <w:tabs>
          <w:tab w:val="left" w:pos="-840"/>
        </w:tabs>
        <w:ind w:left="1840" w:hanging="440"/>
      </w:pPr>
    </w:lvl>
    <w:lvl w:ilvl="5" w:tentative="0">
      <w:start w:val="1"/>
      <w:numFmt w:val="lowerRoman"/>
      <w:lvlText w:val="%6."/>
      <w:lvlJc w:val="right"/>
      <w:pPr>
        <w:tabs>
          <w:tab w:val="left" w:pos="-840"/>
        </w:tabs>
        <w:ind w:left="2280" w:hanging="440"/>
      </w:pPr>
    </w:lvl>
    <w:lvl w:ilvl="6" w:tentative="0">
      <w:start w:val="1"/>
      <w:numFmt w:val="decimal"/>
      <w:lvlText w:val="%7."/>
      <w:lvlJc w:val="left"/>
      <w:pPr>
        <w:tabs>
          <w:tab w:val="left" w:pos="-840"/>
        </w:tabs>
        <w:ind w:left="2720" w:hanging="440"/>
      </w:pPr>
    </w:lvl>
    <w:lvl w:ilvl="7" w:tentative="0">
      <w:start w:val="1"/>
      <w:numFmt w:val="lowerLetter"/>
      <w:lvlText w:val="%8)"/>
      <w:lvlJc w:val="left"/>
      <w:pPr>
        <w:tabs>
          <w:tab w:val="left" w:pos="-840"/>
        </w:tabs>
        <w:ind w:left="3160" w:hanging="440"/>
      </w:pPr>
    </w:lvl>
    <w:lvl w:ilvl="8" w:tentative="0">
      <w:start w:val="1"/>
      <w:numFmt w:val="lowerRoman"/>
      <w:lvlText w:val="%9."/>
      <w:lvlJc w:val="right"/>
      <w:pPr>
        <w:tabs>
          <w:tab w:val="left" w:pos="-840"/>
        </w:tabs>
        <w:ind w:left="3600" w:hanging="440"/>
      </w:pPr>
    </w:lvl>
  </w:abstractNum>
  <w:abstractNum w:abstractNumId="144">
    <w:nsid w:val="6F4B5EA9"/>
    <w:multiLevelType w:val="multilevel"/>
    <w:tmpl w:val="6F4B5EA9"/>
    <w:lvl w:ilvl="0" w:tentative="0">
      <w:start w:val="1"/>
      <w:numFmt w:val="decimal"/>
      <w:lvlText w:val="%1）"/>
      <w:lvlJc w:val="right"/>
      <w:pPr>
        <w:tabs>
          <w:tab w:val="left" w:pos="-420"/>
        </w:tabs>
        <w:ind w:left="480" w:hanging="420"/>
      </w:pPr>
      <w:rPr>
        <w:rFonts w:hint="eastAsia"/>
      </w:rPr>
    </w:lvl>
    <w:lvl w:ilvl="1" w:tentative="0">
      <w:start w:val="1"/>
      <w:numFmt w:val="lowerLetter"/>
      <w:lvlText w:val="%2)"/>
      <w:lvlJc w:val="left"/>
      <w:pPr>
        <w:tabs>
          <w:tab w:val="left" w:pos="-420"/>
        </w:tabs>
        <w:ind w:left="900" w:hanging="420"/>
      </w:pPr>
    </w:lvl>
    <w:lvl w:ilvl="2" w:tentative="0">
      <w:start w:val="1"/>
      <w:numFmt w:val="lowerRoman"/>
      <w:lvlText w:val="%3."/>
      <w:lvlJc w:val="right"/>
      <w:pPr>
        <w:tabs>
          <w:tab w:val="left" w:pos="-420"/>
        </w:tabs>
        <w:ind w:left="1320" w:hanging="420"/>
      </w:pPr>
    </w:lvl>
    <w:lvl w:ilvl="3" w:tentative="0">
      <w:start w:val="1"/>
      <w:numFmt w:val="decimal"/>
      <w:lvlText w:val="%4."/>
      <w:lvlJc w:val="left"/>
      <w:pPr>
        <w:tabs>
          <w:tab w:val="left" w:pos="-420"/>
        </w:tabs>
        <w:ind w:left="1740" w:hanging="420"/>
      </w:pPr>
    </w:lvl>
    <w:lvl w:ilvl="4" w:tentative="0">
      <w:start w:val="1"/>
      <w:numFmt w:val="lowerLetter"/>
      <w:lvlText w:val="%5)"/>
      <w:lvlJc w:val="left"/>
      <w:pPr>
        <w:tabs>
          <w:tab w:val="left" w:pos="-420"/>
        </w:tabs>
        <w:ind w:left="2160" w:hanging="420"/>
      </w:pPr>
    </w:lvl>
    <w:lvl w:ilvl="5" w:tentative="0">
      <w:start w:val="1"/>
      <w:numFmt w:val="lowerRoman"/>
      <w:lvlText w:val="%6."/>
      <w:lvlJc w:val="right"/>
      <w:pPr>
        <w:tabs>
          <w:tab w:val="left" w:pos="-420"/>
        </w:tabs>
        <w:ind w:left="2580" w:hanging="420"/>
      </w:pPr>
    </w:lvl>
    <w:lvl w:ilvl="6" w:tentative="0">
      <w:start w:val="1"/>
      <w:numFmt w:val="decimal"/>
      <w:lvlText w:val="%7."/>
      <w:lvlJc w:val="left"/>
      <w:pPr>
        <w:tabs>
          <w:tab w:val="left" w:pos="-420"/>
        </w:tabs>
        <w:ind w:left="3000" w:hanging="420"/>
      </w:pPr>
    </w:lvl>
    <w:lvl w:ilvl="7" w:tentative="0">
      <w:start w:val="1"/>
      <w:numFmt w:val="lowerLetter"/>
      <w:lvlText w:val="%8)"/>
      <w:lvlJc w:val="left"/>
      <w:pPr>
        <w:tabs>
          <w:tab w:val="left" w:pos="-420"/>
        </w:tabs>
        <w:ind w:left="3420" w:hanging="420"/>
      </w:pPr>
    </w:lvl>
    <w:lvl w:ilvl="8" w:tentative="0">
      <w:start w:val="1"/>
      <w:numFmt w:val="lowerRoman"/>
      <w:lvlText w:val="%9."/>
      <w:lvlJc w:val="right"/>
      <w:pPr>
        <w:tabs>
          <w:tab w:val="left" w:pos="-420"/>
        </w:tabs>
        <w:ind w:left="3840" w:hanging="420"/>
      </w:pPr>
    </w:lvl>
  </w:abstractNum>
  <w:abstractNum w:abstractNumId="145">
    <w:nsid w:val="6F7D64B0"/>
    <w:multiLevelType w:val="multilevel"/>
    <w:tmpl w:val="6F7D64B0"/>
    <w:lvl w:ilvl="0" w:tentative="0">
      <w:start w:val="1"/>
      <w:numFmt w:val="decimal"/>
      <w:lvlText w:val="%1）"/>
      <w:lvlJc w:val="righ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6">
    <w:nsid w:val="700B241B"/>
    <w:multiLevelType w:val="multilevel"/>
    <w:tmpl w:val="700B241B"/>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47">
    <w:nsid w:val="71021ADC"/>
    <w:multiLevelType w:val="multilevel"/>
    <w:tmpl w:val="71021ADC"/>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lvl>
    <w:lvl w:ilvl="2" w:tentative="0">
      <w:start w:val="1"/>
      <w:numFmt w:val="lowerRoman"/>
      <w:lvlText w:val="%3."/>
      <w:lvlJc w:val="right"/>
      <w:pPr>
        <w:ind w:left="-228" w:hanging="420"/>
      </w:pPr>
    </w:lvl>
    <w:lvl w:ilvl="3" w:tentative="0">
      <w:start w:val="1"/>
      <w:numFmt w:val="decimal"/>
      <w:lvlText w:val="%4."/>
      <w:lvlJc w:val="left"/>
      <w:pPr>
        <w:ind w:left="192" w:hanging="420"/>
      </w:pPr>
    </w:lvl>
    <w:lvl w:ilvl="4" w:tentative="0">
      <w:start w:val="1"/>
      <w:numFmt w:val="lowerLetter"/>
      <w:lvlText w:val="%5)"/>
      <w:lvlJc w:val="left"/>
      <w:pPr>
        <w:ind w:left="612" w:hanging="420"/>
      </w:pPr>
    </w:lvl>
    <w:lvl w:ilvl="5" w:tentative="0">
      <w:start w:val="1"/>
      <w:numFmt w:val="lowerRoman"/>
      <w:lvlText w:val="%6."/>
      <w:lvlJc w:val="right"/>
      <w:pPr>
        <w:ind w:left="1032" w:hanging="420"/>
      </w:pPr>
    </w:lvl>
    <w:lvl w:ilvl="6" w:tentative="0">
      <w:start w:val="1"/>
      <w:numFmt w:val="decimal"/>
      <w:lvlText w:val="%7."/>
      <w:lvlJc w:val="left"/>
      <w:pPr>
        <w:ind w:left="1452" w:hanging="420"/>
      </w:pPr>
    </w:lvl>
    <w:lvl w:ilvl="7" w:tentative="0">
      <w:start w:val="1"/>
      <w:numFmt w:val="lowerLetter"/>
      <w:lvlText w:val="%8)"/>
      <w:lvlJc w:val="left"/>
      <w:pPr>
        <w:ind w:left="1872" w:hanging="420"/>
      </w:pPr>
    </w:lvl>
    <w:lvl w:ilvl="8" w:tentative="0">
      <w:start w:val="1"/>
      <w:numFmt w:val="lowerRoman"/>
      <w:lvlText w:val="%9."/>
      <w:lvlJc w:val="right"/>
      <w:pPr>
        <w:ind w:left="2292" w:hanging="420"/>
      </w:pPr>
    </w:lvl>
  </w:abstractNum>
  <w:abstractNum w:abstractNumId="148">
    <w:nsid w:val="713422BB"/>
    <w:multiLevelType w:val="multilevel"/>
    <w:tmpl w:val="713422BB"/>
    <w:lvl w:ilvl="0" w:tentative="0">
      <w:start w:val="1"/>
      <w:numFmt w:val="decimal"/>
      <w:lvlText w:val="（%1）"/>
      <w:lvlJc w:val="left"/>
      <w:pPr>
        <w:tabs>
          <w:tab w:val="left" w:pos="-840"/>
        </w:tabs>
        <w:ind w:left="80" w:hanging="440"/>
      </w:pPr>
      <w:rPr>
        <w:rFonts w:hint="eastAsia"/>
      </w:rPr>
    </w:lvl>
    <w:lvl w:ilvl="1" w:tentative="0">
      <w:start w:val="1"/>
      <w:numFmt w:val="lowerLetter"/>
      <w:lvlText w:val="%2)"/>
      <w:lvlJc w:val="left"/>
      <w:pPr>
        <w:tabs>
          <w:tab w:val="left" w:pos="-840"/>
        </w:tabs>
        <w:ind w:left="520" w:hanging="440"/>
      </w:pPr>
    </w:lvl>
    <w:lvl w:ilvl="2" w:tentative="0">
      <w:start w:val="1"/>
      <w:numFmt w:val="lowerRoman"/>
      <w:lvlText w:val="%3."/>
      <w:lvlJc w:val="right"/>
      <w:pPr>
        <w:tabs>
          <w:tab w:val="left" w:pos="-840"/>
        </w:tabs>
        <w:ind w:left="960" w:hanging="440"/>
      </w:pPr>
    </w:lvl>
    <w:lvl w:ilvl="3" w:tentative="0">
      <w:start w:val="1"/>
      <w:numFmt w:val="decimal"/>
      <w:lvlText w:val="%4."/>
      <w:lvlJc w:val="left"/>
      <w:pPr>
        <w:tabs>
          <w:tab w:val="left" w:pos="-840"/>
        </w:tabs>
        <w:ind w:left="1400" w:hanging="440"/>
      </w:pPr>
    </w:lvl>
    <w:lvl w:ilvl="4" w:tentative="0">
      <w:start w:val="1"/>
      <w:numFmt w:val="lowerLetter"/>
      <w:lvlText w:val="%5)"/>
      <w:lvlJc w:val="left"/>
      <w:pPr>
        <w:tabs>
          <w:tab w:val="left" w:pos="-840"/>
        </w:tabs>
        <w:ind w:left="1840" w:hanging="440"/>
      </w:pPr>
    </w:lvl>
    <w:lvl w:ilvl="5" w:tentative="0">
      <w:start w:val="1"/>
      <w:numFmt w:val="lowerRoman"/>
      <w:lvlText w:val="%6."/>
      <w:lvlJc w:val="right"/>
      <w:pPr>
        <w:tabs>
          <w:tab w:val="left" w:pos="-840"/>
        </w:tabs>
        <w:ind w:left="2280" w:hanging="440"/>
      </w:pPr>
    </w:lvl>
    <w:lvl w:ilvl="6" w:tentative="0">
      <w:start w:val="1"/>
      <w:numFmt w:val="decimal"/>
      <w:lvlText w:val="%7."/>
      <w:lvlJc w:val="left"/>
      <w:pPr>
        <w:tabs>
          <w:tab w:val="left" w:pos="-840"/>
        </w:tabs>
        <w:ind w:left="2720" w:hanging="440"/>
      </w:pPr>
    </w:lvl>
    <w:lvl w:ilvl="7" w:tentative="0">
      <w:start w:val="1"/>
      <w:numFmt w:val="lowerLetter"/>
      <w:lvlText w:val="%8)"/>
      <w:lvlJc w:val="left"/>
      <w:pPr>
        <w:tabs>
          <w:tab w:val="left" w:pos="-840"/>
        </w:tabs>
        <w:ind w:left="3160" w:hanging="440"/>
      </w:pPr>
    </w:lvl>
    <w:lvl w:ilvl="8" w:tentative="0">
      <w:start w:val="1"/>
      <w:numFmt w:val="lowerRoman"/>
      <w:lvlText w:val="%9."/>
      <w:lvlJc w:val="right"/>
      <w:pPr>
        <w:tabs>
          <w:tab w:val="left" w:pos="-840"/>
        </w:tabs>
        <w:ind w:left="3600" w:hanging="440"/>
      </w:pPr>
    </w:lvl>
  </w:abstractNum>
  <w:abstractNum w:abstractNumId="149">
    <w:nsid w:val="71B15699"/>
    <w:multiLevelType w:val="multilevel"/>
    <w:tmpl w:val="71B15699"/>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150">
    <w:nsid w:val="752556C7"/>
    <w:multiLevelType w:val="multilevel"/>
    <w:tmpl w:val="752556C7"/>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51">
    <w:nsid w:val="75A8087F"/>
    <w:multiLevelType w:val="multilevel"/>
    <w:tmpl w:val="75A8087F"/>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2">
    <w:nsid w:val="75B57B4C"/>
    <w:multiLevelType w:val="multilevel"/>
    <w:tmpl w:val="75B57B4C"/>
    <w:lvl w:ilvl="0" w:tentative="0">
      <w:start w:val="1"/>
      <w:numFmt w:val="lowerLetter"/>
      <w:lvlText w:val="%1)"/>
      <w:lvlJc w:val="left"/>
      <w:pPr>
        <w:tabs>
          <w:tab w:val="left" w:pos="-420"/>
        </w:tabs>
        <w:ind w:left="758" w:hanging="420"/>
      </w:pPr>
      <w:rPr>
        <w:rFonts w:hint="eastAsia" w:cs="Times New Roman"/>
      </w:rPr>
    </w:lvl>
    <w:lvl w:ilvl="1" w:tentative="0">
      <w:start w:val="1"/>
      <w:numFmt w:val="lowerLetter"/>
      <w:lvlText w:val="%2)"/>
      <w:lvlJc w:val="left"/>
      <w:pPr>
        <w:tabs>
          <w:tab w:val="left" w:pos="-420"/>
        </w:tabs>
        <w:ind w:left="-1068" w:hanging="420"/>
      </w:pPr>
    </w:lvl>
    <w:lvl w:ilvl="2" w:tentative="0">
      <w:start w:val="1"/>
      <w:numFmt w:val="lowerRoman"/>
      <w:lvlText w:val="%3."/>
      <w:lvlJc w:val="right"/>
      <w:pPr>
        <w:tabs>
          <w:tab w:val="left" w:pos="-420"/>
        </w:tabs>
        <w:ind w:left="-648" w:hanging="420"/>
      </w:pPr>
    </w:lvl>
    <w:lvl w:ilvl="3" w:tentative="0">
      <w:start w:val="1"/>
      <w:numFmt w:val="decimal"/>
      <w:lvlText w:val="%4."/>
      <w:lvlJc w:val="left"/>
      <w:pPr>
        <w:tabs>
          <w:tab w:val="left" w:pos="-420"/>
        </w:tabs>
        <w:ind w:left="-228" w:hanging="420"/>
      </w:pPr>
    </w:lvl>
    <w:lvl w:ilvl="4" w:tentative="0">
      <w:start w:val="1"/>
      <w:numFmt w:val="lowerLetter"/>
      <w:lvlText w:val="%5)"/>
      <w:lvlJc w:val="left"/>
      <w:pPr>
        <w:tabs>
          <w:tab w:val="left" w:pos="-420"/>
        </w:tabs>
        <w:ind w:left="192" w:hanging="420"/>
      </w:pPr>
    </w:lvl>
    <w:lvl w:ilvl="5" w:tentative="0">
      <w:start w:val="1"/>
      <w:numFmt w:val="lowerRoman"/>
      <w:lvlText w:val="%6."/>
      <w:lvlJc w:val="right"/>
      <w:pPr>
        <w:tabs>
          <w:tab w:val="left" w:pos="-420"/>
        </w:tabs>
        <w:ind w:left="612" w:hanging="420"/>
      </w:pPr>
    </w:lvl>
    <w:lvl w:ilvl="6" w:tentative="0">
      <w:start w:val="1"/>
      <w:numFmt w:val="decimal"/>
      <w:lvlText w:val="%7."/>
      <w:lvlJc w:val="left"/>
      <w:pPr>
        <w:tabs>
          <w:tab w:val="left" w:pos="-420"/>
        </w:tabs>
        <w:ind w:left="1032" w:hanging="420"/>
      </w:pPr>
    </w:lvl>
    <w:lvl w:ilvl="7" w:tentative="0">
      <w:start w:val="1"/>
      <w:numFmt w:val="lowerLetter"/>
      <w:lvlText w:val="%8)"/>
      <w:lvlJc w:val="left"/>
      <w:pPr>
        <w:tabs>
          <w:tab w:val="left" w:pos="-420"/>
        </w:tabs>
        <w:ind w:left="1452" w:hanging="420"/>
      </w:pPr>
    </w:lvl>
    <w:lvl w:ilvl="8" w:tentative="0">
      <w:start w:val="1"/>
      <w:numFmt w:val="lowerRoman"/>
      <w:lvlText w:val="%9."/>
      <w:lvlJc w:val="right"/>
      <w:pPr>
        <w:tabs>
          <w:tab w:val="left" w:pos="-420"/>
        </w:tabs>
        <w:ind w:left="1872" w:hanging="420"/>
      </w:pPr>
    </w:lvl>
  </w:abstractNum>
  <w:abstractNum w:abstractNumId="153">
    <w:nsid w:val="76086C13"/>
    <w:multiLevelType w:val="multilevel"/>
    <w:tmpl w:val="76086C13"/>
    <w:lvl w:ilvl="0" w:tentative="0">
      <w:start w:val="1"/>
      <w:numFmt w:val="decimal"/>
      <w:lvlText w:val="%1)"/>
      <w:lvlJc w:val="left"/>
      <w:pPr>
        <w:tabs>
          <w:tab w:val="left" w:pos="-2520"/>
        </w:tabs>
        <w:ind w:left="310" w:hanging="420"/>
      </w:pPr>
    </w:lvl>
    <w:lvl w:ilvl="1" w:tentative="0">
      <w:start w:val="1"/>
      <w:numFmt w:val="lowerLetter"/>
      <w:lvlText w:val="%2)"/>
      <w:lvlJc w:val="left"/>
      <w:pPr>
        <w:tabs>
          <w:tab w:val="left" w:pos="-2520"/>
        </w:tabs>
        <w:ind w:left="730" w:hanging="420"/>
      </w:pPr>
    </w:lvl>
    <w:lvl w:ilvl="2" w:tentative="0">
      <w:start w:val="1"/>
      <w:numFmt w:val="lowerRoman"/>
      <w:lvlText w:val="%3."/>
      <w:lvlJc w:val="right"/>
      <w:pPr>
        <w:tabs>
          <w:tab w:val="left" w:pos="-2520"/>
        </w:tabs>
        <w:ind w:left="1150" w:hanging="420"/>
      </w:pPr>
    </w:lvl>
    <w:lvl w:ilvl="3" w:tentative="0">
      <w:start w:val="1"/>
      <w:numFmt w:val="decimal"/>
      <w:lvlText w:val="%4."/>
      <w:lvlJc w:val="left"/>
      <w:pPr>
        <w:tabs>
          <w:tab w:val="left" w:pos="-2520"/>
        </w:tabs>
        <w:ind w:left="1570" w:hanging="420"/>
      </w:pPr>
    </w:lvl>
    <w:lvl w:ilvl="4" w:tentative="0">
      <w:start w:val="1"/>
      <w:numFmt w:val="lowerLetter"/>
      <w:lvlText w:val="%5)"/>
      <w:lvlJc w:val="left"/>
      <w:pPr>
        <w:tabs>
          <w:tab w:val="left" w:pos="-2520"/>
        </w:tabs>
        <w:ind w:left="1990" w:hanging="420"/>
      </w:pPr>
    </w:lvl>
    <w:lvl w:ilvl="5" w:tentative="0">
      <w:start w:val="1"/>
      <w:numFmt w:val="lowerRoman"/>
      <w:lvlText w:val="%6."/>
      <w:lvlJc w:val="right"/>
      <w:pPr>
        <w:tabs>
          <w:tab w:val="left" w:pos="-2520"/>
        </w:tabs>
        <w:ind w:left="2410" w:hanging="420"/>
      </w:pPr>
    </w:lvl>
    <w:lvl w:ilvl="6" w:tentative="0">
      <w:start w:val="1"/>
      <w:numFmt w:val="decimal"/>
      <w:lvlText w:val="%7."/>
      <w:lvlJc w:val="left"/>
      <w:pPr>
        <w:tabs>
          <w:tab w:val="left" w:pos="-2520"/>
        </w:tabs>
        <w:ind w:left="2830" w:hanging="420"/>
      </w:pPr>
    </w:lvl>
    <w:lvl w:ilvl="7" w:tentative="0">
      <w:start w:val="1"/>
      <w:numFmt w:val="lowerLetter"/>
      <w:lvlText w:val="%8)"/>
      <w:lvlJc w:val="left"/>
      <w:pPr>
        <w:tabs>
          <w:tab w:val="left" w:pos="-2520"/>
        </w:tabs>
        <w:ind w:left="3250" w:hanging="420"/>
      </w:pPr>
    </w:lvl>
    <w:lvl w:ilvl="8" w:tentative="0">
      <w:start w:val="1"/>
      <w:numFmt w:val="lowerRoman"/>
      <w:lvlText w:val="%9."/>
      <w:lvlJc w:val="right"/>
      <w:pPr>
        <w:tabs>
          <w:tab w:val="left" w:pos="-2520"/>
        </w:tabs>
        <w:ind w:left="3670" w:hanging="420"/>
      </w:pPr>
    </w:lvl>
  </w:abstractNum>
  <w:abstractNum w:abstractNumId="154">
    <w:nsid w:val="76A72765"/>
    <w:multiLevelType w:val="multilevel"/>
    <w:tmpl w:val="76A72765"/>
    <w:lvl w:ilvl="0" w:tentative="0">
      <w:start w:val="1"/>
      <w:numFmt w:val="lowerLetter"/>
      <w:lvlText w:val="%1)"/>
      <w:lvlJc w:val="left"/>
      <w:pPr>
        <w:tabs>
          <w:tab w:val="left" w:pos="-420"/>
        </w:tabs>
        <w:ind w:left="900" w:hanging="420"/>
      </w:pPr>
      <w:rPr>
        <w:rFonts w:hint="eastAsia" w:cs="Times New Roman"/>
      </w:rPr>
    </w:lvl>
    <w:lvl w:ilvl="1" w:tentative="0">
      <w:start w:val="1"/>
      <w:numFmt w:val="lowerLetter"/>
      <w:lvlText w:val="%2)"/>
      <w:lvlJc w:val="left"/>
      <w:pPr>
        <w:tabs>
          <w:tab w:val="left" w:pos="-420"/>
        </w:tabs>
        <w:ind w:left="-926" w:hanging="420"/>
      </w:pPr>
    </w:lvl>
    <w:lvl w:ilvl="2" w:tentative="0">
      <w:start w:val="1"/>
      <w:numFmt w:val="lowerRoman"/>
      <w:lvlText w:val="%3."/>
      <w:lvlJc w:val="right"/>
      <w:pPr>
        <w:tabs>
          <w:tab w:val="left" w:pos="-420"/>
        </w:tabs>
        <w:ind w:left="-506" w:hanging="420"/>
      </w:pPr>
    </w:lvl>
    <w:lvl w:ilvl="3" w:tentative="0">
      <w:start w:val="1"/>
      <w:numFmt w:val="decimal"/>
      <w:lvlText w:val="%4."/>
      <w:lvlJc w:val="left"/>
      <w:pPr>
        <w:tabs>
          <w:tab w:val="left" w:pos="-420"/>
        </w:tabs>
        <w:ind w:left="-86" w:hanging="420"/>
      </w:pPr>
    </w:lvl>
    <w:lvl w:ilvl="4" w:tentative="0">
      <w:start w:val="1"/>
      <w:numFmt w:val="lowerLetter"/>
      <w:lvlText w:val="%5)"/>
      <w:lvlJc w:val="left"/>
      <w:pPr>
        <w:tabs>
          <w:tab w:val="left" w:pos="-420"/>
        </w:tabs>
        <w:ind w:left="334" w:hanging="420"/>
      </w:pPr>
    </w:lvl>
    <w:lvl w:ilvl="5" w:tentative="0">
      <w:start w:val="1"/>
      <w:numFmt w:val="lowerRoman"/>
      <w:lvlText w:val="%6."/>
      <w:lvlJc w:val="right"/>
      <w:pPr>
        <w:tabs>
          <w:tab w:val="left" w:pos="-420"/>
        </w:tabs>
        <w:ind w:left="754" w:hanging="420"/>
      </w:pPr>
    </w:lvl>
    <w:lvl w:ilvl="6" w:tentative="0">
      <w:start w:val="1"/>
      <w:numFmt w:val="decimal"/>
      <w:lvlText w:val="%7."/>
      <w:lvlJc w:val="left"/>
      <w:pPr>
        <w:tabs>
          <w:tab w:val="left" w:pos="-420"/>
        </w:tabs>
        <w:ind w:left="1174" w:hanging="420"/>
      </w:pPr>
    </w:lvl>
    <w:lvl w:ilvl="7" w:tentative="0">
      <w:start w:val="1"/>
      <w:numFmt w:val="lowerLetter"/>
      <w:lvlText w:val="%8)"/>
      <w:lvlJc w:val="left"/>
      <w:pPr>
        <w:tabs>
          <w:tab w:val="left" w:pos="-420"/>
        </w:tabs>
        <w:ind w:left="1594" w:hanging="420"/>
      </w:pPr>
    </w:lvl>
    <w:lvl w:ilvl="8" w:tentative="0">
      <w:start w:val="1"/>
      <w:numFmt w:val="lowerRoman"/>
      <w:lvlText w:val="%9."/>
      <w:lvlJc w:val="right"/>
      <w:pPr>
        <w:tabs>
          <w:tab w:val="left" w:pos="-420"/>
        </w:tabs>
        <w:ind w:left="2014" w:hanging="420"/>
      </w:pPr>
    </w:lvl>
  </w:abstractNum>
  <w:abstractNum w:abstractNumId="155">
    <w:nsid w:val="77287F84"/>
    <w:multiLevelType w:val="multilevel"/>
    <w:tmpl w:val="77287F84"/>
    <w:lvl w:ilvl="0" w:tentative="0">
      <w:start w:val="1"/>
      <w:numFmt w:val="lowerLetter"/>
      <w:lvlText w:val="%1)"/>
      <w:lvlJc w:val="left"/>
      <w:pPr>
        <w:tabs>
          <w:tab w:val="left" w:pos="-840"/>
        </w:tabs>
        <w:ind w:left="480" w:hanging="420"/>
      </w:pPr>
      <w:rPr>
        <w:rFonts w:hint="eastAsia" w:cs="Times New Roman"/>
      </w:rPr>
    </w:lvl>
    <w:lvl w:ilvl="1" w:tentative="0">
      <w:start w:val="1"/>
      <w:numFmt w:val="lowerLetter"/>
      <w:lvlText w:val="%2)"/>
      <w:lvlJc w:val="left"/>
      <w:pPr>
        <w:tabs>
          <w:tab w:val="left" w:pos="-840"/>
        </w:tabs>
        <w:ind w:left="-1346" w:hanging="420"/>
      </w:pPr>
    </w:lvl>
    <w:lvl w:ilvl="2" w:tentative="0">
      <w:start w:val="1"/>
      <w:numFmt w:val="lowerRoman"/>
      <w:lvlText w:val="%3."/>
      <w:lvlJc w:val="right"/>
      <w:pPr>
        <w:tabs>
          <w:tab w:val="left" w:pos="-840"/>
        </w:tabs>
        <w:ind w:left="-926" w:hanging="420"/>
      </w:pPr>
    </w:lvl>
    <w:lvl w:ilvl="3" w:tentative="0">
      <w:start w:val="1"/>
      <w:numFmt w:val="decimal"/>
      <w:lvlText w:val="%4."/>
      <w:lvlJc w:val="left"/>
      <w:pPr>
        <w:tabs>
          <w:tab w:val="left" w:pos="-840"/>
        </w:tabs>
        <w:ind w:left="-506" w:hanging="420"/>
      </w:pPr>
    </w:lvl>
    <w:lvl w:ilvl="4" w:tentative="0">
      <w:start w:val="1"/>
      <w:numFmt w:val="lowerLetter"/>
      <w:lvlText w:val="%5)"/>
      <w:lvlJc w:val="left"/>
      <w:pPr>
        <w:tabs>
          <w:tab w:val="left" w:pos="-840"/>
        </w:tabs>
        <w:ind w:left="-86" w:hanging="420"/>
      </w:pPr>
    </w:lvl>
    <w:lvl w:ilvl="5" w:tentative="0">
      <w:start w:val="1"/>
      <w:numFmt w:val="lowerRoman"/>
      <w:lvlText w:val="%6."/>
      <w:lvlJc w:val="right"/>
      <w:pPr>
        <w:tabs>
          <w:tab w:val="left" w:pos="-840"/>
        </w:tabs>
        <w:ind w:left="334" w:hanging="420"/>
      </w:pPr>
    </w:lvl>
    <w:lvl w:ilvl="6" w:tentative="0">
      <w:start w:val="1"/>
      <w:numFmt w:val="decimal"/>
      <w:lvlText w:val="%7."/>
      <w:lvlJc w:val="left"/>
      <w:pPr>
        <w:tabs>
          <w:tab w:val="left" w:pos="-840"/>
        </w:tabs>
        <w:ind w:left="754" w:hanging="420"/>
      </w:pPr>
    </w:lvl>
    <w:lvl w:ilvl="7" w:tentative="0">
      <w:start w:val="1"/>
      <w:numFmt w:val="lowerLetter"/>
      <w:lvlText w:val="%8)"/>
      <w:lvlJc w:val="left"/>
      <w:pPr>
        <w:tabs>
          <w:tab w:val="left" w:pos="-840"/>
        </w:tabs>
        <w:ind w:left="1174" w:hanging="420"/>
      </w:pPr>
    </w:lvl>
    <w:lvl w:ilvl="8" w:tentative="0">
      <w:start w:val="1"/>
      <w:numFmt w:val="lowerRoman"/>
      <w:lvlText w:val="%9."/>
      <w:lvlJc w:val="right"/>
      <w:pPr>
        <w:tabs>
          <w:tab w:val="left" w:pos="-840"/>
        </w:tabs>
        <w:ind w:left="1594" w:hanging="420"/>
      </w:pPr>
    </w:lvl>
  </w:abstractNum>
  <w:abstractNum w:abstractNumId="156">
    <w:nsid w:val="784D5B61"/>
    <w:multiLevelType w:val="multilevel"/>
    <w:tmpl w:val="784D5B61"/>
    <w:lvl w:ilvl="0" w:tentative="0">
      <w:start w:val="1"/>
      <w:numFmt w:val="lowerLetter"/>
      <w:lvlText w:val="%1)"/>
      <w:lvlJc w:val="left"/>
      <w:pPr>
        <w:tabs>
          <w:tab w:val="left" w:pos="-420"/>
        </w:tabs>
        <w:ind w:left="710" w:hanging="420"/>
      </w:pPr>
      <w:rPr>
        <w:rFonts w:hint="eastAsia" w:cs="Times New Roman"/>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157">
    <w:nsid w:val="7AA313EF"/>
    <w:multiLevelType w:val="multilevel"/>
    <w:tmpl w:val="7AA313EF"/>
    <w:lvl w:ilvl="0" w:tentative="0">
      <w:start w:val="1"/>
      <w:numFmt w:val="decimal"/>
      <w:lvlText w:val="%1)"/>
      <w:lvlJc w:val="left"/>
      <w:pPr>
        <w:tabs>
          <w:tab w:val="left" w:pos="-420"/>
        </w:tabs>
        <w:ind w:left="300" w:hanging="7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420"/>
        </w:tabs>
        <w:ind w:left="840" w:hanging="420"/>
      </w:pPr>
    </w:lvl>
    <w:lvl w:ilvl="3" w:tentative="0">
      <w:start w:val="1"/>
      <w:numFmt w:val="decimal"/>
      <w:lvlText w:val="%4."/>
      <w:lvlJc w:val="left"/>
      <w:pPr>
        <w:tabs>
          <w:tab w:val="left" w:pos="-420"/>
        </w:tabs>
        <w:ind w:left="1260" w:hanging="420"/>
      </w:pPr>
    </w:lvl>
    <w:lvl w:ilvl="4" w:tentative="0">
      <w:start w:val="1"/>
      <w:numFmt w:val="lowerLetter"/>
      <w:lvlText w:val="%5)"/>
      <w:lvlJc w:val="left"/>
      <w:pPr>
        <w:tabs>
          <w:tab w:val="left" w:pos="-420"/>
        </w:tabs>
        <w:ind w:left="1680" w:hanging="420"/>
      </w:pPr>
    </w:lvl>
    <w:lvl w:ilvl="5" w:tentative="0">
      <w:start w:val="1"/>
      <w:numFmt w:val="lowerRoman"/>
      <w:lvlText w:val="%6."/>
      <w:lvlJc w:val="right"/>
      <w:pPr>
        <w:tabs>
          <w:tab w:val="left" w:pos="-420"/>
        </w:tabs>
        <w:ind w:left="2100" w:hanging="420"/>
      </w:pPr>
    </w:lvl>
    <w:lvl w:ilvl="6" w:tentative="0">
      <w:start w:val="1"/>
      <w:numFmt w:val="decimal"/>
      <w:lvlText w:val="%7."/>
      <w:lvlJc w:val="left"/>
      <w:pPr>
        <w:tabs>
          <w:tab w:val="left" w:pos="-420"/>
        </w:tabs>
        <w:ind w:left="2520" w:hanging="420"/>
      </w:pPr>
    </w:lvl>
    <w:lvl w:ilvl="7" w:tentative="0">
      <w:start w:val="1"/>
      <w:numFmt w:val="lowerLetter"/>
      <w:lvlText w:val="%8)"/>
      <w:lvlJc w:val="left"/>
      <w:pPr>
        <w:tabs>
          <w:tab w:val="left" w:pos="-420"/>
        </w:tabs>
        <w:ind w:left="2940" w:hanging="420"/>
      </w:pPr>
    </w:lvl>
    <w:lvl w:ilvl="8" w:tentative="0">
      <w:start w:val="1"/>
      <w:numFmt w:val="lowerRoman"/>
      <w:lvlText w:val="%9."/>
      <w:lvlJc w:val="right"/>
      <w:pPr>
        <w:tabs>
          <w:tab w:val="left" w:pos="-420"/>
        </w:tabs>
        <w:ind w:left="3360" w:hanging="420"/>
      </w:pPr>
    </w:lvl>
  </w:abstractNum>
  <w:abstractNum w:abstractNumId="158">
    <w:nsid w:val="7BBD633E"/>
    <w:multiLevelType w:val="multilevel"/>
    <w:tmpl w:val="7BBD633E"/>
    <w:lvl w:ilvl="0" w:tentative="0">
      <w:start w:val="1"/>
      <w:numFmt w:val="decimal"/>
      <w:lvlText w:val="%1."/>
      <w:lvlJc w:val="left"/>
      <w:pPr>
        <w:ind w:left="425" w:hanging="425"/>
      </w:pPr>
    </w:lvl>
    <w:lvl w:ilvl="1" w:tentative="0">
      <w:start w:val="1"/>
      <w:numFmt w:val="decimal"/>
      <w:lvlText w:val="%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9">
    <w:nsid w:val="7F540BB3"/>
    <w:multiLevelType w:val="multilevel"/>
    <w:tmpl w:val="7F540BB3"/>
    <w:lvl w:ilvl="0" w:tentative="0">
      <w:start w:val="1"/>
      <w:numFmt w:val="lowerLetter"/>
      <w:lvlText w:val="%1)"/>
      <w:lvlJc w:val="left"/>
      <w:pPr>
        <w:ind w:left="1178" w:hanging="420"/>
      </w:pPr>
      <w:rPr>
        <w:rFonts w:hint="eastAsia" w:cs="Times New Roman"/>
      </w:rPr>
    </w:lvl>
    <w:lvl w:ilvl="1" w:tentative="0">
      <w:start w:val="1"/>
      <w:numFmt w:val="lowerLetter"/>
      <w:lvlText w:val="%2)"/>
      <w:lvlJc w:val="left"/>
      <w:pPr>
        <w:ind w:left="-648" w:hanging="420"/>
      </w:pPr>
      <w:rPr>
        <w:rFonts w:hint="eastAsia"/>
      </w:rPr>
    </w:lvl>
    <w:lvl w:ilvl="2" w:tentative="0">
      <w:start w:val="1"/>
      <w:numFmt w:val="lowerRoman"/>
      <w:lvlText w:val="%3."/>
      <w:lvlJc w:val="right"/>
      <w:pPr>
        <w:ind w:left="-228" w:hanging="420"/>
      </w:pPr>
      <w:rPr>
        <w:rFonts w:hint="eastAsia"/>
      </w:rPr>
    </w:lvl>
    <w:lvl w:ilvl="3" w:tentative="0">
      <w:start w:val="1"/>
      <w:numFmt w:val="decimal"/>
      <w:lvlText w:val="%4."/>
      <w:lvlJc w:val="left"/>
      <w:pPr>
        <w:ind w:left="192" w:hanging="420"/>
      </w:pPr>
      <w:rPr>
        <w:rFonts w:hint="eastAsia"/>
      </w:rPr>
    </w:lvl>
    <w:lvl w:ilvl="4" w:tentative="0">
      <w:start w:val="1"/>
      <w:numFmt w:val="lowerLetter"/>
      <w:lvlText w:val="%5)"/>
      <w:lvlJc w:val="left"/>
      <w:pPr>
        <w:ind w:left="612" w:hanging="420"/>
      </w:pPr>
      <w:rPr>
        <w:rFonts w:hint="eastAsia"/>
      </w:rPr>
    </w:lvl>
    <w:lvl w:ilvl="5" w:tentative="0">
      <w:start w:val="1"/>
      <w:numFmt w:val="lowerRoman"/>
      <w:lvlText w:val="%6."/>
      <w:lvlJc w:val="right"/>
      <w:pPr>
        <w:ind w:left="1032" w:hanging="420"/>
      </w:pPr>
      <w:rPr>
        <w:rFonts w:hint="eastAsia"/>
      </w:rPr>
    </w:lvl>
    <w:lvl w:ilvl="6" w:tentative="0">
      <w:start w:val="1"/>
      <w:numFmt w:val="decimal"/>
      <w:lvlText w:val="%7."/>
      <w:lvlJc w:val="left"/>
      <w:pPr>
        <w:ind w:left="1452" w:hanging="420"/>
      </w:pPr>
      <w:rPr>
        <w:rFonts w:hint="eastAsia"/>
      </w:rPr>
    </w:lvl>
    <w:lvl w:ilvl="7" w:tentative="0">
      <w:start w:val="1"/>
      <w:numFmt w:val="lowerLetter"/>
      <w:lvlText w:val="%8)"/>
      <w:lvlJc w:val="left"/>
      <w:pPr>
        <w:ind w:left="1872" w:hanging="420"/>
      </w:pPr>
      <w:rPr>
        <w:rFonts w:hint="eastAsia"/>
      </w:rPr>
    </w:lvl>
    <w:lvl w:ilvl="8" w:tentative="0">
      <w:start w:val="1"/>
      <w:numFmt w:val="lowerRoman"/>
      <w:lvlText w:val="%9."/>
      <w:lvlJc w:val="right"/>
      <w:pPr>
        <w:ind w:left="2292" w:hanging="420"/>
      </w:pPr>
      <w:rPr>
        <w:rFonts w:hint="eastAsia"/>
      </w:rPr>
    </w:lvl>
  </w:abstractNum>
  <w:num w:numId="1">
    <w:abstractNumId w:val="1"/>
  </w:num>
  <w:num w:numId="2">
    <w:abstractNumId w:val="113"/>
  </w:num>
  <w:num w:numId="3">
    <w:abstractNumId w:val="9"/>
  </w:num>
  <w:num w:numId="4">
    <w:abstractNumId w:val="79"/>
  </w:num>
  <w:num w:numId="5">
    <w:abstractNumId w:val="21"/>
  </w:num>
  <w:num w:numId="6">
    <w:abstractNumId w:val="59"/>
  </w:num>
  <w:num w:numId="7">
    <w:abstractNumId w:val="145"/>
  </w:num>
  <w:num w:numId="8">
    <w:abstractNumId w:val="25"/>
  </w:num>
  <w:num w:numId="9">
    <w:abstractNumId w:val="61"/>
  </w:num>
  <w:num w:numId="10">
    <w:abstractNumId w:val="80"/>
  </w:num>
  <w:num w:numId="11">
    <w:abstractNumId w:val="95"/>
  </w:num>
  <w:num w:numId="12">
    <w:abstractNumId w:val="53"/>
  </w:num>
  <w:num w:numId="13">
    <w:abstractNumId w:val="123"/>
  </w:num>
  <w:num w:numId="14">
    <w:abstractNumId w:val="74"/>
  </w:num>
  <w:num w:numId="15">
    <w:abstractNumId w:val="101"/>
  </w:num>
  <w:num w:numId="16">
    <w:abstractNumId w:val="40"/>
  </w:num>
  <w:num w:numId="17">
    <w:abstractNumId w:val="144"/>
  </w:num>
  <w:num w:numId="18">
    <w:abstractNumId w:val="70"/>
  </w:num>
  <w:num w:numId="19">
    <w:abstractNumId w:val="69"/>
  </w:num>
  <w:num w:numId="20">
    <w:abstractNumId w:val="63"/>
  </w:num>
  <w:num w:numId="21">
    <w:abstractNumId w:val="141"/>
  </w:num>
  <w:num w:numId="22">
    <w:abstractNumId w:val="104"/>
  </w:num>
  <w:num w:numId="23">
    <w:abstractNumId w:val="136"/>
  </w:num>
  <w:num w:numId="24">
    <w:abstractNumId w:val="157"/>
  </w:num>
  <w:num w:numId="25">
    <w:abstractNumId w:val="153"/>
  </w:num>
  <w:num w:numId="26">
    <w:abstractNumId w:val="8"/>
  </w:num>
  <w:num w:numId="27">
    <w:abstractNumId w:val="17"/>
  </w:num>
  <w:num w:numId="28">
    <w:abstractNumId w:val="18"/>
  </w:num>
  <w:num w:numId="29">
    <w:abstractNumId w:val="28"/>
  </w:num>
  <w:num w:numId="30">
    <w:abstractNumId w:val="26"/>
  </w:num>
  <w:num w:numId="31">
    <w:abstractNumId w:val="82"/>
  </w:num>
  <w:num w:numId="32">
    <w:abstractNumId w:val="89"/>
  </w:num>
  <w:num w:numId="33">
    <w:abstractNumId w:val="33"/>
  </w:num>
  <w:num w:numId="34">
    <w:abstractNumId w:val="27"/>
  </w:num>
  <w:num w:numId="35">
    <w:abstractNumId w:val="135"/>
  </w:num>
  <w:num w:numId="36">
    <w:abstractNumId w:val="52"/>
  </w:num>
  <w:num w:numId="37">
    <w:abstractNumId w:val="155"/>
  </w:num>
  <w:num w:numId="38">
    <w:abstractNumId w:val="58"/>
  </w:num>
  <w:num w:numId="39">
    <w:abstractNumId w:val="76"/>
  </w:num>
  <w:num w:numId="40">
    <w:abstractNumId w:val="138"/>
  </w:num>
  <w:num w:numId="41">
    <w:abstractNumId w:val="51"/>
  </w:num>
  <w:num w:numId="42">
    <w:abstractNumId w:val="55"/>
  </w:num>
  <w:num w:numId="43">
    <w:abstractNumId w:val="108"/>
  </w:num>
  <w:num w:numId="44">
    <w:abstractNumId w:val="118"/>
  </w:num>
  <w:num w:numId="45">
    <w:abstractNumId w:val="5"/>
  </w:num>
  <w:num w:numId="46">
    <w:abstractNumId w:val="14"/>
  </w:num>
  <w:num w:numId="47">
    <w:abstractNumId w:val="15"/>
  </w:num>
  <w:num w:numId="48">
    <w:abstractNumId w:val="84"/>
  </w:num>
  <w:num w:numId="49">
    <w:abstractNumId w:val="4"/>
  </w:num>
  <w:num w:numId="50">
    <w:abstractNumId w:val="102"/>
  </w:num>
  <w:num w:numId="51">
    <w:abstractNumId w:val="41"/>
  </w:num>
  <w:num w:numId="52">
    <w:abstractNumId w:val="10"/>
  </w:num>
  <w:num w:numId="53">
    <w:abstractNumId w:val="11"/>
  </w:num>
  <w:num w:numId="54">
    <w:abstractNumId w:val="129"/>
  </w:num>
  <w:num w:numId="55">
    <w:abstractNumId w:val="12"/>
  </w:num>
  <w:num w:numId="56">
    <w:abstractNumId w:val="22"/>
  </w:num>
  <w:num w:numId="57">
    <w:abstractNumId w:val="6"/>
  </w:num>
  <w:num w:numId="58">
    <w:abstractNumId w:val="119"/>
  </w:num>
  <w:num w:numId="59">
    <w:abstractNumId w:val="97"/>
  </w:num>
  <w:num w:numId="60">
    <w:abstractNumId w:val="16"/>
  </w:num>
  <w:num w:numId="61">
    <w:abstractNumId w:val="7"/>
  </w:num>
  <w:num w:numId="62">
    <w:abstractNumId w:val="35"/>
  </w:num>
  <w:num w:numId="63">
    <w:abstractNumId w:val="85"/>
  </w:num>
  <w:num w:numId="64">
    <w:abstractNumId w:val="156"/>
  </w:num>
  <w:num w:numId="65">
    <w:abstractNumId w:val="30"/>
  </w:num>
  <w:num w:numId="66">
    <w:abstractNumId w:val="0"/>
  </w:num>
  <w:num w:numId="67">
    <w:abstractNumId w:val="3"/>
  </w:num>
  <w:num w:numId="68">
    <w:abstractNumId w:val="87"/>
  </w:num>
  <w:num w:numId="69">
    <w:abstractNumId w:val="88"/>
  </w:num>
  <w:num w:numId="70">
    <w:abstractNumId w:val="29"/>
  </w:num>
  <w:num w:numId="71">
    <w:abstractNumId w:val="20"/>
  </w:num>
  <w:num w:numId="72">
    <w:abstractNumId w:val="139"/>
  </w:num>
  <w:num w:numId="73">
    <w:abstractNumId w:val="64"/>
  </w:num>
  <w:num w:numId="74">
    <w:abstractNumId w:val="13"/>
  </w:num>
  <w:num w:numId="75">
    <w:abstractNumId w:val="132"/>
  </w:num>
  <w:num w:numId="76">
    <w:abstractNumId w:val="77"/>
  </w:num>
  <w:num w:numId="77">
    <w:abstractNumId w:val="73"/>
  </w:num>
  <w:num w:numId="78">
    <w:abstractNumId w:val="37"/>
  </w:num>
  <w:num w:numId="79">
    <w:abstractNumId w:val="130"/>
  </w:num>
  <w:num w:numId="80">
    <w:abstractNumId w:val="68"/>
  </w:num>
  <w:num w:numId="81">
    <w:abstractNumId w:val="110"/>
  </w:num>
  <w:num w:numId="82">
    <w:abstractNumId w:val="146"/>
  </w:num>
  <w:num w:numId="83">
    <w:abstractNumId w:val="131"/>
  </w:num>
  <w:num w:numId="84">
    <w:abstractNumId w:val="154"/>
  </w:num>
  <w:num w:numId="85">
    <w:abstractNumId w:val="134"/>
  </w:num>
  <w:num w:numId="86">
    <w:abstractNumId w:val="54"/>
  </w:num>
  <w:num w:numId="87">
    <w:abstractNumId w:val="150"/>
  </w:num>
  <w:num w:numId="88">
    <w:abstractNumId w:val="137"/>
  </w:num>
  <w:num w:numId="89">
    <w:abstractNumId w:val="93"/>
  </w:num>
  <w:num w:numId="90">
    <w:abstractNumId w:val="124"/>
  </w:num>
  <w:num w:numId="91">
    <w:abstractNumId w:val="91"/>
  </w:num>
  <w:num w:numId="92">
    <w:abstractNumId w:val="2"/>
  </w:num>
  <w:num w:numId="93">
    <w:abstractNumId w:val="36"/>
  </w:num>
  <w:num w:numId="94">
    <w:abstractNumId w:val="49"/>
  </w:num>
  <w:num w:numId="95">
    <w:abstractNumId w:val="106"/>
  </w:num>
  <w:num w:numId="96">
    <w:abstractNumId w:val="151"/>
  </w:num>
  <w:num w:numId="97">
    <w:abstractNumId w:val="94"/>
  </w:num>
  <w:num w:numId="98">
    <w:abstractNumId w:val="45"/>
  </w:num>
  <w:num w:numId="99">
    <w:abstractNumId w:val="105"/>
  </w:num>
  <w:num w:numId="100">
    <w:abstractNumId w:val="38"/>
  </w:num>
  <w:num w:numId="101">
    <w:abstractNumId w:val="56"/>
  </w:num>
  <w:num w:numId="102">
    <w:abstractNumId w:val="57"/>
  </w:num>
  <w:num w:numId="103">
    <w:abstractNumId w:val="75"/>
  </w:num>
  <w:num w:numId="104">
    <w:abstractNumId w:val="46"/>
  </w:num>
  <w:num w:numId="105">
    <w:abstractNumId w:val="149"/>
  </w:num>
  <w:num w:numId="106">
    <w:abstractNumId w:val="115"/>
  </w:num>
  <w:num w:numId="107">
    <w:abstractNumId w:val="71"/>
  </w:num>
  <w:num w:numId="108">
    <w:abstractNumId w:val="23"/>
  </w:num>
  <w:num w:numId="109">
    <w:abstractNumId w:val="50"/>
  </w:num>
  <w:num w:numId="110">
    <w:abstractNumId w:val="83"/>
  </w:num>
  <w:num w:numId="111">
    <w:abstractNumId w:val="107"/>
  </w:num>
  <w:num w:numId="112">
    <w:abstractNumId w:val="44"/>
  </w:num>
  <w:num w:numId="113">
    <w:abstractNumId w:val="48"/>
  </w:num>
  <w:num w:numId="114">
    <w:abstractNumId w:val="39"/>
  </w:num>
  <w:num w:numId="115">
    <w:abstractNumId w:val="90"/>
  </w:num>
  <w:num w:numId="116">
    <w:abstractNumId w:val="92"/>
  </w:num>
  <w:num w:numId="117">
    <w:abstractNumId w:val="152"/>
  </w:num>
  <w:num w:numId="118">
    <w:abstractNumId w:val="31"/>
  </w:num>
  <w:num w:numId="119">
    <w:abstractNumId w:val="126"/>
  </w:num>
  <w:num w:numId="120">
    <w:abstractNumId w:val="122"/>
  </w:num>
  <w:num w:numId="121">
    <w:abstractNumId w:val="43"/>
  </w:num>
  <w:num w:numId="122">
    <w:abstractNumId w:val="32"/>
  </w:num>
  <w:num w:numId="123">
    <w:abstractNumId w:val="47"/>
  </w:num>
  <w:num w:numId="124">
    <w:abstractNumId w:val="117"/>
  </w:num>
  <w:num w:numId="125">
    <w:abstractNumId w:val="103"/>
  </w:num>
  <w:num w:numId="126">
    <w:abstractNumId w:val="65"/>
  </w:num>
  <w:num w:numId="127">
    <w:abstractNumId w:val="158"/>
  </w:num>
  <w:num w:numId="128">
    <w:abstractNumId w:val="121"/>
  </w:num>
  <w:num w:numId="129">
    <w:abstractNumId w:val="100"/>
  </w:num>
  <w:num w:numId="130">
    <w:abstractNumId w:val="60"/>
  </w:num>
  <w:num w:numId="131">
    <w:abstractNumId w:val="125"/>
  </w:num>
  <w:num w:numId="132">
    <w:abstractNumId w:val="120"/>
  </w:num>
  <w:num w:numId="133">
    <w:abstractNumId w:val="24"/>
  </w:num>
  <w:num w:numId="134">
    <w:abstractNumId w:val="19"/>
  </w:num>
  <w:num w:numId="135">
    <w:abstractNumId w:val="140"/>
  </w:num>
  <w:num w:numId="136">
    <w:abstractNumId w:val="147"/>
  </w:num>
  <w:num w:numId="137">
    <w:abstractNumId w:val="81"/>
  </w:num>
  <w:num w:numId="138">
    <w:abstractNumId w:val="127"/>
  </w:num>
  <w:num w:numId="139">
    <w:abstractNumId w:val="42"/>
  </w:num>
  <w:num w:numId="140">
    <w:abstractNumId w:val="66"/>
  </w:num>
  <w:num w:numId="141">
    <w:abstractNumId w:val="109"/>
  </w:num>
  <w:num w:numId="142">
    <w:abstractNumId w:val="133"/>
  </w:num>
  <w:num w:numId="143">
    <w:abstractNumId w:val="78"/>
  </w:num>
  <w:num w:numId="144">
    <w:abstractNumId w:val="62"/>
  </w:num>
  <w:num w:numId="145">
    <w:abstractNumId w:val="142"/>
  </w:num>
  <w:num w:numId="146">
    <w:abstractNumId w:val="112"/>
  </w:num>
  <w:num w:numId="147">
    <w:abstractNumId w:val="114"/>
  </w:num>
  <w:num w:numId="148">
    <w:abstractNumId w:val="86"/>
  </w:num>
  <w:num w:numId="149">
    <w:abstractNumId w:val="67"/>
  </w:num>
  <w:num w:numId="150">
    <w:abstractNumId w:val="116"/>
  </w:num>
  <w:num w:numId="151">
    <w:abstractNumId w:val="128"/>
  </w:num>
  <w:num w:numId="152">
    <w:abstractNumId w:val="99"/>
  </w:num>
  <w:num w:numId="153">
    <w:abstractNumId w:val="159"/>
  </w:num>
  <w:num w:numId="154">
    <w:abstractNumId w:val="111"/>
  </w:num>
  <w:num w:numId="155">
    <w:abstractNumId w:val="96"/>
  </w:num>
  <w:num w:numId="156">
    <w:abstractNumId w:val="98"/>
  </w:num>
  <w:num w:numId="157">
    <w:abstractNumId w:val="34"/>
  </w:num>
  <w:num w:numId="158">
    <w:abstractNumId w:val="72"/>
  </w:num>
  <w:num w:numId="159">
    <w:abstractNumId w:val="143"/>
  </w:num>
  <w:num w:numId="160">
    <w:abstractNumId w:val="1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embedTrueTypeFonts/>
  <w:saveSubsetFonts/>
  <w:bordersDoNotSurroundHeader w:val="1"/>
  <w:bordersDoNotSurroundFooter w:val="1"/>
  <w:trackRevisions w:val="1"/>
  <w:documentProtection w:enforcement="0"/>
  <w:defaultTabStop w:val="420"/>
  <w:hyphenationZone w:val="360"/>
  <w:drawingGridHorizontalSpacing w:val="24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5YjI1NWQxZGY0YmEzZjMwMjA1MDE3YmVlZTM4MGIifQ=="/>
  </w:docVars>
  <w:rsids>
    <w:rsidRoot w:val="00172A27"/>
    <w:rsid w:val="00044129"/>
    <w:rsid w:val="0004493C"/>
    <w:rsid w:val="000665D1"/>
    <w:rsid w:val="000C43D3"/>
    <w:rsid w:val="000C57A6"/>
    <w:rsid w:val="00140511"/>
    <w:rsid w:val="00172A27"/>
    <w:rsid w:val="00175FFE"/>
    <w:rsid w:val="001A77A3"/>
    <w:rsid w:val="001B159D"/>
    <w:rsid w:val="001D2A59"/>
    <w:rsid w:val="001E5817"/>
    <w:rsid w:val="001E6484"/>
    <w:rsid w:val="00214DFA"/>
    <w:rsid w:val="00280A15"/>
    <w:rsid w:val="002C02BA"/>
    <w:rsid w:val="002E7688"/>
    <w:rsid w:val="003054B2"/>
    <w:rsid w:val="00317A39"/>
    <w:rsid w:val="00326CCE"/>
    <w:rsid w:val="00362E22"/>
    <w:rsid w:val="00392944"/>
    <w:rsid w:val="003A0622"/>
    <w:rsid w:val="003A462A"/>
    <w:rsid w:val="003E4D21"/>
    <w:rsid w:val="00413611"/>
    <w:rsid w:val="0041528D"/>
    <w:rsid w:val="00495955"/>
    <w:rsid w:val="004A52BC"/>
    <w:rsid w:val="004C044A"/>
    <w:rsid w:val="00500B34"/>
    <w:rsid w:val="00525E6D"/>
    <w:rsid w:val="00542423"/>
    <w:rsid w:val="0055600A"/>
    <w:rsid w:val="00566AFD"/>
    <w:rsid w:val="005A20DF"/>
    <w:rsid w:val="005D0EAF"/>
    <w:rsid w:val="00600C3F"/>
    <w:rsid w:val="006203B8"/>
    <w:rsid w:val="00623025"/>
    <w:rsid w:val="00626C3C"/>
    <w:rsid w:val="00662DA5"/>
    <w:rsid w:val="00666897"/>
    <w:rsid w:val="00694DC0"/>
    <w:rsid w:val="006B532D"/>
    <w:rsid w:val="006E413A"/>
    <w:rsid w:val="00700070"/>
    <w:rsid w:val="007416CE"/>
    <w:rsid w:val="007600E3"/>
    <w:rsid w:val="00795090"/>
    <w:rsid w:val="007B19DE"/>
    <w:rsid w:val="007E0481"/>
    <w:rsid w:val="007E705C"/>
    <w:rsid w:val="0080150E"/>
    <w:rsid w:val="00804D1D"/>
    <w:rsid w:val="008123AF"/>
    <w:rsid w:val="008128FE"/>
    <w:rsid w:val="00857E61"/>
    <w:rsid w:val="008643F9"/>
    <w:rsid w:val="009137FA"/>
    <w:rsid w:val="009531D8"/>
    <w:rsid w:val="00957268"/>
    <w:rsid w:val="00962227"/>
    <w:rsid w:val="009636BC"/>
    <w:rsid w:val="00971D7C"/>
    <w:rsid w:val="00982F52"/>
    <w:rsid w:val="009A2EF5"/>
    <w:rsid w:val="009A4170"/>
    <w:rsid w:val="009A4A26"/>
    <w:rsid w:val="009C0A28"/>
    <w:rsid w:val="009D3A3A"/>
    <w:rsid w:val="009D4836"/>
    <w:rsid w:val="009F4B1E"/>
    <w:rsid w:val="00A109F8"/>
    <w:rsid w:val="00A27815"/>
    <w:rsid w:val="00AB25FD"/>
    <w:rsid w:val="00AB2ECC"/>
    <w:rsid w:val="00AB7C55"/>
    <w:rsid w:val="00B323BD"/>
    <w:rsid w:val="00B3725F"/>
    <w:rsid w:val="00B45DAF"/>
    <w:rsid w:val="00B633D3"/>
    <w:rsid w:val="00B71DC8"/>
    <w:rsid w:val="00B74241"/>
    <w:rsid w:val="00B822AC"/>
    <w:rsid w:val="00BB0F20"/>
    <w:rsid w:val="00BC1AE5"/>
    <w:rsid w:val="00BC24F6"/>
    <w:rsid w:val="00BD08C8"/>
    <w:rsid w:val="00BD4ADF"/>
    <w:rsid w:val="00BE6710"/>
    <w:rsid w:val="00C0198A"/>
    <w:rsid w:val="00C1276C"/>
    <w:rsid w:val="00C30D39"/>
    <w:rsid w:val="00C31CB6"/>
    <w:rsid w:val="00C359E4"/>
    <w:rsid w:val="00C50C4D"/>
    <w:rsid w:val="00C54DC9"/>
    <w:rsid w:val="00C6222B"/>
    <w:rsid w:val="00C76D7E"/>
    <w:rsid w:val="00D1598B"/>
    <w:rsid w:val="00D20C81"/>
    <w:rsid w:val="00D3538E"/>
    <w:rsid w:val="00D96BFB"/>
    <w:rsid w:val="00DA48BA"/>
    <w:rsid w:val="00DB2143"/>
    <w:rsid w:val="00DF35AF"/>
    <w:rsid w:val="00E234FB"/>
    <w:rsid w:val="00E43F0A"/>
    <w:rsid w:val="00E45F14"/>
    <w:rsid w:val="00E73A19"/>
    <w:rsid w:val="00E84E5A"/>
    <w:rsid w:val="00EA000A"/>
    <w:rsid w:val="00EF0AF8"/>
    <w:rsid w:val="00EF2D0B"/>
    <w:rsid w:val="00EF3B3E"/>
    <w:rsid w:val="00F7366F"/>
    <w:rsid w:val="00F82737"/>
    <w:rsid w:val="00F86316"/>
    <w:rsid w:val="00F8664E"/>
    <w:rsid w:val="00F971A1"/>
    <w:rsid w:val="00F97C73"/>
    <w:rsid w:val="00FB2B6F"/>
    <w:rsid w:val="00FE6DFF"/>
    <w:rsid w:val="01961C7B"/>
    <w:rsid w:val="03B92990"/>
    <w:rsid w:val="07D109E4"/>
    <w:rsid w:val="08C94F2B"/>
    <w:rsid w:val="0A640714"/>
    <w:rsid w:val="0BA35918"/>
    <w:rsid w:val="0C3A668C"/>
    <w:rsid w:val="0C8413AF"/>
    <w:rsid w:val="0FA4277F"/>
    <w:rsid w:val="104B14B8"/>
    <w:rsid w:val="131B16E4"/>
    <w:rsid w:val="13C324DB"/>
    <w:rsid w:val="16450522"/>
    <w:rsid w:val="16FA16C0"/>
    <w:rsid w:val="173A1864"/>
    <w:rsid w:val="176928E2"/>
    <w:rsid w:val="18CF7C5D"/>
    <w:rsid w:val="1ADA13CD"/>
    <w:rsid w:val="1B66485B"/>
    <w:rsid w:val="1D944933"/>
    <w:rsid w:val="1FE13089"/>
    <w:rsid w:val="21987725"/>
    <w:rsid w:val="24D70245"/>
    <w:rsid w:val="266C6023"/>
    <w:rsid w:val="297D5A5E"/>
    <w:rsid w:val="2EC06250"/>
    <w:rsid w:val="2F971D38"/>
    <w:rsid w:val="31C15573"/>
    <w:rsid w:val="31CB13C9"/>
    <w:rsid w:val="338406E3"/>
    <w:rsid w:val="372B34A0"/>
    <w:rsid w:val="3901644F"/>
    <w:rsid w:val="3A4B46FF"/>
    <w:rsid w:val="3AEA5A8F"/>
    <w:rsid w:val="3C806AF2"/>
    <w:rsid w:val="3D3E3185"/>
    <w:rsid w:val="3DB755CD"/>
    <w:rsid w:val="3DF5764D"/>
    <w:rsid w:val="3F045044"/>
    <w:rsid w:val="402C79CD"/>
    <w:rsid w:val="405C0B7A"/>
    <w:rsid w:val="40F37BA7"/>
    <w:rsid w:val="43194798"/>
    <w:rsid w:val="436A4EBB"/>
    <w:rsid w:val="45885F12"/>
    <w:rsid w:val="45EB1D12"/>
    <w:rsid w:val="46032042"/>
    <w:rsid w:val="470B3139"/>
    <w:rsid w:val="498F47D5"/>
    <w:rsid w:val="4C8229F4"/>
    <w:rsid w:val="4E8F431F"/>
    <w:rsid w:val="4F0C0468"/>
    <w:rsid w:val="505366F5"/>
    <w:rsid w:val="50E26756"/>
    <w:rsid w:val="53ED06E5"/>
    <w:rsid w:val="56715B61"/>
    <w:rsid w:val="56B65122"/>
    <w:rsid w:val="57194CE6"/>
    <w:rsid w:val="58132102"/>
    <w:rsid w:val="5B9A22B1"/>
    <w:rsid w:val="5C13157B"/>
    <w:rsid w:val="5C8F11EE"/>
    <w:rsid w:val="6027313D"/>
    <w:rsid w:val="61C70125"/>
    <w:rsid w:val="634E67B8"/>
    <w:rsid w:val="63A21509"/>
    <w:rsid w:val="675C230E"/>
    <w:rsid w:val="68E51A78"/>
    <w:rsid w:val="69694B43"/>
    <w:rsid w:val="6AA34564"/>
    <w:rsid w:val="6F46781D"/>
    <w:rsid w:val="73AB520D"/>
    <w:rsid w:val="74715CD2"/>
    <w:rsid w:val="752601BF"/>
    <w:rsid w:val="786578CA"/>
    <w:rsid w:val="786F43F7"/>
    <w:rsid w:val="78832648"/>
    <w:rsid w:val="7DD50E45"/>
    <w:rsid w:val="7DF12C8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264" w:lineRule="auto"/>
      <w:ind w:firstLine="104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spacing w:line="360" w:lineRule="auto"/>
      <w:ind w:firstLine="0" w:firstLineChars="0"/>
      <w:jc w:val="center"/>
      <w:outlineLvl w:val="0"/>
    </w:pPr>
    <w:rPr>
      <w:b/>
      <w:kern w:val="44"/>
      <w:sz w:val="28"/>
    </w:rPr>
  </w:style>
  <w:style w:type="paragraph" w:styleId="4">
    <w:name w:val="heading 2"/>
    <w:basedOn w:val="1"/>
    <w:next w:val="1"/>
    <w:link w:val="38"/>
    <w:qFormat/>
    <w:uiPriority w:val="0"/>
    <w:pPr>
      <w:keepNext/>
      <w:keepLines/>
      <w:numPr>
        <w:ilvl w:val="1"/>
        <w:numId w:val="1"/>
      </w:numPr>
      <w:spacing w:before="100" w:line="360" w:lineRule="auto"/>
      <w:ind w:firstLine="0" w:firstLineChars="0"/>
      <w:outlineLvl w:val="1"/>
    </w:pPr>
    <w:rPr>
      <w:b/>
    </w:rPr>
  </w:style>
  <w:style w:type="paragraph" w:styleId="5">
    <w:name w:val="heading 3"/>
    <w:basedOn w:val="1"/>
    <w:next w:val="1"/>
    <w:link w:val="40"/>
    <w:qFormat/>
    <w:uiPriority w:val="0"/>
    <w:pPr>
      <w:keepLines/>
      <w:numPr>
        <w:ilvl w:val="2"/>
        <w:numId w:val="1"/>
      </w:numPr>
      <w:spacing w:line="288" w:lineRule="auto"/>
      <w:ind w:firstLine="0" w:firstLineChars="0"/>
      <w:outlineLvl w:val="2"/>
    </w:pPr>
  </w:style>
  <w:style w:type="paragraph" w:styleId="6">
    <w:name w:val="heading 4"/>
    <w:basedOn w:val="1"/>
    <w:next w:val="1"/>
    <w:qFormat/>
    <w:uiPriority w:val="0"/>
    <w:pPr>
      <w:keepLines/>
      <w:numPr>
        <w:ilvl w:val="3"/>
        <w:numId w:val="1"/>
      </w:numPr>
      <w:spacing w:line="288" w:lineRule="auto"/>
      <w:ind w:left="864" w:leftChars="100" w:hanging="624" w:firstLineChars="0"/>
      <w:outlineLvl w:val="3"/>
    </w:pPr>
  </w:style>
  <w:style w:type="paragraph" w:styleId="7">
    <w:name w:val="heading 5"/>
    <w:basedOn w:val="1"/>
    <w:next w:val="1"/>
    <w:qFormat/>
    <w:uiPriority w:val="0"/>
    <w:pPr>
      <w:keepNext/>
      <w:keepLines/>
      <w:numPr>
        <w:ilvl w:val="4"/>
        <w:numId w:val="1"/>
      </w:numPr>
      <w:spacing w:line="240" w:lineRule="auto"/>
      <w:ind w:left="0" w:firstLine="420" w:firstLineChars="0"/>
      <w:outlineLvl w:val="4"/>
    </w:pPr>
    <w:rPr>
      <w:rFonts w:cs="宋体"/>
    </w:rPr>
  </w:style>
  <w:style w:type="paragraph" w:styleId="8">
    <w:name w:val="heading 6"/>
    <w:basedOn w:val="1"/>
    <w:next w:val="1"/>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9">
    <w:name w:val="heading 7"/>
    <w:basedOn w:val="1"/>
    <w:next w:val="1"/>
    <w:qFormat/>
    <w:uiPriority w:val="0"/>
    <w:pPr>
      <w:keepNext/>
      <w:keepLines/>
      <w:numPr>
        <w:ilvl w:val="6"/>
        <w:numId w:val="1"/>
      </w:numPr>
      <w:spacing w:before="240" w:after="64" w:line="317" w:lineRule="auto"/>
      <w:ind w:firstLine="0" w:firstLineChars="0"/>
      <w:outlineLvl w:val="6"/>
    </w:pPr>
    <w:rPr>
      <w:b/>
    </w:rPr>
  </w:style>
  <w:style w:type="paragraph" w:styleId="10">
    <w:name w:val="heading 8"/>
    <w:basedOn w:val="1"/>
    <w:next w:val="1"/>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1">
    <w:name w:val="heading 9"/>
    <w:basedOn w:val="1"/>
    <w:next w:val="1"/>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Plain Text"/>
    <w:basedOn w:val="1"/>
    <w:next w:val="1"/>
    <w:unhideWhenUsed/>
    <w:qFormat/>
    <w:uiPriority w:val="0"/>
    <w:rPr>
      <w:rFonts w:hAnsi="Courier New"/>
      <w:sz w:val="21"/>
    </w:rPr>
  </w:style>
  <w:style w:type="paragraph" w:styleId="12">
    <w:name w:val="annotation text"/>
    <w:basedOn w:val="1"/>
    <w:link w:val="42"/>
    <w:qFormat/>
    <w:uiPriority w:val="0"/>
    <w:pPr>
      <w:jc w:val="left"/>
    </w:pPr>
  </w:style>
  <w:style w:type="paragraph" w:styleId="13">
    <w:name w:val="Block Text"/>
    <w:basedOn w:val="1"/>
    <w:link w:val="35"/>
    <w:qFormat/>
    <w:uiPriority w:val="0"/>
    <w:pPr>
      <w:adjustRightInd w:val="0"/>
      <w:spacing w:line="240" w:lineRule="auto"/>
      <w:ind w:firstLine="0" w:firstLineChars="0"/>
      <w:jc w:val="center"/>
      <w:textAlignment w:val="baseline"/>
    </w:pPr>
    <w:rPr>
      <w:rFonts w:cs="宋体"/>
      <w:kern w:val="0"/>
      <w:sz w:val="21"/>
      <w:szCs w:val="20"/>
    </w:rPr>
  </w:style>
  <w:style w:type="paragraph" w:styleId="14">
    <w:name w:val="Balloon Text"/>
    <w:basedOn w:val="1"/>
    <w:link w:val="37"/>
    <w:qFormat/>
    <w:uiPriority w:val="0"/>
    <w:pPr>
      <w:spacing w:line="240" w:lineRule="auto"/>
    </w:pPr>
    <w:rPr>
      <w:sz w:val="18"/>
      <w:szCs w:val="18"/>
    </w:rPr>
  </w:style>
  <w:style w:type="paragraph" w:styleId="15">
    <w:name w:val="footer"/>
    <w:basedOn w:val="1"/>
    <w:qFormat/>
    <w:uiPriority w:val="0"/>
    <w:pPr>
      <w:tabs>
        <w:tab w:val="center" w:pos="4153"/>
        <w:tab w:val="right" w:pos="8306"/>
      </w:tabs>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7">
    <w:name w:val="toc 1"/>
    <w:basedOn w:val="1"/>
    <w:next w:val="1"/>
    <w:qFormat/>
    <w:uiPriority w:val="39"/>
    <w:rPr>
      <w:b/>
    </w:rPr>
  </w:style>
  <w:style w:type="paragraph" w:styleId="18">
    <w:name w:val="Subtitle"/>
    <w:basedOn w:val="1"/>
    <w:next w:val="1"/>
    <w:link w:val="41"/>
    <w:qFormat/>
    <w:uiPriority w:val="11"/>
    <w:pPr>
      <w:spacing w:line="360" w:lineRule="auto"/>
      <w:ind w:firstLine="200"/>
    </w:pPr>
    <w:rPr>
      <w:rFonts w:ascii="Times New Roman" w:hAnsi="Times New Roman" w:cs="Times New Roman"/>
      <w:bCs/>
      <w:kern w:val="28"/>
      <w:szCs w:val="32"/>
    </w:rPr>
  </w:style>
  <w:style w:type="paragraph" w:styleId="19">
    <w:name w:val="toc 2"/>
    <w:basedOn w:val="1"/>
    <w:next w:val="1"/>
    <w:qFormat/>
    <w:uiPriority w:val="39"/>
    <w:pPr>
      <w:ind w:left="420" w:leftChars="200"/>
    </w:pPr>
  </w:style>
  <w:style w:type="paragraph" w:styleId="20">
    <w:name w:val="index 1"/>
    <w:basedOn w:val="1"/>
    <w:next w:val="1"/>
    <w:qFormat/>
    <w:uiPriority w:val="0"/>
  </w:style>
  <w:style w:type="paragraph" w:styleId="21">
    <w:name w:val="Title"/>
    <w:basedOn w:val="1"/>
    <w:next w:val="1"/>
    <w:qFormat/>
    <w:uiPriority w:val="0"/>
    <w:pPr>
      <w:spacing w:before="50" w:beforeLines="50" w:after="50" w:afterLines="50" w:line="360" w:lineRule="auto"/>
      <w:outlineLvl w:val="2"/>
    </w:pPr>
    <w:rPr>
      <w:rFonts w:ascii="Times New Roman" w:hAnsi="Times New Roman" w:cs="Times New Roman"/>
      <w:b/>
      <w:bCs/>
      <w:szCs w:val="32"/>
    </w:rPr>
  </w:style>
  <w:style w:type="paragraph" w:styleId="22">
    <w:name w:val="annotation subject"/>
    <w:basedOn w:val="12"/>
    <w:next w:val="12"/>
    <w:link w:val="39"/>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unhideWhenUsed/>
    <w:qFormat/>
    <w:uiPriority w:val="99"/>
    <w:rPr>
      <w:color w:val="0026E5"/>
      <w:u w:val="single"/>
    </w:rPr>
  </w:style>
  <w:style w:type="character" w:styleId="27">
    <w:name w:val="annotation reference"/>
    <w:qFormat/>
    <w:uiPriority w:val="0"/>
    <w:rPr>
      <w:sz w:val="21"/>
      <w:szCs w:val="21"/>
    </w:rPr>
  </w:style>
  <w:style w:type="paragraph" w:customStyle="1" w:styleId="28">
    <w:name w:val="图片"/>
    <w:basedOn w:val="1"/>
    <w:qFormat/>
    <w:uiPriority w:val="0"/>
    <w:pPr>
      <w:adjustRightInd w:val="0"/>
      <w:spacing w:line="240" w:lineRule="auto"/>
      <w:ind w:firstLine="0" w:firstLineChars="0"/>
      <w:jc w:val="center"/>
      <w:textAlignment w:val="baseline"/>
    </w:pPr>
    <w:rPr>
      <w:rFonts w:hint="eastAsia" w:ascii="等线" w:hAnsi="等线"/>
      <w:b/>
      <w:kern w:val="0"/>
      <w:sz w:val="21"/>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3"/>
    <w:qFormat/>
    <w:uiPriority w:val="0"/>
    <w:pPr>
      <w:ind w:leftChars="400"/>
    </w:pPr>
    <w:rPr>
      <w:rFonts w:ascii="Times New Roman" w:hAnsi="Times New Roman" w:eastAsia="宋体" w:cs="Times New Roman"/>
      <w:sz w:val="20"/>
      <w:szCs w:val="20"/>
    </w:rPr>
  </w:style>
  <w:style w:type="paragraph" w:customStyle="1" w:styleId="32">
    <w:name w:val="文一"/>
    <w:basedOn w:val="1"/>
    <w:qFormat/>
    <w:uiPriority w:val="0"/>
    <w:pPr>
      <w:topLinePunct/>
      <w:adjustRightInd w:val="0"/>
      <w:spacing w:line="360" w:lineRule="auto"/>
      <w:ind w:firstLine="200"/>
    </w:pPr>
    <w:rPr>
      <w:snapToGrid w:val="0"/>
      <w:spacing w:val="4"/>
      <w:kern w:val="0"/>
    </w:rPr>
  </w:style>
  <w:style w:type="paragraph" w:styleId="33">
    <w:name w:val="List Paragraph"/>
    <w:basedOn w:val="1"/>
    <w:qFormat/>
    <w:uiPriority w:val="34"/>
    <w:pPr>
      <w:numPr>
        <w:ilvl w:val="0"/>
        <w:numId w:val="2"/>
      </w:numPr>
    </w:pPr>
  </w:style>
  <w:style w:type="character" w:customStyle="1" w:styleId="34">
    <w:name w:val="font01"/>
    <w:qFormat/>
    <w:uiPriority w:val="0"/>
    <w:rPr>
      <w:rFonts w:hint="eastAsia" w:ascii="宋体" w:hAnsi="宋体" w:eastAsia="宋体" w:cs="宋体"/>
      <w:color w:val="000000"/>
      <w:sz w:val="24"/>
      <w:szCs w:val="24"/>
      <w:u w:val="none"/>
    </w:rPr>
  </w:style>
  <w:style w:type="character" w:customStyle="1" w:styleId="35">
    <w:name w:val="文本块 字符"/>
    <w:link w:val="13"/>
    <w:qFormat/>
    <w:uiPriority w:val="0"/>
    <w:rPr>
      <w:rFonts w:ascii="宋体" w:hAnsi="宋体" w:eastAsia="宋体" w:cs="宋体"/>
      <w:kern w:val="0"/>
      <w:sz w:val="21"/>
      <w:szCs w:val="20"/>
    </w:rPr>
  </w:style>
  <w:style w:type="character" w:customStyle="1" w:styleId="36">
    <w:name w:val="font11"/>
    <w:qFormat/>
    <w:uiPriority w:val="0"/>
    <w:rPr>
      <w:rFonts w:hint="default" w:ascii="Arial" w:hAnsi="Arial" w:cs="Arial"/>
      <w:color w:val="000000"/>
      <w:sz w:val="24"/>
      <w:szCs w:val="24"/>
      <w:u w:val="none"/>
    </w:rPr>
  </w:style>
  <w:style w:type="character" w:customStyle="1" w:styleId="37">
    <w:name w:val="批注框文本 字符"/>
    <w:link w:val="14"/>
    <w:qFormat/>
    <w:uiPriority w:val="0"/>
    <w:rPr>
      <w:rFonts w:ascii="宋体" w:hAnsi="宋体" w:cs="Times New Roman"/>
      <w:kern w:val="2"/>
      <w:sz w:val="18"/>
      <w:szCs w:val="18"/>
    </w:rPr>
  </w:style>
  <w:style w:type="character" w:customStyle="1" w:styleId="38">
    <w:name w:val="标题 2 字符"/>
    <w:link w:val="4"/>
    <w:qFormat/>
    <w:uiPriority w:val="0"/>
    <w:rPr>
      <w:b/>
    </w:rPr>
  </w:style>
  <w:style w:type="character" w:customStyle="1" w:styleId="39">
    <w:name w:val="批注主题 字符"/>
    <w:link w:val="22"/>
    <w:qFormat/>
    <w:uiPriority w:val="0"/>
    <w:rPr>
      <w:rFonts w:ascii="宋体" w:hAnsi="宋体" w:cs="Times New Roman"/>
      <w:b/>
      <w:bCs/>
      <w:kern w:val="2"/>
      <w:sz w:val="24"/>
      <w:szCs w:val="24"/>
    </w:rPr>
  </w:style>
  <w:style w:type="character" w:customStyle="1" w:styleId="40">
    <w:name w:val="标题 3 字符"/>
    <w:link w:val="5"/>
    <w:qFormat/>
    <w:uiPriority w:val="0"/>
    <w:rPr>
      <w:rFonts w:ascii="宋体" w:hAnsi="宋体" w:eastAsia="宋体"/>
    </w:rPr>
  </w:style>
  <w:style w:type="character" w:customStyle="1" w:styleId="41">
    <w:name w:val="副标题 字符"/>
    <w:link w:val="18"/>
    <w:qFormat/>
    <w:uiPriority w:val="11"/>
    <w:rPr>
      <w:rFonts w:ascii="Times New Roman" w:hAnsi="Times New Roman" w:cs="Times New Roman"/>
      <w:bCs/>
      <w:kern w:val="28"/>
      <w:sz w:val="24"/>
      <w:szCs w:val="32"/>
    </w:rPr>
  </w:style>
  <w:style w:type="character" w:customStyle="1" w:styleId="42">
    <w:name w:val="批注文字 字符"/>
    <w:link w:val="12"/>
    <w:qFormat/>
    <w:uiPriority w:val="0"/>
    <w:rPr>
      <w:rFonts w:ascii="宋体" w:hAnsi="宋体" w:cs="Times New Roman"/>
      <w:kern w:val="2"/>
      <w:sz w:val="24"/>
      <w:szCs w:val="24"/>
    </w:rPr>
  </w:style>
  <w:style w:type="table" w:customStyle="1" w:styleId="43">
    <w:name w:val="Table Normal"/>
    <w:unhideWhenUsed/>
    <w:qFormat/>
    <w:uiPriority w:val="0"/>
    <w:rPr>
      <w:lang w:val="en-US" w:eastAsia="zh-CN" w:bidi="ar-SA"/>
    </w:rPr>
    <w:tblPr>
      <w:tblCellMar>
        <w:top w:w="0" w:type="dxa"/>
        <w:left w:w="0" w:type="dxa"/>
        <w:bottom w:w="0" w:type="dxa"/>
        <w:right w:w="0" w:type="dxa"/>
      </w:tblCellMar>
    </w:tblPr>
  </w:style>
  <w:style w:type="table" w:customStyle="1" w:styleId="44">
    <w:name w:val="网格型3"/>
    <w:basedOn w:val="23"/>
    <w:qFormat/>
    <w:uiPriority w:val="59"/>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21"/>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81.jpeg"/><Relationship Id="rId98" Type="http://schemas.openxmlformats.org/officeDocument/2006/relationships/image" Target="media/image80.jpeg"/><Relationship Id="rId97" Type="http://schemas.openxmlformats.org/officeDocument/2006/relationships/image" Target="media/image79.jpeg"/><Relationship Id="rId96" Type="http://schemas.openxmlformats.org/officeDocument/2006/relationships/image" Target="media/image78.jpeg"/><Relationship Id="rId95" Type="http://schemas.openxmlformats.org/officeDocument/2006/relationships/image" Target="media/image77.jpeg"/><Relationship Id="rId94" Type="http://schemas.openxmlformats.org/officeDocument/2006/relationships/image" Target="media/image76.jpeg"/><Relationship Id="rId93" Type="http://schemas.openxmlformats.org/officeDocument/2006/relationships/image" Target="media/image75.jpeg"/><Relationship Id="rId92" Type="http://schemas.openxmlformats.org/officeDocument/2006/relationships/image" Target="media/image74.jpeg"/><Relationship Id="rId91" Type="http://schemas.openxmlformats.org/officeDocument/2006/relationships/image" Target="media/image73.jpeg"/><Relationship Id="rId90" Type="http://schemas.openxmlformats.org/officeDocument/2006/relationships/image" Target="media/image72.jpeg"/><Relationship Id="rId9" Type="http://schemas.openxmlformats.org/officeDocument/2006/relationships/footer" Target="footer2.xml"/><Relationship Id="rId89" Type="http://schemas.openxmlformats.org/officeDocument/2006/relationships/image" Target="media/image71.jpeg"/><Relationship Id="rId88" Type="http://schemas.openxmlformats.org/officeDocument/2006/relationships/image" Target="media/image70.jpeg"/><Relationship Id="rId87" Type="http://schemas.openxmlformats.org/officeDocument/2006/relationships/image" Target="media/image69.jpeg"/><Relationship Id="rId86" Type="http://schemas.openxmlformats.org/officeDocument/2006/relationships/image" Target="media/image68.jpe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jpeg"/><Relationship Id="rId81" Type="http://schemas.openxmlformats.org/officeDocument/2006/relationships/image" Target="media/image63.jpeg"/><Relationship Id="rId80" Type="http://schemas.openxmlformats.org/officeDocument/2006/relationships/image" Target="media/image62.jpeg"/><Relationship Id="rId8" Type="http://schemas.openxmlformats.org/officeDocument/2006/relationships/footer" Target="footer1.xml"/><Relationship Id="rId79" Type="http://schemas.openxmlformats.org/officeDocument/2006/relationships/image" Target="media/image61.png"/><Relationship Id="rId78" Type="http://schemas.openxmlformats.org/officeDocument/2006/relationships/image" Target="media/image60.jpeg"/><Relationship Id="rId77" Type="http://schemas.openxmlformats.org/officeDocument/2006/relationships/image" Target="media/image59.jpeg"/><Relationship Id="rId76" Type="http://schemas.openxmlformats.org/officeDocument/2006/relationships/image" Target="media/image58.jpeg"/><Relationship Id="rId75" Type="http://schemas.openxmlformats.org/officeDocument/2006/relationships/image" Target="media/image57.jpeg"/><Relationship Id="rId74" Type="http://schemas.openxmlformats.org/officeDocument/2006/relationships/image" Target="media/image56.png"/><Relationship Id="rId73" Type="http://schemas.openxmlformats.org/officeDocument/2006/relationships/image" Target="media/image55.jpe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jpeg"/><Relationship Id="rId7" Type="http://schemas.openxmlformats.org/officeDocument/2006/relationships/header" Target="header3.xml"/><Relationship Id="rId69" Type="http://schemas.openxmlformats.org/officeDocument/2006/relationships/image" Target="media/image51.jpeg"/><Relationship Id="rId68" Type="http://schemas.openxmlformats.org/officeDocument/2006/relationships/image" Target="media/image50.jpeg"/><Relationship Id="rId67" Type="http://schemas.openxmlformats.org/officeDocument/2006/relationships/image" Target="media/image49.jpeg"/><Relationship Id="rId66" Type="http://schemas.openxmlformats.org/officeDocument/2006/relationships/image" Target="media/image48.jpeg"/><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jpeg"/><Relationship Id="rId55" Type="http://schemas.openxmlformats.org/officeDocument/2006/relationships/image" Target="media/image37.jpeg"/><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7" Type="http://schemas.openxmlformats.org/officeDocument/2006/relationships/fontTable" Target="fontTable.xml"/><Relationship Id="rId136" Type="http://schemas.openxmlformats.org/officeDocument/2006/relationships/numbering" Target="numbering.xml"/><Relationship Id="rId135" Type="http://schemas.openxmlformats.org/officeDocument/2006/relationships/customXml" Target="../customXml/item1.xml"/><Relationship Id="rId134" Type="http://schemas.openxmlformats.org/officeDocument/2006/relationships/image" Target="media/image116.jpeg"/><Relationship Id="rId133" Type="http://schemas.openxmlformats.org/officeDocument/2006/relationships/image" Target="media/image115.png"/><Relationship Id="rId132" Type="http://schemas.openxmlformats.org/officeDocument/2006/relationships/image" Target="media/image114.png"/><Relationship Id="rId131" Type="http://schemas.openxmlformats.org/officeDocument/2006/relationships/image" Target="media/image113.jpeg"/><Relationship Id="rId130" Type="http://schemas.openxmlformats.org/officeDocument/2006/relationships/image" Target="media/image112.png"/><Relationship Id="rId13" Type="http://schemas.openxmlformats.org/officeDocument/2006/relationships/footer" Target="footer5.xml"/><Relationship Id="rId129" Type="http://schemas.openxmlformats.org/officeDocument/2006/relationships/image" Target="media/image111.png"/><Relationship Id="rId128" Type="http://schemas.openxmlformats.org/officeDocument/2006/relationships/image" Target="media/image110.png"/><Relationship Id="rId127" Type="http://schemas.openxmlformats.org/officeDocument/2006/relationships/image" Target="media/image109.jpeg"/><Relationship Id="rId126" Type="http://schemas.openxmlformats.org/officeDocument/2006/relationships/image" Target="media/image108.jpeg"/><Relationship Id="rId125" Type="http://schemas.openxmlformats.org/officeDocument/2006/relationships/image" Target="media/image107.png"/><Relationship Id="rId124" Type="http://schemas.openxmlformats.org/officeDocument/2006/relationships/image" Target="media/image106.jpeg"/><Relationship Id="rId123" Type="http://schemas.openxmlformats.org/officeDocument/2006/relationships/image" Target="media/image105.png"/><Relationship Id="rId122" Type="http://schemas.openxmlformats.org/officeDocument/2006/relationships/image" Target="media/image104.png"/><Relationship Id="rId121" Type="http://schemas.openxmlformats.org/officeDocument/2006/relationships/image" Target="media/image103.jpeg"/><Relationship Id="rId120" Type="http://schemas.openxmlformats.org/officeDocument/2006/relationships/image" Target="media/image102.jpeg"/><Relationship Id="rId12" Type="http://schemas.openxmlformats.org/officeDocument/2006/relationships/footer" Target="footer4.xml"/><Relationship Id="rId119" Type="http://schemas.openxmlformats.org/officeDocument/2006/relationships/image" Target="media/image101.jpeg"/><Relationship Id="rId118" Type="http://schemas.openxmlformats.org/officeDocument/2006/relationships/image" Target="media/image100.jpeg"/><Relationship Id="rId117" Type="http://schemas.openxmlformats.org/officeDocument/2006/relationships/image" Target="media/image99.jpeg"/><Relationship Id="rId116" Type="http://schemas.openxmlformats.org/officeDocument/2006/relationships/image" Target="media/image98.jpeg"/><Relationship Id="rId115" Type="http://schemas.openxmlformats.org/officeDocument/2006/relationships/image" Target="media/image97.jpeg"/><Relationship Id="rId114" Type="http://schemas.openxmlformats.org/officeDocument/2006/relationships/image" Target="media/image96.jpeg"/><Relationship Id="rId113" Type="http://schemas.openxmlformats.org/officeDocument/2006/relationships/image" Target="media/image95.jpeg"/><Relationship Id="rId112" Type="http://schemas.openxmlformats.org/officeDocument/2006/relationships/image" Target="media/image94.jpeg"/><Relationship Id="rId111" Type="http://schemas.openxmlformats.org/officeDocument/2006/relationships/image" Target="media/image93.png"/><Relationship Id="rId110" Type="http://schemas.openxmlformats.org/officeDocument/2006/relationships/image" Target="media/image92.jpeg"/><Relationship Id="rId11" Type="http://schemas.openxmlformats.org/officeDocument/2006/relationships/header" Target="header4.xml"/><Relationship Id="rId109" Type="http://schemas.openxmlformats.org/officeDocument/2006/relationships/image" Target="media/image91.jpeg"/><Relationship Id="rId108" Type="http://schemas.openxmlformats.org/officeDocument/2006/relationships/image" Target="media/image90.jpeg"/><Relationship Id="rId107" Type="http://schemas.openxmlformats.org/officeDocument/2006/relationships/image" Target="media/image89.jpeg"/><Relationship Id="rId106" Type="http://schemas.openxmlformats.org/officeDocument/2006/relationships/image" Target="media/image88.jpeg"/><Relationship Id="rId105" Type="http://schemas.openxmlformats.org/officeDocument/2006/relationships/image" Target="media/image87.jpeg"/><Relationship Id="rId104" Type="http://schemas.openxmlformats.org/officeDocument/2006/relationships/image" Target="media/image86.jpeg"/><Relationship Id="rId103" Type="http://schemas.openxmlformats.org/officeDocument/2006/relationships/image" Target="media/image85.jpeg"/><Relationship Id="rId102" Type="http://schemas.openxmlformats.org/officeDocument/2006/relationships/image" Target="media/image84.jpeg"/><Relationship Id="rId101" Type="http://schemas.openxmlformats.org/officeDocument/2006/relationships/image" Target="media/image83.jpeg"/><Relationship Id="rId100" Type="http://schemas.openxmlformats.org/officeDocument/2006/relationships/image" Target="media/image82.jpeg"/><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184</Pages>
  <Words>14505</Words>
  <Characters>15551</Characters>
  <Lines>1170</Lines>
  <Paragraphs>329</Paragraphs>
  <TotalTime>1</TotalTime>
  <ScaleCrop>false</ScaleCrop>
  <LinksUpToDate>false</LinksUpToDate>
  <CharactersWithSpaces>15691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2024-12-31T11:46:00Z</dcterms:created>
  <dc:creator>-</dc:creator>
  <cp:lastModifiedBy>张时雨</cp:lastModifiedBy>
  <cp:lastPrinted>2025-01-02T02:46:00Z</cp:lastPrinted>
  <dcterms:modified xsi:type="dcterms:W3CDTF">2025-05-29T12:53:23Z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171BCF4C293E47AFA2BEB750A8437BBD_13</vt:lpwstr>
  </property>
  <property fmtid="{D5CDD505-2E9C-101B-9397-08002B2CF9AE}" pid="4" name="KSOTemplateDocerSaveRecord">
    <vt:lpwstr>eyJoZGlkIjoiYzExZjQ5ZjZmZjEwZTIyZWM5ZDUxYmFkOGM2MzY0ZTYiLCJ1c2VySWQiOiIxNTk1ODk1MjU2In0=</vt:lpwstr>
  </property>
</Properties>
</file>